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9C53C" w14:textId="1FF24BD2" w:rsidR="00826FDA" w:rsidRDefault="00D71FDA" w:rsidP="007A5D10">
      <w:pPr>
        <w:jc w:val="center"/>
        <w:rPr>
          <w:b/>
          <w:bCs/>
          <w:sz w:val="24"/>
          <w:szCs w:val="24"/>
        </w:rPr>
      </w:pPr>
      <w:r w:rsidRPr="00767EBE">
        <w:rPr>
          <w:b/>
          <w:bCs/>
          <w:sz w:val="24"/>
          <w:szCs w:val="24"/>
          <w:highlight w:val="yellow"/>
        </w:rPr>
        <w:t xml:space="preserve">Characteristics, treatment, outcomes, and cause of death of invasively ventilated patients with COVID-19 ARDS in Asir Central </w:t>
      </w:r>
      <w:r w:rsidR="007D24B0" w:rsidRPr="00767EBE">
        <w:rPr>
          <w:b/>
          <w:bCs/>
          <w:sz w:val="24"/>
          <w:szCs w:val="24"/>
          <w:highlight w:val="yellow"/>
        </w:rPr>
        <w:t>Hospital</w:t>
      </w:r>
      <w:r w:rsidR="00767EBE" w:rsidRPr="00767EBE">
        <w:rPr>
          <w:b/>
          <w:bCs/>
          <w:sz w:val="24"/>
          <w:szCs w:val="24"/>
          <w:highlight w:val="yellow"/>
        </w:rPr>
        <w:t>, Southern Of Saudi Arabia</w:t>
      </w:r>
      <w:r w:rsidR="007D24B0" w:rsidRPr="00767EBE">
        <w:rPr>
          <w:b/>
          <w:bCs/>
          <w:sz w:val="24"/>
          <w:szCs w:val="24"/>
          <w:highlight w:val="yellow"/>
        </w:rPr>
        <w:t>:</w:t>
      </w:r>
      <w:r w:rsidR="000547F1" w:rsidRPr="00767EBE">
        <w:rPr>
          <w:b/>
          <w:bCs/>
          <w:sz w:val="24"/>
          <w:szCs w:val="24"/>
          <w:highlight w:val="yellow"/>
        </w:rPr>
        <w:t xml:space="preserve"> A Retrospective Single Center Experience</w:t>
      </w:r>
    </w:p>
    <w:p w14:paraId="3918ABB2" w14:textId="77777777" w:rsidR="00767EBE" w:rsidRDefault="00767EBE">
      <w:pPr>
        <w:rPr>
          <w:rFonts w:ascii="Arial" w:hAnsi="Arial" w:cs="Arial"/>
          <w:noProof/>
          <w:sz w:val="20"/>
          <w:szCs w:val="20"/>
        </w:rPr>
      </w:pPr>
    </w:p>
    <w:p w14:paraId="1AC16A43" w14:textId="027F9B51" w:rsidR="00826FDA" w:rsidRPr="00767EBE" w:rsidRDefault="00767EBE" w:rsidP="00767EBE">
      <w:pPr>
        <w:rPr>
          <w:b/>
          <w:bCs/>
          <w:sz w:val="24"/>
          <w:szCs w:val="24"/>
        </w:rPr>
      </w:pPr>
      <w:r w:rsidRPr="00767EBE">
        <w:rPr>
          <w:rFonts w:ascii="Arial" w:hAnsi="Arial" w:cs="Arial"/>
          <w:b/>
          <w:bCs/>
          <w:noProof/>
          <w:sz w:val="20"/>
          <w:szCs w:val="20"/>
          <w:highlight w:val="yellow"/>
        </w:rPr>
        <w:t>Original Research Article</w:t>
      </w:r>
    </w:p>
    <w:p w14:paraId="08C2DAA1" w14:textId="0D1A1FA1" w:rsidR="000547F1" w:rsidRPr="00C340FB" w:rsidRDefault="000547F1" w:rsidP="000547F1">
      <w:pPr>
        <w:rPr>
          <w:b/>
          <w:bCs/>
          <w:sz w:val="24"/>
          <w:szCs w:val="24"/>
        </w:rPr>
      </w:pPr>
      <w:r w:rsidRPr="00C340FB">
        <w:rPr>
          <w:b/>
          <w:bCs/>
          <w:sz w:val="24"/>
          <w:szCs w:val="24"/>
        </w:rPr>
        <w:t>Abstract</w:t>
      </w:r>
    </w:p>
    <w:p w14:paraId="5F14FDB2" w14:textId="41AB4152" w:rsidR="00462AF6" w:rsidRPr="00C340FB" w:rsidRDefault="000547F1" w:rsidP="00462AF6">
      <w:pPr>
        <w:rPr>
          <w:b/>
          <w:bCs/>
          <w:sz w:val="24"/>
          <w:szCs w:val="24"/>
        </w:rPr>
      </w:pPr>
      <w:r w:rsidRPr="00C340FB">
        <w:rPr>
          <w:b/>
          <w:bCs/>
          <w:sz w:val="24"/>
          <w:szCs w:val="24"/>
        </w:rPr>
        <w:t>Introduction</w:t>
      </w:r>
      <w:r w:rsidR="003E5E3F" w:rsidRPr="00C340FB">
        <w:rPr>
          <w:b/>
          <w:bCs/>
          <w:sz w:val="24"/>
          <w:szCs w:val="24"/>
        </w:rPr>
        <w:t>:</w:t>
      </w:r>
    </w:p>
    <w:p w14:paraId="53B6EC37" w14:textId="77777777" w:rsidR="00462AF6" w:rsidRPr="00C340FB" w:rsidRDefault="00462AF6" w:rsidP="00462AF6">
      <w:pPr>
        <w:rPr>
          <w:sz w:val="24"/>
          <w:szCs w:val="24"/>
        </w:rPr>
      </w:pPr>
      <w:r w:rsidRPr="00C340FB">
        <w:rPr>
          <w:sz w:val="24"/>
          <w:szCs w:val="24"/>
        </w:rPr>
        <w:t>COVID-19's emergence caused devastating consequences worldwide, with high morbidity and mortality rates. Critically ill patients face challenges like acute respiratory failure requiring intensive measures, including mechanical ventilation. Mortality rates in ARDS are influenced by various factors. This paper focuses on describing characteristics, management, and survival factors of mechanically ventilated ICU patients in Saudi Arabia.</w:t>
      </w:r>
    </w:p>
    <w:p w14:paraId="0F61E63F" w14:textId="38F2476F" w:rsidR="000547F1" w:rsidRPr="00C340FB" w:rsidRDefault="000547F1" w:rsidP="00462AF6">
      <w:pPr>
        <w:rPr>
          <w:b/>
          <w:bCs/>
          <w:sz w:val="24"/>
          <w:szCs w:val="24"/>
        </w:rPr>
      </w:pPr>
      <w:r w:rsidRPr="00C340FB">
        <w:rPr>
          <w:b/>
          <w:bCs/>
          <w:sz w:val="24"/>
          <w:szCs w:val="24"/>
        </w:rPr>
        <w:t>Methods</w:t>
      </w:r>
      <w:r w:rsidR="003E5E3F" w:rsidRPr="00C340FB">
        <w:rPr>
          <w:b/>
          <w:bCs/>
          <w:sz w:val="24"/>
          <w:szCs w:val="24"/>
        </w:rPr>
        <w:t>:</w:t>
      </w:r>
    </w:p>
    <w:p w14:paraId="0015BA89" w14:textId="14B4BD0F" w:rsidR="00750BEF" w:rsidRPr="00C340FB" w:rsidRDefault="00750BEF" w:rsidP="00462AF6">
      <w:pPr>
        <w:rPr>
          <w:b/>
          <w:bCs/>
          <w:sz w:val="24"/>
          <w:szCs w:val="24"/>
        </w:rPr>
      </w:pPr>
      <w:r w:rsidRPr="00C340FB">
        <w:rPr>
          <w:sz w:val="24"/>
          <w:szCs w:val="24"/>
        </w:rPr>
        <w:t>a retrospective, noninterventional approach, we reviewed charts and data of all COVID-19-infected patients who were admitted to the ICU, particularly those requiring ventilation support at Aseer Central Hospital (ACH) in the southern region of Saudi Arabia.</w:t>
      </w:r>
    </w:p>
    <w:p w14:paraId="0D23B9F4" w14:textId="03ACEF8C" w:rsidR="000547F1" w:rsidRPr="00C340FB" w:rsidRDefault="000547F1" w:rsidP="000547F1">
      <w:pPr>
        <w:rPr>
          <w:b/>
          <w:bCs/>
          <w:sz w:val="24"/>
          <w:szCs w:val="24"/>
        </w:rPr>
      </w:pPr>
      <w:r w:rsidRPr="00C340FB">
        <w:rPr>
          <w:b/>
          <w:bCs/>
          <w:sz w:val="24"/>
          <w:szCs w:val="24"/>
        </w:rPr>
        <w:t>Results</w:t>
      </w:r>
      <w:r w:rsidR="003E5E3F" w:rsidRPr="00C340FB">
        <w:rPr>
          <w:b/>
          <w:bCs/>
          <w:sz w:val="24"/>
          <w:szCs w:val="24"/>
        </w:rPr>
        <w:t>:</w:t>
      </w:r>
    </w:p>
    <w:p w14:paraId="590253C8" w14:textId="08DA4769" w:rsidR="003E5E3F" w:rsidRPr="00C340FB" w:rsidRDefault="003E5E3F" w:rsidP="000547F1">
      <w:pPr>
        <w:rPr>
          <w:sz w:val="24"/>
          <w:szCs w:val="24"/>
        </w:rPr>
      </w:pPr>
      <w:r w:rsidRPr="00C340FB">
        <w:rPr>
          <w:sz w:val="24"/>
          <w:szCs w:val="24"/>
        </w:rPr>
        <w:t>The study enrolled 594 COVID patients, mean age 60.5 ± 17.3 years, with 67% males. Approximately half had O negative blood group. Common chronic health issues: diabetes mellitus (35.5%). Positive culture findings in almost 340 (57.2%), with Klebsiella pneumoniae being the most isolated microorganism (45.5%). Significant correlations found with mortality: age, blood culture, Rh positive group (P&lt;0.05).</w:t>
      </w:r>
    </w:p>
    <w:p w14:paraId="72E49BB2" w14:textId="61F5B204" w:rsidR="000547F1" w:rsidRPr="00C340FB" w:rsidRDefault="000547F1" w:rsidP="000547F1">
      <w:pPr>
        <w:rPr>
          <w:b/>
          <w:bCs/>
          <w:sz w:val="24"/>
          <w:szCs w:val="24"/>
        </w:rPr>
      </w:pPr>
      <w:r w:rsidRPr="00C340FB">
        <w:rPr>
          <w:b/>
          <w:bCs/>
          <w:sz w:val="24"/>
          <w:szCs w:val="24"/>
        </w:rPr>
        <w:t>Conclusion</w:t>
      </w:r>
      <w:r w:rsidR="003E5E3F" w:rsidRPr="00C340FB">
        <w:rPr>
          <w:b/>
          <w:bCs/>
          <w:sz w:val="24"/>
          <w:szCs w:val="24"/>
        </w:rPr>
        <w:t>:</w:t>
      </w:r>
    </w:p>
    <w:p w14:paraId="52FCB874" w14:textId="1F86B8DD" w:rsidR="000547F1" w:rsidRDefault="000B12A0" w:rsidP="000547F1">
      <w:pPr>
        <w:rPr>
          <w:sz w:val="24"/>
          <w:szCs w:val="24"/>
        </w:rPr>
      </w:pPr>
      <w:r w:rsidRPr="00C340FB">
        <w:rPr>
          <w:sz w:val="24"/>
          <w:szCs w:val="24"/>
        </w:rPr>
        <w:t>this study provides critical insights into the clinical and epidemiological aspects of COVID-19 patients admitted to the ICU in a Saudi Arabian hospital. The research underscores the impact of age, comorbidities, laboratory markers, and treatment interventions on patient outcomes, emphasizing the significance of tailored management strategies in this context.</w:t>
      </w:r>
    </w:p>
    <w:p w14:paraId="2FDF89E6" w14:textId="77777777" w:rsidR="00232638" w:rsidRDefault="00232638" w:rsidP="000547F1">
      <w:pPr>
        <w:rPr>
          <w:sz w:val="24"/>
          <w:szCs w:val="24"/>
        </w:rPr>
      </w:pPr>
    </w:p>
    <w:p w14:paraId="542592F4" w14:textId="345BF905" w:rsidR="00232638" w:rsidRPr="00232638" w:rsidRDefault="00232638" w:rsidP="000547F1">
      <w:pPr>
        <w:rPr>
          <w:sz w:val="24"/>
          <w:szCs w:val="24"/>
        </w:rPr>
      </w:pPr>
      <w:r w:rsidRPr="00232638">
        <w:rPr>
          <w:sz w:val="24"/>
          <w:szCs w:val="24"/>
        </w:rPr>
        <w:t xml:space="preserve">Keywords: </w:t>
      </w:r>
      <w:r w:rsidRPr="00232638">
        <w:rPr>
          <w:rFonts w:ascii="Calibri"/>
        </w:rPr>
        <w:t>COVID-19</w:t>
      </w:r>
      <w:r w:rsidRPr="00232638">
        <w:rPr>
          <w:rFonts w:ascii="Calibri"/>
        </w:rPr>
        <w:t xml:space="preserve">, </w:t>
      </w:r>
      <w:r w:rsidRPr="00232638">
        <w:rPr>
          <w:sz w:val="24"/>
          <w:szCs w:val="24"/>
        </w:rPr>
        <w:t>Patient, , Blood Culture, Mortality, Myalgia</w:t>
      </w:r>
    </w:p>
    <w:p w14:paraId="5D6B1FED" w14:textId="25FBB70C" w:rsidR="007C17A5" w:rsidRPr="00C340FB" w:rsidRDefault="000547F1" w:rsidP="007C17A5">
      <w:pPr>
        <w:rPr>
          <w:b/>
          <w:bCs/>
          <w:sz w:val="24"/>
          <w:szCs w:val="24"/>
        </w:rPr>
      </w:pPr>
      <w:r w:rsidRPr="00C340FB">
        <w:rPr>
          <w:b/>
          <w:bCs/>
          <w:sz w:val="24"/>
          <w:szCs w:val="24"/>
        </w:rPr>
        <w:t>Introduction:</w:t>
      </w:r>
    </w:p>
    <w:p w14:paraId="4ACA3DCA" w14:textId="73F8A609" w:rsidR="00BA5E15" w:rsidRPr="00C340FB" w:rsidRDefault="007C17A5" w:rsidP="00BA5E15">
      <w:pPr>
        <w:rPr>
          <w:sz w:val="24"/>
          <w:szCs w:val="24"/>
        </w:rPr>
      </w:pPr>
      <w:r w:rsidRPr="00C340FB">
        <w:rPr>
          <w:sz w:val="24"/>
          <w:szCs w:val="24"/>
        </w:rPr>
        <w:lastRenderedPageBreak/>
        <w:t xml:space="preserve">The emergence of coronavirus disease 2019 (COVID-19) in late 2019 resulted in devastating consequences, causing a surge in morbidity and mortality rates. This highly infectious and contagious virus, belonging to the </w:t>
      </w:r>
      <w:proofErr w:type="spellStart"/>
      <w:r w:rsidRPr="00C340FB">
        <w:rPr>
          <w:sz w:val="24"/>
          <w:szCs w:val="24"/>
        </w:rPr>
        <w:t>Coronaviridae</w:t>
      </w:r>
      <w:proofErr w:type="spellEnd"/>
      <w:r w:rsidRPr="00C340FB">
        <w:rPr>
          <w:sz w:val="24"/>
          <w:szCs w:val="24"/>
        </w:rPr>
        <w:t xml:space="preserve"> family, has rapidly spread to every corner of the world, posing significant challenges to economies and healthcare systems worldwide (1,2)</w:t>
      </w:r>
      <w:r w:rsidR="00BA5E15" w:rsidRPr="00C340FB">
        <w:rPr>
          <w:sz w:val="24"/>
          <w:szCs w:val="24"/>
        </w:rPr>
        <w:t>. In March 2020, Saudi Arabia confirmed its first COVID-19 case in an adult Saudi national (3). In response, the Saudi Ministry of Health ramped up preparations and precautions to control the outbreak and meet the medical needs of affected individuals. Over 25 hospitals with a total of 8,800 beds, including 8,000 ICU beds, and 2,200 isolation beds for suspected and quarantined cases were dedicated to providing care</w:t>
      </w:r>
      <w:r w:rsidR="00F74EEE" w:rsidRPr="00C340FB">
        <w:rPr>
          <w:sz w:val="24"/>
          <w:szCs w:val="24"/>
        </w:rPr>
        <w:t xml:space="preserve"> and the guidelines for the treatment</w:t>
      </w:r>
      <w:r w:rsidR="00BA5E15" w:rsidRPr="00C340FB">
        <w:rPr>
          <w:sz w:val="24"/>
          <w:szCs w:val="24"/>
        </w:rPr>
        <w:t xml:space="preserve"> during the pandemic (4</w:t>
      </w:r>
      <w:r w:rsidR="00F74EEE" w:rsidRPr="00C340FB">
        <w:rPr>
          <w:sz w:val="24"/>
          <w:szCs w:val="24"/>
        </w:rPr>
        <w:t>,5</w:t>
      </w:r>
      <w:r w:rsidR="00BA5E15" w:rsidRPr="00C340FB">
        <w:rPr>
          <w:sz w:val="24"/>
          <w:szCs w:val="24"/>
        </w:rPr>
        <w:t>). This substantial effort was crucial in managing the anticipated influx of infected patients.</w:t>
      </w:r>
    </w:p>
    <w:p w14:paraId="4EF5D93E" w14:textId="24E7DD5F" w:rsidR="008A5D47" w:rsidRPr="00C340FB" w:rsidRDefault="007C76D4" w:rsidP="008A5D47">
      <w:pPr>
        <w:rPr>
          <w:sz w:val="24"/>
          <w:szCs w:val="24"/>
        </w:rPr>
      </w:pPr>
      <w:r w:rsidRPr="00C340FB">
        <w:rPr>
          <w:sz w:val="24"/>
          <w:szCs w:val="24"/>
        </w:rPr>
        <w:t>The disease exhibits flu-like symptoms such as fever, cough, myalgia, and gastrointestinal problems (</w:t>
      </w:r>
      <w:r w:rsidR="00F74EEE" w:rsidRPr="00C340FB">
        <w:rPr>
          <w:sz w:val="24"/>
          <w:szCs w:val="24"/>
        </w:rPr>
        <w:t>6</w:t>
      </w:r>
      <w:r w:rsidRPr="00C340FB">
        <w:rPr>
          <w:sz w:val="24"/>
          <w:szCs w:val="24"/>
        </w:rPr>
        <w:t>). While the majority of cases are mild, around one-quarter of individuals experience a more severe presentation</w:t>
      </w:r>
      <w:r w:rsidR="004544F9" w:rsidRPr="00C340FB">
        <w:rPr>
          <w:sz w:val="24"/>
          <w:szCs w:val="24"/>
        </w:rPr>
        <w:t xml:space="preserve"> may progress to acute respiratory distress syndrome (ARDS)</w:t>
      </w:r>
      <w:r w:rsidRPr="00C340FB">
        <w:rPr>
          <w:sz w:val="24"/>
          <w:szCs w:val="24"/>
        </w:rPr>
        <w:t>, and about 5% reach a critical condition (</w:t>
      </w:r>
      <w:r w:rsidR="00F74EEE" w:rsidRPr="00C340FB">
        <w:rPr>
          <w:sz w:val="24"/>
          <w:szCs w:val="24"/>
        </w:rPr>
        <w:t>7</w:t>
      </w:r>
      <w:r w:rsidRPr="00C340FB">
        <w:rPr>
          <w:sz w:val="24"/>
          <w:szCs w:val="24"/>
        </w:rPr>
        <w:t>). Critically ill COVID-19 patients encounter distinctive challenges, including acute respiratory failure with resistance hypoxemia, coagulopathy, multi system failure, and changes in immunity and inflammatory responses. Due to these complex and multifaceted complications, managing these patients demands careful and attentive care (</w:t>
      </w:r>
      <w:r w:rsidR="00F74EEE" w:rsidRPr="00C340FB">
        <w:rPr>
          <w:sz w:val="24"/>
          <w:szCs w:val="24"/>
        </w:rPr>
        <w:t>8</w:t>
      </w:r>
      <w:r w:rsidRPr="00C340FB">
        <w:rPr>
          <w:sz w:val="24"/>
          <w:szCs w:val="24"/>
        </w:rPr>
        <w:t>).</w:t>
      </w:r>
    </w:p>
    <w:p w14:paraId="3DBDEE8C" w14:textId="42FDB455" w:rsidR="004544F9" w:rsidRPr="00C340FB" w:rsidRDefault="008A5D47" w:rsidP="008A5D47">
      <w:pPr>
        <w:rPr>
          <w:sz w:val="24"/>
          <w:szCs w:val="24"/>
        </w:rPr>
      </w:pPr>
      <w:r w:rsidRPr="00C340FB">
        <w:rPr>
          <w:sz w:val="24"/>
          <w:szCs w:val="24"/>
        </w:rPr>
        <w:t>The critical care management of these patients in the ICU involves the implementation of generic measures and evidence-based medicine guidelines, including invasive mechanical ventilation (MV) (9). The mortality rates in ARDS, which arise from mixed etiologies, are influenced by several factors, such as patients' co-morbidities, age, severity of hypoxemia, and the presence of co-existing organ failures (10).</w:t>
      </w:r>
    </w:p>
    <w:p w14:paraId="2C2DFF07" w14:textId="0D1063E1" w:rsidR="00BA5E15" w:rsidRPr="00C340FB" w:rsidRDefault="00D74145" w:rsidP="00D74145">
      <w:pPr>
        <w:rPr>
          <w:sz w:val="24"/>
          <w:szCs w:val="24"/>
        </w:rPr>
      </w:pPr>
      <w:r w:rsidRPr="00C340FB">
        <w:rPr>
          <w:sz w:val="24"/>
          <w:szCs w:val="24"/>
        </w:rPr>
        <w:t>While various studies have explored the clinical characteristics of ICU patients in Saudi Arabia, there remains a limited amount of research specifically centered on those who needed mechanical ventilation. This paper aims to fill this gap by providing insights into the characteristics and management of critically ill COVID-19 patients admitted to ICUs, focusing on those requiring mechanical ventilation. Additionally, we investigate factors associated with patient survival in this subgroup.</w:t>
      </w:r>
    </w:p>
    <w:p w14:paraId="32964262" w14:textId="3AE1D2ED" w:rsidR="000547F1" w:rsidRPr="00C340FB" w:rsidRDefault="000547F1" w:rsidP="000547F1">
      <w:pPr>
        <w:rPr>
          <w:b/>
          <w:bCs/>
          <w:sz w:val="24"/>
          <w:szCs w:val="24"/>
        </w:rPr>
      </w:pPr>
      <w:r w:rsidRPr="00C340FB">
        <w:rPr>
          <w:b/>
          <w:bCs/>
          <w:sz w:val="24"/>
          <w:szCs w:val="24"/>
        </w:rPr>
        <w:t>Methods</w:t>
      </w:r>
    </w:p>
    <w:p w14:paraId="195FE4FB" w14:textId="77777777" w:rsidR="00767EBE" w:rsidRPr="00C340FB" w:rsidRDefault="00767EBE" w:rsidP="00767EBE">
      <w:pPr>
        <w:jc w:val="both"/>
        <w:rPr>
          <w:b/>
          <w:bCs/>
          <w:sz w:val="24"/>
          <w:szCs w:val="24"/>
        </w:rPr>
      </w:pPr>
      <w:r w:rsidRPr="00767EBE">
        <w:rPr>
          <w:sz w:val="24"/>
          <w:szCs w:val="24"/>
          <w:highlight w:val="yellow"/>
        </w:rPr>
        <w:t xml:space="preserve">Our study delved into COVID-19 ICU admissions at Aseer Central Hospital (ACH) in the southern region of Saudi Arabia. Using a retrospective, noninterventional approach, we reviewed charts and data of all COVID-19-infected patients who were admitted to the ICU, particularly those requiring ventilation support. our study comprised a sample size of 594 patients meeting the inclusion criteria of hospitalized patients aged 18 years and above, </w:t>
      </w:r>
      <w:r w:rsidRPr="00767EBE">
        <w:rPr>
          <w:sz w:val="24"/>
          <w:szCs w:val="24"/>
          <w:highlight w:val="yellow"/>
        </w:rPr>
        <w:lastRenderedPageBreak/>
        <w:t>diagnosed by positive real-time polymerase chain reaction tests for SARS-CoV-2. The data analysis spanned from August 2020 to April 2021.</w:t>
      </w:r>
    </w:p>
    <w:p w14:paraId="0C7F82FA" w14:textId="6364FED9" w:rsidR="008E34B6" w:rsidRPr="00C340FB" w:rsidRDefault="008E34B6" w:rsidP="00B93E09">
      <w:pPr>
        <w:rPr>
          <w:sz w:val="24"/>
          <w:szCs w:val="24"/>
        </w:rPr>
      </w:pPr>
      <w:r w:rsidRPr="00C340FB">
        <w:rPr>
          <w:sz w:val="24"/>
          <w:szCs w:val="24"/>
        </w:rPr>
        <w:t>The study encompassed various variables, and we meticulously collected and organized data pertaining to the patients' demographics. This included information on age, gender, nationality, and the presence of comorbidities. Additionally, we focused on the ICU profile, which encompassed ICU-based interventions. Our primary outcome of interest was the study of patient mortality</w:t>
      </w:r>
      <w:r w:rsidR="00C95FDF" w:rsidRPr="00C340FB">
        <w:rPr>
          <w:sz w:val="24"/>
          <w:szCs w:val="24"/>
        </w:rPr>
        <w:t xml:space="preserve"> and blood group type association</w:t>
      </w:r>
      <w:r w:rsidRPr="00C340FB">
        <w:rPr>
          <w:sz w:val="24"/>
          <w:szCs w:val="24"/>
        </w:rPr>
        <w:t>.</w:t>
      </w:r>
      <w:r w:rsidR="00B93E09" w:rsidRPr="00C340FB">
        <w:rPr>
          <w:sz w:val="24"/>
          <w:szCs w:val="24"/>
        </w:rPr>
        <w:t xml:space="preserve"> This study obtained approval from the Institutional Review Board in Aseer Central Hospital and research committee.</w:t>
      </w:r>
    </w:p>
    <w:p w14:paraId="04CA1C1F" w14:textId="77777777" w:rsidR="00514561" w:rsidRPr="00C340FB" w:rsidRDefault="00514561" w:rsidP="00514561">
      <w:pPr>
        <w:rPr>
          <w:b/>
          <w:bCs/>
          <w:sz w:val="24"/>
          <w:szCs w:val="24"/>
        </w:rPr>
      </w:pPr>
      <w:r w:rsidRPr="00C340FB">
        <w:rPr>
          <w:b/>
          <w:bCs/>
          <w:sz w:val="24"/>
          <w:szCs w:val="24"/>
        </w:rPr>
        <w:t>Data analysis</w:t>
      </w:r>
    </w:p>
    <w:p w14:paraId="7F34D523" w14:textId="74E2D44D" w:rsidR="008E34B6" w:rsidRPr="00C340FB" w:rsidRDefault="00514561" w:rsidP="00514561">
      <w:pPr>
        <w:rPr>
          <w:sz w:val="24"/>
          <w:szCs w:val="24"/>
        </w:rPr>
      </w:pPr>
      <w:r w:rsidRPr="00C340FB">
        <w:rPr>
          <w:sz w:val="24"/>
          <w:szCs w:val="24"/>
        </w:rPr>
        <w:t>After extracting the data, it underwent revision, coding, and was then entered into the statistical software IBM SPSS version 26 (SPSS, Inc. Chicago, IL). Two-tailed tests were used for all statistical analyses, considering a p-value less than 0.05 as statistically significant. Descriptive statistics, including mean with standard deviation, were utilized for scale and continuous variables such as laboratory findings, while frequency and percentages were used for categorical variables like personal data and blood group. To assess factors associated with mortality among COVID-19 patients, cross-tabulation was employed. Additionally, the relationship with mortality was analyzed using Chi-square and exact tests, the latter being suitable for small sample sizes. Logistic regression analysis was applied to determine the magnitude of the relationship between blood group, Rh factor, and patients' mortality rate. Mortality rates, co-morbidities, medication usage, culture findings, and other relevant variables were presented graphically for a comprehensive understanding.</w:t>
      </w:r>
    </w:p>
    <w:p w14:paraId="195F91B1" w14:textId="03C5A3B5" w:rsidR="000547F1" w:rsidRPr="00C340FB" w:rsidRDefault="000547F1" w:rsidP="000547F1">
      <w:pPr>
        <w:rPr>
          <w:b/>
          <w:bCs/>
          <w:sz w:val="24"/>
          <w:szCs w:val="24"/>
        </w:rPr>
      </w:pPr>
      <w:r w:rsidRPr="00C340FB">
        <w:rPr>
          <w:b/>
          <w:bCs/>
          <w:sz w:val="24"/>
          <w:szCs w:val="24"/>
        </w:rPr>
        <w:t xml:space="preserve">Results </w:t>
      </w:r>
    </w:p>
    <w:p w14:paraId="36FCCC78" w14:textId="4BB6B70E" w:rsidR="000547F1" w:rsidRPr="00C340FB" w:rsidRDefault="00750BEF" w:rsidP="000547F1">
      <w:pPr>
        <w:rPr>
          <w:sz w:val="24"/>
          <w:szCs w:val="24"/>
        </w:rPr>
      </w:pPr>
      <w:r w:rsidRPr="00C340FB">
        <w:rPr>
          <w:sz w:val="24"/>
          <w:szCs w:val="24"/>
        </w:rPr>
        <w:t xml:space="preserve">This study included 594 COVID patients admitted to Aseer Central Hospital (ACH) ICU. The patients' ages ranged from 18 to 103 years, </w:t>
      </w:r>
      <w:bookmarkStart w:id="0" w:name="_Hlk142249244"/>
      <w:r w:rsidRPr="00C340FB">
        <w:rPr>
          <w:sz w:val="24"/>
          <w:szCs w:val="24"/>
        </w:rPr>
        <w:t>with a mean age of 60.5 ± 17.3 years. Among them, 398 (67%) were males,</w:t>
      </w:r>
      <w:bookmarkEnd w:id="0"/>
      <w:r w:rsidRPr="00C340FB">
        <w:rPr>
          <w:sz w:val="24"/>
          <w:szCs w:val="24"/>
        </w:rPr>
        <w:t xml:space="preserve"> and only 5 (0.8%) were smokers</w:t>
      </w:r>
      <w:r w:rsidR="00830780" w:rsidRPr="00C340FB">
        <w:rPr>
          <w:sz w:val="24"/>
          <w:szCs w:val="24"/>
        </w:rPr>
        <w:t xml:space="preserve"> </w:t>
      </w:r>
      <w:r w:rsidRPr="00C340FB">
        <w:rPr>
          <w:sz w:val="24"/>
          <w:szCs w:val="24"/>
        </w:rPr>
        <w:t>(Table 1).</w:t>
      </w:r>
    </w:p>
    <w:p w14:paraId="11EDB193" w14:textId="3C2E55E2" w:rsidR="00750BEF" w:rsidRPr="00C340FB" w:rsidRDefault="00750BEF" w:rsidP="000547F1">
      <w:pPr>
        <w:rPr>
          <w:sz w:val="24"/>
          <w:szCs w:val="24"/>
        </w:rPr>
      </w:pPr>
      <w:r w:rsidRPr="00C340FB">
        <w:rPr>
          <w:sz w:val="24"/>
          <w:szCs w:val="24"/>
        </w:rPr>
        <w:t>Figure 1 displays the prevalence of chronic diseases among COVID patients admitted to the ICU at Aseer Central Hospital (ACH), Saudi Arabia. The most commonly reported chronic health issues in this study included diabetes mellitus (35.5%), dyslipidemia (13%), gastrointestinal diseases (5.1%), chronic kidney disease (5.1%), bronchial asthma (3.9%), and hypothyroidism (3.5%).</w:t>
      </w:r>
    </w:p>
    <w:p w14:paraId="6BD5E96D" w14:textId="12D296A5" w:rsidR="00750BEF" w:rsidRPr="00C340FB" w:rsidRDefault="00750BEF" w:rsidP="00750BEF">
      <w:pPr>
        <w:rPr>
          <w:sz w:val="24"/>
          <w:szCs w:val="24"/>
        </w:rPr>
      </w:pPr>
      <w:r w:rsidRPr="00C340FB">
        <w:rPr>
          <w:sz w:val="24"/>
          <w:szCs w:val="24"/>
        </w:rPr>
        <w:t xml:space="preserve">Figure 2 illustrates the medications administered to COVID patients admitted to the ICU. Upon admission, 95.3% received antibiotics, 87.4% were prescribed anticoagulants, 78.3% received steroids, 75.3% were given antiviral drugs, and 55.4% received analgesics. Monoclonal antibodies (MABS) were administered to 20.4% of patients, and 14.5% received antiplatelet medication. The average laboratory findings of COVID </w:t>
      </w:r>
      <w:r w:rsidRPr="00C340FB">
        <w:rPr>
          <w:sz w:val="24"/>
          <w:szCs w:val="24"/>
        </w:rPr>
        <w:lastRenderedPageBreak/>
        <w:t>patients admitted to Aseer Central Hospital (ACH) ICU are displayed. The blood glucose level (BGL) was recorded as 276.7 ± 12.1 mg/dl, creatinine as 2.6 ± 1.9 g/dl, erythrocyte sedimentation rate (ESR) as 62.8 ± 35.6, and C-reactive protein (CRP) as 60.4 ± 62.9 (Table 2).</w:t>
      </w:r>
      <w:r w:rsidR="00BA7C17" w:rsidRPr="00C340FB">
        <w:rPr>
          <w:sz w:val="24"/>
          <w:szCs w:val="24"/>
        </w:rPr>
        <w:t xml:space="preserve"> Regarding chest X-ray findings, tracheostomy tubes were observed in 235 (98.7%) patients, while only 6 (2.5%) displayed signs of consolidation.</w:t>
      </w:r>
    </w:p>
    <w:p w14:paraId="1DCFAC53" w14:textId="2B9676E4" w:rsidR="00BA7C17" w:rsidRPr="00C340FB" w:rsidRDefault="00BA7C17" w:rsidP="00BA7C17">
      <w:pPr>
        <w:rPr>
          <w:sz w:val="24"/>
          <w:szCs w:val="24"/>
        </w:rPr>
      </w:pPr>
      <w:r w:rsidRPr="00C340FB">
        <w:rPr>
          <w:sz w:val="24"/>
          <w:szCs w:val="24"/>
        </w:rPr>
        <w:t xml:space="preserve">Almost 340 (57.2%) had positive culture findings. The most commonly isolated microorganisms included Klebsiella pneumoniae (45.5%), Acinetobacter (20.2%), Staphylococcus epidermidis (13.8%), Pseudomonas aeruginosa (6.2%), MSSA (5.6%), Staphylococcus </w:t>
      </w:r>
      <w:proofErr w:type="spellStart"/>
      <w:r w:rsidRPr="00C340FB">
        <w:rPr>
          <w:sz w:val="24"/>
          <w:szCs w:val="24"/>
        </w:rPr>
        <w:t>haemolyticus</w:t>
      </w:r>
      <w:proofErr w:type="spellEnd"/>
      <w:r w:rsidRPr="00C340FB">
        <w:rPr>
          <w:sz w:val="24"/>
          <w:szCs w:val="24"/>
        </w:rPr>
        <w:t xml:space="preserve"> (4.7%), and Enterococcus faecium (4.7%) (Figure 3</w:t>
      </w:r>
      <w:r w:rsidR="003E5E3F" w:rsidRPr="00C340FB">
        <w:rPr>
          <w:sz w:val="24"/>
          <w:szCs w:val="24"/>
        </w:rPr>
        <w:t>). Among</w:t>
      </w:r>
      <w:r w:rsidRPr="00C340FB">
        <w:rPr>
          <w:sz w:val="24"/>
          <w:szCs w:val="24"/>
        </w:rPr>
        <w:t xml:space="preserve"> the patients, 320 (54.6%) died, while 266 (45.4%) survived (Figure 4), </w:t>
      </w:r>
    </w:p>
    <w:p w14:paraId="58931554" w14:textId="6CE7F045" w:rsidR="00BA7C17" w:rsidRPr="00C340FB" w:rsidRDefault="00BA7C17" w:rsidP="001F3178">
      <w:pPr>
        <w:rPr>
          <w:sz w:val="24"/>
          <w:szCs w:val="24"/>
        </w:rPr>
      </w:pPr>
      <w:bookmarkStart w:id="1" w:name="_Hlk143005137"/>
      <w:r w:rsidRPr="00C340FB">
        <w:rPr>
          <w:sz w:val="24"/>
          <w:szCs w:val="24"/>
        </w:rPr>
        <w:t xml:space="preserve">In this study, a significant correlation was found between age and mortality, with 75% of patients aged 70 years or more succumbing to the disease compared to 22.5% of those under 40 years (P=.001). Patients with positive culture results also had a higher mortality rate of 67.4% compared to 37.7% for those with negative culture findings (P=.001), Other factors examined did not show significant relations with COVID patients' mortality (Table 3). </w:t>
      </w:r>
      <w:bookmarkEnd w:id="1"/>
    </w:p>
    <w:p w14:paraId="1B9AB370" w14:textId="2ED9927F" w:rsidR="000547F1" w:rsidRPr="00C340FB" w:rsidRDefault="000547F1" w:rsidP="000547F1">
      <w:pPr>
        <w:rPr>
          <w:b/>
          <w:bCs/>
          <w:sz w:val="24"/>
          <w:szCs w:val="24"/>
        </w:rPr>
      </w:pPr>
      <w:r w:rsidRPr="00C340FB">
        <w:rPr>
          <w:b/>
          <w:bCs/>
          <w:sz w:val="24"/>
          <w:szCs w:val="24"/>
        </w:rPr>
        <w:t xml:space="preserve">Discussion </w:t>
      </w:r>
    </w:p>
    <w:p w14:paraId="32A5707A" w14:textId="6963B49A" w:rsidR="000547F1" w:rsidRPr="00C340FB" w:rsidRDefault="00B73B8D" w:rsidP="00B73B8D">
      <w:pPr>
        <w:rPr>
          <w:sz w:val="24"/>
          <w:szCs w:val="24"/>
        </w:rPr>
      </w:pPr>
      <w:r w:rsidRPr="00C340FB">
        <w:rPr>
          <w:sz w:val="24"/>
          <w:szCs w:val="24"/>
        </w:rPr>
        <w:t xml:space="preserve">ICU admission is necessary for up to 25% of hospitalized COVID-19 patients. Identifying high-risk individuals is crucial to reduce mortality and enhance clinical outcomes in severe cases (11,12,13). </w:t>
      </w:r>
      <w:r w:rsidR="00DE082C" w:rsidRPr="00C340FB">
        <w:rPr>
          <w:sz w:val="24"/>
          <w:szCs w:val="24"/>
        </w:rPr>
        <w:t xml:space="preserve">This paper </w:t>
      </w:r>
      <w:r w:rsidR="009A0141" w:rsidRPr="00C340FB">
        <w:rPr>
          <w:sz w:val="24"/>
          <w:szCs w:val="24"/>
        </w:rPr>
        <w:t xml:space="preserve">aim to </w:t>
      </w:r>
      <w:r w:rsidR="007F30E0" w:rsidRPr="00C340FB">
        <w:rPr>
          <w:sz w:val="24"/>
          <w:szCs w:val="24"/>
        </w:rPr>
        <w:t>provide</w:t>
      </w:r>
      <w:r w:rsidR="00DE082C" w:rsidRPr="00C340FB">
        <w:rPr>
          <w:sz w:val="24"/>
          <w:szCs w:val="24"/>
        </w:rPr>
        <w:t xml:space="preserve"> insights into the characteristics and management of critically ill COVID-19 patients admitted to ICU, particularly those needing mechanical ventilation. Additionally, the study investigates factors associated with patient survival within this specific subgroup. </w:t>
      </w:r>
    </w:p>
    <w:p w14:paraId="36D7C23A" w14:textId="5E88A0E8" w:rsidR="00206474" w:rsidRPr="00C340FB" w:rsidRDefault="00B73B8D" w:rsidP="001C1ED8">
      <w:pPr>
        <w:rPr>
          <w:sz w:val="24"/>
          <w:szCs w:val="24"/>
        </w:rPr>
      </w:pPr>
      <w:r w:rsidRPr="00C340FB">
        <w:rPr>
          <w:sz w:val="24"/>
          <w:szCs w:val="24"/>
        </w:rPr>
        <w:t xml:space="preserve">In line with other </w:t>
      </w:r>
      <w:r w:rsidR="00150BC6" w:rsidRPr="00C340FB">
        <w:rPr>
          <w:sz w:val="24"/>
          <w:szCs w:val="24"/>
        </w:rPr>
        <w:t>published</w:t>
      </w:r>
      <w:r w:rsidRPr="00C340FB">
        <w:rPr>
          <w:sz w:val="24"/>
          <w:szCs w:val="24"/>
        </w:rPr>
        <w:t xml:space="preserve"> studies, two third of our study papulation were male, as observed in other national and international reports (</w:t>
      </w:r>
      <w:r w:rsidR="00150BC6" w:rsidRPr="00C340FB">
        <w:rPr>
          <w:sz w:val="24"/>
          <w:szCs w:val="24"/>
        </w:rPr>
        <w:t xml:space="preserve">14,15,16). </w:t>
      </w:r>
      <w:r w:rsidR="007F30E0" w:rsidRPr="00C340FB">
        <w:rPr>
          <w:sz w:val="24"/>
          <w:szCs w:val="24"/>
        </w:rPr>
        <w:t>Over 50% of our ICU-admitted COVID-19 patients are aged 60 years or older, consistent with findings from both local and international studies. Older patients tend to experience more severe disease and complications, which can be attributed to factors such as the presence of multiple comorbidities, lower immunity, and an increased risk for complications. Understanding these risks is essential for providing targeted care and improving outcomes for this vulnerable population (14,17,18,19)</w:t>
      </w:r>
      <w:r w:rsidR="002F24BA" w:rsidRPr="00C340FB">
        <w:rPr>
          <w:sz w:val="24"/>
          <w:szCs w:val="24"/>
        </w:rPr>
        <w:t>.</w:t>
      </w:r>
    </w:p>
    <w:p w14:paraId="7249903D" w14:textId="3A91D097" w:rsidR="00206474" w:rsidRPr="00C340FB" w:rsidRDefault="00206474" w:rsidP="001C1ED8">
      <w:pPr>
        <w:rPr>
          <w:sz w:val="24"/>
          <w:szCs w:val="24"/>
        </w:rPr>
      </w:pPr>
      <w:r w:rsidRPr="00C340FB">
        <w:rPr>
          <w:sz w:val="24"/>
          <w:szCs w:val="24"/>
        </w:rPr>
        <w:t>Undoubtedly, the presence of comorbidities is recognized to complicate the severity and mortality of COVID infections (11</w:t>
      </w:r>
      <w:r w:rsidR="00940CE0" w:rsidRPr="00C340FB">
        <w:rPr>
          <w:sz w:val="24"/>
          <w:szCs w:val="24"/>
        </w:rPr>
        <w:t>,20</w:t>
      </w:r>
      <w:r w:rsidRPr="00C340FB">
        <w:rPr>
          <w:sz w:val="24"/>
          <w:szCs w:val="24"/>
        </w:rPr>
        <w:t>). The escalating prevalence of diabetes mellitus (DM) presents a major public health challenge, leading to considerable long-term morbidity and mortality. A Gulf region study underscored Saudi Arabia's record for the highest diabetes-related deaths in general (2</w:t>
      </w:r>
      <w:r w:rsidR="00940CE0" w:rsidRPr="00C340FB">
        <w:rPr>
          <w:sz w:val="24"/>
          <w:szCs w:val="24"/>
        </w:rPr>
        <w:t>1</w:t>
      </w:r>
      <w:r w:rsidRPr="00C340FB">
        <w:rPr>
          <w:sz w:val="24"/>
          <w:szCs w:val="24"/>
        </w:rPr>
        <w:t xml:space="preserve">). </w:t>
      </w:r>
      <w:r w:rsidR="00940CE0" w:rsidRPr="00C340FB">
        <w:rPr>
          <w:sz w:val="24"/>
          <w:szCs w:val="24"/>
        </w:rPr>
        <w:t xml:space="preserve">This study revealed that more than one-third of patients had a diagnosis of DM, aligning with evidence indicating that nearly half of Saudi individuals aged over 55 have DM2. This pattern is consistent with our patient </w:t>
      </w:r>
      <w:r w:rsidR="00940CE0" w:rsidRPr="00C340FB">
        <w:rPr>
          <w:sz w:val="24"/>
          <w:szCs w:val="24"/>
        </w:rPr>
        <w:lastRenderedPageBreak/>
        <w:t xml:space="preserve">age group (22). Notably, our DM prevalence was higher than a study in </w:t>
      </w:r>
      <w:proofErr w:type="spellStart"/>
      <w:r w:rsidR="00940CE0" w:rsidRPr="00C340FB">
        <w:rPr>
          <w:sz w:val="24"/>
          <w:szCs w:val="24"/>
        </w:rPr>
        <w:t>Alahsa</w:t>
      </w:r>
      <w:proofErr w:type="spellEnd"/>
      <w:r w:rsidR="00940CE0" w:rsidRPr="00C340FB">
        <w:rPr>
          <w:sz w:val="24"/>
          <w:szCs w:val="24"/>
        </w:rPr>
        <w:t xml:space="preserve"> (14), which found around 20% DM prevalence in COVID patients, although some were not in the ICU. Additionally, another cohort study on COVID patients indicated that almost half had DM (17).</w:t>
      </w:r>
    </w:p>
    <w:p w14:paraId="437C526F" w14:textId="06FC0D05" w:rsidR="00E34654" w:rsidRPr="00C340FB" w:rsidRDefault="00011622" w:rsidP="001C1ED8">
      <w:pPr>
        <w:rPr>
          <w:sz w:val="24"/>
          <w:szCs w:val="24"/>
        </w:rPr>
      </w:pPr>
      <w:r w:rsidRPr="00C340FB">
        <w:rPr>
          <w:sz w:val="24"/>
          <w:szCs w:val="24"/>
        </w:rPr>
        <w:t>Certain studies have investigated the correlation between laboratory parameters and COVID-19. These parameters encompass procalcitonin (PCT), lactic acid, percentage of lymphocytes, D-dimer levels, C-reactive protein (CRP), erythrocyte sedimentation rate (ESR) and serum lactate dehydrogenase (LDH) (23,24).</w:t>
      </w:r>
      <w:r w:rsidR="00CE664D" w:rsidRPr="00C340FB">
        <w:rPr>
          <w:sz w:val="24"/>
          <w:szCs w:val="24"/>
        </w:rPr>
        <w:t xml:space="preserve"> Laboratory assessments of our patients revealed elevated renal profile, hepatic enzymes, and inflammatory markers, particularly ESR and CRP. Such markers have demonstrated a strong association with COVID-19 mortality in previous studies. These results underscore the substantial role of inflammation in the pathophysiology of COVID-19 in critically ill patients. Additionally, our findings propose that CRP might play an independent role in ICU admission (25,</w:t>
      </w:r>
      <w:r w:rsidR="00366433" w:rsidRPr="00C340FB">
        <w:rPr>
          <w:sz w:val="24"/>
          <w:szCs w:val="24"/>
        </w:rPr>
        <w:t xml:space="preserve"> 26, 19, 14).  Administering dexamethasone to moderate to severely hypoxic COVID-19 patients has become standard practice due to improved outcomes. Furthermore, a multicenter study highlighted reduced mortality by combining antibiotics with hydroxychloroquine in COVID-19 cases</w:t>
      </w:r>
      <w:r w:rsidR="00E34654" w:rsidRPr="00C340FB">
        <w:rPr>
          <w:sz w:val="24"/>
          <w:szCs w:val="24"/>
        </w:rPr>
        <w:t xml:space="preserve"> (27,28,29)</w:t>
      </w:r>
      <w:r w:rsidR="00366433" w:rsidRPr="00C340FB">
        <w:rPr>
          <w:sz w:val="24"/>
          <w:szCs w:val="24"/>
        </w:rPr>
        <w:t>. Remarkably, over two-thirds of our studied patients received antibiotics and steroids, adhering to health protocols and local guidelines</w:t>
      </w:r>
      <w:r w:rsidR="00E34654" w:rsidRPr="00C340FB">
        <w:rPr>
          <w:sz w:val="24"/>
          <w:szCs w:val="24"/>
        </w:rPr>
        <w:t xml:space="preserve"> (5).</w:t>
      </w:r>
    </w:p>
    <w:p w14:paraId="44AB9CBB" w14:textId="141E9B23" w:rsidR="00733A93" w:rsidRPr="00C340FB" w:rsidRDefault="00E34654" w:rsidP="00733A93">
      <w:pPr>
        <w:rPr>
          <w:sz w:val="24"/>
          <w:szCs w:val="24"/>
        </w:rPr>
      </w:pPr>
      <w:r w:rsidRPr="00C340FB">
        <w:rPr>
          <w:sz w:val="24"/>
          <w:szCs w:val="24"/>
        </w:rPr>
        <w:t xml:space="preserve">This study revealed </w:t>
      </w:r>
      <w:r w:rsidR="00733A93" w:rsidRPr="00C340FB">
        <w:rPr>
          <w:sz w:val="24"/>
          <w:szCs w:val="24"/>
        </w:rPr>
        <w:t xml:space="preserve">a high rate of mortality in severely COVID patients who admitted to ICU and on mechanical ventilation with </w:t>
      </w:r>
      <w:r w:rsidRPr="00C340FB">
        <w:rPr>
          <w:sz w:val="24"/>
          <w:szCs w:val="24"/>
        </w:rPr>
        <w:t>a noteworthy connection between age and mortality. Additionally, patients with positive culture outcomes experienced an elevated mortality rate.</w:t>
      </w:r>
      <w:r w:rsidR="00733A93" w:rsidRPr="00C340FB">
        <w:rPr>
          <w:sz w:val="24"/>
          <w:szCs w:val="24"/>
        </w:rPr>
        <w:t xml:space="preserve"> This finding aligns with several local studies in Saudi Arabia and a comprehensive analysis involving 178,568 COVID-19 deaths across 16 countries. This broader study indicated an approximately 8-fold higher mortality rate among those aged 55 to 64, and an astonishing more than 62-fold higher incidence rate among those aged 65 or older, in comparison to individuals aged 54 or younger (</w:t>
      </w:r>
      <w:r w:rsidR="001C1ED8" w:rsidRPr="00C340FB">
        <w:rPr>
          <w:sz w:val="24"/>
          <w:szCs w:val="24"/>
        </w:rPr>
        <w:t>16,18,19,24,25,</w:t>
      </w:r>
      <w:r w:rsidR="00733A93" w:rsidRPr="00C340FB">
        <w:rPr>
          <w:sz w:val="24"/>
          <w:szCs w:val="24"/>
        </w:rPr>
        <w:t xml:space="preserve">30). This can be ascribed to </w:t>
      </w:r>
      <w:proofErr w:type="spellStart"/>
      <w:r w:rsidR="00733A93" w:rsidRPr="00C340FB">
        <w:rPr>
          <w:sz w:val="24"/>
          <w:szCs w:val="24"/>
        </w:rPr>
        <w:t>immunosenescence</w:t>
      </w:r>
      <w:proofErr w:type="spellEnd"/>
      <w:r w:rsidR="00733A93" w:rsidRPr="00C340FB">
        <w:rPr>
          <w:sz w:val="24"/>
          <w:szCs w:val="24"/>
        </w:rPr>
        <w:t>, a phenomenon where the performance of innate immune cells in older individuals becomes compromised. This leads to diminished viral clearance efficacy and the commencement of an imbalanced immune response (31)</w:t>
      </w:r>
    </w:p>
    <w:p w14:paraId="5E8E639F" w14:textId="77777777" w:rsidR="00771D7E" w:rsidRDefault="00771D7E" w:rsidP="007A5D10">
      <w:pPr>
        <w:rPr>
          <w:sz w:val="24"/>
          <w:szCs w:val="24"/>
        </w:rPr>
      </w:pPr>
      <w:r w:rsidRPr="00771D7E">
        <w:rPr>
          <w:b/>
          <w:bCs/>
          <w:sz w:val="24"/>
          <w:szCs w:val="24"/>
        </w:rPr>
        <w:t>C</w:t>
      </w:r>
      <w:r w:rsidR="000B12A0" w:rsidRPr="00771D7E">
        <w:rPr>
          <w:b/>
          <w:bCs/>
          <w:sz w:val="24"/>
          <w:szCs w:val="24"/>
        </w:rPr>
        <w:t>onclusion</w:t>
      </w:r>
    </w:p>
    <w:p w14:paraId="18C2BDD1" w14:textId="1488923A" w:rsidR="00171F3A" w:rsidRDefault="000B12A0" w:rsidP="007A5D10">
      <w:pPr>
        <w:rPr>
          <w:sz w:val="24"/>
          <w:szCs w:val="24"/>
        </w:rPr>
      </w:pPr>
      <w:r w:rsidRPr="00C340FB">
        <w:rPr>
          <w:sz w:val="24"/>
          <w:szCs w:val="24"/>
        </w:rPr>
        <w:t xml:space="preserve"> </w:t>
      </w:r>
      <w:r w:rsidR="00771D7E">
        <w:rPr>
          <w:sz w:val="24"/>
          <w:szCs w:val="24"/>
        </w:rPr>
        <w:t>T</w:t>
      </w:r>
      <w:r w:rsidRPr="00C340FB">
        <w:rPr>
          <w:sz w:val="24"/>
          <w:szCs w:val="24"/>
        </w:rPr>
        <w:t>his study provides critical insights into the clinical and epidemiological aspects of COVID-19 patients admitted to the ICU in a Saudi Arabian hospital. The research underscores the impact of age, comorbidities, laboratory markers, and treatment interventions on patient outcomes, emphasizing the significance of tailored management strategies in this context.</w:t>
      </w:r>
    </w:p>
    <w:p w14:paraId="7E82AF1F" w14:textId="77777777" w:rsidR="008E118B" w:rsidRPr="008E118B" w:rsidRDefault="008E118B" w:rsidP="008E118B">
      <w:pPr>
        <w:rPr>
          <w:b/>
          <w:sz w:val="28"/>
        </w:rPr>
      </w:pPr>
      <w:r w:rsidRPr="008E118B">
        <w:rPr>
          <w:b/>
          <w:sz w:val="28"/>
        </w:rPr>
        <w:t xml:space="preserve">Consent </w:t>
      </w:r>
    </w:p>
    <w:p w14:paraId="76853204" w14:textId="77777777" w:rsidR="008E118B" w:rsidRDefault="008E118B" w:rsidP="008E118B">
      <w:r w:rsidRPr="008E118B">
        <w:lastRenderedPageBreak/>
        <w:t>As per international standards or university standards, patient(s) written consent has been collected and preserved by the author(s).</w:t>
      </w:r>
    </w:p>
    <w:p w14:paraId="052479B5" w14:textId="77777777" w:rsidR="00FB5AE1" w:rsidRPr="00FB5AE1" w:rsidRDefault="00FB5AE1" w:rsidP="00FB5AE1">
      <w:pPr>
        <w:outlineLvl w:val="0"/>
        <w:rPr>
          <w:rFonts w:ascii="Arial" w:hAnsi="Arial" w:cs="Arial"/>
          <w:b/>
          <w:sz w:val="20"/>
          <w:szCs w:val="20"/>
        </w:rPr>
      </w:pPr>
      <w:r w:rsidRPr="00FB5AE1">
        <w:rPr>
          <w:rFonts w:ascii="Arial" w:hAnsi="Arial" w:cs="Arial"/>
          <w:b/>
          <w:sz w:val="20"/>
          <w:szCs w:val="20"/>
        </w:rPr>
        <w:t>Disclaimer</w:t>
      </w:r>
    </w:p>
    <w:p w14:paraId="1B6897D0" w14:textId="77777777" w:rsidR="00FB5AE1" w:rsidRDefault="00FB5AE1" w:rsidP="008E118B"/>
    <w:p w14:paraId="60BB546D" w14:textId="79C70E9A" w:rsidR="00FB5AE1" w:rsidRPr="00EE7737" w:rsidRDefault="00FB5AE1" w:rsidP="00FB5AE1">
      <w:pPr>
        <w:rPr>
          <w:rFonts w:ascii="Arial" w:hAnsi="Arial" w:cs="Arial"/>
          <w:sz w:val="20"/>
          <w:szCs w:val="20"/>
        </w:rPr>
      </w:pPr>
      <w:r w:rsidRPr="00EE7737">
        <w:rPr>
          <w:rFonts w:ascii="Arial" w:hAnsi="Arial" w:cs="Arial"/>
          <w:sz w:val="20"/>
          <w:szCs w:val="20"/>
        </w:rPr>
        <w:t xml:space="preserve">This paper is an extended version of a </w:t>
      </w:r>
      <w:r w:rsidRPr="00EE7737">
        <w:rPr>
          <w:rFonts w:ascii="Arial" w:hAnsi="Arial" w:cs="Arial"/>
          <w:color w:val="FF0000"/>
          <w:sz w:val="20"/>
          <w:szCs w:val="20"/>
        </w:rPr>
        <w:t xml:space="preserve">preprint </w:t>
      </w:r>
      <w:r w:rsidRPr="00EE7737">
        <w:rPr>
          <w:rFonts w:ascii="Arial" w:hAnsi="Arial" w:cs="Arial"/>
          <w:sz w:val="20"/>
          <w:szCs w:val="20"/>
        </w:rPr>
        <w:t>document of the same author.</w:t>
      </w:r>
    </w:p>
    <w:p w14:paraId="59B5CCF0" w14:textId="75B2E2DF" w:rsidR="00FB5AE1" w:rsidRDefault="00FB5AE1" w:rsidP="00FB5AE1">
      <w:pPr>
        <w:rPr>
          <w:rFonts w:ascii="Arial" w:hAnsi="Arial" w:cs="Arial"/>
          <w:sz w:val="20"/>
          <w:szCs w:val="20"/>
          <w:highlight w:val="yellow"/>
        </w:rPr>
      </w:pPr>
      <w:r w:rsidRPr="00EE7737">
        <w:rPr>
          <w:rFonts w:ascii="Arial" w:hAnsi="Arial" w:cs="Arial"/>
          <w:sz w:val="20"/>
          <w:szCs w:val="20"/>
        </w:rPr>
        <w:t xml:space="preserve">The </w:t>
      </w:r>
      <w:r w:rsidRPr="00EE7737">
        <w:rPr>
          <w:rFonts w:ascii="Arial" w:hAnsi="Arial" w:cs="Arial"/>
          <w:color w:val="FF0000"/>
          <w:sz w:val="20"/>
          <w:szCs w:val="20"/>
        </w:rPr>
        <w:t xml:space="preserve">preprint </w:t>
      </w:r>
      <w:r w:rsidRPr="00EE7737">
        <w:rPr>
          <w:rFonts w:ascii="Arial" w:hAnsi="Arial" w:cs="Arial"/>
          <w:sz w:val="20"/>
          <w:szCs w:val="20"/>
        </w:rPr>
        <w:t xml:space="preserve">document is available in this link: </w:t>
      </w:r>
      <w:hyperlink r:id="rId7" w:history="1">
        <w:r w:rsidRPr="00C90F8D">
          <w:rPr>
            <w:rStyle w:val="Hyperlink"/>
            <w:rFonts w:ascii="Arial" w:hAnsi="Arial" w:cs="Arial"/>
            <w:sz w:val="20"/>
            <w:szCs w:val="20"/>
          </w:rPr>
          <w:t>https://www.researchgate.net/publication/376524737_Characteristics_Treatment_Outcomes_and_Cause_of_Death_of_Invasively_Ventilated_Patients_with_COVID-19_ARDS_in_Asir_Central_Hospital_A_Retrospective_Single_Center_Experience</w:t>
        </w:r>
      </w:hyperlink>
      <w:r>
        <w:rPr>
          <w:rFonts w:ascii="Arial" w:hAnsi="Arial" w:cs="Arial"/>
          <w:sz w:val="20"/>
          <w:szCs w:val="20"/>
        </w:rPr>
        <w:t xml:space="preserve"> </w:t>
      </w:r>
      <w:r w:rsidRPr="00FB5AE1">
        <w:rPr>
          <w:rFonts w:ascii="Arial" w:hAnsi="Arial" w:cs="Arial"/>
          <w:sz w:val="20"/>
          <w:szCs w:val="20"/>
          <w:highlight w:val="yellow"/>
        </w:rPr>
        <w:t xml:space="preserve"> </w:t>
      </w:r>
      <w:r>
        <w:rPr>
          <w:rFonts w:ascii="Arial" w:hAnsi="Arial" w:cs="Arial"/>
          <w:sz w:val="20"/>
          <w:szCs w:val="20"/>
          <w:highlight w:val="yellow"/>
        </w:rPr>
        <w:t xml:space="preserve"> </w:t>
      </w:r>
    </w:p>
    <w:p w14:paraId="3571855F" w14:textId="0B370B36" w:rsidR="00FB5AE1" w:rsidRPr="00792566" w:rsidRDefault="00FB5AE1" w:rsidP="00FB5AE1">
      <w:pPr>
        <w:rPr>
          <w:rFonts w:ascii="Arial" w:hAnsi="Arial" w:cs="Arial"/>
          <w:sz w:val="18"/>
          <w:szCs w:val="20"/>
        </w:rPr>
      </w:pPr>
      <w:r>
        <w:rPr>
          <w:rFonts w:ascii="Arial" w:hAnsi="Arial" w:cs="Arial"/>
          <w:sz w:val="20"/>
          <w:szCs w:val="20"/>
          <w:highlight w:val="yellow"/>
        </w:rPr>
        <w:br/>
      </w:r>
      <w:r w:rsidRPr="00792566">
        <w:rPr>
          <w:rFonts w:ascii="Arial" w:hAnsi="Arial" w:cs="Arial"/>
          <w:sz w:val="18"/>
          <w:szCs w:val="20"/>
          <w:highlight w:val="yellow"/>
        </w:rPr>
        <w:t xml:space="preserve">[As per journal </w:t>
      </w:r>
      <w:r w:rsidRPr="009F778E">
        <w:rPr>
          <w:rFonts w:ascii="Arial" w:hAnsi="Arial" w:cs="Arial"/>
          <w:sz w:val="18"/>
          <w:szCs w:val="20"/>
          <w:highlight w:val="yellow"/>
        </w:rPr>
        <w:t>policy, preprint article</w:t>
      </w:r>
      <w:r>
        <w:rPr>
          <w:rFonts w:ascii="Arial" w:hAnsi="Arial" w:cs="Arial"/>
          <w:sz w:val="18"/>
          <w:szCs w:val="20"/>
        </w:rPr>
        <w:t xml:space="preserve"> </w:t>
      </w:r>
      <w:r w:rsidRPr="00792566">
        <w:rPr>
          <w:rFonts w:ascii="Arial" w:hAnsi="Arial" w:cs="Arial"/>
          <w:sz w:val="18"/>
          <w:szCs w:val="20"/>
          <w:highlight w:val="yellow"/>
        </w:rPr>
        <w:t>can be published as a journal article, provided it is not published in any other journal]</w:t>
      </w:r>
    </w:p>
    <w:p w14:paraId="666C385E" w14:textId="77777777" w:rsidR="00FB5AE1" w:rsidRPr="008E7B85" w:rsidRDefault="00FB5AE1" w:rsidP="008E118B"/>
    <w:p w14:paraId="31D2C956" w14:textId="77777777" w:rsidR="008E118B" w:rsidRDefault="008E118B" w:rsidP="007A5D10">
      <w:pPr>
        <w:rPr>
          <w:sz w:val="24"/>
          <w:szCs w:val="24"/>
        </w:rPr>
      </w:pPr>
    </w:p>
    <w:p w14:paraId="31FC7554" w14:textId="77777777" w:rsidR="008E118B" w:rsidRPr="00072730" w:rsidRDefault="008E118B" w:rsidP="008E118B">
      <w:pPr>
        <w:rPr>
          <w:b/>
          <w:sz w:val="28"/>
        </w:rPr>
      </w:pPr>
      <w:r w:rsidRPr="008E7B85">
        <w:rPr>
          <w:b/>
          <w:sz w:val="28"/>
        </w:rPr>
        <w:t>Ethical Approval:</w:t>
      </w:r>
    </w:p>
    <w:p w14:paraId="3D2DECEF" w14:textId="77777777" w:rsidR="008E118B" w:rsidRPr="008E7B85" w:rsidRDefault="008E118B" w:rsidP="008E118B">
      <w:r w:rsidRPr="008E7B85">
        <w:t>As per international standard</w:t>
      </w:r>
      <w:r>
        <w:t>s</w:t>
      </w:r>
      <w:r w:rsidRPr="008E7B85">
        <w:t xml:space="preserve"> or university standard</w:t>
      </w:r>
      <w:r>
        <w:t>s</w:t>
      </w:r>
      <w:r w:rsidRPr="008E7B85">
        <w:t xml:space="preserve"> written ethical approval has been collected and preserved by the author(s).</w:t>
      </w:r>
    </w:p>
    <w:p w14:paraId="565E6687" w14:textId="7E90305E" w:rsidR="002C2355" w:rsidRDefault="002C2355" w:rsidP="007A5D10">
      <w:pPr>
        <w:rPr>
          <w:sz w:val="24"/>
          <w:szCs w:val="24"/>
        </w:rPr>
      </w:pPr>
    </w:p>
    <w:p w14:paraId="51BD7869" w14:textId="77777777" w:rsidR="002C2355" w:rsidRPr="005A2099" w:rsidRDefault="002C2355" w:rsidP="002C2355">
      <w:pPr>
        <w:rPr>
          <w:b/>
          <w:sz w:val="28"/>
        </w:rPr>
      </w:pPr>
      <w:r w:rsidRPr="005A2099">
        <w:rPr>
          <w:b/>
          <w:sz w:val="28"/>
        </w:rPr>
        <w:t>Disclaimer (Artificial intelligence)</w:t>
      </w:r>
    </w:p>
    <w:p w14:paraId="6CC12D88" w14:textId="77777777" w:rsidR="002C2355" w:rsidRPr="00767EBE" w:rsidRDefault="002C2355" w:rsidP="002C2355">
      <w:pPr>
        <w:rPr>
          <w:highlight w:val="yellow"/>
        </w:rPr>
      </w:pPr>
      <w:r w:rsidRPr="00767EBE">
        <w:rPr>
          <w:highlight w:val="yellow"/>
        </w:rPr>
        <w:t xml:space="preserve">Option 1: </w:t>
      </w:r>
    </w:p>
    <w:p w14:paraId="49FCAEFF" w14:textId="77777777" w:rsidR="002C2355" w:rsidRDefault="002C2355" w:rsidP="002C2355">
      <w:r w:rsidRPr="00767EBE">
        <w:rPr>
          <w:highlight w:val="yellow"/>
        </w:rPr>
        <w:t xml:space="preserve">Author(s) hereby declare that NO generative AI technologies such as Large Language Models (ChatGPT, COPILOT, </w:t>
      </w:r>
      <w:proofErr w:type="spellStart"/>
      <w:r w:rsidRPr="00767EBE">
        <w:rPr>
          <w:highlight w:val="yellow"/>
        </w:rPr>
        <w:t>etc</w:t>
      </w:r>
      <w:proofErr w:type="spellEnd"/>
      <w:r w:rsidRPr="00767EBE">
        <w:rPr>
          <w:highlight w:val="yellow"/>
        </w:rPr>
        <w:t>) and text-to-image generators have been used during writing or editing of manuscripts.</w:t>
      </w:r>
      <w:r>
        <w:t xml:space="preserve"> </w:t>
      </w:r>
    </w:p>
    <w:p w14:paraId="7C9C727E" w14:textId="77777777" w:rsidR="002C2355" w:rsidRPr="007A5D10" w:rsidRDefault="002C2355" w:rsidP="007A5D10">
      <w:pPr>
        <w:rPr>
          <w:sz w:val="24"/>
          <w:szCs w:val="24"/>
        </w:rPr>
      </w:pPr>
    </w:p>
    <w:p w14:paraId="14AE4648" w14:textId="38965647" w:rsidR="000547F1" w:rsidRPr="00C340FB" w:rsidRDefault="000547F1" w:rsidP="000547F1">
      <w:pPr>
        <w:rPr>
          <w:b/>
          <w:bCs/>
          <w:sz w:val="24"/>
          <w:szCs w:val="24"/>
        </w:rPr>
      </w:pPr>
      <w:r w:rsidRPr="00C340FB">
        <w:rPr>
          <w:b/>
          <w:bCs/>
          <w:sz w:val="24"/>
          <w:szCs w:val="24"/>
        </w:rPr>
        <w:t>References</w:t>
      </w:r>
    </w:p>
    <w:p w14:paraId="3DF2996E" w14:textId="38714702" w:rsidR="000547F1" w:rsidRPr="00C340FB" w:rsidRDefault="007C17A5" w:rsidP="007C17A5">
      <w:pPr>
        <w:pStyle w:val="ListParagraph"/>
        <w:numPr>
          <w:ilvl w:val="0"/>
          <w:numId w:val="1"/>
        </w:numPr>
        <w:rPr>
          <w:sz w:val="24"/>
          <w:szCs w:val="24"/>
        </w:rPr>
      </w:pPr>
      <w:r w:rsidRPr="00C340FB">
        <w:rPr>
          <w:sz w:val="24"/>
          <w:szCs w:val="24"/>
        </w:rPr>
        <w:t xml:space="preserve">Benvenuto D, Giovanetti M, </w:t>
      </w:r>
      <w:proofErr w:type="spellStart"/>
      <w:r w:rsidRPr="00C340FB">
        <w:rPr>
          <w:sz w:val="24"/>
          <w:szCs w:val="24"/>
        </w:rPr>
        <w:t>Ciccozzi</w:t>
      </w:r>
      <w:proofErr w:type="spellEnd"/>
      <w:r w:rsidRPr="00C340FB">
        <w:rPr>
          <w:sz w:val="24"/>
          <w:szCs w:val="24"/>
        </w:rPr>
        <w:t xml:space="preserve"> A, Spoto S, Angeletti S, </w:t>
      </w:r>
      <w:proofErr w:type="spellStart"/>
      <w:r w:rsidRPr="00C340FB">
        <w:rPr>
          <w:sz w:val="24"/>
          <w:szCs w:val="24"/>
        </w:rPr>
        <w:t>Ciccozzi</w:t>
      </w:r>
      <w:proofErr w:type="spellEnd"/>
      <w:r w:rsidRPr="00C340FB">
        <w:rPr>
          <w:sz w:val="24"/>
          <w:szCs w:val="24"/>
        </w:rPr>
        <w:t xml:space="preserve"> M. The 2019-new coronavirus epidemic: evidence for virus evolution. J Med </w:t>
      </w:r>
      <w:proofErr w:type="spellStart"/>
      <w:r w:rsidRPr="00C340FB">
        <w:rPr>
          <w:sz w:val="24"/>
          <w:szCs w:val="24"/>
        </w:rPr>
        <w:t>Virol</w:t>
      </w:r>
      <w:proofErr w:type="spellEnd"/>
      <w:r w:rsidRPr="00C340FB">
        <w:rPr>
          <w:sz w:val="24"/>
          <w:szCs w:val="24"/>
        </w:rPr>
        <w:t>. 2020;92(4):455–459. doi:10.1002/jmv.25688</w:t>
      </w:r>
    </w:p>
    <w:p w14:paraId="4E6D5EDD" w14:textId="3D7A3CA1" w:rsidR="007C17A5" w:rsidRPr="00C340FB" w:rsidRDefault="007C17A5" w:rsidP="007C17A5">
      <w:pPr>
        <w:pStyle w:val="ListParagraph"/>
        <w:numPr>
          <w:ilvl w:val="0"/>
          <w:numId w:val="1"/>
        </w:numPr>
        <w:rPr>
          <w:sz w:val="24"/>
          <w:szCs w:val="24"/>
        </w:rPr>
      </w:pPr>
      <w:r w:rsidRPr="00C340FB">
        <w:rPr>
          <w:sz w:val="24"/>
          <w:szCs w:val="24"/>
        </w:rPr>
        <w:t xml:space="preserve">Lai C, Shih T, Ko W, Tang H, Hsueh P. Severe acute respiratory syndrome coronavirus 2 (SARS-CoV-2) and coronavirus disease-2019 (COVID-19): the epidemic and the challenges. Int J </w:t>
      </w:r>
      <w:proofErr w:type="spellStart"/>
      <w:r w:rsidRPr="00C340FB">
        <w:rPr>
          <w:sz w:val="24"/>
          <w:szCs w:val="24"/>
        </w:rPr>
        <w:t>Antimicrob</w:t>
      </w:r>
      <w:proofErr w:type="spellEnd"/>
      <w:r w:rsidRPr="00C340FB">
        <w:rPr>
          <w:sz w:val="24"/>
          <w:szCs w:val="24"/>
        </w:rPr>
        <w:t xml:space="preserve"> Agents. 2020;55(3):105924. doi:10.1016/j.ijantimicag.2020.105924</w:t>
      </w:r>
    </w:p>
    <w:p w14:paraId="13E398EC" w14:textId="667EFD6C" w:rsidR="00BA5E15" w:rsidRPr="00C340FB" w:rsidRDefault="00BA5E15" w:rsidP="00BA5E15">
      <w:pPr>
        <w:pStyle w:val="ListParagraph"/>
        <w:numPr>
          <w:ilvl w:val="0"/>
          <w:numId w:val="1"/>
        </w:numPr>
        <w:rPr>
          <w:sz w:val="24"/>
          <w:szCs w:val="24"/>
        </w:rPr>
      </w:pPr>
      <w:r w:rsidRPr="00C340FB">
        <w:rPr>
          <w:sz w:val="24"/>
          <w:szCs w:val="24"/>
        </w:rPr>
        <w:t xml:space="preserve">Saudi Ministry of Health. MOH reports first case of Coronavirus infection 2021 [cited 2 January 2021]. https:// www. </w:t>
      </w:r>
      <w:proofErr w:type="spellStart"/>
      <w:r w:rsidRPr="00C340FB">
        <w:rPr>
          <w:sz w:val="24"/>
          <w:szCs w:val="24"/>
        </w:rPr>
        <w:t>moh</w:t>
      </w:r>
      <w:proofErr w:type="spellEnd"/>
      <w:r w:rsidRPr="00C340FB">
        <w:rPr>
          <w:sz w:val="24"/>
          <w:szCs w:val="24"/>
        </w:rPr>
        <w:t xml:space="preserve">. gov. </w:t>
      </w:r>
      <w:proofErr w:type="spellStart"/>
      <w:r w:rsidRPr="00C340FB">
        <w:rPr>
          <w:sz w:val="24"/>
          <w:szCs w:val="24"/>
        </w:rPr>
        <w:t>sa</w:t>
      </w:r>
      <w:proofErr w:type="spellEnd"/>
      <w:r w:rsidRPr="00C340FB">
        <w:rPr>
          <w:sz w:val="24"/>
          <w:szCs w:val="24"/>
        </w:rPr>
        <w:t xml:space="preserve">/ </w:t>
      </w:r>
      <w:proofErr w:type="spellStart"/>
      <w:r w:rsidRPr="00C340FB">
        <w:rPr>
          <w:sz w:val="24"/>
          <w:szCs w:val="24"/>
        </w:rPr>
        <w:t>en</w:t>
      </w:r>
      <w:proofErr w:type="spellEnd"/>
      <w:r w:rsidRPr="00C340FB">
        <w:rPr>
          <w:sz w:val="24"/>
          <w:szCs w:val="24"/>
        </w:rPr>
        <w:t xml:space="preserve">/ Minis try/ Media Center/ News/ Pages/ News-​2020-​03-​02-​002. </w:t>
      </w:r>
      <w:proofErr w:type="spellStart"/>
      <w:r w:rsidRPr="00C340FB">
        <w:rPr>
          <w:sz w:val="24"/>
          <w:szCs w:val="24"/>
        </w:rPr>
        <w:t>aspx</w:t>
      </w:r>
      <w:proofErr w:type="spellEnd"/>
      <w:r w:rsidRPr="00C340FB">
        <w:rPr>
          <w:sz w:val="24"/>
          <w:szCs w:val="24"/>
        </w:rPr>
        <w:t>.</w:t>
      </w:r>
    </w:p>
    <w:p w14:paraId="4267BC7F" w14:textId="1558ABFC" w:rsidR="00BA5E15" w:rsidRPr="00C340FB" w:rsidRDefault="00BA5E15" w:rsidP="00BA5E15">
      <w:pPr>
        <w:pStyle w:val="ListParagraph"/>
        <w:numPr>
          <w:ilvl w:val="0"/>
          <w:numId w:val="1"/>
        </w:numPr>
        <w:rPr>
          <w:sz w:val="24"/>
          <w:szCs w:val="24"/>
        </w:rPr>
      </w:pPr>
      <w:r w:rsidRPr="00C340FB">
        <w:rPr>
          <w:sz w:val="24"/>
          <w:szCs w:val="24"/>
        </w:rPr>
        <w:lastRenderedPageBreak/>
        <w:t xml:space="preserve">Barry M, </w:t>
      </w:r>
      <w:proofErr w:type="spellStart"/>
      <w:r w:rsidRPr="00C340FB">
        <w:rPr>
          <w:sz w:val="24"/>
          <w:szCs w:val="24"/>
        </w:rPr>
        <w:t>Ghonem</w:t>
      </w:r>
      <w:proofErr w:type="spellEnd"/>
      <w:r w:rsidRPr="00C340FB">
        <w:rPr>
          <w:sz w:val="24"/>
          <w:szCs w:val="24"/>
        </w:rPr>
        <w:t xml:space="preserve"> L, </w:t>
      </w:r>
      <w:proofErr w:type="spellStart"/>
      <w:r w:rsidRPr="00C340FB">
        <w:rPr>
          <w:sz w:val="24"/>
          <w:szCs w:val="24"/>
        </w:rPr>
        <w:t>Alsharidi</w:t>
      </w:r>
      <w:proofErr w:type="spellEnd"/>
      <w:r w:rsidRPr="00C340FB">
        <w:rPr>
          <w:sz w:val="24"/>
          <w:szCs w:val="24"/>
        </w:rPr>
        <w:t xml:space="preserve"> A, Alanazi A, Alotaibi NH, Al-Shahrani FS, et al. Coronavirus disease-2019 pandemic in the Kingdom of Saudi Arabia: mitigation measures and hospital preparedness. J Nat Sci Med. 2020;3(3):155. </w:t>
      </w:r>
      <w:hyperlink r:id="rId8" w:history="1">
        <w:r w:rsidRPr="00C340FB">
          <w:rPr>
            <w:rStyle w:val="Hyperlink"/>
            <w:color w:val="auto"/>
            <w:sz w:val="24"/>
            <w:szCs w:val="24"/>
          </w:rPr>
          <w:t>https://doi.org/10.4103/JNSM.JNSM_29_20</w:t>
        </w:r>
      </w:hyperlink>
    </w:p>
    <w:p w14:paraId="44D3D53D" w14:textId="58CF0329" w:rsidR="00F74EEE" w:rsidRPr="00C340FB" w:rsidRDefault="00F74EEE" w:rsidP="00F74EEE">
      <w:pPr>
        <w:pStyle w:val="ListParagraph"/>
        <w:numPr>
          <w:ilvl w:val="0"/>
          <w:numId w:val="1"/>
        </w:numPr>
        <w:rPr>
          <w:sz w:val="24"/>
          <w:szCs w:val="24"/>
        </w:rPr>
      </w:pPr>
      <w:r w:rsidRPr="00C340FB">
        <w:rPr>
          <w:sz w:val="24"/>
          <w:szCs w:val="24"/>
        </w:rPr>
        <w:t xml:space="preserve">Saudi Ministry of Health. ICU Triage, Admission, and Discharge Criteria during the COVID 19 pandemic V2 2020 [cited 30 April 2021]. https:// www. </w:t>
      </w:r>
      <w:proofErr w:type="spellStart"/>
      <w:r w:rsidRPr="00C340FB">
        <w:rPr>
          <w:sz w:val="24"/>
          <w:szCs w:val="24"/>
        </w:rPr>
        <w:t>moh</w:t>
      </w:r>
      <w:proofErr w:type="spellEnd"/>
      <w:r w:rsidRPr="00C340FB">
        <w:rPr>
          <w:sz w:val="24"/>
          <w:szCs w:val="24"/>
        </w:rPr>
        <w:t xml:space="preserve">. gov. </w:t>
      </w:r>
      <w:proofErr w:type="spellStart"/>
      <w:r w:rsidRPr="00C340FB">
        <w:rPr>
          <w:sz w:val="24"/>
          <w:szCs w:val="24"/>
        </w:rPr>
        <w:t>sa</w:t>
      </w:r>
      <w:proofErr w:type="spellEnd"/>
      <w:r w:rsidRPr="00C340FB">
        <w:rPr>
          <w:sz w:val="24"/>
          <w:szCs w:val="24"/>
        </w:rPr>
        <w:t xml:space="preserve">/ Minis try/ Media Center/ </w:t>
      </w:r>
      <w:proofErr w:type="spellStart"/>
      <w:r w:rsidRPr="00C340FB">
        <w:rPr>
          <w:sz w:val="24"/>
          <w:szCs w:val="24"/>
        </w:rPr>
        <w:t>Publi</w:t>
      </w:r>
      <w:proofErr w:type="spellEnd"/>
      <w:r w:rsidRPr="00C340FB">
        <w:rPr>
          <w:sz w:val="24"/>
          <w:szCs w:val="24"/>
        </w:rPr>
        <w:t xml:space="preserve"> </w:t>
      </w:r>
      <w:proofErr w:type="spellStart"/>
      <w:r w:rsidRPr="00C340FB">
        <w:rPr>
          <w:sz w:val="24"/>
          <w:szCs w:val="24"/>
        </w:rPr>
        <w:t>catio</w:t>
      </w:r>
      <w:proofErr w:type="spellEnd"/>
      <w:r w:rsidRPr="00C340FB">
        <w:rPr>
          <w:sz w:val="24"/>
          <w:szCs w:val="24"/>
        </w:rPr>
        <w:t xml:space="preserve"> ns/ </w:t>
      </w:r>
      <w:proofErr w:type="spellStart"/>
      <w:r w:rsidRPr="00C340FB">
        <w:rPr>
          <w:sz w:val="24"/>
          <w:szCs w:val="24"/>
        </w:rPr>
        <w:t>Docum</w:t>
      </w:r>
      <w:proofErr w:type="spellEnd"/>
      <w:r w:rsidRPr="00C340FB">
        <w:rPr>
          <w:sz w:val="24"/>
          <w:szCs w:val="24"/>
        </w:rPr>
        <w:t xml:space="preserve"> ents/ </w:t>
      </w:r>
      <w:proofErr w:type="spellStart"/>
      <w:r w:rsidRPr="00C340FB">
        <w:rPr>
          <w:sz w:val="24"/>
          <w:szCs w:val="24"/>
        </w:rPr>
        <w:t>ICUCrite</w:t>
      </w:r>
      <w:proofErr w:type="spellEnd"/>
      <w:r w:rsidRPr="00C340FB">
        <w:rPr>
          <w:sz w:val="24"/>
          <w:szCs w:val="24"/>
        </w:rPr>
        <w:t xml:space="preserve"> ria-​during. pdf.</w:t>
      </w:r>
    </w:p>
    <w:p w14:paraId="5D5BC5FA" w14:textId="11D2A14C" w:rsidR="000547F1" w:rsidRPr="00C340FB" w:rsidRDefault="007C76D4" w:rsidP="007C76D4">
      <w:pPr>
        <w:pStyle w:val="ListParagraph"/>
        <w:numPr>
          <w:ilvl w:val="0"/>
          <w:numId w:val="1"/>
        </w:numPr>
        <w:rPr>
          <w:sz w:val="24"/>
          <w:szCs w:val="24"/>
        </w:rPr>
      </w:pPr>
      <w:r w:rsidRPr="00C340FB">
        <w:rPr>
          <w:sz w:val="24"/>
          <w:szCs w:val="24"/>
        </w:rPr>
        <w:t xml:space="preserve">Chen N, Zhou M, Dong X, Qu J, Gong F, Han Y, et al. Epidemiological and clinical characteristics of 99 cases of 2019 novel coronavirus pneumonia in Wuhan, China: a descriptive study. Lancet. 2020;395(10223):507-13. </w:t>
      </w:r>
      <w:hyperlink r:id="rId9" w:history="1">
        <w:r w:rsidRPr="00C340FB">
          <w:rPr>
            <w:rStyle w:val="Hyperlink"/>
            <w:color w:val="auto"/>
            <w:sz w:val="24"/>
            <w:szCs w:val="24"/>
          </w:rPr>
          <w:t>https://doi.org/10.1016/S0140-6736(20)30211-7</w:t>
        </w:r>
      </w:hyperlink>
    </w:p>
    <w:p w14:paraId="2A1158E4" w14:textId="5C25F7BC" w:rsidR="007C76D4" w:rsidRPr="00C340FB" w:rsidRDefault="007C76D4" w:rsidP="007C76D4">
      <w:pPr>
        <w:pStyle w:val="ListParagraph"/>
        <w:numPr>
          <w:ilvl w:val="0"/>
          <w:numId w:val="1"/>
        </w:numPr>
        <w:rPr>
          <w:sz w:val="24"/>
          <w:szCs w:val="24"/>
        </w:rPr>
      </w:pPr>
      <w:r w:rsidRPr="005A12C2">
        <w:rPr>
          <w:sz w:val="24"/>
          <w:szCs w:val="24"/>
          <w:lang w:val="de-DE"/>
        </w:rPr>
        <w:t xml:space="preserve">Zhou F, Yu T, Du R, Fan G, Liu Y, Liu Z, et al. </w:t>
      </w:r>
      <w:r w:rsidRPr="00C340FB">
        <w:rPr>
          <w:sz w:val="24"/>
          <w:szCs w:val="24"/>
        </w:rPr>
        <w:t xml:space="preserve">Clinical course and risk factors for mortality of adult inpatients with COVID-19 in Wuhan, China: a retrospective cohort study. Lancet. 2020;395(10229):1054-62. </w:t>
      </w:r>
      <w:hyperlink r:id="rId10" w:history="1">
        <w:r w:rsidRPr="00C340FB">
          <w:rPr>
            <w:rStyle w:val="Hyperlink"/>
            <w:color w:val="auto"/>
            <w:sz w:val="24"/>
            <w:szCs w:val="24"/>
          </w:rPr>
          <w:t>https://doi.org/10.1016/S0140-6736(20)30566-3</w:t>
        </w:r>
      </w:hyperlink>
      <w:r w:rsidRPr="00C340FB">
        <w:rPr>
          <w:sz w:val="24"/>
          <w:szCs w:val="24"/>
        </w:rPr>
        <w:t>.</w:t>
      </w:r>
    </w:p>
    <w:p w14:paraId="2EF26205" w14:textId="229649FE" w:rsidR="007C76D4" w:rsidRPr="00C340FB" w:rsidRDefault="007C76D4" w:rsidP="007C76D4">
      <w:pPr>
        <w:pStyle w:val="ListParagraph"/>
        <w:numPr>
          <w:ilvl w:val="0"/>
          <w:numId w:val="1"/>
        </w:numPr>
        <w:rPr>
          <w:sz w:val="24"/>
          <w:szCs w:val="24"/>
        </w:rPr>
      </w:pPr>
      <w:r w:rsidRPr="00C340FB">
        <w:rPr>
          <w:sz w:val="24"/>
          <w:szCs w:val="24"/>
        </w:rPr>
        <w:t xml:space="preserve">Lillicrap D. Disseminated intravascular coagulation in patients with 2019-nCoV pneumonia. J </w:t>
      </w:r>
      <w:proofErr w:type="spellStart"/>
      <w:r w:rsidRPr="00C340FB">
        <w:rPr>
          <w:sz w:val="24"/>
          <w:szCs w:val="24"/>
        </w:rPr>
        <w:t>Thromb</w:t>
      </w:r>
      <w:proofErr w:type="spellEnd"/>
      <w:r w:rsidRPr="00C340FB">
        <w:rPr>
          <w:sz w:val="24"/>
          <w:szCs w:val="24"/>
        </w:rPr>
        <w:t xml:space="preserve"> </w:t>
      </w:r>
      <w:proofErr w:type="spellStart"/>
      <w:r w:rsidRPr="00C340FB">
        <w:rPr>
          <w:sz w:val="24"/>
          <w:szCs w:val="24"/>
        </w:rPr>
        <w:t>Haemost</w:t>
      </w:r>
      <w:proofErr w:type="spellEnd"/>
      <w:r w:rsidRPr="00C340FB">
        <w:rPr>
          <w:sz w:val="24"/>
          <w:szCs w:val="24"/>
        </w:rPr>
        <w:t xml:space="preserve">. 2020;18(4):786-7. </w:t>
      </w:r>
      <w:hyperlink r:id="rId11" w:history="1">
        <w:r w:rsidRPr="00C340FB">
          <w:rPr>
            <w:rStyle w:val="Hyperlink"/>
            <w:color w:val="auto"/>
            <w:sz w:val="24"/>
            <w:szCs w:val="24"/>
          </w:rPr>
          <w:t>https://doi.org/10.1111/jth.14781</w:t>
        </w:r>
      </w:hyperlink>
      <w:r w:rsidRPr="00C340FB">
        <w:rPr>
          <w:sz w:val="24"/>
          <w:szCs w:val="24"/>
        </w:rPr>
        <w:t>.</w:t>
      </w:r>
    </w:p>
    <w:p w14:paraId="337AE821" w14:textId="5B14D4C8" w:rsidR="007C76D4" w:rsidRPr="00C340FB" w:rsidRDefault="008A5D47" w:rsidP="008A5D47">
      <w:pPr>
        <w:pStyle w:val="ListParagraph"/>
        <w:numPr>
          <w:ilvl w:val="0"/>
          <w:numId w:val="1"/>
        </w:numPr>
        <w:rPr>
          <w:sz w:val="24"/>
          <w:szCs w:val="24"/>
        </w:rPr>
      </w:pPr>
      <w:r w:rsidRPr="00C340FB">
        <w:rPr>
          <w:sz w:val="24"/>
          <w:szCs w:val="24"/>
        </w:rPr>
        <w:t xml:space="preserve">Claesson J, Freundlich M, Gunnarsson I, et al. Scandinavian clinical practice guideline on mechanical ventilation in adults with the acute respiratory distress syndrome. Acta </w:t>
      </w:r>
      <w:proofErr w:type="spellStart"/>
      <w:r w:rsidRPr="00C340FB">
        <w:rPr>
          <w:sz w:val="24"/>
          <w:szCs w:val="24"/>
        </w:rPr>
        <w:t>Anaesthesiol</w:t>
      </w:r>
      <w:proofErr w:type="spellEnd"/>
      <w:r w:rsidRPr="00C340FB">
        <w:rPr>
          <w:sz w:val="24"/>
          <w:szCs w:val="24"/>
        </w:rPr>
        <w:t xml:space="preserve"> Scand. 2015;59:286-297.</w:t>
      </w:r>
    </w:p>
    <w:p w14:paraId="3245E147" w14:textId="603E602B" w:rsidR="008A5D47" w:rsidRPr="00C340FB" w:rsidRDefault="008A5D47" w:rsidP="008A5D47">
      <w:pPr>
        <w:pStyle w:val="ListParagraph"/>
        <w:numPr>
          <w:ilvl w:val="0"/>
          <w:numId w:val="1"/>
        </w:numPr>
        <w:rPr>
          <w:sz w:val="24"/>
          <w:szCs w:val="24"/>
        </w:rPr>
      </w:pPr>
      <w:r w:rsidRPr="00C340FB">
        <w:rPr>
          <w:sz w:val="24"/>
          <w:szCs w:val="24"/>
        </w:rPr>
        <w:t>Murthy S, Gomersall CD, Fowler RA. Care for critically Ill patients with COVID-19. JAMA. 2020;323:1499-1500.https://doi.org/10.1001/jama.2020.3633.</w:t>
      </w:r>
    </w:p>
    <w:p w14:paraId="0FD394BC" w14:textId="5BD966F1" w:rsidR="008A5D47" w:rsidRPr="00C340FB" w:rsidRDefault="00B73B8D" w:rsidP="00B73B8D">
      <w:pPr>
        <w:pStyle w:val="ListParagraph"/>
        <w:numPr>
          <w:ilvl w:val="0"/>
          <w:numId w:val="1"/>
        </w:numPr>
        <w:rPr>
          <w:sz w:val="24"/>
          <w:szCs w:val="24"/>
        </w:rPr>
      </w:pPr>
      <w:r w:rsidRPr="00C340FB">
        <w:rPr>
          <w:sz w:val="24"/>
          <w:szCs w:val="24"/>
        </w:rPr>
        <w:t>Wang D, Hu B, Hu C, Zhu F, Liu X, Zhang J, Wang B, Xiang H, Cheng Z, Xiong Y. Clinical characteristics of 138 hospitalized patients with 2019 novel coronavirus infected pneumonia in Wuhan, China. JAMA.2020;323(11):1061–9.</w:t>
      </w:r>
    </w:p>
    <w:p w14:paraId="7A774903" w14:textId="1A203532" w:rsidR="00B73B8D" w:rsidRPr="00C340FB" w:rsidRDefault="00B73B8D" w:rsidP="00B73B8D">
      <w:pPr>
        <w:pStyle w:val="ListParagraph"/>
        <w:numPr>
          <w:ilvl w:val="0"/>
          <w:numId w:val="1"/>
        </w:numPr>
        <w:rPr>
          <w:sz w:val="24"/>
          <w:szCs w:val="24"/>
        </w:rPr>
      </w:pPr>
      <w:proofErr w:type="spellStart"/>
      <w:r w:rsidRPr="00C340FB">
        <w:rPr>
          <w:sz w:val="24"/>
          <w:szCs w:val="24"/>
        </w:rPr>
        <w:t>Vahidy</w:t>
      </w:r>
      <w:proofErr w:type="spellEnd"/>
      <w:r w:rsidRPr="00C340FB">
        <w:rPr>
          <w:sz w:val="24"/>
          <w:szCs w:val="24"/>
        </w:rPr>
        <w:t xml:space="preserve"> FS, Drews AL, Masud FN, Schwartz RL, Boom ML, Phillips RA. Characteristics and outcomes of COVID-19 patients during initial peak and resurgence in the Houston metropolitan area. JAMA.2020;324(10):998–1000.</w:t>
      </w:r>
    </w:p>
    <w:p w14:paraId="49E06492" w14:textId="388DA914" w:rsidR="00B73B8D" w:rsidRPr="00C340FB" w:rsidRDefault="00B73B8D" w:rsidP="00B73B8D">
      <w:pPr>
        <w:pStyle w:val="ListParagraph"/>
        <w:numPr>
          <w:ilvl w:val="0"/>
          <w:numId w:val="1"/>
        </w:numPr>
        <w:rPr>
          <w:sz w:val="24"/>
          <w:szCs w:val="24"/>
        </w:rPr>
      </w:pPr>
      <w:r w:rsidRPr="00C340FB">
        <w:rPr>
          <w:sz w:val="24"/>
          <w:szCs w:val="24"/>
        </w:rPr>
        <w:t>Guan W-J, Ni Z-Y, Hu Y, Liang W-H, Ou C-Q, He J-X, Liu L, Shan H, Lei C-L, Hui DS. Clinical characteristics of coronavirus disease 2019 in China. N Engl J Med. 2020;382(18):1708–20.</w:t>
      </w:r>
    </w:p>
    <w:p w14:paraId="5D4C8BE3" w14:textId="15B91DC5" w:rsidR="00B73B8D" w:rsidRPr="00C340FB" w:rsidRDefault="00B73B8D" w:rsidP="00B73B8D">
      <w:pPr>
        <w:pStyle w:val="ListParagraph"/>
        <w:numPr>
          <w:ilvl w:val="0"/>
          <w:numId w:val="1"/>
        </w:numPr>
        <w:rPr>
          <w:sz w:val="24"/>
          <w:szCs w:val="24"/>
        </w:rPr>
      </w:pPr>
      <w:r w:rsidRPr="00C340FB">
        <w:rPr>
          <w:sz w:val="24"/>
          <w:szCs w:val="24"/>
        </w:rPr>
        <w:t xml:space="preserve">Saad Alhumaid, Abbas Al </w:t>
      </w:r>
      <w:proofErr w:type="spellStart"/>
      <w:r w:rsidRPr="00C340FB">
        <w:rPr>
          <w:sz w:val="24"/>
          <w:szCs w:val="24"/>
        </w:rPr>
        <w:t>Mutair</w:t>
      </w:r>
      <w:proofErr w:type="spellEnd"/>
      <w:r w:rsidRPr="00C340FB">
        <w:rPr>
          <w:sz w:val="24"/>
          <w:szCs w:val="24"/>
        </w:rPr>
        <w:t xml:space="preserve">, Zainab Al Alawi, Khulud Al Salman, Nourah Al </w:t>
      </w:r>
      <w:proofErr w:type="spellStart"/>
      <w:r w:rsidRPr="00C340FB">
        <w:rPr>
          <w:sz w:val="24"/>
          <w:szCs w:val="24"/>
        </w:rPr>
        <w:t>Dossary</w:t>
      </w:r>
      <w:proofErr w:type="spellEnd"/>
      <w:r w:rsidRPr="00C340FB">
        <w:rPr>
          <w:sz w:val="24"/>
          <w:szCs w:val="24"/>
        </w:rPr>
        <w:t>, Ahmed Omar, Clinical features and prognostic factors of intensive and non</w:t>
      </w:r>
      <w:r w:rsidRPr="00C340FB">
        <w:rPr>
          <w:rFonts w:ascii="Cambria Math" w:hAnsi="Cambria Math" w:cs="Cambria Math"/>
          <w:sz w:val="24"/>
          <w:szCs w:val="24"/>
        </w:rPr>
        <w:t>‑</w:t>
      </w:r>
      <w:r w:rsidRPr="00C340FB">
        <w:rPr>
          <w:sz w:val="24"/>
          <w:szCs w:val="24"/>
        </w:rPr>
        <w:t>intensive 1014 COVID</w:t>
      </w:r>
      <w:r w:rsidRPr="00C340FB">
        <w:rPr>
          <w:rFonts w:ascii="Cambria Math" w:hAnsi="Cambria Math" w:cs="Cambria Math"/>
          <w:sz w:val="24"/>
          <w:szCs w:val="24"/>
        </w:rPr>
        <w:t>‑</w:t>
      </w:r>
      <w:r w:rsidRPr="00C340FB">
        <w:rPr>
          <w:sz w:val="24"/>
          <w:szCs w:val="24"/>
        </w:rPr>
        <w:t xml:space="preserve">19 patients: an experience cohort from </w:t>
      </w:r>
      <w:proofErr w:type="spellStart"/>
      <w:r w:rsidRPr="00C340FB">
        <w:rPr>
          <w:sz w:val="24"/>
          <w:szCs w:val="24"/>
        </w:rPr>
        <w:t>Alahsa</w:t>
      </w:r>
      <w:proofErr w:type="spellEnd"/>
      <w:r w:rsidRPr="00C340FB">
        <w:rPr>
          <w:sz w:val="24"/>
          <w:szCs w:val="24"/>
        </w:rPr>
        <w:t xml:space="preserve">, Saudi Arabia, European Journal of Medical Research, (2021) 26:47 </w:t>
      </w:r>
      <w:hyperlink r:id="rId12" w:history="1">
        <w:r w:rsidRPr="00C340FB">
          <w:rPr>
            <w:rStyle w:val="Hyperlink"/>
            <w:color w:val="auto"/>
            <w:sz w:val="24"/>
            <w:szCs w:val="24"/>
          </w:rPr>
          <w:t>https://doi.org/10.1186/s40001-021-00517-7</w:t>
        </w:r>
      </w:hyperlink>
      <w:r w:rsidRPr="00C340FB">
        <w:rPr>
          <w:sz w:val="24"/>
          <w:szCs w:val="24"/>
        </w:rPr>
        <w:t>.</w:t>
      </w:r>
    </w:p>
    <w:p w14:paraId="0A38482A" w14:textId="367506BB" w:rsidR="00B73B8D" w:rsidRPr="00C340FB" w:rsidRDefault="003E050D" w:rsidP="003E050D">
      <w:pPr>
        <w:pStyle w:val="ListParagraph"/>
        <w:numPr>
          <w:ilvl w:val="0"/>
          <w:numId w:val="1"/>
        </w:numPr>
        <w:rPr>
          <w:sz w:val="24"/>
          <w:szCs w:val="24"/>
        </w:rPr>
      </w:pPr>
      <w:r w:rsidRPr="00C340FB">
        <w:rPr>
          <w:sz w:val="24"/>
          <w:szCs w:val="24"/>
        </w:rPr>
        <w:t xml:space="preserve">Shruti Gupta, MD, MPH; Salim S. Hayek, </w:t>
      </w:r>
      <w:proofErr w:type="spellStart"/>
      <w:r w:rsidRPr="00C340FB">
        <w:rPr>
          <w:sz w:val="24"/>
          <w:szCs w:val="24"/>
        </w:rPr>
        <w:t>MD;WeiWang</w:t>
      </w:r>
      <w:proofErr w:type="spellEnd"/>
      <w:r w:rsidRPr="00C340FB">
        <w:rPr>
          <w:sz w:val="24"/>
          <w:szCs w:val="24"/>
        </w:rPr>
        <w:t xml:space="preserve">, PhD; Lili Chan, MD, MSCR; Kusum S. Mathews, MD, MPH, MSCR; Michal L. Melamed, MD, MHS; Samantha K. </w:t>
      </w:r>
      <w:proofErr w:type="spellStart"/>
      <w:r w:rsidRPr="00C340FB">
        <w:rPr>
          <w:sz w:val="24"/>
          <w:szCs w:val="24"/>
        </w:rPr>
        <w:t>Brenner,MD</w:t>
      </w:r>
      <w:proofErr w:type="spellEnd"/>
      <w:r w:rsidRPr="00C340FB">
        <w:rPr>
          <w:sz w:val="24"/>
          <w:szCs w:val="24"/>
        </w:rPr>
        <w:t xml:space="preserve">, MPH; Factors Associated With Death in Critically Ill </w:t>
      </w:r>
      <w:r w:rsidRPr="00C340FB">
        <w:rPr>
          <w:sz w:val="24"/>
          <w:szCs w:val="24"/>
        </w:rPr>
        <w:lastRenderedPageBreak/>
        <w:t>Patients With Coronavirus Disease 2019 in the US, JAMA Intern Med. doi:10.1001/jamainternmed.2020.3596, Published online July 15, 2020.</w:t>
      </w:r>
    </w:p>
    <w:p w14:paraId="2A39A471" w14:textId="572DD73C" w:rsidR="003E050D" w:rsidRPr="00C340FB" w:rsidRDefault="00150BC6" w:rsidP="00150BC6">
      <w:pPr>
        <w:pStyle w:val="ListParagraph"/>
        <w:numPr>
          <w:ilvl w:val="0"/>
          <w:numId w:val="1"/>
        </w:numPr>
        <w:rPr>
          <w:sz w:val="24"/>
          <w:szCs w:val="24"/>
        </w:rPr>
      </w:pPr>
      <w:r w:rsidRPr="00C340FB">
        <w:rPr>
          <w:sz w:val="24"/>
          <w:szCs w:val="24"/>
        </w:rPr>
        <w:t xml:space="preserve">Al-Omari A, </w:t>
      </w:r>
      <w:proofErr w:type="spellStart"/>
      <w:r w:rsidRPr="00C340FB">
        <w:rPr>
          <w:sz w:val="24"/>
          <w:szCs w:val="24"/>
        </w:rPr>
        <w:t>Alhuqbani</w:t>
      </w:r>
      <w:proofErr w:type="spellEnd"/>
      <w:r w:rsidRPr="00C340FB">
        <w:rPr>
          <w:sz w:val="24"/>
          <w:szCs w:val="24"/>
        </w:rPr>
        <w:t xml:space="preserve"> WN, Zaidi ARZ, Al-Subaie MF, AlHindi AM, </w:t>
      </w:r>
      <w:proofErr w:type="spellStart"/>
      <w:r w:rsidRPr="00C340FB">
        <w:rPr>
          <w:sz w:val="24"/>
          <w:szCs w:val="24"/>
        </w:rPr>
        <w:t>Abogosh</w:t>
      </w:r>
      <w:proofErr w:type="spellEnd"/>
      <w:r w:rsidRPr="00C340FB">
        <w:rPr>
          <w:sz w:val="24"/>
          <w:szCs w:val="24"/>
        </w:rPr>
        <w:t xml:space="preserve"> AK, Alrasheed AK, </w:t>
      </w:r>
      <w:proofErr w:type="spellStart"/>
      <w:r w:rsidRPr="00C340FB">
        <w:rPr>
          <w:sz w:val="24"/>
          <w:szCs w:val="24"/>
        </w:rPr>
        <w:t>Alsharafi</w:t>
      </w:r>
      <w:proofErr w:type="spellEnd"/>
      <w:r w:rsidRPr="00C340FB">
        <w:rPr>
          <w:sz w:val="24"/>
          <w:szCs w:val="24"/>
        </w:rPr>
        <w:t xml:space="preserve"> AA, </w:t>
      </w:r>
      <w:proofErr w:type="spellStart"/>
      <w:r w:rsidRPr="00C340FB">
        <w:rPr>
          <w:sz w:val="24"/>
          <w:szCs w:val="24"/>
        </w:rPr>
        <w:t>Alhuqbani</w:t>
      </w:r>
      <w:proofErr w:type="spellEnd"/>
      <w:r w:rsidRPr="00C340FB">
        <w:rPr>
          <w:sz w:val="24"/>
          <w:szCs w:val="24"/>
        </w:rPr>
        <w:t xml:space="preserve"> MN, Salih S. Clinical characteristics of non-intensive care unit COVID-19 patients in Saudi Arabia: a descriptive cross-sectional study. J Infect Public Health. 2020;13(11):1639–44.</w:t>
      </w:r>
    </w:p>
    <w:p w14:paraId="593D3889" w14:textId="1083C326" w:rsidR="007F30E0" w:rsidRPr="00C340FB" w:rsidRDefault="007F30E0" w:rsidP="007F30E0">
      <w:pPr>
        <w:pStyle w:val="ListParagraph"/>
        <w:numPr>
          <w:ilvl w:val="0"/>
          <w:numId w:val="1"/>
        </w:numPr>
        <w:rPr>
          <w:sz w:val="24"/>
          <w:szCs w:val="24"/>
        </w:rPr>
      </w:pPr>
      <w:proofErr w:type="spellStart"/>
      <w:r w:rsidRPr="00C340FB">
        <w:rPr>
          <w:sz w:val="24"/>
          <w:szCs w:val="24"/>
        </w:rPr>
        <w:t>Aljuaid</w:t>
      </w:r>
      <w:proofErr w:type="spellEnd"/>
      <w:r w:rsidRPr="00C340FB">
        <w:rPr>
          <w:sz w:val="24"/>
          <w:szCs w:val="24"/>
        </w:rPr>
        <w:t xml:space="preserve"> M, </w:t>
      </w:r>
      <w:proofErr w:type="spellStart"/>
      <w:r w:rsidRPr="00C340FB">
        <w:rPr>
          <w:sz w:val="24"/>
          <w:szCs w:val="24"/>
        </w:rPr>
        <w:t>Alotair</w:t>
      </w:r>
      <w:proofErr w:type="spellEnd"/>
      <w:r w:rsidRPr="00C340FB">
        <w:rPr>
          <w:sz w:val="24"/>
          <w:szCs w:val="24"/>
        </w:rPr>
        <w:t xml:space="preserve"> H, Alnajjar F, </w:t>
      </w:r>
      <w:proofErr w:type="spellStart"/>
      <w:r w:rsidRPr="00C340FB">
        <w:rPr>
          <w:sz w:val="24"/>
          <w:szCs w:val="24"/>
        </w:rPr>
        <w:t>Alonazi</w:t>
      </w:r>
      <w:proofErr w:type="spellEnd"/>
      <w:r w:rsidRPr="00C340FB">
        <w:rPr>
          <w:sz w:val="24"/>
          <w:szCs w:val="24"/>
        </w:rPr>
        <w:t xml:space="preserve"> </w:t>
      </w:r>
      <w:proofErr w:type="spellStart"/>
      <w:r w:rsidRPr="00C340FB">
        <w:rPr>
          <w:sz w:val="24"/>
          <w:szCs w:val="24"/>
        </w:rPr>
        <w:t>W,Sharaf</w:t>
      </w:r>
      <w:proofErr w:type="spellEnd"/>
      <w:r w:rsidRPr="00C340FB">
        <w:rPr>
          <w:sz w:val="24"/>
          <w:szCs w:val="24"/>
        </w:rPr>
        <w:t xml:space="preserve"> H, </w:t>
      </w:r>
      <w:proofErr w:type="spellStart"/>
      <w:r w:rsidRPr="00C340FB">
        <w:rPr>
          <w:sz w:val="24"/>
          <w:szCs w:val="24"/>
        </w:rPr>
        <w:t>Sheshah</w:t>
      </w:r>
      <w:proofErr w:type="spellEnd"/>
      <w:r w:rsidRPr="00C340FB">
        <w:rPr>
          <w:sz w:val="24"/>
          <w:szCs w:val="24"/>
        </w:rPr>
        <w:t xml:space="preserve"> E, et al. (2022) Risk factors associated with in-hospital mortality patients with COVID-19 in Saudi Arabia. </w:t>
      </w:r>
      <w:proofErr w:type="spellStart"/>
      <w:r w:rsidRPr="00C340FB">
        <w:rPr>
          <w:sz w:val="24"/>
          <w:szCs w:val="24"/>
        </w:rPr>
        <w:t>PLoS</w:t>
      </w:r>
      <w:proofErr w:type="spellEnd"/>
      <w:r w:rsidRPr="00C340FB">
        <w:rPr>
          <w:sz w:val="24"/>
          <w:szCs w:val="24"/>
        </w:rPr>
        <w:t xml:space="preserve"> ONE 17(6): e0270062. </w:t>
      </w:r>
      <w:hyperlink r:id="rId13" w:history="1">
        <w:r w:rsidRPr="00C340FB">
          <w:rPr>
            <w:rStyle w:val="Hyperlink"/>
            <w:color w:val="auto"/>
            <w:sz w:val="24"/>
            <w:szCs w:val="24"/>
          </w:rPr>
          <w:t>https://doi.org/10.1371/journal.pone.0270062</w:t>
        </w:r>
      </w:hyperlink>
    </w:p>
    <w:p w14:paraId="0D999C87" w14:textId="3AF0C158" w:rsidR="007F30E0" w:rsidRPr="00C340FB" w:rsidRDefault="007F30E0" w:rsidP="007F30E0">
      <w:pPr>
        <w:pStyle w:val="ListParagraph"/>
        <w:numPr>
          <w:ilvl w:val="0"/>
          <w:numId w:val="1"/>
        </w:numPr>
        <w:rPr>
          <w:sz w:val="24"/>
          <w:szCs w:val="24"/>
        </w:rPr>
      </w:pPr>
      <w:r w:rsidRPr="00C340FB">
        <w:rPr>
          <w:sz w:val="24"/>
          <w:szCs w:val="24"/>
        </w:rPr>
        <w:t>Al-</w:t>
      </w:r>
      <w:proofErr w:type="spellStart"/>
      <w:r w:rsidRPr="00C340FB">
        <w:rPr>
          <w:sz w:val="24"/>
          <w:szCs w:val="24"/>
        </w:rPr>
        <w:t>Otaiby</w:t>
      </w:r>
      <w:proofErr w:type="spellEnd"/>
      <w:r w:rsidRPr="00C340FB">
        <w:rPr>
          <w:sz w:val="24"/>
          <w:szCs w:val="24"/>
        </w:rPr>
        <w:t xml:space="preserve"> M, Almutairi KM, Vinluan JM, Al </w:t>
      </w:r>
      <w:proofErr w:type="spellStart"/>
      <w:r w:rsidRPr="00C340FB">
        <w:rPr>
          <w:sz w:val="24"/>
          <w:szCs w:val="24"/>
        </w:rPr>
        <w:t>Seraihi</w:t>
      </w:r>
      <w:proofErr w:type="spellEnd"/>
      <w:r w:rsidRPr="00C340FB">
        <w:rPr>
          <w:sz w:val="24"/>
          <w:szCs w:val="24"/>
        </w:rPr>
        <w:t xml:space="preserve"> A, </w:t>
      </w:r>
      <w:proofErr w:type="spellStart"/>
      <w:r w:rsidRPr="00C340FB">
        <w:rPr>
          <w:sz w:val="24"/>
          <w:szCs w:val="24"/>
        </w:rPr>
        <w:t>Alonazi</w:t>
      </w:r>
      <w:proofErr w:type="spellEnd"/>
      <w:r w:rsidRPr="00C340FB">
        <w:rPr>
          <w:sz w:val="24"/>
          <w:szCs w:val="24"/>
        </w:rPr>
        <w:t xml:space="preserve"> WB, Qahtani MH, </w:t>
      </w:r>
      <w:proofErr w:type="spellStart"/>
      <w:r w:rsidRPr="00C340FB">
        <w:rPr>
          <w:sz w:val="24"/>
          <w:szCs w:val="24"/>
        </w:rPr>
        <w:t>Aljeri</w:t>
      </w:r>
      <w:proofErr w:type="spellEnd"/>
      <w:r w:rsidRPr="00C340FB">
        <w:rPr>
          <w:sz w:val="24"/>
          <w:szCs w:val="24"/>
        </w:rPr>
        <w:t xml:space="preserve"> T, </w:t>
      </w:r>
      <w:proofErr w:type="spellStart"/>
      <w:r w:rsidRPr="00C340FB">
        <w:rPr>
          <w:sz w:val="24"/>
          <w:szCs w:val="24"/>
        </w:rPr>
        <w:t>Alhumud</w:t>
      </w:r>
      <w:proofErr w:type="spellEnd"/>
      <w:r w:rsidRPr="00C340FB">
        <w:rPr>
          <w:sz w:val="24"/>
          <w:szCs w:val="24"/>
        </w:rPr>
        <w:t xml:space="preserve"> MA, Alobaidi N and </w:t>
      </w:r>
      <w:proofErr w:type="spellStart"/>
      <w:r w:rsidRPr="00C340FB">
        <w:rPr>
          <w:sz w:val="24"/>
          <w:szCs w:val="24"/>
        </w:rPr>
        <w:t>Alhurishi</w:t>
      </w:r>
      <w:proofErr w:type="spellEnd"/>
      <w:r w:rsidRPr="00C340FB">
        <w:rPr>
          <w:sz w:val="24"/>
          <w:szCs w:val="24"/>
        </w:rPr>
        <w:t xml:space="preserve"> SA (2022) Demographic Characteristics, Comorbidities, and Length of Stay of COVID-19 Patients Admitted Into Intensive Care Units in Saudi Arabia: A Nationwide Retrospective Study. Front. Med. 9:893954.doi: 10.3389/fmed.2022.893954.</w:t>
      </w:r>
    </w:p>
    <w:p w14:paraId="56AF3708" w14:textId="45076CA9" w:rsidR="007F30E0" w:rsidRPr="00C340FB" w:rsidRDefault="007F30E0" w:rsidP="007F30E0">
      <w:pPr>
        <w:pStyle w:val="ListParagraph"/>
        <w:numPr>
          <w:ilvl w:val="0"/>
          <w:numId w:val="1"/>
        </w:numPr>
        <w:rPr>
          <w:sz w:val="24"/>
          <w:szCs w:val="24"/>
        </w:rPr>
      </w:pPr>
      <w:r w:rsidRPr="00C340FB">
        <w:rPr>
          <w:sz w:val="24"/>
          <w:szCs w:val="24"/>
        </w:rPr>
        <w:t xml:space="preserve">Saleh Alghamdi, Clinical characteristics and treatment outcomes of severe (ICU) COVID-19 patients in Saudi Arabia: A single </w:t>
      </w:r>
      <w:proofErr w:type="spellStart"/>
      <w:r w:rsidRPr="00C340FB">
        <w:rPr>
          <w:sz w:val="24"/>
          <w:szCs w:val="24"/>
        </w:rPr>
        <w:t>centre</w:t>
      </w:r>
      <w:proofErr w:type="spellEnd"/>
      <w:r w:rsidRPr="00C340FB">
        <w:rPr>
          <w:sz w:val="24"/>
          <w:szCs w:val="24"/>
        </w:rPr>
        <w:t xml:space="preserve"> study, Saudi Pharmaceutical Journal 29 (2021) 1096–1101.</w:t>
      </w:r>
    </w:p>
    <w:p w14:paraId="3F93B347" w14:textId="2C0C0FC8" w:rsidR="00940CE0" w:rsidRPr="00C340FB" w:rsidRDefault="00940CE0" w:rsidP="007F30E0">
      <w:pPr>
        <w:pStyle w:val="ListParagraph"/>
        <w:numPr>
          <w:ilvl w:val="0"/>
          <w:numId w:val="1"/>
        </w:numPr>
        <w:rPr>
          <w:sz w:val="24"/>
          <w:szCs w:val="24"/>
        </w:rPr>
      </w:pPr>
      <w:proofErr w:type="spellStart"/>
      <w:r w:rsidRPr="00C340FB">
        <w:rPr>
          <w:sz w:val="24"/>
          <w:szCs w:val="24"/>
        </w:rPr>
        <w:t>Alenazi</w:t>
      </w:r>
      <w:proofErr w:type="spellEnd"/>
      <w:r w:rsidRPr="00C340FB">
        <w:rPr>
          <w:sz w:val="24"/>
          <w:szCs w:val="24"/>
        </w:rPr>
        <w:t xml:space="preserve"> AM, Alqahtani BA. National and regional prevalence rates of hypertension in Saudi Arabia: A descriptive analysis using the national survey data. Front Public Health. 2023 Apr 4;11:1092905. </w:t>
      </w:r>
      <w:proofErr w:type="spellStart"/>
      <w:r w:rsidRPr="00C340FB">
        <w:rPr>
          <w:sz w:val="24"/>
          <w:szCs w:val="24"/>
        </w:rPr>
        <w:t>doi</w:t>
      </w:r>
      <w:proofErr w:type="spellEnd"/>
      <w:r w:rsidRPr="00C340FB">
        <w:rPr>
          <w:sz w:val="24"/>
          <w:szCs w:val="24"/>
        </w:rPr>
        <w:t>: 10.3389/fpubh.2023.1092905. PMID: 37081959; PMCID: PMC10110943.</w:t>
      </w:r>
    </w:p>
    <w:p w14:paraId="627FE7FF" w14:textId="309DE217" w:rsidR="007F30E0" w:rsidRPr="00C340FB" w:rsidRDefault="00206474" w:rsidP="007F30E0">
      <w:pPr>
        <w:pStyle w:val="ListParagraph"/>
        <w:numPr>
          <w:ilvl w:val="0"/>
          <w:numId w:val="1"/>
        </w:numPr>
        <w:rPr>
          <w:sz w:val="24"/>
          <w:szCs w:val="24"/>
        </w:rPr>
      </w:pPr>
      <w:proofErr w:type="spellStart"/>
      <w:r w:rsidRPr="00C340FB">
        <w:rPr>
          <w:sz w:val="24"/>
          <w:szCs w:val="24"/>
        </w:rPr>
        <w:t>Aljulifi</w:t>
      </w:r>
      <w:proofErr w:type="spellEnd"/>
      <w:r w:rsidRPr="00C340FB">
        <w:rPr>
          <w:sz w:val="24"/>
          <w:szCs w:val="24"/>
        </w:rPr>
        <w:t xml:space="preserve"> MZ. Prevalence and reasons of increased type 2 diabetes in Gulf cooperation council countries. Saudi Med J. 2021;42:481–90</w:t>
      </w:r>
      <w:r w:rsidR="00A655F0" w:rsidRPr="00C340FB">
        <w:rPr>
          <w:sz w:val="24"/>
          <w:szCs w:val="24"/>
        </w:rPr>
        <w:t>.</w:t>
      </w:r>
    </w:p>
    <w:p w14:paraId="3107CCA7" w14:textId="1E435CD7" w:rsidR="00A655F0" w:rsidRPr="00C340FB" w:rsidRDefault="00A655F0" w:rsidP="007F30E0">
      <w:pPr>
        <w:pStyle w:val="ListParagraph"/>
        <w:numPr>
          <w:ilvl w:val="0"/>
          <w:numId w:val="1"/>
        </w:numPr>
        <w:rPr>
          <w:sz w:val="24"/>
          <w:szCs w:val="24"/>
        </w:rPr>
      </w:pPr>
      <w:r w:rsidRPr="00C340FB">
        <w:rPr>
          <w:sz w:val="24"/>
          <w:szCs w:val="24"/>
        </w:rPr>
        <w:t xml:space="preserve">Jarrar M, Abusalah MAH, </w:t>
      </w:r>
      <w:proofErr w:type="spellStart"/>
      <w:r w:rsidRPr="00C340FB">
        <w:rPr>
          <w:sz w:val="24"/>
          <w:szCs w:val="24"/>
        </w:rPr>
        <w:t>Albaker</w:t>
      </w:r>
      <w:proofErr w:type="spellEnd"/>
      <w:r w:rsidRPr="00C340FB">
        <w:rPr>
          <w:sz w:val="24"/>
          <w:szCs w:val="24"/>
        </w:rPr>
        <w:t xml:space="preserve"> W, Al-</w:t>
      </w:r>
      <w:proofErr w:type="spellStart"/>
      <w:r w:rsidRPr="00C340FB">
        <w:rPr>
          <w:sz w:val="24"/>
          <w:szCs w:val="24"/>
        </w:rPr>
        <w:t>Bsheish</w:t>
      </w:r>
      <w:proofErr w:type="spellEnd"/>
      <w:r w:rsidRPr="00C340FB">
        <w:rPr>
          <w:sz w:val="24"/>
          <w:szCs w:val="24"/>
        </w:rPr>
        <w:t xml:space="preserve"> M, </w:t>
      </w:r>
      <w:proofErr w:type="spellStart"/>
      <w:r w:rsidRPr="00C340FB">
        <w:rPr>
          <w:sz w:val="24"/>
          <w:szCs w:val="24"/>
        </w:rPr>
        <w:t>Alsyouf</w:t>
      </w:r>
      <w:proofErr w:type="spellEnd"/>
      <w:r w:rsidRPr="00C340FB">
        <w:rPr>
          <w:sz w:val="24"/>
          <w:szCs w:val="24"/>
        </w:rPr>
        <w:t xml:space="preserve"> A, Al-</w:t>
      </w:r>
      <w:proofErr w:type="spellStart"/>
      <w:r w:rsidRPr="00C340FB">
        <w:rPr>
          <w:sz w:val="24"/>
          <w:szCs w:val="24"/>
        </w:rPr>
        <w:t>Mugheed</w:t>
      </w:r>
      <w:proofErr w:type="spellEnd"/>
      <w:r w:rsidRPr="00C340FB">
        <w:rPr>
          <w:sz w:val="24"/>
          <w:szCs w:val="24"/>
        </w:rPr>
        <w:t xml:space="preserve"> K, Issa MR, </w:t>
      </w:r>
      <w:proofErr w:type="spellStart"/>
      <w:r w:rsidRPr="00C340FB">
        <w:rPr>
          <w:sz w:val="24"/>
          <w:szCs w:val="24"/>
        </w:rPr>
        <w:t>Alumran</w:t>
      </w:r>
      <w:proofErr w:type="spellEnd"/>
      <w:r w:rsidRPr="00C340FB">
        <w:rPr>
          <w:sz w:val="24"/>
          <w:szCs w:val="24"/>
        </w:rPr>
        <w:t xml:space="preserve"> A. Prevalence of Type 2 Diabetes Mellitus in the General Population of Saudi Arabia, 2000-2020: A Systematic Review and Meta-Analysis of Observational Studies. Saudi J Med </w:t>
      </w:r>
      <w:proofErr w:type="spellStart"/>
      <w:r w:rsidRPr="00C340FB">
        <w:rPr>
          <w:sz w:val="24"/>
          <w:szCs w:val="24"/>
        </w:rPr>
        <w:t>Med</w:t>
      </w:r>
      <w:proofErr w:type="spellEnd"/>
      <w:r w:rsidRPr="00C340FB">
        <w:rPr>
          <w:sz w:val="24"/>
          <w:szCs w:val="24"/>
        </w:rPr>
        <w:t xml:space="preserve"> Sci. 2023 Jan-Mar;11(1):1-10. </w:t>
      </w:r>
      <w:proofErr w:type="spellStart"/>
      <w:r w:rsidRPr="00C340FB">
        <w:rPr>
          <w:sz w:val="24"/>
          <w:szCs w:val="24"/>
        </w:rPr>
        <w:t>doi</w:t>
      </w:r>
      <w:proofErr w:type="spellEnd"/>
      <w:r w:rsidRPr="00C340FB">
        <w:rPr>
          <w:sz w:val="24"/>
          <w:szCs w:val="24"/>
        </w:rPr>
        <w:t xml:space="preserve">: 10.4103/sjmms.sjmms_394_22. </w:t>
      </w:r>
      <w:proofErr w:type="spellStart"/>
      <w:r w:rsidRPr="00C340FB">
        <w:rPr>
          <w:sz w:val="24"/>
          <w:szCs w:val="24"/>
        </w:rPr>
        <w:t>Epub</w:t>
      </w:r>
      <w:proofErr w:type="spellEnd"/>
      <w:r w:rsidRPr="00C340FB">
        <w:rPr>
          <w:sz w:val="24"/>
          <w:szCs w:val="24"/>
        </w:rPr>
        <w:t xml:space="preserve"> 2023 Jan 14. PMID: 36909010; PMCID: PMC9997860.</w:t>
      </w:r>
    </w:p>
    <w:p w14:paraId="149BEADD" w14:textId="7E336D7D" w:rsidR="00011622" w:rsidRPr="00C340FB" w:rsidRDefault="00011622" w:rsidP="007F30E0">
      <w:pPr>
        <w:pStyle w:val="ListParagraph"/>
        <w:numPr>
          <w:ilvl w:val="0"/>
          <w:numId w:val="1"/>
        </w:numPr>
        <w:rPr>
          <w:sz w:val="24"/>
          <w:szCs w:val="24"/>
        </w:rPr>
      </w:pPr>
      <w:r w:rsidRPr="005A12C2">
        <w:rPr>
          <w:sz w:val="24"/>
          <w:szCs w:val="24"/>
          <w:lang w:val="de-DE"/>
        </w:rPr>
        <w:t xml:space="preserve">Tan L, Kang X, Ji X, et al. </w:t>
      </w:r>
      <w:r w:rsidRPr="00C340FB">
        <w:rPr>
          <w:sz w:val="24"/>
          <w:szCs w:val="24"/>
        </w:rPr>
        <w:t xml:space="preserve">Validation of predictors of disease severity and outcomes in COVID-19 patients: a descriptive and retrospective study. Med. 2020;1(1):128–138.e3. </w:t>
      </w:r>
      <w:proofErr w:type="spellStart"/>
      <w:r w:rsidRPr="00C340FB">
        <w:rPr>
          <w:sz w:val="24"/>
          <w:szCs w:val="24"/>
        </w:rPr>
        <w:t>doi</w:t>
      </w:r>
      <w:proofErr w:type="spellEnd"/>
      <w:r w:rsidRPr="00C340FB">
        <w:rPr>
          <w:sz w:val="24"/>
          <w:szCs w:val="24"/>
        </w:rPr>
        <w:t>: 10.1016/j.medj.2020.05.002.</w:t>
      </w:r>
    </w:p>
    <w:p w14:paraId="0D71CF56" w14:textId="40B00738" w:rsidR="00011622" w:rsidRPr="00C340FB" w:rsidRDefault="00011622" w:rsidP="007F30E0">
      <w:pPr>
        <w:pStyle w:val="ListParagraph"/>
        <w:numPr>
          <w:ilvl w:val="0"/>
          <w:numId w:val="1"/>
        </w:numPr>
        <w:rPr>
          <w:sz w:val="24"/>
          <w:szCs w:val="24"/>
        </w:rPr>
      </w:pPr>
      <w:proofErr w:type="spellStart"/>
      <w:r w:rsidRPr="00C340FB">
        <w:rPr>
          <w:sz w:val="24"/>
          <w:szCs w:val="24"/>
        </w:rPr>
        <w:t>Alharthy</w:t>
      </w:r>
      <w:proofErr w:type="spellEnd"/>
      <w:r w:rsidRPr="00C340FB">
        <w:rPr>
          <w:sz w:val="24"/>
          <w:szCs w:val="24"/>
        </w:rPr>
        <w:t xml:space="preserve"> A, </w:t>
      </w:r>
      <w:proofErr w:type="spellStart"/>
      <w:r w:rsidRPr="00C340FB">
        <w:rPr>
          <w:sz w:val="24"/>
          <w:szCs w:val="24"/>
        </w:rPr>
        <w:t>Aletreby</w:t>
      </w:r>
      <w:proofErr w:type="spellEnd"/>
      <w:r w:rsidRPr="00C340FB">
        <w:rPr>
          <w:sz w:val="24"/>
          <w:szCs w:val="24"/>
        </w:rPr>
        <w:t xml:space="preserve"> W, </w:t>
      </w:r>
      <w:proofErr w:type="spellStart"/>
      <w:r w:rsidRPr="00C340FB">
        <w:rPr>
          <w:sz w:val="24"/>
          <w:szCs w:val="24"/>
        </w:rPr>
        <w:t>Faqihi</w:t>
      </w:r>
      <w:proofErr w:type="spellEnd"/>
      <w:r w:rsidRPr="00C340FB">
        <w:rPr>
          <w:sz w:val="24"/>
          <w:szCs w:val="24"/>
        </w:rPr>
        <w:t xml:space="preserve"> F, et al. Clinical characteristics and predictors of 28-day mortality in 352 critically ill patients with COVID-19: a retrospective study. J Epidemiol Glob Health. 2021;11(11):98. </w:t>
      </w:r>
      <w:proofErr w:type="spellStart"/>
      <w:r w:rsidRPr="00C340FB">
        <w:rPr>
          <w:sz w:val="24"/>
          <w:szCs w:val="24"/>
        </w:rPr>
        <w:t>doi</w:t>
      </w:r>
      <w:proofErr w:type="spellEnd"/>
      <w:r w:rsidRPr="00C340FB">
        <w:rPr>
          <w:sz w:val="24"/>
          <w:szCs w:val="24"/>
        </w:rPr>
        <w:t>: 10.2991/jegh.k.200928.001</w:t>
      </w:r>
      <w:r w:rsidR="00CE664D" w:rsidRPr="00C340FB">
        <w:rPr>
          <w:sz w:val="24"/>
          <w:szCs w:val="24"/>
        </w:rPr>
        <w:t>.</w:t>
      </w:r>
    </w:p>
    <w:p w14:paraId="0E99E1B1" w14:textId="049799C4" w:rsidR="00CE664D" w:rsidRPr="00C340FB" w:rsidRDefault="00CE664D" w:rsidP="007F30E0">
      <w:pPr>
        <w:pStyle w:val="ListParagraph"/>
        <w:numPr>
          <w:ilvl w:val="0"/>
          <w:numId w:val="1"/>
        </w:numPr>
        <w:rPr>
          <w:sz w:val="24"/>
          <w:szCs w:val="24"/>
        </w:rPr>
      </w:pPr>
      <w:r w:rsidRPr="00C340FB">
        <w:rPr>
          <w:sz w:val="24"/>
          <w:szCs w:val="24"/>
        </w:rPr>
        <w:t xml:space="preserve">Ansari KA, </w:t>
      </w:r>
      <w:proofErr w:type="spellStart"/>
      <w:r w:rsidRPr="00C340FB">
        <w:rPr>
          <w:sz w:val="24"/>
          <w:szCs w:val="24"/>
        </w:rPr>
        <w:t>Alwazzeh</w:t>
      </w:r>
      <w:proofErr w:type="spellEnd"/>
      <w:r w:rsidRPr="00C340FB">
        <w:rPr>
          <w:sz w:val="24"/>
          <w:szCs w:val="24"/>
        </w:rPr>
        <w:t xml:space="preserve"> MJ, </w:t>
      </w:r>
      <w:proofErr w:type="spellStart"/>
      <w:r w:rsidRPr="00C340FB">
        <w:rPr>
          <w:sz w:val="24"/>
          <w:szCs w:val="24"/>
        </w:rPr>
        <w:t>Alkuwaiti</w:t>
      </w:r>
      <w:proofErr w:type="spellEnd"/>
      <w:r w:rsidRPr="00C340FB">
        <w:rPr>
          <w:sz w:val="24"/>
          <w:szCs w:val="24"/>
        </w:rPr>
        <w:t xml:space="preserve"> FA, Farooqi FA, Al </w:t>
      </w:r>
      <w:proofErr w:type="spellStart"/>
      <w:r w:rsidRPr="00C340FB">
        <w:rPr>
          <w:sz w:val="24"/>
          <w:szCs w:val="24"/>
        </w:rPr>
        <w:t>Khathlan</w:t>
      </w:r>
      <w:proofErr w:type="spellEnd"/>
      <w:r w:rsidRPr="00C340FB">
        <w:rPr>
          <w:sz w:val="24"/>
          <w:szCs w:val="24"/>
        </w:rPr>
        <w:t xml:space="preserve"> N, </w:t>
      </w:r>
      <w:proofErr w:type="spellStart"/>
      <w:r w:rsidRPr="00C340FB">
        <w:rPr>
          <w:sz w:val="24"/>
          <w:szCs w:val="24"/>
        </w:rPr>
        <w:t>Almutawah</w:t>
      </w:r>
      <w:proofErr w:type="spellEnd"/>
      <w:r w:rsidRPr="00C340FB">
        <w:rPr>
          <w:sz w:val="24"/>
          <w:szCs w:val="24"/>
        </w:rPr>
        <w:t xml:space="preserve"> H, Alahmed M, Alfaraj H, </w:t>
      </w:r>
      <w:proofErr w:type="spellStart"/>
      <w:r w:rsidRPr="00C340FB">
        <w:rPr>
          <w:sz w:val="24"/>
          <w:szCs w:val="24"/>
        </w:rPr>
        <w:t>Aljarrash</w:t>
      </w:r>
      <w:proofErr w:type="spellEnd"/>
      <w:r w:rsidRPr="00C340FB">
        <w:rPr>
          <w:sz w:val="24"/>
          <w:szCs w:val="24"/>
        </w:rPr>
        <w:t xml:space="preserve"> A, </w:t>
      </w:r>
      <w:proofErr w:type="spellStart"/>
      <w:r w:rsidRPr="00C340FB">
        <w:rPr>
          <w:sz w:val="24"/>
          <w:szCs w:val="24"/>
        </w:rPr>
        <w:t>Almadhary</w:t>
      </w:r>
      <w:proofErr w:type="spellEnd"/>
      <w:r w:rsidRPr="00C340FB">
        <w:rPr>
          <w:sz w:val="24"/>
          <w:szCs w:val="24"/>
        </w:rPr>
        <w:t xml:space="preserve"> J, </w:t>
      </w:r>
      <w:proofErr w:type="spellStart"/>
      <w:r w:rsidRPr="00C340FB">
        <w:rPr>
          <w:sz w:val="24"/>
          <w:szCs w:val="24"/>
        </w:rPr>
        <w:t>Alwarthan</w:t>
      </w:r>
      <w:proofErr w:type="spellEnd"/>
      <w:r w:rsidRPr="00C340FB">
        <w:rPr>
          <w:sz w:val="24"/>
          <w:szCs w:val="24"/>
        </w:rPr>
        <w:t xml:space="preserve"> S, </w:t>
      </w:r>
      <w:proofErr w:type="spellStart"/>
      <w:r w:rsidRPr="00C340FB">
        <w:rPr>
          <w:sz w:val="24"/>
          <w:szCs w:val="24"/>
        </w:rPr>
        <w:t>Alsahlawi</w:t>
      </w:r>
      <w:proofErr w:type="spellEnd"/>
      <w:r w:rsidRPr="00C340FB">
        <w:rPr>
          <w:sz w:val="24"/>
          <w:szCs w:val="24"/>
        </w:rPr>
        <w:t xml:space="preserve"> AM, </w:t>
      </w:r>
      <w:proofErr w:type="spellStart"/>
      <w:r w:rsidRPr="00C340FB">
        <w:rPr>
          <w:sz w:val="24"/>
          <w:szCs w:val="24"/>
        </w:rPr>
        <w:t>Almashouf</w:t>
      </w:r>
      <w:proofErr w:type="spellEnd"/>
      <w:r w:rsidRPr="00C340FB">
        <w:rPr>
          <w:sz w:val="24"/>
          <w:szCs w:val="24"/>
        </w:rPr>
        <w:t xml:space="preserve"> AB, </w:t>
      </w:r>
      <w:proofErr w:type="spellStart"/>
      <w:r w:rsidRPr="00C340FB">
        <w:rPr>
          <w:sz w:val="24"/>
          <w:szCs w:val="24"/>
        </w:rPr>
        <w:t>Alqasim</w:t>
      </w:r>
      <w:proofErr w:type="spellEnd"/>
      <w:r w:rsidRPr="00C340FB">
        <w:rPr>
          <w:sz w:val="24"/>
          <w:szCs w:val="24"/>
        </w:rPr>
        <w:t xml:space="preserve"> M, </w:t>
      </w:r>
      <w:proofErr w:type="spellStart"/>
      <w:r w:rsidRPr="00C340FB">
        <w:rPr>
          <w:sz w:val="24"/>
          <w:szCs w:val="24"/>
        </w:rPr>
        <w:t>Alkuwaiti</w:t>
      </w:r>
      <w:proofErr w:type="spellEnd"/>
      <w:r w:rsidRPr="00C340FB">
        <w:rPr>
          <w:sz w:val="24"/>
          <w:szCs w:val="24"/>
        </w:rPr>
        <w:t xml:space="preserve"> E. Early Determinants of Mortality in Hospitalized COVID-19 Patients in the Eastern Province of Saudi Arabia. Int J Gen </w:t>
      </w:r>
      <w:r w:rsidRPr="00C340FB">
        <w:rPr>
          <w:sz w:val="24"/>
          <w:szCs w:val="24"/>
        </w:rPr>
        <w:lastRenderedPageBreak/>
        <w:t xml:space="preserve">Med. 2022 Feb 16;15:1689-1701. </w:t>
      </w:r>
      <w:proofErr w:type="spellStart"/>
      <w:r w:rsidRPr="00C340FB">
        <w:rPr>
          <w:sz w:val="24"/>
          <w:szCs w:val="24"/>
        </w:rPr>
        <w:t>doi</w:t>
      </w:r>
      <w:proofErr w:type="spellEnd"/>
      <w:r w:rsidRPr="00C340FB">
        <w:rPr>
          <w:sz w:val="24"/>
          <w:szCs w:val="24"/>
        </w:rPr>
        <w:t>: 10.2147/IJGM.S349598. PMID: 35210838; PMCID: PMC8858956.</w:t>
      </w:r>
    </w:p>
    <w:p w14:paraId="3AD22B22" w14:textId="77777777" w:rsidR="00E34654" w:rsidRPr="00C340FB" w:rsidRDefault="00366433" w:rsidP="00E34654">
      <w:pPr>
        <w:pStyle w:val="ListParagraph"/>
        <w:numPr>
          <w:ilvl w:val="0"/>
          <w:numId w:val="1"/>
        </w:numPr>
        <w:rPr>
          <w:sz w:val="24"/>
          <w:szCs w:val="24"/>
        </w:rPr>
      </w:pPr>
      <w:r w:rsidRPr="00C340FB">
        <w:rPr>
          <w:sz w:val="24"/>
          <w:szCs w:val="24"/>
        </w:rPr>
        <w:t xml:space="preserve">Sadeghi A, Eslami P, </w:t>
      </w:r>
      <w:proofErr w:type="spellStart"/>
      <w:r w:rsidRPr="00C340FB">
        <w:rPr>
          <w:sz w:val="24"/>
          <w:szCs w:val="24"/>
        </w:rPr>
        <w:t>Dooghaie</w:t>
      </w:r>
      <w:proofErr w:type="spellEnd"/>
      <w:r w:rsidRPr="00C340FB">
        <w:rPr>
          <w:sz w:val="24"/>
          <w:szCs w:val="24"/>
        </w:rPr>
        <w:t xml:space="preserve"> Moghadam A, </w:t>
      </w:r>
      <w:proofErr w:type="spellStart"/>
      <w:r w:rsidRPr="00C340FB">
        <w:rPr>
          <w:sz w:val="24"/>
          <w:szCs w:val="24"/>
        </w:rPr>
        <w:t>Pirsalehi</w:t>
      </w:r>
      <w:proofErr w:type="spellEnd"/>
      <w:r w:rsidRPr="00C340FB">
        <w:rPr>
          <w:sz w:val="24"/>
          <w:szCs w:val="24"/>
        </w:rPr>
        <w:t xml:space="preserve"> A, </w:t>
      </w:r>
      <w:proofErr w:type="spellStart"/>
      <w:r w:rsidRPr="00C340FB">
        <w:rPr>
          <w:sz w:val="24"/>
          <w:szCs w:val="24"/>
        </w:rPr>
        <w:t>Shojaee</w:t>
      </w:r>
      <w:proofErr w:type="spellEnd"/>
      <w:r w:rsidRPr="00C340FB">
        <w:rPr>
          <w:sz w:val="24"/>
          <w:szCs w:val="24"/>
        </w:rPr>
        <w:t xml:space="preserve"> S, Vahidi M, Soheili A, </w:t>
      </w:r>
      <w:proofErr w:type="spellStart"/>
      <w:r w:rsidRPr="00C340FB">
        <w:rPr>
          <w:sz w:val="24"/>
          <w:szCs w:val="24"/>
        </w:rPr>
        <w:t>Ghanimat</w:t>
      </w:r>
      <w:proofErr w:type="spellEnd"/>
      <w:r w:rsidRPr="00C340FB">
        <w:rPr>
          <w:sz w:val="24"/>
          <w:szCs w:val="24"/>
        </w:rPr>
        <w:t xml:space="preserve"> F, Keshmiri Y, Abdi S, Zali MR. COVID-19 and ICU admission associated predictive factors in Iranian patients. Caspian J Intern Med. 2020 Fall;11(Suppl 1):512-519. </w:t>
      </w:r>
      <w:proofErr w:type="spellStart"/>
      <w:r w:rsidRPr="00C340FB">
        <w:rPr>
          <w:sz w:val="24"/>
          <w:szCs w:val="24"/>
        </w:rPr>
        <w:t>doi</w:t>
      </w:r>
      <w:proofErr w:type="spellEnd"/>
      <w:r w:rsidRPr="00C340FB">
        <w:rPr>
          <w:sz w:val="24"/>
          <w:szCs w:val="24"/>
        </w:rPr>
        <w:t>: 10.22088/cjim.11.0.512. PMID: 33425268; PMCID: PMC7780877.</w:t>
      </w:r>
    </w:p>
    <w:p w14:paraId="25807625" w14:textId="77777777" w:rsidR="00E34654" w:rsidRPr="00C340FB" w:rsidRDefault="00E34654" w:rsidP="00E34654">
      <w:pPr>
        <w:pStyle w:val="ListParagraph"/>
        <w:numPr>
          <w:ilvl w:val="0"/>
          <w:numId w:val="1"/>
        </w:numPr>
        <w:rPr>
          <w:sz w:val="24"/>
          <w:szCs w:val="24"/>
        </w:rPr>
      </w:pPr>
      <w:r w:rsidRPr="00C340FB">
        <w:rPr>
          <w:sz w:val="24"/>
          <w:szCs w:val="24"/>
        </w:rPr>
        <w:t xml:space="preserve">Rosenberg ES, Dufort EM, Udo T, </w:t>
      </w:r>
      <w:proofErr w:type="spellStart"/>
      <w:r w:rsidRPr="00C340FB">
        <w:rPr>
          <w:sz w:val="24"/>
          <w:szCs w:val="24"/>
        </w:rPr>
        <w:t>Wilberschied</w:t>
      </w:r>
      <w:proofErr w:type="spellEnd"/>
      <w:r w:rsidRPr="00C340FB">
        <w:rPr>
          <w:sz w:val="24"/>
          <w:szCs w:val="24"/>
        </w:rPr>
        <w:t xml:space="preserve"> LA, Kumar J, Tesoriero J, et al., Association of treatment with hydroxychloroquine or azithromycin with in-hospital mortality in patients with COVID-19 in New York State. Jama. 2020 Jun 23; 323(24):2493–502. https://doi.org/10.1001/jama.2020.8630, PMID: 32392282.</w:t>
      </w:r>
    </w:p>
    <w:p w14:paraId="3381EF0E" w14:textId="77777777" w:rsidR="00E34654" w:rsidRPr="00C340FB" w:rsidRDefault="00E34654" w:rsidP="00E34654">
      <w:pPr>
        <w:pStyle w:val="ListParagraph"/>
        <w:numPr>
          <w:ilvl w:val="0"/>
          <w:numId w:val="1"/>
        </w:numPr>
        <w:rPr>
          <w:sz w:val="24"/>
          <w:szCs w:val="24"/>
        </w:rPr>
      </w:pPr>
      <w:r w:rsidRPr="00C340FB">
        <w:rPr>
          <w:sz w:val="24"/>
          <w:szCs w:val="24"/>
        </w:rPr>
        <w:t xml:space="preserve">Arshad S, Kilgore P, Chaudhry ZS, Jacobsen G, Wang DD, </w:t>
      </w:r>
      <w:proofErr w:type="spellStart"/>
      <w:r w:rsidRPr="00C340FB">
        <w:rPr>
          <w:sz w:val="24"/>
          <w:szCs w:val="24"/>
        </w:rPr>
        <w:t>Huitsing</w:t>
      </w:r>
      <w:proofErr w:type="spellEnd"/>
      <w:r w:rsidRPr="00C340FB">
        <w:rPr>
          <w:sz w:val="24"/>
          <w:szCs w:val="24"/>
        </w:rPr>
        <w:t xml:space="preserve"> K, et al., Treatment with hydroxychloroquine, azithromycin, and combination in patients hospitalized with COVID-19. International journal of infectious diseases. 2020 Aug 1; 97:396–403. https://doi.org/10.1016/j.ijid.2020.06.099 PMID:32623082.</w:t>
      </w:r>
    </w:p>
    <w:p w14:paraId="4CCFBBE5" w14:textId="77777777" w:rsidR="00733A93" w:rsidRPr="00C340FB" w:rsidRDefault="00E34654" w:rsidP="00733A93">
      <w:pPr>
        <w:pStyle w:val="ListParagraph"/>
        <w:numPr>
          <w:ilvl w:val="0"/>
          <w:numId w:val="1"/>
        </w:numPr>
        <w:rPr>
          <w:sz w:val="24"/>
          <w:szCs w:val="24"/>
        </w:rPr>
      </w:pPr>
      <w:r w:rsidRPr="00C340FB">
        <w:rPr>
          <w:sz w:val="24"/>
          <w:szCs w:val="24"/>
        </w:rPr>
        <w:t>Wootton D. Dexamethasone in hospitalized patients with COVID-19. New</w:t>
      </w:r>
      <w:r w:rsidR="00733A93" w:rsidRPr="00C340FB">
        <w:rPr>
          <w:sz w:val="24"/>
          <w:szCs w:val="24"/>
        </w:rPr>
        <w:t xml:space="preserve"> </w:t>
      </w:r>
      <w:r w:rsidRPr="00C340FB">
        <w:rPr>
          <w:sz w:val="24"/>
          <w:szCs w:val="24"/>
        </w:rPr>
        <w:t>England Journal of Medicine.2021 Feb 25; 384(8):693–704.</w:t>
      </w:r>
      <w:r w:rsidR="00733A93" w:rsidRPr="00C340FB">
        <w:rPr>
          <w:sz w:val="24"/>
          <w:szCs w:val="24"/>
        </w:rPr>
        <w:t xml:space="preserve"> </w:t>
      </w:r>
      <w:r w:rsidRPr="00C340FB">
        <w:rPr>
          <w:sz w:val="24"/>
          <w:szCs w:val="24"/>
        </w:rPr>
        <w:t>https://doi.org/10.1056/NEJMoa2021436 PMID: 32678530</w:t>
      </w:r>
      <w:r w:rsidR="00733A93" w:rsidRPr="00C340FB">
        <w:rPr>
          <w:sz w:val="24"/>
          <w:szCs w:val="24"/>
        </w:rPr>
        <w:t>.</w:t>
      </w:r>
    </w:p>
    <w:p w14:paraId="2B97FB35" w14:textId="77777777" w:rsidR="00733A93" w:rsidRPr="00C340FB" w:rsidRDefault="00733A93" w:rsidP="00733A93">
      <w:pPr>
        <w:pStyle w:val="ListParagraph"/>
        <w:numPr>
          <w:ilvl w:val="0"/>
          <w:numId w:val="1"/>
        </w:numPr>
        <w:rPr>
          <w:sz w:val="24"/>
          <w:szCs w:val="24"/>
        </w:rPr>
      </w:pPr>
      <w:r w:rsidRPr="00C340FB">
        <w:rPr>
          <w:sz w:val="24"/>
          <w:szCs w:val="24"/>
        </w:rPr>
        <w:t xml:space="preserve">Yanez ND, Weiss NS, Romand J-A, </w:t>
      </w:r>
      <w:proofErr w:type="spellStart"/>
      <w:r w:rsidRPr="00C340FB">
        <w:rPr>
          <w:sz w:val="24"/>
          <w:szCs w:val="24"/>
        </w:rPr>
        <w:t>Treggiari</w:t>
      </w:r>
      <w:proofErr w:type="spellEnd"/>
      <w:r w:rsidRPr="00C340FB">
        <w:rPr>
          <w:sz w:val="24"/>
          <w:szCs w:val="24"/>
        </w:rPr>
        <w:t xml:space="preserve"> MM. COVID-19 mortality risk for older men and women. BMC Public Health. 2020; 20(1):1–7.</w:t>
      </w:r>
    </w:p>
    <w:p w14:paraId="42AEA50A" w14:textId="6A499A1A" w:rsidR="00733A93" w:rsidRPr="00C340FB" w:rsidRDefault="00733A93" w:rsidP="00733A93">
      <w:pPr>
        <w:pStyle w:val="ListParagraph"/>
        <w:numPr>
          <w:ilvl w:val="0"/>
          <w:numId w:val="1"/>
        </w:numPr>
        <w:rPr>
          <w:sz w:val="24"/>
          <w:szCs w:val="24"/>
        </w:rPr>
      </w:pPr>
      <w:r w:rsidRPr="00C340FB">
        <w:rPr>
          <w:sz w:val="24"/>
          <w:szCs w:val="24"/>
        </w:rPr>
        <w:t>Kang SJ, Jung SI. Age-related morbidity and mortality among patients with COVID-19. Infection &amp; chemotherapy. 2020 Jun; 52(2):154. https://doi.org/10.3947/ic.2020.52.2.154 PMID: 32537961</w:t>
      </w:r>
    </w:p>
    <w:p w14:paraId="3B4E2295" w14:textId="77777777" w:rsidR="00EA7122" w:rsidRPr="00C340FB" w:rsidRDefault="00EA7122" w:rsidP="00EA7122">
      <w:pPr>
        <w:rPr>
          <w:sz w:val="24"/>
          <w:szCs w:val="24"/>
        </w:rPr>
      </w:pPr>
    </w:p>
    <w:p w14:paraId="5E0E61FB" w14:textId="1BDB3072" w:rsidR="00EA7122" w:rsidRPr="00C340FB" w:rsidRDefault="00EA7122" w:rsidP="00EA7122">
      <w:pPr>
        <w:rPr>
          <w:sz w:val="24"/>
          <w:szCs w:val="24"/>
        </w:rPr>
      </w:pPr>
    </w:p>
    <w:p w14:paraId="7494EA69" w14:textId="77777777" w:rsidR="001F3178" w:rsidRPr="00C340FB" w:rsidRDefault="001F3178" w:rsidP="00EA7122">
      <w:pPr>
        <w:rPr>
          <w:sz w:val="24"/>
          <w:szCs w:val="24"/>
        </w:rPr>
      </w:pPr>
    </w:p>
    <w:p w14:paraId="4782151E" w14:textId="77777777" w:rsidR="001F3178" w:rsidRPr="00C340FB" w:rsidRDefault="001F3178" w:rsidP="00EA7122">
      <w:pPr>
        <w:rPr>
          <w:sz w:val="24"/>
          <w:szCs w:val="24"/>
        </w:rPr>
      </w:pPr>
    </w:p>
    <w:p w14:paraId="03DEA672" w14:textId="77777777" w:rsidR="001F3178" w:rsidRPr="00C340FB" w:rsidRDefault="001F3178" w:rsidP="001F3178">
      <w:pPr>
        <w:jc w:val="center"/>
        <w:rPr>
          <w:sz w:val="24"/>
          <w:szCs w:val="24"/>
        </w:rPr>
      </w:pPr>
      <w:r w:rsidRPr="00C340FB">
        <w:rPr>
          <w:sz w:val="24"/>
          <w:szCs w:val="24"/>
        </w:rPr>
        <w:t>Table 1. Personal characteristics of covid patients admitted to ICU, ACH, Saudi Arabia</w:t>
      </w:r>
    </w:p>
    <w:tbl>
      <w:tblPr>
        <w:tblW w:w="7430" w:type="dxa"/>
        <w:jc w:val="center"/>
        <w:tblLook w:val="04A0" w:firstRow="1" w:lastRow="0" w:firstColumn="1" w:lastColumn="0" w:noHBand="0" w:noVBand="1"/>
      </w:tblPr>
      <w:tblGrid>
        <w:gridCol w:w="4261"/>
        <w:gridCol w:w="1584"/>
        <w:gridCol w:w="1585"/>
      </w:tblGrid>
      <w:tr w:rsidR="00C340FB" w:rsidRPr="00C340FB" w14:paraId="1648B901" w14:textId="77777777" w:rsidTr="006A3C9E">
        <w:trPr>
          <w:trHeight w:val="868"/>
          <w:jc w:val="center"/>
        </w:trPr>
        <w:tc>
          <w:tcPr>
            <w:tcW w:w="4261" w:type="dxa"/>
            <w:tcBorders>
              <w:top w:val="single" w:sz="4" w:space="0" w:color="auto"/>
              <w:left w:val="nil"/>
              <w:bottom w:val="single" w:sz="4" w:space="0" w:color="auto"/>
              <w:right w:val="nil"/>
            </w:tcBorders>
            <w:shd w:val="clear" w:color="auto" w:fill="auto"/>
            <w:vAlign w:val="center"/>
            <w:hideMark/>
          </w:tcPr>
          <w:p w14:paraId="0FA41AF0"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Personal data</w:t>
            </w:r>
          </w:p>
        </w:tc>
        <w:tc>
          <w:tcPr>
            <w:tcW w:w="1584" w:type="dxa"/>
            <w:tcBorders>
              <w:top w:val="single" w:sz="4" w:space="0" w:color="auto"/>
              <w:left w:val="nil"/>
              <w:bottom w:val="single" w:sz="4" w:space="0" w:color="auto"/>
              <w:right w:val="nil"/>
            </w:tcBorders>
            <w:shd w:val="clear" w:color="auto" w:fill="auto"/>
            <w:vAlign w:val="center"/>
            <w:hideMark/>
          </w:tcPr>
          <w:p w14:paraId="25AA3385"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No</w:t>
            </w:r>
          </w:p>
        </w:tc>
        <w:tc>
          <w:tcPr>
            <w:tcW w:w="1585" w:type="dxa"/>
            <w:tcBorders>
              <w:top w:val="single" w:sz="4" w:space="0" w:color="auto"/>
              <w:left w:val="nil"/>
              <w:bottom w:val="single" w:sz="4" w:space="0" w:color="auto"/>
              <w:right w:val="nil"/>
            </w:tcBorders>
            <w:shd w:val="clear" w:color="auto" w:fill="auto"/>
            <w:vAlign w:val="center"/>
            <w:hideMark/>
          </w:tcPr>
          <w:p w14:paraId="0D872FFD"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w:t>
            </w:r>
          </w:p>
        </w:tc>
      </w:tr>
      <w:tr w:rsidR="00C340FB" w:rsidRPr="00C340FB" w14:paraId="10C4E3F6" w14:textId="77777777" w:rsidTr="006A3C9E">
        <w:trPr>
          <w:trHeight w:val="526"/>
          <w:jc w:val="center"/>
        </w:trPr>
        <w:tc>
          <w:tcPr>
            <w:tcW w:w="4261" w:type="dxa"/>
            <w:tcBorders>
              <w:top w:val="nil"/>
              <w:left w:val="nil"/>
              <w:bottom w:val="nil"/>
              <w:right w:val="nil"/>
            </w:tcBorders>
            <w:shd w:val="clear" w:color="auto" w:fill="auto"/>
            <w:noWrap/>
            <w:vAlign w:val="center"/>
            <w:hideMark/>
          </w:tcPr>
          <w:p w14:paraId="7EEE28C3"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Age in years</w:t>
            </w:r>
          </w:p>
        </w:tc>
        <w:tc>
          <w:tcPr>
            <w:tcW w:w="1584" w:type="dxa"/>
            <w:tcBorders>
              <w:top w:val="nil"/>
              <w:left w:val="nil"/>
              <w:bottom w:val="nil"/>
              <w:right w:val="nil"/>
            </w:tcBorders>
            <w:shd w:val="clear" w:color="auto" w:fill="auto"/>
            <w:vAlign w:val="center"/>
            <w:hideMark/>
          </w:tcPr>
          <w:p w14:paraId="119EB30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585" w:type="dxa"/>
            <w:tcBorders>
              <w:top w:val="nil"/>
              <w:left w:val="nil"/>
              <w:bottom w:val="nil"/>
              <w:right w:val="nil"/>
            </w:tcBorders>
            <w:shd w:val="clear" w:color="auto" w:fill="auto"/>
            <w:vAlign w:val="center"/>
            <w:hideMark/>
          </w:tcPr>
          <w:p w14:paraId="10470CD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07BB7571" w14:textId="77777777" w:rsidTr="006A3C9E">
        <w:trPr>
          <w:trHeight w:val="526"/>
          <w:jc w:val="center"/>
        </w:trPr>
        <w:tc>
          <w:tcPr>
            <w:tcW w:w="4261" w:type="dxa"/>
            <w:tcBorders>
              <w:top w:val="nil"/>
              <w:left w:val="nil"/>
              <w:bottom w:val="nil"/>
              <w:right w:val="nil"/>
            </w:tcBorders>
            <w:shd w:val="clear" w:color="auto" w:fill="auto"/>
            <w:vAlign w:val="center"/>
            <w:hideMark/>
          </w:tcPr>
          <w:p w14:paraId="6C6A02E5"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&lt; 40</w:t>
            </w:r>
          </w:p>
        </w:tc>
        <w:tc>
          <w:tcPr>
            <w:tcW w:w="1584" w:type="dxa"/>
            <w:tcBorders>
              <w:top w:val="nil"/>
              <w:left w:val="nil"/>
              <w:bottom w:val="nil"/>
              <w:right w:val="nil"/>
            </w:tcBorders>
            <w:shd w:val="clear" w:color="auto" w:fill="auto"/>
            <w:noWrap/>
            <w:vAlign w:val="center"/>
            <w:hideMark/>
          </w:tcPr>
          <w:p w14:paraId="39FE03A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72</w:t>
            </w:r>
          </w:p>
        </w:tc>
        <w:tc>
          <w:tcPr>
            <w:tcW w:w="1585" w:type="dxa"/>
            <w:tcBorders>
              <w:top w:val="nil"/>
              <w:left w:val="nil"/>
              <w:bottom w:val="nil"/>
              <w:right w:val="nil"/>
            </w:tcBorders>
            <w:shd w:val="clear" w:color="auto" w:fill="auto"/>
            <w:noWrap/>
            <w:vAlign w:val="center"/>
            <w:hideMark/>
          </w:tcPr>
          <w:p w14:paraId="60DFE0A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12.1%</w:t>
            </w:r>
          </w:p>
        </w:tc>
      </w:tr>
      <w:tr w:rsidR="00C340FB" w:rsidRPr="00C340FB" w14:paraId="2103E534" w14:textId="77777777" w:rsidTr="006A3C9E">
        <w:trPr>
          <w:trHeight w:val="526"/>
          <w:jc w:val="center"/>
        </w:trPr>
        <w:tc>
          <w:tcPr>
            <w:tcW w:w="4261" w:type="dxa"/>
            <w:tcBorders>
              <w:top w:val="nil"/>
              <w:left w:val="nil"/>
              <w:bottom w:val="nil"/>
              <w:right w:val="nil"/>
            </w:tcBorders>
            <w:shd w:val="clear" w:color="auto" w:fill="auto"/>
            <w:vAlign w:val="center"/>
            <w:hideMark/>
          </w:tcPr>
          <w:p w14:paraId="3D9517B0"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40-59</w:t>
            </w:r>
          </w:p>
        </w:tc>
        <w:tc>
          <w:tcPr>
            <w:tcW w:w="1584" w:type="dxa"/>
            <w:tcBorders>
              <w:top w:val="nil"/>
              <w:left w:val="nil"/>
              <w:bottom w:val="nil"/>
              <w:right w:val="nil"/>
            </w:tcBorders>
            <w:shd w:val="clear" w:color="auto" w:fill="auto"/>
            <w:noWrap/>
            <w:vAlign w:val="center"/>
            <w:hideMark/>
          </w:tcPr>
          <w:p w14:paraId="1BBA982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193</w:t>
            </w:r>
          </w:p>
        </w:tc>
        <w:tc>
          <w:tcPr>
            <w:tcW w:w="1585" w:type="dxa"/>
            <w:tcBorders>
              <w:top w:val="nil"/>
              <w:left w:val="nil"/>
              <w:bottom w:val="nil"/>
              <w:right w:val="nil"/>
            </w:tcBorders>
            <w:shd w:val="clear" w:color="auto" w:fill="auto"/>
            <w:noWrap/>
            <w:vAlign w:val="center"/>
            <w:hideMark/>
          </w:tcPr>
          <w:p w14:paraId="606BC22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32.5%</w:t>
            </w:r>
          </w:p>
        </w:tc>
      </w:tr>
      <w:tr w:rsidR="00C340FB" w:rsidRPr="00C340FB" w14:paraId="7BF606A0" w14:textId="77777777" w:rsidTr="006A3C9E">
        <w:trPr>
          <w:trHeight w:val="526"/>
          <w:jc w:val="center"/>
        </w:trPr>
        <w:tc>
          <w:tcPr>
            <w:tcW w:w="4261" w:type="dxa"/>
            <w:tcBorders>
              <w:top w:val="nil"/>
              <w:left w:val="nil"/>
              <w:bottom w:val="nil"/>
              <w:right w:val="nil"/>
            </w:tcBorders>
            <w:shd w:val="clear" w:color="auto" w:fill="auto"/>
            <w:vAlign w:val="center"/>
            <w:hideMark/>
          </w:tcPr>
          <w:p w14:paraId="2D7CB49D"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lastRenderedPageBreak/>
              <w:t>60-69</w:t>
            </w:r>
          </w:p>
        </w:tc>
        <w:tc>
          <w:tcPr>
            <w:tcW w:w="1584" w:type="dxa"/>
            <w:tcBorders>
              <w:top w:val="nil"/>
              <w:left w:val="nil"/>
              <w:bottom w:val="nil"/>
              <w:right w:val="nil"/>
            </w:tcBorders>
            <w:shd w:val="clear" w:color="auto" w:fill="auto"/>
            <w:noWrap/>
            <w:vAlign w:val="center"/>
            <w:hideMark/>
          </w:tcPr>
          <w:p w14:paraId="2429B1C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127</w:t>
            </w:r>
          </w:p>
        </w:tc>
        <w:tc>
          <w:tcPr>
            <w:tcW w:w="1585" w:type="dxa"/>
            <w:tcBorders>
              <w:top w:val="nil"/>
              <w:left w:val="nil"/>
              <w:bottom w:val="nil"/>
              <w:right w:val="nil"/>
            </w:tcBorders>
            <w:shd w:val="clear" w:color="auto" w:fill="auto"/>
            <w:noWrap/>
            <w:vAlign w:val="center"/>
            <w:hideMark/>
          </w:tcPr>
          <w:p w14:paraId="6E95980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21.4%</w:t>
            </w:r>
          </w:p>
        </w:tc>
      </w:tr>
      <w:tr w:rsidR="00C340FB" w:rsidRPr="00C340FB" w14:paraId="4770E508" w14:textId="77777777" w:rsidTr="006A3C9E">
        <w:trPr>
          <w:trHeight w:val="526"/>
          <w:jc w:val="center"/>
        </w:trPr>
        <w:tc>
          <w:tcPr>
            <w:tcW w:w="4261" w:type="dxa"/>
            <w:tcBorders>
              <w:top w:val="nil"/>
              <w:left w:val="nil"/>
              <w:bottom w:val="single" w:sz="4" w:space="0" w:color="auto"/>
              <w:right w:val="nil"/>
            </w:tcBorders>
            <w:shd w:val="clear" w:color="auto" w:fill="auto"/>
            <w:vAlign w:val="center"/>
            <w:hideMark/>
          </w:tcPr>
          <w:p w14:paraId="2869306C"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70+</w:t>
            </w:r>
          </w:p>
        </w:tc>
        <w:tc>
          <w:tcPr>
            <w:tcW w:w="1584" w:type="dxa"/>
            <w:tcBorders>
              <w:top w:val="nil"/>
              <w:left w:val="nil"/>
              <w:bottom w:val="single" w:sz="4" w:space="0" w:color="auto"/>
              <w:right w:val="nil"/>
            </w:tcBorders>
            <w:shd w:val="clear" w:color="auto" w:fill="auto"/>
            <w:noWrap/>
            <w:vAlign w:val="center"/>
            <w:hideMark/>
          </w:tcPr>
          <w:p w14:paraId="6673624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202</w:t>
            </w:r>
          </w:p>
        </w:tc>
        <w:tc>
          <w:tcPr>
            <w:tcW w:w="1585" w:type="dxa"/>
            <w:tcBorders>
              <w:top w:val="nil"/>
              <w:left w:val="nil"/>
              <w:bottom w:val="single" w:sz="4" w:space="0" w:color="auto"/>
              <w:right w:val="nil"/>
            </w:tcBorders>
            <w:shd w:val="clear" w:color="auto" w:fill="auto"/>
            <w:noWrap/>
            <w:vAlign w:val="center"/>
            <w:hideMark/>
          </w:tcPr>
          <w:p w14:paraId="738EC6E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34.0%</w:t>
            </w:r>
          </w:p>
        </w:tc>
      </w:tr>
      <w:tr w:rsidR="00C340FB" w:rsidRPr="00C340FB" w14:paraId="15EDF5EE" w14:textId="77777777" w:rsidTr="006A3C9E">
        <w:trPr>
          <w:trHeight w:val="526"/>
          <w:jc w:val="center"/>
        </w:trPr>
        <w:tc>
          <w:tcPr>
            <w:tcW w:w="4261" w:type="dxa"/>
            <w:tcBorders>
              <w:top w:val="single" w:sz="4" w:space="0" w:color="auto"/>
              <w:left w:val="nil"/>
              <w:bottom w:val="single" w:sz="4" w:space="0" w:color="auto"/>
              <w:right w:val="nil"/>
            </w:tcBorders>
            <w:shd w:val="clear" w:color="auto" w:fill="auto"/>
            <w:vAlign w:val="center"/>
          </w:tcPr>
          <w:p w14:paraId="510F3368"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Mean ± SD</w:t>
            </w:r>
          </w:p>
        </w:tc>
        <w:tc>
          <w:tcPr>
            <w:tcW w:w="3169" w:type="dxa"/>
            <w:gridSpan w:val="2"/>
            <w:tcBorders>
              <w:top w:val="single" w:sz="4" w:space="0" w:color="auto"/>
              <w:left w:val="nil"/>
              <w:bottom w:val="single" w:sz="4" w:space="0" w:color="auto"/>
              <w:right w:val="nil"/>
            </w:tcBorders>
            <w:shd w:val="clear" w:color="auto" w:fill="auto"/>
            <w:noWrap/>
            <w:vAlign w:val="center"/>
          </w:tcPr>
          <w:p w14:paraId="4F33EBE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t xml:space="preserve">60.5 </w:t>
            </w:r>
            <w:r w:rsidRPr="00C340FB">
              <w:rPr>
                <w:rFonts w:cstheme="minorHAnsi"/>
              </w:rPr>
              <w:t>±</w:t>
            </w:r>
            <w:r w:rsidRPr="00C340FB">
              <w:t xml:space="preserve"> 17.3</w:t>
            </w:r>
          </w:p>
        </w:tc>
      </w:tr>
      <w:tr w:rsidR="00C340FB" w:rsidRPr="00C340FB" w14:paraId="6786AA95" w14:textId="77777777" w:rsidTr="006A3C9E">
        <w:trPr>
          <w:trHeight w:val="526"/>
          <w:jc w:val="center"/>
        </w:trPr>
        <w:tc>
          <w:tcPr>
            <w:tcW w:w="4261" w:type="dxa"/>
            <w:tcBorders>
              <w:top w:val="single" w:sz="4" w:space="0" w:color="auto"/>
              <w:left w:val="nil"/>
              <w:bottom w:val="nil"/>
              <w:right w:val="nil"/>
            </w:tcBorders>
            <w:shd w:val="clear" w:color="auto" w:fill="auto"/>
            <w:noWrap/>
            <w:vAlign w:val="center"/>
            <w:hideMark/>
          </w:tcPr>
          <w:p w14:paraId="65006C59"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Gender</w:t>
            </w:r>
          </w:p>
        </w:tc>
        <w:tc>
          <w:tcPr>
            <w:tcW w:w="1584" w:type="dxa"/>
            <w:tcBorders>
              <w:top w:val="single" w:sz="4" w:space="0" w:color="auto"/>
              <w:left w:val="nil"/>
              <w:bottom w:val="nil"/>
              <w:right w:val="nil"/>
            </w:tcBorders>
            <w:shd w:val="clear" w:color="auto" w:fill="auto"/>
            <w:noWrap/>
            <w:vAlign w:val="center"/>
            <w:hideMark/>
          </w:tcPr>
          <w:p w14:paraId="5C4977B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585" w:type="dxa"/>
            <w:tcBorders>
              <w:top w:val="single" w:sz="4" w:space="0" w:color="auto"/>
              <w:left w:val="nil"/>
              <w:bottom w:val="nil"/>
              <w:right w:val="nil"/>
            </w:tcBorders>
            <w:shd w:val="clear" w:color="auto" w:fill="auto"/>
            <w:noWrap/>
            <w:vAlign w:val="center"/>
            <w:hideMark/>
          </w:tcPr>
          <w:p w14:paraId="098251B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439F055" w14:textId="77777777" w:rsidTr="006A3C9E">
        <w:trPr>
          <w:trHeight w:val="526"/>
          <w:jc w:val="center"/>
        </w:trPr>
        <w:tc>
          <w:tcPr>
            <w:tcW w:w="4261" w:type="dxa"/>
            <w:tcBorders>
              <w:top w:val="nil"/>
              <w:left w:val="nil"/>
              <w:bottom w:val="nil"/>
              <w:right w:val="nil"/>
            </w:tcBorders>
            <w:shd w:val="clear" w:color="auto" w:fill="auto"/>
            <w:vAlign w:val="center"/>
            <w:hideMark/>
          </w:tcPr>
          <w:p w14:paraId="344AF7B0"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Male</w:t>
            </w:r>
          </w:p>
        </w:tc>
        <w:tc>
          <w:tcPr>
            <w:tcW w:w="1584" w:type="dxa"/>
            <w:tcBorders>
              <w:top w:val="nil"/>
              <w:left w:val="nil"/>
              <w:bottom w:val="nil"/>
              <w:right w:val="nil"/>
            </w:tcBorders>
            <w:shd w:val="clear" w:color="auto" w:fill="auto"/>
            <w:noWrap/>
            <w:vAlign w:val="center"/>
            <w:hideMark/>
          </w:tcPr>
          <w:p w14:paraId="3B0CE17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398</w:t>
            </w:r>
          </w:p>
        </w:tc>
        <w:tc>
          <w:tcPr>
            <w:tcW w:w="1585" w:type="dxa"/>
            <w:tcBorders>
              <w:top w:val="nil"/>
              <w:left w:val="nil"/>
              <w:bottom w:val="nil"/>
              <w:right w:val="nil"/>
            </w:tcBorders>
            <w:shd w:val="clear" w:color="auto" w:fill="auto"/>
            <w:noWrap/>
            <w:vAlign w:val="center"/>
            <w:hideMark/>
          </w:tcPr>
          <w:p w14:paraId="7831A95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67.0%</w:t>
            </w:r>
          </w:p>
        </w:tc>
      </w:tr>
      <w:tr w:rsidR="00C340FB" w:rsidRPr="00C340FB" w14:paraId="2EBE4809" w14:textId="77777777" w:rsidTr="006A3C9E">
        <w:trPr>
          <w:trHeight w:val="526"/>
          <w:jc w:val="center"/>
        </w:trPr>
        <w:tc>
          <w:tcPr>
            <w:tcW w:w="4261" w:type="dxa"/>
            <w:tcBorders>
              <w:top w:val="nil"/>
              <w:left w:val="nil"/>
              <w:bottom w:val="single" w:sz="4" w:space="0" w:color="auto"/>
              <w:right w:val="nil"/>
            </w:tcBorders>
            <w:shd w:val="clear" w:color="auto" w:fill="auto"/>
            <w:vAlign w:val="center"/>
            <w:hideMark/>
          </w:tcPr>
          <w:p w14:paraId="5DC5A73F"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Female</w:t>
            </w:r>
          </w:p>
        </w:tc>
        <w:tc>
          <w:tcPr>
            <w:tcW w:w="1584" w:type="dxa"/>
            <w:tcBorders>
              <w:top w:val="nil"/>
              <w:left w:val="nil"/>
              <w:bottom w:val="single" w:sz="4" w:space="0" w:color="auto"/>
              <w:right w:val="nil"/>
            </w:tcBorders>
            <w:shd w:val="clear" w:color="auto" w:fill="auto"/>
            <w:noWrap/>
            <w:vAlign w:val="center"/>
            <w:hideMark/>
          </w:tcPr>
          <w:p w14:paraId="02AE08D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196</w:t>
            </w:r>
          </w:p>
        </w:tc>
        <w:tc>
          <w:tcPr>
            <w:tcW w:w="1585" w:type="dxa"/>
            <w:tcBorders>
              <w:top w:val="nil"/>
              <w:left w:val="nil"/>
              <w:bottom w:val="single" w:sz="4" w:space="0" w:color="auto"/>
              <w:right w:val="nil"/>
            </w:tcBorders>
            <w:shd w:val="clear" w:color="auto" w:fill="auto"/>
            <w:noWrap/>
            <w:vAlign w:val="center"/>
            <w:hideMark/>
          </w:tcPr>
          <w:p w14:paraId="6995B14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33.0%</w:t>
            </w:r>
          </w:p>
        </w:tc>
      </w:tr>
      <w:tr w:rsidR="00C340FB" w:rsidRPr="00C340FB" w14:paraId="3648BD0C" w14:textId="77777777" w:rsidTr="006A3C9E">
        <w:trPr>
          <w:trHeight w:val="526"/>
          <w:jc w:val="center"/>
        </w:trPr>
        <w:tc>
          <w:tcPr>
            <w:tcW w:w="4261" w:type="dxa"/>
            <w:tcBorders>
              <w:top w:val="nil"/>
              <w:left w:val="nil"/>
              <w:bottom w:val="nil"/>
              <w:right w:val="nil"/>
            </w:tcBorders>
            <w:shd w:val="clear" w:color="auto" w:fill="auto"/>
            <w:noWrap/>
            <w:vAlign w:val="center"/>
            <w:hideMark/>
          </w:tcPr>
          <w:p w14:paraId="54DE52F1"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Smoking</w:t>
            </w:r>
          </w:p>
        </w:tc>
        <w:tc>
          <w:tcPr>
            <w:tcW w:w="1584" w:type="dxa"/>
            <w:tcBorders>
              <w:top w:val="nil"/>
              <w:left w:val="nil"/>
              <w:bottom w:val="nil"/>
              <w:right w:val="nil"/>
            </w:tcBorders>
            <w:shd w:val="clear" w:color="auto" w:fill="auto"/>
            <w:noWrap/>
            <w:vAlign w:val="center"/>
            <w:hideMark/>
          </w:tcPr>
          <w:p w14:paraId="7020C0F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585" w:type="dxa"/>
            <w:tcBorders>
              <w:top w:val="nil"/>
              <w:left w:val="nil"/>
              <w:bottom w:val="nil"/>
              <w:right w:val="nil"/>
            </w:tcBorders>
            <w:shd w:val="clear" w:color="auto" w:fill="auto"/>
            <w:noWrap/>
            <w:vAlign w:val="center"/>
            <w:hideMark/>
          </w:tcPr>
          <w:p w14:paraId="3396ABC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029EAA17" w14:textId="77777777" w:rsidTr="006A3C9E">
        <w:trPr>
          <w:trHeight w:val="526"/>
          <w:jc w:val="center"/>
        </w:trPr>
        <w:tc>
          <w:tcPr>
            <w:tcW w:w="4261" w:type="dxa"/>
            <w:tcBorders>
              <w:top w:val="nil"/>
              <w:left w:val="nil"/>
              <w:bottom w:val="nil"/>
              <w:right w:val="nil"/>
            </w:tcBorders>
            <w:shd w:val="clear" w:color="auto" w:fill="auto"/>
            <w:vAlign w:val="center"/>
            <w:hideMark/>
          </w:tcPr>
          <w:p w14:paraId="1F894157"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No</w:t>
            </w:r>
          </w:p>
        </w:tc>
        <w:tc>
          <w:tcPr>
            <w:tcW w:w="1584" w:type="dxa"/>
            <w:tcBorders>
              <w:top w:val="nil"/>
              <w:left w:val="nil"/>
              <w:bottom w:val="nil"/>
              <w:right w:val="nil"/>
            </w:tcBorders>
            <w:shd w:val="clear" w:color="auto" w:fill="auto"/>
            <w:noWrap/>
            <w:vAlign w:val="center"/>
            <w:hideMark/>
          </w:tcPr>
          <w:p w14:paraId="6F9C611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589</w:t>
            </w:r>
          </w:p>
        </w:tc>
        <w:tc>
          <w:tcPr>
            <w:tcW w:w="1585" w:type="dxa"/>
            <w:tcBorders>
              <w:top w:val="nil"/>
              <w:left w:val="nil"/>
              <w:bottom w:val="nil"/>
              <w:right w:val="nil"/>
            </w:tcBorders>
            <w:shd w:val="clear" w:color="auto" w:fill="auto"/>
            <w:noWrap/>
            <w:vAlign w:val="center"/>
            <w:hideMark/>
          </w:tcPr>
          <w:p w14:paraId="5D46DD2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99.2%</w:t>
            </w:r>
          </w:p>
        </w:tc>
      </w:tr>
      <w:tr w:rsidR="001F3178" w:rsidRPr="00C340FB" w14:paraId="5942EB1C" w14:textId="77777777" w:rsidTr="006A3C9E">
        <w:trPr>
          <w:trHeight w:val="526"/>
          <w:jc w:val="center"/>
        </w:trPr>
        <w:tc>
          <w:tcPr>
            <w:tcW w:w="4261" w:type="dxa"/>
            <w:tcBorders>
              <w:top w:val="nil"/>
              <w:left w:val="nil"/>
              <w:bottom w:val="single" w:sz="4" w:space="0" w:color="auto"/>
              <w:right w:val="nil"/>
            </w:tcBorders>
            <w:shd w:val="clear" w:color="auto" w:fill="auto"/>
            <w:vAlign w:val="center"/>
            <w:hideMark/>
          </w:tcPr>
          <w:p w14:paraId="1BEFD913"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Yes</w:t>
            </w:r>
          </w:p>
        </w:tc>
        <w:tc>
          <w:tcPr>
            <w:tcW w:w="1584" w:type="dxa"/>
            <w:tcBorders>
              <w:top w:val="nil"/>
              <w:left w:val="nil"/>
              <w:bottom w:val="single" w:sz="4" w:space="0" w:color="auto"/>
              <w:right w:val="nil"/>
            </w:tcBorders>
            <w:shd w:val="clear" w:color="auto" w:fill="auto"/>
            <w:noWrap/>
            <w:vAlign w:val="center"/>
            <w:hideMark/>
          </w:tcPr>
          <w:p w14:paraId="5B67618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w:t>
            </w:r>
          </w:p>
        </w:tc>
        <w:tc>
          <w:tcPr>
            <w:tcW w:w="1585" w:type="dxa"/>
            <w:tcBorders>
              <w:top w:val="nil"/>
              <w:left w:val="nil"/>
              <w:bottom w:val="single" w:sz="4" w:space="0" w:color="auto"/>
              <w:right w:val="nil"/>
            </w:tcBorders>
            <w:shd w:val="clear" w:color="auto" w:fill="auto"/>
            <w:noWrap/>
            <w:vAlign w:val="center"/>
            <w:hideMark/>
          </w:tcPr>
          <w:p w14:paraId="28156EA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.8%</w:t>
            </w:r>
          </w:p>
        </w:tc>
      </w:tr>
    </w:tbl>
    <w:p w14:paraId="7BCC08C5" w14:textId="77777777" w:rsidR="001F3178" w:rsidRPr="00C340FB" w:rsidRDefault="001F3178" w:rsidP="001F3178"/>
    <w:p w14:paraId="5D79703D" w14:textId="77777777" w:rsidR="001F3178" w:rsidRPr="00C340FB" w:rsidRDefault="001F3178" w:rsidP="001F3178"/>
    <w:p w14:paraId="16D3CBF9" w14:textId="77777777" w:rsidR="001F3178" w:rsidRPr="00C340FB" w:rsidRDefault="001F3178" w:rsidP="001F3178"/>
    <w:p w14:paraId="5644D3F1" w14:textId="77777777" w:rsidR="001F3178" w:rsidRPr="00C340FB" w:rsidRDefault="001F3178" w:rsidP="001F3178"/>
    <w:p w14:paraId="29839F24" w14:textId="77777777" w:rsidR="001F3178" w:rsidRPr="00C340FB" w:rsidRDefault="001F3178" w:rsidP="001F3178">
      <w:pPr>
        <w:jc w:val="center"/>
      </w:pPr>
      <w:r w:rsidRPr="00C340FB">
        <w:rPr>
          <w:noProof/>
        </w:rPr>
        <w:lastRenderedPageBreak/>
        <w:drawing>
          <wp:inline distT="0" distB="0" distL="0" distR="0" wp14:anchorId="1B3D5240" wp14:editId="1A892E6E">
            <wp:extent cx="5857875" cy="5496560"/>
            <wp:effectExtent l="0" t="0" r="0" b="0"/>
            <wp:docPr id="1050030511" name="Chart 1">
              <a:extLst xmlns:a="http://schemas.openxmlformats.org/drawingml/2006/main">
                <a:ext uri="{FF2B5EF4-FFF2-40B4-BE49-F238E27FC236}">
                  <a16:creationId xmlns:a16="http://schemas.microsoft.com/office/drawing/2014/main" id="{7E86BD6F-B368-A758-5BEF-B42CBB4E0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7CF2B5" w14:textId="77777777" w:rsidR="001F3178" w:rsidRPr="00C340FB" w:rsidRDefault="001F3178" w:rsidP="001F3178">
      <w:pPr>
        <w:ind w:firstLine="720"/>
        <w:jc w:val="center"/>
        <w:rPr>
          <w:sz w:val="24"/>
          <w:szCs w:val="24"/>
        </w:rPr>
      </w:pPr>
      <w:r w:rsidRPr="00C340FB">
        <w:rPr>
          <w:sz w:val="24"/>
          <w:szCs w:val="24"/>
        </w:rPr>
        <w:t>Figure 1. Chronic diseases among covid patients admitted to ICU, ACH, Saudi Arabia</w:t>
      </w:r>
    </w:p>
    <w:p w14:paraId="0977E04D" w14:textId="77777777" w:rsidR="001F3178" w:rsidRPr="00C340FB" w:rsidRDefault="001F3178" w:rsidP="001F3178">
      <w:pPr>
        <w:ind w:firstLine="720"/>
        <w:jc w:val="center"/>
        <w:rPr>
          <w:sz w:val="24"/>
          <w:szCs w:val="24"/>
        </w:rPr>
      </w:pPr>
    </w:p>
    <w:p w14:paraId="56E49594" w14:textId="77777777" w:rsidR="001F3178" w:rsidRPr="00C340FB" w:rsidRDefault="001F3178" w:rsidP="001F3178">
      <w:pPr>
        <w:ind w:firstLine="720"/>
        <w:jc w:val="center"/>
        <w:rPr>
          <w:sz w:val="24"/>
          <w:szCs w:val="24"/>
        </w:rPr>
      </w:pPr>
    </w:p>
    <w:p w14:paraId="1A4B4408" w14:textId="77777777" w:rsidR="001F3178" w:rsidRPr="00C340FB" w:rsidRDefault="001F3178" w:rsidP="001F3178">
      <w:pPr>
        <w:ind w:firstLine="720"/>
        <w:jc w:val="center"/>
        <w:rPr>
          <w:sz w:val="24"/>
          <w:szCs w:val="24"/>
        </w:rPr>
      </w:pPr>
    </w:p>
    <w:p w14:paraId="37DABB72" w14:textId="77777777" w:rsidR="001F3178" w:rsidRPr="00C340FB" w:rsidRDefault="001F3178" w:rsidP="00F52789">
      <w:pPr>
        <w:rPr>
          <w:sz w:val="24"/>
          <w:szCs w:val="24"/>
        </w:rPr>
      </w:pPr>
    </w:p>
    <w:p w14:paraId="5D55C7FF" w14:textId="77777777" w:rsidR="001F3178" w:rsidRPr="00C340FB" w:rsidRDefault="001F3178" w:rsidP="001F3178">
      <w:pPr>
        <w:ind w:firstLine="720"/>
        <w:jc w:val="center"/>
        <w:rPr>
          <w:sz w:val="24"/>
          <w:szCs w:val="24"/>
        </w:rPr>
      </w:pPr>
    </w:p>
    <w:p w14:paraId="3EE67BB2" w14:textId="77777777" w:rsidR="001F3178" w:rsidRPr="00C340FB" w:rsidRDefault="001F3178" w:rsidP="001F3178">
      <w:pPr>
        <w:ind w:firstLine="720"/>
        <w:jc w:val="center"/>
        <w:rPr>
          <w:sz w:val="24"/>
          <w:szCs w:val="24"/>
        </w:rPr>
      </w:pPr>
    </w:p>
    <w:p w14:paraId="2B243162" w14:textId="77777777" w:rsidR="001F3178" w:rsidRPr="00C340FB" w:rsidRDefault="001F3178" w:rsidP="001F3178">
      <w:pPr>
        <w:ind w:left="-567"/>
        <w:jc w:val="center"/>
        <w:rPr>
          <w:sz w:val="24"/>
          <w:szCs w:val="24"/>
        </w:rPr>
      </w:pPr>
      <w:r w:rsidRPr="00C340FB">
        <w:rPr>
          <w:noProof/>
        </w:rPr>
        <w:lastRenderedPageBreak/>
        <w:drawing>
          <wp:inline distT="0" distB="0" distL="0" distR="0" wp14:anchorId="1BC6E8E3" wp14:editId="38E10569">
            <wp:extent cx="6217285" cy="3914775"/>
            <wp:effectExtent l="0" t="0" r="0" b="0"/>
            <wp:docPr id="1722254073" name="Chart 1">
              <a:extLst xmlns:a="http://schemas.openxmlformats.org/drawingml/2006/main">
                <a:ext uri="{FF2B5EF4-FFF2-40B4-BE49-F238E27FC236}">
                  <a16:creationId xmlns:a16="http://schemas.microsoft.com/office/drawing/2014/main" id="{8497EE2C-7C65-53A7-05C6-68891656E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874EA6" w14:textId="77777777" w:rsidR="001F3178" w:rsidRPr="00C340FB" w:rsidRDefault="001F3178" w:rsidP="001F3178">
      <w:pPr>
        <w:ind w:firstLine="720"/>
        <w:jc w:val="center"/>
        <w:rPr>
          <w:sz w:val="24"/>
          <w:szCs w:val="24"/>
        </w:rPr>
      </w:pPr>
      <w:r w:rsidRPr="00C340FB">
        <w:rPr>
          <w:sz w:val="24"/>
          <w:szCs w:val="24"/>
        </w:rPr>
        <w:t>Figure 2. Medications taken by covid patients admitted to ICU, ACH, Saudi Arabia</w:t>
      </w:r>
    </w:p>
    <w:p w14:paraId="2FE10C2C" w14:textId="77777777" w:rsidR="001F3178" w:rsidRPr="00C340FB" w:rsidRDefault="001F3178" w:rsidP="001F3178">
      <w:pPr>
        <w:ind w:firstLine="720"/>
        <w:jc w:val="center"/>
        <w:rPr>
          <w:sz w:val="24"/>
          <w:szCs w:val="24"/>
        </w:rPr>
      </w:pPr>
    </w:p>
    <w:p w14:paraId="679CD3F7" w14:textId="7D4F5D9B" w:rsidR="00F52789" w:rsidRPr="00C340FB" w:rsidRDefault="00F52789">
      <w:pPr>
        <w:rPr>
          <w:sz w:val="24"/>
          <w:szCs w:val="24"/>
        </w:rPr>
      </w:pPr>
      <w:r w:rsidRPr="00C340FB">
        <w:rPr>
          <w:sz w:val="24"/>
          <w:szCs w:val="24"/>
        </w:rPr>
        <w:br w:type="page"/>
      </w:r>
    </w:p>
    <w:p w14:paraId="68C6EE87" w14:textId="77777777" w:rsidR="001F3178" w:rsidRPr="00C340FB" w:rsidRDefault="001F3178" w:rsidP="001F3178">
      <w:pPr>
        <w:jc w:val="center"/>
        <w:rPr>
          <w:sz w:val="24"/>
          <w:szCs w:val="24"/>
        </w:rPr>
      </w:pPr>
    </w:p>
    <w:p w14:paraId="067C9EB9" w14:textId="77777777" w:rsidR="001F3178" w:rsidRPr="00C340FB" w:rsidRDefault="001F3178" w:rsidP="001F3178">
      <w:pPr>
        <w:jc w:val="center"/>
        <w:rPr>
          <w:sz w:val="24"/>
          <w:szCs w:val="24"/>
        </w:rPr>
      </w:pPr>
      <w:r w:rsidRPr="00C340FB">
        <w:rPr>
          <w:sz w:val="24"/>
          <w:szCs w:val="24"/>
        </w:rPr>
        <w:t>Table 2. Laboratory findings among covid patients admitted to ICU, ACH, Saudi Arabia</w:t>
      </w:r>
    </w:p>
    <w:p w14:paraId="75E1D993" w14:textId="77777777" w:rsidR="001F3178" w:rsidRPr="00C340FB" w:rsidRDefault="001F3178" w:rsidP="001F3178">
      <w:pPr>
        <w:ind w:firstLine="720"/>
        <w:jc w:val="center"/>
        <w:rPr>
          <w:sz w:val="24"/>
          <w:szCs w:val="24"/>
        </w:rPr>
      </w:pPr>
    </w:p>
    <w:tbl>
      <w:tblPr>
        <w:tblW w:w="7082" w:type="dxa"/>
        <w:jc w:val="center"/>
        <w:tblLook w:val="04A0" w:firstRow="1" w:lastRow="0" w:firstColumn="1" w:lastColumn="0" w:noHBand="0" w:noVBand="1"/>
      </w:tblPr>
      <w:tblGrid>
        <w:gridCol w:w="3466"/>
        <w:gridCol w:w="1808"/>
        <w:gridCol w:w="1808"/>
      </w:tblGrid>
      <w:tr w:rsidR="00C340FB" w:rsidRPr="00C340FB" w14:paraId="0D32D22C" w14:textId="77777777" w:rsidTr="006A3C9E">
        <w:trPr>
          <w:trHeight w:val="384"/>
          <w:jc w:val="center"/>
        </w:trPr>
        <w:tc>
          <w:tcPr>
            <w:tcW w:w="3466" w:type="dxa"/>
            <w:tcBorders>
              <w:top w:val="single" w:sz="4" w:space="0" w:color="auto"/>
              <w:left w:val="nil"/>
              <w:bottom w:val="single" w:sz="4" w:space="0" w:color="auto"/>
              <w:right w:val="nil"/>
            </w:tcBorders>
            <w:shd w:val="clear" w:color="auto" w:fill="auto"/>
            <w:noWrap/>
            <w:vAlign w:val="center"/>
            <w:hideMark/>
          </w:tcPr>
          <w:p w14:paraId="7464C958"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Laboratory findings</w:t>
            </w:r>
          </w:p>
        </w:tc>
        <w:tc>
          <w:tcPr>
            <w:tcW w:w="1808" w:type="dxa"/>
            <w:tcBorders>
              <w:top w:val="single" w:sz="4" w:space="0" w:color="auto"/>
              <w:left w:val="nil"/>
              <w:bottom w:val="single" w:sz="4" w:space="0" w:color="auto"/>
              <w:right w:val="nil"/>
            </w:tcBorders>
            <w:shd w:val="clear" w:color="auto" w:fill="auto"/>
            <w:noWrap/>
            <w:vAlign w:val="center"/>
            <w:hideMark/>
          </w:tcPr>
          <w:p w14:paraId="598D395E"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Mean</w:t>
            </w:r>
          </w:p>
        </w:tc>
        <w:tc>
          <w:tcPr>
            <w:tcW w:w="1808" w:type="dxa"/>
            <w:tcBorders>
              <w:top w:val="single" w:sz="4" w:space="0" w:color="auto"/>
              <w:left w:val="nil"/>
              <w:bottom w:val="single" w:sz="4" w:space="0" w:color="auto"/>
              <w:right w:val="nil"/>
            </w:tcBorders>
            <w:shd w:val="clear" w:color="auto" w:fill="auto"/>
            <w:noWrap/>
            <w:vAlign w:val="center"/>
            <w:hideMark/>
          </w:tcPr>
          <w:p w14:paraId="19DEA37E"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SD</w:t>
            </w:r>
          </w:p>
        </w:tc>
      </w:tr>
      <w:tr w:rsidR="00C340FB" w:rsidRPr="00C340FB" w14:paraId="0A9D451A"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71B59AB4"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Creatinine</w:t>
            </w:r>
          </w:p>
        </w:tc>
        <w:tc>
          <w:tcPr>
            <w:tcW w:w="1808" w:type="dxa"/>
            <w:tcBorders>
              <w:top w:val="nil"/>
              <w:left w:val="nil"/>
              <w:bottom w:val="nil"/>
              <w:right w:val="nil"/>
            </w:tcBorders>
            <w:shd w:val="clear" w:color="auto" w:fill="auto"/>
            <w:noWrap/>
            <w:vAlign w:val="center"/>
            <w:hideMark/>
          </w:tcPr>
          <w:p w14:paraId="5EFCD87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2.6</w:t>
            </w:r>
          </w:p>
        </w:tc>
        <w:tc>
          <w:tcPr>
            <w:tcW w:w="1808" w:type="dxa"/>
            <w:tcBorders>
              <w:top w:val="nil"/>
              <w:left w:val="nil"/>
              <w:bottom w:val="nil"/>
              <w:right w:val="nil"/>
            </w:tcBorders>
            <w:shd w:val="clear" w:color="auto" w:fill="auto"/>
            <w:noWrap/>
            <w:vAlign w:val="center"/>
            <w:hideMark/>
          </w:tcPr>
          <w:p w14:paraId="2509F8D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1.9</w:t>
            </w:r>
          </w:p>
        </w:tc>
      </w:tr>
      <w:tr w:rsidR="00C340FB" w:rsidRPr="00C340FB" w14:paraId="5E3E22B4"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4E70B1DD"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Hb</w:t>
            </w:r>
          </w:p>
        </w:tc>
        <w:tc>
          <w:tcPr>
            <w:tcW w:w="1808" w:type="dxa"/>
            <w:tcBorders>
              <w:top w:val="nil"/>
              <w:left w:val="nil"/>
              <w:bottom w:val="nil"/>
              <w:right w:val="nil"/>
            </w:tcBorders>
            <w:shd w:val="clear" w:color="auto" w:fill="auto"/>
            <w:noWrap/>
            <w:vAlign w:val="center"/>
            <w:hideMark/>
          </w:tcPr>
          <w:p w14:paraId="546446B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13.3</w:t>
            </w:r>
          </w:p>
        </w:tc>
        <w:tc>
          <w:tcPr>
            <w:tcW w:w="1808" w:type="dxa"/>
            <w:tcBorders>
              <w:top w:val="nil"/>
              <w:left w:val="nil"/>
              <w:bottom w:val="nil"/>
              <w:right w:val="nil"/>
            </w:tcBorders>
            <w:shd w:val="clear" w:color="auto" w:fill="auto"/>
            <w:noWrap/>
            <w:vAlign w:val="center"/>
            <w:hideMark/>
          </w:tcPr>
          <w:p w14:paraId="25F90B9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2.9</w:t>
            </w:r>
          </w:p>
        </w:tc>
      </w:tr>
      <w:tr w:rsidR="00C340FB" w:rsidRPr="00C340FB" w14:paraId="641B8B9D"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10C6297D"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WBCs</w:t>
            </w:r>
          </w:p>
        </w:tc>
        <w:tc>
          <w:tcPr>
            <w:tcW w:w="1808" w:type="dxa"/>
            <w:tcBorders>
              <w:top w:val="nil"/>
              <w:left w:val="nil"/>
              <w:bottom w:val="nil"/>
              <w:right w:val="nil"/>
            </w:tcBorders>
            <w:shd w:val="clear" w:color="auto" w:fill="auto"/>
            <w:noWrap/>
            <w:vAlign w:val="center"/>
            <w:hideMark/>
          </w:tcPr>
          <w:p w14:paraId="1D32489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19.9</w:t>
            </w:r>
          </w:p>
        </w:tc>
        <w:tc>
          <w:tcPr>
            <w:tcW w:w="1808" w:type="dxa"/>
            <w:tcBorders>
              <w:top w:val="nil"/>
              <w:left w:val="nil"/>
              <w:bottom w:val="nil"/>
              <w:right w:val="nil"/>
            </w:tcBorders>
            <w:shd w:val="clear" w:color="auto" w:fill="auto"/>
            <w:noWrap/>
            <w:vAlign w:val="center"/>
            <w:hideMark/>
          </w:tcPr>
          <w:p w14:paraId="2D16F0A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12.0</w:t>
            </w:r>
          </w:p>
        </w:tc>
      </w:tr>
      <w:tr w:rsidR="00C340FB" w:rsidRPr="00C340FB" w14:paraId="49975218"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0FC7E86B"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Platelets</w:t>
            </w:r>
          </w:p>
        </w:tc>
        <w:tc>
          <w:tcPr>
            <w:tcW w:w="1808" w:type="dxa"/>
            <w:tcBorders>
              <w:top w:val="nil"/>
              <w:left w:val="nil"/>
              <w:bottom w:val="nil"/>
              <w:right w:val="nil"/>
            </w:tcBorders>
            <w:shd w:val="clear" w:color="auto" w:fill="auto"/>
            <w:noWrap/>
            <w:vAlign w:val="center"/>
            <w:hideMark/>
          </w:tcPr>
          <w:p w14:paraId="032C174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131.8</w:t>
            </w:r>
          </w:p>
        </w:tc>
        <w:tc>
          <w:tcPr>
            <w:tcW w:w="1808" w:type="dxa"/>
            <w:tcBorders>
              <w:top w:val="nil"/>
              <w:left w:val="nil"/>
              <w:bottom w:val="nil"/>
              <w:right w:val="nil"/>
            </w:tcBorders>
            <w:shd w:val="clear" w:color="auto" w:fill="auto"/>
            <w:noWrap/>
            <w:vAlign w:val="center"/>
            <w:hideMark/>
          </w:tcPr>
          <w:p w14:paraId="4D86DB4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132.1</w:t>
            </w:r>
          </w:p>
        </w:tc>
      </w:tr>
      <w:tr w:rsidR="00C340FB" w:rsidRPr="00C340FB" w14:paraId="04EADA45"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4D3533A4"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LDL</w:t>
            </w:r>
          </w:p>
        </w:tc>
        <w:tc>
          <w:tcPr>
            <w:tcW w:w="1808" w:type="dxa"/>
            <w:tcBorders>
              <w:top w:val="nil"/>
              <w:left w:val="nil"/>
              <w:bottom w:val="nil"/>
              <w:right w:val="nil"/>
            </w:tcBorders>
            <w:shd w:val="clear" w:color="auto" w:fill="auto"/>
            <w:noWrap/>
            <w:vAlign w:val="center"/>
            <w:hideMark/>
          </w:tcPr>
          <w:p w14:paraId="0D0AFB0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78.3</w:t>
            </w:r>
          </w:p>
        </w:tc>
        <w:tc>
          <w:tcPr>
            <w:tcW w:w="1808" w:type="dxa"/>
            <w:tcBorders>
              <w:top w:val="nil"/>
              <w:left w:val="nil"/>
              <w:bottom w:val="nil"/>
              <w:right w:val="nil"/>
            </w:tcBorders>
            <w:shd w:val="clear" w:color="auto" w:fill="auto"/>
            <w:noWrap/>
            <w:vAlign w:val="center"/>
            <w:hideMark/>
          </w:tcPr>
          <w:p w14:paraId="794C732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59.4</w:t>
            </w:r>
          </w:p>
        </w:tc>
      </w:tr>
      <w:tr w:rsidR="00C340FB" w:rsidRPr="00C340FB" w14:paraId="6A81347D"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40C42B9C"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HDL</w:t>
            </w:r>
          </w:p>
        </w:tc>
        <w:tc>
          <w:tcPr>
            <w:tcW w:w="1808" w:type="dxa"/>
            <w:tcBorders>
              <w:top w:val="nil"/>
              <w:left w:val="nil"/>
              <w:bottom w:val="nil"/>
              <w:right w:val="nil"/>
            </w:tcBorders>
            <w:shd w:val="clear" w:color="auto" w:fill="auto"/>
            <w:noWrap/>
            <w:vAlign w:val="center"/>
            <w:hideMark/>
          </w:tcPr>
          <w:p w14:paraId="40C9CF6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35.1</w:t>
            </w:r>
          </w:p>
        </w:tc>
        <w:tc>
          <w:tcPr>
            <w:tcW w:w="1808" w:type="dxa"/>
            <w:tcBorders>
              <w:top w:val="nil"/>
              <w:left w:val="nil"/>
              <w:bottom w:val="nil"/>
              <w:right w:val="nil"/>
            </w:tcBorders>
            <w:shd w:val="clear" w:color="auto" w:fill="auto"/>
            <w:noWrap/>
            <w:vAlign w:val="center"/>
            <w:hideMark/>
          </w:tcPr>
          <w:p w14:paraId="192639B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17.4</w:t>
            </w:r>
          </w:p>
        </w:tc>
      </w:tr>
      <w:tr w:rsidR="00C340FB" w:rsidRPr="00C340FB" w14:paraId="7D616142"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79C787C8"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ESR</w:t>
            </w:r>
          </w:p>
        </w:tc>
        <w:tc>
          <w:tcPr>
            <w:tcW w:w="1808" w:type="dxa"/>
            <w:tcBorders>
              <w:top w:val="nil"/>
              <w:left w:val="nil"/>
              <w:bottom w:val="nil"/>
              <w:right w:val="nil"/>
            </w:tcBorders>
            <w:shd w:val="clear" w:color="auto" w:fill="auto"/>
            <w:noWrap/>
            <w:vAlign w:val="center"/>
            <w:hideMark/>
          </w:tcPr>
          <w:p w14:paraId="76B104D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62.8</w:t>
            </w:r>
          </w:p>
        </w:tc>
        <w:tc>
          <w:tcPr>
            <w:tcW w:w="1808" w:type="dxa"/>
            <w:tcBorders>
              <w:top w:val="nil"/>
              <w:left w:val="nil"/>
              <w:bottom w:val="nil"/>
              <w:right w:val="nil"/>
            </w:tcBorders>
            <w:shd w:val="clear" w:color="auto" w:fill="auto"/>
            <w:noWrap/>
            <w:vAlign w:val="center"/>
            <w:hideMark/>
          </w:tcPr>
          <w:p w14:paraId="00133EE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35.6</w:t>
            </w:r>
          </w:p>
        </w:tc>
      </w:tr>
      <w:tr w:rsidR="00C340FB" w:rsidRPr="00C340FB" w14:paraId="70D5DDFC"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1BDD2168"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CRP</w:t>
            </w:r>
          </w:p>
        </w:tc>
        <w:tc>
          <w:tcPr>
            <w:tcW w:w="1808" w:type="dxa"/>
            <w:tcBorders>
              <w:top w:val="nil"/>
              <w:left w:val="nil"/>
              <w:bottom w:val="nil"/>
              <w:right w:val="nil"/>
            </w:tcBorders>
            <w:shd w:val="clear" w:color="auto" w:fill="auto"/>
            <w:noWrap/>
            <w:vAlign w:val="center"/>
            <w:hideMark/>
          </w:tcPr>
          <w:p w14:paraId="0D5760C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60.4</w:t>
            </w:r>
          </w:p>
        </w:tc>
        <w:tc>
          <w:tcPr>
            <w:tcW w:w="1808" w:type="dxa"/>
            <w:tcBorders>
              <w:top w:val="nil"/>
              <w:left w:val="nil"/>
              <w:bottom w:val="nil"/>
              <w:right w:val="nil"/>
            </w:tcBorders>
            <w:shd w:val="clear" w:color="auto" w:fill="auto"/>
            <w:noWrap/>
            <w:vAlign w:val="center"/>
            <w:hideMark/>
          </w:tcPr>
          <w:p w14:paraId="6C28B5D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62.9</w:t>
            </w:r>
          </w:p>
        </w:tc>
      </w:tr>
      <w:tr w:rsidR="00C340FB" w:rsidRPr="00C340FB" w14:paraId="1EFCF577" w14:textId="77777777" w:rsidTr="006A3C9E">
        <w:trPr>
          <w:trHeight w:val="384"/>
          <w:jc w:val="center"/>
        </w:trPr>
        <w:tc>
          <w:tcPr>
            <w:tcW w:w="3466" w:type="dxa"/>
            <w:tcBorders>
              <w:top w:val="nil"/>
              <w:left w:val="nil"/>
              <w:bottom w:val="nil"/>
              <w:right w:val="nil"/>
            </w:tcBorders>
            <w:shd w:val="clear" w:color="auto" w:fill="auto"/>
            <w:noWrap/>
            <w:vAlign w:val="center"/>
            <w:hideMark/>
          </w:tcPr>
          <w:p w14:paraId="57B212BE"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BGL</w:t>
            </w:r>
          </w:p>
        </w:tc>
        <w:tc>
          <w:tcPr>
            <w:tcW w:w="1808" w:type="dxa"/>
            <w:tcBorders>
              <w:top w:val="nil"/>
              <w:left w:val="nil"/>
              <w:bottom w:val="nil"/>
              <w:right w:val="nil"/>
            </w:tcBorders>
            <w:shd w:val="clear" w:color="auto" w:fill="auto"/>
            <w:noWrap/>
            <w:vAlign w:val="center"/>
            <w:hideMark/>
          </w:tcPr>
          <w:p w14:paraId="6585E92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276.7</w:t>
            </w:r>
          </w:p>
        </w:tc>
        <w:tc>
          <w:tcPr>
            <w:tcW w:w="1808" w:type="dxa"/>
            <w:tcBorders>
              <w:top w:val="nil"/>
              <w:left w:val="nil"/>
              <w:bottom w:val="nil"/>
              <w:right w:val="nil"/>
            </w:tcBorders>
            <w:shd w:val="clear" w:color="auto" w:fill="auto"/>
            <w:noWrap/>
            <w:vAlign w:val="center"/>
            <w:hideMark/>
          </w:tcPr>
          <w:p w14:paraId="5D4E46B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129.1</w:t>
            </w:r>
          </w:p>
        </w:tc>
      </w:tr>
      <w:tr w:rsidR="00C340FB" w:rsidRPr="00C340FB" w14:paraId="0D754329" w14:textId="77777777" w:rsidTr="006A3C9E">
        <w:trPr>
          <w:trHeight w:val="384"/>
          <w:jc w:val="center"/>
        </w:trPr>
        <w:tc>
          <w:tcPr>
            <w:tcW w:w="3466" w:type="dxa"/>
            <w:tcBorders>
              <w:top w:val="nil"/>
              <w:left w:val="nil"/>
              <w:bottom w:val="single" w:sz="4" w:space="0" w:color="auto"/>
              <w:right w:val="nil"/>
            </w:tcBorders>
            <w:shd w:val="clear" w:color="auto" w:fill="auto"/>
            <w:noWrap/>
            <w:vAlign w:val="center"/>
            <w:hideMark/>
          </w:tcPr>
          <w:p w14:paraId="6961952B" w14:textId="77777777" w:rsidR="001F3178" w:rsidRPr="00C340FB" w:rsidRDefault="001F3178" w:rsidP="006A3C9E">
            <w:pPr>
              <w:spacing w:after="0" w:line="240" w:lineRule="auto"/>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Total bilirubin</w:t>
            </w:r>
          </w:p>
        </w:tc>
        <w:tc>
          <w:tcPr>
            <w:tcW w:w="1808" w:type="dxa"/>
            <w:tcBorders>
              <w:top w:val="nil"/>
              <w:left w:val="nil"/>
              <w:bottom w:val="single" w:sz="4" w:space="0" w:color="auto"/>
              <w:right w:val="nil"/>
            </w:tcBorders>
            <w:shd w:val="clear" w:color="auto" w:fill="auto"/>
            <w:noWrap/>
            <w:vAlign w:val="center"/>
            <w:hideMark/>
          </w:tcPr>
          <w:p w14:paraId="5FA482A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1.8</w:t>
            </w:r>
          </w:p>
        </w:tc>
        <w:tc>
          <w:tcPr>
            <w:tcW w:w="1808" w:type="dxa"/>
            <w:tcBorders>
              <w:top w:val="nil"/>
              <w:left w:val="nil"/>
              <w:bottom w:val="single" w:sz="4" w:space="0" w:color="auto"/>
              <w:right w:val="nil"/>
            </w:tcBorders>
            <w:shd w:val="clear" w:color="auto" w:fill="auto"/>
            <w:noWrap/>
            <w:vAlign w:val="center"/>
            <w:hideMark/>
          </w:tcPr>
          <w:p w14:paraId="4534964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2.1</w:t>
            </w:r>
          </w:p>
        </w:tc>
      </w:tr>
    </w:tbl>
    <w:p w14:paraId="669E45EC" w14:textId="77777777" w:rsidR="001F3178" w:rsidRPr="00C340FB" w:rsidRDefault="001F3178" w:rsidP="001F3178">
      <w:pPr>
        <w:ind w:left="-426"/>
        <w:jc w:val="center"/>
        <w:rPr>
          <w:sz w:val="24"/>
          <w:szCs w:val="24"/>
        </w:rPr>
      </w:pPr>
      <w:r w:rsidRPr="00C340FB">
        <w:rPr>
          <w:noProof/>
        </w:rPr>
        <w:lastRenderedPageBreak/>
        <w:drawing>
          <wp:inline distT="0" distB="0" distL="0" distR="0" wp14:anchorId="2B9968C9" wp14:editId="3755A01E">
            <wp:extent cx="5600700" cy="6734175"/>
            <wp:effectExtent l="0" t="0" r="0" b="0"/>
            <wp:docPr id="1809335040" name="Chart 1">
              <a:extLst xmlns:a="http://schemas.openxmlformats.org/drawingml/2006/main">
                <a:ext uri="{FF2B5EF4-FFF2-40B4-BE49-F238E27FC236}">
                  <a16:creationId xmlns:a16="http://schemas.microsoft.com/office/drawing/2014/main" id="{7E3B9209-16F5-3C28-980A-9E879132EB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ED5A41" w14:textId="77777777" w:rsidR="001F3178" w:rsidRPr="00C340FB" w:rsidRDefault="001F3178" w:rsidP="001F3178">
      <w:pPr>
        <w:jc w:val="center"/>
        <w:rPr>
          <w:sz w:val="24"/>
          <w:szCs w:val="24"/>
        </w:rPr>
      </w:pPr>
      <w:r w:rsidRPr="00C340FB">
        <w:rPr>
          <w:sz w:val="24"/>
          <w:szCs w:val="24"/>
        </w:rPr>
        <w:t>Figure 3. Culture findings among covid patients admitted to ICU, ACH, Saudi Arabia</w:t>
      </w:r>
    </w:p>
    <w:p w14:paraId="0CAC628F" w14:textId="77777777" w:rsidR="001F3178" w:rsidRPr="00C340FB" w:rsidRDefault="001F3178" w:rsidP="001F3178">
      <w:pPr>
        <w:ind w:left="-426"/>
        <w:jc w:val="center"/>
        <w:rPr>
          <w:sz w:val="24"/>
          <w:szCs w:val="24"/>
        </w:rPr>
      </w:pPr>
    </w:p>
    <w:p w14:paraId="4C4DAD7D" w14:textId="77777777" w:rsidR="001F3178" w:rsidRPr="00C340FB" w:rsidRDefault="001F3178" w:rsidP="001F3178">
      <w:pPr>
        <w:ind w:firstLine="720"/>
        <w:jc w:val="center"/>
        <w:rPr>
          <w:sz w:val="24"/>
          <w:szCs w:val="24"/>
        </w:rPr>
      </w:pPr>
    </w:p>
    <w:p w14:paraId="5B056E53" w14:textId="77777777" w:rsidR="001F3178" w:rsidRPr="00C340FB" w:rsidRDefault="001F3178" w:rsidP="001F3178">
      <w:pPr>
        <w:ind w:firstLine="720"/>
        <w:jc w:val="center"/>
        <w:rPr>
          <w:sz w:val="24"/>
          <w:szCs w:val="24"/>
        </w:rPr>
      </w:pPr>
    </w:p>
    <w:p w14:paraId="7A663ECA" w14:textId="77777777" w:rsidR="001F3178" w:rsidRPr="00C340FB" w:rsidRDefault="001F3178" w:rsidP="001F3178">
      <w:pPr>
        <w:ind w:firstLine="720"/>
        <w:jc w:val="center"/>
        <w:rPr>
          <w:sz w:val="24"/>
          <w:szCs w:val="24"/>
        </w:rPr>
      </w:pPr>
    </w:p>
    <w:p w14:paraId="3F83C704" w14:textId="77777777" w:rsidR="001F3178" w:rsidRPr="00C340FB" w:rsidRDefault="001F3178" w:rsidP="001F3178">
      <w:pPr>
        <w:ind w:firstLine="720"/>
        <w:jc w:val="center"/>
        <w:rPr>
          <w:sz w:val="24"/>
          <w:szCs w:val="24"/>
        </w:rPr>
      </w:pPr>
    </w:p>
    <w:p w14:paraId="3D76B334" w14:textId="77777777" w:rsidR="001F3178" w:rsidRPr="00C340FB" w:rsidRDefault="001F3178" w:rsidP="001F3178">
      <w:pPr>
        <w:ind w:firstLine="720"/>
        <w:jc w:val="center"/>
        <w:rPr>
          <w:sz w:val="24"/>
          <w:szCs w:val="24"/>
        </w:rPr>
      </w:pPr>
    </w:p>
    <w:p w14:paraId="0DC5A810" w14:textId="77777777" w:rsidR="001F3178" w:rsidRPr="00C340FB" w:rsidRDefault="001F3178" w:rsidP="001F3178">
      <w:pPr>
        <w:ind w:firstLine="720"/>
        <w:jc w:val="center"/>
        <w:rPr>
          <w:sz w:val="24"/>
          <w:szCs w:val="24"/>
        </w:rPr>
      </w:pPr>
    </w:p>
    <w:p w14:paraId="72CD1CF1" w14:textId="77777777" w:rsidR="001F3178" w:rsidRPr="00C340FB" w:rsidRDefault="001F3178" w:rsidP="001F3178">
      <w:pPr>
        <w:ind w:firstLine="720"/>
        <w:jc w:val="center"/>
        <w:rPr>
          <w:sz w:val="24"/>
          <w:szCs w:val="24"/>
        </w:rPr>
      </w:pPr>
    </w:p>
    <w:p w14:paraId="41DC2D0E" w14:textId="77777777" w:rsidR="001F3178" w:rsidRPr="00C340FB" w:rsidRDefault="001F3178" w:rsidP="001F3178">
      <w:pPr>
        <w:jc w:val="center"/>
        <w:rPr>
          <w:sz w:val="24"/>
          <w:szCs w:val="24"/>
        </w:rPr>
      </w:pPr>
      <w:r w:rsidRPr="00C340FB">
        <w:rPr>
          <w:noProof/>
        </w:rPr>
        <w:drawing>
          <wp:inline distT="0" distB="0" distL="0" distR="0" wp14:anchorId="6AEC621B" wp14:editId="097CA364">
            <wp:extent cx="5274310" cy="3460115"/>
            <wp:effectExtent l="0" t="0" r="0" b="0"/>
            <wp:docPr id="406090187" name="Chart 1">
              <a:extLst xmlns:a="http://schemas.openxmlformats.org/drawingml/2006/main">
                <a:ext uri="{FF2B5EF4-FFF2-40B4-BE49-F238E27FC236}">
                  <a16:creationId xmlns:a16="http://schemas.microsoft.com/office/drawing/2014/main" id="{0FA6DDF4-8C67-C4D3-3907-5B06A773F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B95451" w14:textId="77777777" w:rsidR="001F3178" w:rsidRPr="00C340FB" w:rsidRDefault="001F3178" w:rsidP="001F3178">
      <w:pPr>
        <w:jc w:val="center"/>
        <w:rPr>
          <w:sz w:val="24"/>
          <w:szCs w:val="24"/>
        </w:rPr>
      </w:pPr>
      <w:r w:rsidRPr="00C340FB">
        <w:rPr>
          <w:sz w:val="24"/>
          <w:szCs w:val="24"/>
        </w:rPr>
        <w:t>Figure 4. Death rate among covid patients admitted to ICU, ACH, Saudi Arabia</w:t>
      </w:r>
    </w:p>
    <w:p w14:paraId="7EE48648" w14:textId="77777777" w:rsidR="001F3178" w:rsidRPr="00C340FB" w:rsidRDefault="001F3178" w:rsidP="001F3178">
      <w:pPr>
        <w:jc w:val="center"/>
      </w:pPr>
    </w:p>
    <w:p w14:paraId="200076B6" w14:textId="77777777" w:rsidR="001F3178" w:rsidRPr="00C340FB" w:rsidRDefault="001F3178" w:rsidP="001F3178">
      <w:pPr>
        <w:jc w:val="center"/>
      </w:pPr>
    </w:p>
    <w:p w14:paraId="4CD6F603" w14:textId="77777777" w:rsidR="001F3178" w:rsidRPr="00C340FB" w:rsidRDefault="001F3178" w:rsidP="001F3178">
      <w:pPr>
        <w:jc w:val="center"/>
      </w:pPr>
    </w:p>
    <w:p w14:paraId="6DA8BF62" w14:textId="77777777" w:rsidR="001F3178" w:rsidRPr="00C340FB" w:rsidRDefault="001F3178" w:rsidP="001F3178">
      <w:pPr>
        <w:jc w:val="center"/>
      </w:pPr>
    </w:p>
    <w:p w14:paraId="7DC2FAD3" w14:textId="77777777" w:rsidR="001F3178" w:rsidRPr="00C340FB" w:rsidRDefault="001F3178" w:rsidP="001F3178">
      <w:pPr>
        <w:jc w:val="center"/>
      </w:pPr>
    </w:p>
    <w:p w14:paraId="3C1D63F8" w14:textId="77777777" w:rsidR="001F3178" w:rsidRPr="00C340FB" w:rsidRDefault="001F3178" w:rsidP="001F3178">
      <w:pPr>
        <w:jc w:val="center"/>
      </w:pPr>
    </w:p>
    <w:p w14:paraId="4E90E98D" w14:textId="77777777" w:rsidR="001F3178" w:rsidRPr="00C340FB" w:rsidRDefault="001F3178" w:rsidP="001F3178">
      <w:pPr>
        <w:jc w:val="center"/>
      </w:pPr>
    </w:p>
    <w:p w14:paraId="285C9280" w14:textId="77777777" w:rsidR="001F3178" w:rsidRPr="00C340FB" w:rsidRDefault="001F3178" w:rsidP="001F3178">
      <w:pPr>
        <w:jc w:val="center"/>
      </w:pPr>
    </w:p>
    <w:p w14:paraId="026D0EE5" w14:textId="77777777" w:rsidR="001F3178" w:rsidRPr="00C340FB" w:rsidRDefault="001F3178" w:rsidP="001F3178">
      <w:pPr>
        <w:jc w:val="center"/>
      </w:pPr>
    </w:p>
    <w:p w14:paraId="6EAD0E0C" w14:textId="77777777" w:rsidR="001F3178" w:rsidRPr="00C340FB" w:rsidRDefault="001F3178" w:rsidP="00F52789"/>
    <w:p w14:paraId="0000CA4A" w14:textId="77777777" w:rsidR="001F3178" w:rsidRPr="00C340FB" w:rsidRDefault="001F3178" w:rsidP="001F3178">
      <w:pPr>
        <w:jc w:val="center"/>
      </w:pPr>
    </w:p>
    <w:p w14:paraId="395D29F6" w14:textId="77777777" w:rsidR="001F3178" w:rsidRPr="00C340FB" w:rsidRDefault="001F3178" w:rsidP="001F3178">
      <w:pPr>
        <w:jc w:val="center"/>
      </w:pPr>
    </w:p>
    <w:p w14:paraId="461F9B3C" w14:textId="77777777" w:rsidR="001F3178" w:rsidRPr="00C340FB" w:rsidRDefault="001F3178" w:rsidP="001F3178">
      <w:pPr>
        <w:jc w:val="center"/>
        <w:rPr>
          <w:sz w:val="24"/>
          <w:szCs w:val="24"/>
        </w:rPr>
      </w:pPr>
      <w:r w:rsidRPr="00C340FB">
        <w:rPr>
          <w:sz w:val="24"/>
          <w:szCs w:val="24"/>
        </w:rPr>
        <w:t xml:space="preserve">Table 3. </w:t>
      </w:r>
      <w:bookmarkStart w:id="2" w:name="_Hlk141621420"/>
      <w:r w:rsidRPr="00C340FB">
        <w:rPr>
          <w:sz w:val="24"/>
          <w:szCs w:val="24"/>
        </w:rPr>
        <w:t xml:space="preserve">Factors associated with mortality among covid patients </w:t>
      </w:r>
      <w:bookmarkEnd w:id="2"/>
      <w:r w:rsidRPr="00C340FB">
        <w:rPr>
          <w:sz w:val="24"/>
          <w:szCs w:val="24"/>
        </w:rPr>
        <w:t>admitted to ICU, ACH, Saudi Arabia</w:t>
      </w:r>
    </w:p>
    <w:tbl>
      <w:tblPr>
        <w:tblW w:w="8199" w:type="dxa"/>
        <w:jc w:val="center"/>
        <w:tblLook w:val="04A0" w:firstRow="1" w:lastRow="0" w:firstColumn="1" w:lastColumn="0" w:noHBand="0" w:noVBand="1"/>
      </w:tblPr>
      <w:tblGrid>
        <w:gridCol w:w="2254"/>
        <w:gridCol w:w="940"/>
        <w:gridCol w:w="1438"/>
        <w:gridCol w:w="940"/>
        <w:gridCol w:w="1438"/>
        <w:gridCol w:w="1189"/>
      </w:tblGrid>
      <w:tr w:rsidR="00C340FB" w:rsidRPr="00C340FB" w14:paraId="39CADE7B" w14:textId="77777777" w:rsidTr="006A3C9E">
        <w:trPr>
          <w:trHeight w:val="483"/>
          <w:jc w:val="center"/>
        </w:trPr>
        <w:tc>
          <w:tcPr>
            <w:tcW w:w="2254" w:type="dxa"/>
            <w:vMerge w:val="restart"/>
            <w:tcBorders>
              <w:top w:val="single" w:sz="4" w:space="0" w:color="auto"/>
              <w:left w:val="nil"/>
              <w:bottom w:val="single" w:sz="4" w:space="0" w:color="000000"/>
              <w:right w:val="nil"/>
            </w:tcBorders>
            <w:shd w:val="clear" w:color="auto" w:fill="auto"/>
            <w:noWrap/>
            <w:vAlign w:val="center"/>
            <w:hideMark/>
          </w:tcPr>
          <w:p w14:paraId="45931E65"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Factors</w:t>
            </w:r>
          </w:p>
        </w:tc>
        <w:tc>
          <w:tcPr>
            <w:tcW w:w="4756" w:type="dxa"/>
            <w:gridSpan w:val="4"/>
            <w:tcBorders>
              <w:top w:val="single" w:sz="4" w:space="0" w:color="auto"/>
              <w:left w:val="nil"/>
              <w:bottom w:val="nil"/>
              <w:right w:val="nil"/>
            </w:tcBorders>
            <w:shd w:val="clear" w:color="auto" w:fill="auto"/>
            <w:noWrap/>
            <w:vAlign w:val="center"/>
            <w:hideMark/>
          </w:tcPr>
          <w:p w14:paraId="3801DB1D"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Death</w:t>
            </w:r>
          </w:p>
        </w:tc>
        <w:tc>
          <w:tcPr>
            <w:tcW w:w="1189" w:type="dxa"/>
            <w:vMerge w:val="restart"/>
            <w:tcBorders>
              <w:top w:val="single" w:sz="4" w:space="0" w:color="auto"/>
              <w:left w:val="nil"/>
              <w:bottom w:val="single" w:sz="4" w:space="0" w:color="000000"/>
              <w:right w:val="nil"/>
            </w:tcBorders>
            <w:shd w:val="clear" w:color="auto" w:fill="auto"/>
            <w:noWrap/>
            <w:vAlign w:val="center"/>
            <w:hideMark/>
          </w:tcPr>
          <w:p w14:paraId="3A3FB9E2"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p-value</w:t>
            </w:r>
          </w:p>
        </w:tc>
      </w:tr>
      <w:tr w:rsidR="00C340FB" w:rsidRPr="00C340FB" w14:paraId="0BEFDB2E" w14:textId="77777777" w:rsidTr="006A3C9E">
        <w:trPr>
          <w:trHeight w:val="483"/>
          <w:jc w:val="center"/>
        </w:trPr>
        <w:tc>
          <w:tcPr>
            <w:tcW w:w="2254" w:type="dxa"/>
            <w:vMerge/>
            <w:tcBorders>
              <w:top w:val="single" w:sz="4" w:space="0" w:color="auto"/>
              <w:left w:val="nil"/>
              <w:bottom w:val="single" w:sz="4" w:space="0" w:color="000000"/>
              <w:right w:val="nil"/>
            </w:tcBorders>
            <w:vAlign w:val="center"/>
            <w:hideMark/>
          </w:tcPr>
          <w:p w14:paraId="36C5E42F"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p>
        </w:tc>
        <w:tc>
          <w:tcPr>
            <w:tcW w:w="2378" w:type="dxa"/>
            <w:gridSpan w:val="2"/>
            <w:tcBorders>
              <w:top w:val="single" w:sz="4" w:space="0" w:color="auto"/>
              <w:left w:val="nil"/>
              <w:bottom w:val="single" w:sz="4" w:space="0" w:color="auto"/>
              <w:right w:val="nil"/>
            </w:tcBorders>
            <w:shd w:val="clear" w:color="auto" w:fill="auto"/>
            <w:noWrap/>
            <w:vAlign w:val="center"/>
            <w:hideMark/>
          </w:tcPr>
          <w:p w14:paraId="60CFAE32"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No</w:t>
            </w:r>
          </w:p>
        </w:tc>
        <w:tc>
          <w:tcPr>
            <w:tcW w:w="2378" w:type="dxa"/>
            <w:gridSpan w:val="2"/>
            <w:tcBorders>
              <w:top w:val="single" w:sz="4" w:space="0" w:color="auto"/>
              <w:left w:val="nil"/>
              <w:bottom w:val="single" w:sz="4" w:space="0" w:color="auto"/>
              <w:right w:val="nil"/>
            </w:tcBorders>
            <w:shd w:val="clear" w:color="auto" w:fill="auto"/>
            <w:noWrap/>
            <w:vAlign w:val="center"/>
            <w:hideMark/>
          </w:tcPr>
          <w:p w14:paraId="1A5AAD2D"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Yes</w:t>
            </w:r>
          </w:p>
        </w:tc>
        <w:tc>
          <w:tcPr>
            <w:tcW w:w="1189" w:type="dxa"/>
            <w:vMerge/>
            <w:tcBorders>
              <w:top w:val="single" w:sz="4" w:space="0" w:color="auto"/>
              <w:left w:val="nil"/>
              <w:bottom w:val="single" w:sz="4" w:space="0" w:color="000000"/>
              <w:right w:val="nil"/>
            </w:tcBorders>
            <w:vAlign w:val="center"/>
            <w:hideMark/>
          </w:tcPr>
          <w:p w14:paraId="23B2583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699D88EF" w14:textId="77777777" w:rsidTr="006A3C9E">
        <w:trPr>
          <w:trHeight w:val="483"/>
          <w:jc w:val="center"/>
        </w:trPr>
        <w:tc>
          <w:tcPr>
            <w:tcW w:w="2254" w:type="dxa"/>
            <w:vMerge/>
            <w:tcBorders>
              <w:top w:val="single" w:sz="4" w:space="0" w:color="auto"/>
              <w:left w:val="nil"/>
              <w:bottom w:val="single" w:sz="4" w:space="0" w:color="000000"/>
              <w:right w:val="nil"/>
            </w:tcBorders>
            <w:vAlign w:val="center"/>
            <w:hideMark/>
          </w:tcPr>
          <w:p w14:paraId="0BB81DF9"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p>
        </w:tc>
        <w:tc>
          <w:tcPr>
            <w:tcW w:w="940" w:type="dxa"/>
            <w:tcBorders>
              <w:top w:val="nil"/>
              <w:left w:val="nil"/>
              <w:bottom w:val="single" w:sz="4" w:space="0" w:color="auto"/>
              <w:right w:val="nil"/>
            </w:tcBorders>
            <w:shd w:val="clear" w:color="auto" w:fill="auto"/>
            <w:noWrap/>
            <w:vAlign w:val="center"/>
            <w:hideMark/>
          </w:tcPr>
          <w:p w14:paraId="31629E05"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No</w:t>
            </w:r>
          </w:p>
        </w:tc>
        <w:tc>
          <w:tcPr>
            <w:tcW w:w="1438" w:type="dxa"/>
            <w:tcBorders>
              <w:top w:val="nil"/>
              <w:left w:val="nil"/>
              <w:bottom w:val="single" w:sz="4" w:space="0" w:color="auto"/>
              <w:right w:val="nil"/>
            </w:tcBorders>
            <w:shd w:val="clear" w:color="auto" w:fill="auto"/>
            <w:noWrap/>
            <w:vAlign w:val="center"/>
            <w:hideMark/>
          </w:tcPr>
          <w:p w14:paraId="2F54E103"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w:t>
            </w:r>
          </w:p>
        </w:tc>
        <w:tc>
          <w:tcPr>
            <w:tcW w:w="940" w:type="dxa"/>
            <w:tcBorders>
              <w:top w:val="nil"/>
              <w:left w:val="nil"/>
              <w:bottom w:val="single" w:sz="4" w:space="0" w:color="auto"/>
              <w:right w:val="nil"/>
            </w:tcBorders>
            <w:shd w:val="clear" w:color="auto" w:fill="auto"/>
            <w:noWrap/>
            <w:vAlign w:val="center"/>
            <w:hideMark/>
          </w:tcPr>
          <w:p w14:paraId="6648F698"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No</w:t>
            </w:r>
          </w:p>
        </w:tc>
        <w:tc>
          <w:tcPr>
            <w:tcW w:w="1438" w:type="dxa"/>
            <w:tcBorders>
              <w:top w:val="nil"/>
              <w:left w:val="nil"/>
              <w:bottom w:val="single" w:sz="4" w:space="0" w:color="auto"/>
              <w:right w:val="nil"/>
            </w:tcBorders>
            <w:shd w:val="clear" w:color="auto" w:fill="auto"/>
            <w:noWrap/>
            <w:vAlign w:val="center"/>
            <w:hideMark/>
          </w:tcPr>
          <w:p w14:paraId="18292280" w14:textId="77777777" w:rsidR="001F3178" w:rsidRPr="00C340FB" w:rsidRDefault="001F3178" w:rsidP="006A3C9E">
            <w:pPr>
              <w:spacing w:after="0" w:line="240" w:lineRule="auto"/>
              <w:jc w:val="center"/>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w:t>
            </w:r>
          </w:p>
        </w:tc>
        <w:tc>
          <w:tcPr>
            <w:tcW w:w="1189" w:type="dxa"/>
            <w:vMerge/>
            <w:tcBorders>
              <w:top w:val="single" w:sz="4" w:space="0" w:color="auto"/>
              <w:left w:val="nil"/>
              <w:bottom w:val="single" w:sz="4" w:space="0" w:color="000000"/>
              <w:right w:val="nil"/>
            </w:tcBorders>
            <w:vAlign w:val="center"/>
            <w:hideMark/>
          </w:tcPr>
          <w:p w14:paraId="7D1D56F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0BF142E"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5B9B1EF3"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Age in years</w:t>
            </w:r>
          </w:p>
        </w:tc>
        <w:tc>
          <w:tcPr>
            <w:tcW w:w="940" w:type="dxa"/>
            <w:tcBorders>
              <w:top w:val="nil"/>
              <w:left w:val="nil"/>
              <w:bottom w:val="nil"/>
              <w:right w:val="nil"/>
            </w:tcBorders>
            <w:shd w:val="clear" w:color="auto" w:fill="auto"/>
            <w:noWrap/>
            <w:vAlign w:val="center"/>
            <w:hideMark/>
          </w:tcPr>
          <w:p w14:paraId="68FF403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234F8C6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nil"/>
              <w:left w:val="nil"/>
              <w:bottom w:val="nil"/>
              <w:right w:val="nil"/>
            </w:tcBorders>
            <w:shd w:val="clear" w:color="auto" w:fill="auto"/>
            <w:noWrap/>
            <w:vAlign w:val="center"/>
            <w:hideMark/>
          </w:tcPr>
          <w:p w14:paraId="3DCACA2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27BAEA0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48AFF10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.001*</w:t>
            </w:r>
          </w:p>
        </w:tc>
      </w:tr>
      <w:tr w:rsidR="00C340FB" w:rsidRPr="00C340FB" w14:paraId="6B92776C"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5D75F2BD"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&lt; 40</w:t>
            </w:r>
          </w:p>
        </w:tc>
        <w:tc>
          <w:tcPr>
            <w:tcW w:w="940" w:type="dxa"/>
            <w:tcBorders>
              <w:top w:val="nil"/>
              <w:left w:val="nil"/>
              <w:bottom w:val="nil"/>
              <w:right w:val="nil"/>
            </w:tcBorders>
            <w:shd w:val="clear" w:color="auto" w:fill="auto"/>
            <w:noWrap/>
            <w:vAlign w:val="center"/>
            <w:hideMark/>
          </w:tcPr>
          <w:p w14:paraId="10EE282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55</w:t>
            </w:r>
          </w:p>
        </w:tc>
        <w:tc>
          <w:tcPr>
            <w:tcW w:w="1438" w:type="dxa"/>
            <w:tcBorders>
              <w:top w:val="nil"/>
              <w:left w:val="nil"/>
              <w:bottom w:val="nil"/>
              <w:right w:val="nil"/>
            </w:tcBorders>
            <w:shd w:val="clear" w:color="auto" w:fill="auto"/>
            <w:noWrap/>
            <w:vAlign w:val="center"/>
            <w:hideMark/>
          </w:tcPr>
          <w:p w14:paraId="1B885FA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77.5%</w:t>
            </w:r>
          </w:p>
        </w:tc>
        <w:tc>
          <w:tcPr>
            <w:tcW w:w="940" w:type="dxa"/>
            <w:tcBorders>
              <w:top w:val="nil"/>
              <w:left w:val="nil"/>
              <w:bottom w:val="nil"/>
              <w:right w:val="nil"/>
            </w:tcBorders>
            <w:shd w:val="clear" w:color="auto" w:fill="auto"/>
            <w:noWrap/>
            <w:vAlign w:val="center"/>
            <w:hideMark/>
          </w:tcPr>
          <w:p w14:paraId="59CA559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16</w:t>
            </w:r>
          </w:p>
        </w:tc>
        <w:tc>
          <w:tcPr>
            <w:tcW w:w="1438" w:type="dxa"/>
            <w:tcBorders>
              <w:top w:val="nil"/>
              <w:left w:val="nil"/>
              <w:bottom w:val="nil"/>
              <w:right w:val="nil"/>
            </w:tcBorders>
            <w:shd w:val="clear" w:color="auto" w:fill="auto"/>
            <w:noWrap/>
            <w:vAlign w:val="center"/>
            <w:hideMark/>
          </w:tcPr>
          <w:p w14:paraId="42419BF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22.5%</w:t>
            </w:r>
          </w:p>
        </w:tc>
        <w:tc>
          <w:tcPr>
            <w:tcW w:w="1189" w:type="dxa"/>
            <w:vMerge/>
            <w:tcBorders>
              <w:top w:val="nil"/>
              <w:left w:val="nil"/>
              <w:bottom w:val="single" w:sz="4" w:space="0" w:color="000000"/>
              <w:right w:val="nil"/>
            </w:tcBorders>
            <w:vAlign w:val="center"/>
            <w:hideMark/>
          </w:tcPr>
          <w:p w14:paraId="6A08B84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402F04B"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6CFC5F32"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40-59</w:t>
            </w:r>
          </w:p>
        </w:tc>
        <w:tc>
          <w:tcPr>
            <w:tcW w:w="940" w:type="dxa"/>
            <w:tcBorders>
              <w:top w:val="nil"/>
              <w:left w:val="nil"/>
              <w:bottom w:val="nil"/>
              <w:right w:val="nil"/>
            </w:tcBorders>
            <w:shd w:val="clear" w:color="auto" w:fill="auto"/>
            <w:noWrap/>
            <w:vAlign w:val="center"/>
            <w:hideMark/>
          </w:tcPr>
          <w:p w14:paraId="28DCEFD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110</w:t>
            </w:r>
          </w:p>
        </w:tc>
        <w:tc>
          <w:tcPr>
            <w:tcW w:w="1438" w:type="dxa"/>
            <w:tcBorders>
              <w:top w:val="nil"/>
              <w:left w:val="nil"/>
              <w:bottom w:val="nil"/>
              <w:right w:val="nil"/>
            </w:tcBorders>
            <w:shd w:val="clear" w:color="auto" w:fill="auto"/>
            <w:noWrap/>
            <w:vAlign w:val="center"/>
            <w:hideMark/>
          </w:tcPr>
          <w:p w14:paraId="3EE9A32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58.2%</w:t>
            </w:r>
          </w:p>
        </w:tc>
        <w:tc>
          <w:tcPr>
            <w:tcW w:w="940" w:type="dxa"/>
            <w:tcBorders>
              <w:top w:val="nil"/>
              <w:left w:val="nil"/>
              <w:bottom w:val="nil"/>
              <w:right w:val="nil"/>
            </w:tcBorders>
            <w:shd w:val="clear" w:color="auto" w:fill="auto"/>
            <w:noWrap/>
            <w:vAlign w:val="center"/>
            <w:hideMark/>
          </w:tcPr>
          <w:p w14:paraId="24251B2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79</w:t>
            </w:r>
          </w:p>
        </w:tc>
        <w:tc>
          <w:tcPr>
            <w:tcW w:w="1438" w:type="dxa"/>
            <w:tcBorders>
              <w:top w:val="nil"/>
              <w:left w:val="nil"/>
              <w:bottom w:val="nil"/>
              <w:right w:val="nil"/>
            </w:tcBorders>
            <w:shd w:val="clear" w:color="auto" w:fill="auto"/>
            <w:noWrap/>
            <w:vAlign w:val="center"/>
            <w:hideMark/>
          </w:tcPr>
          <w:p w14:paraId="3E8ECCE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41.8%</w:t>
            </w:r>
          </w:p>
        </w:tc>
        <w:tc>
          <w:tcPr>
            <w:tcW w:w="1189" w:type="dxa"/>
            <w:vMerge/>
            <w:tcBorders>
              <w:top w:val="nil"/>
              <w:left w:val="nil"/>
              <w:bottom w:val="single" w:sz="4" w:space="0" w:color="000000"/>
              <w:right w:val="nil"/>
            </w:tcBorders>
            <w:vAlign w:val="center"/>
            <w:hideMark/>
          </w:tcPr>
          <w:p w14:paraId="0756B24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FC45833"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1FC92931"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60-69</w:t>
            </w:r>
          </w:p>
        </w:tc>
        <w:tc>
          <w:tcPr>
            <w:tcW w:w="940" w:type="dxa"/>
            <w:tcBorders>
              <w:top w:val="nil"/>
              <w:left w:val="nil"/>
              <w:bottom w:val="nil"/>
              <w:right w:val="nil"/>
            </w:tcBorders>
            <w:shd w:val="clear" w:color="auto" w:fill="auto"/>
            <w:noWrap/>
            <w:vAlign w:val="center"/>
            <w:hideMark/>
          </w:tcPr>
          <w:p w14:paraId="033DFC4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51</w:t>
            </w:r>
          </w:p>
        </w:tc>
        <w:tc>
          <w:tcPr>
            <w:tcW w:w="1438" w:type="dxa"/>
            <w:tcBorders>
              <w:top w:val="nil"/>
              <w:left w:val="nil"/>
              <w:bottom w:val="nil"/>
              <w:right w:val="nil"/>
            </w:tcBorders>
            <w:shd w:val="clear" w:color="auto" w:fill="auto"/>
            <w:noWrap/>
            <w:vAlign w:val="center"/>
            <w:hideMark/>
          </w:tcPr>
          <w:p w14:paraId="7C0390C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40.5%</w:t>
            </w:r>
          </w:p>
        </w:tc>
        <w:tc>
          <w:tcPr>
            <w:tcW w:w="940" w:type="dxa"/>
            <w:tcBorders>
              <w:top w:val="nil"/>
              <w:left w:val="nil"/>
              <w:bottom w:val="nil"/>
              <w:right w:val="nil"/>
            </w:tcBorders>
            <w:shd w:val="clear" w:color="auto" w:fill="auto"/>
            <w:noWrap/>
            <w:vAlign w:val="center"/>
            <w:hideMark/>
          </w:tcPr>
          <w:p w14:paraId="2FD5CE2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75</w:t>
            </w:r>
          </w:p>
        </w:tc>
        <w:tc>
          <w:tcPr>
            <w:tcW w:w="1438" w:type="dxa"/>
            <w:tcBorders>
              <w:top w:val="nil"/>
              <w:left w:val="nil"/>
              <w:bottom w:val="nil"/>
              <w:right w:val="nil"/>
            </w:tcBorders>
            <w:shd w:val="clear" w:color="auto" w:fill="auto"/>
            <w:noWrap/>
            <w:vAlign w:val="center"/>
            <w:hideMark/>
          </w:tcPr>
          <w:p w14:paraId="38519C6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59.5%</w:t>
            </w:r>
          </w:p>
        </w:tc>
        <w:tc>
          <w:tcPr>
            <w:tcW w:w="1189" w:type="dxa"/>
            <w:vMerge/>
            <w:tcBorders>
              <w:top w:val="nil"/>
              <w:left w:val="nil"/>
              <w:bottom w:val="single" w:sz="4" w:space="0" w:color="000000"/>
              <w:right w:val="nil"/>
            </w:tcBorders>
            <w:vAlign w:val="center"/>
            <w:hideMark/>
          </w:tcPr>
          <w:p w14:paraId="2DEB1D0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175AB70A"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1A787625"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70+</w:t>
            </w:r>
          </w:p>
        </w:tc>
        <w:tc>
          <w:tcPr>
            <w:tcW w:w="940" w:type="dxa"/>
            <w:tcBorders>
              <w:top w:val="nil"/>
              <w:left w:val="nil"/>
              <w:bottom w:val="nil"/>
              <w:right w:val="nil"/>
            </w:tcBorders>
            <w:shd w:val="clear" w:color="auto" w:fill="auto"/>
            <w:noWrap/>
            <w:vAlign w:val="center"/>
            <w:hideMark/>
          </w:tcPr>
          <w:p w14:paraId="1A59263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50</w:t>
            </w:r>
          </w:p>
        </w:tc>
        <w:tc>
          <w:tcPr>
            <w:tcW w:w="1438" w:type="dxa"/>
            <w:tcBorders>
              <w:top w:val="nil"/>
              <w:left w:val="nil"/>
              <w:bottom w:val="nil"/>
              <w:right w:val="nil"/>
            </w:tcBorders>
            <w:shd w:val="clear" w:color="auto" w:fill="auto"/>
            <w:noWrap/>
            <w:vAlign w:val="center"/>
            <w:hideMark/>
          </w:tcPr>
          <w:p w14:paraId="691BA50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25.0%</w:t>
            </w:r>
          </w:p>
        </w:tc>
        <w:tc>
          <w:tcPr>
            <w:tcW w:w="940" w:type="dxa"/>
            <w:tcBorders>
              <w:top w:val="nil"/>
              <w:left w:val="nil"/>
              <w:bottom w:val="nil"/>
              <w:right w:val="nil"/>
            </w:tcBorders>
            <w:shd w:val="clear" w:color="auto" w:fill="auto"/>
            <w:noWrap/>
            <w:vAlign w:val="center"/>
            <w:hideMark/>
          </w:tcPr>
          <w:p w14:paraId="64960AD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150</w:t>
            </w:r>
          </w:p>
        </w:tc>
        <w:tc>
          <w:tcPr>
            <w:tcW w:w="1438" w:type="dxa"/>
            <w:tcBorders>
              <w:top w:val="nil"/>
              <w:left w:val="nil"/>
              <w:bottom w:val="nil"/>
              <w:right w:val="nil"/>
            </w:tcBorders>
            <w:shd w:val="clear" w:color="auto" w:fill="auto"/>
            <w:noWrap/>
            <w:vAlign w:val="center"/>
            <w:hideMark/>
          </w:tcPr>
          <w:p w14:paraId="6B2A3D5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75.0%</w:t>
            </w:r>
          </w:p>
        </w:tc>
        <w:tc>
          <w:tcPr>
            <w:tcW w:w="1189" w:type="dxa"/>
            <w:vMerge/>
            <w:tcBorders>
              <w:top w:val="nil"/>
              <w:left w:val="nil"/>
              <w:bottom w:val="single" w:sz="4" w:space="0" w:color="000000"/>
              <w:right w:val="nil"/>
            </w:tcBorders>
            <w:vAlign w:val="center"/>
            <w:hideMark/>
          </w:tcPr>
          <w:p w14:paraId="4E7FC94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7EA02A2F" w14:textId="77777777" w:rsidTr="006A3C9E">
        <w:trPr>
          <w:trHeight w:val="483"/>
          <w:jc w:val="center"/>
        </w:trPr>
        <w:tc>
          <w:tcPr>
            <w:tcW w:w="2254" w:type="dxa"/>
            <w:tcBorders>
              <w:top w:val="single" w:sz="4" w:space="0" w:color="auto"/>
              <w:left w:val="nil"/>
              <w:bottom w:val="nil"/>
              <w:right w:val="nil"/>
            </w:tcBorders>
            <w:shd w:val="clear" w:color="auto" w:fill="auto"/>
            <w:noWrap/>
            <w:vAlign w:val="center"/>
            <w:hideMark/>
          </w:tcPr>
          <w:p w14:paraId="0E2CBE39"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Gender</w:t>
            </w:r>
          </w:p>
        </w:tc>
        <w:tc>
          <w:tcPr>
            <w:tcW w:w="940" w:type="dxa"/>
            <w:tcBorders>
              <w:top w:val="single" w:sz="4" w:space="0" w:color="auto"/>
              <w:left w:val="nil"/>
              <w:bottom w:val="nil"/>
              <w:right w:val="nil"/>
            </w:tcBorders>
            <w:shd w:val="clear" w:color="auto" w:fill="auto"/>
            <w:noWrap/>
            <w:vAlign w:val="center"/>
            <w:hideMark/>
          </w:tcPr>
          <w:p w14:paraId="658A3E0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single" w:sz="4" w:space="0" w:color="auto"/>
              <w:left w:val="nil"/>
              <w:bottom w:val="nil"/>
              <w:right w:val="nil"/>
            </w:tcBorders>
            <w:shd w:val="clear" w:color="auto" w:fill="auto"/>
            <w:noWrap/>
            <w:vAlign w:val="center"/>
            <w:hideMark/>
          </w:tcPr>
          <w:p w14:paraId="037ADB5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single" w:sz="4" w:space="0" w:color="auto"/>
              <w:left w:val="nil"/>
              <w:bottom w:val="nil"/>
              <w:right w:val="nil"/>
            </w:tcBorders>
            <w:shd w:val="clear" w:color="auto" w:fill="auto"/>
            <w:noWrap/>
            <w:vAlign w:val="center"/>
            <w:hideMark/>
          </w:tcPr>
          <w:p w14:paraId="1B3DDDB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single" w:sz="4" w:space="0" w:color="auto"/>
              <w:left w:val="nil"/>
              <w:bottom w:val="nil"/>
              <w:right w:val="nil"/>
            </w:tcBorders>
            <w:shd w:val="clear" w:color="auto" w:fill="auto"/>
            <w:noWrap/>
            <w:vAlign w:val="center"/>
            <w:hideMark/>
          </w:tcPr>
          <w:p w14:paraId="2F7097E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0D7FE5D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.221</w:t>
            </w:r>
          </w:p>
        </w:tc>
      </w:tr>
      <w:tr w:rsidR="00C340FB" w:rsidRPr="00C340FB" w14:paraId="646235B3"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617F542B"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Male</w:t>
            </w:r>
          </w:p>
        </w:tc>
        <w:tc>
          <w:tcPr>
            <w:tcW w:w="940" w:type="dxa"/>
            <w:tcBorders>
              <w:top w:val="nil"/>
              <w:left w:val="nil"/>
              <w:bottom w:val="nil"/>
              <w:right w:val="nil"/>
            </w:tcBorders>
            <w:shd w:val="clear" w:color="auto" w:fill="auto"/>
            <w:noWrap/>
            <w:vAlign w:val="center"/>
            <w:hideMark/>
          </w:tcPr>
          <w:p w14:paraId="6CCCE2A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171</w:t>
            </w:r>
          </w:p>
        </w:tc>
        <w:tc>
          <w:tcPr>
            <w:tcW w:w="1438" w:type="dxa"/>
            <w:tcBorders>
              <w:top w:val="nil"/>
              <w:left w:val="nil"/>
              <w:bottom w:val="nil"/>
              <w:right w:val="nil"/>
            </w:tcBorders>
            <w:shd w:val="clear" w:color="auto" w:fill="auto"/>
            <w:noWrap/>
            <w:vAlign w:val="center"/>
            <w:hideMark/>
          </w:tcPr>
          <w:p w14:paraId="0B1F926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43.6%</w:t>
            </w:r>
          </w:p>
        </w:tc>
        <w:tc>
          <w:tcPr>
            <w:tcW w:w="940" w:type="dxa"/>
            <w:tcBorders>
              <w:top w:val="nil"/>
              <w:left w:val="nil"/>
              <w:bottom w:val="nil"/>
              <w:right w:val="nil"/>
            </w:tcBorders>
            <w:shd w:val="clear" w:color="auto" w:fill="auto"/>
            <w:noWrap/>
            <w:vAlign w:val="center"/>
            <w:hideMark/>
          </w:tcPr>
          <w:p w14:paraId="554172A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221</w:t>
            </w:r>
          </w:p>
        </w:tc>
        <w:tc>
          <w:tcPr>
            <w:tcW w:w="1438" w:type="dxa"/>
            <w:tcBorders>
              <w:top w:val="nil"/>
              <w:left w:val="nil"/>
              <w:bottom w:val="nil"/>
              <w:right w:val="nil"/>
            </w:tcBorders>
            <w:shd w:val="clear" w:color="auto" w:fill="auto"/>
            <w:noWrap/>
            <w:vAlign w:val="center"/>
            <w:hideMark/>
          </w:tcPr>
          <w:p w14:paraId="4AD96C8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56.4%</w:t>
            </w:r>
          </w:p>
        </w:tc>
        <w:tc>
          <w:tcPr>
            <w:tcW w:w="1189" w:type="dxa"/>
            <w:vMerge/>
            <w:tcBorders>
              <w:top w:val="nil"/>
              <w:left w:val="nil"/>
              <w:bottom w:val="single" w:sz="4" w:space="0" w:color="000000"/>
              <w:right w:val="nil"/>
            </w:tcBorders>
            <w:vAlign w:val="center"/>
            <w:hideMark/>
          </w:tcPr>
          <w:p w14:paraId="12265A4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65A6CA77" w14:textId="77777777" w:rsidTr="006A3C9E">
        <w:trPr>
          <w:trHeight w:val="483"/>
          <w:jc w:val="center"/>
        </w:trPr>
        <w:tc>
          <w:tcPr>
            <w:tcW w:w="2254" w:type="dxa"/>
            <w:tcBorders>
              <w:top w:val="nil"/>
              <w:left w:val="nil"/>
              <w:bottom w:val="single" w:sz="4" w:space="0" w:color="auto"/>
              <w:right w:val="nil"/>
            </w:tcBorders>
            <w:shd w:val="clear" w:color="auto" w:fill="auto"/>
            <w:noWrap/>
            <w:vAlign w:val="center"/>
            <w:hideMark/>
          </w:tcPr>
          <w:p w14:paraId="26B3010D"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Female</w:t>
            </w:r>
          </w:p>
        </w:tc>
        <w:tc>
          <w:tcPr>
            <w:tcW w:w="940" w:type="dxa"/>
            <w:tcBorders>
              <w:top w:val="nil"/>
              <w:left w:val="nil"/>
              <w:bottom w:val="single" w:sz="4" w:space="0" w:color="auto"/>
              <w:right w:val="nil"/>
            </w:tcBorders>
            <w:shd w:val="clear" w:color="auto" w:fill="auto"/>
            <w:noWrap/>
            <w:vAlign w:val="center"/>
            <w:hideMark/>
          </w:tcPr>
          <w:p w14:paraId="3C3C0E3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95</w:t>
            </w:r>
          </w:p>
        </w:tc>
        <w:tc>
          <w:tcPr>
            <w:tcW w:w="1438" w:type="dxa"/>
            <w:tcBorders>
              <w:top w:val="nil"/>
              <w:left w:val="nil"/>
              <w:bottom w:val="single" w:sz="4" w:space="0" w:color="auto"/>
              <w:right w:val="nil"/>
            </w:tcBorders>
            <w:shd w:val="clear" w:color="auto" w:fill="auto"/>
            <w:noWrap/>
            <w:vAlign w:val="center"/>
            <w:hideMark/>
          </w:tcPr>
          <w:p w14:paraId="66FA1A3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49.0%</w:t>
            </w:r>
          </w:p>
        </w:tc>
        <w:tc>
          <w:tcPr>
            <w:tcW w:w="940" w:type="dxa"/>
            <w:tcBorders>
              <w:top w:val="nil"/>
              <w:left w:val="nil"/>
              <w:bottom w:val="single" w:sz="4" w:space="0" w:color="auto"/>
              <w:right w:val="nil"/>
            </w:tcBorders>
            <w:shd w:val="clear" w:color="auto" w:fill="auto"/>
            <w:noWrap/>
            <w:vAlign w:val="center"/>
            <w:hideMark/>
          </w:tcPr>
          <w:p w14:paraId="23CB84D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99</w:t>
            </w:r>
          </w:p>
        </w:tc>
        <w:tc>
          <w:tcPr>
            <w:tcW w:w="1438" w:type="dxa"/>
            <w:tcBorders>
              <w:top w:val="nil"/>
              <w:left w:val="nil"/>
              <w:bottom w:val="single" w:sz="4" w:space="0" w:color="auto"/>
              <w:right w:val="nil"/>
            </w:tcBorders>
            <w:shd w:val="clear" w:color="auto" w:fill="auto"/>
            <w:noWrap/>
            <w:vAlign w:val="center"/>
            <w:hideMark/>
          </w:tcPr>
          <w:p w14:paraId="51B4316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51.0%</w:t>
            </w:r>
          </w:p>
        </w:tc>
        <w:tc>
          <w:tcPr>
            <w:tcW w:w="1189" w:type="dxa"/>
            <w:vMerge/>
            <w:tcBorders>
              <w:top w:val="nil"/>
              <w:left w:val="nil"/>
              <w:bottom w:val="single" w:sz="4" w:space="0" w:color="000000"/>
              <w:right w:val="nil"/>
            </w:tcBorders>
            <w:vAlign w:val="center"/>
            <w:hideMark/>
          </w:tcPr>
          <w:p w14:paraId="08D81B9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4D6E2F94"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4AB21EEE"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Smoking</w:t>
            </w:r>
          </w:p>
        </w:tc>
        <w:tc>
          <w:tcPr>
            <w:tcW w:w="940" w:type="dxa"/>
            <w:tcBorders>
              <w:top w:val="nil"/>
              <w:left w:val="nil"/>
              <w:bottom w:val="nil"/>
              <w:right w:val="nil"/>
            </w:tcBorders>
            <w:shd w:val="clear" w:color="auto" w:fill="auto"/>
            <w:noWrap/>
            <w:vAlign w:val="center"/>
            <w:hideMark/>
          </w:tcPr>
          <w:p w14:paraId="2E59794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398EC3C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nil"/>
              <w:left w:val="nil"/>
              <w:bottom w:val="nil"/>
              <w:right w:val="nil"/>
            </w:tcBorders>
            <w:shd w:val="clear" w:color="auto" w:fill="auto"/>
            <w:noWrap/>
            <w:vAlign w:val="center"/>
            <w:hideMark/>
          </w:tcPr>
          <w:p w14:paraId="34F9967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660E1FA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46E1545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.510</w:t>
            </w:r>
            <w:r w:rsidRPr="00C340FB">
              <w:rPr>
                <w:rFonts w:asciiTheme="majorBidi" w:eastAsia="Times New Roman" w:hAnsiTheme="majorBidi" w:cstheme="majorBidi"/>
                <w:kern w:val="0"/>
                <w:vertAlign w:val="superscript"/>
                <w14:ligatures w14:val="none"/>
              </w:rPr>
              <w:t>$</w:t>
            </w:r>
          </w:p>
        </w:tc>
      </w:tr>
      <w:tr w:rsidR="00C340FB" w:rsidRPr="00C340FB" w14:paraId="1A630D5E"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172418A9"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No</w:t>
            </w:r>
          </w:p>
        </w:tc>
        <w:tc>
          <w:tcPr>
            <w:tcW w:w="940" w:type="dxa"/>
            <w:tcBorders>
              <w:top w:val="nil"/>
              <w:left w:val="nil"/>
              <w:bottom w:val="nil"/>
              <w:right w:val="nil"/>
            </w:tcBorders>
            <w:shd w:val="clear" w:color="auto" w:fill="auto"/>
            <w:noWrap/>
            <w:vAlign w:val="center"/>
            <w:hideMark/>
          </w:tcPr>
          <w:p w14:paraId="5ED2C15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263</w:t>
            </w:r>
          </w:p>
        </w:tc>
        <w:tc>
          <w:tcPr>
            <w:tcW w:w="1438" w:type="dxa"/>
            <w:tcBorders>
              <w:top w:val="nil"/>
              <w:left w:val="nil"/>
              <w:bottom w:val="nil"/>
              <w:right w:val="nil"/>
            </w:tcBorders>
            <w:shd w:val="clear" w:color="auto" w:fill="auto"/>
            <w:noWrap/>
            <w:vAlign w:val="center"/>
            <w:hideMark/>
          </w:tcPr>
          <w:p w14:paraId="56501E6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45.3%</w:t>
            </w:r>
          </w:p>
        </w:tc>
        <w:tc>
          <w:tcPr>
            <w:tcW w:w="940" w:type="dxa"/>
            <w:tcBorders>
              <w:top w:val="nil"/>
              <w:left w:val="nil"/>
              <w:bottom w:val="nil"/>
              <w:right w:val="nil"/>
            </w:tcBorders>
            <w:shd w:val="clear" w:color="auto" w:fill="auto"/>
            <w:noWrap/>
            <w:vAlign w:val="center"/>
            <w:hideMark/>
          </w:tcPr>
          <w:p w14:paraId="5AABB35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318</w:t>
            </w:r>
          </w:p>
        </w:tc>
        <w:tc>
          <w:tcPr>
            <w:tcW w:w="1438" w:type="dxa"/>
            <w:tcBorders>
              <w:top w:val="nil"/>
              <w:left w:val="nil"/>
              <w:bottom w:val="nil"/>
              <w:right w:val="nil"/>
            </w:tcBorders>
            <w:shd w:val="clear" w:color="auto" w:fill="auto"/>
            <w:noWrap/>
            <w:vAlign w:val="center"/>
            <w:hideMark/>
          </w:tcPr>
          <w:p w14:paraId="080C84A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54.7%</w:t>
            </w:r>
          </w:p>
        </w:tc>
        <w:tc>
          <w:tcPr>
            <w:tcW w:w="1189" w:type="dxa"/>
            <w:vMerge/>
            <w:tcBorders>
              <w:top w:val="nil"/>
              <w:left w:val="nil"/>
              <w:bottom w:val="single" w:sz="4" w:space="0" w:color="000000"/>
              <w:right w:val="nil"/>
            </w:tcBorders>
            <w:vAlign w:val="center"/>
            <w:hideMark/>
          </w:tcPr>
          <w:p w14:paraId="63499EE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3E8348BC"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6504A11E"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Yes</w:t>
            </w:r>
          </w:p>
        </w:tc>
        <w:tc>
          <w:tcPr>
            <w:tcW w:w="940" w:type="dxa"/>
            <w:tcBorders>
              <w:top w:val="nil"/>
              <w:left w:val="nil"/>
              <w:bottom w:val="nil"/>
              <w:right w:val="nil"/>
            </w:tcBorders>
            <w:shd w:val="clear" w:color="auto" w:fill="auto"/>
            <w:noWrap/>
            <w:vAlign w:val="center"/>
            <w:hideMark/>
          </w:tcPr>
          <w:p w14:paraId="7DA5F12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w:t>
            </w:r>
          </w:p>
        </w:tc>
        <w:tc>
          <w:tcPr>
            <w:tcW w:w="1438" w:type="dxa"/>
            <w:tcBorders>
              <w:top w:val="nil"/>
              <w:left w:val="nil"/>
              <w:bottom w:val="nil"/>
              <w:right w:val="nil"/>
            </w:tcBorders>
            <w:shd w:val="clear" w:color="auto" w:fill="auto"/>
            <w:noWrap/>
            <w:vAlign w:val="center"/>
            <w:hideMark/>
          </w:tcPr>
          <w:p w14:paraId="622195F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60.0%</w:t>
            </w:r>
          </w:p>
        </w:tc>
        <w:tc>
          <w:tcPr>
            <w:tcW w:w="940" w:type="dxa"/>
            <w:tcBorders>
              <w:top w:val="nil"/>
              <w:left w:val="nil"/>
              <w:bottom w:val="nil"/>
              <w:right w:val="nil"/>
            </w:tcBorders>
            <w:shd w:val="clear" w:color="auto" w:fill="auto"/>
            <w:noWrap/>
            <w:vAlign w:val="center"/>
            <w:hideMark/>
          </w:tcPr>
          <w:p w14:paraId="3D844B4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w:t>
            </w:r>
          </w:p>
        </w:tc>
        <w:tc>
          <w:tcPr>
            <w:tcW w:w="1438" w:type="dxa"/>
            <w:tcBorders>
              <w:top w:val="nil"/>
              <w:left w:val="nil"/>
              <w:bottom w:val="nil"/>
              <w:right w:val="nil"/>
            </w:tcBorders>
            <w:shd w:val="clear" w:color="auto" w:fill="auto"/>
            <w:noWrap/>
            <w:vAlign w:val="center"/>
            <w:hideMark/>
          </w:tcPr>
          <w:p w14:paraId="1747BA8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40.0%</w:t>
            </w:r>
          </w:p>
        </w:tc>
        <w:tc>
          <w:tcPr>
            <w:tcW w:w="1189" w:type="dxa"/>
            <w:vMerge/>
            <w:tcBorders>
              <w:top w:val="nil"/>
              <w:left w:val="nil"/>
              <w:bottom w:val="single" w:sz="4" w:space="0" w:color="000000"/>
              <w:right w:val="nil"/>
            </w:tcBorders>
            <w:vAlign w:val="center"/>
            <w:hideMark/>
          </w:tcPr>
          <w:p w14:paraId="35CAC20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5641FDFD" w14:textId="77777777" w:rsidTr="006A3C9E">
        <w:trPr>
          <w:trHeight w:val="483"/>
          <w:jc w:val="center"/>
        </w:trPr>
        <w:tc>
          <w:tcPr>
            <w:tcW w:w="2254" w:type="dxa"/>
            <w:tcBorders>
              <w:top w:val="single" w:sz="4" w:space="0" w:color="auto"/>
              <w:left w:val="nil"/>
              <w:bottom w:val="nil"/>
              <w:right w:val="nil"/>
            </w:tcBorders>
            <w:shd w:val="clear" w:color="auto" w:fill="auto"/>
            <w:noWrap/>
            <w:vAlign w:val="center"/>
            <w:hideMark/>
          </w:tcPr>
          <w:p w14:paraId="4D8A303C"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DM</w:t>
            </w:r>
          </w:p>
        </w:tc>
        <w:tc>
          <w:tcPr>
            <w:tcW w:w="940" w:type="dxa"/>
            <w:tcBorders>
              <w:top w:val="single" w:sz="4" w:space="0" w:color="auto"/>
              <w:left w:val="nil"/>
              <w:bottom w:val="nil"/>
              <w:right w:val="nil"/>
            </w:tcBorders>
            <w:shd w:val="clear" w:color="auto" w:fill="auto"/>
            <w:noWrap/>
            <w:vAlign w:val="center"/>
            <w:hideMark/>
          </w:tcPr>
          <w:p w14:paraId="496942C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single" w:sz="4" w:space="0" w:color="auto"/>
              <w:left w:val="nil"/>
              <w:bottom w:val="nil"/>
              <w:right w:val="nil"/>
            </w:tcBorders>
            <w:shd w:val="clear" w:color="auto" w:fill="auto"/>
            <w:noWrap/>
            <w:vAlign w:val="center"/>
            <w:hideMark/>
          </w:tcPr>
          <w:p w14:paraId="6633324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single" w:sz="4" w:space="0" w:color="auto"/>
              <w:left w:val="nil"/>
              <w:bottom w:val="nil"/>
              <w:right w:val="nil"/>
            </w:tcBorders>
            <w:shd w:val="clear" w:color="auto" w:fill="auto"/>
            <w:noWrap/>
            <w:vAlign w:val="center"/>
            <w:hideMark/>
          </w:tcPr>
          <w:p w14:paraId="551D3FF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single" w:sz="4" w:space="0" w:color="auto"/>
              <w:left w:val="nil"/>
              <w:bottom w:val="nil"/>
              <w:right w:val="nil"/>
            </w:tcBorders>
            <w:shd w:val="clear" w:color="auto" w:fill="auto"/>
            <w:noWrap/>
            <w:vAlign w:val="center"/>
            <w:hideMark/>
          </w:tcPr>
          <w:p w14:paraId="5E2B9C9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4A23B0C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.578</w:t>
            </w:r>
          </w:p>
        </w:tc>
      </w:tr>
      <w:tr w:rsidR="00C340FB" w:rsidRPr="00C340FB" w14:paraId="1D78A7C5"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3CB9AD20"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No</w:t>
            </w:r>
          </w:p>
        </w:tc>
        <w:tc>
          <w:tcPr>
            <w:tcW w:w="940" w:type="dxa"/>
            <w:tcBorders>
              <w:top w:val="nil"/>
              <w:left w:val="nil"/>
              <w:bottom w:val="nil"/>
              <w:right w:val="nil"/>
            </w:tcBorders>
            <w:shd w:val="clear" w:color="auto" w:fill="auto"/>
            <w:noWrap/>
            <w:vAlign w:val="center"/>
            <w:hideMark/>
          </w:tcPr>
          <w:p w14:paraId="3A3372C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167</w:t>
            </w:r>
          </w:p>
        </w:tc>
        <w:tc>
          <w:tcPr>
            <w:tcW w:w="1438" w:type="dxa"/>
            <w:tcBorders>
              <w:top w:val="nil"/>
              <w:left w:val="nil"/>
              <w:bottom w:val="nil"/>
              <w:right w:val="nil"/>
            </w:tcBorders>
            <w:shd w:val="clear" w:color="auto" w:fill="auto"/>
            <w:noWrap/>
            <w:vAlign w:val="center"/>
            <w:hideMark/>
          </w:tcPr>
          <w:p w14:paraId="62C70113"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44.5%</w:t>
            </w:r>
          </w:p>
        </w:tc>
        <w:tc>
          <w:tcPr>
            <w:tcW w:w="940" w:type="dxa"/>
            <w:tcBorders>
              <w:top w:val="nil"/>
              <w:left w:val="nil"/>
              <w:bottom w:val="nil"/>
              <w:right w:val="nil"/>
            </w:tcBorders>
            <w:shd w:val="clear" w:color="auto" w:fill="auto"/>
            <w:noWrap/>
            <w:vAlign w:val="center"/>
            <w:hideMark/>
          </w:tcPr>
          <w:p w14:paraId="07812C5E"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208</w:t>
            </w:r>
          </w:p>
        </w:tc>
        <w:tc>
          <w:tcPr>
            <w:tcW w:w="1438" w:type="dxa"/>
            <w:tcBorders>
              <w:top w:val="nil"/>
              <w:left w:val="nil"/>
              <w:bottom w:val="nil"/>
              <w:right w:val="nil"/>
            </w:tcBorders>
            <w:shd w:val="clear" w:color="auto" w:fill="auto"/>
            <w:noWrap/>
            <w:vAlign w:val="center"/>
            <w:hideMark/>
          </w:tcPr>
          <w:p w14:paraId="018FCC4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55.5%</w:t>
            </w:r>
          </w:p>
        </w:tc>
        <w:tc>
          <w:tcPr>
            <w:tcW w:w="1189" w:type="dxa"/>
            <w:vMerge/>
            <w:tcBorders>
              <w:top w:val="nil"/>
              <w:left w:val="nil"/>
              <w:bottom w:val="single" w:sz="4" w:space="0" w:color="000000"/>
              <w:right w:val="nil"/>
            </w:tcBorders>
            <w:vAlign w:val="center"/>
            <w:hideMark/>
          </w:tcPr>
          <w:p w14:paraId="049D314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404F3D95" w14:textId="77777777" w:rsidTr="006A3C9E">
        <w:trPr>
          <w:trHeight w:val="483"/>
          <w:jc w:val="center"/>
        </w:trPr>
        <w:tc>
          <w:tcPr>
            <w:tcW w:w="2254" w:type="dxa"/>
            <w:tcBorders>
              <w:top w:val="nil"/>
              <w:left w:val="nil"/>
              <w:bottom w:val="single" w:sz="4" w:space="0" w:color="auto"/>
              <w:right w:val="nil"/>
            </w:tcBorders>
            <w:shd w:val="clear" w:color="auto" w:fill="auto"/>
            <w:noWrap/>
            <w:vAlign w:val="center"/>
            <w:hideMark/>
          </w:tcPr>
          <w:p w14:paraId="38C90545"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Yes</w:t>
            </w:r>
          </w:p>
        </w:tc>
        <w:tc>
          <w:tcPr>
            <w:tcW w:w="940" w:type="dxa"/>
            <w:tcBorders>
              <w:top w:val="nil"/>
              <w:left w:val="nil"/>
              <w:bottom w:val="single" w:sz="4" w:space="0" w:color="auto"/>
              <w:right w:val="nil"/>
            </w:tcBorders>
            <w:shd w:val="clear" w:color="auto" w:fill="auto"/>
            <w:noWrap/>
            <w:vAlign w:val="center"/>
            <w:hideMark/>
          </w:tcPr>
          <w:p w14:paraId="12DBF44F"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99</w:t>
            </w:r>
          </w:p>
        </w:tc>
        <w:tc>
          <w:tcPr>
            <w:tcW w:w="1438" w:type="dxa"/>
            <w:tcBorders>
              <w:top w:val="nil"/>
              <w:left w:val="nil"/>
              <w:bottom w:val="single" w:sz="4" w:space="0" w:color="auto"/>
              <w:right w:val="nil"/>
            </w:tcBorders>
            <w:shd w:val="clear" w:color="auto" w:fill="auto"/>
            <w:noWrap/>
            <w:vAlign w:val="center"/>
            <w:hideMark/>
          </w:tcPr>
          <w:p w14:paraId="1B383A6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46.9%</w:t>
            </w:r>
          </w:p>
        </w:tc>
        <w:tc>
          <w:tcPr>
            <w:tcW w:w="940" w:type="dxa"/>
            <w:tcBorders>
              <w:top w:val="nil"/>
              <w:left w:val="nil"/>
              <w:bottom w:val="single" w:sz="4" w:space="0" w:color="auto"/>
              <w:right w:val="nil"/>
            </w:tcBorders>
            <w:shd w:val="clear" w:color="auto" w:fill="auto"/>
            <w:noWrap/>
            <w:vAlign w:val="center"/>
            <w:hideMark/>
          </w:tcPr>
          <w:p w14:paraId="5724D0F0"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112</w:t>
            </w:r>
          </w:p>
        </w:tc>
        <w:tc>
          <w:tcPr>
            <w:tcW w:w="1438" w:type="dxa"/>
            <w:tcBorders>
              <w:top w:val="nil"/>
              <w:left w:val="nil"/>
              <w:bottom w:val="single" w:sz="4" w:space="0" w:color="auto"/>
              <w:right w:val="nil"/>
            </w:tcBorders>
            <w:shd w:val="clear" w:color="auto" w:fill="auto"/>
            <w:noWrap/>
            <w:vAlign w:val="center"/>
            <w:hideMark/>
          </w:tcPr>
          <w:p w14:paraId="3A70736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53.1%</w:t>
            </w:r>
          </w:p>
        </w:tc>
        <w:tc>
          <w:tcPr>
            <w:tcW w:w="1189" w:type="dxa"/>
            <w:vMerge/>
            <w:tcBorders>
              <w:top w:val="nil"/>
              <w:left w:val="nil"/>
              <w:bottom w:val="single" w:sz="4" w:space="0" w:color="000000"/>
              <w:right w:val="nil"/>
            </w:tcBorders>
            <w:vAlign w:val="center"/>
            <w:hideMark/>
          </w:tcPr>
          <w:p w14:paraId="07075B89"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44F405DE"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3AFA5A6A" w14:textId="77777777" w:rsidR="001F3178" w:rsidRPr="00C340FB" w:rsidRDefault="001F3178" w:rsidP="006A3C9E">
            <w:pPr>
              <w:spacing w:after="0" w:line="240" w:lineRule="auto"/>
              <w:rPr>
                <w:rFonts w:asciiTheme="majorBidi" w:eastAsia="Times New Roman" w:hAnsiTheme="majorBidi" w:cstheme="majorBidi"/>
                <w:b/>
                <w:bCs/>
                <w:kern w:val="0"/>
                <w14:ligatures w14:val="none"/>
              </w:rPr>
            </w:pPr>
            <w:r w:rsidRPr="00C340FB">
              <w:rPr>
                <w:rFonts w:asciiTheme="majorBidi" w:eastAsia="Times New Roman" w:hAnsiTheme="majorBidi" w:cstheme="majorBidi"/>
                <w:b/>
                <w:bCs/>
                <w:kern w:val="0"/>
                <w14:ligatures w14:val="none"/>
              </w:rPr>
              <w:t>Culture</w:t>
            </w:r>
          </w:p>
        </w:tc>
        <w:tc>
          <w:tcPr>
            <w:tcW w:w="940" w:type="dxa"/>
            <w:tcBorders>
              <w:top w:val="nil"/>
              <w:left w:val="nil"/>
              <w:bottom w:val="nil"/>
              <w:right w:val="nil"/>
            </w:tcBorders>
            <w:shd w:val="clear" w:color="auto" w:fill="auto"/>
            <w:noWrap/>
            <w:vAlign w:val="center"/>
            <w:hideMark/>
          </w:tcPr>
          <w:p w14:paraId="316B73D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0246F491"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940" w:type="dxa"/>
            <w:tcBorders>
              <w:top w:val="nil"/>
              <w:left w:val="nil"/>
              <w:bottom w:val="nil"/>
              <w:right w:val="nil"/>
            </w:tcBorders>
            <w:shd w:val="clear" w:color="auto" w:fill="auto"/>
            <w:noWrap/>
            <w:vAlign w:val="center"/>
            <w:hideMark/>
          </w:tcPr>
          <w:p w14:paraId="772117C5"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438" w:type="dxa"/>
            <w:tcBorders>
              <w:top w:val="nil"/>
              <w:left w:val="nil"/>
              <w:bottom w:val="nil"/>
              <w:right w:val="nil"/>
            </w:tcBorders>
            <w:shd w:val="clear" w:color="auto" w:fill="auto"/>
            <w:noWrap/>
            <w:vAlign w:val="center"/>
            <w:hideMark/>
          </w:tcPr>
          <w:p w14:paraId="4B99CA2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c>
          <w:tcPr>
            <w:tcW w:w="1189" w:type="dxa"/>
            <w:vMerge w:val="restart"/>
            <w:tcBorders>
              <w:top w:val="nil"/>
              <w:left w:val="nil"/>
              <w:bottom w:val="single" w:sz="4" w:space="0" w:color="000000"/>
              <w:right w:val="nil"/>
            </w:tcBorders>
            <w:shd w:val="clear" w:color="auto" w:fill="auto"/>
            <w:noWrap/>
            <w:vAlign w:val="center"/>
            <w:hideMark/>
          </w:tcPr>
          <w:p w14:paraId="65ECB54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.001*</w:t>
            </w:r>
          </w:p>
        </w:tc>
      </w:tr>
      <w:tr w:rsidR="00C340FB" w:rsidRPr="00C340FB" w14:paraId="790C4918" w14:textId="77777777" w:rsidTr="006A3C9E">
        <w:trPr>
          <w:trHeight w:val="483"/>
          <w:jc w:val="center"/>
        </w:trPr>
        <w:tc>
          <w:tcPr>
            <w:tcW w:w="2254" w:type="dxa"/>
            <w:tcBorders>
              <w:top w:val="nil"/>
              <w:left w:val="nil"/>
              <w:bottom w:val="nil"/>
              <w:right w:val="nil"/>
            </w:tcBorders>
            <w:shd w:val="clear" w:color="auto" w:fill="auto"/>
            <w:noWrap/>
            <w:vAlign w:val="center"/>
            <w:hideMark/>
          </w:tcPr>
          <w:p w14:paraId="6091E6A5"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No</w:t>
            </w:r>
          </w:p>
        </w:tc>
        <w:tc>
          <w:tcPr>
            <w:tcW w:w="940" w:type="dxa"/>
            <w:tcBorders>
              <w:top w:val="nil"/>
              <w:left w:val="nil"/>
              <w:bottom w:val="nil"/>
              <w:right w:val="nil"/>
            </w:tcBorders>
            <w:shd w:val="clear" w:color="auto" w:fill="auto"/>
            <w:noWrap/>
            <w:vAlign w:val="center"/>
            <w:hideMark/>
          </w:tcPr>
          <w:p w14:paraId="584A2F57"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157</w:t>
            </w:r>
          </w:p>
        </w:tc>
        <w:tc>
          <w:tcPr>
            <w:tcW w:w="1438" w:type="dxa"/>
            <w:tcBorders>
              <w:top w:val="nil"/>
              <w:left w:val="nil"/>
              <w:bottom w:val="nil"/>
              <w:right w:val="nil"/>
            </w:tcBorders>
            <w:shd w:val="clear" w:color="auto" w:fill="auto"/>
            <w:noWrap/>
            <w:vAlign w:val="center"/>
            <w:hideMark/>
          </w:tcPr>
          <w:p w14:paraId="31070FEC"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62.3%</w:t>
            </w:r>
          </w:p>
        </w:tc>
        <w:tc>
          <w:tcPr>
            <w:tcW w:w="940" w:type="dxa"/>
            <w:tcBorders>
              <w:top w:val="nil"/>
              <w:left w:val="nil"/>
              <w:bottom w:val="nil"/>
              <w:right w:val="nil"/>
            </w:tcBorders>
            <w:shd w:val="clear" w:color="auto" w:fill="auto"/>
            <w:noWrap/>
            <w:vAlign w:val="center"/>
            <w:hideMark/>
          </w:tcPr>
          <w:p w14:paraId="76FA991D"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95</w:t>
            </w:r>
          </w:p>
        </w:tc>
        <w:tc>
          <w:tcPr>
            <w:tcW w:w="1438" w:type="dxa"/>
            <w:tcBorders>
              <w:top w:val="nil"/>
              <w:left w:val="nil"/>
              <w:bottom w:val="nil"/>
              <w:right w:val="nil"/>
            </w:tcBorders>
            <w:shd w:val="clear" w:color="auto" w:fill="auto"/>
            <w:noWrap/>
            <w:vAlign w:val="center"/>
            <w:hideMark/>
          </w:tcPr>
          <w:p w14:paraId="06D0D936"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37.7%</w:t>
            </w:r>
          </w:p>
        </w:tc>
        <w:tc>
          <w:tcPr>
            <w:tcW w:w="1189" w:type="dxa"/>
            <w:vMerge/>
            <w:tcBorders>
              <w:top w:val="nil"/>
              <w:left w:val="nil"/>
              <w:bottom w:val="single" w:sz="4" w:space="0" w:color="000000"/>
              <w:right w:val="nil"/>
            </w:tcBorders>
            <w:vAlign w:val="center"/>
            <w:hideMark/>
          </w:tcPr>
          <w:p w14:paraId="1529A0D8"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r w:rsidR="00C340FB" w:rsidRPr="00C340FB" w14:paraId="2F4490CF" w14:textId="77777777" w:rsidTr="006A3C9E">
        <w:trPr>
          <w:trHeight w:val="483"/>
          <w:jc w:val="center"/>
        </w:trPr>
        <w:tc>
          <w:tcPr>
            <w:tcW w:w="2254" w:type="dxa"/>
            <w:tcBorders>
              <w:top w:val="nil"/>
              <w:left w:val="nil"/>
              <w:bottom w:val="single" w:sz="4" w:space="0" w:color="auto"/>
              <w:right w:val="nil"/>
            </w:tcBorders>
            <w:shd w:val="clear" w:color="auto" w:fill="auto"/>
            <w:noWrap/>
            <w:vAlign w:val="center"/>
            <w:hideMark/>
          </w:tcPr>
          <w:p w14:paraId="675D1A9F" w14:textId="77777777" w:rsidR="001F3178" w:rsidRPr="00C340FB" w:rsidRDefault="001F3178" w:rsidP="006A3C9E">
            <w:pPr>
              <w:spacing w:after="0" w:line="240" w:lineRule="auto"/>
              <w:rPr>
                <w:rFonts w:asciiTheme="majorBidi" w:eastAsia="Times New Roman" w:hAnsiTheme="majorBidi" w:cstheme="majorBidi"/>
                <w:i/>
                <w:iCs/>
                <w:kern w:val="0"/>
                <w14:ligatures w14:val="none"/>
              </w:rPr>
            </w:pPr>
            <w:r w:rsidRPr="00C340FB">
              <w:rPr>
                <w:rFonts w:asciiTheme="majorBidi" w:eastAsia="Times New Roman" w:hAnsiTheme="majorBidi" w:cstheme="majorBidi"/>
                <w:i/>
                <w:iCs/>
                <w:kern w:val="0"/>
                <w14:ligatures w14:val="none"/>
              </w:rPr>
              <w:t>Yes</w:t>
            </w:r>
          </w:p>
        </w:tc>
        <w:tc>
          <w:tcPr>
            <w:tcW w:w="940" w:type="dxa"/>
            <w:tcBorders>
              <w:top w:val="nil"/>
              <w:left w:val="nil"/>
              <w:bottom w:val="single" w:sz="4" w:space="0" w:color="auto"/>
              <w:right w:val="nil"/>
            </w:tcBorders>
            <w:shd w:val="clear" w:color="auto" w:fill="auto"/>
            <w:noWrap/>
            <w:vAlign w:val="center"/>
            <w:hideMark/>
          </w:tcPr>
          <w:p w14:paraId="79D33E2B"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109</w:t>
            </w:r>
          </w:p>
        </w:tc>
        <w:tc>
          <w:tcPr>
            <w:tcW w:w="1438" w:type="dxa"/>
            <w:tcBorders>
              <w:top w:val="nil"/>
              <w:left w:val="nil"/>
              <w:bottom w:val="single" w:sz="4" w:space="0" w:color="auto"/>
              <w:right w:val="nil"/>
            </w:tcBorders>
            <w:shd w:val="clear" w:color="auto" w:fill="auto"/>
            <w:noWrap/>
            <w:vAlign w:val="center"/>
            <w:hideMark/>
          </w:tcPr>
          <w:p w14:paraId="3804F3DA"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32.6%</w:t>
            </w:r>
          </w:p>
        </w:tc>
        <w:tc>
          <w:tcPr>
            <w:tcW w:w="940" w:type="dxa"/>
            <w:tcBorders>
              <w:top w:val="nil"/>
              <w:left w:val="nil"/>
              <w:bottom w:val="single" w:sz="4" w:space="0" w:color="auto"/>
              <w:right w:val="nil"/>
            </w:tcBorders>
            <w:shd w:val="clear" w:color="auto" w:fill="auto"/>
            <w:noWrap/>
            <w:vAlign w:val="center"/>
            <w:hideMark/>
          </w:tcPr>
          <w:p w14:paraId="310BD25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225</w:t>
            </w:r>
          </w:p>
        </w:tc>
        <w:tc>
          <w:tcPr>
            <w:tcW w:w="1438" w:type="dxa"/>
            <w:tcBorders>
              <w:top w:val="nil"/>
              <w:left w:val="nil"/>
              <w:bottom w:val="single" w:sz="4" w:space="0" w:color="auto"/>
              <w:right w:val="nil"/>
            </w:tcBorders>
            <w:shd w:val="clear" w:color="auto" w:fill="auto"/>
            <w:noWrap/>
            <w:vAlign w:val="center"/>
            <w:hideMark/>
          </w:tcPr>
          <w:p w14:paraId="2D90BC14"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r w:rsidRPr="00C340FB">
              <w:rPr>
                <w:rFonts w:asciiTheme="majorBidi" w:eastAsia="Times New Roman" w:hAnsiTheme="majorBidi" w:cstheme="majorBidi"/>
                <w:kern w:val="0"/>
                <w14:ligatures w14:val="none"/>
              </w:rPr>
              <w:t>67.4%</w:t>
            </w:r>
          </w:p>
        </w:tc>
        <w:tc>
          <w:tcPr>
            <w:tcW w:w="1189" w:type="dxa"/>
            <w:vMerge/>
            <w:tcBorders>
              <w:top w:val="nil"/>
              <w:left w:val="nil"/>
              <w:bottom w:val="single" w:sz="4" w:space="0" w:color="000000"/>
              <w:right w:val="nil"/>
            </w:tcBorders>
            <w:vAlign w:val="center"/>
            <w:hideMark/>
          </w:tcPr>
          <w:p w14:paraId="248C23C2" w14:textId="77777777" w:rsidR="001F3178" w:rsidRPr="00C340FB" w:rsidRDefault="001F3178" w:rsidP="006A3C9E">
            <w:pPr>
              <w:spacing w:after="0" w:line="240" w:lineRule="auto"/>
              <w:jc w:val="center"/>
              <w:rPr>
                <w:rFonts w:asciiTheme="majorBidi" w:eastAsia="Times New Roman" w:hAnsiTheme="majorBidi" w:cstheme="majorBidi"/>
                <w:kern w:val="0"/>
                <w14:ligatures w14:val="none"/>
              </w:rPr>
            </w:pPr>
          </w:p>
        </w:tc>
      </w:tr>
    </w:tbl>
    <w:p w14:paraId="74742C0A" w14:textId="77777777" w:rsidR="001F3178" w:rsidRPr="00C340FB" w:rsidRDefault="001F3178" w:rsidP="001F3178">
      <w:pPr>
        <w:ind w:left="720"/>
        <w:rPr>
          <w:rFonts w:asciiTheme="majorBidi" w:hAnsiTheme="majorBidi" w:cstheme="majorBidi"/>
          <w:i/>
          <w:iCs/>
          <w:sz w:val="20"/>
          <w:szCs w:val="20"/>
        </w:rPr>
      </w:pPr>
      <w:r w:rsidRPr="00C340FB">
        <w:rPr>
          <w:rFonts w:asciiTheme="majorBidi" w:hAnsiTheme="majorBidi" w:cstheme="majorBidi"/>
          <w:i/>
          <w:iCs/>
          <w:sz w:val="20"/>
          <w:szCs w:val="20"/>
        </w:rPr>
        <w:t>P: Pearson X</w:t>
      </w:r>
      <w:r w:rsidRPr="00C340FB">
        <w:rPr>
          <w:rFonts w:asciiTheme="majorBidi" w:hAnsiTheme="majorBidi" w:cstheme="majorBidi"/>
          <w:i/>
          <w:iCs/>
          <w:sz w:val="20"/>
          <w:szCs w:val="20"/>
          <w:vertAlign w:val="superscript"/>
        </w:rPr>
        <w:t>2</w:t>
      </w:r>
      <w:r w:rsidRPr="00C340FB">
        <w:rPr>
          <w:rFonts w:asciiTheme="majorBidi" w:hAnsiTheme="majorBidi" w:cstheme="majorBidi"/>
          <w:i/>
          <w:iCs/>
          <w:sz w:val="20"/>
          <w:szCs w:val="20"/>
        </w:rPr>
        <w:t xml:space="preserve"> test</w:t>
      </w:r>
      <w:r w:rsidRPr="00C340FB">
        <w:rPr>
          <w:rFonts w:asciiTheme="majorBidi" w:hAnsiTheme="majorBidi" w:cstheme="majorBidi"/>
          <w:i/>
          <w:iCs/>
          <w:sz w:val="20"/>
          <w:szCs w:val="20"/>
        </w:rPr>
        <w:tab/>
      </w:r>
      <w:r w:rsidRPr="00C340FB">
        <w:rPr>
          <w:rFonts w:asciiTheme="majorBidi" w:hAnsiTheme="majorBidi" w:cstheme="majorBidi"/>
          <w:i/>
          <w:iCs/>
          <w:sz w:val="20"/>
          <w:szCs w:val="20"/>
        </w:rPr>
        <w:tab/>
        <w:t>$: Exact probability test</w:t>
      </w:r>
    </w:p>
    <w:p w14:paraId="27CA697B" w14:textId="77777777" w:rsidR="001F3178" w:rsidRPr="00C340FB" w:rsidRDefault="001F3178" w:rsidP="001F3178">
      <w:pPr>
        <w:ind w:left="720"/>
        <w:rPr>
          <w:rFonts w:asciiTheme="majorBidi" w:hAnsiTheme="majorBidi" w:cstheme="majorBidi"/>
          <w:i/>
          <w:iCs/>
          <w:sz w:val="20"/>
          <w:szCs w:val="20"/>
        </w:rPr>
      </w:pPr>
      <w:r w:rsidRPr="00C340FB">
        <w:rPr>
          <w:rFonts w:asciiTheme="majorBidi" w:hAnsiTheme="majorBidi" w:cstheme="majorBidi"/>
          <w:i/>
          <w:iCs/>
          <w:sz w:val="20"/>
          <w:szCs w:val="20"/>
        </w:rPr>
        <w:t>* P &lt; 0.05 (significant)</w:t>
      </w:r>
    </w:p>
    <w:p w14:paraId="1378298C" w14:textId="77777777" w:rsidR="001F3178" w:rsidRPr="00C340FB" w:rsidRDefault="001F3178" w:rsidP="00EA7122">
      <w:pPr>
        <w:rPr>
          <w:sz w:val="24"/>
          <w:szCs w:val="24"/>
        </w:rPr>
      </w:pPr>
    </w:p>
    <w:sectPr w:rsidR="001F3178" w:rsidRPr="00C340FB">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79AB6" w14:textId="77777777" w:rsidR="00815E9E" w:rsidRDefault="00815E9E" w:rsidP="005A12C2">
      <w:pPr>
        <w:spacing w:after="0" w:line="240" w:lineRule="auto"/>
      </w:pPr>
      <w:r>
        <w:separator/>
      </w:r>
    </w:p>
  </w:endnote>
  <w:endnote w:type="continuationSeparator" w:id="0">
    <w:p w14:paraId="3953A83A" w14:textId="77777777" w:rsidR="00815E9E" w:rsidRDefault="00815E9E" w:rsidP="005A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BA521" w14:textId="77777777" w:rsidR="005A12C2" w:rsidRDefault="005A1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DC6F6" w14:textId="77777777" w:rsidR="005A12C2" w:rsidRDefault="005A1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525B0" w14:textId="77777777" w:rsidR="005A12C2" w:rsidRDefault="005A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B3C5D" w14:textId="77777777" w:rsidR="00815E9E" w:rsidRDefault="00815E9E" w:rsidP="005A12C2">
      <w:pPr>
        <w:spacing w:after="0" w:line="240" w:lineRule="auto"/>
      </w:pPr>
      <w:r>
        <w:separator/>
      </w:r>
    </w:p>
  </w:footnote>
  <w:footnote w:type="continuationSeparator" w:id="0">
    <w:p w14:paraId="7DE9725F" w14:textId="77777777" w:rsidR="00815E9E" w:rsidRDefault="00815E9E" w:rsidP="005A1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7C57" w14:textId="17E1A611" w:rsidR="005A12C2" w:rsidRDefault="00000000">
    <w:pPr>
      <w:pStyle w:val="Header"/>
    </w:pPr>
    <w:r>
      <w:rPr>
        <w:noProof/>
      </w:rPr>
      <w:pict w14:anchorId="72112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25485"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F137" w14:textId="473B31EE" w:rsidR="005A12C2" w:rsidRDefault="00000000">
    <w:pPr>
      <w:pStyle w:val="Header"/>
    </w:pPr>
    <w:r>
      <w:rPr>
        <w:noProof/>
      </w:rPr>
      <w:pict w14:anchorId="57007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25486"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66D66" w14:textId="1F5CDD3A" w:rsidR="005A12C2" w:rsidRDefault="00000000">
    <w:pPr>
      <w:pStyle w:val="Header"/>
    </w:pPr>
    <w:r>
      <w:rPr>
        <w:noProof/>
      </w:rPr>
      <w:pict w14:anchorId="4242F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25484"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27A36"/>
    <w:multiLevelType w:val="hybridMultilevel"/>
    <w:tmpl w:val="24BEFEE6"/>
    <w:lvl w:ilvl="0" w:tplc="6DCCA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27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0MjAxMTMwNzc2NjFT0lEKTi0uzszPAykwrAUAHLquOCwAAAA="/>
  </w:docVars>
  <w:rsids>
    <w:rsidRoot w:val="0072011D"/>
    <w:rsid w:val="00011622"/>
    <w:rsid w:val="000547F1"/>
    <w:rsid w:val="000B12A0"/>
    <w:rsid w:val="000E1A38"/>
    <w:rsid w:val="001178DA"/>
    <w:rsid w:val="00150BC6"/>
    <w:rsid w:val="00171F3A"/>
    <w:rsid w:val="001C1ED8"/>
    <w:rsid w:val="001F3178"/>
    <w:rsid w:val="00206474"/>
    <w:rsid w:val="00232638"/>
    <w:rsid w:val="00280ED8"/>
    <w:rsid w:val="0029622B"/>
    <w:rsid w:val="002C0893"/>
    <w:rsid w:val="002C2355"/>
    <w:rsid w:val="002F24BA"/>
    <w:rsid w:val="00336397"/>
    <w:rsid w:val="00366433"/>
    <w:rsid w:val="003E050D"/>
    <w:rsid w:val="003E5E3F"/>
    <w:rsid w:val="003E6DA1"/>
    <w:rsid w:val="004544F9"/>
    <w:rsid w:val="0046108A"/>
    <w:rsid w:val="00462AF6"/>
    <w:rsid w:val="004F76B3"/>
    <w:rsid w:val="00514561"/>
    <w:rsid w:val="0058139E"/>
    <w:rsid w:val="005A12C2"/>
    <w:rsid w:val="006D6352"/>
    <w:rsid w:val="0072011D"/>
    <w:rsid w:val="00733A93"/>
    <w:rsid w:val="00750BEF"/>
    <w:rsid w:val="00767EBE"/>
    <w:rsid w:val="00771D7E"/>
    <w:rsid w:val="007A5D10"/>
    <w:rsid w:val="007C17A5"/>
    <w:rsid w:val="007C76D4"/>
    <w:rsid w:val="007D24B0"/>
    <w:rsid w:val="007F30E0"/>
    <w:rsid w:val="00815E9E"/>
    <w:rsid w:val="00826FDA"/>
    <w:rsid w:val="00830780"/>
    <w:rsid w:val="008A5D47"/>
    <w:rsid w:val="008E118B"/>
    <w:rsid w:val="008E34B6"/>
    <w:rsid w:val="00940CE0"/>
    <w:rsid w:val="009A0141"/>
    <w:rsid w:val="00A4137D"/>
    <w:rsid w:val="00A655F0"/>
    <w:rsid w:val="00B07359"/>
    <w:rsid w:val="00B73B8D"/>
    <w:rsid w:val="00B93E09"/>
    <w:rsid w:val="00BA5E15"/>
    <w:rsid w:val="00BA7C17"/>
    <w:rsid w:val="00C340FB"/>
    <w:rsid w:val="00C95FDF"/>
    <w:rsid w:val="00CE664D"/>
    <w:rsid w:val="00D71FDA"/>
    <w:rsid w:val="00D74145"/>
    <w:rsid w:val="00DA6B12"/>
    <w:rsid w:val="00DE082C"/>
    <w:rsid w:val="00E34654"/>
    <w:rsid w:val="00E9580E"/>
    <w:rsid w:val="00EA7122"/>
    <w:rsid w:val="00EC355A"/>
    <w:rsid w:val="00EF7AD7"/>
    <w:rsid w:val="00F52789"/>
    <w:rsid w:val="00F74EEE"/>
    <w:rsid w:val="00FB5AE1"/>
    <w:rsid w:val="00FF02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93CF"/>
  <w15:chartTrackingRefBased/>
  <w15:docId w15:val="{3D2D856A-8B20-4F81-91BF-98C372A2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7A5"/>
    <w:pPr>
      <w:ind w:left="720"/>
      <w:contextualSpacing/>
    </w:pPr>
  </w:style>
  <w:style w:type="character" w:styleId="Hyperlink">
    <w:name w:val="Hyperlink"/>
    <w:basedOn w:val="DefaultParagraphFont"/>
    <w:uiPriority w:val="99"/>
    <w:unhideWhenUsed/>
    <w:rsid w:val="007C76D4"/>
    <w:rPr>
      <w:color w:val="0563C1" w:themeColor="hyperlink"/>
      <w:u w:val="single"/>
    </w:rPr>
  </w:style>
  <w:style w:type="character" w:customStyle="1" w:styleId="UnresolvedMention1">
    <w:name w:val="Unresolved Mention1"/>
    <w:basedOn w:val="DefaultParagraphFont"/>
    <w:uiPriority w:val="99"/>
    <w:semiHidden/>
    <w:unhideWhenUsed/>
    <w:rsid w:val="007C76D4"/>
    <w:rPr>
      <w:color w:val="605E5C"/>
      <w:shd w:val="clear" w:color="auto" w:fill="E1DFDD"/>
    </w:rPr>
  </w:style>
  <w:style w:type="paragraph" w:styleId="Header">
    <w:name w:val="header"/>
    <w:basedOn w:val="Normal"/>
    <w:link w:val="HeaderChar"/>
    <w:uiPriority w:val="99"/>
    <w:unhideWhenUsed/>
    <w:rsid w:val="005A1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C2"/>
  </w:style>
  <w:style w:type="paragraph" w:styleId="Footer">
    <w:name w:val="footer"/>
    <w:basedOn w:val="Normal"/>
    <w:link w:val="FooterChar"/>
    <w:uiPriority w:val="99"/>
    <w:unhideWhenUsed/>
    <w:rsid w:val="005A1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C2"/>
  </w:style>
  <w:style w:type="character" w:styleId="UnresolvedMention">
    <w:name w:val="Unresolved Mention"/>
    <w:basedOn w:val="DefaultParagraphFont"/>
    <w:uiPriority w:val="99"/>
    <w:semiHidden/>
    <w:unhideWhenUsed/>
    <w:rsid w:val="00FB5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961298">
      <w:bodyDiv w:val="1"/>
      <w:marLeft w:val="0"/>
      <w:marRight w:val="0"/>
      <w:marTop w:val="0"/>
      <w:marBottom w:val="0"/>
      <w:divBdr>
        <w:top w:val="none" w:sz="0" w:space="0" w:color="auto"/>
        <w:left w:val="none" w:sz="0" w:space="0" w:color="auto"/>
        <w:bottom w:val="none" w:sz="0" w:space="0" w:color="auto"/>
        <w:right w:val="none" w:sz="0" w:space="0" w:color="auto"/>
      </w:divBdr>
    </w:div>
    <w:div w:id="1001471290">
      <w:bodyDiv w:val="1"/>
      <w:marLeft w:val="0"/>
      <w:marRight w:val="0"/>
      <w:marTop w:val="0"/>
      <w:marBottom w:val="0"/>
      <w:divBdr>
        <w:top w:val="none" w:sz="0" w:space="0" w:color="auto"/>
        <w:left w:val="none" w:sz="0" w:space="0" w:color="auto"/>
        <w:bottom w:val="none" w:sz="0" w:space="0" w:color="auto"/>
        <w:right w:val="none" w:sz="0" w:space="0" w:color="auto"/>
      </w:divBdr>
    </w:div>
    <w:div w:id="1520388921">
      <w:bodyDiv w:val="1"/>
      <w:marLeft w:val="0"/>
      <w:marRight w:val="0"/>
      <w:marTop w:val="0"/>
      <w:marBottom w:val="0"/>
      <w:divBdr>
        <w:top w:val="none" w:sz="0" w:space="0" w:color="auto"/>
        <w:left w:val="none" w:sz="0" w:space="0" w:color="auto"/>
        <w:bottom w:val="none" w:sz="0" w:space="0" w:color="auto"/>
        <w:right w:val="none" w:sz="0" w:space="0" w:color="auto"/>
      </w:divBdr>
    </w:div>
    <w:div w:id="1930893835">
      <w:bodyDiv w:val="1"/>
      <w:marLeft w:val="0"/>
      <w:marRight w:val="0"/>
      <w:marTop w:val="0"/>
      <w:marBottom w:val="0"/>
      <w:divBdr>
        <w:top w:val="none" w:sz="0" w:space="0" w:color="auto"/>
        <w:left w:val="none" w:sz="0" w:space="0" w:color="auto"/>
        <w:bottom w:val="none" w:sz="0" w:space="0" w:color="auto"/>
        <w:right w:val="none" w:sz="0" w:space="0" w:color="auto"/>
      </w:divBdr>
      <w:divsChild>
        <w:div w:id="1345205770">
          <w:marLeft w:val="0"/>
          <w:marRight w:val="0"/>
          <w:marTop w:val="0"/>
          <w:marBottom w:val="0"/>
          <w:divBdr>
            <w:top w:val="single" w:sz="2" w:space="0" w:color="D9D9E3"/>
            <w:left w:val="single" w:sz="2" w:space="0" w:color="D9D9E3"/>
            <w:bottom w:val="single" w:sz="2" w:space="0" w:color="D9D9E3"/>
            <w:right w:val="single" w:sz="2" w:space="0" w:color="D9D9E3"/>
          </w:divBdr>
          <w:divsChild>
            <w:div w:id="770010385">
              <w:marLeft w:val="0"/>
              <w:marRight w:val="0"/>
              <w:marTop w:val="0"/>
              <w:marBottom w:val="0"/>
              <w:divBdr>
                <w:top w:val="single" w:sz="2" w:space="0" w:color="D9D9E3"/>
                <w:left w:val="single" w:sz="2" w:space="0" w:color="D9D9E3"/>
                <w:bottom w:val="single" w:sz="2" w:space="0" w:color="D9D9E3"/>
                <w:right w:val="single" w:sz="2" w:space="0" w:color="D9D9E3"/>
              </w:divBdr>
              <w:divsChild>
                <w:div w:id="290790817">
                  <w:marLeft w:val="0"/>
                  <w:marRight w:val="0"/>
                  <w:marTop w:val="0"/>
                  <w:marBottom w:val="0"/>
                  <w:divBdr>
                    <w:top w:val="single" w:sz="2" w:space="0" w:color="D9D9E3"/>
                    <w:left w:val="single" w:sz="2" w:space="0" w:color="D9D9E3"/>
                    <w:bottom w:val="single" w:sz="2" w:space="0" w:color="D9D9E3"/>
                    <w:right w:val="single" w:sz="2" w:space="0" w:color="D9D9E3"/>
                  </w:divBdr>
                  <w:divsChild>
                    <w:div w:id="29301068">
                      <w:marLeft w:val="0"/>
                      <w:marRight w:val="0"/>
                      <w:marTop w:val="0"/>
                      <w:marBottom w:val="0"/>
                      <w:divBdr>
                        <w:top w:val="single" w:sz="2" w:space="0" w:color="D9D9E3"/>
                        <w:left w:val="single" w:sz="2" w:space="0" w:color="D9D9E3"/>
                        <w:bottom w:val="single" w:sz="2" w:space="0" w:color="D9D9E3"/>
                        <w:right w:val="single" w:sz="2" w:space="0" w:color="D9D9E3"/>
                      </w:divBdr>
                      <w:divsChild>
                        <w:div w:id="1053892633">
                          <w:marLeft w:val="0"/>
                          <w:marRight w:val="0"/>
                          <w:marTop w:val="0"/>
                          <w:marBottom w:val="0"/>
                          <w:divBdr>
                            <w:top w:val="single" w:sz="2" w:space="0" w:color="auto"/>
                            <w:left w:val="single" w:sz="2" w:space="0" w:color="auto"/>
                            <w:bottom w:val="single" w:sz="6" w:space="0" w:color="auto"/>
                            <w:right w:val="single" w:sz="2" w:space="0" w:color="auto"/>
                          </w:divBdr>
                          <w:divsChild>
                            <w:div w:id="822505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801848503">
                                  <w:marLeft w:val="0"/>
                                  <w:marRight w:val="0"/>
                                  <w:marTop w:val="0"/>
                                  <w:marBottom w:val="0"/>
                                  <w:divBdr>
                                    <w:top w:val="single" w:sz="2" w:space="0" w:color="D9D9E3"/>
                                    <w:left w:val="single" w:sz="2" w:space="0" w:color="D9D9E3"/>
                                    <w:bottom w:val="single" w:sz="2" w:space="0" w:color="D9D9E3"/>
                                    <w:right w:val="single" w:sz="2" w:space="0" w:color="D9D9E3"/>
                                  </w:divBdr>
                                  <w:divsChild>
                                    <w:div w:id="1991403023">
                                      <w:marLeft w:val="0"/>
                                      <w:marRight w:val="0"/>
                                      <w:marTop w:val="0"/>
                                      <w:marBottom w:val="0"/>
                                      <w:divBdr>
                                        <w:top w:val="single" w:sz="2" w:space="0" w:color="D9D9E3"/>
                                        <w:left w:val="single" w:sz="2" w:space="0" w:color="D9D9E3"/>
                                        <w:bottom w:val="single" w:sz="2" w:space="0" w:color="D9D9E3"/>
                                        <w:right w:val="single" w:sz="2" w:space="0" w:color="D9D9E3"/>
                                      </w:divBdr>
                                      <w:divsChild>
                                        <w:div w:id="1487161462">
                                          <w:marLeft w:val="0"/>
                                          <w:marRight w:val="0"/>
                                          <w:marTop w:val="0"/>
                                          <w:marBottom w:val="0"/>
                                          <w:divBdr>
                                            <w:top w:val="single" w:sz="2" w:space="0" w:color="D9D9E3"/>
                                            <w:left w:val="single" w:sz="2" w:space="0" w:color="D9D9E3"/>
                                            <w:bottom w:val="single" w:sz="2" w:space="0" w:color="D9D9E3"/>
                                            <w:right w:val="single" w:sz="2" w:space="0" w:color="D9D9E3"/>
                                          </w:divBdr>
                                          <w:divsChild>
                                            <w:div w:id="2100642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4923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NSM.JNSM_29_20" TargetMode="External"/><Relationship Id="rId13" Type="http://schemas.openxmlformats.org/officeDocument/2006/relationships/hyperlink" Target="https://doi.org/10.1371/journal.pone.027006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researchgate.net/publication/376524737_Characteristics_Treatment_Outcomes_and_Cause_of_Death_of_Invasively_Ventilated_Patients_with_COVID-19_ARDS_in_Asir_Central_Hospital_A_Retrospective_Single_Center_Experience" TargetMode="External"/><Relationship Id="rId12" Type="http://schemas.openxmlformats.org/officeDocument/2006/relationships/hyperlink" Target="https://doi.org/10.1186/s40001-021-00517-7"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th.1478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oter" Target="footer3.xml"/><Relationship Id="rId10" Type="http://schemas.openxmlformats.org/officeDocument/2006/relationships/hyperlink" Target="https://doi.org/10.1016/S0140-6736(20)30566-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S0140-6736(20)30211-7" TargetMode="Externa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Sheet2!$A$1:$A$18</c:f>
              <c:strCache>
                <c:ptCount val="18"/>
                <c:pt idx="0">
                  <c:v>ILD</c:v>
                </c:pt>
                <c:pt idx="1">
                  <c:v>Cancer</c:v>
                </c:pt>
                <c:pt idx="2">
                  <c:v>Epilepsy</c:v>
                </c:pt>
                <c:pt idx="3">
                  <c:v>Autoimuune</c:v>
                </c:pt>
                <c:pt idx="4">
                  <c:v>Cirrhosis</c:v>
                </c:pt>
                <c:pt idx="5">
                  <c:v>Dysrhythmia</c:v>
                </c:pt>
                <c:pt idx="6">
                  <c:v>ESRD</c:v>
                </c:pt>
                <c:pt idx="7">
                  <c:v>AKI</c:v>
                </c:pt>
                <c:pt idx="8">
                  <c:v>COPD</c:v>
                </c:pt>
                <c:pt idx="9">
                  <c:v>Stroke</c:v>
                </c:pt>
                <c:pt idx="10">
                  <c:v>CHF</c:v>
                </c:pt>
                <c:pt idx="11">
                  <c:v>CAD</c:v>
                </c:pt>
                <c:pt idx="12">
                  <c:v>Hypothyroidism</c:v>
                </c:pt>
                <c:pt idx="13">
                  <c:v>Bronachial asthma</c:v>
                </c:pt>
                <c:pt idx="14">
                  <c:v>CKD</c:v>
                </c:pt>
                <c:pt idx="15">
                  <c:v>GIT disease</c:v>
                </c:pt>
                <c:pt idx="16">
                  <c:v>Dyslipidemia</c:v>
                </c:pt>
                <c:pt idx="17">
                  <c:v>DM</c:v>
                </c:pt>
              </c:strCache>
            </c:strRef>
          </c:cat>
          <c:val>
            <c:numRef>
              <c:f>Sheet2!$B$1:$B$18</c:f>
              <c:numCache>
                <c:formatCode>###0.0%</c:formatCode>
                <c:ptCount val="18"/>
                <c:pt idx="0" formatCode="####.0%">
                  <c:v>3.3670033670033673E-3</c:v>
                </c:pt>
                <c:pt idx="1">
                  <c:v>1.0101010101010102E-2</c:v>
                </c:pt>
                <c:pt idx="2">
                  <c:v>1.0101010101010102E-2</c:v>
                </c:pt>
                <c:pt idx="3">
                  <c:v>1.1784511784511785E-2</c:v>
                </c:pt>
                <c:pt idx="4">
                  <c:v>1.5151515151515152E-2</c:v>
                </c:pt>
                <c:pt idx="5">
                  <c:v>1.5151515151515152E-2</c:v>
                </c:pt>
                <c:pt idx="6">
                  <c:v>1.8518518518518517E-2</c:v>
                </c:pt>
                <c:pt idx="7">
                  <c:v>2.0202020202020204E-2</c:v>
                </c:pt>
                <c:pt idx="8">
                  <c:v>2.1885521885521887E-2</c:v>
                </c:pt>
                <c:pt idx="9">
                  <c:v>2.5252525252525252E-2</c:v>
                </c:pt>
                <c:pt idx="10">
                  <c:v>2.6936026936026938E-2</c:v>
                </c:pt>
                <c:pt idx="11">
                  <c:v>3.1986531986531987E-2</c:v>
                </c:pt>
                <c:pt idx="12">
                  <c:v>3.5353535353535352E-2</c:v>
                </c:pt>
                <c:pt idx="13">
                  <c:v>3.8720538720538718E-2</c:v>
                </c:pt>
                <c:pt idx="14">
                  <c:v>5.0505050505050504E-2</c:v>
                </c:pt>
                <c:pt idx="15">
                  <c:v>5.0505050505050504E-2</c:v>
                </c:pt>
                <c:pt idx="16">
                  <c:v>0.12962962962962965</c:v>
                </c:pt>
                <c:pt idx="17">
                  <c:v>0.35521885521885521</c:v>
                </c:pt>
              </c:numCache>
            </c:numRef>
          </c:val>
          <c:extLst>
            <c:ext xmlns:c16="http://schemas.microsoft.com/office/drawing/2014/chart" uri="{C3380CC4-5D6E-409C-BE32-E72D297353CC}">
              <c16:uniqueId val="{00000000-8C0F-407D-B702-85A13ADDCD6B}"/>
            </c:ext>
          </c:extLst>
        </c:ser>
        <c:dLbls>
          <c:showLegendKey val="0"/>
          <c:showVal val="0"/>
          <c:showCatName val="0"/>
          <c:showSerName val="0"/>
          <c:showPercent val="0"/>
          <c:showBubbleSize val="0"/>
        </c:dLbls>
        <c:gapWidth val="115"/>
        <c:overlap val="-28"/>
        <c:axId val="383011656"/>
        <c:axId val="383010936"/>
      </c:barChart>
      <c:catAx>
        <c:axId val="383011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383010936"/>
        <c:crosses val="autoZero"/>
        <c:auto val="1"/>
        <c:lblAlgn val="ctr"/>
        <c:lblOffset val="100"/>
        <c:noMultiLvlLbl val="0"/>
      </c:catAx>
      <c:valAx>
        <c:axId val="38301093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01165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Sheet2!$A$40:$A$48</c:f>
              <c:strCache>
                <c:ptCount val="9"/>
                <c:pt idx="0">
                  <c:v>Antibiotics</c:v>
                </c:pt>
                <c:pt idx="1">
                  <c:v>Anticoagulation</c:v>
                </c:pt>
                <c:pt idx="2">
                  <c:v>Steroids</c:v>
                </c:pt>
                <c:pt idx="3">
                  <c:v>Antiviral drugs</c:v>
                </c:pt>
                <c:pt idx="4">
                  <c:v>Analgesia</c:v>
                </c:pt>
                <c:pt idx="5">
                  <c:v>Diuretics</c:v>
                </c:pt>
                <c:pt idx="6">
                  <c:v>Asthma treatment</c:v>
                </c:pt>
                <c:pt idx="7">
                  <c:v>MABs</c:v>
                </c:pt>
                <c:pt idx="8">
                  <c:v>Antiplatelate</c:v>
                </c:pt>
              </c:strCache>
            </c:strRef>
          </c:cat>
          <c:val>
            <c:numRef>
              <c:f>Sheet2!$B$40:$B$48</c:f>
              <c:numCache>
                <c:formatCode>###0.0%</c:formatCode>
                <c:ptCount val="9"/>
                <c:pt idx="0">
                  <c:v>0.95286195286195285</c:v>
                </c:pt>
                <c:pt idx="1">
                  <c:v>0.8737373737373737</c:v>
                </c:pt>
                <c:pt idx="2">
                  <c:v>0.78282828282828276</c:v>
                </c:pt>
                <c:pt idx="3">
                  <c:v>0.75252525252525249</c:v>
                </c:pt>
                <c:pt idx="4">
                  <c:v>0.55387205387205385</c:v>
                </c:pt>
                <c:pt idx="5">
                  <c:v>0.5067340067340067</c:v>
                </c:pt>
                <c:pt idx="6">
                  <c:v>0.40740740740740738</c:v>
                </c:pt>
                <c:pt idx="7">
                  <c:v>0.20370370370370369</c:v>
                </c:pt>
                <c:pt idx="8">
                  <c:v>0.14478114478114479</c:v>
                </c:pt>
              </c:numCache>
            </c:numRef>
          </c:val>
          <c:extLst>
            <c:ext xmlns:c16="http://schemas.microsoft.com/office/drawing/2014/chart" uri="{C3380CC4-5D6E-409C-BE32-E72D297353CC}">
              <c16:uniqueId val="{00000000-EA3D-4A26-9308-73DF3CE880E6}"/>
            </c:ext>
          </c:extLst>
        </c:ser>
        <c:dLbls>
          <c:showLegendKey val="0"/>
          <c:showVal val="0"/>
          <c:showCatName val="0"/>
          <c:showSerName val="0"/>
          <c:showPercent val="0"/>
          <c:showBubbleSize val="0"/>
        </c:dLbls>
        <c:gapWidth val="208"/>
        <c:overlap val="31"/>
        <c:axId val="495035784"/>
        <c:axId val="495036504"/>
      </c:barChart>
      <c:catAx>
        <c:axId val="495035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5036504"/>
        <c:crosses val="autoZero"/>
        <c:auto val="1"/>
        <c:lblAlgn val="ctr"/>
        <c:lblOffset val="100"/>
        <c:noMultiLvlLbl val="0"/>
      </c:catAx>
      <c:valAx>
        <c:axId val="495036504"/>
        <c:scaling>
          <c:orientation val="minMax"/>
        </c:scaling>
        <c:delete val="0"/>
        <c:axPos val="l"/>
        <c:majorGridlines>
          <c:spPr>
            <a:ln w="0" cap="flat" cmpd="sng" algn="ctr">
              <a:solidFill>
                <a:schemeClr val="accent3">
                  <a:lumMod val="20000"/>
                  <a:lumOff val="80000"/>
                </a:schemeClr>
              </a:solidFill>
              <a:prstDash val="sysDot"/>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0357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Sheet1!$A$1:$A$27</c:f>
              <c:strCache>
                <c:ptCount val="27"/>
                <c:pt idx="0">
                  <c:v>BHGB</c:v>
                </c:pt>
                <c:pt idx="1">
                  <c:v>Candida lipolytica</c:v>
                </c:pt>
                <c:pt idx="2">
                  <c:v>Candida tropicalis</c:v>
                </c:pt>
                <c:pt idx="3">
                  <c:v>Enterobacter species</c:v>
                </c:pt>
                <c:pt idx="4">
                  <c:v>Klebsiella oxytoca</c:v>
                </c:pt>
                <c:pt idx="5">
                  <c:v>MRSA</c:v>
                </c:pt>
                <c:pt idx="6">
                  <c:v>Salmonella species</c:v>
                </c:pt>
                <c:pt idx="7">
                  <c:v>Staphylococcus capitis</c:v>
                </c:pt>
                <c:pt idx="8">
                  <c:v>Staphylococcus hominis</c:v>
                </c:pt>
                <c:pt idx="9">
                  <c:v>Streptococcus pneumoniae</c:v>
                </c:pt>
                <c:pt idx="10">
                  <c:v>Candida parapsilosis</c:v>
                </c:pt>
                <c:pt idx="11">
                  <c:v>Candida species</c:v>
                </c:pt>
                <c:pt idx="12">
                  <c:v>Enterobacter aerogenes</c:v>
                </c:pt>
                <c:pt idx="13">
                  <c:v>Enterobacter cloacae</c:v>
                </c:pt>
                <c:pt idx="14">
                  <c:v>Burkholderia cepacia</c:v>
                </c:pt>
                <c:pt idx="15">
                  <c:v>Stenotrophomonas maltophilia</c:v>
                </c:pt>
                <c:pt idx="16">
                  <c:v>Candida albicans</c:v>
                </c:pt>
                <c:pt idx="17">
                  <c:v>Enterococcus faecalis</c:v>
                </c:pt>
                <c:pt idx="18">
                  <c:v>Serratia marcescens</c:v>
                </c:pt>
                <c:pt idx="19">
                  <c:v>Escherichia coli</c:v>
                </c:pt>
                <c:pt idx="20">
                  <c:v>Enterococcus faecium</c:v>
                </c:pt>
                <c:pt idx="21">
                  <c:v>Staphylococcus haemolyticus</c:v>
                </c:pt>
                <c:pt idx="22">
                  <c:v>MSSA</c:v>
                </c:pt>
                <c:pt idx="23">
                  <c:v>Pseudomonas aeruginosa</c:v>
                </c:pt>
                <c:pt idx="24">
                  <c:v>Staphylococcus epidermidis</c:v>
                </c:pt>
                <c:pt idx="25">
                  <c:v>Acinetobacter</c:v>
                </c:pt>
                <c:pt idx="26">
                  <c:v>Klebsiella pneumoniae</c:v>
                </c:pt>
              </c:strCache>
            </c:strRef>
          </c:cat>
          <c:val>
            <c:numRef>
              <c:f>Sheet1!$B$1:$B$27</c:f>
              <c:numCache>
                <c:formatCode>###0.0%</c:formatCode>
                <c:ptCount val="27"/>
                <c:pt idx="0">
                  <c:v>2.9325513196480938E-3</c:v>
                </c:pt>
                <c:pt idx="1">
                  <c:v>2.9325513196480938E-3</c:v>
                </c:pt>
                <c:pt idx="2">
                  <c:v>2.9325513196480938E-3</c:v>
                </c:pt>
                <c:pt idx="3">
                  <c:v>2.9325513196480938E-3</c:v>
                </c:pt>
                <c:pt idx="4">
                  <c:v>2.9325513196480938E-3</c:v>
                </c:pt>
                <c:pt idx="5">
                  <c:v>2.9325513196480938E-3</c:v>
                </c:pt>
                <c:pt idx="6">
                  <c:v>2.9325513196480938E-3</c:v>
                </c:pt>
                <c:pt idx="7">
                  <c:v>2.9325513196480938E-3</c:v>
                </c:pt>
                <c:pt idx="8">
                  <c:v>2.9325513196480938E-3</c:v>
                </c:pt>
                <c:pt idx="9">
                  <c:v>2.9325513196480938E-3</c:v>
                </c:pt>
                <c:pt idx="10">
                  <c:v>5.8651026392961877E-3</c:v>
                </c:pt>
                <c:pt idx="11">
                  <c:v>8.7976539589442806E-3</c:v>
                </c:pt>
                <c:pt idx="12">
                  <c:v>1.1730205278592375E-2</c:v>
                </c:pt>
                <c:pt idx="13">
                  <c:v>1.466275659824047E-2</c:v>
                </c:pt>
                <c:pt idx="14">
                  <c:v>1.7595307917888561E-2</c:v>
                </c:pt>
                <c:pt idx="15">
                  <c:v>1.7595307917888561E-2</c:v>
                </c:pt>
                <c:pt idx="16">
                  <c:v>2.0527859237536656E-2</c:v>
                </c:pt>
                <c:pt idx="17">
                  <c:v>3.8123167155425221E-2</c:v>
                </c:pt>
                <c:pt idx="18">
                  <c:v>3.8123167155425221E-2</c:v>
                </c:pt>
                <c:pt idx="19">
                  <c:v>4.1055718475073312E-2</c:v>
                </c:pt>
                <c:pt idx="20">
                  <c:v>4.6920821114369501E-2</c:v>
                </c:pt>
                <c:pt idx="21">
                  <c:v>4.6920821114369501E-2</c:v>
                </c:pt>
                <c:pt idx="22">
                  <c:v>5.5718475073313789E-2</c:v>
                </c:pt>
                <c:pt idx="23">
                  <c:v>6.1583577712609971E-2</c:v>
                </c:pt>
                <c:pt idx="24">
                  <c:v>0.1378299120234604</c:v>
                </c:pt>
                <c:pt idx="25">
                  <c:v>0.20234604105571846</c:v>
                </c:pt>
                <c:pt idx="26">
                  <c:v>0.45454545454545453</c:v>
                </c:pt>
              </c:numCache>
            </c:numRef>
          </c:val>
          <c:extLst>
            <c:ext xmlns:c16="http://schemas.microsoft.com/office/drawing/2014/chart" uri="{C3380CC4-5D6E-409C-BE32-E72D297353CC}">
              <c16:uniqueId val="{00000000-EC56-46C2-845D-2F53F97354E4}"/>
            </c:ext>
          </c:extLst>
        </c:ser>
        <c:dLbls>
          <c:showLegendKey val="0"/>
          <c:showVal val="0"/>
          <c:showCatName val="0"/>
          <c:showSerName val="0"/>
          <c:showPercent val="0"/>
          <c:showBubbleSize val="0"/>
        </c:dLbls>
        <c:gapWidth val="182"/>
        <c:axId val="496600552"/>
        <c:axId val="496599472"/>
      </c:barChart>
      <c:catAx>
        <c:axId val="496600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6599472"/>
        <c:crosses val="autoZero"/>
        <c:auto val="1"/>
        <c:lblAlgn val="ctr"/>
        <c:lblOffset val="100"/>
        <c:noMultiLvlLbl val="0"/>
      </c:catAx>
      <c:valAx>
        <c:axId val="496599472"/>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60055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627-483C-AC04-AC0CE925780D}"/>
              </c:ext>
            </c:extLst>
          </c:dPt>
          <c:dPt>
            <c:idx val="1"/>
            <c:bubble3D val="0"/>
            <c:spPr>
              <a:solidFill>
                <a:schemeClr val="accent2">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627-483C-AC04-AC0CE925780D}"/>
              </c:ext>
            </c:extLst>
          </c:dPt>
          <c:dLbls>
            <c:dLbl>
              <c:idx val="0"/>
              <c:tx>
                <c:rich>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fld id="{F9454429-6022-41E1-8545-6DDED1B1CAA2}" type="CATEGORYNAME">
                      <a:rPr lang="en-US"/>
                      <a:pPr>
                        <a:defRPr b="0">
                          <a:solidFill>
                            <a:schemeClr val="accent1">
                              <a:lumMod val="50000"/>
                            </a:schemeClr>
                          </a:solidFill>
                        </a:defRPr>
                      </a:pPr>
                      <a:t>[CATEGORY NAME]</a:t>
                    </a:fld>
                    <a:r>
                      <a:rPr lang="en-US" baseline="0"/>
                      <a:t>; 266 (</a:t>
                    </a:r>
                    <a:fld id="{989E05D5-4BCB-46A6-BFD2-9C752B012A2E}" type="VALUE">
                      <a:rPr lang="en-US" baseline="0"/>
                      <a:pPr>
                        <a:defRPr b="0">
                          <a:solidFill>
                            <a:schemeClr val="accent1">
                              <a:lumMod val="50000"/>
                            </a:schemeClr>
                          </a:solidFill>
                        </a:defRPr>
                      </a:pPr>
                      <a:t>[VALUE]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27-483C-AC04-AC0CE925780D}"/>
                </c:ext>
              </c:extLst>
            </c:dLbl>
            <c:dLbl>
              <c:idx val="1"/>
              <c:tx>
                <c:rich>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fld id="{B4124999-8692-484E-8CE1-8A04BE1DF80B}" type="CATEGORYNAME">
                      <a:rPr lang="en-US"/>
                      <a:pPr>
                        <a:defRPr b="0">
                          <a:solidFill>
                            <a:schemeClr val="accent1">
                              <a:lumMod val="50000"/>
                            </a:schemeClr>
                          </a:solidFill>
                        </a:defRPr>
                      </a:pPr>
                      <a:t>[CATEGORY NAME]</a:t>
                    </a:fld>
                    <a:r>
                      <a:rPr lang="en-US" baseline="0"/>
                      <a:t>; 320 (</a:t>
                    </a:r>
                    <a:fld id="{C37C9644-C3DA-4AEC-9325-E8FE1B7A8B08}" type="VALUE">
                      <a:rPr lang="en-US" baseline="0"/>
                      <a:pPr>
                        <a:defRPr b="0">
                          <a:solidFill>
                            <a:schemeClr val="accent1">
                              <a:lumMod val="50000"/>
                            </a:schemeClr>
                          </a:solidFill>
                        </a:defRPr>
                      </a:pPr>
                      <a:t>[VALUE]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627-483C-AC04-AC0CE925780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chemeClr val="accent1">
                        <a:lumMod val="50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Sheet2!$B$58:$B$59</c:f>
              <c:strCache>
                <c:ptCount val="2"/>
                <c:pt idx="0">
                  <c:v>Survived</c:v>
                </c:pt>
                <c:pt idx="1">
                  <c:v>Died</c:v>
                </c:pt>
              </c:strCache>
            </c:strRef>
          </c:cat>
          <c:val>
            <c:numRef>
              <c:f>Sheet2!$D$58:$D$59</c:f>
              <c:numCache>
                <c:formatCode>###0.0%</c:formatCode>
                <c:ptCount val="2"/>
                <c:pt idx="0">
                  <c:v>0.4539249146757679</c:v>
                </c:pt>
                <c:pt idx="1">
                  <c:v>0.5460750853242321</c:v>
                </c:pt>
              </c:numCache>
            </c:numRef>
          </c:val>
          <c:extLst>
            <c:ext xmlns:c16="http://schemas.microsoft.com/office/drawing/2014/chart" uri="{C3380CC4-5D6E-409C-BE32-E72D297353CC}">
              <c16:uniqueId val="{00000004-1627-483C-AC04-AC0CE925780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3614</Words>
  <Characters>20602</Characters>
  <Application>Microsoft Office Word</Application>
  <DocSecurity>0</DocSecurity>
  <Lines>171</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Editor-90</cp:lastModifiedBy>
  <cp:revision>11</cp:revision>
  <dcterms:created xsi:type="dcterms:W3CDTF">2024-06-30T03:42:00Z</dcterms:created>
  <dcterms:modified xsi:type="dcterms:W3CDTF">2024-07-22T11:18:00Z</dcterms:modified>
</cp:coreProperties>
</file>