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889C98" w14:textId="2DA96258" w:rsidR="00787A82" w:rsidRPr="00A16086" w:rsidRDefault="00D06B38" w:rsidP="0010011E">
      <w:pPr>
        <w:pStyle w:val="MDPI13authornames"/>
        <w:spacing w:line="240" w:lineRule="auto"/>
        <w:rPr>
          <w:sz w:val="24"/>
          <w:szCs w:val="24"/>
        </w:rPr>
      </w:pPr>
      <w:r w:rsidRPr="00D06B38">
        <w:rPr>
          <w:sz w:val="24"/>
          <w:szCs w:val="24"/>
        </w:rPr>
        <w:t>Original Research Article</w:t>
      </w:r>
    </w:p>
    <w:p w14:paraId="4F31A173" w14:textId="792F709B" w:rsidR="00787A82" w:rsidRPr="00A16086" w:rsidRDefault="00787A82" w:rsidP="0010011E">
      <w:pPr>
        <w:pStyle w:val="MDPI13authornames"/>
        <w:spacing w:line="240" w:lineRule="auto"/>
        <w:rPr>
          <w:sz w:val="24"/>
          <w:szCs w:val="24"/>
        </w:rPr>
      </w:pPr>
      <w:r w:rsidRPr="00A16086">
        <w:rPr>
          <w:sz w:val="24"/>
          <w:szCs w:val="24"/>
        </w:rPr>
        <w:t>Using Mobility Data to Evaluate Changes in Outdoor Recreational Activity Across Major COVID-19 Variants</w:t>
      </w:r>
    </w:p>
    <w:p w14:paraId="32F9B6E6" w14:textId="77777777" w:rsidR="00CF0723" w:rsidRDefault="00CF0723" w:rsidP="0010011E">
      <w:pPr>
        <w:pStyle w:val="MDPI17abstract"/>
        <w:spacing w:line="240" w:lineRule="auto"/>
        <w:jc w:val="left"/>
        <w:rPr>
          <w:b/>
          <w:sz w:val="24"/>
          <w:szCs w:val="24"/>
        </w:rPr>
      </w:pPr>
    </w:p>
    <w:p w14:paraId="36FCE247" w14:textId="390FECBC" w:rsidR="00C069CD" w:rsidRPr="00A16086" w:rsidRDefault="00A86E9F" w:rsidP="0010011E">
      <w:pPr>
        <w:pStyle w:val="MDPI17abstract"/>
        <w:spacing w:line="240" w:lineRule="auto"/>
        <w:jc w:val="left"/>
        <w:rPr>
          <w:b/>
          <w:sz w:val="24"/>
          <w:szCs w:val="24"/>
        </w:rPr>
      </w:pPr>
      <w:r w:rsidRPr="00A16086">
        <w:rPr>
          <w:b/>
          <w:sz w:val="24"/>
          <w:szCs w:val="24"/>
        </w:rPr>
        <w:t>Abstract</w:t>
      </w:r>
    </w:p>
    <w:p w14:paraId="72890D3B" w14:textId="5CFEF4FE" w:rsidR="00787A82" w:rsidRPr="00A16086" w:rsidRDefault="00787A82" w:rsidP="0010011E">
      <w:pPr>
        <w:pStyle w:val="MDPI18keywords"/>
        <w:spacing w:line="240" w:lineRule="auto"/>
        <w:rPr>
          <w:bCs/>
          <w:sz w:val="24"/>
          <w:szCs w:val="24"/>
        </w:rPr>
      </w:pPr>
      <w:r w:rsidRPr="00A16086">
        <w:rPr>
          <w:bCs/>
          <w:sz w:val="24"/>
          <w:szCs w:val="24"/>
        </w:rPr>
        <w:t>This study examines visitor behavior at nature parks in Miami and Atlanta, focusing on the impact of the COVID-19 pandemic on visitation patterns over several months. The research considers various pandemic-related variants and explores how the pandemic has affected park utilization in different neighborhoods, particularly concerning income disparities. Utilizing monthly park visitation data from 2020 to 2022, compared with the pre-pandemic years 2018-2019, alongside household median income data from Social Explorer, the study reveals significant differences in park visitation across COVID-19 variants and between the two cities. Preliminary findings highlight varying effects of different virus strains on park visitation patterns, with substantial variations within each city. Despite the pandemic, average park visitation remains relatively stable, offering valuable insights for policymakers and park managers grappling with the evolving dynamics of park visits amid a global health crisis.</w:t>
      </w:r>
    </w:p>
    <w:p w14:paraId="6A1AC0A6" w14:textId="54A27EFD" w:rsidR="00A86E9F" w:rsidRPr="00A16086" w:rsidRDefault="00A86E9F" w:rsidP="0010011E">
      <w:pPr>
        <w:pStyle w:val="MDPI18keywords"/>
        <w:spacing w:line="240" w:lineRule="auto"/>
        <w:rPr>
          <w:sz w:val="24"/>
          <w:szCs w:val="24"/>
        </w:rPr>
      </w:pPr>
      <w:r w:rsidRPr="00A16086">
        <w:rPr>
          <w:b/>
          <w:sz w:val="24"/>
          <w:szCs w:val="24"/>
        </w:rPr>
        <w:t xml:space="preserve">Keywords: </w:t>
      </w:r>
      <w:r w:rsidR="00787A82" w:rsidRPr="00A16086">
        <w:rPr>
          <w:sz w:val="24"/>
          <w:szCs w:val="24"/>
        </w:rPr>
        <w:t>human mobility</w:t>
      </w:r>
      <w:r w:rsidRPr="00A16086">
        <w:rPr>
          <w:sz w:val="24"/>
          <w:szCs w:val="24"/>
        </w:rPr>
        <w:t xml:space="preserve"> 1; </w:t>
      </w:r>
      <w:r w:rsidR="00787A82" w:rsidRPr="00A16086">
        <w:rPr>
          <w:sz w:val="24"/>
          <w:szCs w:val="24"/>
        </w:rPr>
        <w:t xml:space="preserve">covid-19 </w:t>
      </w:r>
      <w:r w:rsidRPr="00A16086">
        <w:rPr>
          <w:sz w:val="24"/>
          <w:szCs w:val="24"/>
        </w:rPr>
        <w:t xml:space="preserve">2; </w:t>
      </w:r>
      <w:r w:rsidR="00787A82" w:rsidRPr="00A16086">
        <w:rPr>
          <w:sz w:val="24"/>
          <w:szCs w:val="24"/>
        </w:rPr>
        <w:t>park visitation</w:t>
      </w:r>
      <w:r w:rsidRPr="00A16086">
        <w:rPr>
          <w:sz w:val="24"/>
          <w:szCs w:val="24"/>
        </w:rPr>
        <w:t xml:space="preserve"> 3</w:t>
      </w:r>
    </w:p>
    <w:p w14:paraId="1F5D7ECB" w14:textId="77777777" w:rsidR="00A86E9F" w:rsidRPr="00A16086" w:rsidRDefault="00A86E9F" w:rsidP="0010011E">
      <w:pPr>
        <w:pStyle w:val="MDPI19line"/>
        <w:spacing w:line="240" w:lineRule="auto"/>
        <w:rPr>
          <w:sz w:val="24"/>
        </w:rPr>
      </w:pPr>
    </w:p>
    <w:p w14:paraId="4E8554A8" w14:textId="77777777" w:rsidR="00787A82" w:rsidRPr="00A16086" w:rsidRDefault="00787A82" w:rsidP="0010011E">
      <w:pPr>
        <w:pStyle w:val="MDPI21heading1"/>
        <w:spacing w:line="240" w:lineRule="auto"/>
        <w:rPr>
          <w:szCs w:val="24"/>
        </w:rPr>
      </w:pPr>
    </w:p>
    <w:p w14:paraId="7655D8DA" w14:textId="77777777" w:rsidR="00787A82" w:rsidRPr="00A16086" w:rsidRDefault="00787A82" w:rsidP="0010011E">
      <w:pPr>
        <w:pStyle w:val="MDPI21heading1"/>
        <w:spacing w:line="240" w:lineRule="auto"/>
        <w:rPr>
          <w:szCs w:val="24"/>
        </w:rPr>
      </w:pPr>
    </w:p>
    <w:p w14:paraId="41DE12C8" w14:textId="307C63B8" w:rsidR="00A86E9F" w:rsidRPr="00A16086" w:rsidRDefault="00A86E9F" w:rsidP="0010011E">
      <w:pPr>
        <w:pStyle w:val="MDPI21heading1"/>
        <w:spacing w:line="240" w:lineRule="auto"/>
        <w:ind w:left="0"/>
        <w:rPr>
          <w:szCs w:val="24"/>
        </w:rPr>
      </w:pPr>
      <w:r w:rsidRPr="00A16086">
        <w:rPr>
          <w:szCs w:val="24"/>
        </w:rPr>
        <w:t>1. Introduction</w:t>
      </w:r>
    </w:p>
    <w:p w14:paraId="13421833" w14:textId="1B3A2EC1" w:rsidR="00787A82" w:rsidRPr="00A16086" w:rsidRDefault="00787A82" w:rsidP="0010011E">
      <w:pPr>
        <w:spacing w:line="240" w:lineRule="auto"/>
        <w:jc w:val="left"/>
        <w:rPr>
          <w:sz w:val="24"/>
          <w:szCs w:val="24"/>
        </w:rPr>
      </w:pPr>
      <w:r w:rsidRPr="00A16086">
        <w:rPr>
          <w:sz w:val="24"/>
          <w:szCs w:val="24"/>
        </w:rPr>
        <w:t xml:space="preserve">The COVID-19 pandemic, characterized by the novel coronavirus, necessitated implementing public health measures such as social distancing, mask mandates, and widespread shutdowns. These interventions significantly altered established patterns of mobility, traditionally centered around work commutes and entertainment activities. Factors such as advancements in vaccine technology, evolving understanding of the virus, and the emergence of different strains 50 influenced public perceptions of risk, prompting changes in social interactions and behaviors. </w:t>
      </w:r>
    </w:p>
    <w:p w14:paraId="057B5A0A" w14:textId="77777777" w:rsidR="00321EA6" w:rsidRPr="00A16086" w:rsidRDefault="00321EA6" w:rsidP="0010011E">
      <w:pPr>
        <w:spacing w:line="240" w:lineRule="auto"/>
        <w:jc w:val="left"/>
        <w:rPr>
          <w:sz w:val="24"/>
          <w:szCs w:val="24"/>
        </w:rPr>
      </w:pPr>
    </w:p>
    <w:p w14:paraId="6F718F6F" w14:textId="73735085" w:rsidR="005022B4" w:rsidRPr="00A16086" w:rsidRDefault="00787A82" w:rsidP="0010011E">
      <w:pPr>
        <w:spacing w:line="240" w:lineRule="auto"/>
        <w:jc w:val="left"/>
        <w:rPr>
          <w:sz w:val="24"/>
          <w:szCs w:val="24"/>
        </w:rPr>
      </w:pPr>
      <w:r w:rsidRPr="00A16086">
        <w:rPr>
          <w:sz w:val="24"/>
          <w:szCs w:val="24"/>
        </w:rPr>
        <w:t xml:space="preserve">A critical aspect of these behavioral changes was the heightened awareness of the risk associated with indoor environments. Empirical evidence, including research by Freeman &amp; and </w:t>
      </w:r>
      <w:proofErr w:type="spellStart"/>
      <w:r w:rsidRPr="00A16086">
        <w:rPr>
          <w:sz w:val="24"/>
          <w:szCs w:val="24"/>
        </w:rPr>
        <w:t>Eykelbosh</w:t>
      </w:r>
      <w:proofErr w:type="spellEnd"/>
      <w:r w:rsidRPr="00A16086">
        <w:rPr>
          <w:sz w:val="24"/>
          <w:szCs w:val="24"/>
        </w:rPr>
        <w:t xml:space="preserve"> </w:t>
      </w:r>
      <w:r w:rsidR="000E3C01" w:rsidRPr="00A16086">
        <w:rPr>
          <w:sz w:val="24"/>
          <w:szCs w:val="24"/>
        </w:rPr>
        <w:t>[1]</w:t>
      </w:r>
      <w:r w:rsidRPr="00A16086">
        <w:rPr>
          <w:sz w:val="24"/>
          <w:szCs w:val="24"/>
        </w:rPr>
        <w:t xml:space="preserve">, identified indoor social gatherings and recreational activities as primary contexts for virus </w:t>
      </w:r>
      <w:r w:rsidRPr="00A16086">
        <w:rPr>
          <w:sz w:val="24"/>
          <w:szCs w:val="24"/>
        </w:rPr>
        <w:lastRenderedPageBreak/>
        <w:t xml:space="preserve">transmission. This led to the closure of indoor facilities like community centers, gyms, bars, and restaurants, </w:t>
      </w:r>
      <w:r w:rsidR="00321EA6" w:rsidRPr="00A16086">
        <w:rPr>
          <w:sz w:val="24"/>
          <w:szCs w:val="24"/>
        </w:rPr>
        <w:t xml:space="preserve">which were </w:t>
      </w:r>
      <w:r w:rsidRPr="00A16086">
        <w:rPr>
          <w:sz w:val="24"/>
          <w:szCs w:val="24"/>
        </w:rPr>
        <w:t xml:space="preserve">recognized for their elevated risk due to factors such as proximity, limited ventilation, and prolonged contact. Consequently, these closures, coupled with the risk associated with indoor spaces, redirected recreational activities </w:t>
      </w:r>
      <w:r w:rsidR="000E3C01" w:rsidRPr="00A16086">
        <w:rPr>
          <w:sz w:val="24"/>
          <w:szCs w:val="24"/>
        </w:rPr>
        <w:t>[2]</w:t>
      </w:r>
      <w:r w:rsidRPr="00A16086">
        <w:rPr>
          <w:sz w:val="24"/>
          <w:szCs w:val="24"/>
        </w:rPr>
        <w:t xml:space="preserve">. People increasingly sought alternatives, leading to a noticeable shift in outdoor recreational patterns, with a rise in visits to parks and other open-air spaces. This shift reflects an adaptation to the pandemic-imposed limitations and a search for safer leisure options </w:t>
      </w:r>
      <w:r w:rsidR="000E3C01" w:rsidRPr="00A16086">
        <w:rPr>
          <w:sz w:val="24"/>
          <w:szCs w:val="24"/>
        </w:rPr>
        <w:t>[2]</w:t>
      </w:r>
      <w:r w:rsidRPr="00A16086">
        <w:rPr>
          <w:sz w:val="24"/>
          <w:szCs w:val="24"/>
        </w:rPr>
        <w:t>.</w:t>
      </w:r>
    </w:p>
    <w:p w14:paraId="2163F117" w14:textId="72AD5A6F" w:rsidR="00321EA6" w:rsidRPr="00A16086" w:rsidRDefault="00321EA6" w:rsidP="0010011E">
      <w:pPr>
        <w:pStyle w:val="MDPI21heading1"/>
        <w:spacing w:line="240" w:lineRule="auto"/>
        <w:ind w:left="0"/>
        <w:rPr>
          <w:b w:val="0"/>
          <w:bCs/>
          <w:szCs w:val="24"/>
        </w:rPr>
      </w:pPr>
      <w:r w:rsidRPr="00A16086">
        <w:rPr>
          <w:b w:val="0"/>
          <w:bCs/>
          <w:szCs w:val="24"/>
        </w:rPr>
        <w:t xml:space="preserve">Further, the COVID-19 pandemic has transformed living and working conditions in the United States since its emergence in early 2020. Scholars like Rivera </w:t>
      </w:r>
      <w:r w:rsidR="000E3C01" w:rsidRPr="00A16086">
        <w:rPr>
          <w:b w:val="0"/>
          <w:bCs/>
          <w:szCs w:val="24"/>
        </w:rPr>
        <w:t>[3]</w:t>
      </w:r>
      <w:r w:rsidRPr="00A16086">
        <w:rPr>
          <w:b w:val="0"/>
          <w:bCs/>
          <w:szCs w:val="24"/>
        </w:rPr>
        <w:t xml:space="preserve"> have highlighted the pandemic's role in accelerating the shift to remote work and telemedicine while causing a decline in commuting and business travel. Additionally, the hospitality and retail industries faced significant disruptions due to lockdowns and social distancing measures </w:t>
      </w:r>
      <w:r w:rsidR="000E3C01" w:rsidRPr="00A16086">
        <w:rPr>
          <w:b w:val="0"/>
          <w:bCs/>
          <w:szCs w:val="24"/>
        </w:rPr>
        <w:t>[3]</w:t>
      </w:r>
      <w:r w:rsidRPr="00A16086">
        <w:rPr>
          <w:b w:val="0"/>
          <w:bCs/>
          <w:szCs w:val="24"/>
        </w:rPr>
        <w:t xml:space="preserve">. </w:t>
      </w:r>
    </w:p>
    <w:p w14:paraId="43ABF201" w14:textId="37AD1A98" w:rsidR="00321EA6" w:rsidRPr="00A16086" w:rsidRDefault="00321EA6" w:rsidP="0010011E">
      <w:pPr>
        <w:pStyle w:val="MDPI21heading1"/>
        <w:spacing w:line="240" w:lineRule="auto"/>
        <w:ind w:left="0"/>
        <w:rPr>
          <w:b w:val="0"/>
          <w:bCs/>
          <w:szCs w:val="24"/>
          <w:lang w:eastAsia="zh-CN"/>
        </w:rPr>
      </w:pPr>
      <w:r w:rsidRPr="00A16086">
        <w:rPr>
          <w:b w:val="0"/>
          <w:bCs/>
          <w:szCs w:val="24"/>
          <w:lang w:eastAsia="zh-CN"/>
        </w:rPr>
        <w:t xml:space="preserve">This widespread disruption of social life, along with limited recreational options, has had profound effects on the population, including financial instability and deteriorating mental health </w:t>
      </w:r>
      <w:r w:rsidR="000E3C01" w:rsidRPr="00A16086">
        <w:rPr>
          <w:b w:val="0"/>
          <w:bCs/>
          <w:szCs w:val="24"/>
          <w:lang w:eastAsia="zh-CN"/>
        </w:rPr>
        <w:t>[4]</w:t>
      </w:r>
      <w:r w:rsidRPr="00A16086">
        <w:rPr>
          <w:b w:val="0"/>
          <w:bCs/>
          <w:szCs w:val="24"/>
          <w:lang w:eastAsia="zh-CN"/>
        </w:rPr>
        <w:t>. The reduction in social interactions contributed to increased levels of stress, anxiety, and depression, prompting individuals to seek alternative forms of recreation for their mental and physical well-being. A notable shift observed during this period was the increased visitation to outdoor recreational spaces like national parks, a trend documented by</w:t>
      </w:r>
      <w:r w:rsidR="000E3C01" w:rsidRPr="00A16086">
        <w:rPr>
          <w:b w:val="0"/>
          <w:bCs/>
          <w:szCs w:val="24"/>
          <w:lang w:eastAsia="zh-CN"/>
        </w:rPr>
        <w:t xml:space="preserve"> </w:t>
      </w:r>
      <w:r w:rsidRPr="00A16086">
        <w:rPr>
          <w:b w:val="0"/>
          <w:bCs/>
          <w:szCs w:val="24"/>
        </w:rPr>
        <w:t xml:space="preserve">IUCN </w:t>
      </w:r>
      <w:r w:rsidR="000E3C01" w:rsidRPr="00A16086">
        <w:rPr>
          <w:b w:val="0"/>
          <w:bCs/>
          <w:szCs w:val="24"/>
        </w:rPr>
        <w:t>[5]</w:t>
      </w:r>
      <w:r w:rsidRPr="00A16086">
        <w:rPr>
          <w:b w:val="0"/>
          <w:bCs/>
          <w:szCs w:val="24"/>
        </w:rPr>
        <w:t xml:space="preserve">. This change can be attributed to the public's adaptation to the pandemic's constraints, as well as the search for safer leisure options in the face of indoor venue closures and public health warnings against indoor gatherings.  </w:t>
      </w:r>
    </w:p>
    <w:p w14:paraId="366FF225" w14:textId="23CF5DDF" w:rsidR="00321EA6" w:rsidRPr="00A16086" w:rsidRDefault="00321EA6" w:rsidP="0010011E">
      <w:pPr>
        <w:pStyle w:val="MDPI21heading1"/>
        <w:spacing w:line="240" w:lineRule="auto"/>
        <w:ind w:left="0"/>
        <w:rPr>
          <w:b w:val="0"/>
          <w:bCs/>
          <w:szCs w:val="24"/>
        </w:rPr>
      </w:pPr>
      <w:r w:rsidRPr="00A16086">
        <w:rPr>
          <w:b w:val="0"/>
          <w:bCs/>
          <w:szCs w:val="24"/>
        </w:rPr>
        <w:t xml:space="preserve">Urban parks have gained attention as potential environmental elements that can promote physical activity, combat obesity, enhance mental health, and reduce chronic illnesses </w:t>
      </w:r>
      <w:r w:rsidR="00727D47" w:rsidRPr="00A16086">
        <w:rPr>
          <w:b w:val="0"/>
          <w:bCs/>
          <w:szCs w:val="24"/>
        </w:rPr>
        <w:t xml:space="preserve">[6]. </w:t>
      </w:r>
      <w:r w:rsidRPr="00A16086">
        <w:rPr>
          <w:b w:val="0"/>
          <w:bCs/>
          <w:szCs w:val="24"/>
        </w:rPr>
        <w:t xml:space="preserve">Historically, public parks have served as essential cost-free recreational spaces, particularly for low-income and immigrant communities </w:t>
      </w:r>
      <w:r w:rsidR="00727D47" w:rsidRPr="00A16086">
        <w:rPr>
          <w:b w:val="0"/>
          <w:bCs/>
          <w:szCs w:val="24"/>
        </w:rPr>
        <w:t>[7,8]</w:t>
      </w:r>
      <w:r w:rsidRPr="00A16086">
        <w:rPr>
          <w:b w:val="0"/>
          <w:bCs/>
          <w:szCs w:val="24"/>
        </w:rPr>
        <w:t xml:space="preserve">. During the COVID-19 pandemic, parks emerged as valuable resources to assist people. As various restrictions and lockdowns were implemented to curb the spread of the virus, the importance of outdoor activities for physical and mental well-being became increasingly evident. Parks, traditionally known for promoting physical activity, </w:t>
      </w:r>
      <w:r w:rsidR="005F354D" w:rsidRPr="00A16086">
        <w:rPr>
          <w:b w:val="0"/>
          <w:bCs/>
          <w:szCs w:val="24"/>
        </w:rPr>
        <w:t>combating</w:t>
      </w:r>
      <w:r w:rsidRPr="00A16086">
        <w:rPr>
          <w:b w:val="0"/>
          <w:bCs/>
          <w:szCs w:val="24"/>
        </w:rPr>
        <w:t xml:space="preserve"> obesity, enhancing mental health, and reducing chronic illnesses, took on a new significance as individuals sought alternatives to indoor spaces with higher risks of virus transmission. Despite initial concerns and closures, parks eventually became popular destinations, reflecting a shift in public perception and a collective desire to embrace outdoor environments for recreation and relaxation during a challenging time </w:t>
      </w:r>
      <w:r w:rsidR="00727D47" w:rsidRPr="00A16086">
        <w:rPr>
          <w:b w:val="0"/>
          <w:bCs/>
          <w:szCs w:val="24"/>
        </w:rPr>
        <w:t>[9].</w:t>
      </w:r>
      <w:r w:rsidRPr="00A16086">
        <w:rPr>
          <w:b w:val="0"/>
          <w:bCs/>
          <w:szCs w:val="24"/>
        </w:rPr>
        <w:t xml:space="preserve"> </w:t>
      </w:r>
    </w:p>
    <w:p w14:paraId="43F7FE8E" w14:textId="1CB83B8D" w:rsidR="00321EA6" w:rsidRPr="00A16086" w:rsidRDefault="00321EA6" w:rsidP="0010011E">
      <w:pPr>
        <w:pStyle w:val="MDPI21heading1"/>
        <w:spacing w:line="240" w:lineRule="auto"/>
        <w:ind w:left="0"/>
        <w:rPr>
          <w:b w:val="0"/>
          <w:bCs/>
          <w:szCs w:val="24"/>
          <w:lang w:eastAsia="zh-CN"/>
        </w:rPr>
      </w:pPr>
      <w:r w:rsidRPr="00A16086">
        <w:rPr>
          <w:b w:val="0"/>
          <w:bCs/>
          <w:szCs w:val="24"/>
          <w:lang w:eastAsia="zh-CN"/>
        </w:rPr>
        <w:t>However, despite their health benefits, many states initially closed parks due to concerns that they could facilitate community transmission of COVID-19, primarily due to the potential for large unsupervised gatherings</w:t>
      </w:r>
      <w:r w:rsidR="00727D47" w:rsidRPr="00A16086">
        <w:rPr>
          <w:b w:val="0"/>
          <w:bCs/>
          <w:szCs w:val="24"/>
          <w:lang w:eastAsia="zh-CN"/>
        </w:rPr>
        <w:t xml:space="preserve">. </w:t>
      </w:r>
      <w:r w:rsidRPr="00A16086">
        <w:rPr>
          <w:b w:val="0"/>
          <w:bCs/>
          <w:szCs w:val="24"/>
          <w:lang w:eastAsia="zh-CN"/>
        </w:rPr>
        <w:t>These concerns were exacerbated by the lack of knowledge about the disease's transmission and the absence of vaccines during the early stages of the pandemic. As information about COVID-19 transmission and vaccination availability improved, parks and outdoor spaces became popular destinations for recreation, reflecting evolving risk perceptions and a desire to return to pre-pandemic life</w:t>
      </w:r>
      <w:r w:rsidR="00727D47" w:rsidRPr="00A16086">
        <w:rPr>
          <w:b w:val="0"/>
          <w:bCs/>
          <w:szCs w:val="24"/>
          <w:lang w:eastAsia="zh-CN"/>
        </w:rPr>
        <w:t xml:space="preserve">. </w:t>
      </w:r>
    </w:p>
    <w:p w14:paraId="6C3C25E0" w14:textId="5E6B3A22" w:rsidR="00321EA6" w:rsidRPr="00A16086" w:rsidRDefault="00321EA6" w:rsidP="0010011E">
      <w:pPr>
        <w:pStyle w:val="MDPI21heading1"/>
        <w:spacing w:line="240" w:lineRule="auto"/>
        <w:ind w:left="0"/>
        <w:rPr>
          <w:b w:val="0"/>
          <w:bCs/>
          <w:szCs w:val="24"/>
        </w:rPr>
      </w:pPr>
      <w:r w:rsidRPr="00A16086">
        <w:rPr>
          <w:b w:val="0"/>
          <w:bCs/>
          <w:szCs w:val="24"/>
        </w:rPr>
        <w:t>The objective of this study is to examine the evolution and variation in perceptions of COVID-19 risk at finer geographic scales, influenced by differences in socioeconomic distributions within cities.</w:t>
      </w:r>
    </w:p>
    <w:p w14:paraId="2EFC374F" w14:textId="768FCF14" w:rsidR="00321EA6" w:rsidRPr="00A16086" w:rsidRDefault="00321EA6" w:rsidP="0010011E">
      <w:pPr>
        <w:pStyle w:val="MDPI21heading1"/>
        <w:spacing w:line="240" w:lineRule="auto"/>
        <w:ind w:left="0"/>
        <w:rPr>
          <w:b w:val="0"/>
          <w:bCs/>
          <w:szCs w:val="24"/>
          <w:lang w:eastAsia="zh-CN"/>
        </w:rPr>
      </w:pPr>
      <w:r w:rsidRPr="00A16086">
        <w:rPr>
          <w:b w:val="0"/>
          <w:bCs/>
          <w:szCs w:val="24"/>
          <w:lang w:eastAsia="zh-CN"/>
        </w:rPr>
        <w:t xml:space="preserve">Marginalized populations, notably People of Color (POCs) and low-income households, have faced heightened challenges during the pandemic. They are often overrepresented among </w:t>
      </w:r>
      <w:r w:rsidRPr="00A16086">
        <w:rPr>
          <w:b w:val="0"/>
          <w:bCs/>
          <w:szCs w:val="24"/>
        </w:rPr>
        <w:t xml:space="preserve">essential workers </w:t>
      </w:r>
      <w:r w:rsidR="00727D47" w:rsidRPr="00A16086">
        <w:rPr>
          <w:b w:val="0"/>
          <w:bCs/>
          <w:szCs w:val="24"/>
        </w:rPr>
        <w:t>[10]</w:t>
      </w:r>
      <w:r w:rsidRPr="00A16086">
        <w:rPr>
          <w:b w:val="0"/>
          <w:bCs/>
          <w:szCs w:val="24"/>
        </w:rPr>
        <w:t xml:space="preserve"> and have borne a disproportionate burden of COVID-19 </w:t>
      </w:r>
      <w:r w:rsidR="00727D47" w:rsidRPr="00A16086">
        <w:rPr>
          <w:b w:val="0"/>
          <w:bCs/>
          <w:szCs w:val="24"/>
        </w:rPr>
        <w:t>[11]</w:t>
      </w:r>
      <w:r w:rsidRPr="00A16086">
        <w:rPr>
          <w:b w:val="0"/>
          <w:bCs/>
          <w:szCs w:val="24"/>
        </w:rPr>
        <w:t xml:space="preserve">. This has influenced their engagement in non-work-related activities, including outdoor recreation. Another factor to consider is the unequal access to parks and safe outdoor areas. </w:t>
      </w:r>
      <w:r w:rsidR="0058319A" w:rsidRPr="00A16086">
        <w:rPr>
          <w:b w:val="0"/>
          <w:bCs/>
          <w:szCs w:val="24"/>
        </w:rPr>
        <w:t>[12]</w:t>
      </w:r>
      <w:r w:rsidRPr="00A16086">
        <w:rPr>
          <w:b w:val="0"/>
          <w:bCs/>
          <w:szCs w:val="24"/>
        </w:rPr>
        <w:t xml:space="preserve"> highlight that low-income households typically have less access to such spaces, whereas higher-income communities, often able to work remotely, are situated closer to these recreational areas. This disparity has significant implications for the physical and mental well-being of these communities. Additionally, the criminalization of people of color in outdoor settings, as exemplified by the case of </w:t>
      </w:r>
      <w:r w:rsidR="00DB3F1A" w:rsidRPr="00A16086">
        <w:rPr>
          <w:b w:val="0"/>
          <w:bCs/>
          <w:szCs w:val="24"/>
        </w:rPr>
        <w:t>[12], [13]</w:t>
      </w:r>
      <w:r w:rsidRPr="00A16086">
        <w:rPr>
          <w:b w:val="0"/>
          <w:bCs/>
          <w:szCs w:val="24"/>
        </w:rPr>
        <w:t>, poses disproportionate risks for these individuals in outdoor spaces.</w:t>
      </w:r>
    </w:p>
    <w:p w14:paraId="1CE2A09A" w14:textId="4FA14DF9" w:rsidR="00321EA6" w:rsidRPr="00A16086" w:rsidRDefault="00321EA6" w:rsidP="0010011E">
      <w:pPr>
        <w:pStyle w:val="MDPI21heading1"/>
        <w:spacing w:line="240" w:lineRule="auto"/>
        <w:ind w:left="0"/>
        <w:rPr>
          <w:b w:val="0"/>
          <w:bCs/>
          <w:szCs w:val="24"/>
        </w:rPr>
      </w:pPr>
      <w:r w:rsidRPr="00A16086">
        <w:rPr>
          <w:b w:val="0"/>
          <w:bCs/>
          <w:szCs w:val="24"/>
        </w:rPr>
        <w:t xml:space="preserve">A review paper published in 2022 </w:t>
      </w:r>
      <w:r w:rsidR="00DB3F1A" w:rsidRPr="00A16086">
        <w:rPr>
          <w:b w:val="0"/>
          <w:bCs/>
          <w:szCs w:val="24"/>
        </w:rPr>
        <w:t xml:space="preserve">[14] </w:t>
      </w:r>
      <w:r w:rsidRPr="00A16086">
        <w:rPr>
          <w:b w:val="0"/>
          <w:bCs/>
          <w:szCs w:val="24"/>
        </w:rPr>
        <w:t xml:space="preserve">examined studies and found that although </w:t>
      </w:r>
      <w:proofErr w:type="gramStart"/>
      <w:r w:rsidRPr="00A16086">
        <w:rPr>
          <w:b w:val="0"/>
          <w:bCs/>
          <w:szCs w:val="24"/>
        </w:rPr>
        <w:t>a majority of</w:t>
      </w:r>
      <w:proofErr w:type="gramEnd"/>
      <w:r w:rsidRPr="00A16086">
        <w:rPr>
          <w:b w:val="0"/>
          <w:bCs/>
          <w:szCs w:val="24"/>
        </w:rPr>
        <w:t xml:space="preserve"> them concluded that physical activity decreased during </w:t>
      </w:r>
      <w:r w:rsidR="005F354D" w:rsidRPr="00A16086">
        <w:rPr>
          <w:b w:val="0"/>
          <w:bCs/>
          <w:szCs w:val="24"/>
        </w:rPr>
        <w:t>COVID-19</w:t>
      </w:r>
      <w:r w:rsidRPr="00A16086">
        <w:rPr>
          <w:b w:val="0"/>
          <w:bCs/>
          <w:szCs w:val="24"/>
        </w:rPr>
        <w:t xml:space="preserve">, there were some studies that found increases in physical activity. Specifically, the review paper </w:t>
      </w:r>
      <w:r w:rsidR="005F354D" w:rsidRPr="00A16086">
        <w:rPr>
          <w:b w:val="0"/>
          <w:bCs/>
          <w:szCs w:val="24"/>
        </w:rPr>
        <w:t>cites</w:t>
      </w:r>
      <w:r w:rsidRPr="00A16086">
        <w:rPr>
          <w:b w:val="0"/>
          <w:bCs/>
          <w:szCs w:val="24"/>
        </w:rPr>
        <w:t xml:space="preserve"> one study </w:t>
      </w:r>
      <w:r w:rsidR="00DB3F1A" w:rsidRPr="00A16086">
        <w:rPr>
          <w:b w:val="0"/>
          <w:bCs/>
          <w:szCs w:val="24"/>
        </w:rPr>
        <w:t>[15]</w:t>
      </w:r>
      <w:r w:rsidRPr="00A16086">
        <w:rPr>
          <w:b w:val="0"/>
          <w:bCs/>
          <w:szCs w:val="24"/>
        </w:rPr>
        <w:t xml:space="preserve"> that showed that cycling recreational activity increased by 291% in Oslo, Norway. Importantly, these studies mostly examine physical activity during the entire duration of the pandemic. Our study differs in that our analysis was conducted during the </w:t>
      </w:r>
      <w:proofErr w:type="gramStart"/>
      <w:r w:rsidRPr="00A16086">
        <w:rPr>
          <w:b w:val="0"/>
          <w:bCs/>
          <w:szCs w:val="24"/>
        </w:rPr>
        <w:t>time period</w:t>
      </w:r>
      <w:proofErr w:type="gramEnd"/>
      <w:r w:rsidRPr="00A16086">
        <w:rPr>
          <w:b w:val="0"/>
          <w:bCs/>
          <w:szCs w:val="24"/>
        </w:rPr>
        <w:t xml:space="preserve"> associated with each major strain of </w:t>
      </w:r>
      <w:r w:rsidR="00234F8D" w:rsidRPr="00A16086">
        <w:rPr>
          <w:b w:val="0"/>
          <w:bCs/>
          <w:szCs w:val="24"/>
        </w:rPr>
        <w:t>COVID-19</w:t>
      </w:r>
      <w:r w:rsidRPr="00A16086">
        <w:rPr>
          <w:b w:val="0"/>
          <w:bCs/>
          <w:szCs w:val="24"/>
        </w:rPr>
        <w:t>.</w:t>
      </w:r>
    </w:p>
    <w:p w14:paraId="7AB9C3F3" w14:textId="402BA283" w:rsidR="00321EA6" w:rsidRPr="00A16086" w:rsidRDefault="00321EA6" w:rsidP="0010011E">
      <w:pPr>
        <w:pStyle w:val="MDPI21heading1"/>
        <w:spacing w:line="240" w:lineRule="auto"/>
        <w:ind w:left="0"/>
        <w:rPr>
          <w:b w:val="0"/>
          <w:bCs/>
          <w:szCs w:val="24"/>
          <w:lang w:eastAsia="zh-CN"/>
        </w:rPr>
      </w:pPr>
      <w:r w:rsidRPr="00A16086">
        <w:rPr>
          <w:b w:val="0"/>
          <w:bCs/>
          <w:szCs w:val="24"/>
          <w:lang w:eastAsia="zh-CN"/>
        </w:rPr>
        <w:t>Despite existing research on various aspects of mobility patterns during the COVID-19 pandemic, there remains a significant research void. Few studies have undertaken a comprehensive examination of the evolution of risky behaviors over time, the varied effects of policies extending beyond stay-at-home orders, and the dynamics of park visitation in areas characterized by income disparities. This study aims to address these gaps by integrating diverse data sources and conducting a thorough analysis of the interplay between human mobility, pandemic policies, and park visitation trends</w:t>
      </w:r>
    </w:p>
    <w:p w14:paraId="7D221E42" w14:textId="1272688F" w:rsidR="00234F8D" w:rsidRPr="00A16086" w:rsidRDefault="00234F8D" w:rsidP="0010011E">
      <w:pPr>
        <w:pStyle w:val="MDPI21heading1"/>
        <w:spacing w:line="240" w:lineRule="auto"/>
        <w:ind w:left="0"/>
        <w:rPr>
          <w:b w:val="0"/>
          <w:bCs/>
          <w:szCs w:val="24"/>
        </w:rPr>
      </w:pPr>
      <w:r w:rsidRPr="00A16086">
        <w:rPr>
          <w:b w:val="0"/>
          <w:bCs/>
          <w:szCs w:val="24"/>
        </w:rPr>
        <w:t>Given these considerations, the objective of this study is to examine disparities in engagement levels in outdoor and indoor activities across different geographic areas, particularly in segregated urban settings in the US. The research aims to investigate whether participation in outdoor activities has changed over time, considering the evolving perceptions of COVID-19.</w:t>
      </w:r>
    </w:p>
    <w:p w14:paraId="1A418FAE" w14:textId="6464EA48" w:rsidR="00234F8D" w:rsidRPr="00A16086" w:rsidRDefault="00234F8D" w:rsidP="0010011E">
      <w:pPr>
        <w:pStyle w:val="MDPI21heading1"/>
        <w:spacing w:line="240" w:lineRule="auto"/>
        <w:ind w:left="0"/>
        <w:rPr>
          <w:b w:val="0"/>
          <w:bCs/>
          <w:szCs w:val="24"/>
          <w:lang w:eastAsia="zh-CN"/>
        </w:rPr>
      </w:pPr>
      <w:r w:rsidRPr="00A16086">
        <w:rPr>
          <w:b w:val="0"/>
          <w:bCs/>
          <w:szCs w:val="24"/>
          <w:lang w:eastAsia="zh-CN"/>
        </w:rPr>
        <w:t xml:space="preserve">To accomplish these objectives, the study conducted a comparative analysis of the usage of parks and outdoor activity spaces during the COVID-19 pandemic and its associated variants, relative </w:t>
      </w:r>
      <w:r w:rsidRPr="00A16086">
        <w:rPr>
          <w:b w:val="0"/>
          <w:bCs/>
          <w:szCs w:val="24"/>
        </w:rPr>
        <w:t>to pre-pandemic years. In this context, Atlanta and Miami present unique, contrasting urban environments for this analysis. Atlanta, with its more spread-out urban layout and diverse socioeconomic segregation, offers a different perspective compared to Miami’s denser urban structure and distinct demographic profile.</w:t>
      </w:r>
    </w:p>
    <w:p w14:paraId="4D86C199" w14:textId="0643AC2F" w:rsidR="00DB3F1A" w:rsidRPr="00A16086" w:rsidRDefault="00234F8D" w:rsidP="0010011E">
      <w:pPr>
        <w:pStyle w:val="MDPI21heading1"/>
        <w:spacing w:line="240" w:lineRule="auto"/>
        <w:ind w:left="0"/>
        <w:rPr>
          <w:b w:val="0"/>
          <w:bCs/>
          <w:szCs w:val="24"/>
          <w:lang w:eastAsia="zh-CN"/>
        </w:rPr>
      </w:pPr>
      <w:r w:rsidRPr="00A16086">
        <w:rPr>
          <w:b w:val="0"/>
          <w:bCs/>
          <w:szCs w:val="24"/>
          <w:lang w:eastAsia="zh-CN"/>
        </w:rPr>
        <w:t xml:space="preserve">This analysis utilized human mobility data from </w:t>
      </w:r>
      <w:proofErr w:type="spellStart"/>
      <w:r w:rsidRPr="00A16086">
        <w:rPr>
          <w:b w:val="0"/>
          <w:bCs/>
          <w:szCs w:val="24"/>
          <w:lang w:eastAsia="zh-CN"/>
        </w:rPr>
        <w:t>SafeGraph</w:t>
      </w:r>
      <w:proofErr w:type="spellEnd"/>
      <w:r w:rsidRPr="00A16086">
        <w:rPr>
          <w:b w:val="0"/>
          <w:bCs/>
          <w:szCs w:val="24"/>
          <w:lang w:eastAsia="zh-CN"/>
        </w:rPr>
        <w:t xml:space="preserve"> </w:t>
      </w:r>
      <w:r w:rsidR="00DB3F1A" w:rsidRPr="00A16086">
        <w:rPr>
          <w:b w:val="0"/>
          <w:bCs/>
          <w:szCs w:val="24"/>
          <w:lang w:eastAsia="zh-CN"/>
        </w:rPr>
        <w:t>[16]</w:t>
      </w:r>
      <w:r w:rsidRPr="00A16086">
        <w:rPr>
          <w:b w:val="0"/>
          <w:bCs/>
          <w:szCs w:val="24"/>
          <w:lang w:eastAsia="zh-CN"/>
        </w:rPr>
        <w:t>. Such analysis is expected to provide insights into how the pandemic has impacted outdoor activity patterns, which can inform public health planning and policy development for promoting safe recreational spaces during crises.</w:t>
      </w:r>
    </w:p>
    <w:p w14:paraId="72987EBF" w14:textId="1744C2F5" w:rsidR="00A86E9F" w:rsidRPr="00A16086" w:rsidRDefault="00A86E9F" w:rsidP="0010011E">
      <w:pPr>
        <w:pStyle w:val="MDPI21heading1"/>
        <w:spacing w:line="240" w:lineRule="auto"/>
        <w:ind w:left="0"/>
        <w:rPr>
          <w:szCs w:val="24"/>
        </w:rPr>
      </w:pPr>
      <w:r w:rsidRPr="00A16086">
        <w:rPr>
          <w:szCs w:val="24"/>
          <w:lang w:eastAsia="zh-CN"/>
        </w:rPr>
        <w:t xml:space="preserve">2. </w:t>
      </w:r>
      <w:r w:rsidRPr="00A16086">
        <w:rPr>
          <w:szCs w:val="24"/>
        </w:rPr>
        <w:t>Materials and Methods</w:t>
      </w:r>
    </w:p>
    <w:p w14:paraId="4FED558A" w14:textId="7BCB15C8" w:rsidR="00234F8D" w:rsidRPr="00A16086" w:rsidRDefault="00234F8D" w:rsidP="0010011E">
      <w:pPr>
        <w:pStyle w:val="MDPI21heading1"/>
        <w:spacing w:line="240" w:lineRule="auto"/>
        <w:ind w:left="0"/>
        <w:rPr>
          <w:b w:val="0"/>
          <w:bCs/>
          <w:szCs w:val="24"/>
        </w:rPr>
      </w:pPr>
      <w:r w:rsidRPr="00A16086">
        <w:rPr>
          <w:b w:val="0"/>
          <w:bCs/>
          <w:szCs w:val="24"/>
        </w:rPr>
        <w:t xml:space="preserve">The research utilized data from various outlets, such as </w:t>
      </w:r>
      <w:proofErr w:type="spellStart"/>
      <w:r w:rsidRPr="00A16086">
        <w:rPr>
          <w:b w:val="0"/>
          <w:bCs/>
          <w:szCs w:val="24"/>
        </w:rPr>
        <w:t>SafeGraph</w:t>
      </w:r>
      <w:proofErr w:type="spellEnd"/>
      <w:r w:rsidRPr="00A16086">
        <w:rPr>
          <w:b w:val="0"/>
          <w:bCs/>
          <w:szCs w:val="24"/>
        </w:rPr>
        <w:t xml:space="preserve"> </w:t>
      </w:r>
      <w:r w:rsidR="00DB3F1A" w:rsidRPr="00A16086">
        <w:rPr>
          <w:b w:val="0"/>
          <w:bCs/>
          <w:szCs w:val="24"/>
        </w:rPr>
        <w:t>[16]</w:t>
      </w:r>
      <w:r w:rsidRPr="00A16086">
        <w:rPr>
          <w:b w:val="0"/>
          <w:bCs/>
          <w:szCs w:val="24"/>
        </w:rPr>
        <w:t xml:space="preserve">, the United States Census, and Esri Business Analyst (ESRI, 2011. ArcGIS Pro: version 3.1z. In Figure 2, the data analysis plan is presented, centering on park visits in Georgia and Florida and comparing baseline (2018) with the COVID-19 periods (2019–2022). </w:t>
      </w:r>
    </w:p>
    <w:p w14:paraId="52C27E4E" w14:textId="0CA6F357" w:rsidR="00234F8D" w:rsidRPr="00A16086" w:rsidRDefault="00234F8D" w:rsidP="0010011E">
      <w:pPr>
        <w:pStyle w:val="MDPI21heading1"/>
        <w:spacing w:line="240" w:lineRule="auto"/>
        <w:ind w:left="0"/>
        <w:rPr>
          <w:szCs w:val="24"/>
        </w:rPr>
      </w:pPr>
      <w:r w:rsidRPr="00A16086">
        <w:rPr>
          <w:noProof/>
          <w:szCs w:val="24"/>
        </w:rPr>
        <w:drawing>
          <wp:inline distT="0" distB="0" distL="0" distR="0" wp14:anchorId="66BBFACA" wp14:editId="11CD5540">
            <wp:extent cx="6645910" cy="3060700"/>
            <wp:effectExtent l="0" t="0" r="2540" b="6350"/>
            <wp:docPr id="1515568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060700"/>
                    </a:xfrm>
                    <a:prstGeom prst="rect">
                      <a:avLst/>
                    </a:prstGeom>
                    <a:noFill/>
                    <a:ln>
                      <a:noFill/>
                    </a:ln>
                  </pic:spPr>
                </pic:pic>
              </a:graphicData>
            </a:graphic>
          </wp:inline>
        </w:drawing>
      </w:r>
    </w:p>
    <w:p w14:paraId="0FD1A954" w14:textId="0A744670" w:rsidR="00234F8D" w:rsidRPr="00A16086" w:rsidRDefault="00234F8D" w:rsidP="0010011E">
      <w:pPr>
        <w:pStyle w:val="MDPI21heading1"/>
        <w:spacing w:line="240" w:lineRule="auto"/>
        <w:ind w:left="0"/>
        <w:rPr>
          <w:szCs w:val="24"/>
        </w:rPr>
      </w:pPr>
      <w:r w:rsidRPr="00A16086">
        <w:rPr>
          <w:b w:val="0"/>
          <w:bCs/>
          <w:i/>
          <w:iCs/>
          <w:szCs w:val="24"/>
        </w:rPr>
        <w:t>Figure 1: Overview of the general workflow</w:t>
      </w:r>
      <w:r w:rsidRPr="00A16086">
        <w:rPr>
          <w:i/>
          <w:iCs/>
          <w:szCs w:val="24"/>
        </w:rPr>
        <w:t>.</w:t>
      </w:r>
    </w:p>
    <w:p w14:paraId="53511E5C" w14:textId="3D5EA215" w:rsidR="00234F8D" w:rsidRPr="00A16086" w:rsidRDefault="00234F8D" w:rsidP="0010011E">
      <w:pPr>
        <w:pStyle w:val="MDPI21heading1"/>
        <w:spacing w:line="240" w:lineRule="auto"/>
        <w:ind w:left="0"/>
        <w:rPr>
          <w:szCs w:val="24"/>
        </w:rPr>
      </w:pPr>
      <w:r w:rsidRPr="00A16086">
        <w:rPr>
          <w:b w:val="0"/>
          <w:bCs/>
          <w:szCs w:val="24"/>
        </w:rPr>
        <w:t>The process involves data extraction, reconciliation, identification of nearby census tracts, demographic analysis, independent state-level analysis, timestamp categorization by Covid variant, computation of visit differences, and concluding with data visualization and statistical analysis to address the overarching research objectives. Figure 2 shows the timeline outlining the peaks and post-peak periods of COVID-19 variants from June 2020 to February 2022</w:t>
      </w:r>
      <w:r w:rsidRPr="00A16086">
        <w:rPr>
          <w:szCs w:val="24"/>
        </w:rPr>
        <w:t>.</w:t>
      </w:r>
    </w:p>
    <w:p w14:paraId="4A233B8B" w14:textId="1CF138DB" w:rsidR="00234F8D" w:rsidRPr="00A16086" w:rsidRDefault="00234F8D" w:rsidP="0010011E">
      <w:pPr>
        <w:pStyle w:val="MDPI21heading1"/>
        <w:spacing w:line="240" w:lineRule="auto"/>
        <w:ind w:left="0"/>
        <w:rPr>
          <w:szCs w:val="24"/>
        </w:rPr>
      </w:pPr>
      <w:r w:rsidRPr="00A16086">
        <w:rPr>
          <w:noProof/>
          <w:szCs w:val="24"/>
        </w:rPr>
        <w:drawing>
          <wp:inline distT="0" distB="0" distL="0" distR="0" wp14:anchorId="768B0AD0" wp14:editId="46FE1826">
            <wp:extent cx="5478780" cy="5684520"/>
            <wp:effectExtent l="0" t="0" r="7620" b="0"/>
            <wp:docPr id="6243956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780" cy="5684520"/>
                    </a:xfrm>
                    <a:prstGeom prst="rect">
                      <a:avLst/>
                    </a:prstGeom>
                    <a:noFill/>
                    <a:ln>
                      <a:noFill/>
                    </a:ln>
                  </pic:spPr>
                </pic:pic>
              </a:graphicData>
            </a:graphic>
          </wp:inline>
        </w:drawing>
      </w:r>
    </w:p>
    <w:p w14:paraId="5A5B3017" w14:textId="17F0701D" w:rsidR="00234F8D" w:rsidRPr="00A16086" w:rsidRDefault="00234F8D" w:rsidP="0010011E">
      <w:pPr>
        <w:pStyle w:val="MDPI21heading1"/>
        <w:spacing w:line="240" w:lineRule="auto"/>
        <w:ind w:left="0"/>
        <w:rPr>
          <w:b w:val="0"/>
          <w:bCs/>
          <w:szCs w:val="24"/>
        </w:rPr>
      </w:pPr>
      <w:r w:rsidRPr="00A16086">
        <w:rPr>
          <w:b w:val="0"/>
          <w:bCs/>
          <w:i/>
          <w:iCs/>
          <w:szCs w:val="24"/>
        </w:rPr>
        <w:t xml:space="preserve">Figure 2: Timeline chart of the </w:t>
      </w:r>
      <w:proofErr w:type="gramStart"/>
      <w:r w:rsidRPr="00A16086">
        <w:rPr>
          <w:b w:val="0"/>
          <w:bCs/>
          <w:i/>
          <w:iCs/>
          <w:szCs w:val="24"/>
        </w:rPr>
        <w:t>pre</w:t>
      </w:r>
      <w:proofErr w:type="gramEnd"/>
      <w:r w:rsidRPr="00A16086">
        <w:rPr>
          <w:b w:val="0"/>
          <w:bCs/>
          <w:i/>
          <w:iCs/>
          <w:szCs w:val="24"/>
        </w:rPr>
        <w:t xml:space="preserve"> and post-peak periods of COVID-10 variants.</w:t>
      </w:r>
    </w:p>
    <w:p w14:paraId="2B7C7FBB" w14:textId="37B1745D" w:rsidR="00234F8D" w:rsidRPr="00A16086" w:rsidRDefault="00234F8D" w:rsidP="0010011E">
      <w:pPr>
        <w:pStyle w:val="MDPI21heading1"/>
        <w:spacing w:line="240" w:lineRule="auto"/>
        <w:ind w:left="0"/>
        <w:rPr>
          <w:b w:val="0"/>
          <w:bCs/>
          <w:szCs w:val="24"/>
        </w:rPr>
      </w:pPr>
      <w:r w:rsidRPr="00A16086">
        <w:rPr>
          <w:b w:val="0"/>
          <w:bCs/>
          <w:szCs w:val="24"/>
        </w:rPr>
        <w:t xml:space="preserve">The base strain peaked in June 2020, followed by the Alpha variant in October 2020, and the Delta variant in June 2021. The Omicron variant emerged and peaked in December 2021. Each peak is followed by a post-peak period, indicating fluctuations in the virus’s impact, possibly influenced by variant characteristics and public health interventions. Data for this study </w:t>
      </w:r>
      <w:proofErr w:type="gramStart"/>
      <w:r w:rsidR="00737376" w:rsidRPr="00A16086">
        <w:rPr>
          <w:b w:val="0"/>
          <w:bCs/>
          <w:szCs w:val="24"/>
        </w:rPr>
        <w:t>follow</w:t>
      </w:r>
      <w:proofErr w:type="gramEnd"/>
      <w:r w:rsidRPr="00A16086">
        <w:rPr>
          <w:b w:val="0"/>
          <w:bCs/>
          <w:szCs w:val="24"/>
        </w:rPr>
        <w:t xml:space="preserve"> the timelines indicated in Figure 3. For example, data for the base strain included mobility information starting in June 2020 and ending in September 2020. Temporal consistency was maintained by matching baseline data for 2018-2019 to these dates. For example, the baseline data corresponding to the base strain included information from June 2018 to September 2018. A similar strategy was followed for all other strains. </w:t>
      </w:r>
    </w:p>
    <w:p w14:paraId="4920DBDE" w14:textId="77777777" w:rsidR="00737376" w:rsidRPr="00A16086" w:rsidRDefault="00737376" w:rsidP="0010011E">
      <w:pPr>
        <w:pStyle w:val="MDPI21heading1"/>
        <w:spacing w:line="240" w:lineRule="auto"/>
        <w:ind w:left="0"/>
        <w:rPr>
          <w:szCs w:val="24"/>
        </w:rPr>
      </w:pPr>
    </w:p>
    <w:p w14:paraId="10AAD196" w14:textId="77777777" w:rsidR="00737376" w:rsidRDefault="00737376" w:rsidP="0010011E">
      <w:pPr>
        <w:pStyle w:val="MDPI21heading1"/>
        <w:spacing w:line="240" w:lineRule="auto"/>
        <w:ind w:left="0"/>
        <w:rPr>
          <w:szCs w:val="24"/>
        </w:rPr>
      </w:pPr>
    </w:p>
    <w:p w14:paraId="42616BA2" w14:textId="77777777" w:rsidR="00E67679" w:rsidRPr="00A16086" w:rsidRDefault="00E67679" w:rsidP="0010011E">
      <w:pPr>
        <w:pStyle w:val="MDPI21heading1"/>
        <w:spacing w:line="240" w:lineRule="auto"/>
        <w:ind w:left="0"/>
        <w:rPr>
          <w:szCs w:val="24"/>
        </w:rPr>
      </w:pPr>
    </w:p>
    <w:p w14:paraId="0713E093" w14:textId="623D034C" w:rsidR="00234F8D" w:rsidRPr="00A16086" w:rsidRDefault="00234F8D" w:rsidP="0010011E">
      <w:pPr>
        <w:pStyle w:val="MDPI21heading1"/>
        <w:spacing w:line="240" w:lineRule="auto"/>
        <w:ind w:left="0"/>
        <w:rPr>
          <w:szCs w:val="24"/>
        </w:rPr>
      </w:pPr>
      <w:r w:rsidRPr="00A16086">
        <w:rPr>
          <w:bCs/>
          <w:szCs w:val="24"/>
        </w:rPr>
        <w:t>2.1 Data Collection and Pre-Processing</w:t>
      </w:r>
    </w:p>
    <w:p w14:paraId="34EFDC76" w14:textId="79FD3C2D" w:rsidR="00737376" w:rsidRPr="00A16086" w:rsidRDefault="00737376" w:rsidP="0010011E">
      <w:pPr>
        <w:pStyle w:val="MDPI21heading1"/>
        <w:spacing w:line="240" w:lineRule="auto"/>
        <w:ind w:left="0"/>
        <w:rPr>
          <w:b w:val="0"/>
          <w:bCs/>
          <w:szCs w:val="24"/>
        </w:rPr>
      </w:pPr>
      <w:r w:rsidRPr="00A16086">
        <w:rPr>
          <w:b w:val="0"/>
          <w:bCs/>
          <w:szCs w:val="24"/>
        </w:rPr>
        <w:t xml:space="preserve">The </w:t>
      </w:r>
      <w:proofErr w:type="spellStart"/>
      <w:r w:rsidRPr="00A16086">
        <w:rPr>
          <w:b w:val="0"/>
          <w:bCs/>
          <w:szCs w:val="24"/>
        </w:rPr>
        <w:t>Safegraph</w:t>
      </w:r>
      <w:proofErr w:type="spellEnd"/>
      <w:r w:rsidRPr="00A16086">
        <w:rPr>
          <w:b w:val="0"/>
          <w:bCs/>
          <w:szCs w:val="24"/>
        </w:rPr>
        <w:t xml:space="preserve"> Places dataset offers an extensive compilation of mobility and foot traffic data, encompassing over 5 million Points of Interest (POIs) across the United States. Each dataset entry provides comprehensive information about a POI, including details such as its name, address, census block group, category, brand affiliation, and more. This </w:t>
      </w:r>
      <w:proofErr w:type="gramStart"/>
      <w:r w:rsidRPr="00A16086">
        <w:rPr>
          <w:b w:val="0"/>
          <w:bCs/>
          <w:szCs w:val="24"/>
        </w:rPr>
        <w:t>dataset</w:t>
      </w:r>
      <w:proofErr w:type="gramEnd"/>
      <w:r w:rsidRPr="00A16086">
        <w:rPr>
          <w:b w:val="0"/>
          <w:bCs/>
          <w:szCs w:val="24"/>
        </w:rPr>
        <w:t xml:space="preserve"> particularly enriches our understanding of various places of interest, including parks and venues for outdoor activities. </w:t>
      </w:r>
    </w:p>
    <w:p w14:paraId="094EF17C" w14:textId="49D19D9A" w:rsidR="00234F8D" w:rsidRPr="00A16086" w:rsidRDefault="00737376" w:rsidP="0010011E">
      <w:pPr>
        <w:pStyle w:val="MDPI21heading1"/>
        <w:spacing w:line="240" w:lineRule="auto"/>
        <w:ind w:left="0"/>
        <w:rPr>
          <w:b w:val="0"/>
          <w:bCs/>
          <w:szCs w:val="24"/>
        </w:rPr>
      </w:pPr>
      <w:r w:rsidRPr="00A16086">
        <w:rPr>
          <w:b w:val="0"/>
          <w:bCs/>
          <w:szCs w:val="24"/>
        </w:rPr>
        <w:t xml:space="preserve">The </w:t>
      </w:r>
      <w:proofErr w:type="spellStart"/>
      <w:r w:rsidRPr="00A16086">
        <w:rPr>
          <w:b w:val="0"/>
          <w:bCs/>
          <w:szCs w:val="24"/>
        </w:rPr>
        <w:t>Safegraph</w:t>
      </w:r>
      <w:proofErr w:type="spellEnd"/>
      <w:r w:rsidRPr="00A16086">
        <w:rPr>
          <w:b w:val="0"/>
          <w:bCs/>
          <w:szCs w:val="24"/>
        </w:rPr>
        <w:t xml:space="preserve"> location data is categorized into three primary groups. The Core POI Dataset furnishes essential particulars for approximately 6.1 million POIs, covering location names, unique place keys, associated brands, cities, regions, postal codes, street addresses, and geographic coordinates. Additionally, it includes information on opening and closing times, among other relevant attributes. The Geometry Dataset incorporates spatial hierarchy metadata and POI footprints for global locations, using polygons to delineate the physical area and size of POIs. This proves instrumental in comprehending location boundaries and the interconnections between different POIs. Lastly, the Patterns Dataset provides indispensable insights into visitor demographics for U.S. POIs, presenting aggregated visitation counts from various mobile devices and detailed information on visitor frequency, stay duration, origins, and subsequent destinations.</w:t>
      </w:r>
    </w:p>
    <w:p w14:paraId="554D2878" w14:textId="162DCB02" w:rsidR="00737376" w:rsidRPr="00A16086" w:rsidRDefault="00737376" w:rsidP="0010011E">
      <w:pPr>
        <w:pStyle w:val="MDPI21heading1"/>
        <w:spacing w:line="240" w:lineRule="auto"/>
        <w:ind w:left="0"/>
        <w:rPr>
          <w:b w:val="0"/>
          <w:bCs/>
          <w:szCs w:val="24"/>
        </w:rPr>
      </w:pPr>
      <w:r w:rsidRPr="00A16086">
        <w:rPr>
          <w:b w:val="0"/>
          <w:bCs/>
          <w:szCs w:val="24"/>
        </w:rPr>
        <w:t>In the context of this research, mobility data were collected for two distinct periods. Baseline data from 2018 captures movement patterns pre-COVID-19, establishing a foundational understanding of mobility before the pandemic’s influence. The second period spans from the end of 2019 to mid-2022, encompassing the COVID-19 pandemic. This dataset enables the analysis of evolving movement patterns throughout the pandemic, accommodating considerations for different COVID-19 variants and their impact on mobility.</w:t>
      </w:r>
    </w:p>
    <w:p w14:paraId="0C1674D0" w14:textId="6B18166A" w:rsidR="00737376" w:rsidRPr="00A16086" w:rsidRDefault="00737376" w:rsidP="0010011E">
      <w:pPr>
        <w:pStyle w:val="MDPI21heading1"/>
        <w:spacing w:line="240" w:lineRule="auto"/>
        <w:ind w:left="0"/>
        <w:rPr>
          <w:b w:val="0"/>
          <w:bCs/>
          <w:szCs w:val="24"/>
        </w:rPr>
      </w:pPr>
      <w:r w:rsidRPr="00A16086">
        <w:rPr>
          <w:b w:val="0"/>
          <w:bCs/>
          <w:szCs w:val="24"/>
        </w:rPr>
        <w:t xml:space="preserve">Political affiliation data was obtained through ArcGIS Business Analyst, an extension that provides a wealth of annually updated business data by Esri. This extension seamlessly integrates geographical and demographic data, offering a comprehensive understanding of market trends, consumer behavior, and other spatial patterns impacting business operations. </w:t>
      </w:r>
    </w:p>
    <w:p w14:paraId="646DC14E" w14:textId="26C55A4D" w:rsidR="00234F8D" w:rsidRPr="00A16086" w:rsidRDefault="00737376" w:rsidP="0010011E">
      <w:pPr>
        <w:pStyle w:val="MDPI21heading1"/>
        <w:spacing w:line="240" w:lineRule="auto"/>
        <w:ind w:left="0"/>
        <w:rPr>
          <w:b w:val="0"/>
          <w:bCs/>
          <w:szCs w:val="24"/>
        </w:rPr>
      </w:pPr>
      <w:r w:rsidRPr="00A16086">
        <w:rPr>
          <w:b w:val="0"/>
          <w:bCs/>
          <w:szCs w:val="24"/>
        </w:rPr>
        <w:t>To visualize the political affiliation and voting patterns, a web map was created using the Behavior dataset within ArcGIS Business Analyst. Extracting the necessary data from the map</w:t>
      </w:r>
    </w:p>
    <w:p w14:paraId="63F5A59D" w14:textId="33876C60" w:rsidR="00737376" w:rsidRPr="00A16086" w:rsidRDefault="00737376" w:rsidP="0010011E">
      <w:pPr>
        <w:pStyle w:val="MDPI21heading1"/>
        <w:spacing w:line="240" w:lineRule="auto"/>
        <w:ind w:left="0"/>
        <w:rPr>
          <w:bCs/>
          <w:szCs w:val="24"/>
        </w:rPr>
      </w:pPr>
      <w:proofErr w:type="gramStart"/>
      <w:r w:rsidRPr="00A16086">
        <w:rPr>
          <w:b w:val="0"/>
          <w:szCs w:val="24"/>
        </w:rPr>
        <w:t>layer</w:t>
      </w:r>
      <w:proofErr w:type="gramEnd"/>
      <w:r w:rsidRPr="00A16086">
        <w:rPr>
          <w:b w:val="0"/>
          <w:szCs w:val="24"/>
        </w:rPr>
        <w:t xml:space="preserve"> posed challenges, so an alternative approach was implemented, which involved linking the political affiliation data from the behavior dataset with demographic data obtained from Social Explorer. This combined dataset was then exported as a CSV file for further analysis</w:t>
      </w:r>
      <w:r w:rsidRPr="00A16086">
        <w:rPr>
          <w:bCs/>
          <w:szCs w:val="24"/>
        </w:rPr>
        <w:t>.</w:t>
      </w:r>
    </w:p>
    <w:p w14:paraId="61DF6C2C" w14:textId="05C131CF" w:rsidR="00737376" w:rsidRPr="00A16086" w:rsidRDefault="00737376" w:rsidP="0010011E">
      <w:pPr>
        <w:pStyle w:val="MDPI21heading1"/>
        <w:spacing w:line="240" w:lineRule="auto"/>
        <w:ind w:left="0"/>
        <w:rPr>
          <w:bCs/>
          <w:szCs w:val="24"/>
        </w:rPr>
      </w:pPr>
      <w:r w:rsidRPr="00A16086">
        <w:rPr>
          <w:bCs/>
          <w:szCs w:val="24"/>
        </w:rPr>
        <w:t xml:space="preserve">2.2 Data Processing and Extraction </w:t>
      </w:r>
    </w:p>
    <w:p w14:paraId="5345C2A7" w14:textId="3CCEC6A3" w:rsidR="00737376" w:rsidRPr="00A16086" w:rsidRDefault="00737376" w:rsidP="0010011E">
      <w:pPr>
        <w:pStyle w:val="MDPI21heading1"/>
        <w:spacing w:line="240" w:lineRule="auto"/>
        <w:ind w:left="0"/>
        <w:rPr>
          <w:b w:val="0"/>
          <w:szCs w:val="24"/>
        </w:rPr>
      </w:pPr>
      <w:r w:rsidRPr="00A16086">
        <w:rPr>
          <w:b w:val="0"/>
          <w:szCs w:val="24"/>
        </w:rPr>
        <w:t xml:space="preserve">The </w:t>
      </w:r>
      <w:proofErr w:type="spellStart"/>
      <w:r w:rsidRPr="00A16086">
        <w:rPr>
          <w:b w:val="0"/>
          <w:szCs w:val="24"/>
        </w:rPr>
        <w:t>Safegraph</w:t>
      </w:r>
      <w:proofErr w:type="spellEnd"/>
      <w:r w:rsidRPr="00A16086">
        <w:rPr>
          <w:b w:val="0"/>
          <w:szCs w:val="24"/>
        </w:rPr>
        <w:t xml:space="preserve"> data outlined earlier served as the primary source for extracting information related to nature parks and outdoor activity venues in both Miami and Atlanta. These extensive datasets required careful and detailed handling owing to their substantial dimensions and intricate design. The initial phase of the analysis involved importing the data, typically presented in a CSV file format and distributed in four parts for each month. Each segment was notably substantial, containing around one million records. To efficiently manage and analyze these large datasets, Alteryx, a tool specifically designed for such purposes, was employed for several initial preprocessing steps. </w:t>
      </w:r>
    </w:p>
    <w:p w14:paraId="3C2D282B" w14:textId="531C8489" w:rsidR="00737376" w:rsidRPr="00A16086" w:rsidRDefault="00737376" w:rsidP="0010011E">
      <w:pPr>
        <w:pStyle w:val="MDPI21heading1"/>
        <w:spacing w:line="240" w:lineRule="auto"/>
        <w:ind w:left="0"/>
        <w:rPr>
          <w:b w:val="0"/>
          <w:bCs/>
          <w:szCs w:val="24"/>
        </w:rPr>
      </w:pPr>
      <w:r w:rsidRPr="00A16086">
        <w:rPr>
          <w:b w:val="0"/>
          <w:bCs/>
          <w:szCs w:val="24"/>
        </w:rPr>
        <w:t>Subsequently, a thorough data cleansing process was executed to ensure the quality and reliability of the information. Addressing common data quality issues, such as inconsistencies and missing values, was pivotal. This cleansing process significantly improved the dataset’s usability for analysis, a critical consideration given the extensive number of records involved.</w:t>
      </w:r>
    </w:p>
    <w:p w14:paraId="6982C27F" w14:textId="77777777" w:rsidR="00737376" w:rsidRPr="00A16086" w:rsidRDefault="00737376" w:rsidP="0010011E">
      <w:pPr>
        <w:pStyle w:val="MDPI21heading1"/>
        <w:spacing w:line="240" w:lineRule="auto"/>
        <w:ind w:left="0"/>
        <w:rPr>
          <w:b w:val="0"/>
          <w:bCs/>
          <w:szCs w:val="24"/>
        </w:rPr>
      </w:pPr>
    </w:p>
    <w:p w14:paraId="3B60CA61" w14:textId="0661ED63" w:rsidR="00737376" w:rsidRPr="00A16086" w:rsidRDefault="00737376" w:rsidP="0010011E">
      <w:pPr>
        <w:pStyle w:val="MDPI21heading1"/>
        <w:spacing w:line="240" w:lineRule="auto"/>
        <w:ind w:left="0"/>
        <w:rPr>
          <w:b w:val="0"/>
          <w:szCs w:val="24"/>
        </w:rPr>
      </w:pPr>
      <w:r w:rsidRPr="00A16086">
        <w:rPr>
          <w:b w:val="0"/>
          <w:szCs w:val="24"/>
        </w:rPr>
        <w:t xml:space="preserve">The challenge of integrating different data files arose due to potential changes in the database schema, considering the large volume of data and the two distinct periods covered in the study. The data integration tasks required a combination of various subsets by aligning records with matching fields, ultimately creating a more comprehensive and unified database. Accomplishing this involved the utilization of various common database functions, including </w:t>
      </w:r>
      <w:proofErr w:type="gramStart"/>
      <w:r w:rsidRPr="00A16086">
        <w:rPr>
          <w:b w:val="0"/>
          <w:szCs w:val="24"/>
        </w:rPr>
        <w:t>joins</w:t>
      </w:r>
      <w:proofErr w:type="gramEnd"/>
      <w:r w:rsidRPr="00A16086">
        <w:rPr>
          <w:b w:val="0"/>
          <w:szCs w:val="24"/>
        </w:rPr>
        <w:t xml:space="preserve"> and unions, to effectively merge these extensive datasets.  </w:t>
      </w:r>
    </w:p>
    <w:p w14:paraId="3A1F8794" w14:textId="25572B68" w:rsidR="00737376" w:rsidRPr="00A16086" w:rsidRDefault="00737376" w:rsidP="0010011E">
      <w:pPr>
        <w:pStyle w:val="MDPI21heading1"/>
        <w:spacing w:line="240" w:lineRule="auto"/>
        <w:ind w:left="0"/>
        <w:rPr>
          <w:b w:val="0"/>
          <w:bCs/>
          <w:szCs w:val="24"/>
        </w:rPr>
      </w:pPr>
      <w:r w:rsidRPr="00A16086">
        <w:rPr>
          <w:b w:val="0"/>
          <w:bCs/>
          <w:szCs w:val="24"/>
        </w:rPr>
        <w:t>In the data processing phase, specific measures were taken to enhance the quality and relevance of the datasets. Outliers were identified and manually removed, ensuring that the datasets remained free from anomalous or extreme values that could potentially skew the analysis. Additionally, a comprehensive comparison was conducted between the datasets for the years 2018 and 2019-22.</w:t>
      </w:r>
    </w:p>
    <w:p w14:paraId="66484324" w14:textId="23559735" w:rsidR="00BE424C" w:rsidRPr="00A16086" w:rsidRDefault="00BE424C" w:rsidP="0010011E">
      <w:pPr>
        <w:pStyle w:val="MDPI21heading1"/>
        <w:spacing w:line="240" w:lineRule="auto"/>
        <w:ind w:left="0"/>
        <w:rPr>
          <w:b w:val="0"/>
          <w:szCs w:val="24"/>
        </w:rPr>
      </w:pPr>
      <w:r w:rsidRPr="00A16086">
        <w:rPr>
          <w:b w:val="0"/>
          <w:szCs w:val="24"/>
        </w:rPr>
        <w:t>This comparative analysis aimed to include only those sites that were common across both periods, providing a consistent basis for understanding changes and trends over time. To facilitate further analysis and exploration, all the processed and refined datasets were uploaded to a spatially enabled database in PostgreSQL.</w:t>
      </w:r>
    </w:p>
    <w:p w14:paraId="7D44ABA5" w14:textId="1C66D238" w:rsidR="00BE424C" w:rsidRPr="00A16086" w:rsidRDefault="00BE424C" w:rsidP="0010011E">
      <w:pPr>
        <w:pStyle w:val="MDPI21heading1"/>
        <w:spacing w:line="240" w:lineRule="auto"/>
        <w:ind w:left="0"/>
        <w:rPr>
          <w:bCs/>
          <w:szCs w:val="24"/>
        </w:rPr>
      </w:pPr>
      <w:r w:rsidRPr="00A16086">
        <w:rPr>
          <w:bCs/>
          <w:szCs w:val="24"/>
        </w:rPr>
        <w:t xml:space="preserve">2.3 Data Visualization </w:t>
      </w:r>
    </w:p>
    <w:p w14:paraId="4E79C48A" w14:textId="16C5287F" w:rsidR="00BE424C" w:rsidRPr="00A16086" w:rsidRDefault="00BE424C" w:rsidP="0010011E">
      <w:pPr>
        <w:pStyle w:val="MDPI21heading1"/>
        <w:spacing w:line="240" w:lineRule="auto"/>
        <w:ind w:left="0"/>
        <w:rPr>
          <w:b w:val="0"/>
          <w:szCs w:val="24"/>
        </w:rPr>
      </w:pPr>
      <w:r w:rsidRPr="00A16086">
        <w:rPr>
          <w:b w:val="0"/>
          <w:szCs w:val="24"/>
        </w:rPr>
        <w:t xml:space="preserve">Processed data from Alteryx was parsed and uploaded into a PostgreSQL database equipped with spatial capabilities. Subsequently, custom SQL queries were written to extract specific data points from the dataset, which was then imported into a </w:t>
      </w:r>
      <w:proofErr w:type="spellStart"/>
      <w:r w:rsidRPr="00A16086">
        <w:rPr>
          <w:b w:val="0"/>
          <w:szCs w:val="24"/>
        </w:rPr>
        <w:t>Jupyter</w:t>
      </w:r>
      <w:proofErr w:type="spellEnd"/>
      <w:r w:rsidRPr="00A16086">
        <w:rPr>
          <w:b w:val="0"/>
          <w:szCs w:val="24"/>
        </w:rPr>
        <w:t xml:space="preserve"> Notebook for more visualization using the Matplotlib Python library.  </w:t>
      </w:r>
    </w:p>
    <w:p w14:paraId="3075B5AE" w14:textId="41BE40DB" w:rsidR="00BE424C" w:rsidRPr="00A16086" w:rsidRDefault="00BE424C" w:rsidP="0010011E">
      <w:pPr>
        <w:pStyle w:val="MDPI21heading1"/>
        <w:spacing w:line="240" w:lineRule="auto"/>
        <w:ind w:left="0"/>
        <w:rPr>
          <w:bCs/>
          <w:szCs w:val="24"/>
        </w:rPr>
      </w:pPr>
      <w:r w:rsidRPr="00A16086">
        <w:rPr>
          <w:bCs/>
          <w:szCs w:val="24"/>
        </w:rPr>
        <w:t xml:space="preserve">2.4 Statistical Analysis- Two-way mixed-measures ANOVA </w:t>
      </w:r>
    </w:p>
    <w:p w14:paraId="1065B7C3" w14:textId="740BB67B" w:rsidR="00737376" w:rsidRPr="00A16086" w:rsidRDefault="00BE424C" w:rsidP="0010011E">
      <w:pPr>
        <w:pStyle w:val="MDPI21heading1"/>
        <w:spacing w:line="240" w:lineRule="auto"/>
        <w:ind w:left="0"/>
        <w:rPr>
          <w:b w:val="0"/>
          <w:bCs/>
          <w:szCs w:val="24"/>
        </w:rPr>
      </w:pPr>
      <w:r w:rsidRPr="00A16086">
        <w:rPr>
          <w:b w:val="0"/>
          <w:bCs/>
          <w:szCs w:val="24"/>
        </w:rPr>
        <w:t>In this study, I employed a Two-Way Mixed-Measures Analysis of Variance (ANOVA) to explore the interplay between two key independent variables: the Between-Subjects Factor and the Within-Subjects Factor. In the context of this study, the Between-Subjects Factor represents variations in the severity of COVID-19 strains, while the Within-Subjects Factor encapsulates changes in visit frequency. The chosen outcome measure, visits to parks and outdoor activity spaces, serves as the lens through which we assess the combined influence of these factors.</w:t>
      </w:r>
    </w:p>
    <w:p w14:paraId="085E7517" w14:textId="6F7A325B" w:rsidR="00BE424C" w:rsidRPr="00A16086" w:rsidRDefault="00BE424C" w:rsidP="0010011E">
      <w:pPr>
        <w:pStyle w:val="MDPI21heading1"/>
        <w:spacing w:line="240" w:lineRule="auto"/>
        <w:ind w:left="0"/>
        <w:rPr>
          <w:b w:val="0"/>
          <w:bCs/>
          <w:szCs w:val="24"/>
        </w:rPr>
      </w:pPr>
      <w:r w:rsidRPr="00A16086">
        <w:rPr>
          <w:b w:val="0"/>
          <w:bCs/>
          <w:szCs w:val="24"/>
        </w:rPr>
        <w:t xml:space="preserve">The aim of utilizing this statistical technique is to comprehensively understand how these independent variables, individually and in tandem, impact the frequency of visits to recreational spaces. By addressing assumptions, conducting calculations involving sums of squares and mean squares, and interpreting F-ratios, valuable insights can be derived into the significance of these effects. The output of this analysis produces various other tables, including Descriptive Statistics (used to describe the dataset), Tests of Within-Subjects Effects Table (indicates F-ratios and p-values for main effects and interactions examining differences in means across different factor levels), </w:t>
      </w:r>
      <w:proofErr w:type="spellStart"/>
      <w:r w:rsidRPr="00A16086">
        <w:rPr>
          <w:b w:val="0"/>
          <w:bCs/>
          <w:szCs w:val="24"/>
        </w:rPr>
        <w:t>Mauchl's</w:t>
      </w:r>
      <w:proofErr w:type="spellEnd"/>
      <w:r w:rsidRPr="00A16086">
        <w:rPr>
          <w:b w:val="0"/>
          <w:bCs/>
          <w:szCs w:val="24"/>
        </w:rPr>
        <w:t xml:space="preserve"> Test of Sphericity (assesses the assumption of sphericity), Tests of Between Subjects Effects Table (outlines main effects and interactions for between-subjects factors), and Estimated Marginal Means Table (presents adjusted means, considering interactions). Other outputs include the Sphericity Assumed/Adjusted Table and Homogeneity of Variances Table, which are used to assess assumptions for this test. Lastly, the Post Hoc Tests table is used to identify specific differences between conditions. Collectively, these tables guided in drawing</w:t>
      </w:r>
      <w:r w:rsidR="00721294" w:rsidRPr="00A16086">
        <w:rPr>
          <w:b w:val="0"/>
          <w:bCs/>
          <w:szCs w:val="24"/>
        </w:rPr>
        <w:t xml:space="preserve"> </w:t>
      </w:r>
      <w:r w:rsidRPr="00A16086">
        <w:rPr>
          <w:b w:val="0"/>
          <w:bCs/>
          <w:szCs w:val="24"/>
        </w:rPr>
        <w:t>conclusions about the influence of independent variables on the dependent variable.</w:t>
      </w:r>
    </w:p>
    <w:p w14:paraId="7E8CAED7" w14:textId="2D7A121B" w:rsidR="00BE424C" w:rsidRPr="00A16086" w:rsidRDefault="00BE424C" w:rsidP="0010011E">
      <w:pPr>
        <w:pStyle w:val="MDPI21heading1"/>
        <w:spacing w:line="240" w:lineRule="auto"/>
        <w:ind w:left="0"/>
        <w:rPr>
          <w:bCs/>
          <w:szCs w:val="24"/>
        </w:rPr>
      </w:pPr>
      <w:r w:rsidRPr="00A16086">
        <w:rPr>
          <w:bCs/>
          <w:szCs w:val="24"/>
        </w:rPr>
        <w:t xml:space="preserve">2.5 Demographic Analysis of Engagement in Outdoor Activity in Atlanta and Miami </w:t>
      </w:r>
    </w:p>
    <w:p w14:paraId="4BEE69CF" w14:textId="57DC8D4F" w:rsidR="00BE424C" w:rsidRPr="00A16086" w:rsidRDefault="00BE424C" w:rsidP="0010011E">
      <w:pPr>
        <w:pStyle w:val="MDPI21heading1"/>
        <w:spacing w:line="240" w:lineRule="auto"/>
        <w:ind w:left="0"/>
        <w:rPr>
          <w:b w:val="0"/>
          <w:bCs/>
          <w:szCs w:val="24"/>
        </w:rPr>
      </w:pPr>
      <w:r w:rsidRPr="00A16086">
        <w:rPr>
          <w:b w:val="0"/>
          <w:bCs/>
          <w:szCs w:val="24"/>
        </w:rPr>
        <w:t>To assess the spatial and demographic variations in park visitation in Atlanta and Miami, first block groups containing parks with decreases in overall visitation were marked ‘0’ while those block groups witnessing increases were marked ‘1’. Spatial information contained within the database was mapped using QGIS, enabling the visualization of park visitation patterns during COVID-19. Information on race/ethnicity was extracted from the U. S. Census Bureau and attached to only those block groups containing parks. Summary measures showcasing visitation trends across racial demographics were then plotted.</w:t>
      </w:r>
    </w:p>
    <w:p w14:paraId="50107B09" w14:textId="3D721290" w:rsidR="00BE424C" w:rsidRPr="00A16086" w:rsidRDefault="005F354D" w:rsidP="0010011E">
      <w:pPr>
        <w:pStyle w:val="MDPI21heading1"/>
        <w:spacing w:line="240" w:lineRule="auto"/>
        <w:ind w:left="0"/>
        <w:rPr>
          <w:bCs/>
          <w:szCs w:val="24"/>
        </w:rPr>
      </w:pPr>
      <w:r w:rsidRPr="00A16086">
        <w:rPr>
          <w:bCs/>
          <w:szCs w:val="24"/>
        </w:rPr>
        <w:t>2.6</w:t>
      </w:r>
      <w:r w:rsidR="00BE424C" w:rsidRPr="00A16086">
        <w:rPr>
          <w:bCs/>
          <w:szCs w:val="24"/>
        </w:rPr>
        <w:t xml:space="preserve"> Data, or a descriptive heading about data </w:t>
      </w:r>
    </w:p>
    <w:p w14:paraId="25819587" w14:textId="25300DB7" w:rsidR="00BE424C" w:rsidRPr="00A16086" w:rsidRDefault="00BE424C" w:rsidP="0010011E">
      <w:pPr>
        <w:pStyle w:val="MDPI21heading1"/>
        <w:spacing w:line="240" w:lineRule="auto"/>
        <w:ind w:left="0"/>
        <w:rPr>
          <w:b w:val="0"/>
          <w:bCs/>
          <w:szCs w:val="24"/>
        </w:rPr>
      </w:pPr>
      <w:r w:rsidRPr="00A16086">
        <w:rPr>
          <w:b w:val="0"/>
          <w:bCs/>
          <w:szCs w:val="24"/>
        </w:rPr>
        <w:t xml:space="preserve">The project utilized several rich datasets to analyze mobility patterns and political affiliation in the United States, with a primary focus on the </w:t>
      </w:r>
      <w:proofErr w:type="spellStart"/>
      <w:r w:rsidRPr="00A16086">
        <w:rPr>
          <w:b w:val="0"/>
          <w:bCs/>
          <w:szCs w:val="24"/>
        </w:rPr>
        <w:t>SafeGraph</w:t>
      </w:r>
      <w:proofErr w:type="spellEnd"/>
      <w:r w:rsidRPr="00A16086">
        <w:rPr>
          <w:b w:val="0"/>
          <w:bCs/>
          <w:szCs w:val="24"/>
        </w:rPr>
        <w:t xml:space="preserve"> Places dataset. This dataset includes over 5 million Points of Interest (POIs) nationwide, offering detailed attributes such as names, addresses, brands, and census block groups. It is divided into three key components: the Core POI Dataset, which captures fundamental information for about 6.1 million POIs; the Geometry Dataset, which provides spatial footprints and hierarchies for understanding POI boundaries and relationships; and the Patterns Dataset, which delivers anonymized, aggregated foot traffic data, including visit duration, frequency, and visitor origins. For this study, </w:t>
      </w:r>
      <w:proofErr w:type="spellStart"/>
      <w:r w:rsidRPr="00A16086">
        <w:rPr>
          <w:b w:val="0"/>
          <w:bCs/>
          <w:szCs w:val="24"/>
        </w:rPr>
        <w:t>SafeGraph</w:t>
      </w:r>
      <w:proofErr w:type="spellEnd"/>
      <w:r w:rsidRPr="00A16086">
        <w:rPr>
          <w:b w:val="0"/>
          <w:bCs/>
          <w:szCs w:val="24"/>
        </w:rPr>
        <w:t xml:space="preserve"> mobility data was gathered across two key periods—pre-COVID (2018) and during COVID (late 2019 to mid-2022)—to assess shifts in movement behavior over time. To integrate political context, political </w:t>
      </w:r>
      <w:r w:rsidR="00721294" w:rsidRPr="00A16086">
        <w:rPr>
          <w:b w:val="0"/>
          <w:bCs/>
          <w:szCs w:val="24"/>
        </w:rPr>
        <w:t>affiliation</w:t>
      </w:r>
      <w:r w:rsidRPr="00A16086">
        <w:rPr>
          <w:b w:val="0"/>
          <w:bCs/>
          <w:szCs w:val="24"/>
        </w:rPr>
        <w:t xml:space="preserve"> data was sourced from the Behavior dataset in ArcGIS Business Analyst, a tool offering annually updated demographic and market insights. Although extracting this data via the web map presented technical challenges, the final approach involved linking it with demographic data from Social Explorer, resulting in a comprehensive CSV file for downstream analysis and visualization.</w:t>
      </w:r>
    </w:p>
    <w:p w14:paraId="5A416FD4" w14:textId="77777777" w:rsidR="00BE424C" w:rsidRDefault="00BE424C" w:rsidP="0010011E">
      <w:pPr>
        <w:pStyle w:val="MDPI21heading1"/>
        <w:spacing w:line="240" w:lineRule="auto"/>
        <w:ind w:left="0"/>
        <w:rPr>
          <w:b w:val="0"/>
          <w:bCs/>
          <w:szCs w:val="24"/>
        </w:rPr>
      </w:pPr>
    </w:p>
    <w:p w14:paraId="215D5AB8" w14:textId="77777777" w:rsidR="000F54CF" w:rsidRDefault="000F54CF" w:rsidP="0010011E">
      <w:pPr>
        <w:pStyle w:val="MDPI21heading1"/>
        <w:spacing w:line="240" w:lineRule="auto"/>
        <w:ind w:left="0"/>
        <w:rPr>
          <w:b w:val="0"/>
          <w:bCs/>
          <w:szCs w:val="24"/>
        </w:rPr>
      </w:pPr>
    </w:p>
    <w:p w14:paraId="3A5D0B1D" w14:textId="77777777" w:rsidR="000F54CF" w:rsidRDefault="000F54CF" w:rsidP="0010011E">
      <w:pPr>
        <w:pStyle w:val="MDPI21heading1"/>
        <w:spacing w:line="240" w:lineRule="auto"/>
        <w:ind w:left="0"/>
        <w:rPr>
          <w:b w:val="0"/>
          <w:bCs/>
          <w:szCs w:val="24"/>
        </w:rPr>
      </w:pPr>
    </w:p>
    <w:p w14:paraId="33EAE477" w14:textId="77777777" w:rsidR="000F54CF" w:rsidRPr="00A16086" w:rsidRDefault="000F54CF" w:rsidP="0010011E">
      <w:pPr>
        <w:pStyle w:val="MDPI21heading1"/>
        <w:spacing w:line="240" w:lineRule="auto"/>
        <w:ind w:left="0"/>
        <w:rPr>
          <w:b w:val="0"/>
          <w:bCs/>
          <w:szCs w:val="24"/>
        </w:rPr>
      </w:pPr>
    </w:p>
    <w:p w14:paraId="7BAD3AFF" w14:textId="1DFC8AFF" w:rsidR="00A86E9F" w:rsidRPr="00A16086" w:rsidRDefault="005F354D" w:rsidP="0010011E">
      <w:pPr>
        <w:pStyle w:val="MDPI21heading1"/>
        <w:spacing w:line="240" w:lineRule="auto"/>
        <w:ind w:left="0"/>
        <w:rPr>
          <w:szCs w:val="24"/>
        </w:rPr>
      </w:pPr>
      <w:r w:rsidRPr="00A16086">
        <w:rPr>
          <w:szCs w:val="24"/>
        </w:rPr>
        <w:t>3</w:t>
      </w:r>
      <w:r w:rsidR="00A86E9F" w:rsidRPr="00A16086">
        <w:rPr>
          <w:szCs w:val="24"/>
        </w:rPr>
        <w:t>. Results</w:t>
      </w:r>
    </w:p>
    <w:p w14:paraId="7F91BAB3" w14:textId="3F382D5F" w:rsidR="00BE424C" w:rsidRPr="00A16086" w:rsidRDefault="00BE424C" w:rsidP="0010011E">
      <w:pPr>
        <w:pStyle w:val="MDPI21heading1"/>
        <w:spacing w:line="240" w:lineRule="auto"/>
        <w:ind w:left="0"/>
        <w:rPr>
          <w:b w:val="0"/>
          <w:bCs/>
          <w:szCs w:val="24"/>
        </w:rPr>
      </w:pPr>
      <w:r w:rsidRPr="00A16086">
        <w:rPr>
          <w:b w:val="0"/>
          <w:bCs/>
          <w:szCs w:val="24"/>
        </w:rPr>
        <w:t xml:space="preserve">The results and discussions are organized into four distinct sections, each tailored to address one of the stated research objectives. The first section is to evaluate if demographic distribution and/or political outlooks influence visits to parks and areas of outdoor activity in two major metropolitan areas in the United States. The second section will assess </w:t>
      </w:r>
      <w:proofErr w:type="gramStart"/>
      <w:r w:rsidRPr="00A16086">
        <w:rPr>
          <w:b w:val="0"/>
          <w:bCs/>
          <w:szCs w:val="24"/>
        </w:rPr>
        <w:t>if</w:t>
      </w:r>
      <w:proofErr w:type="gramEnd"/>
      <w:r w:rsidRPr="00A16086">
        <w:rPr>
          <w:b w:val="0"/>
          <w:bCs/>
          <w:szCs w:val="24"/>
        </w:rPr>
        <w:t xml:space="preserve"> overall patterns of visits to parks and places of outdoor activity were different during the various strains of COVID-19, followed by city-wide comparisons. The third section examines how demographic factors and political perspectives in these urban areas have impacted park visitation, providing insight into the socio-political dimensions of public health behaviors. The final section focuses on the spatial analysis of outdoor activities during COVID-19, pinpointing areas that experienced notable shifts in visits compared to the baseline activity in 2018. This section aims to reveal the spatial dynamics of changes in outdoor activities and place them within the larger context of urban and public health developments during the pandemic.</w:t>
      </w:r>
    </w:p>
    <w:p w14:paraId="14B460E3" w14:textId="645C5C6B" w:rsidR="00BE424C" w:rsidRPr="00A16086" w:rsidRDefault="005F354D" w:rsidP="0010011E">
      <w:pPr>
        <w:pStyle w:val="MDPI21heading1"/>
        <w:spacing w:line="240" w:lineRule="auto"/>
        <w:ind w:left="0"/>
        <w:rPr>
          <w:szCs w:val="24"/>
        </w:rPr>
      </w:pPr>
      <w:r w:rsidRPr="00A16086">
        <w:rPr>
          <w:szCs w:val="24"/>
        </w:rPr>
        <w:t>3</w:t>
      </w:r>
      <w:r w:rsidR="00BE424C" w:rsidRPr="00A16086">
        <w:rPr>
          <w:szCs w:val="24"/>
        </w:rPr>
        <w:t xml:space="preserve">.1 Outdoor Activity Before and During COVID-19: A Case Study of Two Cities  </w:t>
      </w:r>
    </w:p>
    <w:p w14:paraId="66F5A1AE" w14:textId="6EB1A321" w:rsidR="00BE424C" w:rsidRPr="00A16086" w:rsidRDefault="00BE424C" w:rsidP="0010011E">
      <w:pPr>
        <w:pStyle w:val="MDPI21heading1"/>
        <w:spacing w:line="240" w:lineRule="auto"/>
        <w:ind w:left="0"/>
        <w:rPr>
          <w:b w:val="0"/>
          <w:bCs/>
          <w:szCs w:val="24"/>
        </w:rPr>
      </w:pPr>
      <w:r w:rsidRPr="00A16086">
        <w:rPr>
          <w:b w:val="0"/>
          <w:bCs/>
          <w:szCs w:val="24"/>
        </w:rPr>
        <w:t xml:space="preserve">Comparing the average temperatures of two distinct cities, Atlanta and Miami, unveils fascinating juxtaposition of climatic conditions. While both cities are situated in the southeastern United States, their geographical locations contribute to significant variations in temperature patterns. </w:t>
      </w:r>
    </w:p>
    <w:p w14:paraId="264A7E3B" w14:textId="6E04CC03" w:rsidR="00BE424C" w:rsidRPr="00A16086" w:rsidRDefault="00E465F8" w:rsidP="0010011E">
      <w:pPr>
        <w:pStyle w:val="MDPI21heading1"/>
        <w:spacing w:line="240" w:lineRule="auto"/>
        <w:ind w:left="0"/>
        <w:rPr>
          <w:szCs w:val="24"/>
        </w:rPr>
      </w:pPr>
      <w:r w:rsidRPr="00A16086">
        <w:rPr>
          <w:noProof/>
          <w:szCs w:val="24"/>
        </w:rPr>
        <w:drawing>
          <wp:inline distT="0" distB="0" distL="0" distR="0" wp14:anchorId="62894C82" wp14:editId="40833DB7">
            <wp:extent cx="6645910" cy="2985770"/>
            <wp:effectExtent l="0" t="0" r="2540" b="5080"/>
            <wp:docPr id="1681576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2985770"/>
                    </a:xfrm>
                    <a:prstGeom prst="rect">
                      <a:avLst/>
                    </a:prstGeom>
                    <a:noFill/>
                    <a:ln>
                      <a:noFill/>
                    </a:ln>
                  </pic:spPr>
                </pic:pic>
              </a:graphicData>
            </a:graphic>
          </wp:inline>
        </w:drawing>
      </w:r>
    </w:p>
    <w:p w14:paraId="7D87FA5B" w14:textId="24C7F08D" w:rsidR="00E465F8" w:rsidRPr="00A16086" w:rsidRDefault="00E465F8" w:rsidP="0010011E">
      <w:pPr>
        <w:pStyle w:val="MDPI21heading1"/>
        <w:spacing w:line="240" w:lineRule="auto"/>
        <w:ind w:left="0"/>
        <w:rPr>
          <w:b w:val="0"/>
          <w:bCs/>
          <w:szCs w:val="24"/>
        </w:rPr>
      </w:pPr>
      <w:r w:rsidRPr="00A16086">
        <w:rPr>
          <w:b w:val="0"/>
          <w:bCs/>
          <w:i/>
          <w:iCs/>
          <w:szCs w:val="24"/>
        </w:rPr>
        <w:t xml:space="preserve">Figure 3: Average temperature in Atlanta, GA </w:t>
      </w:r>
    </w:p>
    <w:p w14:paraId="6EA557D2" w14:textId="649C7A21" w:rsidR="00BE424C" w:rsidRPr="00A16086" w:rsidRDefault="00E465F8" w:rsidP="0010011E">
      <w:pPr>
        <w:pStyle w:val="MDPI21heading1"/>
        <w:spacing w:line="240" w:lineRule="auto"/>
        <w:ind w:left="0"/>
        <w:rPr>
          <w:b w:val="0"/>
          <w:bCs/>
          <w:szCs w:val="24"/>
        </w:rPr>
      </w:pPr>
      <w:r w:rsidRPr="00A16086">
        <w:rPr>
          <w:b w:val="0"/>
          <w:bCs/>
          <w:szCs w:val="24"/>
        </w:rPr>
        <w:t>Source – National Centers for Environmental Information, NOAA</w:t>
      </w:r>
    </w:p>
    <w:p w14:paraId="5B1B8B28" w14:textId="77777777" w:rsidR="00E465F8" w:rsidRPr="00A16086" w:rsidRDefault="00E465F8" w:rsidP="0010011E">
      <w:pPr>
        <w:pStyle w:val="MDPI21heading1"/>
        <w:spacing w:line="240" w:lineRule="auto"/>
        <w:ind w:left="0"/>
        <w:rPr>
          <w:szCs w:val="24"/>
        </w:rPr>
      </w:pPr>
    </w:p>
    <w:p w14:paraId="308745C1" w14:textId="64D6325E" w:rsidR="00E465F8" w:rsidRPr="00A16086" w:rsidRDefault="00E465F8" w:rsidP="0010011E">
      <w:pPr>
        <w:pStyle w:val="MDPI21heading1"/>
        <w:spacing w:line="240" w:lineRule="auto"/>
        <w:ind w:left="0"/>
        <w:rPr>
          <w:szCs w:val="24"/>
        </w:rPr>
      </w:pPr>
      <w:r w:rsidRPr="00A16086">
        <w:rPr>
          <w:noProof/>
          <w:szCs w:val="24"/>
        </w:rPr>
        <w:drawing>
          <wp:inline distT="0" distB="0" distL="0" distR="0" wp14:anchorId="66092F47" wp14:editId="615BA598">
            <wp:extent cx="6645910" cy="2985135"/>
            <wp:effectExtent l="0" t="0" r="2540" b="5715"/>
            <wp:docPr id="1357781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985135"/>
                    </a:xfrm>
                    <a:prstGeom prst="rect">
                      <a:avLst/>
                    </a:prstGeom>
                    <a:noFill/>
                    <a:ln>
                      <a:noFill/>
                    </a:ln>
                  </pic:spPr>
                </pic:pic>
              </a:graphicData>
            </a:graphic>
          </wp:inline>
        </w:drawing>
      </w:r>
    </w:p>
    <w:p w14:paraId="7E17538D" w14:textId="125B8D5D" w:rsidR="00E465F8" w:rsidRPr="00A16086" w:rsidRDefault="00E465F8" w:rsidP="0010011E">
      <w:pPr>
        <w:pStyle w:val="MDPI21heading1"/>
        <w:spacing w:line="240" w:lineRule="auto"/>
        <w:ind w:left="0"/>
        <w:rPr>
          <w:b w:val="0"/>
          <w:bCs/>
          <w:szCs w:val="24"/>
        </w:rPr>
      </w:pPr>
      <w:r w:rsidRPr="00A16086">
        <w:rPr>
          <w:b w:val="0"/>
          <w:bCs/>
          <w:i/>
          <w:iCs/>
          <w:szCs w:val="24"/>
        </w:rPr>
        <w:t xml:space="preserve">Figure 4: Average temperature in Miami, FL </w:t>
      </w:r>
    </w:p>
    <w:p w14:paraId="6261E2D8" w14:textId="5FED5696" w:rsidR="00E465F8" w:rsidRPr="00A16086" w:rsidRDefault="00E465F8" w:rsidP="0010011E">
      <w:pPr>
        <w:pStyle w:val="MDPI21heading1"/>
        <w:spacing w:line="240" w:lineRule="auto"/>
        <w:ind w:left="0"/>
        <w:rPr>
          <w:b w:val="0"/>
          <w:bCs/>
          <w:szCs w:val="24"/>
        </w:rPr>
      </w:pPr>
      <w:r w:rsidRPr="00A16086">
        <w:rPr>
          <w:b w:val="0"/>
          <w:bCs/>
          <w:szCs w:val="24"/>
        </w:rPr>
        <w:t>Source – National Centers for Environmental Information, NOAA</w:t>
      </w:r>
    </w:p>
    <w:p w14:paraId="769EC1A7" w14:textId="053B22F7" w:rsidR="00E465F8" w:rsidRPr="00A16086" w:rsidRDefault="00E465F8" w:rsidP="0010011E">
      <w:pPr>
        <w:pStyle w:val="MDPI21heading1"/>
        <w:spacing w:line="240" w:lineRule="auto"/>
        <w:ind w:left="0"/>
        <w:rPr>
          <w:b w:val="0"/>
          <w:bCs/>
          <w:szCs w:val="24"/>
        </w:rPr>
      </w:pPr>
      <w:r w:rsidRPr="00A16086">
        <w:rPr>
          <w:b w:val="0"/>
          <w:bCs/>
          <w:szCs w:val="24"/>
        </w:rPr>
        <w:t xml:space="preserve">Figures 3 and 4 show the average temperature in both locations. Atlanta and Miami, despite being in different geographic regions, share some similarities in average temperature due to their subtropical climates. Both cities experience warm and humid conditions, with hot summers and mild winters. Average high temperatures in summer range from the upper 80s to the low 90s Fahrenheit, while winter temperatures typically stay mild, rarely dropping below freezing. These similarities result from their southern locations and proximity to warm ocean currents, contributing to a relatively consistent and warm climate throughout the year. These climatic similarities can significantly influence residents’ outdoor activity preferences and habits throughout the year. </w:t>
      </w:r>
    </w:p>
    <w:p w14:paraId="4378273E" w14:textId="6EC5812C" w:rsidR="00E465F8" w:rsidRPr="00A16086" w:rsidRDefault="00E465F8" w:rsidP="0010011E">
      <w:pPr>
        <w:pStyle w:val="MDPI21heading1"/>
        <w:spacing w:line="240" w:lineRule="auto"/>
        <w:ind w:left="0"/>
        <w:rPr>
          <w:szCs w:val="24"/>
        </w:rPr>
      </w:pPr>
      <w:r w:rsidRPr="00A16086">
        <w:rPr>
          <w:i/>
          <w:iCs/>
          <w:szCs w:val="24"/>
        </w:rPr>
        <w:t>COVID-19 Response Dynamics: Contrasting Approaches in Miami and Atlanta</w:t>
      </w:r>
    </w:p>
    <w:p w14:paraId="73864DDC" w14:textId="1F1387BE" w:rsidR="00E465F8" w:rsidRPr="00A16086" w:rsidRDefault="00E465F8" w:rsidP="0010011E">
      <w:pPr>
        <w:pStyle w:val="MDPI21heading1"/>
        <w:spacing w:line="240" w:lineRule="auto"/>
        <w:ind w:left="0"/>
        <w:rPr>
          <w:b w:val="0"/>
          <w:bCs/>
          <w:szCs w:val="24"/>
        </w:rPr>
      </w:pPr>
      <w:r w:rsidRPr="00A16086">
        <w:rPr>
          <w:b w:val="0"/>
          <w:bCs/>
          <w:szCs w:val="24"/>
        </w:rPr>
        <w:t xml:space="preserve">In the context of the COVID-19 pandemic, the cities of Miami in Florida and Atlanta in Georgia implemented various regulatory responses that reflected not only the broader policies of their respective states but also their unique demographic and political characteristics. These two major cities navigated the challenges of the pandemic with distinct approaches. </w:t>
      </w:r>
    </w:p>
    <w:p w14:paraId="1957B270" w14:textId="632DC381" w:rsidR="00E465F8" w:rsidRPr="00A16086" w:rsidRDefault="00E465F8" w:rsidP="0010011E">
      <w:pPr>
        <w:pStyle w:val="MDPI21heading1"/>
        <w:spacing w:line="240" w:lineRule="auto"/>
        <w:ind w:left="0"/>
        <w:rPr>
          <w:b w:val="0"/>
          <w:bCs/>
          <w:szCs w:val="24"/>
        </w:rPr>
      </w:pPr>
      <w:r w:rsidRPr="00A16086">
        <w:rPr>
          <w:b w:val="0"/>
          <w:bCs/>
          <w:szCs w:val="24"/>
        </w:rPr>
        <w:t xml:space="preserve">Miami, situated within the state of Florida, experienced a series of different stages during which various measures and strategies were implemented in response to the evolving situation of the COVID-19 pandemic. During the initial stages of the pandemic, Miami, like much of Florida, faced controversies over COVID-19 restrictions. Florida, led by Governor Ron DeSantis, generally adopted a more permissive approach to these restrictions, including the absence of a statewide mandatory mask-wearing requirement and limitations on local authorities' ability to enforce stringent measures. However, local governing bodies, such as Miami-Dade County, had some discretion to implement their own set of regulations. </w:t>
      </w:r>
    </w:p>
    <w:p w14:paraId="07B257AE" w14:textId="67FEE980" w:rsidR="00E465F8" w:rsidRPr="00A16086" w:rsidRDefault="00E465F8" w:rsidP="0010011E">
      <w:pPr>
        <w:pStyle w:val="MDPI21heading1"/>
        <w:spacing w:line="240" w:lineRule="auto"/>
        <w:ind w:left="0"/>
        <w:rPr>
          <w:b w:val="0"/>
          <w:bCs/>
          <w:szCs w:val="24"/>
        </w:rPr>
      </w:pPr>
      <w:r w:rsidRPr="00A16086">
        <w:rPr>
          <w:b w:val="0"/>
          <w:bCs/>
          <w:szCs w:val="24"/>
        </w:rPr>
        <w:t xml:space="preserve">Similarly, Atlanta, located in Georgia, adapted to a range of COVID-19 guidelines. Georgia, like Florida, did not consistently enforce statewide mask mandates. Nevertheless, local authorities, including the city of Atlanta, had </w:t>
      </w:r>
      <w:proofErr w:type="gramStart"/>
      <w:r w:rsidRPr="00A16086">
        <w:rPr>
          <w:b w:val="0"/>
          <w:bCs/>
          <w:szCs w:val="24"/>
        </w:rPr>
        <w:t>the autonomy</w:t>
      </w:r>
      <w:proofErr w:type="gramEnd"/>
      <w:r w:rsidRPr="00A16086">
        <w:rPr>
          <w:b w:val="0"/>
          <w:bCs/>
          <w:szCs w:val="24"/>
        </w:rPr>
        <w:t xml:space="preserve"> to institute their measures. For instance, the Atlanta City Council passed a resolution requiring mask-wearing in public indoor spaces, which was later lifted in 2022. The City of Atlanta also implemented various other COVID-19 regulations, such as capacity limitations in restaurants and bars, social distancing requirements, and closures of certain non-essential businesses.</w:t>
      </w:r>
    </w:p>
    <w:p w14:paraId="224EA7A8" w14:textId="262753DB" w:rsidR="00E465F8" w:rsidRPr="00A16086" w:rsidRDefault="00E465F8" w:rsidP="0010011E">
      <w:pPr>
        <w:pStyle w:val="MDPI21heading1"/>
        <w:spacing w:line="240" w:lineRule="auto"/>
        <w:ind w:left="0"/>
        <w:rPr>
          <w:b w:val="0"/>
          <w:bCs/>
          <w:szCs w:val="24"/>
        </w:rPr>
      </w:pPr>
      <w:r w:rsidRPr="00A16086">
        <w:rPr>
          <w:b w:val="0"/>
          <w:bCs/>
          <w:szCs w:val="24"/>
        </w:rPr>
        <w:t>The utilization of masks and adherence to COVID-19 regulations in both cities exhibited variations influenced by individual attitudes, the severity of COVID-19 cases, and local policies. Compliance with safety guidelines depended on factors like individual beliefs, conflicts between state and local guidance, and the pandemic's status. Political preferences often influence beliefs about the efficacy of public health guidelines. This, in turn, influenced residents’ engagement in risky or risk-averse behaviors, such as choosing between going to a bar or a park.</w:t>
      </w:r>
    </w:p>
    <w:p w14:paraId="32A5FAB8" w14:textId="38F59075" w:rsidR="00E465F8" w:rsidRPr="00A16086" w:rsidRDefault="00E465F8" w:rsidP="0010011E">
      <w:pPr>
        <w:pStyle w:val="MDPI21heading1"/>
        <w:spacing w:line="240" w:lineRule="auto"/>
        <w:ind w:left="0"/>
        <w:rPr>
          <w:b w:val="0"/>
          <w:bCs/>
          <w:szCs w:val="24"/>
        </w:rPr>
      </w:pPr>
      <w:r w:rsidRPr="00A16086">
        <w:rPr>
          <w:b w:val="0"/>
          <w:bCs/>
          <w:szCs w:val="24"/>
        </w:rPr>
        <w:t>Beyond COVID-19 regulations, the demographic and political characteristics of Miami and Atlanta significantly shape the unique and defining features or characteristics that make Miami and Atlanta distinct from one another. Miami is known for its diverse population, with a significant Hispanic and Latino presence from various backgrounds, including Cuban, Puerto Rican, and Central American roots. This diversity leads to a broad spectrum of age groups and demographic profiles, with Miami maintaining a relatively youthful population compared to many other major U.S. urban centers. Immigration patterns and the city’s appeal to young professionals and tourists contribute to this demographic makeup. In contrast, Atlanta is a diverse metropolis with a blend of racial and ethnic backgrounds that differ from those in Miami.</w:t>
      </w:r>
    </w:p>
    <w:p w14:paraId="77823E71" w14:textId="77777777" w:rsidR="00E465F8" w:rsidRPr="00A16086" w:rsidRDefault="00E465F8" w:rsidP="0010011E">
      <w:pPr>
        <w:pStyle w:val="MDPI21heading1"/>
        <w:spacing w:line="240" w:lineRule="auto"/>
        <w:ind w:left="0"/>
        <w:rPr>
          <w:szCs w:val="24"/>
        </w:rPr>
      </w:pPr>
    </w:p>
    <w:p w14:paraId="6D0E9068" w14:textId="693CB18E" w:rsidR="00E465F8" w:rsidRPr="00A16086" w:rsidRDefault="00E465F8" w:rsidP="0010011E">
      <w:pPr>
        <w:pStyle w:val="MDPI21heading1"/>
        <w:spacing w:line="240" w:lineRule="auto"/>
        <w:ind w:left="0"/>
        <w:rPr>
          <w:szCs w:val="24"/>
        </w:rPr>
      </w:pPr>
      <w:r w:rsidRPr="00A16086">
        <w:rPr>
          <w:noProof/>
          <w:szCs w:val="24"/>
        </w:rPr>
        <w:drawing>
          <wp:inline distT="0" distB="0" distL="0" distR="0" wp14:anchorId="350EA27B" wp14:editId="46940486">
            <wp:extent cx="6645910" cy="2056130"/>
            <wp:effectExtent l="0" t="0" r="2540" b="1270"/>
            <wp:docPr id="15761056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2056130"/>
                    </a:xfrm>
                    <a:prstGeom prst="rect">
                      <a:avLst/>
                    </a:prstGeom>
                    <a:noFill/>
                    <a:ln>
                      <a:noFill/>
                    </a:ln>
                  </pic:spPr>
                </pic:pic>
              </a:graphicData>
            </a:graphic>
          </wp:inline>
        </w:drawing>
      </w:r>
    </w:p>
    <w:p w14:paraId="5C88D63A" w14:textId="77777777" w:rsidR="00E465F8" w:rsidRPr="00A16086" w:rsidRDefault="00E465F8" w:rsidP="0010011E">
      <w:pPr>
        <w:pStyle w:val="MDPI21heading1"/>
        <w:spacing w:line="240" w:lineRule="auto"/>
        <w:ind w:left="0"/>
        <w:rPr>
          <w:szCs w:val="24"/>
        </w:rPr>
      </w:pPr>
    </w:p>
    <w:p w14:paraId="1822C28A" w14:textId="21F24E12" w:rsidR="005007AA" w:rsidRPr="00A16086" w:rsidRDefault="005007AA" w:rsidP="0010011E">
      <w:pPr>
        <w:pStyle w:val="MDPI21heading1"/>
        <w:spacing w:line="240" w:lineRule="auto"/>
        <w:ind w:left="0"/>
        <w:rPr>
          <w:b w:val="0"/>
          <w:bCs/>
          <w:szCs w:val="24"/>
        </w:rPr>
      </w:pPr>
      <w:r w:rsidRPr="00A16086">
        <w:rPr>
          <w:b w:val="0"/>
          <w:bCs/>
          <w:i/>
          <w:iCs/>
          <w:szCs w:val="24"/>
        </w:rPr>
        <w:t>Figure 5: Boxplots of race distribution in Miami and Atlanta.</w:t>
      </w:r>
    </w:p>
    <w:p w14:paraId="0FFCA2A7" w14:textId="77777777" w:rsidR="00E465F8" w:rsidRDefault="00E465F8" w:rsidP="0010011E">
      <w:pPr>
        <w:pStyle w:val="MDPI21heading1"/>
        <w:spacing w:line="240" w:lineRule="auto"/>
        <w:ind w:left="0"/>
        <w:rPr>
          <w:szCs w:val="24"/>
        </w:rPr>
      </w:pPr>
    </w:p>
    <w:p w14:paraId="4CE49BBA" w14:textId="77777777" w:rsidR="000F54CF" w:rsidRPr="00A16086" w:rsidRDefault="000F54CF" w:rsidP="0010011E">
      <w:pPr>
        <w:pStyle w:val="MDPI21heading1"/>
        <w:spacing w:line="240" w:lineRule="auto"/>
        <w:ind w:left="0"/>
        <w:rPr>
          <w:szCs w:val="24"/>
        </w:rPr>
      </w:pPr>
    </w:p>
    <w:p w14:paraId="5C17C713" w14:textId="701DD724" w:rsidR="005007AA" w:rsidRPr="00A16086" w:rsidRDefault="005007AA" w:rsidP="0010011E">
      <w:pPr>
        <w:pStyle w:val="MDPI21heading1"/>
        <w:spacing w:line="240" w:lineRule="auto"/>
        <w:ind w:left="0"/>
        <w:rPr>
          <w:b w:val="0"/>
          <w:bCs/>
          <w:szCs w:val="24"/>
        </w:rPr>
      </w:pPr>
      <w:r w:rsidRPr="00A16086">
        <w:rPr>
          <w:b w:val="0"/>
          <w:bCs/>
          <w:szCs w:val="24"/>
        </w:rPr>
        <w:t>Miami is characterized by a predominantly Hispanic and Latino population, whereas Atlanta</w:t>
      </w:r>
      <w:r w:rsidR="00721294" w:rsidRPr="00A16086">
        <w:rPr>
          <w:b w:val="0"/>
          <w:bCs/>
          <w:szCs w:val="24"/>
        </w:rPr>
        <w:t>’</w:t>
      </w:r>
      <w:r w:rsidRPr="00A16086">
        <w:rPr>
          <w:b w:val="0"/>
          <w:bCs/>
          <w:szCs w:val="24"/>
        </w:rPr>
        <w:t xml:space="preserve">s demographic makeup is primarily composed of Black and White residents. In Miami, the presence of Black and White residents within each census block group is relatively minimal. Conversely, in Atlanta, the Hispanic population holds less prominence. This disparity in demographic composition underscores the distinct racial and ethnic landscapes that define each city. This observation suggests the existence of pockets with distinct sociocultural perspectives that could influence adherence to COVID-19 recommendations. </w:t>
      </w:r>
    </w:p>
    <w:p w14:paraId="1943FAAE" w14:textId="77578C3F" w:rsidR="005007AA" w:rsidRPr="00A16086" w:rsidRDefault="005007AA" w:rsidP="0010011E">
      <w:pPr>
        <w:pStyle w:val="MDPI21heading1"/>
        <w:spacing w:line="240" w:lineRule="auto"/>
        <w:ind w:left="0"/>
        <w:rPr>
          <w:b w:val="0"/>
          <w:bCs/>
          <w:szCs w:val="24"/>
        </w:rPr>
      </w:pPr>
      <w:r w:rsidRPr="00A16086">
        <w:rPr>
          <w:b w:val="0"/>
          <w:bCs/>
          <w:szCs w:val="24"/>
        </w:rPr>
        <w:t xml:space="preserve">Research suggests that vaccine adherence and uptake among Black Americans tend to be lower than in other racial/ethnic groups. Such observations are rooted in historical contexts, such as the Tuskegee Syphilis Study, which has eroded trust in medical research and government among Black Americans, contributing to vaccine hesitancy and skepticism within the community. Perceptions of inadequate representation by healthcare experts involved in vaccine development, regulation, and distribution may further discourage groups like the Black and Hispanic populations from receiving the vaccine. </w:t>
      </w:r>
    </w:p>
    <w:p w14:paraId="0BDA5ACD" w14:textId="5C783A28" w:rsidR="005007AA" w:rsidRPr="00A16086" w:rsidRDefault="005007AA" w:rsidP="0010011E">
      <w:pPr>
        <w:pStyle w:val="MDPI21heading1"/>
        <w:spacing w:line="240" w:lineRule="auto"/>
        <w:ind w:left="0"/>
        <w:rPr>
          <w:b w:val="0"/>
          <w:bCs/>
          <w:szCs w:val="24"/>
        </w:rPr>
      </w:pPr>
      <w:r w:rsidRPr="00A16086">
        <w:rPr>
          <w:b w:val="0"/>
          <w:bCs/>
          <w:szCs w:val="24"/>
        </w:rPr>
        <w:t xml:space="preserve">These disparities in vaccine uptake are crucial, as they have implications for public health. Addressing vaccine hesitancy and increasing vaccination rates can be considered risk mitigation strategies in managing the spread of COVID-19. Like other forms of risk mitigation, such as mask-wearing, engagement in outdoor recreational activities can also play a role in mitigating the risks associated with vaccine hesitancy. Access to outdoor spaces can exhibit significant disparities based on race and income, particularly in urban settings. Many individuals from minority communities have faced limited access to parks and green spaces, which may have adversely affected their ability and willingness to engage in outdoor activities during the pandemic. Despite Miami and Atlanta being large metropolitan areas, differences in the distribution of race and ethnic groups may lead to localized patterns of varying levels of engagement in outdoor activities, which in turn can impact public health outcomes. </w:t>
      </w:r>
    </w:p>
    <w:p w14:paraId="71D6D5AE" w14:textId="77777777" w:rsidR="005007AA" w:rsidRPr="00A16086" w:rsidRDefault="005007AA" w:rsidP="0010011E">
      <w:pPr>
        <w:pStyle w:val="MDPI21heading1"/>
        <w:spacing w:line="240" w:lineRule="auto"/>
        <w:ind w:left="0"/>
        <w:rPr>
          <w:szCs w:val="24"/>
        </w:rPr>
      </w:pPr>
      <w:r w:rsidRPr="00A16086">
        <w:rPr>
          <w:i/>
          <w:iCs/>
          <w:szCs w:val="24"/>
        </w:rPr>
        <w:t>Demographic Dynamics: Age Composition</w:t>
      </w:r>
    </w:p>
    <w:p w14:paraId="162034EA" w14:textId="5A912449" w:rsidR="005007AA" w:rsidRPr="00A16086" w:rsidRDefault="005007AA" w:rsidP="0010011E">
      <w:pPr>
        <w:pStyle w:val="MDPI21heading1"/>
        <w:spacing w:line="240" w:lineRule="auto"/>
        <w:ind w:left="0"/>
        <w:rPr>
          <w:szCs w:val="24"/>
        </w:rPr>
      </w:pPr>
      <w:r w:rsidRPr="00A16086">
        <w:rPr>
          <w:b w:val="0"/>
          <w:bCs/>
          <w:szCs w:val="24"/>
        </w:rPr>
        <w:t xml:space="preserve">Atlanta boasts a more balanced age distribution in contrast to Miami, featuring a </w:t>
      </w:r>
      <w:proofErr w:type="gramStart"/>
      <w:r w:rsidRPr="00A16086">
        <w:rPr>
          <w:b w:val="0"/>
          <w:bCs/>
          <w:szCs w:val="24"/>
        </w:rPr>
        <w:t>mix</w:t>
      </w:r>
      <w:proofErr w:type="gramEnd"/>
      <w:r w:rsidRPr="00A16086">
        <w:rPr>
          <w:b w:val="0"/>
          <w:bCs/>
          <w:szCs w:val="24"/>
        </w:rPr>
        <w:t xml:space="preserve"> of both younger and older residents. The city is also renowned for its thriving job market, which attracts professionals from various age brackets</w:t>
      </w:r>
      <w:r w:rsidRPr="00A16086">
        <w:rPr>
          <w:szCs w:val="24"/>
        </w:rPr>
        <w:t>.</w:t>
      </w:r>
    </w:p>
    <w:p w14:paraId="5F9113F2" w14:textId="67EC1AD1" w:rsidR="005007AA" w:rsidRPr="00A16086" w:rsidRDefault="005007AA" w:rsidP="0010011E">
      <w:pPr>
        <w:pStyle w:val="MDPI21heading1"/>
        <w:spacing w:line="240" w:lineRule="auto"/>
        <w:ind w:left="0"/>
        <w:rPr>
          <w:szCs w:val="24"/>
        </w:rPr>
      </w:pPr>
      <w:r w:rsidRPr="00A16086">
        <w:rPr>
          <w:b w:val="0"/>
          <w:bCs/>
          <w:szCs w:val="24"/>
        </w:rPr>
        <w:t>Figure 6 displays the age distribution in Atlanta and Miami, revealing a similarity between the two cities. Notably, Figure 6 exhibits several outliers in the 18-24 age group in both cities,</w:t>
      </w:r>
      <w:r w:rsidRPr="00A16086">
        <w:rPr>
          <w:szCs w:val="24"/>
        </w:rPr>
        <w:t xml:space="preserve"> </w:t>
      </w:r>
      <w:r w:rsidRPr="00A16086">
        <w:rPr>
          <w:b w:val="0"/>
          <w:bCs/>
          <w:szCs w:val="24"/>
        </w:rPr>
        <w:t>suggesting pockets of concentrated</w:t>
      </w:r>
      <w:r w:rsidRPr="00A16086">
        <w:rPr>
          <w:szCs w:val="24"/>
        </w:rPr>
        <w:t xml:space="preserve"> </w:t>
      </w:r>
      <w:r w:rsidRPr="00A16086">
        <w:rPr>
          <w:b w:val="0"/>
          <w:bCs/>
          <w:szCs w:val="24"/>
        </w:rPr>
        <w:t>populations in age groups that are more likely to be healthy and continue to engage in social activities.</w:t>
      </w:r>
    </w:p>
    <w:p w14:paraId="47ABA2B2" w14:textId="77777777" w:rsidR="005007AA" w:rsidRPr="00A16086" w:rsidRDefault="005007AA" w:rsidP="0010011E">
      <w:pPr>
        <w:pStyle w:val="MDPI21heading1"/>
        <w:spacing w:line="240" w:lineRule="auto"/>
        <w:ind w:left="0"/>
        <w:rPr>
          <w:szCs w:val="24"/>
        </w:rPr>
      </w:pPr>
    </w:p>
    <w:p w14:paraId="7AF572CC" w14:textId="0EE1C5EC" w:rsidR="005007AA" w:rsidRPr="00A16086" w:rsidRDefault="005007AA" w:rsidP="0010011E">
      <w:pPr>
        <w:pStyle w:val="MDPI21heading1"/>
        <w:spacing w:line="240" w:lineRule="auto"/>
        <w:ind w:left="0"/>
        <w:rPr>
          <w:szCs w:val="24"/>
        </w:rPr>
      </w:pPr>
      <w:r w:rsidRPr="00A16086">
        <w:rPr>
          <w:noProof/>
          <w:szCs w:val="24"/>
        </w:rPr>
        <w:drawing>
          <wp:inline distT="0" distB="0" distL="0" distR="0" wp14:anchorId="797D4DD7" wp14:editId="3FA696BB">
            <wp:extent cx="6645910" cy="3211830"/>
            <wp:effectExtent l="0" t="0" r="2540" b="7620"/>
            <wp:docPr id="327363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211830"/>
                    </a:xfrm>
                    <a:prstGeom prst="rect">
                      <a:avLst/>
                    </a:prstGeom>
                    <a:noFill/>
                    <a:ln>
                      <a:noFill/>
                    </a:ln>
                  </pic:spPr>
                </pic:pic>
              </a:graphicData>
            </a:graphic>
          </wp:inline>
        </w:drawing>
      </w:r>
    </w:p>
    <w:p w14:paraId="4F8B0686" w14:textId="77777777" w:rsidR="005007AA" w:rsidRPr="00A16086" w:rsidRDefault="005007AA" w:rsidP="0010011E">
      <w:pPr>
        <w:pStyle w:val="MDPI21heading1"/>
        <w:spacing w:line="240" w:lineRule="auto"/>
        <w:ind w:left="0"/>
        <w:rPr>
          <w:b w:val="0"/>
          <w:bCs/>
          <w:i/>
          <w:iCs/>
          <w:szCs w:val="24"/>
        </w:rPr>
      </w:pPr>
    </w:p>
    <w:p w14:paraId="09A3E2F2" w14:textId="79371871" w:rsidR="00BD2C61" w:rsidRPr="00A16086" w:rsidRDefault="005007AA" w:rsidP="0010011E">
      <w:pPr>
        <w:pStyle w:val="MDPI21heading1"/>
        <w:spacing w:line="240" w:lineRule="auto"/>
        <w:ind w:left="0"/>
        <w:rPr>
          <w:b w:val="0"/>
          <w:bCs/>
          <w:szCs w:val="24"/>
        </w:rPr>
      </w:pPr>
      <w:r w:rsidRPr="00A16086">
        <w:rPr>
          <w:b w:val="0"/>
          <w:bCs/>
          <w:i/>
          <w:iCs/>
          <w:szCs w:val="24"/>
        </w:rPr>
        <w:t>Figure 6: Boxplots of age distribution in Miami and Atlanta.</w:t>
      </w:r>
    </w:p>
    <w:p w14:paraId="25BF936B" w14:textId="32FAA465" w:rsidR="005007AA" w:rsidRPr="00A16086" w:rsidRDefault="00BD2C61" w:rsidP="0010011E">
      <w:pPr>
        <w:pStyle w:val="MDPI21heading1"/>
        <w:spacing w:line="240" w:lineRule="auto"/>
        <w:ind w:left="0"/>
        <w:rPr>
          <w:b w:val="0"/>
          <w:bCs/>
          <w:szCs w:val="24"/>
        </w:rPr>
      </w:pPr>
      <w:r w:rsidRPr="00A16086">
        <w:rPr>
          <w:b w:val="0"/>
          <w:bCs/>
          <w:szCs w:val="24"/>
        </w:rPr>
        <w:t>Perceptions of COVID-19 varied among age groups, with older adults often more concerned due to higher risk, while younger generations showed mixed attitudes, sometimes downplaying the severity. Despite having some differences in concentrations of populations in the younger age groups, the overall distribution of age groups between the two cities follows similar patterns.</w:t>
      </w:r>
    </w:p>
    <w:p w14:paraId="5A932774" w14:textId="0D2F6BFE" w:rsidR="00BD2C61" w:rsidRPr="00A16086" w:rsidRDefault="00BD2C61" w:rsidP="0010011E">
      <w:pPr>
        <w:pStyle w:val="MDPI21heading1"/>
        <w:spacing w:line="240" w:lineRule="auto"/>
        <w:ind w:left="0"/>
        <w:rPr>
          <w:szCs w:val="24"/>
        </w:rPr>
      </w:pPr>
      <w:r w:rsidRPr="00A16086">
        <w:rPr>
          <w:i/>
          <w:iCs/>
          <w:szCs w:val="24"/>
        </w:rPr>
        <w:t xml:space="preserve">Demographic Dynamics: Political Composition </w:t>
      </w:r>
    </w:p>
    <w:p w14:paraId="7F9FE675" w14:textId="64E5DF5E" w:rsidR="005007AA" w:rsidRPr="00A16086" w:rsidRDefault="00BD2C61" w:rsidP="0010011E">
      <w:pPr>
        <w:pStyle w:val="MDPI21heading1"/>
        <w:spacing w:line="240" w:lineRule="auto"/>
        <w:ind w:left="0"/>
        <w:rPr>
          <w:b w:val="0"/>
          <w:bCs/>
          <w:szCs w:val="24"/>
        </w:rPr>
      </w:pPr>
      <w:r w:rsidRPr="00A16086">
        <w:rPr>
          <w:b w:val="0"/>
          <w:bCs/>
          <w:szCs w:val="24"/>
        </w:rPr>
        <w:t>The political landscapes of these cities exhibit notable distinctions. Miami’s diversity encompasses a substantial Hispanic and Latino populace, particularly of Cuban, Venezuelan, and Colombian heritage. This diversity fosters a wide array of political perspectives, encompassing conservative viewpoints among Cuban Americans who have fled communist regimes and liberal viewpoints from other Latino and non-Latino communities. Historically, the Cuban American community in Miami has leaned toward conservatism, emphasizing anti-communism and staunch support for the Republican Party. (Krogstad J.M., 2020). On the other hand, Atlanta showcases a diverse populace, including a significant African American contingent alongside various other ethnicities and cultures. The city’s demographics have traditionally leaned Democratic, though this can exhibit variance at the block group level. Atlanta’s political landscape often reflects an urban-suburban dichotomy, with the city proper leaning progressively Democratic while certain suburban areas tend to adopt a more conservative, Republican stance. (New York Times –- Emily Badger., 2020)</w:t>
      </w:r>
    </w:p>
    <w:p w14:paraId="2E4AA476" w14:textId="0C1984C2" w:rsidR="005007AA" w:rsidRPr="00A16086" w:rsidRDefault="00BD2C61" w:rsidP="0010011E">
      <w:pPr>
        <w:pStyle w:val="MDPI21heading1"/>
        <w:spacing w:line="240" w:lineRule="auto"/>
        <w:ind w:left="0"/>
        <w:rPr>
          <w:szCs w:val="24"/>
        </w:rPr>
      </w:pPr>
      <w:r w:rsidRPr="00A16086">
        <w:rPr>
          <w:noProof/>
          <w:szCs w:val="24"/>
        </w:rPr>
        <w:drawing>
          <wp:inline distT="0" distB="0" distL="0" distR="0" wp14:anchorId="5CC80216" wp14:editId="44755682">
            <wp:extent cx="6645910" cy="2152015"/>
            <wp:effectExtent l="0" t="0" r="2540" b="635"/>
            <wp:docPr id="99821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2152015"/>
                    </a:xfrm>
                    <a:prstGeom prst="rect">
                      <a:avLst/>
                    </a:prstGeom>
                    <a:noFill/>
                    <a:ln>
                      <a:noFill/>
                    </a:ln>
                  </pic:spPr>
                </pic:pic>
              </a:graphicData>
            </a:graphic>
          </wp:inline>
        </w:drawing>
      </w:r>
    </w:p>
    <w:p w14:paraId="30EBD1CB" w14:textId="77777777" w:rsidR="005007AA" w:rsidRPr="00A16086" w:rsidRDefault="005007AA" w:rsidP="0010011E">
      <w:pPr>
        <w:pStyle w:val="MDPI21heading1"/>
        <w:spacing w:line="240" w:lineRule="auto"/>
        <w:ind w:left="0"/>
        <w:rPr>
          <w:szCs w:val="24"/>
        </w:rPr>
      </w:pPr>
    </w:p>
    <w:p w14:paraId="77E74933" w14:textId="51B19A24" w:rsidR="005007AA" w:rsidRPr="000F54CF" w:rsidRDefault="00BD2C61" w:rsidP="0010011E">
      <w:pPr>
        <w:pStyle w:val="MDPI21heading1"/>
        <w:spacing w:line="240" w:lineRule="auto"/>
        <w:ind w:left="0"/>
        <w:rPr>
          <w:b w:val="0"/>
          <w:bCs/>
          <w:szCs w:val="24"/>
        </w:rPr>
      </w:pPr>
      <w:r w:rsidRPr="00A16086">
        <w:rPr>
          <w:b w:val="0"/>
          <w:bCs/>
          <w:i/>
          <w:iCs/>
          <w:szCs w:val="24"/>
        </w:rPr>
        <w:t>Figure 7: Boxplots of political affiliations distribution in Miami and Atlanta.</w:t>
      </w:r>
    </w:p>
    <w:p w14:paraId="3EB854E1" w14:textId="720DF4A8" w:rsidR="004E28B5" w:rsidRPr="00A16086" w:rsidRDefault="00BD2C61" w:rsidP="0010011E">
      <w:pPr>
        <w:pStyle w:val="MDPI21heading1"/>
        <w:spacing w:line="240" w:lineRule="auto"/>
        <w:ind w:left="0"/>
        <w:rPr>
          <w:b w:val="0"/>
          <w:bCs/>
          <w:szCs w:val="24"/>
        </w:rPr>
      </w:pPr>
      <w:r w:rsidRPr="00A16086">
        <w:rPr>
          <w:b w:val="0"/>
          <w:bCs/>
          <w:szCs w:val="24"/>
        </w:rPr>
        <w:t xml:space="preserve">Figure 7 illustrates the political outlook in both cities, revealing comparable trends in voting for the Democratic, Republican, and </w:t>
      </w:r>
      <w:proofErr w:type="gramStart"/>
      <w:r w:rsidRPr="00A16086">
        <w:rPr>
          <w:b w:val="0"/>
          <w:bCs/>
          <w:szCs w:val="24"/>
        </w:rPr>
        <w:t>Independent</w:t>
      </w:r>
      <w:proofErr w:type="gramEnd"/>
      <w:r w:rsidRPr="00A16086">
        <w:rPr>
          <w:b w:val="0"/>
          <w:bCs/>
          <w:szCs w:val="24"/>
        </w:rPr>
        <w:t xml:space="preserve"> parties. Both Miami and Atlanta exhibit outliers in their box plots for Democratic, Republican, and </w:t>
      </w:r>
      <w:proofErr w:type="gramStart"/>
      <w:r w:rsidRPr="00A16086">
        <w:rPr>
          <w:b w:val="0"/>
          <w:bCs/>
          <w:szCs w:val="24"/>
        </w:rPr>
        <w:t>Independent</w:t>
      </w:r>
      <w:proofErr w:type="gramEnd"/>
      <w:r w:rsidRPr="00A16086">
        <w:rPr>
          <w:b w:val="0"/>
          <w:bCs/>
          <w:szCs w:val="24"/>
        </w:rPr>
        <w:t xml:space="preserve"> voting trends, with Miami showing slightly more outliers for Democratic and Republican preferences and a similar count for Independents. These outliers may indicate block groups with particularly strong </w:t>
      </w:r>
      <w:r w:rsidR="004E28B5" w:rsidRPr="00A16086">
        <w:rPr>
          <w:b w:val="0"/>
          <w:bCs/>
          <w:szCs w:val="24"/>
        </w:rPr>
        <w:t>political</w:t>
      </w:r>
      <w:r w:rsidR="004E28B5" w:rsidRPr="00A16086">
        <w:rPr>
          <w:szCs w:val="24"/>
        </w:rPr>
        <w:t xml:space="preserve"> leanings, </w:t>
      </w:r>
      <w:r w:rsidR="004E28B5" w:rsidRPr="00A16086">
        <w:rPr>
          <w:b w:val="0"/>
          <w:bCs/>
          <w:szCs w:val="24"/>
        </w:rPr>
        <w:t xml:space="preserve">diverging significantly from the general voting trends in their respective cities. </w:t>
      </w:r>
      <w:r w:rsidR="00721294" w:rsidRPr="00A16086">
        <w:rPr>
          <w:b w:val="0"/>
          <w:bCs/>
          <w:szCs w:val="24"/>
        </w:rPr>
        <w:t>In Miami</w:t>
      </w:r>
      <w:r w:rsidR="004E28B5" w:rsidRPr="00A16086">
        <w:rPr>
          <w:b w:val="0"/>
          <w:bCs/>
          <w:szCs w:val="24"/>
        </w:rPr>
        <w:t xml:space="preserve">, the additional outliers for the Democratic and Republican votes could signify areas with more concentrated party loyalties, reflecting unique socio-political dynamics. These concentrated preferences highlight the nuanced political landscape in each city, where certain communities demonstrate a more distinct political identity compared to the broader, more mixed patterns observed elsewhere. </w:t>
      </w:r>
    </w:p>
    <w:p w14:paraId="409D12E1" w14:textId="28CBB4A4" w:rsidR="004E28B5" w:rsidRPr="00A16086" w:rsidRDefault="004E28B5" w:rsidP="0010011E">
      <w:pPr>
        <w:pStyle w:val="MDPI21heading1"/>
        <w:spacing w:line="240" w:lineRule="auto"/>
        <w:ind w:left="0"/>
        <w:rPr>
          <w:b w:val="0"/>
          <w:bCs/>
          <w:szCs w:val="24"/>
        </w:rPr>
      </w:pPr>
      <w:r w:rsidRPr="00A16086">
        <w:rPr>
          <w:b w:val="0"/>
          <w:bCs/>
          <w:szCs w:val="24"/>
        </w:rPr>
        <w:t>Perceptions of COVID-19 varied among political groups. Some saw it as a public health crisis, while others downplayed its severity or resisted public health measures, reflecting ideological and partisan divides. During the COVID-19 pandemic, Democrats generally favored stricter public health measures, like mask mandates and vaccination campaigns, emphasizing science and experts. Republicans, on the other hand, often advocated for less government intervention, prioritizing individual freedoms and the economy, leading to a divided approach to the pandemic response in the United States (Rao et al., 2021).</w:t>
      </w:r>
    </w:p>
    <w:p w14:paraId="4171343A" w14:textId="0E11126C" w:rsidR="005007AA" w:rsidRPr="00A16086" w:rsidRDefault="004E28B5" w:rsidP="0010011E">
      <w:pPr>
        <w:pStyle w:val="MDPI21heading1"/>
        <w:spacing w:line="240" w:lineRule="auto"/>
        <w:ind w:left="0"/>
        <w:rPr>
          <w:b w:val="0"/>
          <w:bCs/>
          <w:szCs w:val="24"/>
        </w:rPr>
      </w:pPr>
      <w:r w:rsidRPr="00A16086">
        <w:rPr>
          <w:b w:val="0"/>
          <w:bCs/>
          <w:szCs w:val="24"/>
        </w:rPr>
        <w:t>In summary, Miami and Atlanta, while both facing the challenges of the COVID-19 pandemic, navigated these challenges in ways that reflected their respective state policies and the unique characteristics of their populations. These cities’ demographic diversity and political landscapes played a significant role in shaping their responses to the pandemic and their overall engagement in outdoor activities.</w:t>
      </w:r>
    </w:p>
    <w:p w14:paraId="7BE985F0" w14:textId="2666BF90" w:rsidR="004E28B5" w:rsidRPr="00A16086" w:rsidRDefault="005F354D" w:rsidP="0010011E">
      <w:pPr>
        <w:pStyle w:val="MDPI21heading1"/>
        <w:spacing w:line="240" w:lineRule="auto"/>
        <w:ind w:left="0"/>
        <w:rPr>
          <w:szCs w:val="24"/>
        </w:rPr>
      </w:pPr>
      <w:r w:rsidRPr="00A16086">
        <w:rPr>
          <w:szCs w:val="24"/>
        </w:rPr>
        <w:t>3</w:t>
      </w:r>
      <w:r w:rsidR="004E28B5" w:rsidRPr="00A16086">
        <w:rPr>
          <w:szCs w:val="24"/>
        </w:rPr>
        <w:t xml:space="preserve">.2 Outdoor Activity Before and During COVID-19: A Comparison of Atlanta and Miami </w:t>
      </w:r>
    </w:p>
    <w:p w14:paraId="099D72CA" w14:textId="26C9ED10" w:rsidR="005007AA" w:rsidRPr="00A16086" w:rsidRDefault="004E28B5" w:rsidP="0010011E">
      <w:pPr>
        <w:pStyle w:val="MDPI21heading1"/>
        <w:spacing w:line="240" w:lineRule="auto"/>
        <w:ind w:left="0"/>
        <w:rPr>
          <w:b w:val="0"/>
          <w:bCs/>
          <w:szCs w:val="24"/>
        </w:rPr>
      </w:pPr>
      <w:r w:rsidRPr="00A16086">
        <w:rPr>
          <w:b w:val="0"/>
          <w:bCs/>
          <w:szCs w:val="24"/>
        </w:rPr>
        <w:t>Figure 8 is a bar graph consisting of two panels, one for Atlanta and the other for Miami. Each panel displays visits to parks and places of outdoor activities, depicted through a set of colored bars. Blue bars represent the baseline period, indicating the number of visits before the onset of the COVID-19 pandemic. In contrast, orange bars represent visits during the COVID-19 period. The base strain peaked in June 2020, followed by the Alpha variant in October 2020, and the Delta variant in June 2021. The Omicron variant emerged and peaked in December 2021. Note that the periods were matched exactly for the baseline and COVID-19 periods</w:t>
      </w:r>
    </w:p>
    <w:p w14:paraId="2D50D1EB" w14:textId="77777777" w:rsidR="004E28B5" w:rsidRPr="00A16086" w:rsidRDefault="004E28B5" w:rsidP="0010011E">
      <w:pPr>
        <w:pStyle w:val="MDPI21heading1"/>
        <w:spacing w:line="240" w:lineRule="auto"/>
        <w:ind w:left="0"/>
        <w:rPr>
          <w:szCs w:val="24"/>
        </w:rPr>
      </w:pPr>
    </w:p>
    <w:p w14:paraId="3896B24F" w14:textId="257330EB" w:rsidR="004E28B5" w:rsidRPr="00A16086" w:rsidRDefault="004E28B5" w:rsidP="000F54CF">
      <w:pPr>
        <w:pStyle w:val="MDPI21heading1"/>
        <w:spacing w:line="240" w:lineRule="auto"/>
        <w:ind w:left="0"/>
        <w:rPr>
          <w:szCs w:val="24"/>
        </w:rPr>
      </w:pPr>
      <w:r w:rsidRPr="00A16086">
        <w:rPr>
          <w:noProof/>
          <w:szCs w:val="24"/>
        </w:rPr>
        <w:drawing>
          <wp:inline distT="0" distB="0" distL="0" distR="0" wp14:anchorId="07E4B801" wp14:editId="47EAEA9A">
            <wp:extent cx="6645910" cy="3453130"/>
            <wp:effectExtent l="0" t="0" r="2540" b="0"/>
            <wp:docPr id="1694540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453130"/>
                    </a:xfrm>
                    <a:prstGeom prst="rect">
                      <a:avLst/>
                    </a:prstGeom>
                    <a:noFill/>
                    <a:ln>
                      <a:noFill/>
                    </a:ln>
                  </pic:spPr>
                </pic:pic>
              </a:graphicData>
            </a:graphic>
          </wp:inline>
        </w:drawing>
      </w:r>
    </w:p>
    <w:p w14:paraId="39D0AC42" w14:textId="77777777" w:rsidR="004E28B5" w:rsidRPr="00A16086" w:rsidRDefault="004E28B5" w:rsidP="0010011E">
      <w:pPr>
        <w:pStyle w:val="MDPI31text"/>
        <w:spacing w:line="240" w:lineRule="auto"/>
        <w:ind w:left="0" w:firstLine="0"/>
        <w:rPr>
          <w:sz w:val="24"/>
          <w:szCs w:val="24"/>
        </w:rPr>
      </w:pPr>
      <w:r w:rsidRPr="00A16086">
        <w:rPr>
          <w:i/>
          <w:iCs/>
          <w:sz w:val="24"/>
          <w:szCs w:val="24"/>
        </w:rPr>
        <w:t xml:space="preserve">Figure 8: Trends in visits to parks and places of outdoor activity in Atlanta and Miami 530 </w:t>
      </w:r>
    </w:p>
    <w:p w14:paraId="156D2357" w14:textId="2C43BBC1" w:rsidR="004E28B5" w:rsidRPr="00A16086" w:rsidRDefault="004E28B5" w:rsidP="0010011E">
      <w:pPr>
        <w:pStyle w:val="MDPI31text"/>
        <w:spacing w:line="240" w:lineRule="auto"/>
        <w:rPr>
          <w:sz w:val="24"/>
          <w:szCs w:val="24"/>
        </w:rPr>
      </w:pPr>
    </w:p>
    <w:p w14:paraId="16F17F66" w14:textId="10F3CE74" w:rsidR="004E28B5" w:rsidRPr="00A16086" w:rsidRDefault="004E28B5" w:rsidP="0010011E">
      <w:pPr>
        <w:pStyle w:val="MDPI31text"/>
        <w:spacing w:line="240" w:lineRule="auto"/>
        <w:ind w:left="0" w:firstLine="0"/>
        <w:rPr>
          <w:sz w:val="24"/>
          <w:szCs w:val="24"/>
        </w:rPr>
      </w:pPr>
      <w:r w:rsidRPr="00A16086">
        <w:rPr>
          <w:sz w:val="24"/>
          <w:szCs w:val="24"/>
        </w:rPr>
        <w:t xml:space="preserve">This graphical representation allows for a direct comparison between pre-pandemic and pandemic-era visitation patterns in both Atlanta and Miami, visually illustrating any changes or 533 trends in outdoor activity behavior attributable to the pandemic’s impact. </w:t>
      </w:r>
    </w:p>
    <w:p w14:paraId="2D474B6A" w14:textId="77777777" w:rsidR="004E28B5" w:rsidRPr="00A16086" w:rsidRDefault="004E28B5" w:rsidP="0010011E">
      <w:pPr>
        <w:pStyle w:val="MDPI31text"/>
        <w:spacing w:line="240" w:lineRule="auto"/>
        <w:ind w:left="0" w:firstLine="0"/>
        <w:rPr>
          <w:sz w:val="24"/>
          <w:szCs w:val="24"/>
        </w:rPr>
      </w:pPr>
    </w:p>
    <w:p w14:paraId="49B127C6" w14:textId="2FE42F8C" w:rsidR="004E28B5" w:rsidRPr="00A16086" w:rsidRDefault="004E28B5" w:rsidP="0010011E">
      <w:pPr>
        <w:pStyle w:val="MDPI31text"/>
        <w:spacing w:line="240" w:lineRule="auto"/>
        <w:ind w:left="0" w:firstLine="0"/>
        <w:rPr>
          <w:sz w:val="24"/>
          <w:szCs w:val="24"/>
        </w:rPr>
      </w:pPr>
      <w:r w:rsidRPr="00A16086">
        <w:rPr>
          <w:b/>
          <w:bCs/>
          <w:sz w:val="24"/>
          <w:szCs w:val="24"/>
        </w:rPr>
        <w:t>Base Strain</w:t>
      </w:r>
      <w:r w:rsidRPr="00A16086">
        <w:rPr>
          <w:sz w:val="24"/>
          <w:szCs w:val="24"/>
        </w:rPr>
        <w:t xml:space="preserve">: During the early stages of the COVID-19 outbreak (i.e., during the base strain), it was expected that park visits in both Atlanta and Miami would decrease compared to the baseline period (i.e., 2018) due to the limited understanding of the disease, the implementation of social distancing measures, and the general public’s fear of exposure. However, contrary to these expectations, our findings indicate that park visits were higher during this period. Also note that other studies examining relationships between physical activity and COVID-19 have mainly focused on the entire duration of the pandemic and do not separate the analysis by COVID-19 strains. 5We conjecture that this pattern of increase during the base strain might reflect a combination of uncertainty in information surrounding the impact of Covid-19, as well as the public’s desire for outdoor activities and open spaces as alternatives to indoor gatherings, which were perceived as higher risk for virus transmission </w:t>
      </w:r>
      <w:r w:rsidR="00721294" w:rsidRPr="00A16086">
        <w:rPr>
          <w:sz w:val="24"/>
          <w:szCs w:val="24"/>
        </w:rPr>
        <w:t>[14]</w:t>
      </w:r>
      <w:r w:rsidRPr="00A16086">
        <w:rPr>
          <w:sz w:val="24"/>
          <w:szCs w:val="24"/>
        </w:rPr>
        <w:t>.</w:t>
      </w:r>
    </w:p>
    <w:p w14:paraId="77988476" w14:textId="77777777" w:rsidR="004E28B5" w:rsidRPr="00A16086" w:rsidRDefault="004E28B5" w:rsidP="0010011E">
      <w:pPr>
        <w:pStyle w:val="MDPI31text"/>
        <w:spacing w:line="240" w:lineRule="auto"/>
        <w:ind w:left="0" w:firstLine="0"/>
        <w:rPr>
          <w:sz w:val="24"/>
          <w:szCs w:val="24"/>
        </w:rPr>
      </w:pPr>
    </w:p>
    <w:p w14:paraId="2B0B07A5" w14:textId="437C2A6E" w:rsidR="004E28B5" w:rsidRPr="00A16086" w:rsidRDefault="004E28B5" w:rsidP="0010011E">
      <w:pPr>
        <w:pStyle w:val="MDPI31text"/>
        <w:spacing w:line="240" w:lineRule="auto"/>
        <w:ind w:left="0" w:firstLine="0"/>
        <w:rPr>
          <w:sz w:val="24"/>
          <w:szCs w:val="24"/>
        </w:rPr>
      </w:pPr>
      <w:r w:rsidRPr="00A16086">
        <w:rPr>
          <w:b/>
          <w:bCs/>
          <w:sz w:val="24"/>
          <w:szCs w:val="24"/>
        </w:rPr>
        <w:t>Alpha Variant Impact</w:t>
      </w:r>
      <w:r w:rsidRPr="00A16086">
        <w:rPr>
          <w:sz w:val="24"/>
          <w:szCs w:val="24"/>
        </w:rPr>
        <w:t xml:space="preserve">: During the phase of the Alpha variant of COVID-19, a notable, similar pattern in park visitation patterns was observed between the two locations. Both Atlanta and Miami experienced a substantial decrease in park visits compared to the baseline period. This decrease might reflect a more conservative approach to social interaction given better awareness of the disease, its transmission modalities, public health guidance, and the severity of its outcomes </w:t>
      </w:r>
      <w:r w:rsidR="00721294" w:rsidRPr="00A16086">
        <w:rPr>
          <w:sz w:val="24"/>
          <w:szCs w:val="24"/>
        </w:rPr>
        <w:t>[14]</w:t>
      </w:r>
      <w:r w:rsidRPr="00A16086">
        <w:rPr>
          <w:sz w:val="24"/>
          <w:szCs w:val="24"/>
        </w:rPr>
        <w:t xml:space="preserve">. </w:t>
      </w:r>
    </w:p>
    <w:p w14:paraId="793599F2" w14:textId="77777777" w:rsidR="005F354D" w:rsidRPr="00A16086" w:rsidRDefault="005F354D" w:rsidP="0010011E">
      <w:pPr>
        <w:pStyle w:val="MDPI31text"/>
        <w:spacing w:line="240" w:lineRule="auto"/>
        <w:ind w:left="0" w:firstLine="0"/>
        <w:rPr>
          <w:sz w:val="24"/>
          <w:szCs w:val="24"/>
        </w:rPr>
      </w:pPr>
    </w:p>
    <w:p w14:paraId="61310DD8" w14:textId="4108B149" w:rsidR="004E28B5" w:rsidRPr="00A16086" w:rsidRDefault="004E28B5" w:rsidP="0010011E">
      <w:pPr>
        <w:pStyle w:val="MDPI31text"/>
        <w:spacing w:line="240" w:lineRule="auto"/>
        <w:ind w:left="0" w:firstLine="0"/>
        <w:rPr>
          <w:sz w:val="24"/>
          <w:szCs w:val="24"/>
        </w:rPr>
      </w:pPr>
      <w:r w:rsidRPr="00A16086">
        <w:rPr>
          <w:b/>
          <w:bCs/>
          <w:sz w:val="24"/>
          <w:szCs w:val="24"/>
        </w:rPr>
        <w:t>Delta Variant Period</w:t>
      </w:r>
      <w:r w:rsidRPr="00A16086">
        <w:rPr>
          <w:sz w:val="24"/>
          <w:szCs w:val="24"/>
        </w:rPr>
        <w:t xml:space="preserve">: During the Delta variant phase, known for being highly contagious and severe, park visitation trends in both Atlanta and Miami displayed a similarity. Contrary to what might be expected given the variant's severity, both cities witnessed a decline in park visits during this period. This trend could potentially be influenced by several factors: the increasing availability of vaccinations might have led to a sense of security, contributing to a resumption of indoor activities; a better understanding of the disease dynamics could have prompted more nuanced approaches to outdoor activities; and the relaxation of social distancing measures might have allowed for more diverse recreational options beyond parks </w:t>
      </w:r>
      <w:r w:rsidR="00721294" w:rsidRPr="00A16086">
        <w:rPr>
          <w:sz w:val="24"/>
          <w:szCs w:val="24"/>
        </w:rPr>
        <w:t>[14]</w:t>
      </w:r>
      <w:r w:rsidRPr="00A16086">
        <w:rPr>
          <w:sz w:val="24"/>
          <w:szCs w:val="24"/>
        </w:rPr>
        <w:t xml:space="preserve">. Consequently, these factors might have collectively led to a reduced reliance on parks as primary recreational spaces during the Delta phase. </w:t>
      </w:r>
    </w:p>
    <w:p w14:paraId="2245074F" w14:textId="77777777" w:rsidR="004E28B5" w:rsidRPr="00A16086" w:rsidRDefault="004E28B5" w:rsidP="0010011E">
      <w:pPr>
        <w:pStyle w:val="MDPI31text"/>
        <w:spacing w:line="240" w:lineRule="auto"/>
        <w:ind w:left="0" w:firstLine="0"/>
        <w:rPr>
          <w:sz w:val="24"/>
          <w:szCs w:val="24"/>
        </w:rPr>
      </w:pPr>
    </w:p>
    <w:p w14:paraId="12E56956" w14:textId="328EDD9C" w:rsidR="004E28B5" w:rsidRPr="00A16086" w:rsidRDefault="004E28B5" w:rsidP="0010011E">
      <w:pPr>
        <w:pStyle w:val="MDPI31text"/>
        <w:spacing w:line="240" w:lineRule="auto"/>
        <w:ind w:left="0" w:firstLine="0"/>
        <w:rPr>
          <w:sz w:val="24"/>
          <w:szCs w:val="24"/>
        </w:rPr>
      </w:pPr>
      <w:r w:rsidRPr="00A16086">
        <w:rPr>
          <w:b/>
          <w:bCs/>
          <w:sz w:val="24"/>
          <w:szCs w:val="24"/>
        </w:rPr>
        <w:t>Omicron Variant</w:t>
      </w:r>
      <w:r w:rsidRPr="00A16086">
        <w:rPr>
          <w:sz w:val="24"/>
          <w:szCs w:val="24"/>
        </w:rPr>
        <w:t xml:space="preserve">: During the Omicron variant phase, both Atlanta and Miami saw a resurgence in park visits, exceeding baseline levels. This trend contrasts with the Delta phase and could be attributed to various factors. Alongside pandemic fatigue and increased confidence in outdoor safety due to vaccinations </w:t>
      </w:r>
      <w:r w:rsidR="00721294" w:rsidRPr="00A16086">
        <w:rPr>
          <w:sz w:val="24"/>
          <w:szCs w:val="24"/>
        </w:rPr>
        <w:t>[14]</w:t>
      </w:r>
      <w:r w:rsidRPr="00A16086">
        <w:rPr>
          <w:sz w:val="24"/>
          <w:szCs w:val="24"/>
        </w:rPr>
        <w:t>. The weather also played a role. The Omicron timeline from November 2021 to February 2022 brought milder winter conditions, likely encouraging outdoor activities. The onset of spring in early 2022 might have further influenced this upward trend in park engagement. However, a detailed analysis is needed to fully understand these dynamics</w:t>
      </w:r>
    </w:p>
    <w:p w14:paraId="02B8D95A" w14:textId="77777777" w:rsidR="004E28B5" w:rsidRPr="00A16086" w:rsidRDefault="004E28B5" w:rsidP="0010011E">
      <w:pPr>
        <w:pStyle w:val="MDPI31text"/>
        <w:spacing w:line="240" w:lineRule="auto"/>
        <w:ind w:left="0" w:firstLine="0"/>
        <w:rPr>
          <w:sz w:val="24"/>
          <w:szCs w:val="24"/>
        </w:rPr>
      </w:pPr>
    </w:p>
    <w:p w14:paraId="109C81A2" w14:textId="325D47EA" w:rsidR="004E28B5" w:rsidRPr="00A16086" w:rsidRDefault="004E28B5" w:rsidP="0010011E">
      <w:pPr>
        <w:pStyle w:val="MDPI31text"/>
        <w:spacing w:line="240" w:lineRule="auto"/>
        <w:ind w:left="0" w:firstLine="0"/>
        <w:rPr>
          <w:sz w:val="24"/>
          <w:szCs w:val="24"/>
        </w:rPr>
      </w:pPr>
      <w:r w:rsidRPr="00A16086">
        <w:rPr>
          <w:sz w:val="24"/>
          <w:szCs w:val="24"/>
        </w:rPr>
        <w:t>In summary, this analysis highlights the fluctuating patterns of park visitation in Atlanta and Miami in response to various phases of the COVID-19 pandemic. Demographics, disease understanding, and public health measures have played significant roles in shaping these trends.</w:t>
      </w:r>
    </w:p>
    <w:p w14:paraId="05DF76F9" w14:textId="77777777" w:rsidR="004E28B5" w:rsidRPr="00A16086" w:rsidRDefault="004E28B5" w:rsidP="0010011E">
      <w:pPr>
        <w:pStyle w:val="MDPI31text"/>
        <w:spacing w:line="240" w:lineRule="auto"/>
        <w:ind w:left="0" w:firstLine="0"/>
        <w:rPr>
          <w:sz w:val="24"/>
          <w:szCs w:val="24"/>
        </w:rPr>
      </w:pPr>
    </w:p>
    <w:p w14:paraId="2BD509EC" w14:textId="5BCA88D9" w:rsidR="00B525D1" w:rsidRPr="00A16086" w:rsidRDefault="004E28B5" w:rsidP="0010011E">
      <w:pPr>
        <w:pStyle w:val="MDPI31text"/>
        <w:spacing w:line="240" w:lineRule="auto"/>
        <w:ind w:left="0" w:firstLine="0"/>
        <w:rPr>
          <w:sz w:val="24"/>
          <w:szCs w:val="24"/>
        </w:rPr>
      </w:pPr>
      <w:r w:rsidRPr="00A16086">
        <w:rPr>
          <w:sz w:val="24"/>
          <w:szCs w:val="24"/>
        </w:rPr>
        <w:t xml:space="preserve">While some outcomes of this research </w:t>
      </w:r>
      <w:proofErr w:type="gramStart"/>
      <w:r w:rsidRPr="00A16086">
        <w:rPr>
          <w:sz w:val="24"/>
          <w:szCs w:val="24"/>
        </w:rPr>
        <w:t>align</w:t>
      </w:r>
      <w:proofErr w:type="gramEnd"/>
      <w:r w:rsidRPr="00A16086">
        <w:rPr>
          <w:sz w:val="24"/>
          <w:szCs w:val="24"/>
        </w:rPr>
        <w:t xml:space="preserve"> with findings from other studies, some differences were observed. Results from other studies demonstrate increases </w:t>
      </w:r>
      <w:r w:rsidR="00721294" w:rsidRPr="00A16086">
        <w:rPr>
          <w:sz w:val="24"/>
          <w:szCs w:val="24"/>
        </w:rPr>
        <w:t>[17</w:t>
      </w:r>
      <w:r w:rsidRPr="00A16086">
        <w:rPr>
          <w:sz w:val="24"/>
          <w:szCs w:val="24"/>
        </w:rPr>
        <w:t xml:space="preserve">, </w:t>
      </w:r>
      <w:r w:rsidR="00721294" w:rsidRPr="00A16086">
        <w:rPr>
          <w:sz w:val="24"/>
          <w:szCs w:val="24"/>
        </w:rPr>
        <w:t xml:space="preserve">2] </w:t>
      </w:r>
      <w:r w:rsidRPr="00A16086">
        <w:rPr>
          <w:sz w:val="24"/>
          <w:szCs w:val="24"/>
        </w:rPr>
        <w:t xml:space="preserve">or decreases </w:t>
      </w:r>
      <w:r w:rsidR="00624CDC" w:rsidRPr="00A16086">
        <w:rPr>
          <w:sz w:val="24"/>
          <w:szCs w:val="24"/>
        </w:rPr>
        <w:t xml:space="preserve">[18] </w:t>
      </w:r>
      <w:r w:rsidRPr="00A16086">
        <w:rPr>
          <w:sz w:val="24"/>
          <w:szCs w:val="24"/>
        </w:rPr>
        <w:t xml:space="preserve">in park </w:t>
      </w:r>
      <w:proofErr w:type="gramStart"/>
      <w:r w:rsidRPr="00A16086">
        <w:rPr>
          <w:sz w:val="24"/>
          <w:szCs w:val="24"/>
        </w:rPr>
        <w:t>visitations</w:t>
      </w:r>
      <w:proofErr w:type="gramEnd"/>
      <w:r w:rsidRPr="00A16086">
        <w:rPr>
          <w:sz w:val="24"/>
          <w:szCs w:val="24"/>
        </w:rPr>
        <w:t>. In comparison to these other studies, this research stratifies the analysis of mobility data across the four major strains of COVID-19. This study found a general increase in park visitation during the early stages of the pandemic (base strain). A drop in visitation patterns was noted during the alpha and</w:t>
      </w:r>
      <w:r w:rsidR="00B525D1" w:rsidRPr="00A16086">
        <w:rPr>
          <w:sz w:val="24"/>
          <w:szCs w:val="24"/>
        </w:rPr>
        <w:t xml:space="preserve"> delta strains, followed by a rise during the omicron strain. Note that a significant peak observed in Atlanta during the base strain is related to visits made to a popular outdoor recreational area known as the Beltline. </w:t>
      </w:r>
    </w:p>
    <w:p w14:paraId="26EA71B6" w14:textId="1F8D7D2D" w:rsidR="00B525D1" w:rsidRPr="00A16086" w:rsidRDefault="00B525D1" w:rsidP="0010011E">
      <w:pPr>
        <w:pStyle w:val="MDPI31text"/>
        <w:spacing w:line="240" w:lineRule="auto"/>
        <w:ind w:left="0" w:firstLine="0"/>
        <w:rPr>
          <w:sz w:val="24"/>
          <w:szCs w:val="24"/>
        </w:rPr>
      </w:pPr>
    </w:p>
    <w:p w14:paraId="0B192355" w14:textId="3837CDD0" w:rsidR="00B525D1" w:rsidRPr="00A16086" w:rsidRDefault="005F354D" w:rsidP="0010011E">
      <w:pPr>
        <w:pStyle w:val="MDPI31text"/>
        <w:spacing w:line="240" w:lineRule="auto"/>
        <w:ind w:left="0" w:firstLine="0"/>
        <w:rPr>
          <w:sz w:val="24"/>
          <w:szCs w:val="24"/>
        </w:rPr>
      </w:pPr>
      <w:r w:rsidRPr="00A16086">
        <w:rPr>
          <w:b/>
          <w:bCs/>
          <w:sz w:val="24"/>
          <w:szCs w:val="24"/>
        </w:rPr>
        <w:t>3</w:t>
      </w:r>
      <w:r w:rsidR="00B525D1" w:rsidRPr="00A16086">
        <w:rPr>
          <w:b/>
          <w:bCs/>
          <w:sz w:val="24"/>
          <w:szCs w:val="24"/>
        </w:rPr>
        <w:t xml:space="preserve">.3 Compare overall trends in visits to parks and areas of outdoor activity in Atlanta and </w:t>
      </w:r>
      <w:r w:rsidR="00B525D1" w:rsidRPr="00A16086">
        <w:rPr>
          <w:sz w:val="24"/>
          <w:szCs w:val="24"/>
        </w:rPr>
        <w:t xml:space="preserve">584 </w:t>
      </w:r>
      <w:r w:rsidR="00B525D1" w:rsidRPr="00A16086">
        <w:rPr>
          <w:b/>
          <w:bCs/>
          <w:sz w:val="24"/>
          <w:szCs w:val="24"/>
        </w:rPr>
        <w:t xml:space="preserve">Miami during the various strains of COVID-19 </w:t>
      </w:r>
    </w:p>
    <w:p w14:paraId="5E6D254B" w14:textId="701B4510" w:rsidR="00B525D1" w:rsidRPr="00A16086" w:rsidRDefault="00B525D1" w:rsidP="0010011E">
      <w:pPr>
        <w:pStyle w:val="MDPI31text"/>
        <w:spacing w:line="240" w:lineRule="auto"/>
        <w:ind w:left="0" w:firstLine="0"/>
        <w:rPr>
          <w:sz w:val="24"/>
          <w:szCs w:val="24"/>
        </w:rPr>
      </w:pPr>
      <w:r w:rsidRPr="00A16086">
        <w:rPr>
          <w:sz w:val="24"/>
          <w:szCs w:val="24"/>
        </w:rPr>
        <w:t>A two-way mixed measures ANOVA was conducted to explore the interaction between different COVID-19 strains (alpha, base, delta, omicron) and the two cities included in our analysis, comparing visits to parks and areas of outdoor activities during baseline (pre-pandemic) and COVID-19 periods. This statistical analysis aimed to identify significant variations in park visits across strains and cities over time.</w:t>
      </w:r>
    </w:p>
    <w:p w14:paraId="5AEB425E" w14:textId="08C5556F" w:rsidR="00B525D1" w:rsidRDefault="00B525D1" w:rsidP="0010011E">
      <w:pPr>
        <w:pStyle w:val="MDPI31text"/>
        <w:spacing w:line="240" w:lineRule="auto"/>
        <w:ind w:left="0" w:firstLine="0"/>
        <w:rPr>
          <w:sz w:val="24"/>
          <w:szCs w:val="24"/>
        </w:rPr>
      </w:pPr>
    </w:p>
    <w:p w14:paraId="03490119" w14:textId="77777777" w:rsidR="000F54CF" w:rsidRPr="00A16086" w:rsidRDefault="000F54CF" w:rsidP="0010011E">
      <w:pPr>
        <w:pStyle w:val="MDPI31text"/>
        <w:spacing w:line="240" w:lineRule="auto"/>
        <w:ind w:left="0" w:firstLine="0"/>
        <w:rPr>
          <w:sz w:val="24"/>
          <w:szCs w:val="24"/>
        </w:rPr>
      </w:pPr>
    </w:p>
    <w:p w14:paraId="0E5DEABD" w14:textId="77777777" w:rsidR="00B525D1" w:rsidRPr="00A16086" w:rsidRDefault="00B525D1" w:rsidP="0010011E">
      <w:pPr>
        <w:pStyle w:val="MDPI31text"/>
        <w:spacing w:line="240" w:lineRule="auto"/>
        <w:ind w:left="0" w:firstLine="0"/>
        <w:rPr>
          <w:sz w:val="24"/>
          <w:szCs w:val="24"/>
        </w:rPr>
      </w:pPr>
      <w:r w:rsidRPr="00A16086">
        <w:rPr>
          <w:i/>
          <w:iCs/>
          <w:sz w:val="24"/>
          <w:szCs w:val="24"/>
        </w:rPr>
        <w:t xml:space="preserve">Between-Subjects Effects Analysis (Table 1) 593 </w:t>
      </w:r>
    </w:p>
    <w:p w14:paraId="46D4306D" w14:textId="66751DBE" w:rsidR="00B525D1" w:rsidRPr="00A16086" w:rsidRDefault="00B525D1" w:rsidP="0010011E">
      <w:pPr>
        <w:pStyle w:val="MDPI31text"/>
        <w:spacing w:line="240" w:lineRule="auto"/>
        <w:ind w:left="0" w:firstLine="0"/>
        <w:rPr>
          <w:sz w:val="24"/>
          <w:szCs w:val="24"/>
        </w:rPr>
      </w:pPr>
      <w:r w:rsidRPr="00A16086">
        <w:rPr>
          <w:sz w:val="24"/>
          <w:szCs w:val="24"/>
        </w:rPr>
        <w:t xml:space="preserve">The effect of the city alone on park visitation numbers was not significant (p = .826), indicating no substantial difference between Atlanta and Miami in terms of overall park visits. However, the strain of COVID-19 showed a significant effect (p &lt; .001), suggesting that the type of COVID-19 strain had a notable impact on the number of park visits. The interaction effect between city and strain was not significant (p = .827), indicating that the impact of COVID-19 train on park visitation was similar across both cities. </w:t>
      </w:r>
    </w:p>
    <w:p w14:paraId="02C80E5A" w14:textId="77777777" w:rsidR="00B525D1" w:rsidRPr="00A16086" w:rsidRDefault="00B525D1" w:rsidP="0010011E">
      <w:pPr>
        <w:pStyle w:val="MDPI31text"/>
        <w:spacing w:line="240" w:lineRule="auto"/>
        <w:ind w:left="0" w:firstLine="0"/>
        <w:rPr>
          <w:sz w:val="24"/>
          <w:szCs w:val="24"/>
        </w:rPr>
      </w:pPr>
    </w:p>
    <w:p w14:paraId="63B94E2A" w14:textId="77777777" w:rsidR="00C57945" w:rsidRPr="00A16086" w:rsidRDefault="00C57945" w:rsidP="0010011E">
      <w:pPr>
        <w:pStyle w:val="MDPI31text"/>
        <w:spacing w:line="240" w:lineRule="auto"/>
        <w:ind w:left="0" w:firstLine="0"/>
        <w:rPr>
          <w:sz w:val="24"/>
          <w:szCs w:val="24"/>
        </w:rPr>
      </w:pPr>
    </w:p>
    <w:p w14:paraId="55529791" w14:textId="0B31822D" w:rsidR="00B525D1" w:rsidRDefault="00B525D1" w:rsidP="0010011E">
      <w:pPr>
        <w:pStyle w:val="MDPI31text"/>
        <w:spacing w:line="240" w:lineRule="auto"/>
        <w:ind w:left="0" w:firstLine="0"/>
        <w:rPr>
          <w:i/>
          <w:iCs/>
          <w:sz w:val="24"/>
          <w:szCs w:val="24"/>
        </w:rPr>
      </w:pPr>
      <w:r w:rsidRPr="00A16086">
        <w:rPr>
          <w:i/>
          <w:iCs/>
          <w:sz w:val="24"/>
          <w:szCs w:val="24"/>
        </w:rPr>
        <w:t xml:space="preserve">Table 1: Tests of Between-Subjects Effects. </w:t>
      </w:r>
    </w:p>
    <w:p w14:paraId="6F53697B" w14:textId="77777777" w:rsidR="003A3C9C" w:rsidRPr="00A16086" w:rsidRDefault="003A3C9C" w:rsidP="00EE3F14">
      <w:pPr>
        <w:pStyle w:val="MDPI31text"/>
        <w:spacing w:line="240" w:lineRule="auto"/>
        <w:ind w:left="0" w:firstLine="0"/>
        <w:rPr>
          <w:sz w:val="24"/>
          <w:szCs w:val="24"/>
        </w:rPr>
      </w:pPr>
    </w:p>
    <w:tbl>
      <w:tblPr>
        <w:tblStyle w:val="TableGrid"/>
        <w:tblW w:w="8926" w:type="dxa"/>
        <w:tblLook w:val="04A0" w:firstRow="1" w:lastRow="0" w:firstColumn="1" w:lastColumn="0" w:noHBand="0" w:noVBand="1"/>
      </w:tblPr>
      <w:tblGrid>
        <w:gridCol w:w="8926"/>
      </w:tblGrid>
      <w:tr w:rsidR="003A3C9C" w14:paraId="6FD9EC49" w14:textId="77777777" w:rsidTr="00EE3F14">
        <w:tc>
          <w:tcPr>
            <w:tcW w:w="8926" w:type="dxa"/>
          </w:tcPr>
          <w:p w14:paraId="6E02789C" w14:textId="2F4F450A" w:rsidR="003A3C9C" w:rsidRPr="00AE5FFC" w:rsidRDefault="003A3C9C" w:rsidP="00E15374">
            <w:pPr>
              <w:pStyle w:val="MDPI31text"/>
              <w:spacing w:line="240" w:lineRule="auto"/>
              <w:ind w:left="0" w:firstLine="0"/>
              <w:rPr>
                <w:b/>
                <w:bCs/>
                <w:sz w:val="24"/>
                <w:szCs w:val="24"/>
              </w:rPr>
            </w:pPr>
            <w:r>
              <w:rPr>
                <w:sz w:val="24"/>
                <w:szCs w:val="24"/>
              </w:rPr>
              <w:t xml:space="preserve">                                 </w:t>
            </w:r>
            <w:r w:rsidRPr="00AE5FFC">
              <w:rPr>
                <w:b/>
                <w:bCs/>
                <w:sz w:val="24"/>
                <w:szCs w:val="24"/>
              </w:rPr>
              <w:t xml:space="preserve">Tests of </w:t>
            </w:r>
            <w:r w:rsidR="00EE3F14">
              <w:rPr>
                <w:b/>
                <w:bCs/>
                <w:sz w:val="24"/>
                <w:szCs w:val="24"/>
              </w:rPr>
              <w:t>Between</w:t>
            </w:r>
            <w:r w:rsidRPr="00AE5FFC">
              <w:rPr>
                <w:b/>
                <w:bCs/>
                <w:sz w:val="24"/>
                <w:szCs w:val="24"/>
              </w:rPr>
              <w:t xml:space="preserve">-Subjects </w:t>
            </w:r>
            <w:r w:rsidR="00EE3F14">
              <w:rPr>
                <w:b/>
                <w:bCs/>
                <w:sz w:val="24"/>
                <w:szCs w:val="24"/>
              </w:rPr>
              <w:t>Effects</w:t>
            </w:r>
          </w:p>
        </w:tc>
      </w:tr>
    </w:tbl>
    <w:p w14:paraId="164A90DA" w14:textId="77777777" w:rsidR="003A3C9C" w:rsidRPr="00A16086" w:rsidRDefault="003A3C9C" w:rsidP="003A3C9C">
      <w:pPr>
        <w:pStyle w:val="MDPI31text"/>
        <w:spacing w:line="240" w:lineRule="auto"/>
        <w:ind w:left="0" w:firstLine="0"/>
        <w:rPr>
          <w:sz w:val="24"/>
          <w:szCs w:val="24"/>
        </w:rPr>
      </w:pPr>
    </w:p>
    <w:tbl>
      <w:tblPr>
        <w:tblStyle w:val="GridTable1Light"/>
        <w:tblW w:w="0" w:type="auto"/>
        <w:tblLook w:val="04A0" w:firstRow="1" w:lastRow="0" w:firstColumn="1" w:lastColumn="0" w:noHBand="0" w:noVBand="1"/>
      </w:tblPr>
      <w:tblGrid>
        <w:gridCol w:w="1413"/>
        <w:gridCol w:w="1209"/>
        <w:gridCol w:w="536"/>
        <w:gridCol w:w="1174"/>
        <w:gridCol w:w="856"/>
        <w:gridCol w:w="651"/>
        <w:gridCol w:w="899"/>
        <w:gridCol w:w="916"/>
        <w:gridCol w:w="1276"/>
      </w:tblGrid>
      <w:tr w:rsidR="00EE3F14" w:rsidRPr="000901D1" w14:paraId="559ACABE" w14:textId="77777777" w:rsidTr="00E15374">
        <w:trPr>
          <w:cnfStyle w:val="100000000000" w:firstRow="1" w:lastRow="0" w:firstColumn="0" w:lastColumn="0" w:oddVBand="0" w:evenVBand="0" w:oddHBand="0"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1413" w:type="dxa"/>
          </w:tcPr>
          <w:p w14:paraId="45A3B710" w14:textId="77777777" w:rsidR="00EE3F14" w:rsidRPr="000901D1" w:rsidRDefault="00EE3F14" w:rsidP="00E15374">
            <w:pPr>
              <w:pStyle w:val="MDPI31text"/>
              <w:spacing w:line="240" w:lineRule="auto"/>
              <w:ind w:left="0" w:firstLine="0"/>
              <w:rPr>
                <w:rFonts w:ascii="Times New Roman" w:hAnsi="Times New Roman"/>
                <w:sz w:val="16"/>
                <w:szCs w:val="16"/>
              </w:rPr>
            </w:pPr>
            <w:r>
              <w:rPr>
                <w:rFonts w:ascii="Times New Roman" w:hAnsi="Times New Roman"/>
                <w:sz w:val="16"/>
                <w:szCs w:val="16"/>
              </w:rPr>
              <w:t>Source</w:t>
            </w:r>
          </w:p>
        </w:tc>
        <w:tc>
          <w:tcPr>
            <w:tcW w:w="1209" w:type="dxa"/>
          </w:tcPr>
          <w:p w14:paraId="487001AD" w14:textId="77777777" w:rsidR="00EE3F14"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Type III Sum of Squares</w:t>
            </w:r>
          </w:p>
        </w:tc>
        <w:tc>
          <w:tcPr>
            <w:tcW w:w="536" w:type="dxa"/>
          </w:tcPr>
          <w:p w14:paraId="0BFD1BAC" w14:textId="77777777" w:rsidR="00EE3F14" w:rsidRPr="000901D1"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Pr>
                <w:rFonts w:ascii="Times New Roman" w:hAnsi="Times New Roman"/>
                <w:sz w:val="16"/>
                <w:szCs w:val="16"/>
              </w:rPr>
              <w:t>df</w:t>
            </w:r>
            <w:proofErr w:type="spellEnd"/>
          </w:p>
        </w:tc>
        <w:tc>
          <w:tcPr>
            <w:tcW w:w="1174" w:type="dxa"/>
          </w:tcPr>
          <w:p w14:paraId="081B5673" w14:textId="77777777" w:rsidR="00EE3F14" w:rsidRPr="000901D1"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Mean Square</w:t>
            </w:r>
          </w:p>
        </w:tc>
        <w:tc>
          <w:tcPr>
            <w:tcW w:w="856" w:type="dxa"/>
          </w:tcPr>
          <w:p w14:paraId="1BD03FC3" w14:textId="77777777" w:rsidR="00EE3F14"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F</w:t>
            </w:r>
          </w:p>
        </w:tc>
        <w:tc>
          <w:tcPr>
            <w:tcW w:w="651" w:type="dxa"/>
          </w:tcPr>
          <w:p w14:paraId="1F2AE858" w14:textId="77777777" w:rsidR="00EE3F14" w:rsidRPr="000901D1"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 xml:space="preserve">Sig </w:t>
            </w:r>
          </w:p>
        </w:tc>
        <w:tc>
          <w:tcPr>
            <w:tcW w:w="899" w:type="dxa"/>
          </w:tcPr>
          <w:p w14:paraId="4C203CE7" w14:textId="77777777" w:rsidR="00EE3F14" w:rsidRPr="000901D1"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Pr>
                <w:rFonts w:ascii="Times New Roman" w:hAnsi="Times New Roman"/>
                <w:sz w:val="16"/>
                <w:szCs w:val="16"/>
              </w:rPr>
              <w:t>Partial Eta Squared</w:t>
            </w:r>
          </w:p>
          <w:p w14:paraId="0BCD47F5" w14:textId="77777777" w:rsidR="00EE3F14" w:rsidRPr="000901D1"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16" w:type="dxa"/>
          </w:tcPr>
          <w:p w14:paraId="5D4E33E8" w14:textId="77777777" w:rsidR="00EE3F14" w:rsidRPr="000901D1"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Noncent Parameter</w:t>
            </w:r>
          </w:p>
        </w:tc>
        <w:tc>
          <w:tcPr>
            <w:tcW w:w="1276" w:type="dxa"/>
          </w:tcPr>
          <w:p w14:paraId="1C2A2413" w14:textId="77777777" w:rsidR="00EE3F14" w:rsidRPr="000901D1"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p>
          <w:p w14:paraId="17B6A9BF" w14:textId="77777777" w:rsidR="00EE3F14" w:rsidRPr="000901D1"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Pr>
                <w:rFonts w:ascii="Times New Roman" w:hAnsi="Times New Roman"/>
                <w:b w:val="0"/>
                <w:bCs w:val="0"/>
                <w:sz w:val="16"/>
                <w:szCs w:val="16"/>
              </w:rPr>
              <w:t>Observed Power</w:t>
            </w:r>
          </w:p>
        </w:tc>
      </w:tr>
      <w:tr w:rsidR="00EE3F14" w:rsidRPr="000901D1" w14:paraId="0F908F0F" w14:textId="77777777" w:rsidTr="00E15374">
        <w:trPr>
          <w:trHeight w:val="290"/>
        </w:trPr>
        <w:tc>
          <w:tcPr>
            <w:cnfStyle w:val="001000000000" w:firstRow="0" w:lastRow="0" w:firstColumn="1" w:lastColumn="0" w:oddVBand="0" w:evenVBand="0" w:oddHBand="0" w:evenHBand="0" w:firstRowFirstColumn="0" w:firstRowLastColumn="0" w:lastRowFirstColumn="0" w:lastRowLastColumn="0"/>
            <w:tcW w:w="1413" w:type="dxa"/>
          </w:tcPr>
          <w:p w14:paraId="2E60CA5E" w14:textId="4D1CEF70" w:rsidR="00EE3F14" w:rsidRPr="000901D1" w:rsidRDefault="00EE3F14" w:rsidP="00E15374">
            <w:pPr>
              <w:pStyle w:val="MDPI31text"/>
              <w:spacing w:line="240" w:lineRule="auto"/>
              <w:ind w:left="0" w:firstLine="0"/>
              <w:rPr>
                <w:rFonts w:ascii="Times New Roman" w:hAnsi="Times New Roman"/>
                <w:sz w:val="16"/>
                <w:szCs w:val="16"/>
              </w:rPr>
            </w:pPr>
            <w:r>
              <w:rPr>
                <w:rFonts w:ascii="Times New Roman" w:hAnsi="Times New Roman"/>
                <w:sz w:val="16"/>
                <w:szCs w:val="16"/>
              </w:rPr>
              <w:t>Intercept</w:t>
            </w:r>
          </w:p>
        </w:tc>
        <w:tc>
          <w:tcPr>
            <w:tcW w:w="1209" w:type="dxa"/>
          </w:tcPr>
          <w:p w14:paraId="081D6E04" w14:textId="1CAE798F"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47858867577</w:t>
            </w:r>
          </w:p>
        </w:tc>
        <w:tc>
          <w:tcPr>
            <w:tcW w:w="536" w:type="dxa"/>
          </w:tcPr>
          <w:p w14:paraId="6C12561C" w14:textId="77777777"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w:t>
            </w:r>
          </w:p>
        </w:tc>
        <w:tc>
          <w:tcPr>
            <w:tcW w:w="1174" w:type="dxa"/>
          </w:tcPr>
          <w:p w14:paraId="167E5507" w14:textId="19ABB558"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47858867577</w:t>
            </w:r>
          </w:p>
        </w:tc>
        <w:tc>
          <w:tcPr>
            <w:tcW w:w="856" w:type="dxa"/>
          </w:tcPr>
          <w:p w14:paraId="0790B3E8" w14:textId="6DE30270"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90.852</w:t>
            </w:r>
          </w:p>
        </w:tc>
        <w:tc>
          <w:tcPr>
            <w:tcW w:w="651" w:type="dxa"/>
          </w:tcPr>
          <w:p w14:paraId="55526DE6" w14:textId="6C6B45CE"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&lt;.001</w:t>
            </w:r>
          </w:p>
        </w:tc>
        <w:tc>
          <w:tcPr>
            <w:tcW w:w="899" w:type="dxa"/>
          </w:tcPr>
          <w:p w14:paraId="564EE73F" w14:textId="5276784D"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w:t>
            </w:r>
            <w:r>
              <w:rPr>
                <w:rFonts w:ascii="Times New Roman" w:hAnsi="Times New Roman"/>
                <w:sz w:val="16"/>
                <w:szCs w:val="16"/>
              </w:rPr>
              <w:t>53</w:t>
            </w:r>
          </w:p>
        </w:tc>
        <w:tc>
          <w:tcPr>
            <w:tcW w:w="916" w:type="dxa"/>
          </w:tcPr>
          <w:p w14:paraId="2C0A3BCC" w14:textId="6E4EAF7E"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90.852</w:t>
            </w:r>
          </w:p>
        </w:tc>
        <w:tc>
          <w:tcPr>
            <w:tcW w:w="1276" w:type="dxa"/>
          </w:tcPr>
          <w:p w14:paraId="1FA4C7C5" w14:textId="5032C22E"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1.000</w:t>
            </w:r>
          </w:p>
        </w:tc>
      </w:tr>
      <w:tr w:rsidR="00EE3F14" w:rsidRPr="000901D1" w14:paraId="75CA7B93" w14:textId="77777777" w:rsidTr="00E15374">
        <w:trPr>
          <w:trHeight w:val="297"/>
        </w:trPr>
        <w:tc>
          <w:tcPr>
            <w:cnfStyle w:val="001000000000" w:firstRow="0" w:lastRow="0" w:firstColumn="1" w:lastColumn="0" w:oddVBand="0" w:evenVBand="0" w:oddHBand="0" w:evenHBand="0" w:firstRowFirstColumn="0" w:firstRowLastColumn="0" w:lastRowFirstColumn="0" w:lastRowLastColumn="0"/>
            <w:tcW w:w="1413" w:type="dxa"/>
          </w:tcPr>
          <w:p w14:paraId="37CCF8A8" w14:textId="791817DC" w:rsidR="00EE3F14" w:rsidRPr="000901D1" w:rsidRDefault="00EE3F14" w:rsidP="00E15374">
            <w:pPr>
              <w:pStyle w:val="MDPI31text"/>
              <w:spacing w:line="240" w:lineRule="auto"/>
              <w:ind w:left="0" w:firstLine="0"/>
              <w:rPr>
                <w:rFonts w:ascii="Times New Roman" w:hAnsi="Times New Roman"/>
                <w:sz w:val="16"/>
                <w:szCs w:val="16"/>
              </w:rPr>
            </w:pPr>
            <w:r>
              <w:rPr>
                <w:rFonts w:ascii="Times New Roman" w:hAnsi="Times New Roman"/>
                <w:sz w:val="16"/>
                <w:szCs w:val="16"/>
              </w:rPr>
              <w:t>City</w:t>
            </w:r>
          </w:p>
        </w:tc>
        <w:tc>
          <w:tcPr>
            <w:tcW w:w="1209" w:type="dxa"/>
          </w:tcPr>
          <w:p w14:paraId="490B759F" w14:textId="3450ACFC"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25508965.986</w:t>
            </w:r>
          </w:p>
        </w:tc>
        <w:tc>
          <w:tcPr>
            <w:tcW w:w="536" w:type="dxa"/>
          </w:tcPr>
          <w:p w14:paraId="57AC33EB" w14:textId="77777777"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w:t>
            </w:r>
          </w:p>
        </w:tc>
        <w:tc>
          <w:tcPr>
            <w:tcW w:w="1174" w:type="dxa"/>
          </w:tcPr>
          <w:p w14:paraId="0450B270" w14:textId="3B10B996"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255.8965.986</w:t>
            </w:r>
          </w:p>
        </w:tc>
        <w:tc>
          <w:tcPr>
            <w:tcW w:w="856" w:type="dxa"/>
          </w:tcPr>
          <w:p w14:paraId="26DA3407" w14:textId="1FC704F2"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.048</w:t>
            </w:r>
          </w:p>
        </w:tc>
        <w:tc>
          <w:tcPr>
            <w:tcW w:w="651" w:type="dxa"/>
          </w:tcPr>
          <w:p w14:paraId="1C0AB302" w14:textId="7FF3D1A8"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.826</w:t>
            </w:r>
          </w:p>
        </w:tc>
        <w:tc>
          <w:tcPr>
            <w:tcW w:w="899" w:type="dxa"/>
          </w:tcPr>
          <w:p w14:paraId="61820B9F" w14:textId="535E1DCE"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.00</w:t>
            </w:r>
            <w:r>
              <w:rPr>
                <w:rFonts w:ascii="Times New Roman" w:hAnsi="Times New Roman"/>
                <w:sz w:val="16"/>
                <w:szCs w:val="16"/>
              </w:rPr>
              <w:t>0</w:t>
            </w:r>
          </w:p>
        </w:tc>
        <w:tc>
          <w:tcPr>
            <w:tcW w:w="916" w:type="dxa"/>
          </w:tcPr>
          <w:p w14:paraId="5504BFEE" w14:textId="1A613E54"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.048</w:t>
            </w:r>
          </w:p>
        </w:tc>
        <w:tc>
          <w:tcPr>
            <w:tcW w:w="1276" w:type="dxa"/>
          </w:tcPr>
          <w:p w14:paraId="32440041" w14:textId="3A7AFEF6"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Pr>
                <w:rFonts w:ascii="Times New Roman" w:hAnsi="Times New Roman"/>
                <w:sz w:val="16"/>
                <w:szCs w:val="16"/>
              </w:rPr>
              <w:t>056</w:t>
            </w:r>
          </w:p>
        </w:tc>
      </w:tr>
      <w:tr w:rsidR="00EE3F14" w:rsidRPr="000901D1" w14:paraId="5A5147B6" w14:textId="77777777" w:rsidTr="00E15374">
        <w:trPr>
          <w:trHeight w:val="297"/>
        </w:trPr>
        <w:tc>
          <w:tcPr>
            <w:cnfStyle w:val="001000000000" w:firstRow="0" w:lastRow="0" w:firstColumn="1" w:lastColumn="0" w:oddVBand="0" w:evenVBand="0" w:oddHBand="0" w:evenHBand="0" w:firstRowFirstColumn="0" w:firstRowLastColumn="0" w:lastRowFirstColumn="0" w:lastRowLastColumn="0"/>
            <w:tcW w:w="1413" w:type="dxa"/>
          </w:tcPr>
          <w:p w14:paraId="73F3BEEB" w14:textId="5A96D714" w:rsidR="00EE3F14" w:rsidRPr="000901D1" w:rsidRDefault="00EE3F14" w:rsidP="00E15374">
            <w:pPr>
              <w:pStyle w:val="MDPI31text"/>
              <w:spacing w:line="240" w:lineRule="auto"/>
              <w:ind w:left="0" w:firstLine="0"/>
              <w:rPr>
                <w:rFonts w:ascii="Times New Roman" w:hAnsi="Times New Roman"/>
                <w:sz w:val="16"/>
                <w:szCs w:val="16"/>
              </w:rPr>
            </w:pPr>
            <w:r>
              <w:rPr>
                <w:rFonts w:ascii="Times New Roman" w:hAnsi="Times New Roman"/>
                <w:sz w:val="16"/>
                <w:szCs w:val="16"/>
              </w:rPr>
              <w:t>Strain</w:t>
            </w:r>
          </w:p>
        </w:tc>
        <w:tc>
          <w:tcPr>
            <w:tcW w:w="1209" w:type="dxa"/>
          </w:tcPr>
          <w:p w14:paraId="63320540" w14:textId="25058D96"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13089948657</w:t>
            </w:r>
          </w:p>
        </w:tc>
        <w:tc>
          <w:tcPr>
            <w:tcW w:w="536" w:type="dxa"/>
          </w:tcPr>
          <w:p w14:paraId="11005ECA" w14:textId="77777777"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w:t>
            </w:r>
          </w:p>
        </w:tc>
        <w:tc>
          <w:tcPr>
            <w:tcW w:w="1174" w:type="dxa"/>
          </w:tcPr>
          <w:p w14:paraId="56412C7F" w14:textId="488B8DE3"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4363316219.2</w:t>
            </w:r>
          </w:p>
        </w:tc>
        <w:tc>
          <w:tcPr>
            <w:tcW w:w="856" w:type="dxa"/>
          </w:tcPr>
          <w:p w14:paraId="1D54D80F" w14:textId="476F8B25"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8.283</w:t>
            </w:r>
          </w:p>
        </w:tc>
        <w:tc>
          <w:tcPr>
            <w:tcW w:w="651" w:type="dxa"/>
          </w:tcPr>
          <w:p w14:paraId="5AF17BB5" w14:textId="7019C9DF"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&lt;.001</w:t>
            </w:r>
          </w:p>
        </w:tc>
        <w:tc>
          <w:tcPr>
            <w:tcW w:w="899" w:type="dxa"/>
          </w:tcPr>
          <w:p w14:paraId="7D23BACC" w14:textId="3216A7FB"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w:t>
            </w:r>
            <w:r>
              <w:rPr>
                <w:rFonts w:ascii="Times New Roman" w:hAnsi="Times New Roman"/>
                <w:sz w:val="16"/>
                <w:szCs w:val="16"/>
              </w:rPr>
              <w:t>15</w:t>
            </w:r>
          </w:p>
        </w:tc>
        <w:tc>
          <w:tcPr>
            <w:tcW w:w="916" w:type="dxa"/>
          </w:tcPr>
          <w:p w14:paraId="5EC22176" w14:textId="049BF38B"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24.849</w:t>
            </w:r>
          </w:p>
        </w:tc>
        <w:tc>
          <w:tcPr>
            <w:tcW w:w="1276" w:type="dxa"/>
          </w:tcPr>
          <w:p w14:paraId="588AA7B9" w14:textId="16ED2ECD"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Pr>
                <w:rFonts w:ascii="Times New Roman" w:hAnsi="Times New Roman"/>
                <w:sz w:val="16"/>
                <w:szCs w:val="16"/>
              </w:rPr>
              <w:t>993</w:t>
            </w:r>
          </w:p>
        </w:tc>
      </w:tr>
      <w:tr w:rsidR="00EE3F14" w:rsidRPr="000901D1" w14:paraId="5FD47511" w14:textId="77777777" w:rsidTr="00E15374">
        <w:trPr>
          <w:trHeight w:val="297"/>
        </w:trPr>
        <w:tc>
          <w:tcPr>
            <w:cnfStyle w:val="001000000000" w:firstRow="0" w:lastRow="0" w:firstColumn="1" w:lastColumn="0" w:oddVBand="0" w:evenVBand="0" w:oddHBand="0" w:evenHBand="0" w:firstRowFirstColumn="0" w:firstRowLastColumn="0" w:lastRowFirstColumn="0" w:lastRowLastColumn="0"/>
            <w:tcW w:w="1413" w:type="dxa"/>
          </w:tcPr>
          <w:p w14:paraId="7B38F358" w14:textId="61901A52" w:rsidR="00EE3F14" w:rsidRPr="000901D1" w:rsidRDefault="00EE3F14" w:rsidP="00E15374">
            <w:pPr>
              <w:pStyle w:val="MDPI31text"/>
              <w:spacing w:line="240" w:lineRule="auto"/>
              <w:ind w:left="0" w:firstLine="0"/>
              <w:rPr>
                <w:rFonts w:ascii="Times New Roman" w:hAnsi="Times New Roman"/>
                <w:sz w:val="16"/>
                <w:szCs w:val="16"/>
              </w:rPr>
            </w:pPr>
            <w:r>
              <w:rPr>
                <w:rFonts w:ascii="Times New Roman" w:hAnsi="Times New Roman"/>
                <w:sz w:val="16"/>
                <w:szCs w:val="16"/>
              </w:rPr>
              <w:t>City*Strain</w:t>
            </w:r>
          </w:p>
        </w:tc>
        <w:tc>
          <w:tcPr>
            <w:tcW w:w="1209" w:type="dxa"/>
          </w:tcPr>
          <w:p w14:paraId="6F953C23" w14:textId="1F99CF8C"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469846627.41</w:t>
            </w:r>
          </w:p>
        </w:tc>
        <w:tc>
          <w:tcPr>
            <w:tcW w:w="536" w:type="dxa"/>
          </w:tcPr>
          <w:p w14:paraId="4B3110D6" w14:textId="77777777"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w:t>
            </w:r>
          </w:p>
        </w:tc>
        <w:tc>
          <w:tcPr>
            <w:tcW w:w="1174" w:type="dxa"/>
          </w:tcPr>
          <w:p w14:paraId="345FC0FA" w14:textId="205AC9FC"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156615542.47</w:t>
            </w:r>
          </w:p>
        </w:tc>
        <w:tc>
          <w:tcPr>
            <w:tcW w:w="856" w:type="dxa"/>
          </w:tcPr>
          <w:p w14:paraId="587B0B7D" w14:textId="2D92BEB7"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.297</w:t>
            </w:r>
          </w:p>
        </w:tc>
        <w:tc>
          <w:tcPr>
            <w:tcW w:w="651" w:type="dxa"/>
          </w:tcPr>
          <w:p w14:paraId="03749DFE" w14:textId="4BE03BF8"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Pr>
                <w:rFonts w:ascii="Times New Roman" w:hAnsi="Times New Roman"/>
                <w:sz w:val="16"/>
                <w:szCs w:val="16"/>
              </w:rPr>
              <w:t>827</w:t>
            </w:r>
          </w:p>
        </w:tc>
        <w:tc>
          <w:tcPr>
            <w:tcW w:w="899" w:type="dxa"/>
          </w:tcPr>
          <w:p w14:paraId="2BDDDC1C" w14:textId="1E7A84DD"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.00</w:t>
            </w:r>
            <w:r>
              <w:rPr>
                <w:rFonts w:ascii="Times New Roman" w:hAnsi="Times New Roman"/>
                <w:sz w:val="16"/>
                <w:szCs w:val="16"/>
              </w:rPr>
              <w:t>1</w:t>
            </w:r>
          </w:p>
        </w:tc>
        <w:tc>
          <w:tcPr>
            <w:tcW w:w="916" w:type="dxa"/>
          </w:tcPr>
          <w:p w14:paraId="7951F8E8" w14:textId="3C10D1D4"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.892</w:t>
            </w:r>
          </w:p>
        </w:tc>
        <w:tc>
          <w:tcPr>
            <w:tcW w:w="1276" w:type="dxa"/>
          </w:tcPr>
          <w:p w14:paraId="58C6DB35" w14:textId="5214B6B5"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Pr>
                <w:rFonts w:ascii="Times New Roman" w:hAnsi="Times New Roman"/>
                <w:sz w:val="16"/>
                <w:szCs w:val="16"/>
              </w:rPr>
              <w:t>108</w:t>
            </w:r>
          </w:p>
        </w:tc>
      </w:tr>
      <w:tr w:rsidR="00EE3F14" w:rsidRPr="000901D1" w14:paraId="3ADB60D6" w14:textId="77777777" w:rsidTr="00E15374">
        <w:trPr>
          <w:trHeight w:val="297"/>
        </w:trPr>
        <w:tc>
          <w:tcPr>
            <w:cnfStyle w:val="001000000000" w:firstRow="0" w:lastRow="0" w:firstColumn="1" w:lastColumn="0" w:oddVBand="0" w:evenVBand="0" w:oddHBand="0" w:evenHBand="0" w:firstRowFirstColumn="0" w:firstRowLastColumn="0" w:lastRowFirstColumn="0" w:lastRowLastColumn="0"/>
            <w:tcW w:w="1413" w:type="dxa"/>
          </w:tcPr>
          <w:p w14:paraId="749BEDD5" w14:textId="66E03513" w:rsidR="00EE3F14" w:rsidRPr="000901D1" w:rsidRDefault="00EE3F14" w:rsidP="00E15374">
            <w:pPr>
              <w:pStyle w:val="MDPI31text"/>
              <w:spacing w:line="240" w:lineRule="auto"/>
              <w:ind w:left="0" w:firstLine="0"/>
              <w:rPr>
                <w:rFonts w:ascii="Times New Roman" w:hAnsi="Times New Roman"/>
                <w:sz w:val="16"/>
                <w:szCs w:val="16"/>
              </w:rPr>
            </w:pPr>
            <w:r>
              <w:rPr>
                <w:rFonts w:ascii="Times New Roman" w:hAnsi="Times New Roman"/>
                <w:sz w:val="16"/>
                <w:szCs w:val="16"/>
              </w:rPr>
              <w:t>Error</w:t>
            </w:r>
          </w:p>
        </w:tc>
        <w:tc>
          <w:tcPr>
            <w:tcW w:w="1209" w:type="dxa"/>
          </w:tcPr>
          <w:p w14:paraId="20CE8724" w14:textId="262A25EA"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8.47</w:t>
            </w:r>
            <w:r>
              <w:rPr>
                <w:rFonts w:ascii="Times New Roman" w:hAnsi="Times New Roman"/>
                <w:sz w:val="16"/>
                <w:szCs w:val="16"/>
              </w:rPr>
              <w:t>E+11</w:t>
            </w:r>
          </w:p>
        </w:tc>
        <w:tc>
          <w:tcPr>
            <w:tcW w:w="536" w:type="dxa"/>
          </w:tcPr>
          <w:p w14:paraId="2E234101" w14:textId="77777777"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1609</w:t>
            </w:r>
          </w:p>
        </w:tc>
        <w:tc>
          <w:tcPr>
            <w:tcW w:w="1174" w:type="dxa"/>
          </w:tcPr>
          <w:p w14:paraId="19817D6F" w14:textId="0464D26B"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526776563.57</w:t>
            </w:r>
          </w:p>
        </w:tc>
        <w:tc>
          <w:tcPr>
            <w:tcW w:w="856" w:type="dxa"/>
          </w:tcPr>
          <w:p w14:paraId="17B5DC66" w14:textId="77777777"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651" w:type="dxa"/>
          </w:tcPr>
          <w:p w14:paraId="36D4FD10" w14:textId="77777777"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899" w:type="dxa"/>
          </w:tcPr>
          <w:p w14:paraId="23FD17A5" w14:textId="77777777"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16" w:type="dxa"/>
          </w:tcPr>
          <w:p w14:paraId="3F80DDB2" w14:textId="77777777"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276" w:type="dxa"/>
          </w:tcPr>
          <w:p w14:paraId="4DC5DDD0" w14:textId="77777777" w:rsidR="00EE3F14"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bl>
    <w:p w14:paraId="0D1EB747" w14:textId="77777777" w:rsidR="003A3C9C" w:rsidRPr="00A16086" w:rsidRDefault="003A3C9C" w:rsidP="003A3C9C">
      <w:pPr>
        <w:pStyle w:val="MDPI31text"/>
        <w:spacing w:line="240" w:lineRule="auto"/>
        <w:ind w:left="0" w:firstLine="0"/>
        <w:rPr>
          <w:sz w:val="24"/>
          <w:szCs w:val="24"/>
        </w:rPr>
      </w:pPr>
    </w:p>
    <w:p w14:paraId="747EB75C" w14:textId="77777777" w:rsidR="004E28B5" w:rsidRPr="00A16086" w:rsidRDefault="004E28B5" w:rsidP="0010011E">
      <w:pPr>
        <w:pStyle w:val="MDPI31text"/>
        <w:spacing w:line="240" w:lineRule="auto"/>
        <w:ind w:left="0" w:firstLine="0"/>
        <w:rPr>
          <w:sz w:val="24"/>
          <w:szCs w:val="24"/>
        </w:rPr>
      </w:pPr>
    </w:p>
    <w:p w14:paraId="7E1960A5" w14:textId="7D8B92CC" w:rsidR="00B525D1" w:rsidRPr="00A16086" w:rsidRDefault="00B525D1" w:rsidP="0010011E">
      <w:pPr>
        <w:pStyle w:val="MDPI31text"/>
        <w:spacing w:line="240" w:lineRule="auto"/>
        <w:ind w:left="0" w:firstLine="0"/>
        <w:rPr>
          <w:sz w:val="24"/>
          <w:szCs w:val="24"/>
        </w:rPr>
      </w:pPr>
      <w:r w:rsidRPr="00A16086">
        <w:rPr>
          <w:i/>
          <w:iCs/>
          <w:sz w:val="24"/>
          <w:szCs w:val="24"/>
        </w:rPr>
        <w:t xml:space="preserve">Within-Subjects Effects and Contrasts (Table 2) </w:t>
      </w:r>
    </w:p>
    <w:p w14:paraId="6340DD66" w14:textId="77777777" w:rsidR="00B525D1" w:rsidRPr="00A16086" w:rsidRDefault="00B525D1" w:rsidP="0010011E">
      <w:pPr>
        <w:pStyle w:val="MDPI31text"/>
        <w:spacing w:line="240" w:lineRule="auto"/>
        <w:ind w:left="0" w:firstLine="0"/>
        <w:rPr>
          <w:sz w:val="24"/>
          <w:szCs w:val="24"/>
        </w:rPr>
      </w:pPr>
    </w:p>
    <w:p w14:paraId="2E9D9307" w14:textId="29C10626" w:rsidR="00B525D1" w:rsidRPr="00A16086" w:rsidRDefault="00B525D1" w:rsidP="0010011E">
      <w:pPr>
        <w:pStyle w:val="MDPI31text"/>
        <w:spacing w:line="240" w:lineRule="auto"/>
        <w:ind w:left="0" w:firstLine="0"/>
        <w:rPr>
          <w:sz w:val="24"/>
          <w:szCs w:val="24"/>
        </w:rPr>
      </w:pPr>
      <w:r w:rsidRPr="00A16086">
        <w:rPr>
          <w:sz w:val="24"/>
          <w:szCs w:val="24"/>
        </w:rPr>
        <w:t xml:space="preserve">The analysis of changes in park visits from the baseline to the COVID period revealed </w:t>
      </w:r>
      <w:proofErr w:type="gramStart"/>
      <w:r w:rsidRPr="00A16086">
        <w:rPr>
          <w:sz w:val="24"/>
          <w:szCs w:val="24"/>
        </w:rPr>
        <w:t>no overall</w:t>
      </w:r>
      <w:proofErr w:type="gramEnd"/>
      <w:r w:rsidRPr="00A16086">
        <w:rPr>
          <w:sz w:val="24"/>
          <w:szCs w:val="24"/>
        </w:rPr>
        <w:t xml:space="preserve"> significant change (p = .320, suggesting that the transition from pre-pandemic to during the pandemic did not result in a statistically significant change in the number of park visits. However, when exploring the interaction effects, significant results </w:t>
      </w:r>
      <w:proofErr w:type="gramStart"/>
      <w:r w:rsidRPr="00A16086">
        <w:rPr>
          <w:sz w:val="24"/>
          <w:szCs w:val="24"/>
        </w:rPr>
        <w:t>emerged</w:t>
      </w:r>
      <w:proofErr w:type="gramEnd"/>
      <w:r w:rsidRPr="00A16086">
        <w:rPr>
          <w:sz w:val="24"/>
          <w:szCs w:val="24"/>
        </w:rPr>
        <w:t xml:space="preserve">. The interaction of visits and city showed a significant effect (p &lt; .001), indicating that the change in the number of park visits from baseline to the COVID-19 period varied significantly between Atlanta and Miami. Similarly, the interaction of visits and strain (F (3, 1609) = 2.885, p = .035, Partial Eta Squared = .005) and the three-way interaction between visits, city, and strain (p = .035) were also significant. These results suggest that the number of park visits </w:t>
      </w:r>
      <w:proofErr w:type="gramStart"/>
      <w:r w:rsidRPr="00A16086">
        <w:rPr>
          <w:sz w:val="24"/>
          <w:szCs w:val="24"/>
        </w:rPr>
        <w:t>during</w:t>
      </w:r>
      <w:proofErr w:type="gramEnd"/>
      <w:r w:rsidRPr="00A16086">
        <w:rPr>
          <w:sz w:val="24"/>
          <w:szCs w:val="24"/>
        </w:rPr>
        <w:t xml:space="preserve"> different COVID-19 strains varied in a manner that was dependent on the city. The significant three-way interaction further implies that the influence of COVID-19 strains on park visitation patterns was differentially manifested in Atlanta and Miami. </w:t>
      </w:r>
    </w:p>
    <w:p w14:paraId="6E1E3B66" w14:textId="079DD2DF" w:rsidR="00B525D1" w:rsidRPr="00A16086" w:rsidRDefault="00B525D1" w:rsidP="0010011E">
      <w:pPr>
        <w:pStyle w:val="MDPI31text"/>
        <w:spacing w:line="240" w:lineRule="auto"/>
        <w:rPr>
          <w:sz w:val="24"/>
          <w:szCs w:val="24"/>
        </w:rPr>
      </w:pPr>
    </w:p>
    <w:p w14:paraId="43F84A42" w14:textId="77777777" w:rsidR="005F354D" w:rsidRDefault="005F354D" w:rsidP="0010011E">
      <w:pPr>
        <w:pStyle w:val="MDPI31text"/>
        <w:spacing w:line="240" w:lineRule="auto"/>
        <w:rPr>
          <w:sz w:val="24"/>
          <w:szCs w:val="24"/>
        </w:rPr>
      </w:pPr>
    </w:p>
    <w:p w14:paraId="7514CBD3" w14:textId="77777777" w:rsidR="00EE3F14" w:rsidRDefault="00EE3F14" w:rsidP="0010011E">
      <w:pPr>
        <w:pStyle w:val="MDPI31text"/>
        <w:spacing w:line="240" w:lineRule="auto"/>
        <w:rPr>
          <w:sz w:val="24"/>
          <w:szCs w:val="24"/>
        </w:rPr>
      </w:pPr>
    </w:p>
    <w:p w14:paraId="1ACE6A59" w14:textId="77777777" w:rsidR="000F54CF" w:rsidRDefault="000F54CF" w:rsidP="0010011E">
      <w:pPr>
        <w:pStyle w:val="MDPI31text"/>
        <w:spacing w:line="240" w:lineRule="auto"/>
        <w:rPr>
          <w:sz w:val="24"/>
          <w:szCs w:val="24"/>
        </w:rPr>
      </w:pPr>
    </w:p>
    <w:p w14:paraId="5B6386AA" w14:textId="77777777" w:rsidR="000F54CF" w:rsidRDefault="000F54CF" w:rsidP="0010011E">
      <w:pPr>
        <w:pStyle w:val="MDPI31text"/>
        <w:spacing w:line="240" w:lineRule="auto"/>
        <w:rPr>
          <w:sz w:val="24"/>
          <w:szCs w:val="24"/>
        </w:rPr>
      </w:pPr>
    </w:p>
    <w:p w14:paraId="61F1E886" w14:textId="77777777" w:rsidR="000F54CF" w:rsidRDefault="000F54CF" w:rsidP="0010011E">
      <w:pPr>
        <w:pStyle w:val="MDPI31text"/>
        <w:spacing w:line="240" w:lineRule="auto"/>
        <w:rPr>
          <w:sz w:val="24"/>
          <w:szCs w:val="24"/>
        </w:rPr>
      </w:pPr>
    </w:p>
    <w:p w14:paraId="533DB7F8" w14:textId="77777777" w:rsidR="00EE3F14" w:rsidRDefault="00EE3F14" w:rsidP="0010011E">
      <w:pPr>
        <w:pStyle w:val="MDPI31text"/>
        <w:spacing w:line="240" w:lineRule="auto"/>
        <w:rPr>
          <w:sz w:val="24"/>
          <w:szCs w:val="24"/>
        </w:rPr>
      </w:pPr>
    </w:p>
    <w:p w14:paraId="6170D98D" w14:textId="77777777" w:rsidR="00EE3F14" w:rsidRPr="00A16086" w:rsidRDefault="00EE3F14" w:rsidP="0010011E">
      <w:pPr>
        <w:pStyle w:val="MDPI31text"/>
        <w:spacing w:line="240" w:lineRule="auto"/>
        <w:rPr>
          <w:sz w:val="24"/>
          <w:szCs w:val="24"/>
        </w:rPr>
      </w:pPr>
    </w:p>
    <w:p w14:paraId="0EAFE4A3" w14:textId="652ED821" w:rsidR="004E28B5" w:rsidRPr="00A16086" w:rsidRDefault="00B525D1" w:rsidP="0010011E">
      <w:pPr>
        <w:pStyle w:val="MDPI31text"/>
        <w:spacing w:line="240" w:lineRule="auto"/>
        <w:ind w:left="0" w:firstLine="0"/>
        <w:rPr>
          <w:sz w:val="24"/>
          <w:szCs w:val="24"/>
        </w:rPr>
      </w:pPr>
      <w:r w:rsidRPr="00A16086">
        <w:rPr>
          <w:i/>
          <w:iCs/>
          <w:sz w:val="24"/>
          <w:szCs w:val="24"/>
        </w:rPr>
        <w:t>Table 2: Tests of within-</w:t>
      </w:r>
      <w:proofErr w:type="gramStart"/>
      <w:r w:rsidRPr="00A16086">
        <w:rPr>
          <w:i/>
          <w:iCs/>
          <w:sz w:val="24"/>
          <w:szCs w:val="24"/>
        </w:rPr>
        <w:t>subjects</w:t>
      </w:r>
      <w:proofErr w:type="gramEnd"/>
      <w:r w:rsidRPr="00A16086">
        <w:rPr>
          <w:i/>
          <w:iCs/>
          <w:sz w:val="24"/>
          <w:szCs w:val="24"/>
        </w:rPr>
        <w:t xml:space="preserve"> </w:t>
      </w:r>
      <w:proofErr w:type="gramStart"/>
      <w:r w:rsidRPr="00A16086">
        <w:rPr>
          <w:i/>
          <w:iCs/>
          <w:sz w:val="24"/>
          <w:szCs w:val="24"/>
        </w:rPr>
        <w:t>contrasts</w:t>
      </w:r>
      <w:proofErr w:type="gramEnd"/>
      <w:r w:rsidRPr="00A16086">
        <w:rPr>
          <w:i/>
          <w:iCs/>
          <w:sz w:val="24"/>
          <w:szCs w:val="24"/>
        </w:rPr>
        <w:t>.</w:t>
      </w:r>
    </w:p>
    <w:p w14:paraId="589BD337" w14:textId="77777777" w:rsidR="004E28B5" w:rsidRPr="00A16086" w:rsidRDefault="004E28B5" w:rsidP="0010011E">
      <w:pPr>
        <w:pStyle w:val="MDPI31text"/>
        <w:spacing w:line="240" w:lineRule="auto"/>
        <w:rPr>
          <w:sz w:val="24"/>
          <w:szCs w:val="24"/>
        </w:rPr>
      </w:pPr>
      <w:bookmarkStart w:id="0" w:name="_Hlk212293322"/>
    </w:p>
    <w:tbl>
      <w:tblPr>
        <w:tblStyle w:val="TableGrid"/>
        <w:tblW w:w="9493" w:type="dxa"/>
        <w:tblLook w:val="04A0" w:firstRow="1" w:lastRow="0" w:firstColumn="1" w:lastColumn="0" w:noHBand="0" w:noVBand="1"/>
      </w:tblPr>
      <w:tblGrid>
        <w:gridCol w:w="9493"/>
      </w:tblGrid>
      <w:tr w:rsidR="00AE5FFC" w14:paraId="34D37059" w14:textId="77777777" w:rsidTr="003A3C9C">
        <w:tc>
          <w:tcPr>
            <w:tcW w:w="9493" w:type="dxa"/>
          </w:tcPr>
          <w:p w14:paraId="5F35FA62" w14:textId="2AFEBB2B" w:rsidR="00AE5FFC" w:rsidRPr="00AE5FFC" w:rsidRDefault="00AE5FFC" w:rsidP="00E15374">
            <w:pPr>
              <w:pStyle w:val="MDPI31text"/>
              <w:spacing w:line="240" w:lineRule="auto"/>
              <w:ind w:left="0" w:firstLine="0"/>
              <w:rPr>
                <w:b/>
                <w:bCs/>
                <w:sz w:val="24"/>
                <w:szCs w:val="24"/>
              </w:rPr>
            </w:pPr>
            <w:r>
              <w:rPr>
                <w:sz w:val="24"/>
                <w:szCs w:val="24"/>
              </w:rPr>
              <w:t xml:space="preserve">                                 </w:t>
            </w:r>
            <w:r w:rsidRPr="00AE5FFC">
              <w:rPr>
                <w:b/>
                <w:bCs/>
                <w:sz w:val="24"/>
                <w:szCs w:val="24"/>
              </w:rPr>
              <w:t>Tests of Within-Subjects Contracts</w:t>
            </w:r>
          </w:p>
        </w:tc>
      </w:tr>
    </w:tbl>
    <w:p w14:paraId="2E89CBA4" w14:textId="77777777" w:rsidR="00AE5FFC" w:rsidRPr="00A16086" w:rsidRDefault="00AE5FFC" w:rsidP="00AE5FFC">
      <w:pPr>
        <w:pStyle w:val="MDPI31text"/>
        <w:spacing w:line="240" w:lineRule="auto"/>
        <w:ind w:left="0" w:firstLine="0"/>
        <w:rPr>
          <w:sz w:val="24"/>
          <w:szCs w:val="24"/>
        </w:rPr>
      </w:pPr>
    </w:p>
    <w:tbl>
      <w:tblPr>
        <w:tblStyle w:val="GridTable1Light"/>
        <w:tblW w:w="0" w:type="auto"/>
        <w:tblLook w:val="04A0" w:firstRow="1" w:lastRow="0" w:firstColumn="1" w:lastColumn="0" w:noHBand="0" w:noVBand="1"/>
      </w:tblPr>
      <w:tblGrid>
        <w:gridCol w:w="1413"/>
        <w:gridCol w:w="563"/>
        <w:gridCol w:w="1209"/>
        <w:gridCol w:w="536"/>
        <w:gridCol w:w="1174"/>
        <w:gridCol w:w="856"/>
        <w:gridCol w:w="651"/>
        <w:gridCol w:w="899"/>
        <w:gridCol w:w="916"/>
        <w:gridCol w:w="1276"/>
      </w:tblGrid>
      <w:tr w:rsidR="003A3C9C" w:rsidRPr="000901D1" w14:paraId="2FA84F51" w14:textId="77777777" w:rsidTr="003A3C9C">
        <w:trPr>
          <w:cnfStyle w:val="100000000000" w:firstRow="1" w:lastRow="0" w:firstColumn="0" w:lastColumn="0" w:oddVBand="0" w:evenVBand="0" w:oddHBand="0"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1413" w:type="dxa"/>
          </w:tcPr>
          <w:p w14:paraId="77562D17" w14:textId="2E50D20C" w:rsidR="003A3C9C" w:rsidRPr="000901D1" w:rsidRDefault="003A3C9C" w:rsidP="004A5977">
            <w:pPr>
              <w:pStyle w:val="MDPI31text"/>
              <w:spacing w:line="240" w:lineRule="auto"/>
              <w:ind w:left="0" w:firstLine="0"/>
              <w:rPr>
                <w:rFonts w:ascii="Times New Roman" w:hAnsi="Times New Roman"/>
                <w:sz w:val="16"/>
                <w:szCs w:val="16"/>
              </w:rPr>
            </w:pPr>
            <w:r>
              <w:rPr>
                <w:rFonts w:ascii="Times New Roman" w:hAnsi="Times New Roman"/>
                <w:sz w:val="16"/>
                <w:szCs w:val="16"/>
              </w:rPr>
              <w:t>Source</w:t>
            </w:r>
          </w:p>
        </w:tc>
        <w:tc>
          <w:tcPr>
            <w:tcW w:w="563" w:type="dxa"/>
          </w:tcPr>
          <w:p w14:paraId="400CB561" w14:textId="68D3B752" w:rsidR="003A3C9C" w:rsidRPr="000901D1" w:rsidRDefault="003A3C9C"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0901D1">
              <w:rPr>
                <w:rFonts w:ascii="Times New Roman" w:hAnsi="Times New Roman"/>
                <w:sz w:val="16"/>
                <w:szCs w:val="16"/>
              </w:rPr>
              <w:t>Visits</w:t>
            </w:r>
          </w:p>
        </w:tc>
        <w:tc>
          <w:tcPr>
            <w:tcW w:w="1209" w:type="dxa"/>
          </w:tcPr>
          <w:p w14:paraId="35683B57" w14:textId="2765DE87" w:rsidR="003A3C9C" w:rsidRDefault="003A3C9C"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Type III Sum of Squares</w:t>
            </w:r>
          </w:p>
        </w:tc>
        <w:tc>
          <w:tcPr>
            <w:tcW w:w="536" w:type="dxa"/>
          </w:tcPr>
          <w:p w14:paraId="429724FA" w14:textId="42EA666D" w:rsidR="003A3C9C" w:rsidRPr="000901D1" w:rsidRDefault="003A3C9C"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Pr>
                <w:rFonts w:ascii="Times New Roman" w:hAnsi="Times New Roman"/>
                <w:sz w:val="16"/>
                <w:szCs w:val="16"/>
              </w:rPr>
              <w:t>df</w:t>
            </w:r>
            <w:proofErr w:type="spellEnd"/>
          </w:p>
        </w:tc>
        <w:tc>
          <w:tcPr>
            <w:tcW w:w="1174" w:type="dxa"/>
          </w:tcPr>
          <w:p w14:paraId="3B726363" w14:textId="263ABD62" w:rsidR="003A3C9C" w:rsidRPr="000901D1" w:rsidRDefault="003A3C9C"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Mean Square</w:t>
            </w:r>
          </w:p>
        </w:tc>
        <w:tc>
          <w:tcPr>
            <w:tcW w:w="856" w:type="dxa"/>
          </w:tcPr>
          <w:p w14:paraId="3DC250FA" w14:textId="1473848A" w:rsidR="003A3C9C" w:rsidRDefault="003A3C9C"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F</w:t>
            </w:r>
          </w:p>
        </w:tc>
        <w:tc>
          <w:tcPr>
            <w:tcW w:w="651" w:type="dxa"/>
          </w:tcPr>
          <w:p w14:paraId="2E5B9B44" w14:textId="4F2E4964" w:rsidR="003A3C9C" w:rsidRPr="000901D1" w:rsidRDefault="003A3C9C"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 xml:space="preserve">Sig </w:t>
            </w:r>
          </w:p>
        </w:tc>
        <w:tc>
          <w:tcPr>
            <w:tcW w:w="899" w:type="dxa"/>
          </w:tcPr>
          <w:p w14:paraId="0B60526D" w14:textId="7356F88B" w:rsidR="003A3C9C" w:rsidRPr="000901D1" w:rsidRDefault="003A3C9C" w:rsidP="003A3C9C">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Pr>
                <w:rFonts w:ascii="Times New Roman" w:hAnsi="Times New Roman"/>
                <w:sz w:val="16"/>
                <w:szCs w:val="16"/>
              </w:rPr>
              <w:t>Partial Eta Squared</w:t>
            </w:r>
          </w:p>
          <w:p w14:paraId="002A2E67" w14:textId="067D378A" w:rsidR="003A3C9C" w:rsidRPr="000901D1" w:rsidRDefault="003A3C9C"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16" w:type="dxa"/>
          </w:tcPr>
          <w:p w14:paraId="3A893A59" w14:textId="412C3F7C" w:rsidR="003A3C9C" w:rsidRPr="000901D1" w:rsidRDefault="003A3C9C"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Noncent Parameter</w:t>
            </w:r>
          </w:p>
        </w:tc>
        <w:tc>
          <w:tcPr>
            <w:tcW w:w="1276" w:type="dxa"/>
          </w:tcPr>
          <w:p w14:paraId="6D42D00D" w14:textId="79C625D4" w:rsidR="003A3C9C" w:rsidRPr="000901D1" w:rsidRDefault="003A3C9C" w:rsidP="003A3C9C">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p>
          <w:p w14:paraId="70D828F6" w14:textId="00CDFC76" w:rsidR="003A3C9C" w:rsidRPr="000901D1" w:rsidRDefault="003A3C9C"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Pr>
                <w:rFonts w:ascii="Times New Roman" w:hAnsi="Times New Roman"/>
                <w:b w:val="0"/>
                <w:bCs w:val="0"/>
                <w:sz w:val="16"/>
                <w:szCs w:val="16"/>
              </w:rPr>
              <w:t>Observed Power</w:t>
            </w:r>
          </w:p>
        </w:tc>
      </w:tr>
      <w:tr w:rsidR="003A3C9C" w:rsidRPr="000901D1" w14:paraId="4CC09523" w14:textId="77777777" w:rsidTr="003A3C9C">
        <w:trPr>
          <w:trHeight w:val="290"/>
        </w:trPr>
        <w:tc>
          <w:tcPr>
            <w:cnfStyle w:val="001000000000" w:firstRow="0" w:lastRow="0" w:firstColumn="1" w:lastColumn="0" w:oddVBand="0" w:evenVBand="0" w:oddHBand="0" w:evenHBand="0" w:firstRowFirstColumn="0" w:firstRowLastColumn="0" w:lastRowFirstColumn="0" w:lastRowLastColumn="0"/>
            <w:tcW w:w="1413" w:type="dxa"/>
          </w:tcPr>
          <w:p w14:paraId="66F7AA45" w14:textId="13761487" w:rsidR="003A3C9C" w:rsidRPr="000901D1" w:rsidRDefault="003A3C9C" w:rsidP="00E15374">
            <w:pPr>
              <w:pStyle w:val="MDPI31text"/>
              <w:spacing w:line="240" w:lineRule="auto"/>
              <w:ind w:left="0" w:firstLine="0"/>
              <w:rPr>
                <w:rFonts w:ascii="Times New Roman" w:hAnsi="Times New Roman"/>
                <w:sz w:val="16"/>
                <w:szCs w:val="16"/>
              </w:rPr>
            </w:pPr>
            <w:r>
              <w:rPr>
                <w:rFonts w:ascii="Times New Roman" w:hAnsi="Times New Roman"/>
                <w:sz w:val="16"/>
                <w:szCs w:val="16"/>
              </w:rPr>
              <w:t>Visits</w:t>
            </w:r>
          </w:p>
        </w:tc>
        <w:tc>
          <w:tcPr>
            <w:tcW w:w="563" w:type="dxa"/>
          </w:tcPr>
          <w:p w14:paraId="464BFCB9" w14:textId="6E0AB16B"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Linear</w:t>
            </w:r>
          </w:p>
        </w:tc>
        <w:tc>
          <w:tcPr>
            <w:tcW w:w="1209" w:type="dxa"/>
          </w:tcPr>
          <w:p w14:paraId="30E4E4E0" w14:textId="198E9EC8"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144165199.82</w:t>
            </w:r>
          </w:p>
        </w:tc>
        <w:tc>
          <w:tcPr>
            <w:tcW w:w="536" w:type="dxa"/>
          </w:tcPr>
          <w:p w14:paraId="6C2B0F02" w14:textId="7AB946FA"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w:t>
            </w:r>
          </w:p>
        </w:tc>
        <w:tc>
          <w:tcPr>
            <w:tcW w:w="1174" w:type="dxa"/>
          </w:tcPr>
          <w:p w14:paraId="4AEBBCB5" w14:textId="3B334714"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144165199.82</w:t>
            </w:r>
          </w:p>
        </w:tc>
        <w:tc>
          <w:tcPr>
            <w:tcW w:w="856" w:type="dxa"/>
          </w:tcPr>
          <w:p w14:paraId="17699F82" w14:textId="3E6D8D53"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.991</w:t>
            </w:r>
          </w:p>
        </w:tc>
        <w:tc>
          <w:tcPr>
            <w:tcW w:w="651" w:type="dxa"/>
          </w:tcPr>
          <w:p w14:paraId="50B344B1" w14:textId="62A963E1"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.320</w:t>
            </w:r>
          </w:p>
        </w:tc>
        <w:tc>
          <w:tcPr>
            <w:tcW w:w="899" w:type="dxa"/>
          </w:tcPr>
          <w:p w14:paraId="085F2B72" w14:textId="4F0CD932"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.001</w:t>
            </w:r>
          </w:p>
        </w:tc>
        <w:tc>
          <w:tcPr>
            <w:tcW w:w="916" w:type="dxa"/>
          </w:tcPr>
          <w:p w14:paraId="622AA4F3" w14:textId="512B9549"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.991</w:t>
            </w:r>
          </w:p>
        </w:tc>
        <w:tc>
          <w:tcPr>
            <w:tcW w:w="1276" w:type="dxa"/>
          </w:tcPr>
          <w:p w14:paraId="46127288" w14:textId="3A743E8D"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.169</w:t>
            </w:r>
          </w:p>
        </w:tc>
      </w:tr>
      <w:tr w:rsidR="003A3C9C" w:rsidRPr="000901D1" w14:paraId="5C81DA83" w14:textId="77777777" w:rsidTr="003A3C9C">
        <w:trPr>
          <w:trHeight w:val="297"/>
        </w:trPr>
        <w:tc>
          <w:tcPr>
            <w:cnfStyle w:val="001000000000" w:firstRow="0" w:lastRow="0" w:firstColumn="1" w:lastColumn="0" w:oddVBand="0" w:evenVBand="0" w:oddHBand="0" w:evenHBand="0" w:firstRowFirstColumn="0" w:firstRowLastColumn="0" w:lastRowFirstColumn="0" w:lastRowLastColumn="0"/>
            <w:tcW w:w="1413" w:type="dxa"/>
          </w:tcPr>
          <w:p w14:paraId="13262F5E" w14:textId="42907D53" w:rsidR="003A3C9C" w:rsidRPr="000901D1" w:rsidRDefault="003A3C9C" w:rsidP="00E15374">
            <w:pPr>
              <w:pStyle w:val="MDPI31text"/>
              <w:spacing w:line="240" w:lineRule="auto"/>
              <w:ind w:left="0" w:firstLine="0"/>
              <w:rPr>
                <w:rFonts w:ascii="Times New Roman" w:hAnsi="Times New Roman"/>
                <w:sz w:val="16"/>
                <w:szCs w:val="16"/>
              </w:rPr>
            </w:pPr>
            <w:r>
              <w:rPr>
                <w:rFonts w:ascii="Times New Roman" w:hAnsi="Times New Roman"/>
                <w:sz w:val="16"/>
                <w:szCs w:val="16"/>
              </w:rPr>
              <w:t>Visits*City</w:t>
            </w:r>
          </w:p>
        </w:tc>
        <w:tc>
          <w:tcPr>
            <w:tcW w:w="563" w:type="dxa"/>
          </w:tcPr>
          <w:p w14:paraId="3AF3DFD9" w14:textId="00D2CA9D"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Linear</w:t>
            </w:r>
          </w:p>
        </w:tc>
        <w:tc>
          <w:tcPr>
            <w:tcW w:w="1209" w:type="dxa"/>
          </w:tcPr>
          <w:p w14:paraId="5791D8AC" w14:textId="406C3895"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1654912158.3</w:t>
            </w:r>
          </w:p>
        </w:tc>
        <w:tc>
          <w:tcPr>
            <w:tcW w:w="536" w:type="dxa"/>
          </w:tcPr>
          <w:p w14:paraId="38DF523D" w14:textId="582D292F"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w:t>
            </w:r>
          </w:p>
        </w:tc>
        <w:tc>
          <w:tcPr>
            <w:tcW w:w="1174" w:type="dxa"/>
          </w:tcPr>
          <w:p w14:paraId="6A62AFCC" w14:textId="1AD2016E"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1654912158.3</w:t>
            </w:r>
          </w:p>
        </w:tc>
        <w:tc>
          <w:tcPr>
            <w:tcW w:w="856" w:type="dxa"/>
          </w:tcPr>
          <w:p w14:paraId="3C1C9F9F" w14:textId="37CB1F29"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11.375</w:t>
            </w:r>
          </w:p>
        </w:tc>
        <w:tc>
          <w:tcPr>
            <w:tcW w:w="651" w:type="dxa"/>
          </w:tcPr>
          <w:p w14:paraId="66FF0371" w14:textId="7AAEEB44"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&lt;.001</w:t>
            </w:r>
          </w:p>
        </w:tc>
        <w:tc>
          <w:tcPr>
            <w:tcW w:w="899" w:type="dxa"/>
          </w:tcPr>
          <w:p w14:paraId="6033FA30" w14:textId="33D4E611"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.007</w:t>
            </w:r>
          </w:p>
        </w:tc>
        <w:tc>
          <w:tcPr>
            <w:tcW w:w="916" w:type="dxa"/>
          </w:tcPr>
          <w:p w14:paraId="36F9C46F" w14:textId="73B6A69E"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11.375</w:t>
            </w:r>
          </w:p>
        </w:tc>
        <w:tc>
          <w:tcPr>
            <w:tcW w:w="1276" w:type="dxa"/>
          </w:tcPr>
          <w:p w14:paraId="4511F21B" w14:textId="6131B716"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.921</w:t>
            </w:r>
          </w:p>
        </w:tc>
      </w:tr>
      <w:tr w:rsidR="003A3C9C" w:rsidRPr="000901D1" w14:paraId="2C96C2E1" w14:textId="77777777" w:rsidTr="003A3C9C">
        <w:trPr>
          <w:trHeight w:val="297"/>
        </w:trPr>
        <w:tc>
          <w:tcPr>
            <w:cnfStyle w:val="001000000000" w:firstRow="0" w:lastRow="0" w:firstColumn="1" w:lastColumn="0" w:oddVBand="0" w:evenVBand="0" w:oddHBand="0" w:evenHBand="0" w:firstRowFirstColumn="0" w:firstRowLastColumn="0" w:lastRowFirstColumn="0" w:lastRowLastColumn="0"/>
            <w:tcW w:w="1413" w:type="dxa"/>
          </w:tcPr>
          <w:p w14:paraId="6D4CBA56" w14:textId="18614F60" w:rsidR="003A3C9C" w:rsidRPr="000901D1" w:rsidRDefault="003A3C9C" w:rsidP="00E15374">
            <w:pPr>
              <w:pStyle w:val="MDPI31text"/>
              <w:spacing w:line="240" w:lineRule="auto"/>
              <w:ind w:left="0" w:firstLine="0"/>
              <w:rPr>
                <w:rFonts w:ascii="Times New Roman" w:hAnsi="Times New Roman"/>
                <w:sz w:val="16"/>
                <w:szCs w:val="16"/>
              </w:rPr>
            </w:pPr>
            <w:r>
              <w:rPr>
                <w:rFonts w:ascii="Times New Roman" w:hAnsi="Times New Roman"/>
                <w:sz w:val="16"/>
                <w:szCs w:val="16"/>
              </w:rPr>
              <w:t>Visits*</w:t>
            </w:r>
            <w:r>
              <w:rPr>
                <w:rFonts w:ascii="Times New Roman" w:hAnsi="Times New Roman"/>
                <w:sz w:val="16"/>
                <w:szCs w:val="16"/>
              </w:rPr>
              <w:t>Strain</w:t>
            </w:r>
          </w:p>
        </w:tc>
        <w:tc>
          <w:tcPr>
            <w:tcW w:w="563" w:type="dxa"/>
          </w:tcPr>
          <w:p w14:paraId="33956722" w14:textId="31B390F9"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Linear</w:t>
            </w:r>
          </w:p>
        </w:tc>
        <w:tc>
          <w:tcPr>
            <w:tcW w:w="1209" w:type="dxa"/>
          </w:tcPr>
          <w:p w14:paraId="4D235410" w14:textId="437B22D6"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1259.61700.3</w:t>
            </w:r>
          </w:p>
        </w:tc>
        <w:tc>
          <w:tcPr>
            <w:tcW w:w="536" w:type="dxa"/>
          </w:tcPr>
          <w:p w14:paraId="05A260CB" w14:textId="11322E35"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w:t>
            </w:r>
          </w:p>
        </w:tc>
        <w:tc>
          <w:tcPr>
            <w:tcW w:w="1174" w:type="dxa"/>
          </w:tcPr>
          <w:p w14:paraId="4167EC44" w14:textId="0BE9070B"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419687233.44</w:t>
            </w:r>
          </w:p>
        </w:tc>
        <w:tc>
          <w:tcPr>
            <w:tcW w:w="856" w:type="dxa"/>
          </w:tcPr>
          <w:p w14:paraId="5C31CA70" w14:textId="3AF63F37"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2.885</w:t>
            </w:r>
          </w:p>
        </w:tc>
        <w:tc>
          <w:tcPr>
            <w:tcW w:w="651" w:type="dxa"/>
          </w:tcPr>
          <w:p w14:paraId="4ADFC019" w14:textId="5483522F"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.035</w:t>
            </w:r>
          </w:p>
        </w:tc>
        <w:tc>
          <w:tcPr>
            <w:tcW w:w="899" w:type="dxa"/>
          </w:tcPr>
          <w:p w14:paraId="04D95F4B" w14:textId="4F69068E"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.005</w:t>
            </w:r>
          </w:p>
        </w:tc>
        <w:tc>
          <w:tcPr>
            <w:tcW w:w="916" w:type="dxa"/>
          </w:tcPr>
          <w:p w14:paraId="1E6AEAAD" w14:textId="737EA97E"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8.654</w:t>
            </w:r>
          </w:p>
        </w:tc>
        <w:tc>
          <w:tcPr>
            <w:tcW w:w="1276" w:type="dxa"/>
          </w:tcPr>
          <w:p w14:paraId="22297C6A" w14:textId="594FA089"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.691</w:t>
            </w:r>
          </w:p>
        </w:tc>
      </w:tr>
      <w:tr w:rsidR="003A3C9C" w:rsidRPr="000901D1" w14:paraId="5C694936" w14:textId="77777777" w:rsidTr="003A3C9C">
        <w:trPr>
          <w:trHeight w:val="297"/>
        </w:trPr>
        <w:tc>
          <w:tcPr>
            <w:cnfStyle w:val="001000000000" w:firstRow="0" w:lastRow="0" w:firstColumn="1" w:lastColumn="0" w:oddVBand="0" w:evenVBand="0" w:oddHBand="0" w:evenHBand="0" w:firstRowFirstColumn="0" w:firstRowLastColumn="0" w:lastRowFirstColumn="0" w:lastRowLastColumn="0"/>
            <w:tcW w:w="1413" w:type="dxa"/>
          </w:tcPr>
          <w:p w14:paraId="1314BDC6" w14:textId="55AB139E" w:rsidR="003A3C9C" w:rsidRPr="000901D1" w:rsidRDefault="003A3C9C" w:rsidP="00E15374">
            <w:pPr>
              <w:pStyle w:val="MDPI31text"/>
              <w:spacing w:line="240" w:lineRule="auto"/>
              <w:ind w:left="0" w:firstLine="0"/>
              <w:rPr>
                <w:rFonts w:ascii="Times New Roman" w:hAnsi="Times New Roman"/>
                <w:sz w:val="16"/>
                <w:szCs w:val="16"/>
              </w:rPr>
            </w:pPr>
            <w:r>
              <w:rPr>
                <w:rFonts w:ascii="Times New Roman" w:hAnsi="Times New Roman"/>
                <w:sz w:val="16"/>
                <w:szCs w:val="16"/>
              </w:rPr>
              <w:t>Visits*City</w:t>
            </w:r>
            <w:r>
              <w:rPr>
                <w:rFonts w:ascii="Times New Roman" w:hAnsi="Times New Roman"/>
                <w:sz w:val="16"/>
                <w:szCs w:val="16"/>
              </w:rPr>
              <w:t>*Strain</w:t>
            </w:r>
          </w:p>
        </w:tc>
        <w:tc>
          <w:tcPr>
            <w:tcW w:w="563" w:type="dxa"/>
          </w:tcPr>
          <w:p w14:paraId="1DC11931" w14:textId="50CD732E"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Linear</w:t>
            </w:r>
          </w:p>
        </w:tc>
        <w:tc>
          <w:tcPr>
            <w:tcW w:w="1209" w:type="dxa"/>
          </w:tcPr>
          <w:p w14:paraId="029D086F" w14:textId="731F9EEC"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1259079298.9</w:t>
            </w:r>
          </w:p>
        </w:tc>
        <w:tc>
          <w:tcPr>
            <w:tcW w:w="536" w:type="dxa"/>
          </w:tcPr>
          <w:p w14:paraId="13F0327D" w14:textId="5F5CB51D"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w:t>
            </w:r>
          </w:p>
        </w:tc>
        <w:tc>
          <w:tcPr>
            <w:tcW w:w="1174" w:type="dxa"/>
          </w:tcPr>
          <w:p w14:paraId="00CD960B" w14:textId="62CBF4B4"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419693099.64</w:t>
            </w:r>
          </w:p>
        </w:tc>
        <w:tc>
          <w:tcPr>
            <w:tcW w:w="856" w:type="dxa"/>
          </w:tcPr>
          <w:p w14:paraId="37CB4DF7" w14:textId="72780F2F"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2.885</w:t>
            </w:r>
          </w:p>
        </w:tc>
        <w:tc>
          <w:tcPr>
            <w:tcW w:w="651" w:type="dxa"/>
          </w:tcPr>
          <w:p w14:paraId="6A01D30C" w14:textId="6B005301"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.035</w:t>
            </w:r>
          </w:p>
        </w:tc>
        <w:tc>
          <w:tcPr>
            <w:tcW w:w="899" w:type="dxa"/>
          </w:tcPr>
          <w:p w14:paraId="630A7642" w14:textId="77E20831"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.005</w:t>
            </w:r>
          </w:p>
        </w:tc>
        <w:tc>
          <w:tcPr>
            <w:tcW w:w="916" w:type="dxa"/>
          </w:tcPr>
          <w:p w14:paraId="1E946DC9" w14:textId="4FEDDE45"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8.654</w:t>
            </w:r>
          </w:p>
        </w:tc>
        <w:tc>
          <w:tcPr>
            <w:tcW w:w="1276" w:type="dxa"/>
          </w:tcPr>
          <w:p w14:paraId="2367B3CB" w14:textId="705A184A"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.691</w:t>
            </w:r>
          </w:p>
        </w:tc>
      </w:tr>
      <w:tr w:rsidR="003A3C9C" w:rsidRPr="000901D1" w14:paraId="0A606AB4" w14:textId="77777777" w:rsidTr="003A3C9C">
        <w:trPr>
          <w:trHeight w:val="297"/>
        </w:trPr>
        <w:tc>
          <w:tcPr>
            <w:cnfStyle w:val="001000000000" w:firstRow="0" w:lastRow="0" w:firstColumn="1" w:lastColumn="0" w:oddVBand="0" w:evenVBand="0" w:oddHBand="0" w:evenHBand="0" w:firstRowFirstColumn="0" w:firstRowLastColumn="0" w:lastRowFirstColumn="0" w:lastRowLastColumn="0"/>
            <w:tcW w:w="1413" w:type="dxa"/>
          </w:tcPr>
          <w:p w14:paraId="54A6D828" w14:textId="036B8C38" w:rsidR="003A3C9C" w:rsidRPr="000901D1" w:rsidRDefault="003A3C9C" w:rsidP="00E15374">
            <w:pPr>
              <w:pStyle w:val="MDPI31text"/>
              <w:spacing w:line="240" w:lineRule="auto"/>
              <w:ind w:left="0" w:firstLine="0"/>
              <w:rPr>
                <w:rFonts w:ascii="Times New Roman" w:hAnsi="Times New Roman"/>
                <w:sz w:val="16"/>
                <w:szCs w:val="16"/>
              </w:rPr>
            </w:pPr>
            <w:proofErr w:type="gramStart"/>
            <w:r>
              <w:rPr>
                <w:rFonts w:ascii="Times New Roman" w:hAnsi="Times New Roman"/>
                <w:sz w:val="16"/>
                <w:szCs w:val="16"/>
              </w:rPr>
              <w:t>Error(</w:t>
            </w:r>
            <w:proofErr w:type="spellStart"/>
            <w:proofErr w:type="gramEnd"/>
            <w:r>
              <w:rPr>
                <w:rFonts w:ascii="Times New Roman" w:hAnsi="Times New Roman"/>
                <w:sz w:val="16"/>
                <w:szCs w:val="16"/>
              </w:rPr>
              <w:t>Viists</w:t>
            </w:r>
            <w:proofErr w:type="spellEnd"/>
            <w:r>
              <w:rPr>
                <w:rFonts w:ascii="Times New Roman" w:hAnsi="Times New Roman"/>
                <w:sz w:val="16"/>
                <w:szCs w:val="16"/>
              </w:rPr>
              <w:t>)</w:t>
            </w:r>
          </w:p>
        </w:tc>
        <w:tc>
          <w:tcPr>
            <w:tcW w:w="563" w:type="dxa"/>
          </w:tcPr>
          <w:p w14:paraId="1FBF5C96" w14:textId="74C87F11"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Linear</w:t>
            </w:r>
          </w:p>
        </w:tc>
        <w:tc>
          <w:tcPr>
            <w:tcW w:w="1209" w:type="dxa"/>
          </w:tcPr>
          <w:p w14:paraId="42A7BE87" w14:textId="078F2658"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2.341E+11</w:t>
            </w:r>
          </w:p>
        </w:tc>
        <w:tc>
          <w:tcPr>
            <w:tcW w:w="536" w:type="dxa"/>
          </w:tcPr>
          <w:p w14:paraId="0B4FA91B" w14:textId="5D593734"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1609</w:t>
            </w:r>
          </w:p>
        </w:tc>
        <w:tc>
          <w:tcPr>
            <w:tcW w:w="1174" w:type="dxa"/>
          </w:tcPr>
          <w:p w14:paraId="0A1736A5" w14:textId="6705F690" w:rsidR="003A3C9C" w:rsidRPr="000901D1"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145484377.18</w:t>
            </w:r>
          </w:p>
        </w:tc>
        <w:tc>
          <w:tcPr>
            <w:tcW w:w="856" w:type="dxa"/>
          </w:tcPr>
          <w:p w14:paraId="39281782" w14:textId="77777777"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651" w:type="dxa"/>
          </w:tcPr>
          <w:p w14:paraId="37981682" w14:textId="0D7AC018"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899" w:type="dxa"/>
          </w:tcPr>
          <w:p w14:paraId="60A44667" w14:textId="77777777"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16" w:type="dxa"/>
          </w:tcPr>
          <w:p w14:paraId="4326C768" w14:textId="77777777"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276" w:type="dxa"/>
          </w:tcPr>
          <w:p w14:paraId="192DBAB5" w14:textId="3F44881E" w:rsidR="003A3C9C" w:rsidRDefault="003A3C9C"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bl>
    <w:p w14:paraId="1FC3946B" w14:textId="77777777" w:rsidR="004E28B5" w:rsidRPr="00A16086" w:rsidRDefault="004E28B5" w:rsidP="0010011E">
      <w:pPr>
        <w:pStyle w:val="MDPI31text"/>
        <w:spacing w:line="240" w:lineRule="auto"/>
        <w:ind w:left="0" w:firstLine="0"/>
        <w:rPr>
          <w:sz w:val="24"/>
          <w:szCs w:val="24"/>
        </w:rPr>
      </w:pPr>
    </w:p>
    <w:bookmarkEnd w:id="0"/>
    <w:p w14:paraId="402024AC" w14:textId="77777777" w:rsidR="005F354D" w:rsidRPr="00A16086" w:rsidRDefault="005F354D" w:rsidP="0010011E">
      <w:pPr>
        <w:pStyle w:val="MDPI31text"/>
        <w:spacing w:line="240" w:lineRule="auto"/>
        <w:ind w:left="0" w:firstLine="0"/>
        <w:rPr>
          <w:sz w:val="24"/>
          <w:szCs w:val="24"/>
        </w:rPr>
      </w:pPr>
    </w:p>
    <w:p w14:paraId="79CD14EF" w14:textId="35D4DE9B" w:rsidR="00B525D1" w:rsidRPr="00A16086" w:rsidRDefault="00B525D1" w:rsidP="0010011E">
      <w:pPr>
        <w:pStyle w:val="MDPI31text"/>
        <w:spacing w:line="240" w:lineRule="auto"/>
        <w:ind w:left="0" w:firstLine="0"/>
        <w:rPr>
          <w:sz w:val="24"/>
          <w:szCs w:val="24"/>
        </w:rPr>
      </w:pPr>
      <w:r w:rsidRPr="00A16086">
        <w:rPr>
          <w:i/>
          <w:iCs/>
          <w:sz w:val="24"/>
          <w:szCs w:val="24"/>
        </w:rPr>
        <w:t xml:space="preserve">Pairwise Comparisons and Detailed Variations (Table 3)  </w:t>
      </w:r>
    </w:p>
    <w:p w14:paraId="6F06325B" w14:textId="77777777" w:rsidR="00B525D1" w:rsidRPr="00A16086" w:rsidRDefault="00B525D1" w:rsidP="0010011E">
      <w:pPr>
        <w:pStyle w:val="MDPI31text"/>
        <w:spacing w:line="240" w:lineRule="auto"/>
        <w:ind w:left="0" w:firstLine="0"/>
        <w:rPr>
          <w:sz w:val="24"/>
          <w:szCs w:val="24"/>
        </w:rPr>
      </w:pPr>
    </w:p>
    <w:p w14:paraId="4BA912B4" w14:textId="0CB919B9" w:rsidR="00B525D1" w:rsidRPr="00A16086" w:rsidRDefault="00B525D1" w:rsidP="0010011E">
      <w:pPr>
        <w:pStyle w:val="MDPI31text"/>
        <w:spacing w:line="240" w:lineRule="auto"/>
        <w:ind w:left="0" w:firstLine="0"/>
        <w:rPr>
          <w:sz w:val="24"/>
          <w:szCs w:val="24"/>
        </w:rPr>
      </w:pPr>
      <w:r w:rsidRPr="00A16086">
        <w:rPr>
          <w:sz w:val="24"/>
          <w:szCs w:val="24"/>
        </w:rPr>
        <w:t xml:space="preserve">The pairwise comparison analysis revealed significant variations in park visitation patterns within cities when comparing different COVID-19 strains. The key results are summarized in the table below: </w:t>
      </w:r>
    </w:p>
    <w:p w14:paraId="2C726DDF" w14:textId="77777777" w:rsidR="00B525D1" w:rsidRPr="00A16086" w:rsidRDefault="00B525D1" w:rsidP="0010011E">
      <w:pPr>
        <w:pStyle w:val="MDPI31text"/>
        <w:spacing w:line="240" w:lineRule="auto"/>
        <w:ind w:left="0" w:firstLine="0"/>
        <w:rPr>
          <w:sz w:val="24"/>
          <w:szCs w:val="24"/>
        </w:rPr>
      </w:pPr>
    </w:p>
    <w:p w14:paraId="33BBA9EB" w14:textId="4C0A3632" w:rsidR="00B525D1" w:rsidRPr="00A16086" w:rsidRDefault="00B525D1" w:rsidP="0010011E">
      <w:pPr>
        <w:pStyle w:val="MDPI31text"/>
        <w:spacing w:line="240" w:lineRule="auto"/>
        <w:ind w:left="0" w:firstLine="0"/>
        <w:rPr>
          <w:sz w:val="24"/>
          <w:szCs w:val="24"/>
        </w:rPr>
      </w:pPr>
      <w:r w:rsidRPr="00A16086">
        <w:rPr>
          <w:sz w:val="24"/>
          <w:szCs w:val="24"/>
        </w:rPr>
        <w:t xml:space="preserve">This comprehensive analysis, which includes all significant pairwise comparisons, underscores the complexity of how different COVID-19 strains influenced park visitation patterns. These variations were significant within each city, indicating that the response to different strains of the virus varied between Atlanta and Miami. Additionally, the lack of overall change in visits from the baseline to the COVID period suggests that, on average, park visitation remained relatively stable despite the pandemic, although nuanced differences emerged when considering specific virus strains and cities. </w:t>
      </w:r>
    </w:p>
    <w:p w14:paraId="03C02CCF" w14:textId="77777777" w:rsidR="00B525D1" w:rsidRPr="00A16086" w:rsidRDefault="00B525D1" w:rsidP="0010011E">
      <w:pPr>
        <w:pStyle w:val="MDPI31text"/>
        <w:spacing w:line="240" w:lineRule="auto"/>
        <w:ind w:left="0" w:firstLine="0"/>
        <w:rPr>
          <w:sz w:val="24"/>
          <w:szCs w:val="24"/>
        </w:rPr>
      </w:pPr>
    </w:p>
    <w:p w14:paraId="41727C21" w14:textId="2FD8C2B9" w:rsidR="00B525D1" w:rsidRPr="00A16086" w:rsidRDefault="00B525D1" w:rsidP="0010011E">
      <w:pPr>
        <w:pStyle w:val="MDPI31text"/>
        <w:spacing w:line="240" w:lineRule="auto"/>
        <w:ind w:left="0" w:firstLine="0"/>
        <w:rPr>
          <w:sz w:val="24"/>
          <w:szCs w:val="24"/>
        </w:rPr>
      </w:pPr>
      <w:r w:rsidRPr="00A16086">
        <w:rPr>
          <w:sz w:val="24"/>
          <w:szCs w:val="24"/>
        </w:rPr>
        <w:t xml:space="preserve">The analysis comprehensively compared various COVID-19 strains across both cities, revealing distinct variations. Notably, the comparison between the alpha and base strains showed a mean difference of 2853.495, which did not reach statistical significance (p = .076). In contrast, a significant difference was observed between the alpha and omicron strains, with a substantial mean difference of 4658.881 (p &lt; .001). Additionally, the comparison of the base and delta strains approached significance, indicating a mean difference of -2983.989 (p = .054). Moreover, a significant difference was found between the delta and omicron strains, highlighting a notable mean difference of 4789.376 (p &lt; .001). </w:t>
      </w:r>
    </w:p>
    <w:p w14:paraId="704BD58C" w14:textId="77777777" w:rsidR="005F354D" w:rsidRPr="00A16086" w:rsidRDefault="005F354D" w:rsidP="0010011E">
      <w:pPr>
        <w:pStyle w:val="MDPI31text"/>
        <w:spacing w:line="240" w:lineRule="auto"/>
        <w:ind w:left="0" w:firstLine="0"/>
        <w:rPr>
          <w:sz w:val="24"/>
          <w:szCs w:val="24"/>
        </w:rPr>
      </w:pPr>
    </w:p>
    <w:p w14:paraId="11AB09EE" w14:textId="77777777" w:rsidR="00B525D1" w:rsidRDefault="00B525D1" w:rsidP="0010011E">
      <w:pPr>
        <w:pStyle w:val="MDPI31text"/>
        <w:spacing w:line="240" w:lineRule="auto"/>
        <w:rPr>
          <w:sz w:val="24"/>
          <w:szCs w:val="24"/>
        </w:rPr>
      </w:pPr>
    </w:p>
    <w:p w14:paraId="3A703EE0" w14:textId="77777777" w:rsidR="00EE3F14" w:rsidRDefault="00EE3F14" w:rsidP="0010011E">
      <w:pPr>
        <w:pStyle w:val="MDPI31text"/>
        <w:spacing w:line="240" w:lineRule="auto"/>
        <w:rPr>
          <w:sz w:val="24"/>
          <w:szCs w:val="24"/>
        </w:rPr>
      </w:pPr>
    </w:p>
    <w:p w14:paraId="6127D7BC" w14:textId="77777777" w:rsidR="00EE3F14" w:rsidRDefault="00EE3F14" w:rsidP="0010011E">
      <w:pPr>
        <w:pStyle w:val="MDPI31text"/>
        <w:spacing w:line="240" w:lineRule="auto"/>
        <w:rPr>
          <w:sz w:val="24"/>
          <w:szCs w:val="24"/>
        </w:rPr>
      </w:pPr>
    </w:p>
    <w:p w14:paraId="3015D161" w14:textId="77777777" w:rsidR="00EE3F14" w:rsidRDefault="00EE3F14" w:rsidP="0010011E">
      <w:pPr>
        <w:pStyle w:val="MDPI31text"/>
        <w:spacing w:line="240" w:lineRule="auto"/>
        <w:rPr>
          <w:sz w:val="24"/>
          <w:szCs w:val="24"/>
        </w:rPr>
      </w:pPr>
    </w:p>
    <w:p w14:paraId="70BF1CB1" w14:textId="77777777" w:rsidR="000F54CF" w:rsidRDefault="000F54CF" w:rsidP="0010011E">
      <w:pPr>
        <w:pStyle w:val="MDPI31text"/>
        <w:spacing w:line="240" w:lineRule="auto"/>
        <w:rPr>
          <w:sz w:val="24"/>
          <w:szCs w:val="24"/>
        </w:rPr>
      </w:pPr>
    </w:p>
    <w:p w14:paraId="50F7975E" w14:textId="77777777" w:rsidR="00EE3F14" w:rsidRPr="00A16086" w:rsidRDefault="00EE3F14" w:rsidP="0010011E">
      <w:pPr>
        <w:pStyle w:val="MDPI31text"/>
        <w:spacing w:line="240" w:lineRule="auto"/>
        <w:rPr>
          <w:sz w:val="24"/>
          <w:szCs w:val="24"/>
        </w:rPr>
      </w:pPr>
    </w:p>
    <w:p w14:paraId="6965C999" w14:textId="7AB8BF15" w:rsidR="00B525D1" w:rsidRPr="00A16086" w:rsidRDefault="00B525D1" w:rsidP="0010011E">
      <w:pPr>
        <w:pStyle w:val="MDPI31text"/>
        <w:spacing w:line="240" w:lineRule="auto"/>
        <w:ind w:left="0" w:firstLine="0"/>
        <w:rPr>
          <w:sz w:val="24"/>
          <w:szCs w:val="24"/>
        </w:rPr>
      </w:pPr>
      <w:r w:rsidRPr="00A16086">
        <w:rPr>
          <w:i/>
          <w:iCs/>
          <w:sz w:val="24"/>
          <w:szCs w:val="24"/>
        </w:rPr>
        <w:t xml:space="preserve">Table 3: showing the pairwise comparison and detailed variations. </w:t>
      </w:r>
    </w:p>
    <w:p w14:paraId="7AAFBEB3" w14:textId="77777777" w:rsidR="00EE3F14" w:rsidRPr="00A16086" w:rsidRDefault="00EE3F14" w:rsidP="00EE3F14">
      <w:pPr>
        <w:pStyle w:val="MDPI31text"/>
        <w:spacing w:line="240" w:lineRule="auto"/>
        <w:ind w:left="0" w:firstLine="0"/>
        <w:rPr>
          <w:sz w:val="24"/>
          <w:szCs w:val="24"/>
        </w:rPr>
      </w:pPr>
      <w:bookmarkStart w:id="1" w:name="_Hlk212295105"/>
    </w:p>
    <w:tbl>
      <w:tblPr>
        <w:tblStyle w:val="TableGrid"/>
        <w:tblW w:w="0" w:type="auto"/>
        <w:tblLook w:val="04A0" w:firstRow="1" w:lastRow="0" w:firstColumn="1" w:lastColumn="0" w:noHBand="0" w:noVBand="1"/>
      </w:tblPr>
      <w:tblGrid>
        <w:gridCol w:w="10456"/>
      </w:tblGrid>
      <w:tr w:rsidR="00EE3F14" w14:paraId="376F1AC4" w14:textId="77777777" w:rsidTr="00E15374">
        <w:tc>
          <w:tcPr>
            <w:tcW w:w="10456" w:type="dxa"/>
          </w:tcPr>
          <w:p w14:paraId="4333DB41" w14:textId="77777777" w:rsidR="00EE3F14" w:rsidRPr="00AE5FFC" w:rsidRDefault="00EE3F14" w:rsidP="00E15374">
            <w:pPr>
              <w:pStyle w:val="MDPI31text"/>
              <w:spacing w:line="240" w:lineRule="auto"/>
              <w:ind w:left="0" w:firstLine="0"/>
              <w:rPr>
                <w:b/>
                <w:bCs/>
                <w:sz w:val="24"/>
                <w:szCs w:val="24"/>
              </w:rPr>
            </w:pPr>
            <w:r>
              <w:rPr>
                <w:sz w:val="24"/>
                <w:szCs w:val="24"/>
              </w:rPr>
              <w:t xml:space="preserve">                                 </w:t>
            </w:r>
            <w:r w:rsidRPr="00AE5FFC">
              <w:rPr>
                <w:b/>
                <w:bCs/>
                <w:sz w:val="24"/>
                <w:szCs w:val="24"/>
              </w:rPr>
              <w:t>Pairwise Comparisons</w:t>
            </w:r>
          </w:p>
        </w:tc>
      </w:tr>
    </w:tbl>
    <w:p w14:paraId="3C6295FD" w14:textId="77777777" w:rsidR="00EE3F14" w:rsidRPr="00A16086" w:rsidRDefault="00EE3F14" w:rsidP="00EE3F14">
      <w:pPr>
        <w:pStyle w:val="MDPI31text"/>
        <w:spacing w:line="240" w:lineRule="auto"/>
        <w:ind w:left="0" w:firstLine="0"/>
        <w:rPr>
          <w:sz w:val="24"/>
          <w:szCs w:val="24"/>
        </w:rPr>
      </w:pPr>
    </w:p>
    <w:tbl>
      <w:tblPr>
        <w:tblStyle w:val="GridTable1Light"/>
        <w:tblW w:w="10485" w:type="dxa"/>
        <w:tblLook w:val="04A0" w:firstRow="1" w:lastRow="0" w:firstColumn="1" w:lastColumn="0" w:noHBand="0" w:noVBand="1"/>
      </w:tblPr>
      <w:tblGrid>
        <w:gridCol w:w="1572"/>
        <w:gridCol w:w="1117"/>
        <w:gridCol w:w="1890"/>
        <w:gridCol w:w="1416"/>
        <w:gridCol w:w="883"/>
        <w:gridCol w:w="1906"/>
        <w:gridCol w:w="1701"/>
      </w:tblGrid>
      <w:tr w:rsidR="00EE3F14" w:rsidRPr="000901D1" w14:paraId="4B1AFAF9" w14:textId="77777777" w:rsidTr="00EE3F14">
        <w:trPr>
          <w:cnfStyle w:val="100000000000" w:firstRow="1" w:lastRow="0" w:firstColumn="0" w:lastColumn="0" w:oddVBand="0" w:evenVBand="0" w:oddHBand="0"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1572" w:type="dxa"/>
          </w:tcPr>
          <w:p w14:paraId="2D20DB03" w14:textId="377BD1AD" w:rsidR="00EE3F14" w:rsidRPr="000901D1" w:rsidRDefault="00EE3F14" w:rsidP="00EE3F14">
            <w:pPr>
              <w:pStyle w:val="MDPI31text"/>
              <w:spacing w:line="240" w:lineRule="auto"/>
              <w:ind w:left="0" w:firstLine="0"/>
              <w:rPr>
                <w:rFonts w:ascii="Times New Roman" w:hAnsi="Times New Roman"/>
                <w:sz w:val="16"/>
                <w:szCs w:val="16"/>
              </w:rPr>
            </w:pPr>
            <w:r>
              <w:rPr>
                <w:rFonts w:ascii="Times New Roman" w:hAnsi="Times New Roman"/>
                <w:sz w:val="16"/>
                <w:szCs w:val="16"/>
              </w:rPr>
              <w:t>Strains (</w:t>
            </w:r>
            <w:proofErr w:type="spellStart"/>
            <w:r>
              <w:rPr>
                <w:rFonts w:ascii="Times New Roman" w:hAnsi="Times New Roman"/>
                <w:sz w:val="16"/>
                <w:szCs w:val="16"/>
              </w:rPr>
              <w:t>i</w:t>
            </w:r>
            <w:proofErr w:type="spellEnd"/>
            <w:r>
              <w:rPr>
                <w:rFonts w:ascii="Times New Roman" w:hAnsi="Times New Roman"/>
                <w:sz w:val="16"/>
                <w:szCs w:val="16"/>
              </w:rPr>
              <w:t>)</w:t>
            </w:r>
          </w:p>
        </w:tc>
        <w:tc>
          <w:tcPr>
            <w:tcW w:w="1117" w:type="dxa"/>
          </w:tcPr>
          <w:p w14:paraId="515E7AAA" w14:textId="1D150A22" w:rsidR="00EE3F14" w:rsidRPr="000901D1"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Strains (</w:t>
            </w:r>
            <w:r>
              <w:rPr>
                <w:rFonts w:ascii="Times New Roman" w:hAnsi="Times New Roman"/>
                <w:sz w:val="16"/>
                <w:szCs w:val="16"/>
              </w:rPr>
              <w:t>j</w:t>
            </w:r>
            <w:r>
              <w:rPr>
                <w:rFonts w:ascii="Times New Roman" w:hAnsi="Times New Roman"/>
                <w:sz w:val="16"/>
                <w:szCs w:val="16"/>
              </w:rPr>
              <w:t>)</w:t>
            </w:r>
          </w:p>
        </w:tc>
        <w:tc>
          <w:tcPr>
            <w:tcW w:w="1890" w:type="dxa"/>
          </w:tcPr>
          <w:p w14:paraId="790821D6" w14:textId="77777777" w:rsidR="00EE3F14" w:rsidRPr="000901D1"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0901D1">
              <w:rPr>
                <w:rFonts w:ascii="Times New Roman" w:hAnsi="Times New Roman"/>
                <w:sz w:val="16"/>
                <w:szCs w:val="16"/>
              </w:rPr>
              <w:t>Mean Difference (I-J)</w:t>
            </w:r>
          </w:p>
        </w:tc>
        <w:tc>
          <w:tcPr>
            <w:tcW w:w="1416" w:type="dxa"/>
          </w:tcPr>
          <w:p w14:paraId="4806F8FE" w14:textId="77777777" w:rsidR="00EE3F14" w:rsidRPr="000901D1"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sidRPr="000901D1">
              <w:rPr>
                <w:rFonts w:ascii="Times New Roman" w:hAnsi="Times New Roman"/>
                <w:sz w:val="16"/>
                <w:szCs w:val="16"/>
              </w:rPr>
              <w:t>Std.Error</w:t>
            </w:r>
            <w:proofErr w:type="spellEnd"/>
          </w:p>
        </w:tc>
        <w:tc>
          <w:tcPr>
            <w:tcW w:w="883" w:type="dxa"/>
          </w:tcPr>
          <w:p w14:paraId="4E8AF1A1" w14:textId="77777777" w:rsidR="00EE3F14" w:rsidRPr="000901D1"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 xml:space="preserve">Sig </w:t>
            </w:r>
          </w:p>
        </w:tc>
        <w:tc>
          <w:tcPr>
            <w:tcW w:w="1906" w:type="dxa"/>
          </w:tcPr>
          <w:p w14:paraId="436480A9" w14:textId="77777777" w:rsidR="00EE3F14"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sidRPr="000901D1">
              <w:rPr>
                <w:rFonts w:ascii="Times New Roman" w:hAnsi="Times New Roman"/>
                <w:sz w:val="16"/>
                <w:szCs w:val="16"/>
              </w:rPr>
              <w:t>95% confidence interval for Difference</w:t>
            </w:r>
          </w:p>
          <w:p w14:paraId="01A89EB4" w14:textId="77777777" w:rsidR="00EE3F14"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p>
          <w:p w14:paraId="3CDD018F" w14:textId="77777777" w:rsidR="00EE3F14" w:rsidRPr="000901D1"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Lower Bound</w:t>
            </w:r>
          </w:p>
        </w:tc>
        <w:tc>
          <w:tcPr>
            <w:tcW w:w="1701" w:type="dxa"/>
          </w:tcPr>
          <w:p w14:paraId="05919E33" w14:textId="77777777" w:rsidR="00EE3F14"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sidRPr="000901D1">
              <w:rPr>
                <w:rFonts w:ascii="Times New Roman" w:hAnsi="Times New Roman"/>
                <w:sz w:val="16"/>
                <w:szCs w:val="16"/>
              </w:rPr>
              <w:t>95% confidence interval for Difference</w:t>
            </w:r>
          </w:p>
          <w:p w14:paraId="3E6EC1E6" w14:textId="77777777" w:rsidR="00EE3F14"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p>
          <w:p w14:paraId="3A117750" w14:textId="77777777" w:rsidR="00EE3F14" w:rsidRPr="000901D1" w:rsidRDefault="00EE3F14"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Pr>
                <w:rFonts w:ascii="Times New Roman" w:hAnsi="Times New Roman"/>
                <w:sz w:val="16"/>
                <w:szCs w:val="16"/>
              </w:rPr>
              <w:t>Upper Bound</w:t>
            </w:r>
          </w:p>
        </w:tc>
      </w:tr>
      <w:tr w:rsidR="00EE3F14" w:rsidRPr="000901D1" w14:paraId="14704092" w14:textId="77777777" w:rsidTr="00EE3F14">
        <w:trPr>
          <w:trHeight w:val="290"/>
        </w:trPr>
        <w:tc>
          <w:tcPr>
            <w:cnfStyle w:val="001000000000" w:firstRow="0" w:lastRow="0" w:firstColumn="1" w:lastColumn="0" w:oddVBand="0" w:evenVBand="0" w:oddHBand="0" w:evenHBand="0" w:firstRowFirstColumn="0" w:firstRowLastColumn="0" w:lastRowFirstColumn="0" w:lastRowLastColumn="0"/>
            <w:tcW w:w="1572" w:type="dxa"/>
          </w:tcPr>
          <w:p w14:paraId="651B0429" w14:textId="52E3AC2F" w:rsidR="00EE3F14" w:rsidRPr="000901D1" w:rsidRDefault="00EE3F14" w:rsidP="00E15374">
            <w:pPr>
              <w:pStyle w:val="MDPI31text"/>
              <w:spacing w:line="240" w:lineRule="auto"/>
              <w:ind w:left="0" w:firstLine="0"/>
              <w:rPr>
                <w:rFonts w:ascii="Times New Roman" w:hAnsi="Times New Roman"/>
                <w:sz w:val="16"/>
                <w:szCs w:val="16"/>
              </w:rPr>
            </w:pPr>
            <w:r>
              <w:rPr>
                <w:rFonts w:ascii="Times New Roman" w:hAnsi="Times New Roman"/>
                <w:sz w:val="16"/>
                <w:szCs w:val="16"/>
              </w:rPr>
              <w:t>Alpha</w:t>
            </w:r>
          </w:p>
        </w:tc>
        <w:tc>
          <w:tcPr>
            <w:tcW w:w="1117" w:type="dxa"/>
          </w:tcPr>
          <w:p w14:paraId="52230A6F" w14:textId="4234296A"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Base</w:t>
            </w:r>
          </w:p>
        </w:tc>
        <w:tc>
          <w:tcPr>
            <w:tcW w:w="1890" w:type="dxa"/>
          </w:tcPr>
          <w:p w14:paraId="17DE2F11" w14:textId="21C1A38D" w:rsidR="00EE3F14"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2853.495</w:t>
            </w:r>
          </w:p>
        </w:tc>
        <w:tc>
          <w:tcPr>
            <w:tcW w:w="1416" w:type="dxa"/>
          </w:tcPr>
          <w:p w14:paraId="41C06E60" w14:textId="11E3F945" w:rsidR="00EE3F14"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1142.376</w:t>
            </w:r>
          </w:p>
        </w:tc>
        <w:tc>
          <w:tcPr>
            <w:tcW w:w="883" w:type="dxa"/>
          </w:tcPr>
          <w:p w14:paraId="0E57327E" w14:textId="57543E7A" w:rsidR="00EE3F14"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.076</w:t>
            </w:r>
          </w:p>
        </w:tc>
        <w:tc>
          <w:tcPr>
            <w:tcW w:w="1906" w:type="dxa"/>
          </w:tcPr>
          <w:p w14:paraId="4238C88A" w14:textId="3592A9C3" w:rsidR="00EE3F14"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-164.120</w:t>
            </w:r>
          </w:p>
        </w:tc>
        <w:tc>
          <w:tcPr>
            <w:tcW w:w="1701" w:type="dxa"/>
          </w:tcPr>
          <w:p w14:paraId="17723BE3" w14:textId="66259F73" w:rsidR="00EE3F14"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5871.110</w:t>
            </w:r>
          </w:p>
        </w:tc>
      </w:tr>
      <w:tr w:rsidR="00EE3F14" w:rsidRPr="000901D1" w14:paraId="2E529900" w14:textId="77777777" w:rsidTr="00EE3F14">
        <w:trPr>
          <w:trHeight w:val="297"/>
        </w:trPr>
        <w:tc>
          <w:tcPr>
            <w:cnfStyle w:val="001000000000" w:firstRow="0" w:lastRow="0" w:firstColumn="1" w:lastColumn="0" w:oddVBand="0" w:evenVBand="0" w:oddHBand="0" w:evenHBand="0" w:firstRowFirstColumn="0" w:firstRowLastColumn="0" w:lastRowFirstColumn="0" w:lastRowLastColumn="0"/>
            <w:tcW w:w="1572" w:type="dxa"/>
          </w:tcPr>
          <w:p w14:paraId="3169D0FF" w14:textId="70E2B4E1" w:rsidR="00EE3F14" w:rsidRPr="000901D1" w:rsidRDefault="00EE3F14" w:rsidP="00E15374">
            <w:pPr>
              <w:pStyle w:val="MDPI31text"/>
              <w:spacing w:line="240" w:lineRule="auto"/>
              <w:ind w:left="0" w:firstLine="0"/>
              <w:rPr>
                <w:rFonts w:ascii="Times New Roman" w:hAnsi="Times New Roman"/>
                <w:sz w:val="16"/>
                <w:szCs w:val="16"/>
              </w:rPr>
            </w:pPr>
          </w:p>
        </w:tc>
        <w:tc>
          <w:tcPr>
            <w:tcW w:w="1117" w:type="dxa"/>
          </w:tcPr>
          <w:p w14:paraId="27F918B7" w14:textId="3BCAC071"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Delta</w:t>
            </w:r>
          </w:p>
        </w:tc>
        <w:tc>
          <w:tcPr>
            <w:tcW w:w="1890" w:type="dxa"/>
          </w:tcPr>
          <w:p w14:paraId="27606BA8" w14:textId="3F2559CB" w:rsidR="00EE3F14"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-130.494</w:t>
            </w:r>
          </w:p>
        </w:tc>
        <w:tc>
          <w:tcPr>
            <w:tcW w:w="1416" w:type="dxa"/>
          </w:tcPr>
          <w:p w14:paraId="390EC8A6" w14:textId="733CC518" w:rsidR="00EE3F14"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1141.732</w:t>
            </w:r>
          </w:p>
        </w:tc>
        <w:tc>
          <w:tcPr>
            <w:tcW w:w="883" w:type="dxa"/>
          </w:tcPr>
          <w:p w14:paraId="07346020" w14:textId="3EC4720E" w:rsidR="00EE3F14"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1.000</w:t>
            </w:r>
          </w:p>
        </w:tc>
        <w:tc>
          <w:tcPr>
            <w:tcW w:w="1906" w:type="dxa"/>
          </w:tcPr>
          <w:p w14:paraId="7F585A9A" w14:textId="124180C0" w:rsidR="00EE3F14"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-3146.407</w:t>
            </w:r>
          </w:p>
        </w:tc>
        <w:tc>
          <w:tcPr>
            <w:tcW w:w="1701" w:type="dxa"/>
          </w:tcPr>
          <w:p w14:paraId="7B98C1E0" w14:textId="4877459A" w:rsidR="00EE3F14"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2885.418</w:t>
            </w:r>
          </w:p>
        </w:tc>
      </w:tr>
      <w:tr w:rsidR="00EE3F14" w:rsidRPr="000901D1" w14:paraId="5365ADBC" w14:textId="77777777" w:rsidTr="00EE3F14">
        <w:trPr>
          <w:trHeight w:val="297"/>
        </w:trPr>
        <w:tc>
          <w:tcPr>
            <w:cnfStyle w:val="001000000000" w:firstRow="0" w:lastRow="0" w:firstColumn="1" w:lastColumn="0" w:oddVBand="0" w:evenVBand="0" w:oddHBand="0" w:evenHBand="0" w:firstRowFirstColumn="0" w:firstRowLastColumn="0" w:lastRowFirstColumn="0" w:lastRowLastColumn="0"/>
            <w:tcW w:w="1572" w:type="dxa"/>
          </w:tcPr>
          <w:p w14:paraId="03183477" w14:textId="77777777" w:rsidR="00EE3F14" w:rsidRPr="000901D1" w:rsidRDefault="00EE3F14" w:rsidP="00E15374">
            <w:pPr>
              <w:pStyle w:val="MDPI31text"/>
              <w:spacing w:line="240" w:lineRule="auto"/>
              <w:ind w:left="0" w:firstLine="0"/>
              <w:rPr>
                <w:rFonts w:ascii="Times New Roman" w:hAnsi="Times New Roman"/>
                <w:sz w:val="16"/>
                <w:szCs w:val="16"/>
              </w:rPr>
            </w:pPr>
          </w:p>
        </w:tc>
        <w:tc>
          <w:tcPr>
            <w:tcW w:w="1117" w:type="dxa"/>
          </w:tcPr>
          <w:p w14:paraId="52A165D0" w14:textId="4221B292"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Omicron</w:t>
            </w:r>
          </w:p>
        </w:tc>
        <w:tc>
          <w:tcPr>
            <w:tcW w:w="1890" w:type="dxa"/>
          </w:tcPr>
          <w:p w14:paraId="14CBB954" w14:textId="7A136203" w:rsidR="00EE3F14"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46</w:t>
            </w:r>
            <w:r w:rsidR="007D6145">
              <w:rPr>
                <w:rFonts w:ascii="Times New Roman" w:hAnsi="Times New Roman"/>
                <w:sz w:val="16"/>
                <w:szCs w:val="16"/>
              </w:rPr>
              <w:t>58.881</w:t>
            </w:r>
          </w:p>
        </w:tc>
        <w:tc>
          <w:tcPr>
            <w:tcW w:w="1416" w:type="dxa"/>
          </w:tcPr>
          <w:p w14:paraId="6691910C" w14:textId="79096278" w:rsidR="00EE3F14"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1143.295</w:t>
            </w:r>
          </w:p>
        </w:tc>
        <w:tc>
          <w:tcPr>
            <w:tcW w:w="883" w:type="dxa"/>
          </w:tcPr>
          <w:p w14:paraId="797668C6" w14:textId="383677FA" w:rsidR="00EE3F14"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&lt;.001</w:t>
            </w:r>
          </w:p>
        </w:tc>
        <w:tc>
          <w:tcPr>
            <w:tcW w:w="1906" w:type="dxa"/>
          </w:tcPr>
          <w:p w14:paraId="4E9E77F4" w14:textId="3CA01657" w:rsidR="00EE3F14"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1638.839</w:t>
            </w:r>
          </w:p>
        </w:tc>
        <w:tc>
          <w:tcPr>
            <w:tcW w:w="1701" w:type="dxa"/>
          </w:tcPr>
          <w:p w14:paraId="306CA794" w14:textId="623EA7E7" w:rsidR="00EE3F14"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7678.924</w:t>
            </w:r>
          </w:p>
        </w:tc>
      </w:tr>
      <w:tr w:rsidR="00EE3F14" w:rsidRPr="000901D1" w14:paraId="23D30139" w14:textId="77777777" w:rsidTr="00EE3F14">
        <w:trPr>
          <w:trHeight w:val="297"/>
        </w:trPr>
        <w:tc>
          <w:tcPr>
            <w:cnfStyle w:val="001000000000" w:firstRow="0" w:lastRow="0" w:firstColumn="1" w:lastColumn="0" w:oddVBand="0" w:evenVBand="0" w:oddHBand="0" w:evenHBand="0" w:firstRowFirstColumn="0" w:firstRowLastColumn="0" w:lastRowFirstColumn="0" w:lastRowLastColumn="0"/>
            <w:tcW w:w="1572" w:type="dxa"/>
          </w:tcPr>
          <w:p w14:paraId="03B551BC" w14:textId="65D27DE1" w:rsidR="00EE3F14" w:rsidRPr="000901D1" w:rsidRDefault="00EE3F14" w:rsidP="00E15374">
            <w:pPr>
              <w:pStyle w:val="MDPI31text"/>
              <w:spacing w:line="240" w:lineRule="auto"/>
              <w:ind w:left="0" w:firstLine="0"/>
              <w:rPr>
                <w:rFonts w:ascii="Times New Roman" w:hAnsi="Times New Roman"/>
                <w:sz w:val="16"/>
                <w:szCs w:val="16"/>
              </w:rPr>
            </w:pPr>
            <w:r>
              <w:rPr>
                <w:rFonts w:ascii="Times New Roman" w:hAnsi="Times New Roman"/>
                <w:sz w:val="16"/>
                <w:szCs w:val="16"/>
              </w:rPr>
              <w:t>Base</w:t>
            </w:r>
          </w:p>
        </w:tc>
        <w:tc>
          <w:tcPr>
            <w:tcW w:w="1117" w:type="dxa"/>
          </w:tcPr>
          <w:p w14:paraId="5E0D5936" w14:textId="13789AF2"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Alpha</w:t>
            </w:r>
          </w:p>
        </w:tc>
        <w:tc>
          <w:tcPr>
            <w:tcW w:w="1890" w:type="dxa"/>
          </w:tcPr>
          <w:p w14:paraId="41244422" w14:textId="05A5D7D0" w:rsidR="00EE3F14"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-2853.495</w:t>
            </w:r>
          </w:p>
        </w:tc>
        <w:tc>
          <w:tcPr>
            <w:tcW w:w="1416" w:type="dxa"/>
          </w:tcPr>
          <w:p w14:paraId="2756AC30" w14:textId="1286F836" w:rsidR="00EE3F14"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1142.376</w:t>
            </w:r>
          </w:p>
        </w:tc>
        <w:tc>
          <w:tcPr>
            <w:tcW w:w="883" w:type="dxa"/>
          </w:tcPr>
          <w:p w14:paraId="43186D20" w14:textId="34B385C8"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.076</w:t>
            </w:r>
          </w:p>
        </w:tc>
        <w:tc>
          <w:tcPr>
            <w:tcW w:w="1906" w:type="dxa"/>
          </w:tcPr>
          <w:p w14:paraId="1B1F4D9A" w14:textId="66646CED"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-5871.110</w:t>
            </w:r>
          </w:p>
        </w:tc>
        <w:tc>
          <w:tcPr>
            <w:tcW w:w="1701" w:type="dxa"/>
          </w:tcPr>
          <w:p w14:paraId="1AF0D2C8" w14:textId="79ED85A9"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164.120</w:t>
            </w:r>
          </w:p>
        </w:tc>
      </w:tr>
      <w:tr w:rsidR="00EE3F14" w:rsidRPr="000901D1" w14:paraId="66849912" w14:textId="77777777" w:rsidTr="00EE3F14">
        <w:trPr>
          <w:trHeight w:val="297"/>
        </w:trPr>
        <w:tc>
          <w:tcPr>
            <w:cnfStyle w:val="001000000000" w:firstRow="0" w:lastRow="0" w:firstColumn="1" w:lastColumn="0" w:oddVBand="0" w:evenVBand="0" w:oddHBand="0" w:evenHBand="0" w:firstRowFirstColumn="0" w:firstRowLastColumn="0" w:lastRowFirstColumn="0" w:lastRowLastColumn="0"/>
            <w:tcW w:w="1572" w:type="dxa"/>
          </w:tcPr>
          <w:p w14:paraId="5CFF870C" w14:textId="77777777" w:rsidR="00EE3F14" w:rsidRPr="000901D1" w:rsidRDefault="00EE3F14" w:rsidP="00E15374">
            <w:pPr>
              <w:pStyle w:val="MDPI31text"/>
              <w:spacing w:line="240" w:lineRule="auto"/>
              <w:ind w:left="0" w:firstLine="0"/>
              <w:rPr>
                <w:rFonts w:ascii="Times New Roman" w:hAnsi="Times New Roman"/>
                <w:sz w:val="16"/>
                <w:szCs w:val="16"/>
              </w:rPr>
            </w:pPr>
          </w:p>
        </w:tc>
        <w:tc>
          <w:tcPr>
            <w:tcW w:w="1117" w:type="dxa"/>
          </w:tcPr>
          <w:p w14:paraId="51ECB5D8" w14:textId="75018944"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Delta</w:t>
            </w:r>
          </w:p>
        </w:tc>
        <w:tc>
          <w:tcPr>
            <w:tcW w:w="1890" w:type="dxa"/>
          </w:tcPr>
          <w:p w14:paraId="0108FB2F" w14:textId="5663E9FB" w:rsidR="00EE3F14"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-2983.989</w:t>
            </w:r>
          </w:p>
        </w:tc>
        <w:tc>
          <w:tcPr>
            <w:tcW w:w="1416" w:type="dxa"/>
          </w:tcPr>
          <w:p w14:paraId="5098FA23" w14:textId="122CF2C0" w:rsidR="00EE3F14"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1142.376</w:t>
            </w:r>
          </w:p>
        </w:tc>
        <w:tc>
          <w:tcPr>
            <w:tcW w:w="883" w:type="dxa"/>
          </w:tcPr>
          <w:p w14:paraId="17C0F62C" w14:textId="75E0A9E8"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.054</w:t>
            </w:r>
          </w:p>
        </w:tc>
        <w:tc>
          <w:tcPr>
            <w:tcW w:w="1906" w:type="dxa"/>
          </w:tcPr>
          <w:p w14:paraId="60B0B2AD" w14:textId="579F2F41"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-6001.604</w:t>
            </w:r>
          </w:p>
        </w:tc>
        <w:tc>
          <w:tcPr>
            <w:tcW w:w="1701" w:type="dxa"/>
          </w:tcPr>
          <w:p w14:paraId="75C375A1" w14:textId="1B4D88D5"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33.626</w:t>
            </w:r>
          </w:p>
        </w:tc>
      </w:tr>
      <w:tr w:rsidR="00EE3F14" w:rsidRPr="000901D1" w14:paraId="67C603BE" w14:textId="77777777" w:rsidTr="00EE3F14">
        <w:trPr>
          <w:trHeight w:val="297"/>
        </w:trPr>
        <w:tc>
          <w:tcPr>
            <w:cnfStyle w:val="001000000000" w:firstRow="0" w:lastRow="0" w:firstColumn="1" w:lastColumn="0" w:oddVBand="0" w:evenVBand="0" w:oddHBand="0" w:evenHBand="0" w:firstRowFirstColumn="0" w:firstRowLastColumn="0" w:lastRowFirstColumn="0" w:lastRowLastColumn="0"/>
            <w:tcW w:w="1572" w:type="dxa"/>
          </w:tcPr>
          <w:p w14:paraId="618EFDDF" w14:textId="77777777" w:rsidR="00EE3F14" w:rsidRPr="000901D1" w:rsidRDefault="00EE3F14" w:rsidP="00E15374">
            <w:pPr>
              <w:pStyle w:val="MDPI31text"/>
              <w:spacing w:line="240" w:lineRule="auto"/>
              <w:ind w:left="0" w:firstLine="0"/>
              <w:rPr>
                <w:rFonts w:ascii="Times New Roman" w:hAnsi="Times New Roman"/>
                <w:sz w:val="16"/>
                <w:szCs w:val="16"/>
              </w:rPr>
            </w:pPr>
          </w:p>
        </w:tc>
        <w:tc>
          <w:tcPr>
            <w:tcW w:w="1117" w:type="dxa"/>
          </w:tcPr>
          <w:p w14:paraId="45AE3DF6" w14:textId="1CAD572E"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Pr>
                <w:rFonts w:ascii="Times New Roman" w:hAnsi="Times New Roman"/>
                <w:sz w:val="16"/>
                <w:szCs w:val="16"/>
              </w:rPr>
              <w:t>Omicrpn</w:t>
            </w:r>
            <w:proofErr w:type="spellEnd"/>
          </w:p>
        </w:tc>
        <w:tc>
          <w:tcPr>
            <w:tcW w:w="1890" w:type="dxa"/>
          </w:tcPr>
          <w:p w14:paraId="488BDA10" w14:textId="49E76C19" w:rsidR="00EE3F14"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1805.387</w:t>
            </w:r>
          </w:p>
        </w:tc>
        <w:tc>
          <w:tcPr>
            <w:tcW w:w="1416" w:type="dxa"/>
          </w:tcPr>
          <w:p w14:paraId="38396D88" w14:textId="5A431F8A" w:rsidR="00EE3F14"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1143.939</w:t>
            </w:r>
          </w:p>
        </w:tc>
        <w:tc>
          <w:tcPr>
            <w:tcW w:w="883" w:type="dxa"/>
          </w:tcPr>
          <w:p w14:paraId="0E2BCC75" w14:textId="47E2A7E7"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.688</w:t>
            </w:r>
          </w:p>
        </w:tc>
        <w:tc>
          <w:tcPr>
            <w:tcW w:w="1906" w:type="dxa"/>
          </w:tcPr>
          <w:p w14:paraId="414F5402" w14:textId="34B5F7E6"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-1216.356</w:t>
            </w:r>
          </w:p>
        </w:tc>
        <w:tc>
          <w:tcPr>
            <w:tcW w:w="1701" w:type="dxa"/>
          </w:tcPr>
          <w:p w14:paraId="1B56B0B6" w14:textId="5405C1B5"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4827.129</w:t>
            </w:r>
          </w:p>
        </w:tc>
      </w:tr>
      <w:tr w:rsidR="00EE3F14" w:rsidRPr="000901D1" w14:paraId="7362A3B6" w14:textId="77777777" w:rsidTr="00EE3F14">
        <w:trPr>
          <w:trHeight w:val="297"/>
        </w:trPr>
        <w:tc>
          <w:tcPr>
            <w:cnfStyle w:val="001000000000" w:firstRow="0" w:lastRow="0" w:firstColumn="1" w:lastColumn="0" w:oddVBand="0" w:evenVBand="0" w:oddHBand="0" w:evenHBand="0" w:firstRowFirstColumn="0" w:firstRowLastColumn="0" w:lastRowFirstColumn="0" w:lastRowLastColumn="0"/>
            <w:tcW w:w="1572" w:type="dxa"/>
          </w:tcPr>
          <w:p w14:paraId="239695BD" w14:textId="473620A4" w:rsidR="00EE3F14" w:rsidRPr="000901D1" w:rsidRDefault="00EE3F14" w:rsidP="00E15374">
            <w:pPr>
              <w:pStyle w:val="MDPI31text"/>
              <w:spacing w:line="240" w:lineRule="auto"/>
              <w:ind w:left="0" w:firstLine="0"/>
              <w:rPr>
                <w:rFonts w:ascii="Times New Roman" w:hAnsi="Times New Roman"/>
                <w:sz w:val="16"/>
                <w:szCs w:val="16"/>
              </w:rPr>
            </w:pPr>
            <w:r>
              <w:rPr>
                <w:rFonts w:ascii="Times New Roman" w:hAnsi="Times New Roman"/>
                <w:sz w:val="16"/>
                <w:szCs w:val="16"/>
              </w:rPr>
              <w:t>Delta</w:t>
            </w:r>
          </w:p>
        </w:tc>
        <w:tc>
          <w:tcPr>
            <w:tcW w:w="1117" w:type="dxa"/>
          </w:tcPr>
          <w:p w14:paraId="62FB2DA7" w14:textId="37392E8C"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Alpha</w:t>
            </w:r>
          </w:p>
        </w:tc>
        <w:tc>
          <w:tcPr>
            <w:tcW w:w="1890" w:type="dxa"/>
          </w:tcPr>
          <w:p w14:paraId="59135022" w14:textId="50FA744B" w:rsidR="00EE3F14"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130.494</w:t>
            </w:r>
          </w:p>
        </w:tc>
        <w:tc>
          <w:tcPr>
            <w:tcW w:w="1416" w:type="dxa"/>
          </w:tcPr>
          <w:p w14:paraId="54F61AD7" w14:textId="6191D972" w:rsidR="00EE3F14"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1141.732</w:t>
            </w:r>
          </w:p>
        </w:tc>
        <w:tc>
          <w:tcPr>
            <w:tcW w:w="883" w:type="dxa"/>
          </w:tcPr>
          <w:p w14:paraId="007098EE" w14:textId="614DABD6"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1.000</w:t>
            </w:r>
          </w:p>
        </w:tc>
        <w:tc>
          <w:tcPr>
            <w:tcW w:w="1906" w:type="dxa"/>
          </w:tcPr>
          <w:p w14:paraId="7AA7885F" w14:textId="483E581E"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-2885.418</w:t>
            </w:r>
          </w:p>
        </w:tc>
        <w:tc>
          <w:tcPr>
            <w:tcW w:w="1701" w:type="dxa"/>
          </w:tcPr>
          <w:p w14:paraId="0827A146" w14:textId="20A86FE5"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3146.407</w:t>
            </w:r>
          </w:p>
        </w:tc>
      </w:tr>
      <w:tr w:rsidR="00EE3F14" w:rsidRPr="000901D1" w14:paraId="2544ACFB" w14:textId="77777777" w:rsidTr="00EE3F14">
        <w:trPr>
          <w:trHeight w:val="297"/>
        </w:trPr>
        <w:tc>
          <w:tcPr>
            <w:cnfStyle w:val="001000000000" w:firstRow="0" w:lastRow="0" w:firstColumn="1" w:lastColumn="0" w:oddVBand="0" w:evenVBand="0" w:oddHBand="0" w:evenHBand="0" w:firstRowFirstColumn="0" w:firstRowLastColumn="0" w:lastRowFirstColumn="0" w:lastRowLastColumn="0"/>
            <w:tcW w:w="1572" w:type="dxa"/>
          </w:tcPr>
          <w:p w14:paraId="5C378494" w14:textId="77777777" w:rsidR="00EE3F14" w:rsidRPr="000901D1" w:rsidRDefault="00EE3F14" w:rsidP="00E15374">
            <w:pPr>
              <w:pStyle w:val="MDPI31text"/>
              <w:spacing w:line="240" w:lineRule="auto"/>
              <w:ind w:left="0" w:firstLine="0"/>
              <w:rPr>
                <w:rFonts w:ascii="Times New Roman" w:hAnsi="Times New Roman"/>
                <w:sz w:val="16"/>
                <w:szCs w:val="16"/>
              </w:rPr>
            </w:pPr>
          </w:p>
        </w:tc>
        <w:tc>
          <w:tcPr>
            <w:tcW w:w="1117" w:type="dxa"/>
          </w:tcPr>
          <w:p w14:paraId="58E61BF9" w14:textId="6F68DBA8"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Base</w:t>
            </w:r>
          </w:p>
        </w:tc>
        <w:tc>
          <w:tcPr>
            <w:tcW w:w="1890" w:type="dxa"/>
          </w:tcPr>
          <w:p w14:paraId="0ECC031D" w14:textId="6F51F814" w:rsidR="00EE3F14"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2983.989</w:t>
            </w:r>
          </w:p>
        </w:tc>
        <w:tc>
          <w:tcPr>
            <w:tcW w:w="1416" w:type="dxa"/>
          </w:tcPr>
          <w:p w14:paraId="43A03957" w14:textId="113E9C74" w:rsidR="00EE3F14"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1142.376</w:t>
            </w:r>
          </w:p>
        </w:tc>
        <w:tc>
          <w:tcPr>
            <w:tcW w:w="883" w:type="dxa"/>
          </w:tcPr>
          <w:p w14:paraId="74C49538" w14:textId="22D07884"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.054</w:t>
            </w:r>
          </w:p>
        </w:tc>
        <w:tc>
          <w:tcPr>
            <w:tcW w:w="1906" w:type="dxa"/>
          </w:tcPr>
          <w:p w14:paraId="349D84A6" w14:textId="7F4F17D1"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-33.626</w:t>
            </w:r>
          </w:p>
        </w:tc>
        <w:tc>
          <w:tcPr>
            <w:tcW w:w="1701" w:type="dxa"/>
          </w:tcPr>
          <w:p w14:paraId="19F69F29" w14:textId="20FD952F"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6001.604</w:t>
            </w:r>
          </w:p>
        </w:tc>
      </w:tr>
      <w:tr w:rsidR="00EE3F14" w:rsidRPr="000901D1" w14:paraId="453F67A8" w14:textId="77777777" w:rsidTr="00EE3F14">
        <w:trPr>
          <w:trHeight w:val="297"/>
        </w:trPr>
        <w:tc>
          <w:tcPr>
            <w:cnfStyle w:val="001000000000" w:firstRow="0" w:lastRow="0" w:firstColumn="1" w:lastColumn="0" w:oddVBand="0" w:evenVBand="0" w:oddHBand="0" w:evenHBand="0" w:firstRowFirstColumn="0" w:firstRowLastColumn="0" w:lastRowFirstColumn="0" w:lastRowLastColumn="0"/>
            <w:tcW w:w="1572" w:type="dxa"/>
          </w:tcPr>
          <w:p w14:paraId="31E28BDA" w14:textId="77777777" w:rsidR="00EE3F14" w:rsidRPr="000901D1" w:rsidRDefault="00EE3F14" w:rsidP="00E15374">
            <w:pPr>
              <w:pStyle w:val="MDPI31text"/>
              <w:spacing w:line="240" w:lineRule="auto"/>
              <w:ind w:left="0" w:firstLine="0"/>
              <w:rPr>
                <w:rFonts w:ascii="Times New Roman" w:hAnsi="Times New Roman"/>
                <w:sz w:val="16"/>
                <w:szCs w:val="16"/>
              </w:rPr>
            </w:pPr>
          </w:p>
        </w:tc>
        <w:tc>
          <w:tcPr>
            <w:tcW w:w="1117" w:type="dxa"/>
          </w:tcPr>
          <w:p w14:paraId="5B1BF99E" w14:textId="5A33C174" w:rsidR="00EE3F14" w:rsidRPr="000901D1" w:rsidRDefault="00EE3F1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Omicron</w:t>
            </w:r>
          </w:p>
        </w:tc>
        <w:tc>
          <w:tcPr>
            <w:tcW w:w="1890" w:type="dxa"/>
          </w:tcPr>
          <w:p w14:paraId="5B4410EB" w14:textId="6DBCDBCA" w:rsidR="00EE3F14"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4789.376</w:t>
            </w:r>
          </w:p>
        </w:tc>
        <w:tc>
          <w:tcPr>
            <w:tcW w:w="1416" w:type="dxa"/>
          </w:tcPr>
          <w:p w14:paraId="5D49DE23" w14:textId="6643223D" w:rsidR="00EE3F14"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1143.295</w:t>
            </w:r>
          </w:p>
        </w:tc>
        <w:tc>
          <w:tcPr>
            <w:tcW w:w="883" w:type="dxa"/>
          </w:tcPr>
          <w:p w14:paraId="75DBCB97" w14:textId="0E827302"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&lt;.001</w:t>
            </w:r>
          </w:p>
        </w:tc>
        <w:tc>
          <w:tcPr>
            <w:tcW w:w="1906" w:type="dxa"/>
          </w:tcPr>
          <w:p w14:paraId="0C1E48C2" w14:textId="377241E3"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1769.333</w:t>
            </w:r>
          </w:p>
        </w:tc>
        <w:tc>
          <w:tcPr>
            <w:tcW w:w="1701" w:type="dxa"/>
          </w:tcPr>
          <w:p w14:paraId="00D9F958" w14:textId="1EEB6E09" w:rsidR="00EE3F14"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7809.418</w:t>
            </w:r>
          </w:p>
        </w:tc>
      </w:tr>
      <w:tr w:rsidR="000C3739" w:rsidRPr="000901D1" w14:paraId="23BE1D2D" w14:textId="77777777" w:rsidTr="00EE3F14">
        <w:trPr>
          <w:trHeight w:val="297"/>
        </w:trPr>
        <w:tc>
          <w:tcPr>
            <w:cnfStyle w:val="001000000000" w:firstRow="0" w:lastRow="0" w:firstColumn="1" w:lastColumn="0" w:oddVBand="0" w:evenVBand="0" w:oddHBand="0" w:evenHBand="0" w:firstRowFirstColumn="0" w:firstRowLastColumn="0" w:lastRowFirstColumn="0" w:lastRowLastColumn="0"/>
            <w:tcW w:w="1572" w:type="dxa"/>
          </w:tcPr>
          <w:p w14:paraId="57B2C6FE" w14:textId="72B6F891" w:rsidR="000C3739" w:rsidRPr="000901D1" w:rsidRDefault="000C3739" w:rsidP="00E15374">
            <w:pPr>
              <w:pStyle w:val="MDPI31text"/>
              <w:spacing w:line="240" w:lineRule="auto"/>
              <w:ind w:left="0" w:firstLine="0"/>
              <w:rPr>
                <w:rFonts w:ascii="Times New Roman" w:hAnsi="Times New Roman"/>
                <w:sz w:val="16"/>
                <w:szCs w:val="16"/>
              </w:rPr>
            </w:pPr>
            <w:r>
              <w:rPr>
                <w:rFonts w:ascii="Times New Roman" w:hAnsi="Times New Roman"/>
                <w:sz w:val="16"/>
                <w:szCs w:val="16"/>
              </w:rPr>
              <w:t>Omicron</w:t>
            </w:r>
          </w:p>
        </w:tc>
        <w:tc>
          <w:tcPr>
            <w:tcW w:w="1117" w:type="dxa"/>
          </w:tcPr>
          <w:p w14:paraId="0088D99D" w14:textId="3475B181" w:rsidR="000C3739"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Alpha</w:t>
            </w:r>
          </w:p>
        </w:tc>
        <w:tc>
          <w:tcPr>
            <w:tcW w:w="1890" w:type="dxa"/>
          </w:tcPr>
          <w:p w14:paraId="1D111F9F" w14:textId="6F13AE87" w:rsidR="000C3739"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-4658.881</w:t>
            </w:r>
          </w:p>
        </w:tc>
        <w:tc>
          <w:tcPr>
            <w:tcW w:w="1416" w:type="dxa"/>
          </w:tcPr>
          <w:p w14:paraId="34F6EA75" w14:textId="64C173CB" w:rsidR="000C3739"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1143.939</w:t>
            </w:r>
          </w:p>
        </w:tc>
        <w:tc>
          <w:tcPr>
            <w:tcW w:w="883" w:type="dxa"/>
          </w:tcPr>
          <w:p w14:paraId="7F8D6BB8" w14:textId="1AAE8304" w:rsidR="000C3739"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&lt;.001</w:t>
            </w:r>
          </w:p>
        </w:tc>
        <w:tc>
          <w:tcPr>
            <w:tcW w:w="1906" w:type="dxa"/>
          </w:tcPr>
          <w:p w14:paraId="6F6A78E6" w14:textId="4456FA29" w:rsidR="000C3739"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-7678.924</w:t>
            </w:r>
          </w:p>
        </w:tc>
        <w:tc>
          <w:tcPr>
            <w:tcW w:w="1701" w:type="dxa"/>
          </w:tcPr>
          <w:p w14:paraId="62AD0C4F" w14:textId="6D1E570D" w:rsidR="000C3739"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-1638.839</w:t>
            </w:r>
          </w:p>
        </w:tc>
      </w:tr>
      <w:tr w:rsidR="000C3739" w:rsidRPr="000901D1" w14:paraId="200F04EF" w14:textId="77777777" w:rsidTr="00EE3F14">
        <w:trPr>
          <w:trHeight w:val="297"/>
        </w:trPr>
        <w:tc>
          <w:tcPr>
            <w:cnfStyle w:val="001000000000" w:firstRow="0" w:lastRow="0" w:firstColumn="1" w:lastColumn="0" w:oddVBand="0" w:evenVBand="0" w:oddHBand="0" w:evenHBand="0" w:firstRowFirstColumn="0" w:firstRowLastColumn="0" w:lastRowFirstColumn="0" w:lastRowLastColumn="0"/>
            <w:tcW w:w="1572" w:type="dxa"/>
          </w:tcPr>
          <w:p w14:paraId="6E5C3C40" w14:textId="77777777" w:rsidR="000C3739" w:rsidRPr="000901D1" w:rsidRDefault="000C3739" w:rsidP="00E15374">
            <w:pPr>
              <w:pStyle w:val="MDPI31text"/>
              <w:spacing w:line="240" w:lineRule="auto"/>
              <w:ind w:left="0" w:firstLine="0"/>
              <w:rPr>
                <w:rFonts w:ascii="Times New Roman" w:hAnsi="Times New Roman"/>
                <w:sz w:val="16"/>
                <w:szCs w:val="16"/>
              </w:rPr>
            </w:pPr>
          </w:p>
        </w:tc>
        <w:tc>
          <w:tcPr>
            <w:tcW w:w="1117" w:type="dxa"/>
          </w:tcPr>
          <w:p w14:paraId="63804614" w14:textId="364EC553" w:rsidR="000C3739"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Base</w:t>
            </w:r>
          </w:p>
        </w:tc>
        <w:tc>
          <w:tcPr>
            <w:tcW w:w="1890" w:type="dxa"/>
          </w:tcPr>
          <w:p w14:paraId="4B0D5D95" w14:textId="1BA2460F" w:rsidR="000C3739"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-1805.387</w:t>
            </w:r>
          </w:p>
        </w:tc>
        <w:tc>
          <w:tcPr>
            <w:tcW w:w="1416" w:type="dxa"/>
          </w:tcPr>
          <w:p w14:paraId="5ACC01AE" w14:textId="64D7343C" w:rsidR="000C3739"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1143.939</w:t>
            </w:r>
          </w:p>
        </w:tc>
        <w:tc>
          <w:tcPr>
            <w:tcW w:w="883" w:type="dxa"/>
          </w:tcPr>
          <w:p w14:paraId="5F696745" w14:textId="2A600298" w:rsidR="000C3739"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.688</w:t>
            </w:r>
          </w:p>
        </w:tc>
        <w:tc>
          <w:tcPr>
            <w:tcW w:w="1906" w:type="dxa"/>
          </w:tcPr>
          <w:p w14:paraId="69ABB3F5" w14:textId="39CB9868" w:rsidR="000C3739"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-4827.129</w:t>
            </w:r>
          </w:p>
        </w:tc>
        <w:tc>
          <w:tcPr>
            <w:tcW w:w="1701" w:type="dxa"/>
          </w:tcPr>
          <w:p w14:paraId="7B239B70" w14:textId="242A7E27" w:rsidR="000C3739"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1216.356</w:t>
            </w:r>
          </w:p>
        </w:tc>
      </w:tr>
      <w:tr w:rsidR="000C3739" w:rsidRPr="000901D1" w14:paraId="4BEEFFF3" w14:textId="77777777" w:rsidTr="00EE3F14">
        <w:trPr>
          <w:trHeight w:val="297"/>
        </w:trPr>
        <w:tc>
          <w:tcPr>
            <w:cnfStyle w:val="001000000000" w:firstRow="0" w:lastRow="0" w:firstColumn="1" w:lastColumn="0" w:oddVBand="0" w:evenVBand="0" w:oddHBand="0" w:evenHBand="0" w:firstRowFirstColumn="0" w:firstRowLastColumn="0" w:lastRowFirstColumn="0" w:lastRowLastColumn="0"/>
            <w:tcW w:w="1572" w:type="dxa"/>
          </w:tcPr>
          <w:p w14:paraId="5FE8C481" w14:textId="77777777" w:rsidR="000C3739" w:rsidRPr="000901D1" w:rsidRDefault="000C3739" w:rsidP="00E15374">
            <w:pPr>
              <w:pStyle w:val="MDPI31text"/>
              <w:spacing w:line="240" w:lineRule="auto"/>
              <w:ind w:left="0" w:firstLine="0"/>
              <w:rPr>
                <w:rFonts w:ascii="Times New Roman" w:hAnsi="Times New Roman"/>
                <w:sz w:val="16"/>
                <w:szCs w:val="16"/>
              </w:rPr>
            </w:pPr>
          </w:p>
        </w:tc>
        <w:tc>
          <w:tcPr>
            <w:tcW w:w="1117" w:type="dxa"/>
          </w:tcPr>
          <w:p w14:paraId="7FC76120" w14:textId="30AE7AB5" w:rsidR="000C3739"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Delta</w:t>
            </w:r>
          </w:p>
        </w:tc>
        <w:tc>
          <w:tcPr>
            <w:tcW w:w="1890" w:type="dxa"/>
          </w:tcPr>
          <w:p w14:paraId="1EE607C8" w14:textId="491C7C53" w:rsidR="000C3739"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-4789.376</w:t>
            </w:r>
          </w:p>
        </w:tc>
        <w:tc>
          <w:tcPr>
            <w:tcW w:w="1416" w:type="dxa"/>
          </w:tcPr>
          <w:p w14:paraId="79C54092" w14:textId="6B6A2DBA" w:rsidR="000C3739" w:rsidRPr="000901D1"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11.43.295</w:t>
            </w:r>
          </w:p>
        </w:tc>
        <w:tc>
          <w:tcPr>
            <w:tcW w:w="883" w:type="dxa"/>
          </w:tcPr>
          <w:p w14:paraId="1F4B14BB" w14:textId="36D07DE8" w:rsidR="000C3739"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&lt;.001</w:t>
            </w:r>
          </w:p>
        </w:tc>
        <w:tc>
          <w:tcPr>
            <w:tcW w:w="1906" w:type="dxa"/>
          </w:tcPr>
          <w:p w14:paraId="1E670ECC" w14:textId="131E24AF" w:rsidR="000C3739"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-7809.418</w:t>
            </w:r>
          </w:p>
        </w:tc>
        <w:tc>
          <w:tcPr>
            <w:tcW w:w="1701" w:type="dxa"/>
          </w:tcPr>
          <w:p w14:paraId="72AF58CF" w14:textId="0C99BAE1" w:rsidR="000C3739" w:rsidRDefault="000C3739"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-1769.333</w:t>
            </w:r>
          </w:p>
        </w:tc>
      </w:tr>
      <w:bookmarkEnd w:id="1"/>
    </w:tbl>
    <w:p w14:paraId="2B0F0625" w14:textId="77777777" w:rsidR="00EE3F14" w:rsidRDefault="00EE3F14" w:rsidP="00EE3F14">
      <w:pPr>
        <w:pStyle w:val="MDPI31text"/>
        <w:spacing w:line="240" w:lineRule="auto"/>
        <w:ind w:left="0" w:firstLine="0"/>
        <w:rPr>
          <w:sz w:val="24"/>
          <w:szCs w:val="24"/>
        </w:rPr>
      </w:pPr>
    </w:p>
    <w:p w14:paraId="090724F9" w14:textId="77777777" w:rsidR="00EE3F14" w:rsidRPr="00A16086" w:rsidRDefault="00EE3F14" w:rsidP="00EE3F14">
      <w:pPr>
        <w:pStyle w:val="MDPI31text"/>
        <w:spacing w:line="240" w:lineRule="auto"/>
        <w:ind w:left="0" w:firstLine="0"/>
        <w:rPr>
          <w:sz w:val="24"/>
          <w:szCs w:val="24"/>
        </w:rPr>
      </w:pPr>
    </w:p>
    <w:p w14:paraId="05DFE1E7" w14:textId="05DCE24F" w:rsidR="00467D09" w:rsidRPr="00A16086" w:rsidRDefault="00467D09" w:rsidP="0010011E">
      <w:pPr>
        <w:pStyle w:val="MDPI31text"/>
        <w:spacing w:line="240" w:lineRule="auto"/>
        <w:ind w:left="0" w:firstLine="0"/>
        <w:rPr>
          <w:i/>
          <w:iCs/>
          <w:sz w:val="24"/>
          <w:szCs w:val="24"/>
        </w:rPr>
      </w:pPr>
      <w:r w:rsidRPr="00A16086">
        <w:rPr>
          <w:i/>
          <w:iCs/>
          <w:sz w:val="24"/>
          <w:szCs w:val="24"/>
        </w:rPr>
        <w:t xml:space="preserve">City-Specific Comparisons (Table 4) </w:t>
      </w:r>
    </w:p>
    <w:p w14:paraId="6125309D" w14:textId="77777777" w:rsidR="00467D09" w:rsidRPr="00A16086" w:rsidRDefault="00467D09" w:rsidP="0010011E">
      <w:pPr>
        <w:pStyle w:val="MDPI31text"/>
        <w:spacing w:line="240" w:lineRule="auto"/>
        <w:ind w:left="0" w:firstLine="0"/>
        <w:rPr>
          <w:sz w:val="24"/>
          <w:szCs w:val="24"/>
        </w:rPr>
      </w:pPr>
    </w:p>
    <w:p w14:paraId="76E326EB" w14:textId="73999BC9" w:rsidR="00C57945" w:rsidRPr="00A16086" w:rsidRDefault="00467D09" w:rsidP="0010011E">
      <w:pPr>
        <w:pStyle w:val="MDPI31text"/>
        <w:spacing w:line="240" w:lineRule="auto"/>
        <w:ind w:left="0" w:firstLine="0"/>
        <w:rPr>
          <w:sz w:val="24"/>
          <w:szCs w:val="24"/>
        </w:rPr>
      </w:pPr>
      <w:r w:rsidRPr="00A16086">
        <w:rPr>
          <w:sz w:val="24"/>
          <w:szCs w:val="24"/>
        </w:rPr>
        <w:t xml:space="preserve">The analysis conducted city-specific comparisons between different COVID-19 strains in Atlanta and Miami, revealing notable variations in park visitation patterns. In Atlanta, the Alpha vs. Base strain showed a non-significant mean difference of 2512.469 in visits (p = .771), while the Base vs. Delta strain exhibited a significant negative change, with a mean difference of -3526.187 (p = </w:t>
      </w:r>
      <w:r w:rsidR="009F1F42">
        <w:rPr>
          <w:sz w:val="24"/>
          <w:szCs w:val="24"/>
        </w:rPr>
        <w:t>656.198</w:t>
      </w:r>
      <w:r w:rsidRPr="00A16086">
        <w:rPr>
          <w:sz w:val="24"/>
          <w:szCs w:val="24"/>
        </w:rPr>
        <w:t xml:space="preserve">). Conversely, a significant increase in visits was observed in Atlanta when comparing the Delta and Omicron strains, with a mean difference of 5761.596 (p = .003). In Miami, significant increases in visits were noted during the Alpha vs. Base strain comparison (mean difference of 3194.521, p = .040) and the Delta vs. Omicron strain comparison (mean difference of 3817.156, p = .093). </w:t>
      </w:r>
    </w:p>
    <w:p w14:paraId="2F1CA1EB" w14:textId="77777777" w:rsidR="005F354D" w:rsidRDefault="005F354D" w:rsidP="0010011E">
      <w:pPr>
        <w:pStyle w:val="MDPI31text"/>
        <w:spacing w:line="240" w:lineRule="auto"/>
        <w:ind w:left="0" w:firstLine="0"/>
        <w:rPr>
          <w:sz w:val="24"/>
          <w:szCs w:val="24"/>
        </w:rPr>
      </w:pPr>
    </w:p>
    <w:p w14:paraId="1A0EDE80" w14:textId="77777777" w:rsidR="009F1F42" w:rsidRDefault="009F1F42" w:rsidP="0010011E">
      <w:pPr>
        <w:pStyle w:val="MDPI31text"/>
        <w:spacing w:line="240" w:lineRule="auto"/>
        <w:ind w:left="0" w:firstLine="0"/>
        <w:rPr>
          <w:sz w:val="24"/>
          <w:szCs w:val="24"/>
        </w:rPr>
      </w:pPr>
    </w:p>
    <w:p w14:paraId="37D27AAC" w14:textId="77777777" w:rsidR="009F1F42" w:rsidRDefault="009F1F42" w:rsidP="0010011E">
      <w:pPr>
        <w:pStyle w:val="MDPI31text"/>
        <w:spacing w:line="240" w:lineRule="auto"/>
        <w:ind w:left="0" w:firstLine="0"/>
        <w:rPr>
          <w:sz w:val="24"/>
          <w:szCs w:val="24"/>
        </w:rPr>
      </w:pPr>
    </w:p>
    <w:p w14:paraId="4316C32C" w14:textId="77777777" w:rsidR="009F1F42" w:rsidRDefault="009F1F42" w:rsidP="0010011E">
      <w:pPr>
        <w:pStyle w:val="MDPI31text"/>
        <w:spacing w:line="240" w:lineRule="auto"/>
        <w:ind w:left="0" w:firstLine="0"/>
        <w:rPr>
          <w:sz w:val="24"/>
          <w:szCs w:val="24"/>
        </w:rPr>
      </w:pPr>
    </w:p>
    <w:p w14:paraId="4CBE8DFA" w14:textId="77777777" w:rsidR="009F1F42" w:rsidRDefault="009F1F42" w:rsidP="0010011E">
      <w:pPr>
        <w:pStyle w:val="MDPI31text"/>
        <w:spacing w:line="240" w:lineRule="auto"/>
        <w:ind w:left="0" w:firstLine="0"/>
        <w:rPr>
          <w:sz w:val="24"/>
          <w:szCs w:val="24"/>
        </w:rPr>
      </w:pPr>
    </w:p>
    <w:p w14:paraId="19478FF2" w14:textId="77777777" w:rsidR="009F1F42" w:rsidRDefault="009F1F42" w:rsidP="0010011E">
      <w:pPr>
        <w:pStyle w:val="MDPI31text"/>
        <w:spacing w:line="240" w:lineRule="auto"/>
        <w:ind w:left="0" w:firstLine="0"/>
        <w:rPr>
          <w:sz w:val="24"/>
          <w:szCs w:val="24"/>
        </w:rPr>
      </w:pPr>
    </w:p>
    <w:p w14:paraId="20FB3CDD" w14:textId="77777777" w:rsidR="009F1F42" w:rsidRDefault="009F1F42" w:rsidP="0010011E">
      <w:pPr>
        <w:pStyle w:val="MDPI31text"/>
        <w:spacing w:line="240" w:lineRule="auto"/>
        <w:ind w:left="0" w:firstLine="0"/>
        <w:rPr>
          <w:sz w:val="24"/>
          <w:szCs w:val="24"/>
        </w:rPr>
      </w:pPr>
    </w:p>
    <w:p w14:paraId="6CE74D8F" w14:textId="77777777" w:rsidR="009F1F42" w:rsidRDefault="009F1F42" w:rsidP="0010011E">
      <w:pPr>
        <w:pStyle w:val="MDPI31text"/>
        <w:spacing w:line="240" w:lineRule="auto"/>
        <w:ind w:left="0" w:firstLine="0"/>
        <w:rPr>
          <w:sz w:val="24"/>
          <w:szCs w:val="24"/>
        </w:rPr>
      </w:pPr>
    </w:p>
    <w:p w14:paraId="4BA211CF" w14:textId="77777777" w:rsidR="009F1F42" w:rsidRDefault="009F1F42" w:rsidP="0010011E">
      <w:pPr>
        <w:pStyle w:val="MDPI31text"/>
        <w:spacing w:line="240" w:lineRule="auto"/>
        <w:ind w:left="0" w:firstLine="0"/>
        <w:rPr>
          <w:sz w:val="24"/>
          <w:szCs w:val="24"/>
        </w:rPr>
      </w:pPr>
    </w:p>
    <w:p w14:paraId="384BB195" w14:textId="77777777" w:rsidR="009F1F42" w:rsidRDefault="009F1F42" w:rsidP="0010011E">
      <w:pPr>
        <w:pStyle w:val="MDPI31text"/>
        <w:spacing w:line="240" w:lineRule="auto"/>
        <w:ind w:left="0" w:firstLine="0"/>
        <w:rPr>
          <w:sz w:val="24"/>
          <w:szCs w:val="24"/>
        </w:rPr>
      </w:pPr>
    </w:p>
    <w:p w14:paraId="55157E81" w14:textId="77777777" w:rsidR="009F1F42" w:rsidRDefault="009F1F42" w:rsidP="0010011E">
      <w:pPr>
        <w:pStyle w:val="MDPI31text"/>
        <w:spacing w:line="240" w:lineRule="auto"/>
        <w:ind w:left="0" w:firstLine="0"/>
        <w:rPr>
          <w:sz w:val="24"/>
          <w:szCs w:val="24"/>
        </w:rPr>
      </w:pPr>
    </w:p>
    <w:p w14:paraId="6C5E5A5E" w14:textId="77777777" w:rsidR="009F1F42" w:rsidRDefault="009F1F42" w:rsidP="0010011E">
      <w:pPr>
        <w:pStyle w:val="MDPI31text"/>
        <w:spacing w:line="240" w:lineRule="auto"/>
        <w:ind w:left="0" w:firstLine="0"/>
        <w:rPr>
          <w:sz w:val="24"/>
          <w:szCs w:val="24"/>
        </w:rPr>
      </w:pPr>
    </w:p>
    <w:p w14:paraId="1EDBFCA3" w14:textId="77777777" w:rsidR="009F1F42" w:rsidRPr="00A16086" w:rsidRDefault="009F1F42" w:rsidP="0010011E">
      <w:pPr>
        <w:pStyle w:val="MDPI31text"/>
        <w:spacing w:line="240" w:lineRule="auto"/>
        <w:ind w:left="0" w:firstLine="0"/>
        <w:rPr>
          <w:sz w:val="24"/>
          <w:szCs w:val="24"/>
        </w:rPr>
      </w:pPr>
    </w:p>
    <w:p w14:paraId="7A59CF30" w14:textId="7ABDC0B4" w:rsidR="004E28B5" w:rsidRPr="009F1F42" w:rsidRDefault="00467D09" w:rsidP="009F1F42">
      <w:pPr>
        <w:pStyle w:val="MDPI31text"/>
        <w:spacing w:line="240" w:lineRule="auto"/>
        <w:ind w:left="0" w:firstLine="0"/>
        <w:rPr>
          <w:i/>
          <w:iCs/>
          <w:sz w:val="24"/>
          <w:szCs w:val="24"/>
        </w:rPr>
      </w:pPr>
      <w:r w:rsidRPr="00A16086">
        <w:rPr>
          <w:i/>
          <w:iCs/>
          <w:sz w:val="24"/>
          <w:szCs w:val="24"/>
        </w:rPr>
        <w:t>Table 4: City-specific comparisons.</w:t>
      </w:r>
    </w:p>
    <w:p w14:paraId="3C64AFE7" w14:textId="77777777" w:rsidR="007D6145" w:rsidRPr="00A16086" w:rsidRDefault="007D6145" w:rsidP="007D6145">
      <w:pPr>
        <w:pStyle w:val="MDPI31text"/>
        <w:spacing w:line="240" w:lineRule="auto"/>
        <w:ind w:left="0" w:firstLine="0"/>
        <w:rPr>
          <w:sz w:val="24"/>
          <w:szCs w:val="24"/>
        </w:rPr>
      </w:pPr>
    </w:p>
    <w:tbl>
      <w:tblPr>
        <w:tblStyle w:val="TableGrid"/>
        <w:tblW w:w="0" w:type="auto"/>
        <w:tblLook w:val="04A0" w:firstRow="1" w:lastRow="0" w:firstColumn="1" w:lastColumn="0" w:noHBand="0" w:noVBand="1"/>
      </w:tblPr>
      <w:tblGrid>
        <w:gridCol w:w="10456"/>
      </w:tblGrid>
      <w:tr w:rsidR="007D6145" w14:paraId="57838F75" w14:textId="77777777" w:rsidTr="00E15374">
        <w:tc>
          <w:tcPr>
            <w:tcW w:w="10456" w:type="dxa"/>
          </w:tcPr>
          <w:p w14:paraId="7DBD055C" w14:textId="77777777" w:rsidR="007D6145" w:rsidRPr="00AE5FFC" w:rsidRDefault="007D6145" w:rsidP="00E15374">
            <w:pPr>
              <w:pStyle w:val="MDPI31text"/>
              <w:spacing w:line="240" w:lineRule="auto"/>
              <w:ind w:left="0" w:firstLine="0"/>
              <w:rPr>
                <w:b/>
                <w:bCs/>
                <w:sz w:val="24"/>
                <w:szCs w:val="24"/>
              </w:rPr>
            </w:pPr>
            <w:r>
              <w:rPr>
                <w:sz w:val="24"/>
                <w:szCs w:val="24"/>
              </w:rPr>
              <w:t xml:space="preserve">                                 </w:t>
            </w:r>
            <w:r w:rsidRPr="00AE5FFC">
              <w:rPr>
                <w:b/>
                <w:bCs/>
                <w:sz w:val="24"/>
                <w:szCs w:val="24"/>
              </w:rPr>
              <w:t>Pairwise Comparisons</w:t>
            </w:r>
          </w:p>
        </w:tc>
      </w:tr>
    </w:tbl>
    <w:p w14:paraId="6D237137" w14:textId="77777777" w:rsidR="007D6145" w:rsidRPr="00A16086" w:rsidRDefault="007D6145" w:rsidP="007D6145">
      <w:pPr>
        <w:pStyle w:val="MDPI31text"/>
        <w:spacing w:line="240" w:lineRule="auto"/>
        <w:ind w:left="0" w:firstLine="0"/>
        <w:rPr>
          <w:sz w:val="24"/>
          <w:szCs w:val="24"/>
        </w:rPr>
      </w:pPr>
    </w:p>
    <w:tbl>
      <w:tblPr>
        <w:tblStyle w:val="GridTable1Light"/>
        <w:tblW w:w="10916" w:type="dxa"/>
        <w:tblInd w:w="-6" w:type="dxa"/>
        <w:tblLayout w:type="fixed"/>
        <w:tblLook w:val="04A0" w:firstRow="1" w:lastRow="0" w:firstColumn="1" w:lastColumn="0" w:noHBand="0" w:noVBand="1"/>
      </w:tblPr>
      <w:tblGrid>
        <w:gridCol w:w="1418"/>
        <w:gridCol w:w="68"/>
        <w:gridCol w:w="1055"/>
        <w:gridCol w:w="11"/>
        <w:gridCol w:w="992"/>
        <w:gridCol w:w="52"/>
        <w:gridCol w:w="1794"/>
        <w:gridCol w:w="1348"/>
        <w:gridCol w:w="67"/>
        <w:gridCol w:w="709"/>
        <w:gridCol w:w="58"/>
        <w:gridCol w:w="1798"/>
        <w:gridCol w:w="13"/>
        <w:gridCol w:w="1533"/>
      </w:tblGrid>
      <w:tr w:rsidR="007D6145" w:rsidRPr="000901D1" w14:paraId="7A2971AE" w14:textId="77777777" w:rsidTr="00ED5DE4">
        <w:trPr>
          <w:cnfStyle w:val="100000000000" w:firstRow="1" w:lastRow="0" w:firstColumn="0" w:lastColumn="0" w:oddVBand="0" w:evenVBand="0" w:oddHBand="0" w:evenHBand="0" w:firstRowFirstColumn="0" w:firstRowLastColumn="0" w:lastRowFirstColumn="0" w:lastRowLastColumn="0"/>
          <w:trHeight w:val="912"/>
        </w:trPr>
        <w:tc>
          <w:tcPr>
            <w:cnfStyle w:val="001000000000" w:firstRow="0" w:lastRow="0" w:firstColumn="1" w:lastColumn="0" w:oddVBand="0" w:evenVBand="0" w:oddHBand="0" w:evenHBand="0" w:firstRowFirstColumn="0" w:firstRowLastColumn="0" w:lastRowFirstColumn="0" w:lastRowLastColumn="0"/>
            <w:tcW w:w="1486" w:type="dxa"/>
            <w:gridSpan w:val="2"/>
          </w:tcPr>
          <w:p w14:paraId="03BB3289" w14:textId="1FCF0B31" w:rsidR="007D6145" w:rsidRPr="000901D1" w:rsidRDefault="007D6145" w:rsidP="00E15374">
            <w:pPr>
              <w:pStyle w:val="MDPI31text"/>
              <w:spacing w:line="240" w:lineRule="auto"/>
              <w:ind w:left="0" w:firstLine="0"/>
              <w:rPr>
                <w:rFonts w:ascii="Times New Roman" w:hAnsi="Times New Roman"/>
                <w:sz w:val="16"/>
                <w:szCs w:val="16"/>
              </w:rPr>
            </w:pPr>
            <w:r>
              <w:rPr>
                <w:rFonts w:ascii="Times New Roman" w:hAnsi="Times New Roman"/>
                <w:sz w:val="16"/>
                <w:szCs w:val="16"/>
              </w:rPr>
              <w:t>City</w:t>
            </w:r>
          </w:p>
        </w:tc>
        <w:tc>
          <w:tcPr>
            <w:tcW w:w="1055" w:type="dxa"/>
          </w:tcPr>
          <w:p w14:paraId="19AC125F" w14:textId="0F73F9DF" w:rsidR="007D6145" w:rsidRDefault="007D6145"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Strains (</w:t>
            </w:r>
            <w:proofErr w:type="spellStart"/>
            <w:r>
              <w:rPr>
                <w:rFonts w:ascii="Times New Roman" w:hAnsi="Times New Roman"/>
                <w:sz w:val="16"/>
                <w:szCs w:val="16"/>
              </w:rPr>
              <w:t>i</w:t>
            </w:r>
            <w:proofErr w:type="spellEnd"/>
            <w:r>
              <w:rPr>
                <w:rFonts w:ascii="Times New Roman" w:hAnsi="Times New Roman"/>
                <w:sz w:val="16"/>
                <w:szCs w:val="16"/>
              </w:rPr>
              <w:t>)</w:t>
            </w:r>
          </w:p>
        </w:tc>
        <w:tc>
          <w:tcPr>
            <w:tcW w:w="1055" w:type="dxa"/>
            <w:gridSpan w:val="3"/>
          </w:tcPr>
          <w:p w14:paraId="3F8E6672" w14:textId="50DBC1F1" w:rsidR="007D6145" w:rsidRPr="000901D1" w:rsidRDefault="007D6145"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Strains (j)</w:t>
            </w:r>
          </w:p>
        </w:tc>
        <w:tc>
          <w:tcPr>
            <w:tcW w:w="1794" w:type="dxa"/>
          </w:tcPr>
          <w:p w14:paraId="54FCF17D" w14:textId="77777777" w:rsidR="007D6145" w:rsidRPr="000901D1" w:rsidRDefault="007D6145"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0901D1">
              <w:rPr>
                <w:rFonts w:ascii="Times New Roman" w:hAnsi="Times New Roman"/>
                <w:sz w:val="16"/>
                <w:szCs w:val="16"/>
              </w:rPr>
              <w:t>Mean Difference (I-J)</w:t>
            </w:r>
          </w:p>
        </w:tc>
        <w:tc>
          <w:tcPr>
            <w:tcW w:w="1348" w:type="dxa"/>
          </w:tcPr>
          <w:p w14:paraId="06C92C98" w14:textId="77777777" w:rsidR="007D6145" w:rsidRPr="000901D1" w:rsidRDefault="007D6145"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sidRPr="000901D1">
              <w:rPr>
                <w:rFonts w:ascii="Times New Roman" w:hAnsi="Times New Roman"/>
                <w:sz w:val="16"/>
                <w:szCs w:val="16"/>
              </w:rPr>
              <w:t>Std.Error</w:t>
            </w:r>
            <w:proofErr w:type="spellEnd"/>
          </w:p>
        </w:tc>
        <w:tc>
          <w:tcPr>
            <w:tcW w:w="834" w:type="dxa"/>
            <w:gridSpan w:val="3"/>
          </w:tcPr>
          <w:p w14:paraId="6EC07113" w14:textId="77777777" w:rsidR="007D6145" w:rsidRPr="000901D1" w:rsidRDefault="007D6145"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 xml:space="preserve">Sig </w:t>
            </w:r>
          </w:p>
        </w:tc>
        <w:tc>
          <w:tcPr>
            <w:tcW w:w="1798" w:type="dxa"/>
          </w:tcPr>
          <w:p w14:paraId="67BEC609" w14:textId="77777777" w:rsidR="007D6145" w:rsidRDefault="007D6145"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sidRPr="000901D1">
              <w:rPr>
                <w:rFonts w:ascii="Times New Roman" w:hAnsi="Times New Roman"/>
                <w:sz w:val="16"/>
                <w:szCs w:val="16"/>
              </w:rPr>
              <w:t>95% confidence interval for Difference</w:t>
            </w:r>
          </w:p>
          <w:p w14:paraId="1CC022E9" w14:textId="77777777" w:rsidR="007D6145" w:rsidRDefault="007D6145"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p>
          <w:p w14:paraId="1207FDBE" w14:textId="77777777" w:rsidR="007D6145" w:rsidRPr="000901D1" w:rsidRDefault="007D6145"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Lower Bound</w:t>
            </w:r>
          </w:p>
        </w:tc>
        <w:tc>
          <w:tcPr>
            <w:tcW w:w="1546" w:type="dxa"/>
            <w:gridSpan w:val="2"/>
          </w:tcPr>
          <w:p w14:paraId="579E253C" w14:textId="77777777" w:rsidR="007D6145" w:rsidRDefault="007D6145"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sidRPr="000901D1">
              <w:rPr>
                <w:rFonts w:ascii="Times New Roman" w:hAnsi="Times New Roman"/>
                <w:sz w:val="16"/>
                <w:szCs w:val="16"/>
              </w:rPr>
              <w:t>95% confidence interval for Difference</w:t>
            </w:r>
          </w:p>
          <w:p w14:paraId="69074603" w14:textId="77777777" w:rsidR="007D6145" w:rsidRDefault="007D6145"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p>
          <w:p w14:paraId="5715CB69" w14:textId="77777777" w:rsidR="007D6145" w:rsidRPr="000901D1" w:rsidRDefault="007D6145" w:rsidP="00E15374">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Pr>
                <w:rFonts w:ascii="Times New Roman" w:hAnsi="Times New Roman"/>
                <w:sz w:val="16"/>
                <w:szCs w:val="16"/>
              </w:rPr>
              <w:t>Upper Bound</w:t>
            </w:r>
          </w:p>
        </w:tc>
      </w:tr>
      <w:tr w:rsidR="007D6145" w:rsidRPr="000901D1" w14:paraId="1F6A63A2" w14:textId="77777777" w:rsidTr="00ED5DE4">
        <w:trPr>
          <w:trHeight w:val="284"/>
        </w:trPr>
        <w:tc>
          <w:tcPr>
            <w:cnfStyle w:val="001000000000" w:firstRow="0" w:lastRow="0" w:firstColumn="1" w:lastColumn="0" w:oddVBand="0" w:evenVBand="0" w:oddHBand="0" w:evenHBand="0" w:firstRowFirstColumn="0" w:firstRowLastColumn="0" w:lastRowFirstColumn="0" w:lastRowLastColumn="0"/>
            <w:tcW w:w="1486" w:type="dxa"/>
            <w:gridSpan w:val="2"/>
          </w:tcPr>
          <w:p w14:paraId="22FB07B0" w14:textId="51EF43C0" w:rsidR="007D6145" w:rsidRPr="000901D1" w:rsidRDefault="007D6145" w:rsidP="00E15374">
            <w:pPr>
              <w:pStyle w:val="MDPI31text"/>
              <w:spacing w:line="240" w:lineRule="auto"/>
              <w:ind w:left="0" w:firstLine="0"/>
              <w:rPr>
                <w:rFonts w:ascii="Times New Roman" w:hAnsi="Times New Roman"/>
                <w:sz w:val="16"/>
                <w:szCs w:val="16"/>
              </w:rPr>
            </w:pPr>
            <w:bookmarkStart w:id="2" w:name="_Hlk212295290"/>
            <w:r>
              <w:rPr>
                <w:rFonts w:ascii="Times New Roman" w:hAnsi="Times New Roman"/>
                <w:sz w:val="16"/>
                <w:szCs w:val="16"/>
              </w:rPr>
              <w:t>Atlanta</w:t>
            </w:r>
          </w:p>
        </w:tc>
        <w:tc>
          <w:tcPr>
            <w:tcW w:w="1055" w:type="dxa"/>
          </w:tcPr>
          <w:p w14:paraId="122D3858" w14:textId="50626572"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Alpha</w:t>
            </w:r>
          </w:p>
        </w:tc>
        <w:tc>
          <w:tcPr>
            <w:tcW w:w="1055" w:type="dxa"/>
            <w:gridSpan w:val="3"/>
          </w:tcPr>
          <w:p w14:paraId="1362BEEF" w14:textId="7949757D"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Base</w:t>
            </w:r>
          </w:p>
        </w:tc>
        <w:tc>
          <w:tcPr>
            <w:tcW w:w="1794" w:type="dxa"/>
          </w:tcPr>
          <w:p w14:paraId="4E43A20D" w14:textId="102589E2"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2512.</w:t>
            </w:r>
            <w:r w:rsidR="009D62CF">
              <w:rPr>
                <w:rFonts w:ascii="Times New Roman" w:hAnsi="Times New Roman"/>
                <w:sz w:val="16"/>
                <w:szCs w:val="16"/>
              </w:rPr>
              <w:t>469</w:t>
            </w:r>
          </w:p>
        </w:tc>
        <w:tc>
          <w:tcPr>
            <w:tcW w:w="1348" w:type="dxa"/>
          </w:tcPr>
          <w:p w14:paraId="13ACB4A7" w14:textId="0D9382CD"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1652.093</w:t>
            </w:r>
          </w:p>
        </w:tc>
        <w:tc>
          <w:tcPr>
            <w:tcW w:w="834" w:type="dxa"/>
            <w:gridSpan w:val="3"/>
          </w:tcPr>
          <w:p w14:paraId="639B1BAB" w14:textId="25D87AE1"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Pr>
                <w:rFonts w:ascii="Times New Roman" w:hAnsi="Times New Roman"/>
                <w:sz w:val="16"/>
                <w:szCs w:val="16"/>
              </w:rPr>
              <w:t>771</w:t>
            </w:r>
          </w:p>
        </w:tc>
        <w:tc>
          <w:tcPr>
            <w:tcW w:w="1798" w:type="dxa"/>
          </w:tcPr>
          <w:p w14:paraId="50816761" w14:textId="4C7E5054"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Pr>
                <w:rFonts w:ascii="Times New Roman" w:hAnsi="Times New Roman"/>
                <w:sz w:val="16"/>
                <w:szCs w:val="16"/>
              </w:rPr>
              <w:t>1851.576</w:t>
            </w:r>
          </w:p>
        </w:tc>
        <w:tc>
          <w:tcPr>
            <w:tcW w:w="1546" w:type="dxa"/>
            <w:gridSpan w:val="2"/>
          </w:tcPr>
          <w:p w14:paraId="0F67E289" w14:textId="2A9C69BE"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587</w:t>
            </w:r>
            <w:r>
              <w:rPr>
                <w:rFonts w:ascii="Times New Roman" w:hAnsi="Times New Roman"/>
                <w:sz w:val="16"/>
                <w:szCs w:val="16"/>
              </w:rPr>
              <w:t>6.513</w:t>
            </w:r>
          </w:p>
        </w:tc>
      </w:tr>
      <w:tr w:rsidR="007D6145" w:rsidRPr="000901D1" w14:paraId="716AE23A"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4F7D0ABA" w14:textId="77777777" w:rsidR="007D6145" w:rsidRPr="000901D1" w:rsidRDefault="007D6145" w:rsidP="00E15374">
            <w:pPr>
              <w:pStyle w:val="MDPI31text"/>
              <w:spacing w:line="240" w:lineRule="auto"/>
              <w:ind w:left="0" w:firstLine="0"/>
              <w:rPr>
                <w:rFonts w:ascii="Times New Roman" w:hAnsi="Times New Roman"/>
                <w:sz w:val="16"/>
                <w:szCs w:val="16"/>
              </w:rPr>
            </w:pPr>
          </w:p>
        </w:tc>
        <w:tc>
          <w:tcPr>
            <w:tcW w:w="1055" w:type="dxa"/>
          </w:tcPr>
          <w:p w14:paraId="3D94391E" w14:textId="77777777"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055" w:type="dxa"/>
            <w:gridSpan w:val="3"/>
          </w:tcPr>
          <w:p w14:paraId="0B116959" w14:textId="6BD74C3A"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Delta</w:t>
            </w:r>
          </w:p>
        </w:tc>
        <w:tc>
          <w:tcPr>
            <w:tcW w:w="1794" w:type="dxa"/>
          </w:tcPr>
          <w:p w14:paraId="360344C3" w14:textId="2E97A787"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w:t>
            </w:r>
            <w:r w:rsidR="009D62CF">
              <w:rPr>
                <w:rFonts w:ascii="Times New Roman" w:hAnsi="Times New Roman"/>
                <w:sz w:val="16"/>
                <w:szCs w:val="16"/>
              </w:rPr>
              <w:t>013.718</w:t>
            </w:r>
          </w:p>
        </w:tc>
        <w:tc>
          <w:tcPr>
            <w:tcW w:w="1348" w:type="dxa"/>
          </w:tcPr>
          <w:p w14:paraId="3671C6FB" w14:textId="0F834048" w:rsidR="007D6145" w:rsidRPr="000901D1" w:rsidRDefault="00ED5DE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1652.093</w:t>
            </w:r>
          </w:p>
        </w:tc>
        <w:tc>
          <w:tcPr>
            <w:tcW w:w="834" w:type="dxa"/>
            <w:gridSpan w:val="3"/>
          </w:tcPr>
          <w:p w14:paraId="45EB525E" w14:textId="77777777"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1.000</w:t>
            </w:r>
          </w:p>
        </w:tc>
        <w:tc>
          <w:tcPr>
            <w:tcW w:w="1798" w:type="dxa"/>
          </w:tcPr>
          <w:p w14:paraId="6FC3A90D" w14:textId="5E72EBC8"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ED5DE4">
              <w:rPr>
                <w:rFonts w:ascii="Times New Roman" w:hAnsi="Times New Roman"/>
                <w:sz w:val="16"/>
                <w:szCs w:val="16"/>
              </w:rPr>
              <w:t>5377.752</w:t>
            </w:r>
          </w:p>
        </w:tc>
        <w:tc>
          <w:tcPr>
            <w:tcW w:w="1546" w:type="dxa"/>
            <w:gridSpan w:val="2"/>
          </w:tcPr>
          <w:p w14:paraId="40394DCF" w14:textId="0CA565A4" w:rsidR="007D6145" w:rsidRPr="000901D1" w:rsidRDefault="00ED5DE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3350.327</w:t>
            </w:r>
          </w:p>
        </w:tc>
      </w:tr>
      <w:tr w:rsidR="007D6145" w:rsidRPr="000901D1" w14:paraId="2182A787"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2C75B7B8" w14:textId="77777777" w:rsidR="007D6145" w:rsidRPr="000901D1" w:rsidRDefault="007D6145" w:rsidP="00E15374">
            <w:pPr>
              <w:pStyle w:val="MDPI31text"/>
              <w:spacing w:line="240" w:lineRule="auto"/>
              <w:ind w:left="0" w:firstLine="0"/>
              <w:rPr>
                <w:rFonts w:ascii="Times New Roman" w:hAnsi="Times New Roman"/>
                <w:sz w:val="16"/>
                <w:szCs w:val="16"/>
              </w:rPr>
            </w:pPr>
          </w:p>
        </w:tc>
        <w:tc>
          <w:tcPr>
            <w:tcW w:w="1055" w:type="dxa"/>
          </w:tcPr>
          <w:p w14:paraId="519461FD" w14:textId="77777777"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055" w:type="dxa"/>
            <w:gridSpan w:val="3"/>
          </w:tcPr>
          <w:p w14:paraId="3B15D002" w14:textId="7A600B09"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Omicron</w:t>
            </w:r>
          </w:p>
        </w:tc>
        <w:tc>
          <w:tcPr>
            <w:tcW w:w="1794" w:type="dxa"/>
          </w:tcPr>
          <w:p w14:paraId="4ED99F1D" w14:textId="183D8051"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w:t>
            </w:r>
            <w:r w:rsidR="00ED5DE4">
              <w:rPr>
                <w:rFonts w:ascii="Times New Roman" w:hAnsi="Times New Roman"/>
                <w:sz w:val="16"/>
                <w:szCs w:val="16"/>
              </w:rPr>
              <w:t>747.878</w:t>
            </w:r>
          </w:p>
        </w:tc>
        <w:tc>
          <w:tcPr>
            <w:tcW w:w="1348" w:type="dxa"/>
          </w:tcPr>
          <w:p w14:paraId="0DB9F2D4" w14:textId="71BF1064" w:rsidR="007D6145" w:rsidRPr="000901D1" w:rsidRDefault="00ED5DE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1656.412</w:t>
            </w:r>
          </w:p>
        </w:tc>
        <w:tc>
          <w:tcPr>
            <w:tcW w:w="834" w:type="dxa"/>
            <w:gridSpan w:val="3"/>
          </w:tcPr>
          <w:p w14:paraId="31A579F2" w14:textId="2F38CE89" w:rsidR="007D6145" w:rsidRDefault="00ED5DE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.025</w:t>
            </w:r>
          </w:p>
        </w:tc>
        <w:tc>
          <w:tcPr>
            <w:tcW w:w="1798" w:type="dxa"/>
          </w:tcPr>
          <w:p w14:paraId="344404F8" w14:textId="24E4DA71" w:rsidR="007D6145" w:rsidRDefault="009F1F42"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372.425</w:t>
            </w:r>
          </w:p>
        </w:tc>
        <w:tc>
          <w:tcPr>
            <w:tcW w:w="1546" w:type="dxa"/>
            <w:gridSpan w:val="2"/>
          </w:tcPr>
          <w:p w14:paraId="307F5F95" w14:textId="406DFC2C" w:rsidR="007D6145" w:rsidRDefault="00ED5DE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9123.332</w:t>
            </w:r>
          </w:p>
        </w:tc>
      </w:tr>
      <w:tr w:rsidR="007D6145" w:rsidRPr="000901D1" w14:paraId="5A588611"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2C61BC10" w14:textId="438E7FC3" w:rsidR="007D6145" w:rsidRPr="000901D1" w:rsidRDefault="007D6145" w:rsidP="00E15374">
            <w:pPr>
              <w:pStyle w:val="MDPI31text"/>
              <w:spacing w:line="240" w:lineRule="auto"/>
              <w:ind w:left="0" w:firstLine="0"/>
              <w:rPr>
                <w:rFonts w:ascii="Times New Roman" w:hAnsi="Times New Roman"/>
                <w:sz w:val="16"/>
                <w:szCs w:val="16"/>
              </w:rPr>
            </w:pPr>
          </w:p>
        </w:tc>
        <w:tc>
          <w:tcPr>
            <w:tcW w:w="1055" w:type="dxa"/>
          </w:tcPr>
          <w:p w14:paraId="7CDAA0BB" w14:textId="4CC83381"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Base</w:t>
            </w:r>
          </w:p>
        </w:tc>
        <w:tc>
          <w:tcPr>
            <w:tcW w:w="1055" w:type="dxa"/>
            <w:gridSpan w:val="3"/>
          </w:tcPr>
          <w:p w14:paraId="3C78795F" w14:textId="447FFB5B"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Alpha</w:t>
            </w:r>
          </w:p>
        </w:tc>
        <w:tc>
          <w:tcPr>
            <w:tcW w:w="1794" w:type="dxa"/>
          </w:tcPr>
          <w:p w14:paraId="74D4F6E4" w14:textId="789AF046"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9D62CF">
              <w:rPr>
                <w:rFonts w:ascii="Times New Roman" w:hAnsi="Times New Roman"/>
                <w:sz w:val="16"/>
                <w:szCs w:val="16"/>
              </w:rPr>
              <w:t>2512.469</w:t>
            </w:r>
          </w:p>
        </w:tc>
        <w:tc>
          <w:tcPr>
            <w:tcW w:w="1348" w:type="dxa"/>
          </w:tcPr>
          <w:p w14:paraId="291090AD" w14:textId="23D8D9B0"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w:t>
            </w:r>
            <w:r w:rsidR="00ED5DE4">
              <w:rPr>
                <w:rFonts w:ascii="Times New Roman" w:hAnsi="Times New Roman"/>
                <w:sz w:val="16"/>
                <w:szCs w:val="16"/>
              </w:rPr>
              <w:t>652.093</w:t>
            </w:r>
          </w:p>
        </w:tc>
        <w:tc>
          <w:tcPr>
            <w:tcW w:w="834" w:type="dxa"/>
            <w:gridSpan w:val="3"/>
          </w:tcPr>
          <w:p w14:paraId="7B8AFC75" w14:textId="2022B561" w:rsidR="007D6145" w:rsidRDefault="0054757B"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.771</w:t>
            </w:r>
          </w:p>
        </w:tc>
        <w:tc>
          <w:tcPr>
            <w:tcW w:w="1798" w:type="dxa"/>
          </w:tcPr>
          <w:p w14:paraId="1E041CE0" w14:textId="748F565A"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ED5DE4">
              <w:rPr>
                <w:rFonts w:ascii="Times New Roman" w:hAnsi="Times New Roman"/>
                <w:sz w:val="16"/>
                <w:szCs w:val="16"/>
              </w:rPr>
              <w:t>6876</w:t>
            </w:r>
            <w:r w:rsidR="009F1F42">
              <w:rPr>
                <w:rFonts w:ascii="Times New Roman" w:hAnsi="Times New Roman"/>
                <w:sz w:val="16"/>
                <w:szCs w:val="16"/>
              </w:rPr>
              <w:t>.513</w:t>
            </w:r>
          </w:p>
        </w:tc>
        <w:tc>
          <w:tcPr>
            <w:tcW w:w="1546" w:type="dxa"/>
            <w:gridSpan w:val="2"/>
          </w:tcPr>
          <w:p w14:paraId="1ED48755" w14:textId="0A1E6DC3" w:rsidR="007D6145" w:rsidRDefault="00ED5DE4"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1851.576</w:t>
            </w:r>
          </w:p>
        </w:tc>
      </w:tr>
      <w:tr w:rsidR="007D6145" w:rsidRPr="000901D1" w14:paraId="1E40CD62"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111C313D" w14:textId="77777777" w:rsidR="007D6145" w:rsidRPr="000901D1" w:rsidRDefault="007D6145" w:rsidP="00E15374">
            <w:pPr>
              <w:pStyle w:val="MDPI31text"/>
              <w:spacing w:line="240" w:lineRule="auto"/>
              <w:ind w:left="0" w:firstLine="0"/>
              <w:rPr>
                <w:rFonts w:ascii="Times New Roman" w:hAnsi="Times New Roman"/>
                <w:sz w:val="16"/>
                <w:szCs w:val="16"/>
              </w:rPr>
            </w:pPr>
          </w:p>
        </w:tc>
        <w:tc>
          <w:tcPr>
            <w:tcW w:w="1055" w:type="dxa"/>
          </w:tcPr>
          <w:p w14:paraId="5E0CB0D3" w14:textId="77777777"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055" w:type="dxa"/>
            <w:gridSpan w:val="3"/>
          </w:tcPr>
          <w:p w14:paraId="0199BCB1" w14:textId="6A551B7E"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Delta</w:t>
            </w:r>
          </w:p>
        </w:tc>
        <w:tc>
          <w:tcPr>
            <w:tcW w:w="1794" w:type="dxa"/>
          </w:tcPr>
          <w:p w14:paraId="01E88961" w14:textId="174F8A38"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9D62CF">
              <w:rPr>
                <w:rFonts w:ascii="Times New Roman" w:hAnsi="Times New Roman"/>
                <w:sz w:val="16"/>
                <w:szCs w:val="16"/>
              </w:rPr>
              <w:t>3526.187</w:t>
            </w:r>
          </w:p>
        </w:tc>
        <w:tc>
          <w:tcPr>
            <w:tcW w:w="1348" w:type="dxa"/>
          </w:tcPr>
          <w:p w14:paraId="50EAEEC2" w14:textId="7BE08C16" w:rsidR="007D6145" w:rsidRPr="000901D1" w:rsidRDefault="009D62CF"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1652.093</w:t>
            </w:r>
          </w:p>
        </w:tc>
        <w:tc>
          <w:tcPr>
            <w:tcW w:w="834" w:type="dxa"/>
            <w:gridSpan w:val="3"/>
          </w:tcPr>
          <w:p w14:paraId="5FD6675F" w14:textId="743E3AB0" w:rsidR="007D6145" w:rsidRDefault="0054757B"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.198</w:t>
            </w:r>
          </w:p>
        </w:tc>
        <w:tc>
          <w:tcPr>
            <w:tcW w:w="1798" w:type="dxa"/>
          </w:tcPr>
          <w:p w14:paraId="3F487F67" w14:textId="2F0716D8"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9F1F42">
              <w:rPr>
                <w:rFonts w:ascii="Times New Roman" w:hAnsi="Times New Roman"/>
                <w:sz w:val="16"/>
                <w:szCs w:val="16"/>
              </w:rPr>
              <w:t>7890.231</w:t>
            </w:r>
          </w:p>
        </w:tc>
        <w:tc>
          <w:tcPr>
            <w:tcW w:w="1546" w:type="dxa"/>
            <w:gridSpan w:val="2"/>
          </w:tcPr>
          <w:p w14:paraId="5B4C6EBA" w14:textId="057213D6" w:rsidR="007D6145" w:rsidRDefault="009F1F42"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837.858</w:t>
            </w:r>
          </w:p>
        </w:tc>
      </w:tr>
      <w:tr w:rsidR="007D6145" w:rsidRPr="000901D1" w14:paraId="4C61BC97"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3713ED16" w14:textId="77777777" w:rsidR="007D6145" w:rsidRPr="000901D1" w:rsidRDefault="007D6145" w:rsidP="00E15374">
            <w:pPr>
              <w:pStyle w:val="MDPI31text"/>
              <w:spacing w:line="240" w:lineRule="auto"/>
              <w:ind w:left="0" w:firstLine="0"/>
              <w:rPr>
                <w:rFonts w:ascii="Times New Roman" w:hAnsi="Times New Roman"/>
                <w:sz w:val="16"/>
                <w:szCs w:val="16"/>
              </w:rPr>
            </w:pPr>
          </w:p>
        </w:tc>
        <w:tc>
          <w:tcPr>
            <w:tcW w:w="1055" w:type="dxa"/>
          </w:tcPr>
          <w:p w14:paraId="1C6D3F62" w14:textId="77777777"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055" w:type="dxa"/>
            <w:gridSpan w:val="3"/>
          </w:tcPr>
          <w:p w14:paraId="127B3F95" w14:textId="27E878C1"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Pr>
                <w:rFonts w:ascii="Times New Roman" w:hAnsi="Times New Roman"/>
                <w:sz w:val="16"/>
                <w:szCs w:val="16"/>
              </w:rPr>
              <w:t>Omicrpn</w:t>
            </w:r>
            <w:proofErr w:type="spellEnd"/>
          </w:p>
        </w:tc>
        <w:tc>
          <w:tcPr>
            <w:tcW w:w="1794" w:type="dxa"/>
          </w:tcPr>
          <w:p w14:paraId="1D4301C3" w14:textId="7B24A1EC" w:rsidR="007D6145" w:rsidRPr="000901D1" w:rsidRDefault="009D62CF"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2235.409</w:t>
            </w:r>
          </w:p>
        </w:tc>
        <w:tc>
          <w:tcPr>
            <w:tcW w:w="1348" w:type="dxa"/>
          </w:tcPr>
          <w:p w14:paraId="2EA74605" w14:textId="1DE8114E"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w:t>
            </w:r>
            <w:r w:rsidR="009D62CF">
              <w:rPr>
                <w:rFonts w:ascii="Times New Roman" w:hAnsi="Times New Roman"/>
                <w:sz w:val="16"/>
                <w:szCs w:val="16"/>
              </w:rPr>
              <w:t>656.412</w:t>
            </w:r>
          </w:p>
        </w:tc>
        <w:tc>
          <w:tcPr>
            <w:tcW w:w="834" w:type="dxa"/>
            <w:gridSpan w:val="3"/>
          </w:tcPr>
          <w:p w14:paraId="6235FFC9" w14:textId="520EC3DD" w:rsidR="007D6145" w:rsidRDefault="0054757B"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1.000</w:t>
            </w:r>
          </w:p>
        </w:tc>
        <w:tc>
          <w:tcPr>
            <w:tcW w:w="1798" w:type="dxa"/>
          </w:tcPr>
          <w:p w14:paraId="4CA2B748" w14:textId="1347F26E"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9F1F42">
              <w:rPr>
                <w:rFonts w:ascii="Times New Roman" w:hAnsi="Times New Roman"/>
                <w:sz w:val="16"/>
                <w:szCs w:val="16"/>
              </w:rPr>
              <w:t>2140.044</w:t>
            </w:r>
          </w:p>
        </w:tc>
        <w:tc>
          <w:tcPr>
            <w:tcW w:w="1546" w:type="dxa"/>
            <w:gridSpan w:val="2"/>
          </w:tcPr>
          <w:p w14:paraId="195E2943" w14:textId="54B1BCC6" w:rsidR="007D6145" w:rsidRDefault="009F1F42"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6610.863</w:t>
            </w:r>
          </w:p>
        </w:tc>
      </w:tr>
      <w:tr w:rsidR="007D6145" w:rsidRPr="000901D1" w14:paraId="7F504C51"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5C8CD11C" w14:textId="46CB221E" w:rsidR="007D6145" w:rsidRPr="000901D1" w:rsidRDefault="007D6145" w:rsidP="00E15374">
            <w:pPr>
              <w:pStyle w:val="MDPI31text"/>
              <w:spacing w:line="240" w:lineRule="auto"/>
              <w:ind w:left="0" w:firstLine="0"/>
              <w:rPr>
                <w:rFonts w:ascii="Times New Roman" w:hAnsi="Times New Roman"/>
                <w:sz w:val="16"/>
                <w:szCs w:val="16"/>
              </w:rPr>
            </w:pPr>
          </w:p>
        </w:tc>
        <w:tc>
          <w:tcPr>
            <w:tcW w:w="1055" w:type="dxa"/>
          </w:tcPr>
          <w:p w14:paraId="02E3B211" w14:textId="79E8BE0C"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Delta</w:t>
            </w:r>
          </w:p>
        </w:tc>
        <w:tc>
          <w:tcPr>
            <w:tcW w:w="1055" w:type="dxa"/>
            <w:gridSpan w:val="3"/>
          </w:tcPr>
          <w:p w14:paraId="213EFA5D" w14:textId="26256014"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Alpha</w:t>
            </w:r>
          </w:p>
        </w:tc>
        <w:tc>
          <w:tcPr>
            <w:tcW w:w="1794" w:type="dxa"/>
          </w:tcPr>
          <w:p w14:paraId="08177770" w14:textId="2B72AC5B" w:rsidR="007D6145" w:rsidRPr="000901D1" w:rsidRDefault="009D62CF"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1013.718</w:t>
            </w:r>
          </w:p>
        </w:tc>
        <w:tc>
          <w:tcPr>
            <w:tcW w:w="1348" w:type="dxa"/>
          </w:tcPr>
          <w:p w14:paraId="074DB944" w14:textId="027089C8" w:rsidR="007D6145" w:rsidRPr="000901D1" w:rsidRDefault="009D62CF"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1652.093</w:t>
            </w:r>
          </w:p>
        </w:tc>
        <w:tc>
          <w:tcPr>
            <w:tcW w:w="834" w:type="dxa"/>
            <w:gridSpan w:val="3"/>
          </w:tcPr>
          <w:p w14:paraId="4BC9144F" w14:textId="46DF5BC5" w:rsidR="007D6145" w:rsidRDefault="0054757B"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1.000</w:t>
            </w:r>
          </w:p>
        </w:tc>
        <w:tc>
          <w:tcPr>
            <w:tcW w:w="1798" w:type="dxa"/>
          </w:tcPr>
          <w:p w14:paraId="7C1CF3C9" w14:textId="56EE0F8E"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9F1F42">
              <w:rPr>
                <w:rFonts w:ascii="Times New Roman" w:hAnsi="Times New Roman"/>
                <w:sz w:val="16"/>
                <w:szCs w:val="16"/>
              </w:rPr>
              <w:t>3350.327</w:t>
            </w:r>
          </w:p>
        </w:tc>
        <w:tc>
          <w:tcPr>
            <w:tcW w:w="1546" w:type="dxa"/>
            <w:gridSpan w:val="2"/>
          </w:tcPr>
          <w:p w14:paraId="7DC16518" w14:textId="2BE0DC32" w:rsidR="007D6145" w:rsidRDefault="009F1F42"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5377.762</w:t>
            </w:r>
          </w:p>
        </w:tc>
      </w:tr>
      <w:tr w:rsidR="007D6145" w:rsidRPr="000901D1" w14:paraId="56B86866"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468CB058" w14:textId="77777777" w:rsidR="007D6145" w:rsidRPr="000901D1" w:rsidRDefault="007D6145" w:rsidP="00E15374">
            <w:pPr>
              <w:pStyle w:val="MDPI31text"/>
              <w:spacing w:line="240" w:lineRule="auto"/>
              <w:ind w:left="0" w:firstLine="0"/>
              <w:rPr>
                <w:rFonts w:ascii="Times New Roman" w:hAnsi="Times New Roman"/>
                <w:sz w:val="16"/>
                <w:szCs w:val="16"/>
              </w:rPr>
            </w:pPr>
          </w:p>
        </w:tc>
        <w:tc>
          <w:tcPr>
            <w:tcW w:w="1055" w:type="dxa"/>
          </w:tcPr>
          <w:p w14:paraId="5E93F05A" w14:textId="77777777"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055" w:type="dxa"/>
            <w:gridSpan w:val="3"/>
          </w:tcPr>
          <w:p w14:paraId="1E55EF9F" w14:textId="7432DEA2"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Base</w:t>
            </w:r>
          </w:p>
        </w:tc>
        <w:tc>
          <w:tcPr>
            <w:tcW w:w="1794" w:type="dxa"/>
          </w:tcPr>
          <w:p w14:paraId="61D65D75" w14:textId="128F232E" w:rsidR="007D6145" w:rsidRPr="000901D1" w:rsidRDefault="009D62CF"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3526.187</w:t>
            </w:r>
          </w:p>
        </w:tc>
        <w:tc>
          <w:tcPr>
            <w:tcW w:w="1348" w:type="dxa"/>
          </w:tcPr>
          <w:p w14:paraId="77CC4245" w14:textId="742CA9E0" w:rsidR="007D6145" w:rsidRPr="000901D1" w:rsidRDefault="009D62CF"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1652.093</w:t>
            </w:r>
          </w:p>
        </w:tc>
        <w:tc>
          <w:tcPr>
            <w:tcW w:w="834" w:type="dxa"/>
            <w:gridSpan w:val="3"/>
          </w:tcPr>
          <w:p w14:paraId="72173910" w14:textId="5DF2D7C2" w:rsidR="007D6145" w:rsidRDefault="0054757B"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.198</w:t>
            </w:r>
          </w:p>
        </w:tc>
        <w:tc>
          <w:tcPr>
            <w:tcW w:w="1798" w:type="dxa"/>
          </w:tcPr>
          <w:p w14:paraId="7FF51F82" w14:textId="4A9E88B3"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9F1F42">
              <w:rPr>
                <w:rFonts w:ascii="Times New Roman" w:hAnsi="Times New Roman"/>
                <w:sz w:val="16"/>
                <w:szCs w:val="16"/>
              </w:rPr>
              <w:t>837.858</w:t>
            </w:r>
          </w:p>
        </w:tc>
        <w:tc>
          <w:tcPr>
            <w:tcW w:w="1546" w:type="dxa"/>
            <w:gridSpan w:val="2"/>
          </w:tcPr>
          <w:p w14:paraId="79C6B270" w14:textId="39B87466" w:rsidR="007D6145" w:rsidRDefault="009F1F42"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7890.231</w:t>
            </w:r>
          </w:p>
        </w:tc>
      </w:tr>
      <w:tr w:rsidR="007D6145" w:rsidRPr="000901D1" w14:paraId="35EEC43A"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7B89F8AD" w14:textId="77777777" w:rsidR="007D6145" w:rsidRPr="000901D1" w:rsidRDefault="007D6145" w:rsidP="00E15374">
            <w:pPr>
              <w:pStyle w:val="MDPI31text"/>
              <w:spacing w:line="240" w:lineRule="auto"/>
              <w:ind w:left="0" w:firstLine="0"/>
              <w:rPr>
                <w:rFonts w:ascii="Times New Roman" w:hAnsi="Times New Roman"/>
                <w:sz w:val="16"/>
                <w:szCs w:val="16"/>
              </w:rPr>
            </w:pPr>
          </w:p>
        </w:tc>
        <w:tc>
          <w:tcPr>
            <w:tcW w:w="1055" w:type="dxa"/>
          </w:tcPr>
          <w:p w14:paraId="68FBAE5A" w14:textId="77777777"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055" w:type="dxa"/>
            <w:gridSpan w:val="3"/>
          </w:tcPr>
          <w:p w14:paraId="77160D10" w14:textId="6C789511"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Omicron</w:t>
            </w:r>
          </w:p>
        </w:tc>
        <w:tc>
          <w:tcPr>
            <w:tcW w:w="1794" w:type="dxa"/>
          </w:tcPr>
          <w:p w14:paraId="240027B5" w14:textId="254B30D7" w:rsidR="007D6145" w:rsidRPr="000901D1" w:rsidRDefault="009D62CF"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5761.596</w:t>
            </w:r>
          </w:p>
        </w:tc>
        <w:tc>
          <w:tcPr>
            <w:tcW w:w="1348" w:type="dxa"/>
          </w:tcPr>
          <w:p w14:paraId="35001F33" w14:textId="37FD54B5" w:rsidR="007D6145" w:rsidRPr="000901D1" w:rsidRDefault="009D62CF"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1656.412</w:t>
            </w:r>
          </w:p>
        </w:tc>
        <w:tc>
          <w:tcPr>
            <w:tcW w:w="834" w:type="dxa"/>
            <w:gridSpan w:val="3"/>
          </w:tcPr>
          <w:p w14:paraId="60B9B633" w14:textId="0906E2F7" w:rsidR="007D6145" w:rsidRDefault="0054757B"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.003</w:t>
            </w:r>
          </w:p>
        </w:tc>
        <w:tc>
          <w:tcPr>
            <w:tcW w:w="1798" w:type="dxa"/>
          </w:tcPr>
          <w:p w14:paraId="4F8FB817" w14:textId="2894AFC3" w:rsidR="007D6145" w:rsidRDefault="009F1F42"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1386.142</w:t>
            </w:r>
          </w:p>
        </w:tc>
        <w:tc>
          <w:tcPr>
            <w:tcW w:w="1546" w:type="dxa"/>
            <w:gridSpan w:val="2"/>
          </w:tcPr>
          <w:p w14:paraId="579623F8" w14:textId="0AD65116" w:rsidR="007D6145" w:rsidRDefault="009F1F42"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10137.050</w:t>
            </w:r>
          </w:p>
        </w:tc>
      </w:tr>
      <w:tr w:rsidR="007D6145" w:rsidRPr="000901D1" w14:paraId="02012B8A"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23EAA476" w14:textId="23298FDB" w:rsidR="007D6145" w:rsidRPr="000901D1" w:rsidRDefault="007D6145" w:rsidP="00E15374">
            <w:pPr>
              <w:pStyle w:val="MDPI31text"/>
              <w:spacing w:line="240" w:lineRule="auto"/>
              <w:ind w:left="0" w:firstLine="0"/>
              <w:rPr>
                <w:rFonts w:ascii="Times New Roman" w:hAnsi="Times New Roman"/>
                <w:sz w:val="16"/>
                <w:szCs w:val="16"/>
              </w:rPr>
            </w:pPr>
          </w:p>
        </w:tc>
        <w:tc>
          <w:tcPr>
            <w:tcW w:w="1055" w:type="dxa"/>
          </w:tcPr>
          <w:p w14:paraId="6C62AB9C" w14:textId="0C80988F"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Omicron</w:t>
            </w:r>
          </w:p>
        </w:tc>
        <w:tc>
          <w:tcPr>
            <w:tcW w:w="1055" w:type="dxa"/>
            <w:gridSpan w:val="3"/>
          </w:tcPr>
          <w:p w14:paraId="7BB40FF7" w14:textId="1A5C923B"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Alpha</w:t>
            </w:r>
          </w:p>
        </w:tc>
        <w:tc>
          <w:tcPr>
            <w:tcW w:w="1794" w:type="dxa"/>
          </w:tcPr>
          <w:p w14:paraId="45D57369" w14:textId="492ABB57"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w:t>
            </w:r>
            <w:r w:rsidR="009D62CF">
              <w:rPr>
                <w:rFonts w:ascii="Times New Roman" w:hAnsi="Times New Roman"/>
                <w:sz w:val="16"/>
                <w:szCs w:val="16"/>
              </w:rPr>
              <w:t>747.878</w:t>
            </w:r>
          </w:p>
        </w:tc>
        <w:tc>
          <w:tcPr>
            <w:tcW w:w="1348" w:type="dxa"/>
          </w:tcPr>
          <w:p w14:paraId="28B96693" w14:textId="6688F135" w:rsidR="007D6145" w:rsidRPr="000901D1" w:rsidRDefault="0054757B"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1656.412</w:t>
            </w:r>
          </w:p>
        </w:tc>
        <w:tc>
          <w:tcPr>
            <w:tcW w:w="834" w:type="dxa"/>
            <w:gridSpan w:val="3"/>
          </w:tcPr>
          <w:p w14:paraId="6BA0F0AA" w14:textId="791B9111" w:rsidR="007D6145" w:rsidRDefault="0054757B"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D16352">
              <w:rPr>
                <w:rFonts w:ascii="Times New Roman" w:hAnsi="Times New Roman"/>
                <w:sz w:val="16"/>
                <w:szCs w:val="16"/>
              </w:rPr>
              <w:t>025</w:t>
            </w:r>
          </w:p>
        </w:tc>
        <w:tc>
          <w:tcPr>
            <w:tcW w:w="1798" w:type="dxa"/>
          </w:tcPr>
          <w:p w14:paraId="183D8CBE" w14:textId="38E0E671" w:rsidR="007D6145" w:rsidRDefault="009F1F42"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-9123.332</w:t>
            </w:r>
          </w:p>
        </w:tc>
        <w:tc>
          <w:tcPr>
            <w:tcW w:w="1546" w:type="dxa"/>
            <w:gridSpan w:val="2"/>
          </w:tcPr>
          <w:p w14:paraId="0C4D068E" w14:textId="0BB82400"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9F1F42">
              <w:rPr>
                <w:rFonts w:ascii="Times New Roman" w:hAnsi="Times New Roman"/>
                <w:sz w:val="16"/>
                <w:szCs w:val="16"/>
              </w:rPr>
              <w:t>372.425</w:t>
            </w:r>
          </w:p>
        </w:tc>
      </w:tr>
      <w:tr w:rsidR="007D6145" w:rsidRPr="000901D1" w14:paraId="00141545"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01EFF838" w14:textId="77777777" w:rsidR="007D6145" w:rsidRPr="000901D1" w:rsidRDefault="007D6145" w:rsidP="00E15374">
            <w:pPr>
              <w:pStyle w:val="MDPI31text"/>
              <w:spacing w:line="240" w:lineRule="auto"/>
              <w:ind w:left="0" w:firstLine="0"/>
              <w:rPr>
                <w:rFonts w:ascii="Times New Roman" w:hAnsi="Times New Roman"/>
                <w:sz w:val="16"/>
                <w:szCs w:val="16"/>
              </w:rPr>
            </w:pPr>
          </w:p>
        </w:tc>
        <w:tc>
          <w:tcPr>
            <w:tcW w:w="1055" w:type="dxa"/>
          </w:tcPr>
          <w:p w14:paraId="6359D1C2" w14:textId="77777777"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055" w:type="dxa"/>
            <w:gridSpan w:val="3"/>
          </w:tcPr>
          <w:p w14:paraId="6E1240D4" w14:textId="205E7922"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Base</w:t>
            </w:r>
          </w:p>
        </w:tc>
        <w:tc>
          <w:tcPr>
            <w:tcW w:w="1794" w:type="dxa"/>
          </w:tcPr>
          <w:p w14:paraId="4D4DF69A" w14:textId="6DC0D4F7"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9D62CF">
              <w:rPr>
                <w:rFonts w:ascii="Times New Roman" w:hAnsi="Times New Roman"/>
                <w:sz w:val="16"/>
                <w:szCs w:val="16"/>
              </w:rPr>
              <w:t>2235.409</w:t>
            </w:r>
          </w:p>
        </w:tc>
        <w:tc>
          <w:tcPr>
            <w:tcW w:w="1348" w:type="dxa"/>
          </w:tcPr>
          <w:p w14:paraId="42FA5261" w14:textId="03B90035" w:rsidR="007D6145" w:rsidRPr="000901D1" w:rsidRDefault="0054757B"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1656.412</w:t>
            </w:r>
          </w:p>
        </w:tc>
        <w:tc>
          <w:tcPr>
            <w:tcW w:w="834" w:type="dxa"/>
            <w:gridSpan w:val="3"/>
          </w:tcPr>
          <w:p w14:paraId="18372450" w14:textId="4669165E" w:rsidR="007D6145" w:rsidRDefault="0054757B"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1.000</w:t>
            </w:r>
          </w:p>
        </w:tc>
        <w:tc>
          <w:tcPr>
            <w:tcW w:w="1798" w:type="dxa"/>
          </w:tcPr>
          <w:p w14:paraId="1678D912" w14:textId="0B0A059D"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9F1F42">
              <w:rPr>
                <w:rFonts w:ascii="Times New Roman" w:hAnsi="Times New Roman"/>
                <w:sz w:val="16"/>
                <w:szCs w:val="16"/>
              </w:rPr>
              <w:t>6610.863</w:t>
            </w:r>
          </w:p>
        </w:tc>
        <w:tc>
          <w:tcPr>
            <w:tcW w:w="1546" w:type="dxa"/>
            <w:gridSpan w:val="2"/>
          </w:tcPr>
          <w:p w14:paraId="352C505F" w14:textId="3B784FF4" w:rsidR="007D6145" w:rsidRDefault="009F1F42"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2140.044</w:t>
            </w:r>
          </w:p>
        </w:tc>
      </w:tr>
      <w:tr w:rsidR="007D6145" w:rsidRPr="000901D1" w14:paraId="0CE1B90A"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1D80B9DB" w14:textId="77777777" w:rsidR="007D6145" w:rsidRPr="000901D1" w:rsidRDefault="007D6145" w:rsidP="00E15374">
            <w:pPr>
              <w:pStyle w:val="MDPI31text"/>
              <w:spacing w:line="240" w:lineRule="auto"/>
              <w:ind w:left="0" w:firstLine="0"/>
              <w:rPr>
                <w:rFonts w:ascii="Times New Roman" w:hAnsi="Times New Roman"/>
                <w:sz w:val="16"/>
                <w:szCs w:val="16"/>
              </w:rPr>
            </w:pPr>
          </w:p>
        </w:tc>
        <w:tc>
          <w:tcPr>
            <w:tcW w:w="1055" w:type="dxa"/>
          </w:tcPr>
          <w:p w14:paraId="76FEF29D" w14:textId="77777777"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055" w:type="dxa"/>
            <w:gridSpan w:val="3"/>
          </w:tcPr>
          <w:p w14:paraId="6E66CC77" w14:textId="07D0F977"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Delta</w:t>
            </w:r>
          </w:p>
        </w:tc>
        <w:tc>
          <w:tcPr>
            <w:tcW w:w="1794" w:type="dxa"/>
          </w:tcPr>
          <w:p w14:paraId="78BEEAC3" w14:textId="15567823" w:rsidR="007D6145" w:rsidRPr="000901D1"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9D62CF">
              <w:rPr>
                <w:rFonts w:ascii="Times New Roman" w:hAnsi="Times New Roman"/>
                <w:sz w:val="16"/>
                <w:szCs w:val="16"/>
              </w:rPr>
              <w:t>5761.596</w:t>
            </w:r>
          </w:p>
        </w:tc>
        <w:tc>
          <w:tcPr>
            <w:tcW w:w="1348" w:type="dxa"/>
          </w:tcPr>
          <w:p w14:paraId="4F412CA8" w14:textId="1D1FE38B" w:rsidR="007D6145" w:rsidRPr="000901D1" w:rsidRDefault="0054757B"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1656.412</w:t>
            </w:r>
          </w:p>
        </w:tc>
        <w:tc>
          <w:tcPr>
            <w:tcW w:w="834" w:type="dxa"/>
            <w:gridSpan w:val="3"/>
          </w:tcPr>
          <w:p w14:paraId="125AFF94" w14:textId="7CFD8FA0" w:rsidR="007D6145" w:rsidRDefault="0054757B"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w:t>
            </w:r>
            <w:r w:rsidR="00D16352">
              <w:rPr>
                <w:rFonts w:ascii="Times New Roman" w:hAnsi="Times New Roman"/>
                <w:sz w:val="16"/>
                <w:szCs w:val="16"/>
              </w:rPr>
              <w:t>03</w:t>
            </w:r>
          </w:p>
        </w:tc>
        <w:tc>
          <w:tcPr>
            <w:tcW w:w="1798" w:type="dxa"/>
          </w:tcPr>
          <w:p w14:paraId="480B7C60" w14:textId="2250D973"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9F1F42">
              <w:rPr>
                <w:rFonts w:ascii="Times New Roman" w:hAnsi="Times New Roman"/>
                <w:sz w:val="16"/>
                <w:szCs w:val="16"/>
              </w:rPr>
              <w:t>10137.050</w:t>
            </w:r>
          </w:p>
        </w:tc>
        <w:tc>
          <w:tcPr>
            <w:tcW w:w="1546" w:type="dxa"/>
            <w:gridSpan w:val="2"/>
          </w:tcPr>
          <w:p w14:paraId="7BAF3DC5" w14:textId="019018FB" w:rsidR="007D6145" w:rsidRDefault="007D6145" w:rsidP="00E15374">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9F1F42">
              <w:rPr>
                <w:rFonts w:ascii="Times New Roman" w:hAnsi="Times New Roman"/>
                <w:sz w:val="16"/>
                <w:szCs w:val="16"/>
              </w:rPr>
              <w:t>1386.142</w:t>
            </w:r>
          </w:p>
        </w:tc>
      </w:tr>
      <w:bookmarkEnd w:id="2"/>
      <w:tr w:rsidR="007D6145" w:rsidRPr="000901D1" w14:paraId="1DA014B2"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01D8AEA5" w14:textId="51A28E1D" w:rsidR="007D6145" w:rsidRPr="000901D1" w:rsidRDefault="007D6145" w:rsidP="007D6145">
            <w:pPr>
              <w:pStyle w:val="MDPI31text"/>
              <w:spacing w:line="240" w:lineRule="auto"/>
              <w:ind w:left="0" w:firstLine="0"/>
              <w:rPr>
                <w:rFonts w:ascii="Times New Roman" w:hAnsi="Times New Roman"/>
                <w:sz w:val="16"/>
                <w:szCs w:val="16"/>
              </w:rPr>
            </w:pPr>
            <w:r>
              <w:rPr>
                <w:rFonts w:ascii="Times New Roman" w:hAnsi="Times New Roman"/>
                <w:sz w:val="16"/>
                <w:szCs w:val="16"/>
              </w:rPr>
              <w:t>Miami</w:t>
            </w:r>
          </w:p>
        </w:tc>
        <w:tc>
          <w:tcPr>
            <w:tcW w:w="1055" w:type="dxa"/>
          </w:tcPr>
          <w:p w14:paraId="70B0ADFB" w14:textId="7FD3620B"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Alpha</w:t>
            </w:r>
          </w:p>
        </w:tc>
        <w:tc>
          <w:tcPr>
            <w:tcW w:w="1055" w:type="dxa"/>
            <w:gridSpan w:val="3"/>
          </w:tcPr>
          <w:p w14:paraId="450F5F4F" w14:textId="6B653781"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Base</w:t>
            </w:r>
          </w:p>
        </w:tc>
        <w:tc>
          <w:tcPr>
            <w:tcW w:w="1794" w:type="dxa"/>
          </w:tcPr>
          <w:p w14:paraId="79C84478" w14:textId="228BC16B" w:rsidR="007D6145" w:rsidRDefault="009D62CF"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3194.521</w:t>
            </w:r>
          </w:p>
        </w:tc>
        <w:tc>
          <w:tcPr>
            <w:tcW w:w="1348" w:type="dxa"/>
          </w:tcPr>
          <w:p w14:paraId="12F7A995" w14:textId="3FAC8D35"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w:t>
            </w:r>
            <w:r w:rsidR="0054757B">
              <w:rPr>
                <w:rFonts w:ascii="Times New Roman" w:hAnsi="Times New Roman"/>
                <w:sz w:val="16"/>
                <w:szCs w:val="16"/>
              </w:rPr>
              <w:t>578.190</w:t>
            </w:r>
          </w:p>
        </w:tc>
        <w:tc>
          <w:tcPr>
            <w:tcW w:w="834" w:type="dxa"/>
            <w:gridSpan w:val="3"/>
          </w:tcPr>
          <w:p w14:paraId="42316184" w14:textId="3CF1FC67"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.259</w:t>
            </w:r>
          </w:p>
        </w:tc>
        <w:tc>
          <w:tcPr>
            <w:tcW w:w="1798" w:type="dxa"/>
          </w:tcPr>
          <w:p w14:paraId="7B76DB1E" w14:textId="321363CD"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D16352">
              <w:rPr>
                <w:rFonts w:ascii="Times New Roman" w:hAnsi="Times New Roman"/>
                <w:sz w:val="16"/>
                <w:szCs w:val="16"/>
              </w:rPr>
              <w:t>974.306</w:t>
            </w:r>
          </w:p>
        </w:tc>
        <w:tc>
          <w:tcPr>
            <w:tcW w:w="1546" w:type="dxa"/>
            <w:gridSpan w:val="2"/>
          </w:tcPr>
          <w:p w14:paraId="19C109C2" w14:textId="34B28F7A"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7363.347</w:t>
            </w:r>
          </w:p>
        </w:tc>
      </w:tr>
      <w:tr w:rsidR="007D6145" w:rsidRPr="000901D1" w14:paraId="5749302C"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4D4F85CE" w14:textId="77777777" w:rsidR="007D6145" w:rsidRPr="000901D1" w:rsidRDefault="007D6145" w:rsidP="007D6145">
            <w:pPr>
              <w:pStyle w:val="MDPI31text"/>
              <w:spacing w:line="240" w:lineRule="auto"/>
              <w:ind w:left="0" w:firstLine="0"/>
              <w:rPr>
                <w:rFonts w:ascii="Times New Roman" w:hAnsi="Times New Roman"/>
                <w:sz w:val="16"/>
                <w:szCs w:val="16"/>
              </w:rPr>
            </w:pPr>
          </w:p>
        </w:tc>
        <w:tc>
          <w:tcPr>
            <w:tcW w:w="1055" w:type="dxa"/>
          </w:tcPr>
          <w:p w14:paraId="7ECCFB49" w14:textId="77777777"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055" w:type="dxa"/>
            <w:gridSpan w:val="3"/>
          </w:tcPr>
          <w:p w14:paraId="18D11C5A" w14:textId="74FEC595"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Delta</w:t>
            </w:r>
          </w:p>
        </w:tc>
        <w:tc>
          <w:tcPr>
            <w:tcW w:w="1794" w:type="dxa"/>
          </w:tcPr>
          <w:p w14:paraId="293973DA" w14:textId="7B8BC802" w:rsidR="007D6145" w:rsidRDefault="009D62CF"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752.729</w:t>
            </w:r>
          </w:p>
        </w:tc>
        <w:tc>
          <w:tcPr>
            <w:tcW w:w="1348" w:type="dxa"/>
          </w:tcPr>
          <w:p w14:paraId="1C1E2CCB" w14:textId="44059D73"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w:t>
            </w:r>
            <w:r w:rsidR="0054757B">
              <w:rPr>
                <w:rFonts w:ascii="Times New Roman" w:hAnsi="Times New Roman"/>
                <w:sz w:val="16"/>
                <w:szCs w:val="16"/>
              </w:rPr>
              <w:t>576.323</w:t>
            </w:r>
          </w:p>
        </w:tc>
        <w:tc>
          <w:tcPr>
            <w:tcW w:w="834" w:type="dxa"/>
            <w:gridSpan w:val="3"/>
          </w:tcPr>
          <w:p w14:paraId="4CA91CDF" w14:textId="4CB5199F"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1.000</w:t>
            </w:r>
          </w:p>
        </w:tc>
        <w:tc>
          <w:tcPr>
            <w:tcW w:w="1798" w:type="dxa"/>
          </w:tcPr>
          <w:p w14:paraId="0EC56889" w14:textId="41E8C909"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D16352">
              <w:rPr>
                <w:rFonts w:ascii="Times New Roman" w:hAnsi="Times New Roman"/>
                <w:sz w:val="16"/>
                <w:szCs w:val="16"/>
              </w:rPr>
              <w:t>3411.167</w:t>
            </w:r>
          </w:p>
        </w:tc>
        <w:tc>
          <w:tcPr>
            <w:tcW w:w="1546" w:type="dxa"/>
            <w:gridSpan w:val="2"/>
          </w:tcPr>
          <w:p w14:paraId="46481B39" w14:textId="5AEF3408"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4916.625</w:t>
            </w:r>
          </w:p>
        </w:tc>
      </w:tr>
      <w:tr w:rsidR="007D6145" w:rsidRPr="000901D1" w14:paraId="54368784"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2399D801" w14:textId="77777777" w:rsidR="007D6145" w:rsidRPr="000901D1" w:rsidRDefault="007D6145" w:rsidP="007D6145">
            <w:pPr>
              <w:pStyle w:val="MDPI31text"/>
              <w:spacing w:line="240" w:lineRule="auto"/>
              <w:ind w:left="0" w:firstLine="0"/>
              <w:rPr>
                <w:rFonts w:ascii="Times New Roman" w:hAnsi="Times New Roman"/>
                <w:sz w:val="16"/>
                <w:szCs w:val="16"/>
              </w:rPr>
            </w:pPr>
          </w:p>
        </w:tc>
        <w:tc>
          <w:tcPr>
            <w:tcW w:w="1055" w:type="dxa"/>
          </w:tcPr>
          <w:p w14:paraId="6000737B" w14:textId="77777777"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055" w:type="dxa"/>
            <w:gridSpan w:val="3"/>
          </w:tcPr>
          <w:p w14:paraId="0C5B1CB7" w14:textId="37589E9C"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Omicron</w:t>
            </w:r>
          </w:p>
        </w:tc>
        <w:tc>
          <w:tcPr>
            <w:tcW w:w="1794" w:type="dxa"/>
          </w:tcPr>
          <w:p w14:paraId="1E694298" w14:textId="6C71AE9D"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w:t>
            </w:r>
            <w:r w:rsidR="009D62CF">
              <w:rPr>
                <w:rFonts w:ascii="Times New Roman" w:hAnsi="Times New Roman"/>
                <w:sz w:val="16"/>
                <w:szCs w:val="16"/>
              </w:rPr>
              <w:t>569.884</w:t>
            </w:r>
          </w:p>
        </w:tc>
        <w:tc>
          <w:tcPr>
            <w:tcW w:w="1348" w:type="dxa"/>
          </w:tcPr>
          <w:p w14:paraId="472C77D7" w14:textId="3D9EA625"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w:t>
            </w:r>
            <w:r w:rsidR="0054757B">
              <w:rPr>
                <w:rFonts w:ascii="Times New Roman" w:hAnsi="Times New Roman"/>
                <w:sz w:val="16"/>
                <w:szCs w:val="16"/>
              </w:rPr>
              <w:t>576.323</w:t>
            </w:r>
          </w:p>
        </w:tc>
        <w:tc>
          <w:tcPr>
            <w:tcW w:w="834" w:type="dxa"/>
            <w:gridSpan w:val="3"/>
          </w:tcPr>
          <w:p w14:paraId="0FFE5CE8" w14:textId="25929831"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.023</w:t>
            </w:r>
          </w:p>
        </w:tc>
        <w:tc>
          <w:tcPr>
            <w:tcW w:w="1798" w:type="dxa"/>
          </w:tcPr>
          <w:p w14:paraId="2C3EF60B" w14:textId="68F19623"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405.988</w:t>
            </w:r>
          </w:p>
        </w:tc>
        <w:tc>
          <w:tcPr>
            <w:tcW w:w="1546" w:type="dxa"/>
            <w:gridSpan w:val="2"/>
          </w:tcPr>
          <w:p w14:paraId="0671BB99" w14:textId="49296CA9"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8733.781</w:t>
            </w:r>
          </w:p>
        </w:tc>
      </w:tr>
      <w:tr w:rsidR="007D6145" w:rsidRPr="000901D1" w14:paraId="3F089279"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7410B8D2" w14:textId="77777777" w:rsidR="007D6145" w:rsidRPr="000901D1" w:rsidRDefault="007D6145" w:rsidP="007D6145">
            <w:pPr>
              <w:pStyle w:val="MDPI31text"/>
              <w:spacing w:line="240" w:lineRule="auto"/>
              <w:ind w:left="0" w:firstLine="0"/>
              <w:rPr>
                <w:rFonts w:ascii="Times New Roman" w:hAnsi="Times New Roman"/>
                <w:sz w:val="16"/>
                <w:szCs w:val="16"/>
              </w:rPr>
            </w:pPr>
          </w:p>
        </w:tc>
        <w:tc>
          <w:tcPr>
            <w:tcW w:w="1055" w:type="dxa"/>
          </w:tcPr>
          <w:p w14:paraId="408F518A" w14:textId="61DA1735"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Base</w:t>
            </w:r>
          </w:p>
        </w:tc>
        <w:tc>
          <w:tcPr>
            <w:tcW w:w="1055" w:type="dxa"/>
            <w:gridSpan w:val="3"/>
          </w:tcPr>
          <w:p w14:paraId="553801B5" w14:textId="06B94425"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Alpha</w:t>
            </w:r>
          </w:p>
        </w:tc>
        <w:tc>
          <w:tcPr>
            <w:tcW w:w="1794" w:type="dxa"/>
          </w:tcPr>
          <w:p w14:paraId="60A67024" w14:textId="4187D8FD"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9D62CF">
              <w:rPr>
                <w:rFonts w:ascii="Times New Roman" w:hAnsi="Times New Roman"/>
                <w:sz w:val="16"/>
                <w:szCs w:val="16"/>
              </w:rPr>
              <w:t>3194.521</w:t>
            </w:r>
          </w:p>
        </w:tc>
        <w:tc>
          <w:tcPr>
            <w:tcW w:w="1348" w:type="dxa"/>
          </w:tcPr>
          <w:p w14:paraId="6C290ACA" w14:textId="6E7E5C27"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w:t>
            </w:r>
            <w:r w:rsidR="0054757B">
              <w:rPr>
                <w:rFonts w:ascii="Times New Roman" w:hAnsi="Times New Roman"/>
                <w:sz w:val="16"/>
                <w:szCs w:val="16"/>
              </w:rPr>
              <w:t>578.190</w:t>
            </w:r>
          </w:p>
        </w:tc>
        <w:tc>
          <w:tcPr>
            <w:tcW w:w="834" w:type="dxa"/>
            <w:gridSpan w:val="3"/>
          </w:tcPr>
          <w:p w14:paraId="7D8FCEEE" w14:textId="1CEFBCB3"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.259</w:t>
            </w:r>
          </w:p>
        </w:tc>
        <w:tc>
          <w:tcPr>
            <w:tcW w:w="1798" w:type="dxa"/>
          </w:tcPr>
          <w:p w14:paraId="110281DE" w14:textId="5C3F7FDA"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D16352">
              <w:rPr>
                <w:rFonts w:ascii="Times New Roman" w:hAnsi="Times New Roman"/>
                <w:sz w:val="16"/>
                <w:szCs w:val="16"/>
              </w:rPr>
              <w:t>7363.347</w:t>
            </w:r>
          </w:p>
        </w:tc>
        <w:tc>
          <w:tcPr>
            <w:tcW w:w="1546" w:type="dxa"/>
            <w:gridSpan w:val="2"/>
          </w:tcPr>
          <w:p w14:paraId="283CC970" w14:textId="1980B7D6"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974.306</w:t>
            </w:r>
          </w:p>
        </w:tc>
      </w:tr>
      <w:tr w:rsidR="007D6145" w:rsidRPr="000901D1" w14:paraId="0F49D33B"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109AF10D" w14:textId="77777777" w:rsidR="007D6145" w:rsidRPr="000901D1" w:rsidRDefault="007D6145" w:rsidP="007D6145">
            <w:pPr>
              <w:pStyle w:val="MDPI31text"/>
              <w:spacing w:line="240" w:lineRule="auto"/>
              <w:ind w:left="0" w:firstLine="0"/>
              <w:rPr>
                <w:rFonts w:ascii="Times New Roman" w:hAnsi="Times New Roman"/>
                <w:sz w:val="16"/>
                <w:szCs w:val="16"/>
              </w:rPr>
            </w:pPr>
          </w:p>
        </w:tc>
        <w:tc>
          <w:tcPr>
            <w:tcW w:w="1055" w:type="dxa"/>
          </w:tcPr>
          <w:p w14:paraId="231E4BB4" w14:textId="77777777"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055" w:type="dxa"/>
            <w:gridSpan w:val="3"/>
          </w:tcPr>
          <w:p w14:paraId="5C4AF2E9" w14:textId="671AA86A"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Delta</w:t>
            </w:r>
          </w:p>
        </w:tc>
        <w:tc>
          <w:tcPr>
            <w:tcW w:w="1794" w:type="dxa"/>
          </w:tcPr>
          <w:p w14:paraId="4255A92A" w14:textId="660D9F05" w:rsidR="007D6145" w:rsidRDefault="009D62CF"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Pr>
                <w:rFonts w:ascii="Times New Roman" w:hAnsi="Times New Roman"/>
                <w:sz w:val="16"/>
                <w:szCs w:val="16"/>
              </w:rPr>
              <w:t>2441.792</w:t>
            </w:r>
          </w:p>
        </w:tc>
        <w:tc>
          <w:tcPr>
            <w:tcW w:w="1348" w:type="dxa"/>
          </w:tcPr>
          <w:p w14:paraId="6B4785E6" w14:textId="37C403F6" w:rsidR="007D6145" w:rsidRDefault="0054757B"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1578.190</w:t>
            </w:r>
          </w:p>
        </w:tc>
        <w:tc>
          <w:tcPr>
            <w:tcW w:w="834" w:type="dxa"/>
            <w:gridSpan w:val="3"/>
          </w:tcPr>
          <w:p w14:paraId="31E8B9FF" w14:textId="1E554241"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.732</w:t>
            </w:r>
          </w:p>
        </w:tc>
        <w:tc>
          <w:tcPr>
            <w:tcW w:w="1798" w:type="dxa"/>
          </w:tcPr>
          <w:p w14:paraId="483445C6" w14:textId="6BE96BA9"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D16352">
              <w:rPr>
                <w:rFonts w:ascii="Times New Roman" w:hAnsi="Times New Roman"/>
                <w:sz w:val="16"/>
                <w:szCs w:val="16"/>
              </w:rPr>
              <w:t>6610.618</w:t>
            </w:r>
          </w:p>
        </w:tc>
        <w:tc>
          <w:tcPr>
            <w:tcW w:w="1546" w:type="dxa"/>
            <w:gridSpan w:val="2"/>
          </w:tcPr>
          <w:p w14:paraId="1865AA7A" w14:textId="6A80CA6D"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1727.035</w:t>
            </w:r>
          </w:p>
        </w:tc>
      </w:tr>
      <w:tr w:rsidR="007D6145" w:rsidRPr="000901D1" w14:paraId="2E510CE6"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59AA84A0" w14:textId="77777777" w:rsidR="007D6145" w:rsidRPr="000901D1" w:rsidRDefault="007D6145" w:rsidP="007D6145">
            <w:pPr>
              <w:pStyle w:val="MDPI31text"/>
              <w:spacing w:line="240" w:lineRule="auto"/>
              <w:ind w:left="0" w:firstLine="0"/>
              <w:rPr>
                <w:rFonts w:ascii="Times New Roman" w:hAnsi="Times New Roman"/>
                <w:sz w:val="16"/>
                <w:szCs w:val="16"/>
              </w:rPr>
            </w:pPr>
          </w:p>
        </w:tc>
        <w:tc>
          <w:tcPr>
            <w:tcW w:w="1055" w:type="dxa"/>
          </w:tcPr>
          <w:p w14:paraId="7DAEE063" w14:textId="77777777"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1055" w:type="dxa"/>
            <w:gridSpan w:val="3"/>
          </w:tcPr>
          <w:p w14:paraId="38E3363E" w14:textId="3C3CED56" w:rsidR="007D6145" w:rsidRDefault="009F1F4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Omicron</w:t>
            </w:r>
          </w:p>
        </w:tc>
        <w:tc>
          <w:tcPr>
            <w:tcW w:w="1794" w:type="dxa"/>
          </w:tcPr>
          <w:p w14:paraId="7FA4C129" w14:textId="56AE3D80"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w:t>
            </w:r>
            <w:r w:rsidR="009D62CF">
              <w:rPr>
                <w:rFonts w:ascii="Times New Roman" w:hAnsi="Times New Roman"/>
                <w:sz w:val="16"/>
                <w:szCs w:val="16"/>
              </w:rPr>
              <w:t>375.364</w:t>
            </w:r>
          </w:p>
        </w:tc>
        <w:tc>
          <w:tcPr>
            <w:tcW w:w="1348" w:type="dxa"/>
          </w:tcPr>
          <w:p w14:paraId="6E933D86" w14:textId="2D4EC1DB" w:rsidR="007D6145" w:rsidRDefault="0054757B"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1578.190</w:t>
            </w:r>
          </w:p>
        </w:tc>
        <w:tc>
          <w:tcPr>
            <w:tcW w:w="834" w:type="dxa"/>
            <w:gridSpan w:val="3"/>
          </w:tcPr>
          <w:p w14:paraId="21AC32CB" w14:textId="0BC99624" w:rsidR="007D6145" w:rsidRDefault="0054757B"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D16352">
              <w:rPr>
                <w:rFonts w:ascii="Times New Roman" w:hAnsi="Times New Roman"/>
                <w:sz w:val="16"/>
                <w:szCs w:val="16"/>
              </w:rPr>
              <w:t>1.000</w:t>
            </w:r>
          </w:p>
        </w:tc>
        <w:tc>
          <w:tcPr>
            <w:tcW w:w="1798" w:type="dxa"/>
          </w:tcPr>
          <w:p w14:paraId="66256BFD" w14:textId="6B122045"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D16352">
              <w:rPr>
                <w:rFonts w:ascii="Times New Roman" w:hAnsi="Times New Roman"/>
                <w:sz w:val="16"/>
                <w:szCs w:val="16"/>
              </w:rPr>
              <w:t>2793.463</w:t>
            </w:r>
          </w:p>
        </w:tc>
        <w:tc>
          <w:tcPr>
            <w:tcW w:w="1546" w:type="dxa"/>
            <w:gridSpan w:val="2"/>
          </w:tcPr>
          <w:p w14:paraId="44ACA55F" w14:textId="3F27C0CB"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5544.191</w:t>
            </w:r>
          </w:p>
        </w:tc>
      </w:tr>
      <w:tr w:rsidR="007D6145" w:rsidRPr="000901D1" w14:paraId="69B822F5" w14:textId="77777777" w:rsidTr="00ED5DE4">
        <w:trPr>
          <w:trHeight w:val="291"/>
        </w:trPr>
        <w:tc>
          <w:tcPr>
            <w:cnfStyle w:val="001000000000" w:firstRow="0" w:lastRow="0" w:firstColumn="1" w:lastColumn="0" w:oddVBand="0" w:evenVBand="0" w:oddHBand="0" w:evenHBand="0" w:firstRowFirstColumn="0" w:firstRowLastColumn="0" w:lastRowFirstColumn="0" w:lastRowLastColumn="0"/>
            <w:tcW w:w="1486" w:type="dxa"/>
            <w:gridSpan w:val="2"/>
          </w:tcPr>
          <w:p w14:paraId="36F9B877" w14:textId="77777777" w:rsidR="007D6145" w:rsidRPr="000901D1" w:rsidRDefault="007D6145" w:rsidP="007D6145">
            <w:pPr>
              <w:pStyle w:val="MDPI31text"/>
              <w:spacing w:line="240" w:lineRule="auto"/>
              <w:ind w:left="0" w:firstLine="0"/>
              <w:rPr>
                <w:rFonts w:ascii="Times New Roman" w:hAnsi="Times New Roman"/>
                <w:sz w:val="16"/>
                <w:szCs w:val="16"/>
              </w:rPr>
            </w:pPr>
          </w:p>
        </w:tc>
        <w:tc>
          <w:tcPr>
            <w:tcW w:w="1055" w:type="dxa"/>
          </w:tcPr>
          <w:p w14:paraId="252686FF" w14:textId="50BD05A6"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Delta</w:t>
            </w:r>
          </w:p>
        </w:tc>
        <w:tc>
          <w:tcPr>
            <w:tcW w:w="1055" w:type="dxa"/>
            <w:gridSpan w:val="3"/>
          </w:tcPr>
          <w:p w14:paraId="5215AF57" w14:textId="7E8E8C44"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Alpha</w:t>
            </w:r>
          </w:p>
        </w:tc>
        <w:tc>
          <w:tcPr>
            <w:tcW w:w="1794" w:type="dxa"/>
          </w:tcPr>
          <w:p w14:paraId="24F47A1E" w14:textId="570627E8" w:rsidR="007D6145" w:rsidRDefault="009D62CF"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-752.729</w:t>
            </w:r>
          </w:p>
        </w:tc>
        <w:tc>
          <w:tcPr>
            <w:tcW w:w="1348" w:type="dxa"/>
          </w:tcPr>
          <w:p w14:paraId="51FD9EC0" w14:textId="202BA1E1" w:rsidR="007D6145" w:rsidRDefault="0054757B"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1576.323</w:t>
            </w:r>
          </w:p>
        </w:tc>
        <w:tc>
          <w:tcPr>
            <w:tcW w:w="834" w:type="dxa"/>
            <w:gridSpan w:val="3"/>
          </w:tcPr>
          <w:p w14:paraId="09BFFB07" w14:textId="1238439B"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1.000</w:t>
            </w:r>
          </w:p>
        </w:tc>
        <w:tc>
          <w:tcPr>
            <w:tcW w:w="1798" w:type="dxa"/>
          </w:tcPr>
          <w:p w14:paraId="250DF5C4" w14:textId="256F5FD6"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D16352">
              <w:rPr>
                <w:rFonts w:ascii="Times New Roman" w:hAnsi="Times New Roman"/>
                <w:sz w:val="16"/>
                <w:szCs w:val="16"/>
              </w:rPr>
              <w:t>4916</w:t>
            </w:r>
            <w:r>
              <w:rPr>
                <w:rFonts w:ascii="Times New Roman" w:hAnsi="Times New Roman"/>
                <w:sz w:val="16"/>
                <w:szCs w:val="16"/>
              </w:rPr>
              <w:t>.</w:t>
            </w:r>
            <w:r w:rsidR="00D16352">
              <w:rPr>
                <w:rFonts w:ascii="Times New Roman" w:hAnsi="Times New Roman"/>
                <w:sz w:val="16"/>
                <w:szCs w:val="16"/>
              </w:rPr>
              <w:t>625</w:t>
            </w:r>
          </w:p>
        </w:tc>
        <w:tc>
          <w:tcPr>
            <w:tcW w:w="1546" w:type="dxa"/>
            <w:gridSpan w:val="2"/>
          </w:tcPr>
          <w:p w14:paraId="239A18DA" w14:textId="35A12394"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3411</w:t>
            </w:r>
            <w:r w:rsidR="007D6145">
              <w:rPr>
                <w:rFonts w:ascii="Times New Roman" w:hAnsi="Times New Roman"/>
                <w:sz w:val="16"/>
                <w:szCs w:val="16"/>
              </w:rPr>
              <w:t>.</w:t>
            </w:r>
            <w:r>
              <w:rPr>
                <w:rFonts w:ascii="Times New Roman" w:hAnsi="Times New Roman"/>
                <w:sz w:val="16"/>
                <w:szCs w:val="16"/>
              </w:rPr>
              <w:t>167</w:t>
            </w:r>
          </w:p>
        </w:tc>
      </w:tr>
      <w:tr w:rsidR="007D6145" w14:paraId="01C35283" w14:textId="3D4129A2" w:rsidTr="00ED5DE4">
        <w:trPr>
          <w:trHeight w:val="291"/>
        </w:trPr>
        <w:tc>
          <w:tcPr>
            <w:cnfStyle w:val="001000000000" w:firstRow="0" w:lastRow="0" w:firstColumn="1" w:lastColumn="0" w:oddVBand="0" w:evenVBand="0" w:oddHBand="0" w:evenHBand="0" w:firstRowFirstColumn="0" w:firstRowLastColumn="0" w:lastRowFirstColumn="0" w:lastRowLastColumn="0"/>
            <w:tcW w:w="1418" w:type="dxa"/>
          </w:tcPr>
          <w:p w14:paraId="701E15DF" w14:textId="77777777" w:rsidR="007D6145" w:rsidRDefault="007D6145" w:rsidP="007D6145">
            <w:pPr>
              <w:pStyle w:val="MDPI31text"/>
              <w:spacing w:line="240" w:lineRule="auto"/>
              <w:ind w:left="0" w:firstLine="0"/>
              <w:rPr>
                <w:rFonts w:ascii="Times New Roman" w:hAnsi="Times New Roman"/>
                <w:sz w:val="16"/>
                <w:szCs w:val="16"/>
              </w:rPr>
            </w:pPr>
          </w:p>
        </w:tc>
        <w:tc>
          <w:tcPr>
            <w:tcW w:w="1134" w:type="dxa"/>
            <w:gridSpan w:val="3"/>
          </w:tcPr>
          <w:p w14:paraId="4D3A0043" w14:textId="77777777"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92" w:type="dxa"/>
          </w:tcPr>
          <w:p w14:paraId="4528F051" w14:textId="415CE7CF"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Base</w:t>
            </w:r>
          </w:p>
        </w:tc>
        <w:tc>
          <w:tcPr>
            <w:tcW w:w="1846" w:type="dxa"/>
            <w:gridSpan w:val="2"/>
          </w:tcPr>
          <w:p w14:paraId="4E98356E" w14:textId="036EAA48"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w:t>
            </w:r>
            <w:r w:rsidR="009D62CF">
              <w:rPr>
                <w:rFonts w:ascii="Times New Roman" w:hAnsi="Times New Roman"/>
                <w:sz w:val="16"/>
                <w:szCs w:val="16"/>
              </w:rPr>
              <w:t>441.792</w:t>
            </w:r>
          </w:p>
        </w:tc>
        <w:tc>
          <w:tcPr>
            <w:tcW w:w="1415" w:type="dxa"/>
            <w:gridSpan w:val="2"/>
          </w:tcPr>
          <w:p w14:paraId="4046AD47" w14:textId="4686E38F"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w:t>
            </w:r>
            <w:r w:rsidR="0054757B">
              <w:rPr>
                <w:rFonts w:ascii="Times New Roman" w:hAnsi="Times New Roman"/>
                <w:sz w:val="16"/>
                <w:szCs w:val="16"/>
              </w:rPr>
              <w:t>578.190</w:t>
            </w:r>
          </w:p>
        </w:tc>
        <w:tc>
          <w:tcPr>
            <w:tcW w:w="709" w:type="dxa"/>
          </w:tcPr>
          <w:p w14:paraId="72726158" w14:textId="4C74ACB9"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.732</w:t>
            </w:r>
          </w:p>
        </w:tc>
        <w:tc>
          <w:tcPr>
            <w:tcW w:w="1869" w:type="dxa"/>
            <w:gridSpan w:val="3"/>
          </w:tcPr>
          <w:p w14:paraId="290D6408" w14:textId="2CE6AB71"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D16352">
              <w:rPr>
                <w:rFonts w:ascii="Times New Roman" w:hAnsi="Times New Roman"/>
                <w:sz w:val="16"/>
                <w:szCs w:val="16"/>
              </w:rPr>
              <w:t>1727.035</w:t>
            </w:r>
          </w:p>
        </w:tc>
        <w:tc>
          <w:tcPr>
            <w:tcW w:w="1533" w:type="dxa"/>
          </w:tcPr>
          <w:p w14:paraId="07E6EE9E" w14:textId="461B6154" w:rsidR="007D6145" w:rsidRDefault="007D6145" w:rsidP="007D6145">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6</w:t>
            </w:r>
            <w:r w:rsidR="00D16352">
              <w:rPr>
                <w:rFonts w:ascii="Times New Roman" w:hAnsi="Times New Roman"/>
                <w:sz w:val="16"/>
                <w:szCs w:val="16"/>
              </w:rPr>
              <w:t>610</w:t>
            </w:r>
            <w:r>
              <w:rPr>
                <w:rFonts w:ascii="Times New Roman" w:hAnsi="Times New Roman"/>
                <w:sz w:val="16"/>
                <w:szCs w:val="16"/>
              </w:rPr>
              <w:t>.</w:t>
            </w:r>
            <w:r w:rsidR="00D16352">
              <w:rPr>
                <w:rFonts w:ascii="Times New Roman" w:hAnsi="Times New Roman"/>
                <w:sz w:val="16"/>
                <w:szCs w:val="16"/>
              </w:rPr>
              <w:t>618</w:t>
            </w:r>
          </w:p>
        </w:tc>
      </w:tr>
      <w:tr w:rsidR="007D6145" w14:paraId="000C9ABC" w14:textId="7E98C0FC" w:rsidTr="00ED5DE4">
        <w:trPr>
          <w:trHeight w:val="291"/>
        </w:trPr>
        <w:tc>
          <w:tcPr>
            <w:cnfStyle w:val="001000000000" w:firstRow="0" w:lastRow="0" w:firstColumn="1" w:lastColumn="0" w:oddVBand="0" w:evenVBand="0" w:oddHBand="0" w:evenHBand="0" w:firstRowFirstColumn="0" w:firstRowLastColumn="0" w:lastRowFirstColumn="0" w:lastRowLastColumn="0"/>
            <w:tcW w:w="1418" w:type="dxa"/>
          </w:tcPr>
          <w:p w14:paraId="7074FC88" w14:textId="77777777" w:rsidR="007D6145" w:rsidRDefault="007D6145" w:rsidP="007D6145">
            <w:pPr>
              <w:pStyle w:val="MDPI31text"/>
              <w:spacing w:line="240" w:lineRule="auto"/>
              <w:ind w:left="0" w:firstLine="0"/>
              <w:rPr>
                <w:rFonts w:ascii="Times New Roman" w:hAnsi="Times New Roman"/>
                <w:sz w:val="16"/>
                <w:szCs w:val="16"/>
              </w:rPr>
            </w:pPr>
          </w:p>
        </w:tc>
        <w:tc>
          <w:tcPr>
            <w:tcW w:w="1134" w:type="dxa"/>
            <w:gridSpan w:val="3"/>
          </w:tcPr>
          <w:p w14:paraId="5308DD33" w14:textId="77777777"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92" w:type="dxa"/>
          </w:tcPr>
          <w:p w14:paraId="161AC7AB" w14:textId="71CDD59C"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Omicron</w:t>
            </w:r>
          </w:p>
        </w:tc>
        <w:tc>
          <w:tcPr>
            <w:tcW w:w="1846" w:type="dxa"/>
            <w:gridSpan w:val="2"/>
          </w:tcPr>
          <w:p w14:paraId="1C6AB24E" w14:textId="6B2747E1" w:rsidR="007D6145" w:rsidRDefault="009D62CF"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3817.156</w:t>
            </w:r>
          </w:p>
        </w:tc>
        <w:tc>
          <w:tcPr>
            <w:tcW w:w="1415" w:type="dxa"/>
            <w:gridSpan w:val="2"/>
          </w:tcPr>
          <w:p w14:paraId="4447233E" w14:textId="5060380C" w:rsidR="007D6145" w:rsidRDefault="0054757B"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1576.323</w:t>
            </w:r>
          </w:p>
        </w:tc>
        <w:tc>
          <w:tcPr>
            <w:tcW w:w="709" w:type="dxa"/>
          </w:tcPr>
          <w:p w14:paraId="781FD13E" w14:textId="66876CB6" w:rsidR="007D6145" w:rsidRDefault="0054757B"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D16352">
              <w:rPr>
                <w:rFonts w:ascii="Times New Roman" w:hAnsi="Times New Roman"/>
                <w:sz w:val="16"/>
                <w:szCs w:val="16"/>
              </w:rPr>
              <w:t>093</w:t>
            </w:r>
          </w:p>
        </w:tc>
        <w:tc>
          <w:tcPr>
            <w:tcW w:w="1869" w:type="dxa"/>
            <w:gridSpan w:val="3"/>
          </w:tcPr>
          <w:p w14:paraId="77AB41EA" w14:textId="3FACB020"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-346.740</w:t>
            </w:r>
          </w:p>
        </w:tc>
        <w:tc>
          <w:tcPr>
            <w:tcW w:w="1533" w:type="dxa"/>
          </w:tcPr>
          <w:p w14:paraId="45308792" w14:textId="0496B44D" w:rsidR="007D6145" w:rsidRDefault="00D16352" w:rsidP="007D6145">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7981.052</w:t>
            </w:r>
          </w:p>
        </w:tc>
      </w:tr>
      <w:tr w:rsidR="007D6145" w14:paraId="681AC1D8" w14:textId="658B7407" w:rsidTr="00ED5DE4">
        <w:trPr>
          <w:trHeight w:val="291"/>
        </w:trPr>
        <w:tc>
          <w:tcPr>
            <w:cnfStyle w:val="001000000000" w:firstRow="0" w:lastRow="0" w:firstColumn="1" w:lastColumn="0" w:oddVBand="0" w:evenVBand="0" w:oddHBand="0" w:evenHBand="0" w:firstRowFirstColumn="0" w:firstRowLastColumn="0" w:lastRowFirstColumn="0" w:lastRowLastColumn="0"/>
            <w:tcW w:w="1418" w:type="dxa"/>
          </w:tcPr>
          <w:p w14:paraId="6F23F40B" w14:textId="77777777" w:rsidR="007D6145" w:rsidRDefault="007D6145" w:rsidP="007D6145">
            <w:pPr>
              <w:pStyle w:val="MDPI31text"/>
              <w:spacing w:line="240" w:lineRule="auto"/>
              <w:ind w:left="0" w:firstLine="0"/>
              <w:rPr>
                <w:rFonts w:ascii="Times New Roman" w:hAnsi="Times New Roman"/>
                <w:sz w:val="16"/>
                <w:szCs w:val="16"/>
              </w:rPr>
            </w:pPr>
          </w:p>
        </w:tc>
        <w:tc>
          <w:tcPr>
            <w:tcW w:w="1134" w:type="dxa"/>
            <w:gridSpan w:val="3"/>
          </w:tcPr>
          <w:p w14:paraId="51563CEF" w14:textId="3BEC7213"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Omicron</w:t>
            </w:r>
          </w:p>
        </w:tc>
        <w:tc>
          <w:tcPr>
            <w:tcW w:w="992" w:type="dxa"/>
          </w:tcPr>
          <w:p w14:paraId="746C8F3D" w14:textId="78E11146"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Alpha</w:t>
            </w:r>
          </w:p>
        </w:tc>
        <w:tc>
          <w:tcPr>
            <w:tcW w:w="1846" w:type="dxa"/>
            <w:gridSpan w:val="2"/>
          </w:tcPr>
          <w:p w14:paraId="03BFFF04" w14:textId="50EE8C67"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w:t>
            </w:r>
            <w:r w:rsidR="009D62CF">
              <w:rPr>
                <w:rFonts w:ascii="Times New Roman" w:hAnsi="Times New Roman"/>
                <w:sz w:val="16"/>
                <w:szCs w:val="16"/>
              </w:rPr>
              <w:t>569.884</w:t>
            </w:r>
          </w:p>
        </w:tc>
        <w:tc>
          <w:tcPr>
            <w:tcW w:w="1415" w:type="dxa"/>
            <w:gridSpan w:val="2"/>
          </w:tcPr>
          <w:p w14:paraId="77A6E6A2" w14:textId="27570797" w:rsidR="007D6145" w:rsidRDefault="0054757B"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1576.323</w:t>
            </w:r>
          </w:p>
        </w:tc>
        <w:tc>
          <w:tcPr>
            <w:tcW w:w="709" w:type="dxa"/>
          </w:tcPr>
          <w:p w14:paraId="58EADF2B" w14:textId="434015B5" w:rsidR="007D6145" w:rsidRDefault="0054757B"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D16352">
              <w:rPr>
                <w:rFonts w:ascii="Times New Roman" w:hAnsi="Times New Roman"/>
                <w:sz w:val="16"/>
                <w:szCs w:val="16"/>
              </w:rPr>
              <w:t>023</w:t>
            </w:r>
          </w:p>
        </w:tc>
        <w:tc>
          <w:tcPr>
            <w:tcW w:w="1869" w:type="dxa"/>
            <w:gridSpan w:val="3"/>
          </w:tcPr>
          <w:p w14:paraId="45805A73" w14:textId="3E14E30C"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D16352">
              <w:rPr>
                <w:rFonts w:ascii="Times New Roman" w:hAnsi="Times New Roman"/>
                <w:sz w:val="16"/>
                <w:szCs w:val="16"/>
              </w:rPr>
              <w:t>8733.781</w:t>
            </w:r>
          </w:p>
        </w:tc>
        <w:tc>
          <w:tcPr>
            <w:tcW w:w="1533" w:type="dxa"/>
          </w:tcPr>
          <w:p w14:paraId="31EF1459" w14:textId="6495F52A" w:rsidR="007D6145" w:rsidRDefault="007D6145" w:rsidP="007D6145">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D16352">
              <w:rPr>
                <w:rFonts w:ascii="Times New Roman" w:hAnsi="Times New Roman"/>
                <w:sz w:val="16"/>
                <w:szCs w:val="16"/>
              </w:rPr>
              <w:t>405.988</w:t>
            </w:r>
          </w:p>
        </w:tc>
      </w:tr>
      <w:tr w:rsidR="007D6145" w14:paraId="01B191F7" w14:textId="14395599" w:rsidTr="00ED5DE4">
        <w:trPr>
          <w:trHeight w:val="291"/>
        </w:trPr>
        <w:tc>
          <w:tcPr>
            <w:cnfStyle w:val="001000000000" w:firstRow="0" w:lastRow="0" w:firstColumn="1" w:lastColumn="0" w:oddVBand="0" w:evenVBand="0" w:oddHBand="0" w:evenHBand="0" w:firstRowFirstColumn="0" w:firstRowLastColumn="0" w:lastRowFirstColumn="0" w:lastRowLastColumn="0"/>
            <w:tcW w:w="1418" w:type="dxa"/>
          </w:tcPr>
          <w:p w14:paraId="5D28E2C2" w14:textId="77777777" w:rsidR="007D6145" w:rsidRDefault="007D6145" w:rsidP="007D6145">
            <w:pPr>
              <w:pStyle w:val="MDPI31text"/>
              <w:spacing w:line="240" w:lineRule="auto"/>
              <w:ind w:left="0" w:firstLine="0"/>
              <w:rPr>
                <w:rFonts w:ascii="Times New Roman" w:hAnsi="Times New Roman"/>
                <w:sz w:val="16"/>
                <w:szCs w:val="16"/>
              </w:rPr>
            </w:pPr>
          </w:p>
        </w:tc>
        <w:tc>
          <w:tcPr>
            <w:tcW w:w="1134" w:type="dxa"/>
            <w:gridSpan w:val="3"/>
          </w:tcPr>
          <w:p w14:paraId="049013CE" w14:textId="77777777"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92" w:type="dxa"/>
          </w:tcPr>
          <w:p w14:paraId="26548BD2" w14:textId="62C7C9CF"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Base</w:t>
            </w:r>
          </w:p>
        </w:tc>
        <w:tc>
          <w:tcPr>
            <w:tcW w:w="1846" w:type="dxa"/>
            <w:gridSpan w:val="2"/>
          </w:tcPr>
          <w:p w14:paraId="1484C3CB" w14:textId="4A787233"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9D62CF">
              <w:rPr>
                <w:rFonts w:ascii="Times New Roman" w:hAnsi="Times New Roman"/>
                <w:sz w:val="16"/>
                <w:szCs w:val="16"/>
              </w:rPr>
              <w:t>1375.364</w:t>
            </w:r>
          </w:p>
        </w:tc>
        <w:tc>
          <w:tcPr>
            <w:tcW w:w="1415" w:type="dxa"/>
            <w:gridSpan w:val="2"/>
          </w:tcPr>
          <w:p w14:paraId="445807AE" w14:textId="3557538F"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w:t>
            </w:r>
            <w:r w:rsidR="0054757B">
              <w:rPr>
                <w:rFonts w:ascii="Times New Roman" w:hAnsi="Times New Roman"/>
                <w:sz w:val="16"/>
                <w:szCs w:val="16"/>
              </w:rPr>
              <w:t>578.190</w:t>
            </w:r>
          </w:p>
        </w:tc>
        <w:tc>
          <w:tcPr>
            <w:tcW w:w="709" w:type="dxa"/>
          </w:tcPr>
          <w:p w14:paraId="002B7C40" w14:textId="565546D8"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1.000</w:t>
            </w:r>
          </w:p>
        </w:tc>
        <w:tc>
          <w:tcPr>
            <w:tcW w:w="1869" w:type="dxa"/>
            <w:gridSpan w:val="3"/>
          </w:tcPr>
          <w:p w14:paraId="1F4A5528" w14:textId="27D99487"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D16352">
              <w:rPr>
                <w:rFonts w:ascii="Times New Roman" w:hAnsi="Times New Roman"/>
                <w:sz w:val="16"/>
                <w:szCs w:val="16"/>
              </w:rPr>
              <w:t>5544.191</w:t>
            </w:r>
          </w:p>
        </w:tc>
        <w:tc>
          <w:tcPr>
            <w:tcW w:w="1533" w:type="dxa"/>
          </w:tcPr>
          <w:p w14:paraId="76959025" w14:textId="37678354" w:rsidR="007D6145" w:rsidRDefault="00D16352" w:rsidP="007D6145">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2793.463</w:t>
            </w:r>
          </w:p>
        </w:tc>
      </w:tr>
      <w:tr w:rsidR="007D6145" w14:paraId="4C10C77C" w14:textId="3AC1BDB5" w:rsidTr="00ED5DE4">
        <w:trPr>
          <w:trHeight w:val="291"/>
        </w:trPr>
        <w:tc>
          <w:tcPr>
            <w:cnfStyle w:val="001000000000" w:firstRow="0" w:lastRow="0" w:firstColumn="1" w:lastColumn="0" w:oddVBand="0" w:evenVBand="0" w:oddHBand="0" w:evenHBand="0" w:firstRowFirstColumn="0" w:firstRowLastColumn="0" w:lastRowFirstColumn="0" w:lastRowLastColumn="0"/>
            <w:tcW w:w="1418" w:type="dxa"/>
          </w:tcPr>
          <w:p w14:paraId="008B4091" w14:textId="77777777" w:rsidR="007D6145" w:rsidRDefault="007D6145" w:rsidP="007D6145">
            <w:pPr>
              <w:pStyle w:val="MDPI31text"/>
              <w:spacing w:line="240" w:lineRule="auto"/>
              <w:ind w:left="0" w:firstLine="0"/>
              <w:rPr>
                <w:rFonts w:ascii="Times New Roman" w:hAnsi="Times New Roman"/>
                <w:sz w:val="16"/>
                <w:szCs w:val="16"/>
              </w:rPr>
            </w:pPr>
          </w:p>
        </w:tc>
        <w:tc>
          <w:tcPr>
            <w:tcW w:w="1134" w:type="dxa"/>
            <w:gridSpan w:val="3"/>
          </w:tcPr>
          <w:p w14:paraId="7938AD66" w14:textId="77777777"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c>
          <w:tcPr>
            <w:tcW w:w="992" w:type="dxa"/>
          </w:tcPr>
          <w:p w14:paraId="0E612123" w14:textId="15902F88"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Delta</w:t>
            </w:r>
          </w:p>
        </w:tc>
        <w:tc>
          <w:tcPr>
            <w:tcW w:w="1846" w:type="dxa"/>
            <w:gridSpan w:val="2"/>
          </w:tcPr>
          <w:p w14:paraId="3F40FD21" w14:textId="03D61BEA"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w:t>
            </w:r>
            <w:r w:rsidR="009D62CF">
              <w:rPr>
                <w:rFonts w:ascii="Times New Roman" w:hAnsi="Times New Roman"/>
                <w:sz w:val="16"/>
                <w:szCs w:val="16"/>
              </w:rPr>
              <w:t>3817.156</w:t>
            </w:r>
          </w:p>
        </w:tc>
        <w:tc>
          <w:tcPr>
            <w:tcW w:w="1415" w:type="dxa"/>
            <w:gridSpan w:val="2"/>
          </w:tcPr>
          <w:p w14:paraId="3B3BA46B" w14:textId="55B3204B" w:rsidR="007D6145" w:rsidRDefault="0054757B"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1576.323</w:t>
            </w:r>
          </w:p>
        </w:tc>
        <w:tc>
          <w:tcPr>
            <w:tcW w:w="709" w:type="dxa"/>
          </w:tcPr>
          <w:p w14:paraId="7A1F7702" w14:textId="32FEA89E" w:rsidR="007D6145" w:rsidRDefault="00D16352"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.093</w:t>
            </w:r>
          </w:p>
        </w:tc>
        <w:tc>
          <w:tcPr>
            <w:tcW w:w="1869" w:type="dxa"/>
            <w:gridSpan w:val="3"/>
          </w:tcPr>
          <w:p w14:paraId="24257546" w14:textId="6FC905A7" w:rsidR="007D6145" w:rsidRDefault="007D6145" w:rsidP="007D6145">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-7</w:t>
            </w:r>
            <w:r w:rsidR="00D16352">
              <w:rPr>
                <w:rFonts w:ascii="Times New Roman" w:hAnsi="Times New Roman"/>
                <w:sz w:val="16"/>
                <w:szCs w:val="16"/>
              </w:rPr>
              <w:t>981.052</w:t>
            </w:r>
          </w:p>
        </w:tc>
        <w:tc>
          <w:tcPr>
            <w:tcW w:w="1533" w:type="dxa"/>
          </w:tcPr>
          <w:p w14:paraId="3597A48B" w14:textId="0CD1DAF4" w:rsidR="007D6145" w:rsidRDefault="00D16352" w:rsidP="007D6145">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346.740</w:t>
            </w:r>
          </w:p>
        </w:tc>
      </w:tr>
    </w:tbl>
    <w:p w14:paraId="4A845B85" w14:textId="77777777" w:rsidR="007D6145" w:rsidRPr="000901D1" w:rsidRDefault="007D6145" w:rsidP="007D6145">
      <w:pPr>
        <w:pStyle w:val="MDPI31text"/>
        <w:spacing w:line="240" w:lineRule="auto"/>
        <w:ind w:left="0" w:firstLine="0"/>
        <w:rPr>
          <w:rFonts w:ascii="Times New Roman" w:hAnsi="Times New Roman"/>
          <w:sz w:val="16"/>
          <w:szCs w:val="16"/>
        </w:rPr>
      </w:pPr>
    </w:p>
    <w:p w14:paraId="5ED7654E" w14:textId="77777777" w:rsidR="005F354D" w:rsidRPr="00A16086" w:rsidRDefault="005F354D" w:rsidP="0010011E">
      <w:pPr>
        <w:pStyle w:val="MDPI31text"/>
        <w:spacing w:line="240" w:lineRule="auto"/>
        <w:ind w:left="0" w:firstLine="0"/>
        <w:rPr>
          <w:sz w:val="24"/>
          <w:szCs w:val="24"/>
        </w:rPr>
      </w:pPr>
    </w:p>
    <w:p w14:paraId="2A3BDFDA" w14:textId="776DC3C6" w:rsidR="00467D09" w:rsidRPr="00A16086" w:rsidRDefault="00467D09" w:rsidP="0010011E">
      <w:pPr>
        <w:pStyle w:val="MDPI31text"/>
        <w:spacing w:line="240" w:lineRule="auto"/>
        <w:ind w:left="0" w:firstLine="0"/>
        <w:rPr>
          <w:sz w:val="24"/>
          <w:szCs w:val="24"/>
        </w:rPr>
      </w:pPr>
      <w:r w:rsidRPr="00A16086">
        <w:rPr>
          <w:i/>
          <w:iCs/>
          <w:sz w:val="24"/>
          <w:szCs w:val="24"/>
        </w:rPr>
        <w:t xml:space="preserve">Visits Comparison (Baseline vs. COVID Periods) (Table 5) </w:t>
      </w:r>
    </w:p>
    <w:p w14:paraId="56077274" w14:textId="05A6D38A" w:rsidR="00467D09" w:rsidRPr="00A16086" w:rsidRDefault="00467D09" w:rsidP="0010011E">
      <w:pPr>
        <w:pStyle w:val="MDPI31text"/>
        <w:spacing w:line="240" w:lineRule="auto"/>
        <w:ind w:left="0" w:firstLine="0"/>
        <w:rPr>
          <w:sz w:val="24"/>
          <w:szCs w:val="24"/>
        </w:rPr>
      </w:pPr>
      <w:r w:rsidRPr="00A16086">
        <w:rPr>
          <w:sz w:val="24"/>
          <w:szCs w:val="24"/>
        </w:rPr>
        <w:t xml:space="preserve">The overall change in visits from the baseline to the COVID period was not significant (mean difference = -422.752, p = .320). </w:t>
      </w:r>
    </w:p>
    <w:p w14:paraId="54964DFC" w14:textId="77777777" w:rsidR="005F354D" w:rsidRPr="00A16086" w:rsidRDefault="005F354D" w:rsidP="0010011E">
      <w:pPr>
        <w:pStyle w:val="MDPI31text"/>
        <w:spacing w:line="240" w:lineRule="auto"/>
        <w:ind w:left="0" w:firstLine="0"/>
        <w:rPr>
          <w:sz w:val="24"/>
          <w:szCs w:val="24"/>
        </w:rPr>
      </w:pPr>
    </w:p>
    <w:p w14:paraId="798F9AFE" w14:textId="77777777" w:rsidR="00EE3F14" w:rsidRDefault="00EE3F14" w:rsidP="0010011E">
      <w:pPr>
        <w:pStyle w:val="MDPI31text"/>
        <w:spacing w:line="240" w:lineRule="auto"/>
        <w:rPr>
          <w:sz w:val="24"/>
          <w:szCs w:val="24"/>
        </w:rPr>
      </w:pPr>
    </w:p>
    <w:p w14:paraId="34A1513F" w14:textId="77777777" w:rsidR="00EE3F14" w:rsidRDefault="00EE3F14" w:rsidP="0010011E">
      <w:pPr>
        <w:pStyle w:val="MDPI31text"/>
        <w:spacing w:line="240" w:lineRule="auto"/>
        <w:rPr>
          <w:sz w:val="24"/>
          <w:szCs w:val="24"/>
        </w:rPr>
      </w:pPr>
    </w:p>
    <w:p w14:paraId="7987CE31" w14:textId="77777777" w:rsidR="009F1F42" w:rsidRDefault="009F1F42" w:rsidP="0010011E">
      <w:pPr>
        <w:pStyle w:val="MDPI31text"/>
        <w:spacing w:line="240" w:lineRule="auto"/>
        <w:rPr>
          <w:sz w:val="24"/>
          <w:szCs w:val="24"/>
        </w:rPr>
      </w:pPr>
    </w:p>
    <w:p w14:paraId="55FE5C48" w14:textId="77777777" w:rsidR="009F1F42" w:rsidRDefault="009F1F42" w:rsidP="0010011E">
      <w:pPr>
        <w:pStyle w:val="MDPI31text"/>
        <w:spacing w:line="240" w:lineRule="auto"/>
        <w:rPr>
          <w:sz w:val="24"/>
          <w:szCs w:val="24"/>
        </w:rPr>
      </w:pPr>
    </w:p>
    <w:p w14:paraId="67F6974C" w14:textId="77777777" w:rsidR="009F1F42" w:rsidRDefault="009F1F42" w:rsidP="0010011E">
      <w:pPr>
        <w:pStyle w:val="MDPI31text"/>
        <w:spacing w:line="240" w:lineRule="auto"/>
        <w:rPr>
          <w:sz w:val="24"/>
          <w:szCs w:val="24"/>
        </w:rPr>
      </w:pPr>
    </w:p>
    <w:p w14:paraId="66DA79DD" w14:textId="77777777" w:rsidR="009F1F42" w:rsidRDefault="009F1F42" w:rsidP="0010011E">
      <w:pPr>
        <w:pStyle w:val="MDPI31text"/>
        <w:spacing w:line="240" w:lineRule="auto"/>
        <w:rPr>
          <w:sz w:val="24"/>
          <w:szCs w:val="24"/>
        </w:rPr>
      </w:pPr>
    </w:p>
    <w:p w14:paraId="1CAD40FE" w14:textId="77777777" w:rsidR="00EE3F14" w:rsidRDefault="00EE3F14" w:rsidP="0010011E">
      <w:pPr>
        <w:pStyle w:val="MDPI31text"/>
        <w:spacing w:line="240" w:lineRule="auto"/>
        <w:rPr>
          <w:sz w:val="24"/>
          <w:szCs w:val="24"/>
        </w:rPr>
      </w:pPr>
    </w:p>
    <w:p w14:paraId="358563E0" w14:textId="77777777" w:rsidR="00EE3F14" w:rsidRDefault="00EE3F14" w:rsidP="0010011E">
      <w:pPr>
        <w:pStyle w:val="MDPI31text"/>
        <w:spacing w:line="240" w:lineRule="auto"/>
        <w:rPr>
          <w:sz w:val="24"/>
          <w:szCs w:val="24"/>
        </w:rPr>
      </w:pPr>
    </w:p>
    <w:p w14:paraId="76BEB82F" w14:textId="3DA31C67" w:rsidR="00467D09" w:rsidRPr="00A16086" w:rsidRDefault="00467D09" w:rsidP="0010011E">
      <w:pPr>
        <w:pStyle w:val="MDPI31text"/>
        <w:spacing w:line="240" w:lineRule="auto"/>
        <w:rPr>
          <w:sz w:val="24"/>
          <w:szCs w:val="24"/>
        </w:rPr>
      </w:pPr>
      <w:r w:rsidRPr="00A16086">
        <w:rPr>
          <w:sz w:val="24"/>
          <w:szCs w:val="24"/>
        </w:rPr>
        <w:t xml:space="preserve"> </w:t>
      </w:r>
    </w:p>
    <w:p w14:paraId="33D32D70" w14:textId="433F3C87" w:rsidR="00467D09" w:rsidRPr="00A16086" w:rsidRDefault="00467D09" w:rsidP="0010011E">
      <w:pPr>
        <w:pStyle w:val="MDPI31text"/>
        <w:spacing w:line="240" w:lineRule="auto"/>
        <w:ind w:left="0" w:firstLine="0"/>
        <w:rPr>
          <w:sz w:val="24"/>
          <w:szCs w:val="24"/>
        </w:rPr>
      </w:pPr>
      <w:r w:rsidRPr="00A16086">
        <w:rPr>
          <w:i/>
          <w:iCs/>
          <w:sz w:val="24"/>
          <w:szCs w:val="24"/>
        </w:rPr>
        <w:t xml:space="preserve">Table </w:t>
      </w:r>
      <w:r w:rsidR="00DC54F3">
        <w:rPr>
          <w:i/>
          <w:iCs/>
          <w:sz w:val="24"/>
          <w:szCs w:val="24"/>
          <w:lang w:val="en-IN"/>
        </w:rPr>
        <w:t>5</w:t>
      </w:r>
      <w:r w:rsidRPr="00A16086">
        <w:rPr>
          <w:i/>
          <w:iCs/>
          <w:sz w:val="24"/>
          <w:szCs w:val="24"/>
        </w:rPr>
        <w:t>: Visits comparison (Baseline vs COVID-19 Periods).</w:t>
      </w:r>
    </w:p>
    <w:p w14:paraId="25A2E87A" w14:textId="7290CA2C" w:rsidR="00467D09" w:rsidRPr="00A16086" w:rsidRDefault="00467D09" w:rsidP="0010011E">
      <w:pPr>
        <w:pStyle w:val="MDPI31text"/>
        <w:spacing w:line="240" w:lineRule="auto"/>
        <w:ind w:left="0" w:firstLine="0"/>
        <w:rPr>
          <w:sz w:val="24"/>
          <w:szCs w:val="24"/>
        </w:rPr>
      </w:pPr>
      <w:bookmarkStart w:id="3" w:name="_Hlk212293816"/>
    </w:p>
    <w:tbl>
      <w:tblPr>
        <w:tblStyle w:val="TableGrid"/>
        <w:tblW w:w="0" w:type="auto"/>
        <w:tblLook w:val="04A0" w:firstRow="1" w:lastRow="0" w:firstColumn="1" w:lastColumn="0" w:noHBand="0" w:noVBand="1"/>
      </w:tblPr>
      <w:tblGrid>
        <w:gridCol w:w="10456"/>
      </w:tblGrid>
      <w:tr w:rsidR="00AE5FFC" w14:paraId="00BF470B" w14:textId="77777777" w:rsidTr="00AE5FFC">
        <w:tc>
          <w:tcPr>
            <w:tcW w:w="10456" w:type="dxa"/>
          </w:tcPr>
          <w:p w14:paraId="2BF568B9" w14:textId="5E4988C4" w:rsidR="00AE5FFC" w:rsidRPr="00AE5FFC" w:rsidRDefault="00AE5FFC" w:rsidP="0010011E">
            <w:pPr>
              <w:pStyle w:val="MDPI31text"/>
              <w:spacing w:line="240" w:lineRule="auto"/>
              <w:ind w:left="0" w:firstLine="0"/>
              <w:rPr>
                <w:b/>
                <w:bCs/>
                <w:sz w:val="24"/>
                <w:szCs w:val="24"/>
              </w:rPr>
            </w:pPr>
            <w:r>
              <w:rPr>
                <w:sz w:val="24"/>
                <w:szCs w:val="24"/>
              </w:rPr>
              <w:t xml:space="preserve">                                 </w:t>
            </w:r>
            <w:r w:rsidRPr="00AE5FFC">
              <w:rPr>
                <w:b/>
                <w:bCs/>
                <w:sz w:val="24"/>
                <w:szCs w:val="24"/>
              </w:rPr>
              <w:t>Pairwise Comparisons</w:t>
            </w:r>
          </w:p>
        </w:tc>
      </w:tr>
    </w:tbl>
    <w:p w14:paraId="6DEA11D3" w14:textId="77777777" w:rsidR="00467D09" w:rsidRPr="00A16086" w:rsidRDefault="00467D09" w:rsidP="0010011E">
      <w:pPr>
        <w:pStyle w:val="MDPI31text"/>
        <w:spacing w:line="240" w:lineRule="auto"/>
        <w:ind w:left="0" w:firstLine="0"/>
        <w:rPr>
          <w:sz w:val="24"/>
          <w:szCs w:val="24"/>
        </w:rPr>
      </w:pPr>
    </w:p>
    <w:tbl>
      <w:tblPr>
        <w:tblStyle w:val="GridTable1Light"/>
        <w:tblW w:w="0" w:type="auto"/>
        <w:tblLook w:val="04A0" w:firstRow="1" w:lastRow="0" w:firstColumn="1" w:lastColumn="0" w:noHBand="0" w:noVBand="1"/>
      </w:tblPr>
      <w:tblGrid>
        <w:gridCol w:w="1885"/>
        <w:gridCol w:w="1061"/>
        <w:gridCol w:w="2398"/>
        <w:gridCol w:w="1715"/>
        <w:gridCol w:w="1053"/>
        <w:gridCol w:w="1172"/>
        <w:gridCol w:w="1172"/>
      </w:tblGrid>
      <w:tr w:rsidR="000901D1" w:rsidRPr="000901D1" w14:paraId="2568CD3B" w14:textId="2FB73B48" w:rsidTr="000901D1">
        <w:trPr>
          <w:cnfStyle w:val="100000000000" w:firstRow="1" w:lastRow="0" w:firstColumn="0" w:lastColumn="0" w:oddVBand="0" w:evenVBand="0" w:oddHBand="0"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1885" w:type="dxa"/>
          </w:tcPr>
          <w:p w14:paraId="018910D8" w14:textId="68EB1CD6" w:rsidR="000901D1" w:rsidRPr="000901D1" w:rsidRDefault="000901D1" w:rsidP="000901D1">
            <w:pPr>
              <w:pStyle w:val="MDPI31text"/>
              <w:numPr>
                <w:ilvl w:val="0"/>
                <w:numId w:val="25"/>
              </w:numPr>
              <w:spacing w:line="240" w:lineRule="auto"/>
              <w:rPr>
                <w:rFonts w:ascii="Times New Roman" w:hAnsi="Times New Roman"/>
                <w:sz w:val="16"/>
                <w:szCs w:val="16"/>
              </w:rPr>
            </w:pPr>
            <w:r w:rsidRPr="000901D1">
              <w:rPr>
                <w:rFonts w:ascii="Times New Roman" w:hAnsi="Times New Roman"/>
                <w:sz w:val="16"/>
                <w:szCs w:val="16"/>
              </w:rPr>
              <w:t>Visits</w:t>
            </w:r>
          </w:p>
        </w:tc>
        <w:tc>
          <w:tcPr>
            <w:tcW w:w="1061" w:type="dxa"/>
          </w:tcPr>
          <w:p w14:paraId="0257D429" w14:textId="2514FD35" w:rsidR="000901D1" w:rsidRPr="000901D1" w:rsidRDefault="000901D1" w:rsidP="0010011E">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0901D1">
              <w:rPr>
                <w:rFonts w:ascii="Times New Roman" w:hAnsi="Times New Roman"/>
                <w:sz w:val="16"/>
                <w:szCs w:val="16"/>
              </w:rPr>
              <w:t>(J) Visits</w:t>
            </w:r>
          </w:p>
        </w:tc>
        <w:tc>
          <w:tcPr>
            <w:tcW w:w="2398" w:type="dxa"/>
          </w:tcPr>
          <w:p w14:paraId="7E72EA61" w14:textId="276A5080" w:rsidR="000901D1" w:rsidRPr="000901D1" w:rsidRDefault="000901D1" w:rsidP="0010011E">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0901D1">
              <w:rPr>
                <w:rFonts w:ascii="Times New Roman" w:hAnsi="Times New Roman"/>
                <w:sz w:val="16"/>
                <w:szCs w:val="16"/>
              </w:rPr>
              <w:t>Mean Difference (I-J)</w:t>
            </w:r>
          </w:p>
        </w:tc>
        <w:tc>
          <w:tcPr>
            <w:tcW w:w="1715" w:type="dxa"/>
          </w:tcPr>
          <w:p w14:paraId="19968D80" w14:textId="5AE73A8F" w:rsidR="000901D1" w:rsidRPr="000901D1" w:rsidRDefault="000901D1" w:rsidP="0010011E">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proofErr w:type="spellStart"/>
            <w:r w:rsidRPr="000901D1">
              <w:rPr>
                <w:rFonts w:ascii="Times New Roman" w:hAnsi="Times New Roman"/>
                <w:sz w:val="16"/>
                <w:szCs w:val="16"/>
              </w:rPr>
              <w:t>Std.Error</w:t>
            </w:r>
            <w:proofErr w:type="spellEnd"/>
          </w:p>
        </w:tc>
        <w:tc>
          <w:tcPr>
            <w:tcW w:w="1053" w:type="dxa"/>
          </w:tcPr>
          <w:p w14:paraId="48F1105E" w14:textId="164EDF89" w:rsidR="000901D1" w:rsidRPr="000901D1" w:rsidRDefault="000901D1" w:rsidP="0010011E">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 xml:space="preserve">Sig </w:t>
            </w:r>
          </w:p>
        </w:tc>
        <w:tc>
          <w:tcPr>
            <w:tcW w:w="1172" w:type="dxa"/>
          </w:tcPr>
          <w:p w14:paraId="7617F9C1" w14:textId="56A311DC" w:rsidR="000901D1" w:rsidRDefault="000901D1" w:rsidP="0010011E">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sidRPr="000901D1">
              <w:rPr>
                <w:rFonts w:ascii="Times New Roman" w:hAnsi="Times New Roman"/>
                <w:sz w:val="16"/>
                <w:szCs w:val="16"/>
              </w:rPr>
              <w:t>95% confidence interval for Difference</w:t>
            </w:r>
          </w:p>
          <w:p w14:paraId="64D25472" w14:textId="77777777" w:rsidR="000901D1" w:rsidRDefault="000901D1" w:rsidP="0010011E">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p>
          <w:p w14:paraId="3FBF3533" w14:textId="649CCCDA" w:rsidR="000901D1" w:rsidRPr="000901D1" w:rsidRDefault="000901D1" w:rsidP="0010011E">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Lower Bound</w:t>
            </w:r>
          </w:p>
        </w:tc>
        <w:tc>
          <w:tcPr>
            <w:tcW w:w="1172" w:type="dxa"/>
          </w:tcPr>
          <w:p w14:paraId="3D4E8FDD" w14:textId="77777777" w:rsidR="000901D1" w:rsidRDefault="000901D1" w:rsidP="000901D1">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sidRPr="000901D1">
              <w:rPr>
                <w:rFonts w:ascii="Times New Roman" w:hAnsi="Times New Roman"/>
                <w:sz w:val="16"/>
                <w:szCs w:val="16"/>
              </w:rPr>
              <w:t>95% confidence interval for Difference</w:t>
            </w:r>
          </w:p>
          <w:p w14:paraId="09F1F2FF" w14:textId="77777777" w:rsidR="000901D1" w:rsidRDefault="000901D1" w:rsidP="000901D1">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p>
          <w:p w14:paraId="236A03DD" w14:textId="1853C971" w:rsidR="000901D1" w:rsidRPr="000901D1" w:rsidRDefault="000901D1" w:rsidP="000901D1">
            <w:pPr>
              <w:pStyle w:val="MDPI31text"/>
              <w:spacing w:line="240" w:lineRule="auto"/>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16"/>
                <w:szCs w:val="16"/>
              </w:rPr>
            </w:pPr>
            <w:r>
              <w:rPr>
                <w:rFonts w:ascii="Times New Roman" w:hAnsi="Times New Roman"/>
                <w:sz w:val="16"/>
                <w:szCs w:val="16"/>
              </w:rPr>
              <w:t>Upper</w:t>
            </w:r>
            <w:r>
              <w:rPr>
                <w:rFonts w:ascii="Times New Roman" w:hAnsi="Times New Roman"/>
                <w:sz w:val="16"/>
                <w:szCs w:val="16"/>
              </w:rPr>
              <w:t xml:space="preserve"> Bound</w:t>
            </w:r>
          </w:p>
        </w:tc>
      </w:tr>
      <w:tr w:rsidR="000901D1" w:rsidRPr="000901D1" w14:paraId="345EF500" w14:textId="3522EC6F" w:rsidTr="000901D1">
        <w:trPr>
          <w:trHeight w:val="290"/>
        </w:trPr>
        <w:tc>
          <w:tcPr>
            <w:cnfStyle w:val="001000000000" w:firstRow="0" w:lastRow="0" w:firstColumn="1" w:lastColumn="0" w:oddVBand="0" w:evenVBand="0" w:oddHBand="0" w:evenHBand="0" w:firstRowFirstColumn="0" w:firstRowLastColumn="0" w:lastRowFirstColumn="0" w:lastRowLastColumn="0"/>
            <w:tcW w:w="1885" w:type="dxa"/>
          </w:tcPr>
          <w:p w14:paraId="409612E5" w14:textId="1EBE3FE5" w:rsidR="000901D1" w:rsidRPr="000901D1" w:rsidRDefault="000901D1" w:rsidP="0010011E">
            <w:pPr>
              <w:pStyle w:val="MDPI31text"/>
              <w:spacing w:line="240" w:lineRule="auto"/>
              <w:ind w:left="0" w:firstLine="0"/>
              <w:rPr>
                <w:rFonts w:ascii="Times New Roman" w:hAnsi="Times New Roman"/>
                <w:sz w:val="16"/>
                <w:szCs w:val="16"/>
              </w:rPr>
            </w:pPr>
            <w:r w:rsidRPr="000901D1">
              <w:rPr>
                <w:rFonts w:ascii="Times New Roman" w:hAnsi="Times New Roman"/>
                <w:sz w:val="16"/>
                <w:szCs w:val="16"/>
              </w:rPr>
              <w:t>1</w:t>
            </w:r>
          </w:p>
        </w:tc>
        <w:tc>
          <w:tcPr>
            <w:tcW w:w="1061" w:type="dxa"/>
          </w:tcPr>
          <w:p w14:paraId="585FB973" w14:textId="4C7FA699" w:rsidR="000901D1" w:rsidRPr="000901D1" w:rsidRDefault="000901D1" w:rsidP="0010011E">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0901D1">
              <w:rPr>
                <w:rFonts w:ascii="Times New Roman" w:hAnsi="Times New Roman"/>
                <w:sz w:val="16"/>
                <w:szCs w:val="16"/>
              </w:rPr>
              <w:t>2</w:t>
            </w:r>
          </w:p>
        </w:tc>
        <w:tc>
          <w:tcPr>
            <w:tcW w:w="2398" w:type="dxa"/>
          </w:tcPr>
          <w:p w14:paraId="6B5A5DF2" w14:textId="5B9C7179" w:rsidR="000901D1" w:rsidRPr="000901D1" w:rsidRDefault="000901D1" w:rsidP="0010011E">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0901D1">
              <w:rPr>
                <w:rFonts w:ascii="Times New Roman" w:hAnsi="Times New Roman"/>
                <w:sz w:val="16"/>
                <w:szCs w:val="16"/>
              </w:rPr>
              <w:t>-422.752</w:t>
            </w:r>
          </w:p>
        </w:tc>
        <w:tc>
          <w:tcPr>
            <w:tcW w:w="1715" w:type="dxa"/>
          </w:tcPr>
          <w:p w14:paraId="04D2FFB5" w14:textId="19CCDCF8" w:rsidR="000901D1" w:rsidRPr="000901D1" w:rsidRDefault="000901D1" w:rsidP="0010011E">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0901D1">
              <w:rPr>
                <w:rFonts w:ascii="Times New Roman" w:hAnsi="Times New Roman"/>
                <w:sz w:val="16"/>
                <w:szCs w:val="16"/>
              </w:rPr>
              <w:t>424.682</w:t>
            </w:r>
          </w:p>
        </w:tc>
        <w:tc>
          <w:tcPr>
            <w:tcW w:w="1053" w:type="dxa"/>
          </w:tcPr>
          <w:p w14:paraId="2442BF4A" w14:textId="4589E7E2" w:rsidR="000901D1" w:rsidRDefault="000901D1" w:rsidP="0010011E">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.320</w:t>
            </w:r>
          </w:p>
        </w:tc>
        <w:tc>
          <w:tcPr>
            <w:tcW w:w="1172" w:type="dxa"/>
          </w:tcPr>
          <w:p w14:paraId="2DA880B9" w14:textId="630DD21E" w:rsidR="000901D1" w:rsidRPr="000901D1" w:rsidRDefault="000901D1" w:rsidP="0010011E">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-1255.740</w:t>
            </w:r>
          </w:p>
        </w:tc>
        <w:tc>
          <w:tcPr>
            <w:tcW w:w="1172" w:type="dxa"/>
          </w:tcPr>
          <w:p w14:paraId="17D52C2D" w14:textId="7BB06CB3" w:rsidR="000901D1" w:rsidRPr="000901D1" w:rsidRDefault="000901D1" w:rsidP="0010011E">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410.236</w:t>
            </w:r>
          </w:p>
        </w:tc>
      </w:tr>
      <w:tr w:rsidR="000901D1" w:rsidRPr="000901D1" w14:paraId="3250A67B" w14:textId="680C899F" w:rsidTr="000901D1">
        <w:trPr>
          <w:trHeight w:val="297"/>
        </w:trPr>
        <w:tc>
          <w:tcPr>
            <w:cnfStyle w:val="001000000000" w:firstRow="0" w:lastRow="0" w:firstColumn="1" w:lastColumn="0" w:oddVBand="0" w:evenVBand="0" w:oddHBand="0" w:evenHBand="0" w:firstRowFirstColumn="0" w:firstRowLastColumn="0" w:lastRowFirstColumn="0" w:lastRowLastColumn="0"/>
            <w:tcW w:w="1885" w:type="dxa"/>
          </w:tcPr>
          <w:p w14:paraId="39E9D8E4" w14:textId="03A5FB3A" w:rsidR="000901D1" w:rsidRPr="000901D1" w:rsidRDefault="000901D1" w:rsidP="0010011E">
            <w:pPr>
              <w:pStyle w:val="MDPI31text"/>
              <w:spacing w:line="240" w:lineRule="auto"/>
              <w:ind w:left="0" w:firstLine="0"/>
              <w:rPr>
                <w:rFonts w:ascii="Times New Roman" w:hAnsi="Times New Roman"/>
                <w:sz w:val="16"/>
                <w:szCs w:val="16"/>
              </w:rPr>
            </w:pPr>
            <w:r w:rsidRPr="000901D1">
              <w:rPr>
                <w:rFonts w:ascii="Times New Roman" w:hAnsi="Times New Roman"/>
                <w:sz w:val="16"/>
                <w:szCs w:val="16"/>
              </w:rPr>
              <w:t>2</w:t>
            </w:r>
          </w:p>
        </w:tc>
        <w:tc>
          <w:tcPr>
            <w:tcW w:w="1061" w:type="dxa"/>
          </w:tcPr>
          <w:p w14:paraId="5B327F23" w14:textId="11A39B0B" w:rsidR="000901D1" w:rsidRPr="000901D1" w:rsidRDefault="000901D1" w:rsidP="0010011E">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0901D1">
              <w:rPr>
                <w:rFonts w:ascii="Times New Roman" w:hAnsi="Times New Roman"/>
                <w:sz w:val="16"/>
                <w:szCs w:val="16"/>
              </w:rPr>
              <w:t>1</w:t>
            </w:r>
          </w:p>
        </w:tc>
        <w:tc>
          <w:tcPr>
            <w:tcW w:w="2398" w:type="dxa"/>
          </w:tcPr>
          <w:p w14:paraId="3B445987" w14:textId="30C74541" w:rsidR="000901D1" w:rsidRPr="000901D1" w:rsidRDefault="000901D1" w:rsidP="0010011E">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0901D1">
              <w:rPr>
                <w:rFonts w:ascii="Times New Roman" w:hAnsi="Times New Roman"/>
                <w:sz w:val="16"/>
                <w:szCs w:val="16"/>
              </w:rPr>
              <w:t>422.752</w:t>
            </w:r>
          </w:p>
        </w:tc>
        <w:tc>
          <w:tcPr>
            <w:tcW w:w="1715" w:type="dxa"/>
          </w:tcPr>
          <w:p w14:paraId="482B5487" w14:textId="765E7E32" w:rsidR="000901D1" w:rsidRPr="000901D1" w:rsidRDefault="000901D1" w:rsidP="0010011E">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0901D1">
              <w:rPr>
                <w:rFonts w:ascii="Times New Roman" w:hAnsi="Times New Roman"/>
                <w:sz w:val="16"/>
                <w:szCs w:val="16"/>
              </w:rPr>
              <w:t>424.682</w:t>
            </w:r>
          </w:p>
        </w:tc>
        <w:tc>
          <w:tcPr>
            <w:tcW w:w="1053" w:type="dxa"/>
          </w:tcPr>
          <w:p w14:paraId="3B1A749D" w14:textId="042E84E4" w:rsidR="000901D1" w:rsidRDefault="000901D1" w:rsidP="0010011E">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.320</w:t>
            </w:r>
          </w:p>
        </w:tc>
        <w:tc>
          <w:tcPr>
            <w:tcW w:w="1172" w:type="dxa"/>
          </w:tcPr>
          <w:p w14:paraId="415699A2" w14:textId="2FB12D0F" w:rsidR="000901D1" w:rsidRPr="000901D1" w:rsidRDefault="000901D1" w:rsidP="0010011E">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-410.236</w:t>
            </w:r>
          </w:p>
        </w:tc>
        <w:tc>
          <w:tcPr>
            <w:tcW w:w="1172" w:type="dxa"/>
          </w:tcPr>
          <w:p w14:paraId="44087958" w14:textId="68FE2AF8" w:rsidR="000901D1" w:rsidRPr="000901D1" w:rsidRDefault="000901D1" w:rsidP="0010011E">
            <w:pPr>
              <w:pStyle w:val="MDPI31text"/>
              <w:spacing w:line="240" w:lineRule="auto"/>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1255.740</w:t>
            </w:r>
          </w:p>
        </w:tc>
      </w:tr>
    </w:tbl>
    <w:p w14:paraId="6AD4CE38" w14:textId="77777777" w:rsidR="00467D09" w:rsidRPr="000901D1" w:rsidRDefault="00467D09" w:rsidP="0010011E">
      <w:pPr>
        <w:pStyle w:val="MDPI31text"/>
        <w:spacing w:line="240" w:lineRule="auto"/>
        <w:ind w:left="0" w:firstLine="0"/>
        <w:rPr>
          <w:rFonts w:ascii="Times New Roman" w:hAnsi="Times New Roman"/>
          <w:sz w:val="16"/>
          <w:szCs w:val="16"/>
        </w:rPr>
      </w:pPr>
    </w:p>
    <w:p w14:paraId="72F44028" w14:textId="77777777" w:rsidR="00467D09" w:rsidRPr="00A16086" w:rsidRDefault="00467D09" w:rsidP="0010011E">
      <w:pPr>
        <w:pStyle w:val="MDPI31text"/>
        <w:spacing w:line="240" w:lineRule="auto"/>
        <w:ind w:left="0" w:firstLine="0"/>
        <w:rPr>
          <w:sz w:val="24"/>
          <w:szCs w:val="24"/>
        </w:rPr>
      </w:pPr>
    </w:p>
    <w:bookmarkEnd w:id="3"/>
    <w:p w14:paraId="00F5FC00" w14:textId="788C6B02" w:rsidR="00467D09" w:rsidRPr="00A16086" w:rsidRDefault="00467D09" w:rsidP="0010011E">
      <w:pPr>
        <w:pStyle w:val="MDPI31text"/>
        <w:spacing w:line="240" w:lineRule="auto"/>
        <w:ind w:left="0" w:firstLine="0"/>
        <w:rPr>
          <w:sz w:val="24"/>
          <w:szCs w:val="24"/>
        </w:rPr>
      </w:pPr>
      <w:r w:rsidRPr="00A16086">
        <w:rPr>
          <w:sz w:val="24"/>
          <w:szCs w:val="24"/>
        </w:rPr>
        <w:t xml:space="preserve">This analysis highlights the complexity of how different COVID-19 strains influenced park 674 visitation patterns. These variations were significant within each city, indicating that the response to different strains of the virus varied between Atlanta and Miami. Additionally, the lack of overall change in visits from the baseline to the COVID period suggests that, on average, park visitation remained relatively stable despite the pandemic, although nuanced differences emerged when considering specific virus strains and cities.  </w:t>
      </w:r>
    </w:p>
    <w:p w14:paraId="77D14877" w14:textId="1A6007B6" w:rsidR="00467D09" w:rsidRPr="00A16086" w:rsidRDefault="00467D09" w:rsidP="0010011E">
      <w:pPr>
        <w:pStyle w:val="MDPI31text"/>
        <w:spacing w:line="240" w:lineRule="auto"/>
        <w:rPr>
          <w:sz w:val="24"/>
          <w:szCs w:val="24"/>
        </w:rPr>
      </w:pPr>
    </w:p>
    <w:p w14:paraId="32D5ED7A" w14:textId="6A684B3E" w:rsidR="00467D09" w:rsidRPr="00A16086" w:rsidRDefault="005F354D" w:rsidP="0010011E">
      <w:pPr>
        <w:pStyle w:val="MDPI31text"/>
        <w:spacing w:line="240" w:lineRule="auto"/>
        <w:ind w:left="0" w:firstLine="0"/>
        <w:rPr>
          <w:sz w:val="24"/>
          <w:szCs w:val="24"/>
        </w:rPr>
      </w:pPr>
      <w:r w:rsidRPr="00A16086">
        <w:rPr>
          <w:b/>
          <w:bCs/>
          <w:sz w:val="24"/>
          <w:szCs w:val="24"/>
        </w:rPr>
        <w:t>3</w:t>
      </w:r>
      <w:r w:rsidR="00467D09" w:rsidRPr="00A16086">
        <w:rPr>
          <w:b/>
          <w:bCs/>
          <w:sz w:val="24"/>
          <w:szCs w:val="24"/>
        </w:rPr>
        <w:t xml:space="preserve">.4 Demographic Analysis of Engagement in Outdoor Activity in Atlanta and Miami </w:t>
      </w:r>
    </w:p>
    <w:p w14:paraId="26643B41" w14:textId="77777777" w:rsidR="00467D09" w:rsidRPr="00A16086" w:rsidRDefault="00467D09" w:rsidP="0010011E">
      <w:pPr>
        <w:pStyle w:val="MDPI31text"/>
        <w:spacing w:line="240" w:lineRule="auto"/>
        <w:ind w:left="0" w:firstLine="0"/>
        <w:rPr>
          <w:sz w:val="24"/>
          <w:szCs w:val="24"/>
        </w:rPr>
      </w:pPr>
    </w:p>
    <w:p w14:paraId="54042415" w14:textId="6C2611F3" w:rsidR="00467D09" w:rsidRPr="00A16086" w:rsidRDefault="00467D09" w:rsidP="0010011E">
      <w:pPr>
        <w:pStyle w:val="MDPI31text"/>
        <w:spacing w:line="240" w:lineRule="auto"/>
        <w:ind w:left="0" w:firstLine="0"/>
        <w:rPr>
          <w:sz w:val="24"/>
          <w:szCs w:val="24"/>
        </w:rPr>
      </w:pPr>
      <w:r w:rsidRPr="00A16086">
        <w:rPr>
          <w:sz w:val="24"/>
          <w:szCs w:val="24"/>
        </w:rPr>
        <w:t xml:space="preserve">The examination of both cities reveals that the sole distinguishing characteristic between them was race/ethnicity. Contrary to our initial hypothesis outlined in the Research Objectives, which anticipated variations in political outlooks and age between the two cities, the comparison conducted in section 4.1 above did not validate this expectation. </w:t>
      </w:r>
    </w:p>
    <w:p w14:paraId="707966C0" w14:textId="77777777" w:rsidR="00467D09" w:rsidRPr="00A16086" w:rsidRDefault="00467D09" w:rsidP="0010011E">
      <w:pPr>
        <w:pStyle w:val="MDPI31text"/>
        <w:spacing w:line="240" w:lineRule="auto"/>
        <w:ind w:left="0" w:firstLine="0"/>
        <w:rPr>
          <w:sz w:val="24"/>
          <w:szCs w:val="24"/>
        </w:rPr>
      </w:pPr>
    </w:p>
    <w:p w14:paraId="6F52DC05" w14:textId="014F608A" w:rsidR="00467D09" w:rsidRPr="00A16086" w:rsidRDefault="00467D09" w:rsidP="0010011E">
      <w:pPr>
        <w:pStyle w:val="MDPI31text"/>
        <w:spacing w:line="240" w:lineRule="auto"/>
        <w:ind w:left="0" w:firstLine="0"/>
        <w:rPr>
          <w:sz w:val="24"/>
          <w:szCs w:val="24"/>
        </w:rPr>
      </w:pPr>
      <w:r w:rsidRPr="00A16086">
        <w:rPr>
          <w:sz w:val="24"/>
          <w:szCs w:val="24"/>
        </w:rPr>
        <w:t xml:space="preserve">In exploring the nuanced aspects of park visits, we delved into the demographic details of populations at the census block group level, focusing exclusively on those encompassing parks in Atlanta and Miami. It's important to note that Figure 8 graphs illustrate visitation to all parks and outdoor activity locations from every origin within Atlanta and Miami's census block groups. Figures 9 and 10, however, specifically showcase the demographic characteristics of populations in census blocks containing parks. The underlying assumption here was that individuals residing in a census block with a park are more inclined to utilize these facilities. </w:t>
      </w:r>
    </w:p>
    <w:p w14:paraId="00832F64" w14:textId="77777777" w:rsidR="00467D09" w:rsidRPr="00A16086" w:rsidRDefault="00467D09" w:rsidP="0010011E">
      <w:pPr>
        <w:pStyle w:val="MDPI31text"/>
        <w:spacing w:line="240" w:lineRule="auto"/>
        <w:ind w:left="0" w:firstLine="0"/>
        <w:rPr>
          <w:sz w:val="24"/>
          <w:szCs w:val="24"/>
        </w:rPr>
      </w:pPr>
    </w:p>
    <w:p w14:paraId="58CF9C22" w14:textId="46C79984" w:rsidR="00467D09" w:rsidRPr="00A16086" w:rsidRDefault="00467D09" w:rsidP="0010011E">
      <w:pPr>
        <w:pStyle w:val="MDPI31text"/>
        <w:spacing w:line="240" w:lineRule="auto"/>
        <w:ind w:left="0" w:firstLine="0"/>
        <w:rPr>
          <w:sz w:val="24"/>
          <w:szCs w:val="24"/>
        </w:rPr>
      </w:pPr>
      <w:r w:rsidRPr="00A16086">
        <w:rPr>
          <w:sz w:val="24"/>
          <w:szCs w:val="24"/>
        </w:rPr>
        <w:t xml:space="preserve">In the block groups containing parks in Atlanta (Figure 10), the analysis reveals a total of 136,498 individuals across the White, Black, and Hispanic populations. During the COVID-19 period, most racial groups experienced a decline in park visitation. Specifically, 84.67% of the White population saw decreased visits to parks, while 15.33% saw an increase. The Black population had 83.72% experiencing a decrease in visits, but a notable 16.28% showed an increase, suggesting a significant shift towards more outdoor activity within this demographic. The Hispanic population demonstrated the most considerable decrease in park visits, with 91.06% of their block groups showing reduced visitation and only 8.94% an increase. </w:t>
      </w:r>
    </w:p>
    <w:p w14:paraId="41E2F3C8" w14:textId="77777777" w:rsidR="0021760A" w:rsidRPr="00A16086" w:rsidRDefault="0021760A" w:rsidP="0010011E">
      <w:pPr>
        <w:pStyle w:val="MDPI31text"/>
        <w:spacing w:line="240" w:lineRule="auto"/>
        <w:ind w:left="0" w:firstLine="0"/>
        <w:rPr>
          <w:sz w:val="24"/>
          <w:szCs w:val="24"/>
        </w:rPr>
      </w:pPr>
    </w:p>
    <w:p w14:paraId="4B9A67E6" w14:textId="256931F3" w:rsidR="00467D09" w:rsidRPr="00A16086" w:rsidRDefault="00467D09" w:rsidP="0010011E">
      <w:pPr>
        <w:pStyle w:val="MDPI31text"/>
        <w:spacing w:line="240" w:lineRule="auto"/>
        <w:ind w:left="0" w:firstLine="0"/>
        <w:rPr>
          <w:sz w:val="24"/>
          <w:szCs w:val="24"/>
        </w:rPr>
      </w:pPr>
      <w:r w:rsidRPr="00A16086">
        <w:rPr>
          <w:sz w:val="24"/>
          <w:szCs w:val="24"/>
        </w:rPr>
        <w:t>In comparison, in Miami's block groups that contain parks, the Hispanic population represents the largest proportion of the total population, with changes in park visits during the pandemic: 75.5% saw a decrease</w:t>
      </w:r>
      <w:r w:rsidR="00734D00" w:rsidRPr="00A16086">
        <w:rPr>
          <w:sz w:val="24"/>
          <w:szCs w:val="24"/>
        </w:rPr>
        <w:t>,</w:t>
      </w:r>
      <w:r w:rsidRPr="00A16086">
        <w:rPr>
          <w:sz w:val="24"/>
          <w:szCs w:val="24"/>
        </w:rPr>
        <w:t xml:space="preserve"> while 24.5% experienced an increase. The White population had a smaller proportion of the total, experiencing a decrease </w:t>
      </w:r>
      <w:r w:rsidR="00734D00" w:rsidRPr="00A16086">
        <w:rPr>
          <w:sz w:val="24"/>
          <w:szCs w:val="24"/>
        </w:rPr>
        <w:t>at</w:t>
      </w:r>
      <w:r w:rsidRPr="00A16086">
        <w:rPr>
          <w:sz w:val="24"/>
          <w:szCs w:val="24"/>
        </w:rPr>
        <w:t xml:space="preserve"> 73.82%, and an increase was observed at 26.18%. The Black population showed an 80.19% decrease in visits, and an increase was noted at 19.81%. Identify the spatial patterns of areas experiencing an increase or decrease in visits to parks and areas of outdoor activity compared to baseline activity measured in 2018.</w:t>
      </w:r>
    </w:p>
    <w:p w14:paraId="345A548F" w14:textId="77777777" w:rsidR="00467D09" w:rsidRPr="00A16086" w:rsidRDefault="00467D09" w:rsidP="0010011E">
      <w:pPr>
        <w:pStyle w:val="MDPI31text"/>
        <w:spacing w:line="240" w:lineRule="auto"/>
        <w:ind w:left="0" w:firstLine="0"/>
        <w:rPr>
          <w:sz w:val="24"/>
          <w:szCs w:val="24"/>
        </w:rPr>
      </w:pPr>
    </w:p>
    <w:p w14:paraId="4F0D6420" w14:textId="77777777" w:rsidR="00467D09" w:rsidRPr="00A16086" w:rsidRDefault="00467D09" w:rsidP="0010011E">
      <w:pPr>
        <w:pStyle w:val="MDPI31text"/>
        <w:spacing w:line="240" w:lineRule="auto"/>
        <w:ind w:left="0" w:firstLine="0"/>
        <w:rPr>
          <w:sz w:val="24"/>
          <w:szCs w:val="24"/>
        </w:rPr>
      </w:pPr>
    </w:p>
    <w:p w14:paraId="1DB414A3" w14:textId="6EBCAF34" w:rsidR="00467D09" w:rsidRPr="00A16086" w:rsidRDefault="00467D09" w:rsidP="0010011E">
      <w:pPr>
        <w:pStyle w:val="MDPI31text"/>
        <w:spacing w:line="240" w:lineRule="auto"/>
        <w:ind w:left="0" w:firstLine="0"/>
        <w:rPr>
          <w:sz w:val="24"/>
          <w:szCs w:val="24"/>
        </w:rPr>
      </w:pPr>
      <w:r w:rsidRPr="00A16086">
        <w:rPr>
          <w:noProof/>
          <w:sz w:val="24"/>
          <w:szCs w:val="24"/>
        </w:rPr>
        <w:drawing>
          <wp:inline distT="0" distB="0" distL="0" distR="0" wp14:anchorId="65C7449B" wp14:editId="426200B5">
            <wp:extent cx="5722620" cy="3421380"/>
            <wp:effectExtent l="0" t="0" r="0" b="7620"/>
            <wp:docPr id="291747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620" cy="3421380"/>
                    </a:xfrm>
                    <a:prstGeom prst="rect">
                      <a:avLst/>
                    </a:prstGeom>
                    <a:noFill/>
                    <a:ln>
                      <a:noFill/>
                    </a:ln>
                  </pic:spPr>
                </pic:pic>
              </a:graphicData>
            </a:graphic>
          </wp:inline>
        </w:drawing>
      </w:r>
    </w:p>
    <w:p w14:paraId="2FA8FDC3" w14:textId="65B6A8D9" w:rsidR="00467D09" w:rsidRPr="00A16086" w:rsidRDefault="00467D09" w:rsidP="0010011E">
      <w:pPr>
        <w:pStyle w:val="MDPI31text"/>
        <w:spacing w:line="240" w:lineRule="auto"/>
        <w:ind w:left="0" w:firstLine="0"/>
        <w:rPr>
          <w:sz w:val="24"/>
          <w:szCs w:val="24"/>
        </w:rPr>
      </w:pPr>
      <w:r w:rsidRPr="00A16086">
        <w:rPr>
          <w:i/>
          <w:iCs/>
          <w:sz w:val="24"/>
          <w:szCs w:val="24"/>
        </w:rPr>
        <w:t>Figure 9: Percentage change in outdoor activities amongst different races in Atlanta.</w:t>
      </w:r>
    </w:p>
    <w:p w14:paraId="1A82AEBC" w14:textId="77777777" w:rsidR="00467D09" w:rsidRPr="00A16086" w:rsidRDefault="00467D09" w:rsidP="0010011E">
      <w:pPr>
        <w:pStyle w:val="MDPI31text"/>
        <w:spacing w:line="240" w:lineRule="auto"/>
        <w:ind w:left="0" w:firstLine="0"/>
        <w:rPr>
          <w:sz w:val="24"/>
          <w:szCs w:val="24"/>
        </w:rPr>
      </w:pPr>
    </w:p>
    <w:p w14:paraId="4A5FDB8C" w14:textId="255BD12C" w:rsidR="00467D09" w:rsidRPr="00A16086" w:rsidRDefault="00DA2F02" w:rsidP="0010011E">
      <w:pPr>
        <w:pStyle w:val="MDPI31text"/>
        <w:spacing w:line="240" w:lineRule="auto"/>
        <w:ind w:left="0" w:firstLine="0"/>
        <w:rPr>
          <w:sz w:val="24"/>
          <w:szCs w:val="24"/>
        </w:rPr>
      </w:pPr>
      <w:r w:rsidRPr="00A16086">
        <w:rPr>
          <w:noProof/>
          <w:sz w:val="24"/>
          <w:szCs w:val="24"/>
        </w:rPr>
        <w:drawing>
          <wp:inline distT="0" distB="0" distL="0" distR="0" wp14:anchorId="20CC1F55" wp14:editId="41C107FA">
            <wp:extent cx="5722620" cy="3421380"/>
            <wp:effectExtent l="0" t="0" r="0" b="7620"/>
            <wp:docPr id="2413400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2620" cy="3421380"/>
                    </a:xfrm>
                    <a:prstGeom prst="rect">
                      <a:avLst/>
                    </a:prstGeom>
                    <a:noFill/>
                    <a:ln>
                      <a:noFill/>
                    </a:ln>
                  </pic:spPr>
                </pic:pic>
              </a:graphicData>
            </a:graphic>
          </wp:inline>
        </w:drawing>
      </w:r>
    </w:p>
    <w:p w14:paraId="68B3C0D6" w14:textId="6104465A" w:rsidR="00467D09" w:rsidRPr="00A16086" w:rsidRDefault="00DA2F02" w:rsidP="0010011E">
      <w:pPr>
        <w:pStyle w:val="MDPI31text"/>
        <w:spacing w:line="240" w:lineRule="auto"/>
        <w:ind w:left="0" w:firstLine="0"/>
        <w:rPr>
          <w:sz w:val="24"/>
          <w:szCs w:val="24"/>
        </w:rPr>
      </w:pPr>
      <w:r w:rsidRPr="00A16086">
        <w:rPr>
          <w:i/>
          <w:iCs/>
          <w:sz w:val="24"/>
          <w:szCs w:val="24"/>
        </w:rPr>
        <w:t>Figure 10: Percentage change in outdoor activities amongst different races in Miami.</w:t>
      </w:r>
    </w:p>
    <w:p w14:paraId="1CF4B2FE" w14:textId="77777777" w:rsidR="00467D09" w:rsidRPr="00A16086" w:rsidRDefault="00467D09" w:rsidP="0010011E">
      <w:pPr>
        <w:pStyle w:val="MDPI31text"/>
        <w:spacing w:line="240" w:lineRule="auto"/>
        <w:ind w:left="0" w:firstLine="0"/>
        <w:rPr>
          <w:sz w:val="24"/>
          <w:szCs w:val="24"/>
        </w:rPr>
      </w:pPr>
    </w:p>
    <w:p w14:paraId="772876EB" w14:textId="7FE15920" w:rsidR="00DA2F02" w:rsidRPr="00A16086" w:rsidRDefault="00DA2F02" w:rsidP="0010011E">
      <w:pPr>
        <w:pStyle w:val="MDPI31text"/>
        <w:spacing w:line="240" w:lineRule="auto"/>
        <w:ind w:left="0" w:firstLine="0"/>
        <w:rPr>
          <w:sz w:val="24"/>
          <w:szCs w:val="24"/>
        </w:rPr>
      </w:pPr>
      <w:r w:rsidRPr="00A16086">
        <w:rPr>
          <w:sz w:val="24"/>
          <w:szCs w:val="24"/>
        </w:rPr>
        <w:t xml:space="preserve">These percentages reflect the broad patterns of outdoor activity during the pandemic. The </w:t>
      </w:r>
      <w:r w:rsidR="0021760A" w:rsidRPr="00A16086">
        <w:rPr>
          <w:sz w:val="24"/>
          <w:szCs w:val="24"/>
        </w:rPr>
        <w:t>high</w:t>
      </w:r>
      <w:r w:rsidRPr="00A16086">
        <w:rPr>
          <w:sz w:val="24"/>
          <w:szCs w:val="24"/>
        </w:rPr>
        <w:t xml:space="preserve"> percentage of decreased visits in Hispanic block groups indicates this demographic may have been more affected by or responsive to the restrictions and risks associated with COVID-19. Meanwhile, the Black population's relatively higher percentage of increased visits suggests a different pattern of response, possibly indicating varying levels of access to outdoor spaces or differences in communal responses to the pandemic. The White population's data, while still showing a dominant decrease, suggests a more balanced change in outdoor activity levels among block groups. </w:t>
      </w:r>
    </w:p>
    <w:p w14:paraId="434C66BC" w14:textId="77777777" w:rsidR="00DA2F02" w:rsidRPr="00A16086" w:rsidRDefault="00DA2F02" w:rsidP="0010011E">
      <w:pPr>
        <w:pStyle w:val="MDPI31text"/>
        <w:spacing w:line="240" w:lineRule="auto"/>
        <w:ind w:left="0" w:firstLine="0"/>
        <w:rPr>
          <w:sz w:val="24"/>
          <w:szCs w:val="24"/>
        </w:rPr>
      </w:pPr>
    </w:p>
    <w:p w14:paraId="4D173C26" w14:textId="4CF4EDED" w:rsidR="00DA2F02" w:rsidRPr="00A16086" w:rsidRDefault="00DA2F02" w:rsidP="0010011E">
      <w:pPr>
        <w:pStyle w:val="MDPI31text"/>
        <w:spacing w:line="240" w:lineRule="auto"/>
        <w:ind w:left="0" w:firstLine="0"/>
        <w:rPr>
          <w:sz w:val="24"/>
          <w:szCs w:val="24"/>
        </w:rPr>
      </w:pPr>
      <w:r w:rsidRPr="00A16086">
        <w:rPr>
          <w:sz w:val="24"/>
          <w:szCs w:val="24"/>
        </w:rPr>
        <w:t xml:space="preserve">To illustrate the changes in park visits within Atlanta, a qualitative analysis is presented through a color-coded map. Regions depicted in red reflect an increase in park visits, indicating a rise in outdoor recreational engagement. In contrast, those marked in yellow show a decrease in visits, which may suggest changes in recreational habits or other influencing factors that deter park usage. </w:t>
      </w:r>
    </w:p>
    <w:p w14:paraId="5D93B1A9" w14:textId="77777777" w:rsidR="00DA2F02" w:rsidRPr="00A16086" w:rsidRDefault="00DA2F02" w:rsidP="0010011E">
      <w:pPr>
        <w:pStyle w:val="MDPI31text"/>
        <w:spacing w:line="240" w:lineRule="auto"/>
        <w:ind w:left="0" w:firstLine="0"/>
        <w:rPr>
          <w:sz w:val="24"/>
          <w:szCs w:val="24"/>
        </w:rPr>
      </w:pPr>
    </w:p>
    <w:p w14:paraId="56E3E774" w14:textId="60D7C40A" w:rsidR="00467D09" w:rsidRPr="00A16086" w:rsidRDefault="00DA2F02" w:rsidP="0010011E">
      <w:pPr>
        <w:pStyle w:val="MDPI31text"/>
        <w:spacing w:line="240" w:lineRule="auto"/>
        <w:ind w:left="0" w:firstLine="0"/>
        <w:rPr>
          <w:sz w:val="24"/>
          <w:szCs w:val="24"/>
        </w:rPr>
      </w:pPr>
      <w:r w:rsidRPr="00A16086">
        <w:rPr>
          <w:sz w:val="24"/>
          <w:szCs w:val="24"/>
        </w:rPr>
        <w:t xml:space="preserve">This visual representation is a crucial analytical tool for deciphering the complex spatial distribution of park visitation trends. It provides meaningful insights </w:t>
      </w:r>
      <w:proofErr w:type="gramStart"/>
      <w:r w:rsidRPr="00A16086">
        <w:rPr>
          <w:sz w:val="24"/>
          <w:szCs w:val="24"/>
        </w:rPr>
        <w:t>for</w:t>
      </w:r>
      <w:proofErr w:type="gramEnd"/>
      <w:r w:rsidRPr="00A16086">
        <w:rPr>
          <w:sz w:val="24"/>
          <w:szCs w:val="24"/>
        </w:rPr>
        <w:t xml:space="preserve"> future urban and recreational planning, pointing to areas that may require attention to enhance public engagement with park spaces.</w:t>
      </w:r>
    </w:p>
    <w:p w14:paraId="0B174296" w14:textId="77777777" w:rsidR="00DA2F02" w:rsidRPr="00A16086" w:rsidRDefault="00DA2F02" w:rsidP="0010011E">
      <w:pPr>
        <w:pStyle w:val="MDPI31text"/>
        <w:spacing w:line="240" w:lineRule="auto"/>
        <w:ind w:left="0" w:firstLine="0"/>
        <w:rPr>
          <w:sz w:val="24"/>
          <w:szCs w:val="24"/>
        </w:rPr>
      </w:pPr>
    </w:p>
    <w:p w14:paraId="3B7B4E14" w14:textId="77777777" w:rsidR="00DA2F02" w:rsidRPr="00A16086" w:rsidRDefault="00DA2F02" w:rsidP="0010011E">
      <w:pPr>
        <w:pStyle w:val="MDPI31text"/>
        <w:spacing w:line="240" w:lineRule="auto"/>
        <w:ind w:left="0" w:firstLine="0"/>
        <w:rPr>
          <w:sz w:val="24"/>
          <w:szCs w:val="24"/>
        </w:rPr>
      </w:pPr>
    </w:p>
    <w:p w14:paraId="237AE608" w14:textId="0EFA3DFF" w:rsidR="00DA2F02" w:rsidRPr="00A16086" w:rsidRDefault="00DA2F02" w:rsidP="0010011E">
      <w:pPr>
        <w:pStyle w:val="MDPI31text"/>
        <w:spacing w:line="240" w:lineRule="auto"/>
        <w:ind w:left="0" w:firstLine="0"/>
        <w:rPr>
          <w:sz w:val="24"/>
          <w:szCs w:val="24"/>
        </w:rPr>
      </w:pPr>
      <w:r w:rsidRPr="00A16086">
        <w:rPr>
          <w:noProof/>
          <w:sz w:val="24"/>
          <w:szCs w:val="24"/>
        </w:rPr>
        <w:drawing>
          <wp:inline distT="0" distB="0" distL="0" distR="0" wp14:anchorId="4BA0D46D" wp14:editId="7E396205">
            <wp:extent cx="6645910" cy="3385820"/>
            <wp:effectExtent l="0" t="0" r="2540" b="5080"/>
            <wp:docPr id="15277871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385820"/>
                    </a:xfrm>
                    <a:prstGeom prst="rect">
                      <a:avLst/>
                    </a:prstGeom>
                    <a:noFill/>
                    <a:ln>
                      <a:noFill/>
                    </a:ln>
                  </pic:spPr>
                </pic:pic>
              </a:graphicData>
            </a:graphic>
          </wp:inline>
        </w:drawing>
      </w:r>
    </w:p>
    <w:p w14:paraId="3ED437D3" w14:textId="77777777" w:rsidR="00467D09" w:rsidRPr="00A16086" w:rsidRDefault="00467D09" w:rsidP="0010011E">
      <w:pPr>
        <w:pStyle w:val="MDPI31text"/>
        <w:spacing w:line="240" w:lineRule="auto"/>
        <w:ind w:left="0" w:firstLine="0"/>
        <w:rPr>
          <w:sz w:val="24"/>
          <w:szCs w:val="24"/>
        </w:rPr>
      </w:pPr>
    </w:p>
    <w:p w14:paraId="1F37701A" w14:textId="19BA11D6" w:rsidR="00467D09" w:rsidRPr="00A16086" w:rsidRDefault="00DA2F02" w:rsidP="0010011E">
      <w:pPr>
        <w:pStyle w:val="MDPI31text"/>
        <w:spacing w:line="240" w:lineRule="auto"/>
        <w:ind w:left="0" w:firstLine="0"/>
        <w:rPr>
          <w:sz w:val="24"/>
          <w:szCs w:val="24"/>
        </w:rPr>
      </w:pPr>
      <w:r w:rsidRPr="00A16086">
        <w:rPr>
          <w:i/>
          <w:iCs/>
          <w:sz w:val="24"/>
          <w:szCs w:val="24"/>
        </w:rPr>
        <w:t>Figure 11: Areas with increases and decreases in visits to parks in Atlanta.</w:t>
      </w:r>
    </w:p>
    <w:p w14:paraId="0837A7A3" w14:textId="77777777" w:rsidR="00DA2F02" w:rsidRPr="00A16086" w:rsidRDefault="00DA2F02" w:rsidP="0010011E">
      <w:pPr>
        <w:pStyle w:val="MDPI31text"/>
        <w:spacing w:line="240" w:lineRule="auto"/>
        <w:ind w:left="0" w:firstLine="0"/>
        <w:rPr>
          <w:sz w:val="24"/>
          <w:szCs w:val="24"/>
        </w:rPr>
      </w:pPr>
    </w:p>
    <w:p w14:paraId="2DF096CE" w14:textId="77777777" w:rsidR="00DA2F02" w:rsidRPr="00A16086" w:rsidRDefault="00DA2F02" w:rsidP="0010011E">
      <w:pPr>
        <w:pStyle w:val="MDPI31text"/>
        <w:spacing w:line="240" w:lineRule="auto"/>
        <w:ind w:left="0" w:firstLine="0"/>
        <w:rPr>
          <w:sz w:val="24"/>
          <w:szCs w:val="24"/>
        </w:rPr>
      </w:pPr>
    </w:p>
    <w:p w14:paraId="0DC100B9" w14:textId="268EACDF" w:rsidR="00DA2F02" w:rsidRPr="00A16086" w:rsidRDefault="00DA2F02" w:rsidP="0010011E">
      <w:pPr>
        <w:pStyle w:val="MDPI31text"/>
        <w:spacing w:line="240" w:lineRule="auto"/>
        <w:ind w:left="0" w:firstLine="0"/>
        <w:rPr>
          <w:sz w:val="24"/>
          <w:szCs w:val="24"/>
        </w:rPr>
      </w:pPr>
      <w:r w:rsidRPr="00A16086">
        <w:rPr>
          <w:sz w:val="24"/>
          <w:szCs w:val="24"/>
        </w:rPr>
        <w:t xml:space="preserve">The spatial distribution of changes in park visitation in Atlanta during the COVID-19 pandemic, as presented in Figure 11, offers a nuanced understanding of human mobility and recreational behavior. The data </w:t>
      </w:r>
      <w:proofErr w:type="gramStart"/>
      <w:r w:rsidRPr="00A16086">
        <w:rPr>
          <w:sz w:val="24"/>
          <w:szCs w:val="24"/>
        </w:rPr>
        <w:t>indicate</w:t>
      </w:r>
      <w:proofErr w:type="gramEnd"/>
      <w:r w:rsidRPr="00A16086">
        <w:rPr>
          <w:sz w:val="24"/>
          <w:szCs w:val="24"/>
        </w:rPr>
        <w:t xml:space="preserve"> a decline in park visitation in several key areas, notably those traditionally characterized by higher outdoor activity levels. This trend is particularly evident in central and peripheral zones of Atlanta, encompassing diverse neighborhoods such as Downtown Atlanta, Stratford, Roseland, and Freedom Park. The reduced </w:t>
      </w:r>
      <w:proofErr w:type="gramStart"/>
      <w:r w:rsidRPr="00A16086">
        <w:rPr>
          <w:sz w:val="24"/>
          <w:szCs w:val="24"/>
        </w:rPr>
        <w:t>engagement</w:t>
      </w:r>
      <w:proofErr w:type="gramEnd"/>
      <w:r w:rsidRPr="00A16086">
        <w:rPr>
          <w:sz w:val="24"/>
          <w:szCs w:val="24"/>
        </w:rPr>
        <w:t xml:space="preserve"> in these areas </w:t>
      </w:r>
      <w:r w:rsidR="008D2C46" w:rsidRPr="00A16086">
        <w:rPr>
          <w:sz w:val="24"/>
          <w:szCs w:val="24"/>
        </w:rPr>
        <w:t>may be attributed to a combination of factors, including work-from-home policies, heightened awareness of social distancing guidelines, changes in local demographics, or alterations</w:t>
      </w:r>
      <w:r w:rsidRPr="00A16086">
        <w:rPr>
          <w:sz w:val="24"/>
          <w:szCs w:val="24"/>
        </w:rPr>
        <w:t xml:space="preserve"> in the availability of </w:t>
      </w:r>
      <w:proofErr w:type="gramStart"/>
      <w:r w:rsidRPr="00A16086">
        <w:rPr>
          <w:sz w:val="24"/>
          <w:szCs w:val="24"/>
        </w:rPr>
        <w:t>park</w:t>
      </w:r>
      <w:proofErr w:type="gramEnd"/>
      <w:r w:rsidRPr="00A16086">
        <w:rPr>
          <w:sz w:val="24"/>
          <w:szCs w:val="24"/>
        </w:rPr>
        <w:t xml:space="preserve"> facilities.  </w:t>
      </w:r>
    </w:p>
    <w:p w14:paraId="4350E929" w14:textId="77777777" w:rsidR="00DA2F02" w:rsidRPr="00A16086" w:rsidRDefault="00DA2F02" w:rsidP="0010011E">
      <w:pPr>
        <w:pStyle w:val="MDPI31text"/>
        <w:spacing w:line="240" w:lineRule="auto"/>
        <w:ind w:left="0" w:firstLine="0"/>
        <w:rPr>
          <w:sz w:val="24"/>
          <w:szCs w:val="24"/>
        </w:rPr>
      </w:pPr>
    </w:p>
    <w:p w14:paraId="27CA9EE0" w14:textId="54747862" w:rsidR="00DA2F02" w:rsidRPr="00A16086" w:rsidRDefault="00DA2F02" w:rsidP="0010011E">
      <w:pPr>
        <w:pStyle w:val="MDPI31text"/>
        <w:spacing w:line="240" w:lineRule="auto"/>
        <w:ind w:left="0" w:firstLine="0"/>
        <w:rPr>
          <w:sz w:val="24"/>
          <w:szCs w:val="24"/>
        </w:rPr>
      </w:pPr>
      <w:r w:rsidRPr="00A16086">
        <w:rPr>
          <w:sz w:val="24"/>
          <w:szCs w:val="24"/>
        </w:rPr>
        <w:t xml:space="preserve">Conversely, there has been an observable increase in outdoor activity in other regions, including Chattahoochee, Carey Park, and Center Hill. This pattern may suggest a shift in recreational preferences or the availability of outdoor spaces during the pandemic. The increased usage of parks in areas like Chastain Memorial Park, Amsterdam Ave, and sections of Brookhaven and Druid Hill could be indicative of residents seeking outdoor activities as a respite from the constraints of lockdown measures. Additionally, the observed patterns may reflect broader socio-economic and demographic dynamics in Atlanta, where different neighborhoods experienced the pandemic's impact distinctly. </w:t>
      </w:r>
    </w:p>
    <w:p w14:paraId="6857AF1E" w14:textId="77777777" w:rsidR="00DA2F02" w:rsidRPr="00A16086" w:rsidRDefault="00DA2F02" w:rsidP="0010011E">
      <w:pPr>
        <w:pStyle w:val="MDPI31text"/>
        <w:spacing w:line="240" w:lineRule="auto"/>
        <w:ind w:left="0" w:firstLine="0"/>
        <w:rPr>
          <w:sz w:val="24"/>
          <w:szCs w:val="24"/>
        </w:rPr>
      </w:pPr>
    </w:p>
    <w:p w14:paraId="11C95117" w14:textId="599E9DC6" w:rsidR="00DA2F02" w:rsidRPr="00A16086" w:rsidRDefault="00DA2F02" w:rsidP="0010011E">
      <w:pPr>
        <w:pStyle w:val="MDPI31text"/>
        <w:spacing w:line="240" w:lineRule="auto"/>
        <w:ind w:left="0" w:firstLine="0"/>
        <w:rPr>
          <w:sz w:val="24"/>
          <w:szCs w:val="24"/>
        </w:rPr>
      </w:pPr>
      <w:r w:rsidRPr="00A16086">
        <w:rPr>
          <w:sz w:val="24"/>
          <w:szCs w:val="24"/>
        </w:rPr>
        <w:t>Figure 12, detailing park visitation trends in Miami during the COVID-19 pandemic, presents a complex pattern of changes in outdoor recreational behavior. Unlike the more geographically delineated trends observed in Atlanta, Miami's distribution of increased and decreased park visits appears more dispersed and less predictable across the urban landscape. This variability might reflect a distinct set of socio-spatial dynamics influencing residents' mobility and recreational choices in Miami.</w:t>
      </w:r>
    </w:p>
    <w:p w14:paraId="27758C5F" w14:textId="77777777" w:rsidR="00DA2F02" w:rsidRPr="00A16086" w:rsidRDefault="00DA2F02" w:rsidP="0010011E">
      <w:pPr>
        <w:pStyle w:val="MDPI31text"/>
        <w:spacing w:line="240" w:lineRule="auto"/>
        <w:ind w:left="0" w:firstLine="0"/>
        <w:rPr>
          <w:sz w:val="24"/>
          <w:szCs w:val="24"/>
        </w:rPr>
      </w:pPr>
    </w:p>
    <w:p w14:paraId="27A4A943" w14:textId="77777777" w:rsidR="0021760A" w:rsidRPr="00A16086" w:rsidRDefault="0021760A" w:rsidP="0010011E">
      <w:pPr>
        <w:pStyle w:val="MDPI31text"/>
        <w:spacing w:line="240" w:lineRule="auto"/>
        <w:ind w:left="0" w:firstLine="0"/>
        <w:rPr>
          <w:sz w:val="24"/>
          <w:szCs w:val="24"/>
        </w:rPr>
      </w:pPr>
    </w:p>
    <w:p w14:paraId="61F16801" w14:textId="77777777" w:rsidR="0021760A" w:rsidRPr="00A16086" w:rsidRDefault="0021760A" w:rsidP="0010011E">
      <w:pPr>
        <w:pStyle w:val="MDPI31text"/>
        <w:spacing w:line="240" w:lineRule="auto"/>
        <w:ind w:left="0" w:firstLine="0"/>
        <w:rPr>
          <w:sz w:val="24"/>
          <w:szCs w:val="24"/>
        </w:rPr>
      </w:pPr>
    </w:p>
    <w:p w14:paraId="5A6A2F4D" w14:textId="53A8BF3C" w:rsidR="00DA2F02" w:rsidRPr="00A16086" w:rsidRDefault="00DA2F02" w:rsidP="0010011E">
      <w:pPr>
        <w:pStyle w:val="MDPI31text"/>
        <w:spacing w:line="240" w:lineRule="auto"/>
        <w:ind w:left="0" w:firstLine="0"/>
        <w:rPr>
          <w:sz w:val="24"/>
          <w:szCs w:val="24"/>
        </w:rPr>
      </w:pPr>
      <w:r w:rsidRPr="00A16086">
        <w:rPr>
          <w:noProof/>
          <w:sz w:val="24"/>
          <w:szCs w:val="24"/>
        </w:rPr>
        <w:drawing>
          <wp:inline distT="0" distB="0" distL="0" distR="0" wp14:anchorId="0D435595" wp14:editId="164D9BBD">
            <wp:extent cx="6645910" cy="3373755"/>
            <wp:effectExtent l="0" t="0" r="2540" b="0"/>
            <wp:docPr id="5062098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373755"/>
                    </a:xfrm>
                    <a:prstGeom prst="rect">
                      <a:avLst/>
                    </a:prstGeom>
                    <a:noFill/>
                    <a:ln>
                      <a:noFill/>
                    </a:ln>
                  </pic:spPr>
                </pic:pic>
              </a:graphicData>
            </a:graphic>
          </wp:inline>
        </w:drawing>
      </w:r>
    </w:p>
    <w:p w14:paraId="5F23CF74" w14:textId="77777777" w:rsidR="00DA2F02" w:rsidRPr="00A16086" w:rsidRDefault="00DA2F02" w:rsidP="0010011E">
      <w:pPr>
        <w:pStyle w:val="MDPI31text"/>
        <w:spacing w:line="240" w:lineRule="auto"/>
        <w:ind w:left="0" w:firstLine="0"/>
        <w:rPr>
          <w:sz w:val="24"/>
          <w:szCs w:val="24"/>
        </w:rPr>
      </w:pPr>
    </w:p>
    <w:p w14:paraId="4C2CFB99" w14:textId="364932C7" w:rsidR="00DA2F02" w:rsidRPr="00A16086" w:rsidRDefault="00DA2F02" w:rsidP="0010011E">
      <w:pPr>
        <w:pStyle w:val="MDPI31text"/>
        <w:spacing w:line="240" w:lineRule="auto"/>
        <w:ind w:left="0" w:firstLine="0"/>
        <w:rPr>
          <w:i/>
          <w:iCs/>
          <w:sz w:val="24"/>
          <w:szCs w:val="24"/>
        </w:rPr>
      </w:pPr>
      <w:r w:rsidRPr="00A16086">
        <w:rPr>
          <w:i/>
          <w:iCs/>
          <w:sz w:val="24"/>
          <w:szCs w:val="24"/>
        </w:rPr>
        <w:t>Figure 12: Areas with increases and decreases in visits to parks in Miami.</w:t>
      </w:r>
    </w:p>
    <w:p w14:paraId="3F608E52" w14:textId="77777777" w:rsidR="00DA2F02" w:rsidRPr="00A16086" w:rsidRDefault="00DA2F02" w:rsidP="0010011E">
      <w:pPr>
        <w:pStyle w:val="MDPI31text"/>
        <w:spacing w:line="240" w:lineRule="auto"/>
        <w:ind w:left="0" w:firstLine="0"/>
        <w:rPr>
          <w:i/>
          <w:iCs/>
          <w:sz w:val="24"/>
          <w:szCs w:val="24"/>
        </w:rPr>
      </w:pPr>
    </w:p>
    <w:p w14:paraId="29C5A11C" w14:textId="77777777" w:rsidR="00DA2F02" w:rsidRPr="00A16086" w:rsidRDefault="00DA2F02" w:rsidP="0010011E">
      <w:pPr>
        <w:pStyle w:val="MDPI31text"/>
        <w:spacing w:line="240" w:lineRule="auto"/>
        <w:ind w:left="0" w:firstLine="0"/>
        <w:rPr>
          <w:i/>
          <w:iCs/>
          <w:sz w:val="24"/>
          <w:szCs w:val="24"/>
        </w:rPr>
      </w:pPr>
    </w:p>
    <w:p w14:paraId="1BDD8649" w14:textId="2215FDE9" w:rsidR="00BD20C6" w:rsidRPr="00A16086" w:rsidRDefault="00BD20C6" w:rsidP="0010011E">
      <w:pPr>
        <w:pStyle w:val="MDPI31text"/>
        <w:spacing w:line="240" w:lineRule="auto"/>
        <w:ind w:left="0" w:firstLine="0"/>
        <w:rPr>
          <w:sz w:val="24"/>
          <w:szCs w:val="24"/>
        </w:rPr>
      </w:pPr>
      <w:r w:rsidRPr="00A16086">
        <w:rPr>
          <w:sz w:val="24"/>
          <w:szCs w:val="24"/>
        </w:rPr>
        <w:t xml:space="preserve">Significant increases in outdoor visits were noted in a diverse array of locations, from </w:t>
      </w:r>
      <w:proofErr w:type="spellStart"/>
      <w:r w:rsidRPr="00A16086">
        <w:rPr>
          <w:sz w:val="24"/>
          <w:szCs w:val="24"/>
        </w:rPr>
        <w:t>Pennsuco</w:t>
      </w:r>
      <w:proofErr w:type="spellEnd"/>
      <w:r w:rsidRPr="00A16086">
        <w:rPr>
          <w:sz w:val="24"/>
          <w:szCs w:val="24"/>
        </w:rPr>
        <w:t xml:space="preserve"> and Pinecrest to more urbanized areas like Brickell Plaza Mini Park and Highland Lakes. This widespread increase could indicate a broad-based inclination towards outdoor activities as a coping mechanism during the pandemic, possibly driven by the need for physical activity, mental well-being, or a safe social environment under the constraints of social distancing. The specific mention of areas such as Zoo Miami and Crandon Park suggests that larger, more open spaces may have been particularly appealing to the public during this time. </w:t>
      </w:r>
    </w:p>
    <w:p w14:paraId="4F54A91B" w14:textId="77777777" w:rsidR="00BD20C6" w:rsidRPr="00A16086" w:rsidRDefault="00BD20C6" w:rsidP="0010011E">
      <w:pPr>
        <w:pStyle w:val="MDPI31text"/>
        <w:spacing w:line="240" w:lineRule="auto"/>
        <w:ind w:left="0" w:firstLine="0"/>
        <w:rPr>
          <w:sz w:val="24"/>
          <w:szCs w:val="24"/>
        </w:rPr>
      </w:pPr>
    </w:p>
    <w:p w14:paraId="6B1A7641" w14:textId="4316B4ED" w:rsidR="00BD20C6" w:rsidRPr="00A16086" w:rsidRDefault="00BD20C6" w:rsidP="0010011E">
      <w:pPr>
        <w:pStyle w:val="MDPI31text"/>
        <w:spacing w:line="240" w:lineRule="auto"/>
        <w:ind w:left="0" w:firstLine="0"/>
        <w:rPr>
          <w:sz w:val="24"/>
          <w:szCs w:val="24"/>
        </w:rPr>
      </w:pPr>
      <w:r w:rsidRPr="00A16086">
        <w:rPr>
          <w:sz w:val="24"/>
          <w:szCs w:val="24"/>
        </w:rPr>
        <w:t xml:space="preserve">In contrast, areas like Downtown Miami, Haulover Park, and </w:t>
      </w:r>
      <w:proofErr w:type="spellStart"/>
      <w:r w:rsidRPr="00A16086">
        <w:rPr>
          <w:sz w:val="24"/>
          <w:szCs w:val="24"/>
        </w:rPr>
        <w:t>Flagami</w:t>
      </w:r>
      <w:proofErr w:type="spellEnd"/>
      <w:r w:rsidRPr="00A16086">
        <w:rPr>
          <w:sz w:val="24"/>
          <w:szCs w:val="24"/>
        </w:rPr>
        <w:t xml:space="preserve"> experienced a decline in park visits. The reasons for this decrease could be multifaceted, encompassing factors such as local demographic shifts, changes in work patterns (e.g., increased remote working, reducing the need for recreational escapes), or even alterations in the perceived safety of public spaces. The decline in areas such as Allapattah and Sweetwater might also reflect socio-economic constraints that limited the ability of residents to engage in recreational activities outside their immediate living environments. </w:t>
      </w:r>
    </w:p>
    <w:p w14:paraId="17970F64" w14:textId="4496654B" w:rsidR="00DA2F02" w:rsidRPr="00A16086" w:rsidRDefault="00BD20C6" w:rsidP="0010011E">
      <w:pPr>
        <w:pStyle w:val="MDPI31text"/>
        <w:spacing w:line="240" w:lineRule="auto"/>
        <w:ind w:left="0" w:firstLine="0"/>
        <w:rPr>
          <w:sz w:val="24"/>
          <w:szCs w:val="24"/>
        </w:rPr>
      </w:pPr>
      <w:r w:rsidRPr="00A16086">
        <w:rPr>
          <w:sz w:val="24"/>
          <w:szCs w:val="24"/>
        </w:rPr>
        <w:t>The spatially heterogeneous response across the two cities underscores the complex interplay of urban form, socio-economic factors, and public health measures in shaping human behavior during crises. This varied pattern highlights the need for context-specific strategies in urban and public health planning, ensuring that responses are tailored to the unique characteristics of different neighborhoods and communities within a city. Understanding these local nuances is vital for enhancing the resilience of urban areas and their inhabitants to future public health challenges.</w:t>
      </w:r>
    </w:p>
    <w:p w14:paraId="762611BA" w14:textId="77777777" w:rsidR="00BD20C6" w:rsidRPr="00A16086" w:rsidRDefault="00BD20C6" w:rsidP="0010011E">
      <w:pPr>
        <w:pStyle w:val="MDPI31text"/>
        <w:spacing w:line="240" w:lineRule="auto"/>
        <w:ind w:left="0" w:firstLine="0"/>
        <w:rPr>
          <w:sz w:val="24"/>
          <w:szCs w:val="24"/>
        </w:rPr>
      </w:pPr>
    </w:p>
    <w:p w14:paraId="6F9ECBAC" w14:textId="77777777" w:rsidR="00A86E9F" w:rsidRPr="00A16086" w:rsidRDefault="00A86E9F" w:rsidP="0010011E">
      <w:pPr>
        <w:pStyle w:val="MDPI21heading1"/>
        <w:spacing w:line="240" w:lineRule="auto"/>
        <w:ind w:left="0"/>
        <w:rPr>
          <w:szCs w:val="24"/>
        </w:rPr>
      </w:pPr>
      <w:bookmarkStart w:id="4" w:name="page3"/>
      <w:bookmarkEnd w:id="4"/>
      <w:r w:rsidRPr="00A16086">
        <w:rPr>
          <w:szCs w:val="24"/>
        </w:rPr>
        <w:t>4. Discussion</w:t>
      </w:r>
    </w:p>
    <w:p w14:paraId="356C1959" w14:textId="77777777" w:rsidR="00BD20C6" w:rsidRPr="00A16086" w:rsidRDefault="00BD20C6" w:rsidP="0010011E">
      <w:pPr>
        <w:pStyle w:val="MDPI21heading1"/>
        <w:spacing w:line="240" w:lineRule="auto"/>
        <w:ind w:left="0"/>
        <w:rPr>
          <w:b w:val="0"/>
          <w:bCs/>
          <w:szCs w:val="24"/>
        </w:rPr>
      </w:pPr>
      <w:r w:rsidRPr="00A16086">
        <w:rPr>
          <w:b w:val="0"/>
          <w:bCs/>
          <w:szCs w:val="24"/>
        </w:rPr>
        <w:t xml:space="preserve">The findings of this study reveal that park visitation across the pandemic was shaped less by static demographic or political factors and more by the timing and characteristics of COVID-19 variants. When results are aggregated, park use appears relatively stable; however, once disaggregated by variant period, clear temporal fluctuations emerge. Visitation increased during the early baseline months, declined sharply during the Alpha and Delta waves, and then partially rebounded during Omicron. These results align with previous </w:t>
      </w:r>
      <w:proofErr w:type="gramStart"/>
      <w:r w:rsidRPr="00A16086">
        <w:rPr>
          <w:b w:val="0"/>
          <w:bCs/>
          <w:szCs w:val="24"/>
        </w:rPr>
        <w:t>studies</w:t>
      </w:r>
      <w:proofErr w:type="gramEnd"/>
      <w:r w:rsidRPr="00A16086">
        <w:rPr>
          <w:b w:val="0"/>
          <w:bCs/>
          <w:szCs w:val="24"/>
        </w:rPr>
        <w:t xml:space="preserve"> documenting short-term surges in outdoor activity at the onset of the pandemic, when individuals sought low-risk recreational outlets, followed by reductions in use as restrictions tightened or perceived risks grew. By examining variant-specific phases rather than treating the pandemic as a monolithic period, this study provides a temporal granularity that helps reconcile seemingly contradictory findings in </w:t>
      </w:r>
      <w:proofErr w:type="gramStart"/>
      <w:r w:rsidRPr="00A16086">
        <w:rPr>
          <w:b w:val="0"/>
          <w:bCs/>
          <w:szCs w:val="24"/>
        </w:rPr>
        <w:t>the literature</w:t>
      </w:r>
      <w:proofErr w:type="gramEnd"/>
      <w:r w:rsidRPr="00A16086">
        <w:rPr>
          <w:b w:val="0"/>
          <w:bCs/>
          <w:szCs w:val="24"/>
        </w:rPr>
        <w:t>, some of which reported sustained increases in outdoor activity while others found notable declines.</w:t>
      </w:r>
    </w:p>
    <w:p w14:paraId="0F152F4C" w14:textId="77777777" w:rsidR="00BD20C6" w:rsidRPr="00A16086" w:rsidRDefault="00BD20C6" w:rsidP="0010011E">
      <w:pPr>
        <w:pStyle w:val="MDPI21heading1"/>
        <w:spacing w:line="240" w:lineRule="auto"/>
        <w:ind w:left="0"/>
        <w:rPr>
          <w:b w:val="0"/>
          <w:bCs/>
          <w:szCs w:val="24"/>
        </w:rPr>
      </w:pPr>
      <w:r w:rsidRPr="00A16086">
        <w:rPr>
          <w:b w:val="0"/>
          <w:bCs/>
          <w:szCs w:val="24"/>
        </w:rPr>
        <w:t xml:space="preserve">The working hypotheses anticipated that city-level and political differences would drive divergent responses in park use. While the analysis confirmed significant effects of variant strain and significant interactions between strain, city, and visitation, there was no clear main effect of city alone and limited evidence of political orientation shaping visitation trends. This suggests that while local context does modulate the relationship between </w:t>
      </w:r>
      <w:proofErr w:type="gramStart"/>
      <w:r w:rsidRPr="00A16086">
        <w:rPr>
          <w:b w:val="0"/>
          <w:bCs/>
          <w:szCs w:val="24"/>
        </w:rPr>
        <w:t>variant</w:t>
      </w:r>
      <w:proofErr w:type="gramEnd"/>
      <w:r w:rsidRPr="00A16086">
        <w:rPr>
          <w:b w:val="0"/>
          <w:bCs/>
          <w:szCs w:val="24"/>
        </w:rPr>
        <w:t xml:space="preserve"> and visitation, political affiliation at the neighborhood scale was not the dominant explanatory factor. This partially challenges earlier expectations that partisan divisions observed in pandemic-related behaviors such as vaccination or mask usage would extend directly to outdoor recreation. Instead, the data </w:t>
      </w:r>
      <w:proofErr w:type="gramStart"/>
      <w:r w:rsidRPr="00A16086">
        <w:rPr>
          <w:b w:val="0"/>
          <w:bCs/>
          <w:szCs w:val="24"/>
        </w:rPr>
        <w:t>suggest</w:t>
      </w:r>
      <w:proofErr w:type="gramEnd"/>
      <w:r w:rsidRPr="00A16086">
        <w:rPr>
          <w:b w:val="0"/>
          <w:bCs/>
          <w:szCs w:val="24"/>
        </w:rPr>
        <w:t xml:space="preserve"> that variant severity, perceived risk, seasonal factors, and structural constraints such as proximity and accessibility were stronger determinants of park use. Localized patterns, such as the pronounced early spike associated with Atlanta’s Beltline, further highlight the role of specific urban features in shaping behavior, sometimes overriding broader demographic or political trends.</w:t>
      </w:r>
    </w:p>
    <w:p w14:paraId="3AC4206C" w14:textId="77777777" w:rsidR="00BD20C6" w:rsidRPr="00A16086" w:rsidRDefault="00BD20C6" w:rsidP="0010011E">
      <w:pPr>
        <w:pStyle w:val="MDPI21heading1"/>
        <w:spacing w:line="240" w:lineRule="auto"/>
        <w:ind w:left="0"/>
        <w:rPr>
          <w:b w:val="0"/>
          <w:bCs/>
          <w:szCs w:val="24"/>
        </w:rPr>
      </w:pPr>
      <w:r w:rsidRPr="00A16086">
        <w:rPr>
          <w:b w:val="0"/>
          <w:bCs/>
          <w:szCs w:val="24"/>
        </w:rPr>
        <w:t xml:space="preserve">The demographic analyses reveal inequities that resonate with the broader environmental justice literature. Lower-income neighborhoods consistently exhibited reduced visitation or more constrained increases, while some minority neighborhoods, particularly Black communities in Atlanta, displayed distinctive usage patterns that diverged from city-wide averages. These results underscore that not all populations </w:t>
      </w:r>
      <w:proofErr w:type="gramStart"/>
      <w:r w:rsidRPr="00A16086">
        <w:rPr>
          <w:b w:val="0"/>
          <w:bCs/>
          <w:szCs w:val="24"/>
        </w:rPr>
        <w:t>benefitted</w:t>
      </w:r>
      <w:proofErr w:type="gramEnd"/>
      <w:r w:rsidRPr="00A16086">
        <w:rPr>
          <w:b w:val="0"/>
          <w:bCs/>
          <w:szCs w:val="24"/>
        </w:rPr>
        <w:t xml:space="preserve"> equally from parks during the pandemic, echoing prior research that has emphasized unequal access to green space and the disproportionate public-health consequences of such disparities. In this sense, the study highlights the dual role of parks as both resilient public resources and as mirrors of underlying social inequalities.</w:t>
      </w:r>
    </w:p>
    <w:p w14:paraId="111C905A" w14:textId="77777777" w:rsidR="00BD20C6" w:rsidRPr="00A16086" w:rsidRDefault="00BD20C6" w:rsidP="0010011E">
      <w:pPr>
        <w:pStyle w:val="MDPI21heading1"/>
        <w:spacing w:line="240" w:lineRule="auto"/>
        <w:ind w:left="0"/>
        <w:rPr>
          <w:b w:val="0"/>
          <w:bCs/>
          <w:szCs w:val="24"/>
        </w:rPr>
      </w:pPr>
      <w:r w:rsidRPr="00A16086">
        <w:rPr>
          <w:b w:val="0"/>
          <w:bCs/>
          <w:szCs w:val="24"/>
        </w:rPr>
        <w:t>Taken together, these results position parks as essential, adaptive infrastructure that communities rely on during periods of crisis. The consistent return to parks across waves, even amid fluctuations, illustrates their role as vital spaces for physical activity, stress relief, and safe social interaction. From a policy perspective, this underscores the importance of ensuring equitable, proximate access to green space, particularly in lower-income and minority neighborhoods that may be disproportionately excluded from these benefits. Investments in small neighborhood parks, safe circulation networks, and programming tailored to underserved areas would likely yield significant public-health dividends, not only during crises but in routine times as well.</w:t>
      </w:r>
    </w:p>
    <w:p w14:paraId="0FDA7A41" w14:textId="77777777" w:rsidR="00BD20C6" w:rsidRPr="00A16086" w:rsidRDefault="00BD20C6" w:rsidP="0010011E">
      <w:pPr>
        <w:pStyle w:val="MDPI21heading1"/>
        <w:spacing w:line="240" w:lineRule="auto"/>
        <w:ind w:left="0"/>
        <w:rPr>
          <w:b w:val="0"/>
          <w:bCs/>
          <w:szCs w:val="24"/>
        </w:rPr>
      </w:pPr>
      <w:r w:rsidRPr="00A16086">
        <w:rPr>
          <w:b w:val="0"/>
          <w:bCs/>
          <w:szCs w:val="24"/>
        </w:rPr>
        <w:t xml:space="preserve">Several limitations temper these interpretations. The reliance on </w:t>
      </w:r>
      <w:proofErr w:type="spellStart"/>
      <w:r w:rsidRPr="00A16086">
        <w:rPr>
          <w:b w:val="0"/>
          <w:bCs/>
          <w:szCs w:val="24"/>
        </w:rPr>
        <w:t>SafeGraph</w:t>
      </w:r>
      <w:proofErr w:type="spellEnd"/>
      <w:r w:rsidRPr="00A16086">
        <w:rPr>
          <w:b w:val="0"/>
          <w:bCs/>
          <w:szCs w:val="24"/>
        </w:rPr>
        <w:t xml:space="preserve"> mobility data, while powerful for detecting broad spatial and temporal patterns, is biased toward smartphone users and underrepresents certain populations, including older and lower-income groups. Device-based visitation also cannot capture qualitative dimensions of park use such as duration, activity type, or user motivations. Furthermore, errors in point-of-interest mapping and the focus on parks common to both baseline and pandemic periods may restrict generalizability. For these reasons, the results should be interpreted as robust indicators of device-based visitation rather than exhaustive measures of total park use across all demographic segments.</w:t>
      </w:r>
    </w:p>
    <w:p w14:paraId="7F582913" w14:textId="25043747" w:rsidR="00BD20C6" w:rsidRDefault="00BD20C6" w:rsidP="0010011E">
      <w:pPr>
        <w:pStyle w:val="MDPI21heading1"/>
        <w:spacing w:line="240" w:lineRule="auto"/>
        <w:ind w:left="0"/>
        <w:rPr>
          <w:b w:val="0"/>
          <w:bCs/>
          <w:szCs w:val="24"/>
        </w:rPr>
      </w:pPr>
      <w:r w:rsidRPr="00A16086">
        <w:rPr>
          <w:b w:val="0"/>
          <w:bCs/>
          <w:szCs w:val="24"/>
        </w:rPr>
        <w:t>Future research should address these limitations by triangulating device-based mobility data with observational counts, surveys, and qualitative interviews to better understand who is using parks, for what purposes, and under what constraints. Incorporating mediators such as vaccination rates, weather patterns, or local policy stringency into models could also help explain why particular variants had different effects on visitation. Expanding this variant-level analytic framework to other cities and countries would allow for comparative insights into how urban form, cultural norms, and institutional responses shape outdoor recreation during public-health shocks. Finally, equity-focused intervention studies that evaluate whether targeted investments in underserved neighborhoods increase park use during normal and crisis periods could directly inform public-health and planning practice.</w:t>
      </w:r>
    </w:p>
    <w:p w14:paraId="56ED9DEA" w14:textId="77777777" w:rsidR="000F54CF" w:rsidRPr="00A16086" w:rsidRDefault="000F54CF" w:rsidP="0010011E">
      <w:pPr>
        <w:pStyle w:val="MDPI21heading1"/>
        <w:spacing w:line="240" w:lineRule="auto"/>
        <w:ind w:left="0"/>
        <w:rPr>
          <w:b w:val="0"/>
          <w:bCs/>
          <w:szCs w:val="24"/>
        </w:rPr>
      </w:pPr>
    </w:p>
    <w:p w14:paraId="09DDB459" w14:textId="6421CA3B" w:rsidR="00A86E9F" w:rsidRPr="00A16086" w:rsidRDefault="00A86E9F" w:rsidP="0010011E">
      <w:pPr>
        <w:pStyle w:val="MDPI21heading1"/>
        <w:spacing w:line="240" w:lineRule="auto"/>
        <w:ind w:left="0"/>
        <w:rPr>
          <w:szCs w:val="24"/>
        </w:rPr>
      </w:pPr>
      <w:r w:rsidRPr="00A16086">
        <w:rPr>
          <w:szCs w:val="24"/>
        </w:rPr>
        <w:t>5. Conclusions</w:t>
      </w:r>
    </w:p>
    <w:p w14:paraId="3868FE16" w14:textId="77777777" w:rsidR="00FF69A1" w:rsidRPr="00A16086" w:rsidRDefault="00FF69A1" w:rsidP="0010011E">
      <w:pPr>
        <w:pStyle w:val="MDPI31text"/>
        <w:spacing w:line="240" w:lineRule="auto"/>
        <w:rPr>
          <w:sz w:val="24"/>
          <w:szCs w:val="24"/>
        </w:rPr>
      </w:pPr>
    </w:p>
    <w:p w14:paraId="167783FA" w14:textId="63E74044" w:rsidR="00FF69A1" w:rsidRPr="00A16086" w:rsidRDefault="00FF69A1" w:rsidP="0010011E">
      <w:pPr>
        <w:pStyle w:val="MDPI31text"/>
        <w:spacing w:line="240" w:lineRule="auto"/>
        <w:ind w:left="0" w:firstLine="0"/>
        <w:rPr>
          <w:sz w:val="24"/>
          <w:szCs w:val="24"/>
        </w:rPr>
      </w:pPr>
      <w:r w:rsidRPr="00A16086">
        <w:rPr>
          <w:sz w:val="24"/>
          <w:szCs w:val="24"/>
        </w:rPr>
        <w:t>In conclusion, this thesis examined the impact of COVID-19 variants on outdoor recreational activities by analyzing mobility data from two distinct metropolitan areas in the United States, characterized by varied demographic profiles. The investigation sought to identify correlations between demographic attributes, specifically race and age and patterns of engagement in outdoor activities during the pandemic. Contrary to initial expectations, political orientations were found not to have a significant impact.</w:t>
      </w:r>
    </w:p>
    <w:p w14:paraId="10CC15A2" w14:textId="77777777" w:rsidR="00FF69A1" w:rsidRPr="00A16086" w:rsidRDefault="00FF69A1" w:rsidP="0010011E">
      <w:pPr>
        <w:pStyle w:val="MDPI31text"/>
        <w:spacing w:line="240" w:lineRule="auto"/>
        <w:ind w:left="0" w:firstLine="0"/>
        <w:rPr>
          <w:sz w:val="24"/>
          <w:szCs w:val="24"/>
        </w:rPr>
      </w:pPr>
    </w:p>
    <w:p w14:paraId="020EBDC7" w14:textId="49978CE0" w:rsidR="00FF69A1" w:rsidRPr="00A16086" w:rsidRDefault="00FF69A1" w:rsidP="0010011E">
      <w:pPr>
        <w:pStyle w:val="MDPI31text"/>
        <w:spacing w:line="240" w:lineRule="auto"/>
        <w:ind w:left="0" w:firstLine="0"/>
        <w:rPr>
          <w:sz w:val="24"/>
          <w:szCs w:val="24"/>
        </w:rPr>
      </w:pPr>
      <w:r w:rsidRPr="00A16086">
        <w:rPr>
          <w:sz w:val="24"/>
          <w:szCs w:val="24"/>
        </w:rPr>
        <w:t xml:space="preserve">The research revealed complex dynamics between demographic factors and outdoor recreational behavior during different phases of the pandemic. It was observed that demographic groups defied expectations in their park visitation patterns, suggesting that factors other than the virus itself significantly contribute to individuals' decisions to participate in outdoor activities. These variances in park visitation highlight the complexity of access to and utilization of outdoor recreational areas, which are influenced by more than just proximity to parks. </w:t>
      </w:r>
    </w:p>
    <w:p w14:paraId="4262DD8B" w14:textId="77777777" w:rsidR="00FF69A1" w:rsidRPr="00A16086" w:rsidRDefault="00FF69A1" w:rsidP="0010011E">
      <w:pPr>
        <w:pStyle w:val="MDPI31text"/>
        <w:spacing w:line="240" w:lineRule="auto"/>
        <w:ind w:left="0" w:firstLine="0"/>
        <w:rPr>
          <w:sz w:val="24"/>
          <w:szCs w:val="24"/>
        </w:rPr>
      </w:pPr>
    </w:p>
    <w:p w14:paraId="2ED3592C" w14:textId="7F8BEF5D" w:rsidR="00FF69A1" w:rsidRPr="00A16086" w:rsidRDefault="00FF69A1" w:rsidP="0010011E">
      <w:pPr>
        <w:pStyle w:val="MDPI31text"/>
        <w:spacing w:line="240" w:lineRule="auto"/>
        <w:ind w:left="0" w:firstLine="0"/>
        <w:rPr>
          <w:sz w:val="24"/>
          <w:szCs w:val="24"/>
        </w:rPr>
      </w:pPr>
      <w:r w:rsidRPr="00A16086">
        <w:rPr>
          <w:sz w:val="24"/>
          <w:szCs w:val="24"/>
        </w:rPr>
        <w:t xml:space="preserve">The behavior highlights nuanced disparities in outdoor space access and utilization, showcasing social, economic, and cultural influences on recreational behavior. Despite pandemic challenges, some communities displayed increased outdoor activity, suggesting resilience and a reclaiming of public spaces for well-being. </w:t>
      </w:r>
    </w:p>
    <w:p w14:paraId="3A6F7DBB" w14:textId="77777777" w:rsidR="00FF69A1" w:rsidRPr="00A16086" w:rsidRDefault="00FF69A1" w:rsidP="0010011E">
      <w:pPr>
        <w:pStyle w:val="MDPI31text"/>
        <w:spacing w:line="240" w:lineRule="auto"/>
        <w:ind w:left="0" w:firstLine="0"/>
        <w:rPr>
          <w:sz w:val="24"/>
          <w:szCs w:val="24"/>
        </w:rPr>
      </w:pPr>
    </w:p>
    <w:p w14:paraId="0B6F64DD" w14:textId="717B5305" w:rsidR="00FF69A1" w:rsidRPr="00A16086" w:rsidRDefault="00FF69A1" w:rsidP="0010011E">
      <w:pPr>
        <w:pStyle w:val="MDPI31text"/>
        <w:spacing w:line="240" w:lineRule="auto"/>
        <w:ind w:left="0" w:firstLine="0"/>
        <w:rPr>
          <w:sz w:val="24"/>
          <w:szCs w:val="24"/>
        </w:rPr>
      </w:pPr>
      <w:r w:rsidRPr="00A16086">
        <w:rPr>
          <w:sz w:val="24"/>
          <w:szCs w:val="24"/>
        </w:rPr>
        <w:t>The insights gained from this study are invaluable for developing informed strategies and urban planning policies to improve access to outdoor recreational areas. By recognizing which demographic groups are underrepresented in outdoor recreation, particularly during public health crises, policymakers can implement targeted interventions to promote equitable access. This research contributes to the broader discourse on societal responses to health crises and emphasizes the need for comprehensive analyses to guide evidence-based decision-making in urban planning, public health, and community development. Ultimately, the study advocates for creating equitable and adaptable outdoor recreational environments that support the well-being of all community members.</w:t>
      </w:r>
    </w:p>
    <w:p w14:paraId="054321B8" w14:textId="77777777" w:rsidR="005B2A74" w:rsidRPr="00A16086" w:rsidRDefault="005B2A74" w:rsidP="0010011E">
      <w:pPr>
        <w:pStyle w:val="MDPI62backmatter"/>
        <w:spacing w:after="0" w:line="240" w:lineRule="auto"/>
        <w:ind w:left="0"/>
        <w:rPr>
          <w:bCs/>
          <w:sz w:val="24"/>
          <w:szCs w:val="24"/>
        </w:rPr>
      </w:pPr>
    </w:p>
    <w:p w14:paraId="15046B1D" w14:textId="0F819545" w:rsidR="00664BD0" w:rsidRDefault="00DF3FBD" w:rsidP="006E487A">
      <w:pPr>
        <w:pStyle w:val="MDPI62backmatter"/>
        <w:spacing w:line="240" w:lineRule="auto"/>
        <w:ind w:left="0"/>
        <w:rPr>
          <w:bCs/>
          <w:sz w:val="24"/>
          <w:szCs w:val="24"/>
        </w:rPr>
      </w:pPr>
      <w:r w:rsidRPr="00A16086">
        <w:rPr>
          <w:b/>
          <w:sz w:val="24"/>
          <w:szCs w:val="24"/>
        </w:rPr>
        <w:t>Data Availability Statement</w:t>
      </w:r>
      <w:r w:rsidR="007E7CDF" w:rsidRPr="00A16086">
        <w:rPr>
          <w:bCs/>
          <w:sz w:val="24"/>
          <w:szCs w:val="24"/>
        </w:rPr>
        <w:t xml:space="preserve">: The mobility data used in this study were obtained from </w:t>
      </w:r>
      <w:proofErr w:type="spellStart"/>
      <w:r w:rsidR="007E7CDF" w:rsidRPr="00A16086">
        <w:rPr>
          <w:bCs/>
          <w:sz w:val="24"/>
          <w:szCs w:val="24"/>
        </w:rPr>
        <w:t>SafeGraph’s</w:t>
      </w:r>
      <w:proofErr w:type="spellEnd"/>
      <w:r w:rsidR="007E7CDF" w:rsidRPr="00A16086">
        <w:rPr>
          <w:bCs/>
          <w:sz w:val="24"/>
          <w:szCs w:val="24"/>
        </w:rPr>
        <w:t xml:space="preserve"> Patterns and Core Places datasets, which provide anonymized, aggregated foot traffic information based on mobile device 840 location data and are described in </w:t>
      </w:r>
      <w:proofErr w:type="spellStart"/>
      <w:r w:rsidR="007E7CDF" w:rsidRPr="00A16086">
        <w:rPr>
          <w:bCs/>
          <w:sz w:val="24"/>
          <w:szCs w:val="24"/>
        </w:rPr>
        <w:t>SafeGraph's</w:t>
      </w:r>
      <w:proofErr w:type="spellEnd"/>
      <w:r w:rsidR="007E7CDF" w:rsidRPr="00A16086">
        <w:rPr>
          <w:bCs/>
          <w:sz w:val="24"/>
          <w:szCs w:val="24"/>
        </w:rPr>
        <w:t xml:space="preserve"> technical documentation (</w:t>
      </w:r>
      <w:proofErr w:type="spellStart"/>
      <w:r w:rsidR="007E7CDF" w:rsidRPr="00A16086">
        <w:rPr>
          <w:bCs/>
          <w:sz w:val="24"/>
          <w:szCs w:val="24"/>
        </w:rPr>
        <w:t>SafeGraph</w:t>
      </w:r>
      <w:proofErr w:type="spellEnd"/>
      <w:r w:rsidR="007E7CDF" w:rsidRPr="00A16086">
        <w:rPr>
          <w:bCs/>
          <w:sz w:val="24"/>
          <w:szCs w:val="24"/>
        </w:rPr>
        <w:t>, 2020). Demographic and socioeconomic data, including household median income and race/ethnicity distributions, were sourced from the U.S. Census Bureau’s American Community Survey (ACS) 5-Year Estimates (2018–2022), available at (U.S. Census Bureau, 2022). Political affiliation data were obtained through Esri’s Business Analyst platform using the Tapestry Segmentation and Political Behavior datasets, accessible to licensed users via (Esri, 2023). Additional census tract-level data used for spatial analysis were retrieved from Social Explorer, which provides access to historical and recent census datasets (Social Explorer, 2023).</w:t>
      </w:r>
    </w:p>
    <w:p w14:paraId="6115BA17" w14:textId="77777777" w:rsidR="006E487A" w:rsidRDefault="006E487A" w:rsidP="006E487A">
      <w:pPr>
        <w:pStyle w:val="MDPI62backmatter"/>
        <w:spacing w:line="240" w:lineRule="auto"/>
        <w:ind w:left="0"/>
        <w:rPr>
          <w:bCs/>
          <w:sz w:val="24"/>
          <w:szCs w:val="24"/>
        </w:rPr>
      </w:pPr>
    </w:p>
    <w:p w14:paraId="6AC1A6DF" w14:textId="77777777" w:rsidR="000F54CF" w:rsidRDefault="000F54CF" w:rsidP="006E487A">
      <w:pPr>
        <w:pStyle w:val="MDPI62backmatter"/>
        <w:spacing w:line="240" w:lineRule="auto"/>
        <w:ind w:left="0"/>
        <w:rPr>
          <w:bCs/>
          <w:sz w:val="24"/>
          <w:szCs w:val="24"/>
        </w:rPr>
      </w:pPr>
    </w:p>
    <w:p w14:paraId="7DC73A31" w14:textId="77777777" w:rsidR="000F54CF" w:rsidRPr="006E487A" w:rsidRDefault="000F54CF" w:rsidP="006E487A">
      <w:pPr>
        <w:pStyle w:val="MDPI62backmatter"/>
        <w:spacing w:line="240" w:lineRule="auto"/>
        <w:ind w:left="0"/>
        <w:rPr>
          <w:bCs/>
          <w:sz w:val="24"/>
          <w:szCs w:val="24"/>
        </w:rPr>
      </w:pPr>
    </w:p>
    <w:p w14:paraId="13D8D9C6" w14:textId="02303C2F" w:rsidR="00F90D3B" w:rsidRPr="006E487A" w:rsidRDefault="00F90D3B" w:rsidP="00F90D3B">
      <w:pPr>
        <w:rPr>
          <w:rFonts w:ascii="Calibri" w:eastAsia="Calibri" w:hAnsi="Calibri"/>
          <w:kern w:val="2"/>
        </w:rPr>
      </w:pPr>
      <w:bookmarkStart w:id="5" w:name="_Hlk204003461"/>
      <w:bookmarkStart w:id="6" w:name="_Hlk212284750"/>
      <w:r w:rsidRPr="006E487A">
        <w:rPr>
          <w:rFonts w:ascii="Calibri" w:eastAsia="Calibri" w:hAnsi="Calibri"/>
          <w:kern w:val="2"/>
        </w:rPr>
        <w:t>Disclaimer (Artificial intelligence)</w:t>
      </w:r>
    </w:p>
    <w:p w14:paraId="01272B1E" w14:textId="77777777" w:rsidR="00F90D3B" w:rsidRPr="006E487A" w:rsidRDefault="00F90D3B" w:rsidP="00F90D3B">
      <w:pPr>
        <w:rPr>
          <w:rFonts w:ascii="Calibri" w:eastAsia="Calibri" w:hAnsi="Calibri"/>
          <w:kern w:val="2"/>
        </w:rPr>
      </w:pPr>
      <w:r w:rsidRPr="006E487A">
        <w:rPr>
          <w:rFonts w:ascii="Calibri" w:eastAsia="Calibri" w:hAnsi="Calibri"/>
          <w:kern w:val="2"/>
        </w:rPr>
        <w:t xml:space="preserve">Author(s) hereby </w:t>
      </w:r>
      <w:proofErr w:type="gramStart"/>
      <w:r w:rsidRPr="006E487A">
        <w:rPr>
          <w:rFonts w:ascii="Calibri" w:eastAsia="Calibri" w:hAnsi="Calibri"/>
          <w:kern w:val="2"/>
        </w:rPr>
        <w:t>declare</w:t>
      </w:r>
      <w:proofErr w:type="gramEnd"/>
      <w:r w:rsidRPr="006E487A">
        <w:rPr>
          <w:rFonts w:ascii="Calibri" w:eastAsia="Calibri" w:hAnsi="Calibri"/>
          <w:kern w:val="2"/>
        </w:rPr>
        <w:t xml:space="preserve"> that NO generative AI technologies such as Large Language Models (ChatGPT, COPILOT, etc.) and text-to-image generators have been used during the writing or editing of this manuscript. </w:t>
      </w:r>
    </w:p>
    <w:bookmarkEnd w:id="5"/>
    <w:bookmarkEnd w:id="6"/>
    <w:p w14:paraId="10A02237" w14:textId="77777777" w:rsidR="00664BD0" w:rsidRDefault="00664BD0" w:rsidP="0010011E">
      <w:pPr>
        <w:pStyle w:val="MDPI21heading1"/>
        <w:spacing w:line="240" w:lineRule="auto"/>
        <w:ind w:left="0"/>
        <w:rPr>
          <w:szCs w:val="24"/>
        </w:rPr>
      </w:pPr>
    </w:p>
    <w:p w14:paraId="605D7FFC" w14:textId="30EA5DC9" w:rsidR="00A86E9F" w:rsidRPr="00A16086" w:rsidRDefault="00A86E9F" w:rsidP="0010011E">
      <w:pPr>
        <w:pStyle w:val="MDPI21heading1"/>
        <w:spacing w:line="240" w:lineRule="auto"/>
        <w:ind w:left="0"/>
        <w:rPr>
          <w:szCs w:val="24"/>
        </w:rPr>
      </w:pPr>
      <w:r w:rsidRPr="00A16086">
        <w:rPr>
          <w:szCs w:val="24"/>
        </w:rPr>
        <w:t>References</w:t>
      </w:r>
    </w:p>
    <w:p w14:paraId="3CD788F7" w14:textId="77777777" w:rsidR="00A86E9F" w:rsidRPr="00A16086" w:rsidRDefault="00A86E9F" w:rsidP="0010011E">
      <w:pPr>
        <w:pStyle w:val="MDPI81references"/>
        <w:numPr>
          <w:ilvl w:val="0"/>
          <w:numId w:val="0"/>
        </w:numPr>
        <w:spacing w:line="240" w:lineRule="auto"/>
        <w:rPr>
          <w:sz w:val="24"/>
          <w:szCs w:val="24"/>
        </w:rPr>
      </w:pPr>
    </w:p>
    <w:p w14:paraId="60D4CE68" w14:textId="1079EC52" w:rsidR="000E3C01" w:rsidRPr="00A16086" w:rsidRDefault="000E3C01" w:rsidP="0010011E">
      <w:pPr>
        <w:pStyle w:val="MDPI81references"/>
        <w:numPr>
          <w:ilvl w:val="0"/>
          <w:numId w:val="4"/>
        </w:numPr>
        <w:spacing w:line="240" w:lineRule="auto"/>
        <w:ind w:left="425" w:hanging="425"/>
        <w:rPr>
          <w:sz w:val="24"/>
          <w:szCs w:val="24"/>
        </w:rPr>
      </w:pPr>
      <w:r w:rsidRPr="00A16086">
        <w:rPr>
          <w:sz w:val="24"/>
          <w:szCs w:val="24"/>
        </w:rPr>
        <w:t xml:space="preserve">Freeman, S., &amp; </w:t>
      </w:r>
      <w:proofErr w:type="spellStart"/>
      <w:r w:rsidRPr="00A16086">
        <w:rPr>
          <w:sz w:val="24"/>
          <w:szCs w:val="24"/>
        </w:rPr>
        <w:t>Eykelbosh</w:t>
      </w:r>
      <w:proofErr w:type="spellEnd"/>
      <w:r w:rsidRPr="00A16086">
        <w:rPr>
          <w:sz w:val="24"/>
          <w:szCs w:val="24"/>
        </w:rPr>
        <w:t>, A. (2020). COVID-19 and outdoor safety: considerations for use of outdoor recreational spaces. Vancouver, BC: National Collaborating Centre for Environmental Health.</w:t>
      </w:r>
    </w:p>
    <w:p w14:paraId="3274641C" w14:textId="26A6F2CB" w:rsidR="000E3C01" w:rsidRPr="00A16086" w:rsidRDefault="000E3C01" w:rsidP="0010011E">
      <w:pPr>
        <w:pStyle w:val="MDPI81references"/>
        <w:numPr>
          <w:ilvl w:val="0"/>
          <w:numId w:val="4"/>
        </w:numPr>
        <w:spacing w:line="240" w:lineRule="auto"/>
        <w:ind w:left="425" w:hanging="425"/>
        <w:rPr>
          <w:sz w:val="24"/>
          <w:szCs w:val="24"/>
        </w:rPr>
      </w:pPr>
      <w:r w:rsidRPr="00A16086">
        <w:rPr>
          <w:sz w:val="24"/>
          <w:szCs w:val="24"/>
        </w:rPr>
        <w:t xml:space="preserve">Geng DC, Innes J, Wu W, Wang G. Impacts of COVID-19 pandemic on urban park visitation: a global analysis. J For Res (Harbin). 2021;32(2):553-567. </w:t>
      </w:r>
      <w:proofErr w:type="spellStart"/>
      <w:r w:rsidRPr="00A16086">
        <w:rPr>
          <w:sz w:val="24"/>
          <w:szCs w:val="24"/>
        </w:rPr>
        <w:t>doi</w:t>
      </w:r>
      <w:proofErr w:type="spellEnd"/>
      <w:r w:rsidRPr="00A16086">
        <w:rPr>
          <w:sz w:val="24"/>
          <w:szCs w:val="24"/>
        </w:rPr>
        <w:t xml:space="preserve">: 10.1007/s11676-020-01249-w. </w:t>
      </w:r>
      <w:proofErr w:type="spellStart"/>
      <w:r w:rsidRPr="00A16086">
        <w:rPr>
          <w:sz w:val="24"/>
          <w:szCs w:val="24"/>
        </w:rPr>
        <w:t>Epub</w:t>
      </w:r>
      <w:proofErr w:type="spellEnd"/>
      <w:r w:rsidRPr="00A16086">
        <w:rPr>
          <w:sz w:val="24"/>
          <w:szCs w:val="24"/>
        </w:rPr>
        <w:t xml:space="preserve"> 2020 Nov 12. PMID: 33204057; PMCID: PMC7660132.</w:t>
      </w:r>
    </w:p>
    <w:p w14:paraId="709FD4AE" w14:textId="06A58C1B" w:rsidR="000E3C01" w:rsidRPr="00A16086" w:rsidRDefault="000E3C01" w:rsidP="0010011E">
      <w:pPr>
        <w:pStyle w:val="MDPI81references"/>
        <w:numPr>
          <w:ilvl w:val="0"/>
          <w:numId w:val="4"/>
        </w:numPr>
        <w:spacing w:line="240" w:lineRule="auto"/>
        <w:ind w:left="425" w:hanging="425"/>
        <w:rPr>
          <w:sz w:val="24"/>
          <w:szCs w:val="24"/>
          <w:lang w:val="fr-FR"/>
        </w:rPr>
      </w:pPr>
      <w:r w:rsidRPr="00A16086">
        <w:rPr>
          <w:sz w:val="24"/>
          <w:szCs w:val="24"/>
        </w:rPr>
        <w:t xml:space="preserve">Rivera, S. (2020). Three Major Effects Coronavirus Is Having on the Boston Housing Market. </w:t>
      </w:r>
      <w:r w:rsidRPr="00D06B38">
        <w:rPr>
          <w:sz w:val="24"/>
          <w:szCs w:val="24"/>
          <w:lang w:val="fr-FR"/>
        </w:rPr>
        <w:t xml:space="preserve">Boston Magazine. </w:t>
      </w:r>
      <w:proofErr w:type="spellStart"/>
      <w:r w:rsidRPr="00D06B38">
        <w:rPr>
          <w:sz w:val="24"/>
          <w:szCs w:val="24"/>
          <w:lang w:val="fr-FR"/>
        </w:rPr>
        <w:t>Available</w:t>
      </w:r>
      <w:proofErr w:type="spellEnd"/>
      <w:r w:rsidRPr="00D06B38">
        <w:rPr>
          <w:sz w:val="24"/>
          <w:szCs w:val="24"/>
          <w:lang w:val="fr-FR"/>
        </w:rPr>
        <w:t xml:space="preserve"> at https://www.bostonmagazine.com/property/2020/08/27/coronavirus-real-estate-market-greater-boston/.</w:t>
      </w:r>
    </w:p>
    <w:p w14:paraId="798B66D7" w14:textId="0B62B7FD" w:rsidR="000E3C01" w:rsidRPr="00A16086" w:rsidRDefault="000E3C01" w:rsidP="0010011E">
      <w:pPr>
        <w:pStyle w:val="MDPI81references"/>
        <w:numPr>
          <w:ilvl w:val="0"/>
          <w:numId w:val="4"/>
        </w:numPr>
        <w:spacing w:line="240" w:lineRule="auto"/>
        <w:ind w:left="425" w:hanging="425"/>
        <w:rPr>
          <w:sz w:val="24"/>
          <w:szCs w:val="24"/>
          <w:lang w:val="fr-FR"/>
        </w:rPr>
      </w:pPr>
      <w:r w:rsidRPr="00A16086">
        <w:rPr>
          <w:sz w:val="24"/>
          <w:szCs w:val="24"/>
        </w:rPr>
        <w:t xml:space="preserve">Jacobson, N. C., Lekkas, D., Price, G., Heinz, M. V., Song, M., O’Malley, A. J., et al. (2020). Flattening the Mental Health Curve: COVID-19 Stay-at-Home Orders Are Associated </w:t>
      </w:r>
      <w:proofErr w:type="gramStart"/>
      <w:r w:rsidRPr="00A16086">
        <w:rPr>
          <w:sz w:val="24"/>
          <w:szCs w:val="24"/>
        </w:rPr>
        <w:t>With</w:t>
      </w:r>
      <w:proofErr w:type="gramEnd"/>
      <w:r w:rsidRPr="00A16086">
        <w:rPr>
          <w:sz w:val="24"/>
          <w:szCs w:val="24"/>
        </w:rPr>
        <w:t xml:space="preserve"> Alterations in Mental Health Search Behavior in the United States. JMIR Mental Health, 7(6), e19347</w:t>
      </w:r>
    </w:p>
    <w:p w14:paraId="38402E5F" w14:textId="666D27C4" w:rsidR="00727D47" w:rsidRPr="00A16086" w:rsidRDefault="000E3C01" w:rsidP="0010011E">
      <w:pPr>
        <w:pStyle w:val="MDPI81references"/>
        <w:numPr>
          <w:ilvl w:val="0"/>
          <w:numId w:val="4"/>
        </w:numPr>
        <w:spacing w:line="240" w:lineRule="auto"/>
        <w:ind w:left="425" w:hanging="425"/>
        <w:rPr>
          <w:sz w:val="24"/>
          <w:szCs w:val="24"/>
        </w:rPr>
      </w:pPr>
      <w:r w:rsidRPr="00A16086">
        <w:rPr>
          <w:sz w:val="24"/>
          <w:szCs w:val="24"/>
        </w:rPr>
        <w:t>International Union for Conservation of Nature. (2021). Conserving Nature in a Time of Crisis: Protected Areas and COVID-19. Available online: https://www.iucn.org/news/world-commission-protected-areas/202005/conserving-nature-a-time-crisis-protected-areas-and-covid-19 (accessed on July 2, 2021).</w:t>
      </w:r>
    </w:p>
    <w:p w14:paraId="1A06E839" w14:textId="51425999" w:rsidR="00727D47" w:rsidRPr="00A16086" w:rsidRDefault="00727D47" w:rsidP="0010011E">
      <w:pPr>
        <w:pStyle w:val="MDPI81references"/>
        <w:numPr>
          <w:ilvl w:val="0"/>
          <w:numId w:val="4"/>
        </w:numPr>
        <w:spacing w:line="240" w:lineRule="auto"/>
        <w:ind w:left="425" w:hanging="425"/>
        <w:rPr>
          <w:sz w:val="24"/>
          <w:szCs w:val="24"/>
        </w:rPr>
      </w:pPr>
      <w:r w:rsidRPr="00A16086">
        <w:rPr>
          <w:sz w:val="24"/>
          <w:szCs w:val="24"/>
        </w:rPr>
        <w:t>Sturm, R., &amp; Cohen, D. (2014). Proximity to urban parks and mental health. The Journal of Mental Health Policy and Economics, 17(1), 19–24.</w:t>
      </w:r>
    </w:p>
    <w:p w14:paraId="17A0D01E" w14:textId="0D82EB1A" w:rsidR="00727D47" w:rsidRPr="00A16086" w:rsidRDefault="00727D47" w:rsidP="0010011E">
      <w:pPr>
        <w:pStyle w:val="MDPI81references"/>
        <w:numPr>
          <w:ilvl w:val="0"/>
          <w:numId w:val="4"/>
        </w:numPr>
        <w:spacing w:line="240" w:lineRule="auto"/>
        <w:ind w:left="425" w:hanging="425"/>
        <w:rPr>
          <w:sz w:val="24"/>
          <w:szCs w:val="24"/>
        </w:rPr>
      </w:pPr>
      <w:r w:rsidRPr="00A16086">
        <w:rPr>
          <w:sz w:val="24"/>
          <w:szCs w:val="24"/>
        </w:rPr>
        <w:t xml:space="preserve">Ulrich, R. S., &amp; </w:t>
      </w:r>
      <w:proofErr w:type="spellStart"/>
      <w:r w:rsidRPr="00A16086">
        <w:rPr>
          <w:sz w:val="24"/>
          <w:szCs w:val="24"/>
        </w:rPr>
        <w:t>Addoms</w:t>
      </w:r>
      <w:proofErr w:type="spellEnd"/>
      <w:r w:rsidRPr="00A16086">
        <w:rPr>
          <w:sz w:val="24"/>
          <w:szCs w:val="24"/>
        </w:rPr>
        <w:t>, D. L. (1981). Psychological and recreational benefits of a residential park. Journal of Leisure Research, 13(1), 43-65.</w:t>
      </w:r>
    </w:p>
    <w:p w14:paraId="41E6E857" w14:textId="4A1FEF84" w:rsidR="00727D47" w:rsidRPr="00A16086" w:rsidRDefault="00727D47" w:rsidP="0010011E">
      <w:pPr>
        <w:pStyle w:val="MDPI81references"/>
        <w:numPr>
          <w:ilvl w:val="0"/>
          <w:numId w:val="4"/>
        </w:numPr>
        <w:spacing w:line="240" w:lineRule="auto"/>
        <w:ind w:left="425" w:hanging="425"/>
        <w:rPr>
          <w:sz w:val="24"/>
          <w:szCs w:val="24"/>
        </w:rPr>
      </w:pPr>
      <w:r w:rsidRPr="00A16086">
        <w:rPr>
          <w:sz w:val="24"/>
          <w:szCs w:val="24"/>
        </w:rPr>
        <w:t xml:space="preserve">Payne, L. L., Mowen, A. J., &amp; </w:t>
      </w:r>
      <w:proofErr w:type="spellStart"/>
      <w:r w:rsidRPr="00A16086">
        <w:rPr>
          <w:sz w:val="24"/>
          <w:szCs w:val="24"/>
        </w:rPr>
        <w:t>Orsega</w:t>
      </w:r>
      <w:proofErr w:type="spellEnd"/>
      <w:r w:rsidRPr="00A16086">
        <w:rPr>
          <w:sz w:val="24"/>
          <w:szCs w:val="24"/>
        </w:rPr>
        <w:t>-Smith, E. (2002). An examination of park preferences and behaviors among urban residents: the role of residential location, race, and age. Leisure Sciences, 24(2), 181-198.</w:t>
      </w:r>
    </w:p>
    <w:p w14:paraId="0173697F" w14:textId="4CBEB9A4" w:rsidR="00727D47" w:rsidRPr="00A16086" w:rsidRDefault="00727D47" w:rsidP="0010011E">
      <w:pPr>
        <w:pStyle w:val="MDPI81references"/>
        <w:numPr>
          <w:ilvl w:val="0"/>
          <w:numId w:val="4"/>
        </w:numPr>
        <w:spacing w:line="240" w:lineRule="auto"/>
        <w:ind w:left="425" w:hanging="425"/>
        <w:rPr>
          <w:sz w:val="24"/>
          <w:szCs w:val="24"/>
        </w:rPr>
      </w:pPr>
      <w:r w:rsidRPr="00A16086">
        <w:rPr>
          <w:sz w:val="24"/>
          <w:szCs w:val="24"/>
        </w:rPr>
        <w:t xml:space="preserve">Vancini RL, Andrade MS, Viana RB, Nikolaidis PT, </w:t>
      </w:r>
      <w:proofErr w:type="spellStart"/>
      <w:r w:rsidRPr="00A16086">
        <w:rPr>
          <w:sz w:val="24"/>
          <w:szCs w:val="24"/>
        </w:rPr>
        <w:t>Knechtle</w:t>
      </w:r>
      <w:proofErr w:type="spellEnd"/>
      <w:r w:rsidRPr="00A16086">
        <w:rPr>
          <w:sz w:val="24"/>
          <w:szCs w:val="24"/>
        </w:rPr>
        <w:t xml:space="preserve"> B, </w:t>
      </w:r>
      <w:proofErr w:type="spellStart"/>
      <w:r w:rsidRPr="00A16086">
        <w:rPr>
          <w:sz w:val="24"/>
          <w:szCs w:val="24"/>
        </w:rPr>
        <w:t>Campanharo</w:t>
      </w:r>
      <w:proofErr w:type="spellEnd"/>
      <w:r w:rsidRPr="00A16086">
        <w:rPr>
          <w:sz w:val="24"/>
          <w:szCs w:val="24"/>
        </w:rPr>
        <w:t xml:space="preserve"> CRV, de Almeida AA, Gentil P, de Lira CAB. Physical exercise and COVID-19 pandemic in PubMed: Two months of dynamics and one year of original scientific production. Sports Med Health Sci. 2021 Jun;3(2):80-92. </w:t>
      </w:r>
      <w:proofErr w:type="spellStart"/>
      <w:r w:rsidRPr="00A16086">
        <w:rPr>
          <w:sz w:val="24"/>
          <w:szCs w:val="24"/>
        </w:rPr>
        <w:t>doi</w:t>
      </w:r>
      <w:proofErr w:type="spellEnd"/>
      <w:r w:rsidRPr="00A16086">
        <w:rPr>
          <w:sz w:val="24"/>
          <w:szCs w:val="24"/>
        </w:rPr>
        <w:t xml:space="preserve">: 10.1016/j.smhs.2021.04.004. </w:t>
      </w:r>
      <w:proofErr w:type="spellStart"/>
      <w:r w:rsidRPr="00A16086">
        <w:rPr>
          <w:sz w:val="24"/>
          <w:szCs w:val="24"/>
        </w:rPr>
        <w:t>Epub</w:t>
      </w:r>
      <w:proofErr w:type="spellEnd"/>
      <w:r w:rsidRPr="00A16086">
        <w:rPr>
          <w:sz w:val="24"/>
          <w:szCs w:val="24"/>
        </w:rPr>
        <w:t xml:space="preserve"> 2021 May 1. PMID: 34189482; PMCID: PMC8105136.</w:t>
      </w:r>
    </w:p>
    <w:p w14:paraId="7737598D" w14:textId="349E5EB0" w:rsidR="00727D47" w:rsidRPr="00A16086" w:rsidRDefault="00727D47" w:rsidP="0010011E">
      <w:pPr>
        <w:pStyle w:val="MDPI81references"/>
        <w:numPr>
          <w:ilvl w:val="0"/>
          <w:numId w:val="4"/>
        </w:numPr>
        <w:spacing w:line="240" w:lineRule="auto"/>
        <w:ind w:left="425" w:hanging="425"/>
        <w:rPr>
          <w:sz w:val="24"/>
          <w:szCs w:val="24"/>
        </w:rPr>
      </w:pPr>
      <w:r w:rsidRPr="00A16086">
        <w:rPr>
          <w:sz w:val="24"/>
          <w:szCs w:val="24"/>
        </w:rPr>
        <w:t xml:space="preserve">Bassett, M. T., Chen, J. T., &amp; Krieger, N. (2020). Variation in racial/ethnic disparities in COVID-19 mortality by age in the United States: A cross-sectional study. </w:t>
      </w:r>
      <w:proofErr w:type="spellStart"/>
      <w:r w:rsidRPr="00A16086">
        <w:rPr>
          <w:sz w:val="24"/>
          <w:szCs w:val="24"/>
        </w:rPr>
        <w:t>PLoS</w:t>
      </w:r>
      <w:proofErr w:type="spellEnd"/>
      <w:r w:rsidRPr="00A16086">
        <w:rPr>
          <w:sz w:val="24"/>
          <w:szCs w:val="24"/>
        </w:rPr>
        <w:t xml:space="preserve"> Medicine, 17, e1003402. </w:t>
      </w:r>
    </w:p>
    <w:p w14:paraId="5BA57269" w14:textId="03450074" w:rsidR="00727D47" w:rsidRPr="00A16086" w:rsidRDefault="00727D47" w:rsidP="0010011E">
      <w:pPr>
        <w:pStyle w:val="MDPI81references"/>
        <w:numPr>
          <w:ilvl w:val="0"/>
          <w:numId w:val="4"/>
        </w:numPr>
        <w:spacing w:line="240" w:lineRule="auto"/>
        <w:ind w:left="425" w:hanging="425"/>
        <w:rPr>
          <w:sz w:val="24"/>
          <w:szCs w:val="24"/>
        </w:rPr>
      </w:pPr>
      <w:r w:rsidRPr="00A16086">
        <w:rPr>
          <w:sz w:val="24"/>
          <w:szCs w:val="24"/>
        </w:rPr>
        <w:t>Bailey, Z. D., &amp; Robin Moon, J. (2020). Racism and the political economy of COVID-19: Will we continue to resurrect the past? Journal of Health Politics, Policy and Law, 45, 937–950.</w:t>
      </w:r>
    </w:p>
    <w:p w14:paraId="532C2C5E" w14:textId="74113C07" w:rsidR="00727D47" w:rsidRPr="00A16086" w:rsidRDefault="0058319A" w:rsidP="0010011E">
      <w:pPr>
        <w:pStyle w:val="MDPI81references"/>
        <w:numPr>
          <w:ilvl w:val="0"/>
          <w:numId w:val="4"/>
        </w:numPr>
        <w:spacing w:line="240" w:lineRule="auto"/>
        <w:ind w:left="425" w:hanging="425"/>
        <w:rPr>
          <w:sz w:val="24"/>
          <w:szCs w:val="24"/>
        </w:rPr>
      </w:pPr>
      <w:r w:rsidRPr="00A16086">
        <w:rPr>
          <w:sz w:val="24"/>
          <w:szCs w:val="24"/>
        </w:rPr>
        <w:t xml:space="preserve">Christopher, G., Smith, R., &amp; Johnson, T. (2009). </w:t>
      </w:r>
      <w:r w:rsidRPr="00A16086">
        <w:rPr>
          <w:i/>
          <w:iCs/>
          <w:sz w:val="24"/>
          <w:szCs w:val="24"/>
        </w:rPr>
        <w:t>Socioeconomic disparities in access to recreational spaces: Implications for community health</w:t>
      </w:r>
      <w:r w:rsidRPr="00A16086">
        <w:rPr>
          <w:sz w:val="24"/>
          <w:szCs w:val="24"/>
        </w:rPr>
        <w:t xml:space="preserve">. Journal of Urban Health, 86(3), 381–390. </w:t>
      </w:r>
    </w:p>
    <w:p w14:paraId="1F4A8964" w14:textId="1A021604" w:rsidR="00727D47" w:rsidRPr="00A16086" w:rsidRDefault="00DB3F1A" w:rsidP="0010011E">
      <w:pPr>
        <w:pStyle w:val="MDPI81references"/>
        <w:numPr>
          <w:ilvl w:val="0"/>
          <w:numId w:val="4"/>
        </w:numPr>
        <w:spacing w:line="240" w:lineRule="auto"/>
        <w:ind w:left="425" w:hanging="425"/>
        <w:rPr>
          <w:sz w:val="24"/>
          <w:szCs w:val="24"/>
        </w:rPr>
      </w:pPr>
      <w:r w:rsidRPr="00A16086">
        <w:rPr>
          <w:sz w:val="24"/>
          <w:szCs w:val="24"/>
        </w:rPr>
        <w:t>Lanham, D. (2020). I’ve Spent My Life Birding While Black. Here’s Why I Can’t and Won’t Forgive Amy Cooper. Newsweek. Available at https://www.newsweek.com/ive-spent-my-life-birding-while-black-heres-why-i-cant-wont-forgive-amy-cooper-opinion-1507247</w:t>
      </w:r>
    </w:p>
    <w:p w14:paraId="2B7364EC" w14:textId="2F4D941D" w:rsidR="00727D47" w:rsidRPr="00A16086" w:rsidRDefault="00DB3F1A" w:rsidP="0010011E">
      <w:pPr>
        <w:pStyle w:val="MDPI81references"/>
        <w:numPr>
          <w:ilvl w:val="0"/>
          <w:numId w:val="4"/>
        </w:numPr>
        <w:spacing w:line="240" w:lineRule="auto"/>
        <w:ind w:left="425" w:hanging="425"/>
        <w:rPr>
          <w:sz w:val="24"/>
          <w:szCs w:val="24"/>
        </w:rPr>
      </w:pPr>
      <w:r w:rsidRPr="00A16086">
        <w:rPr>
          <w:sz w:val="24"/>
          <w:szCs w:val="24"/>
        </w:rPr>
        <w:t xml:space="preserve">Park AH, Zhong S, Yang H, Jeong J, Lee C. Impact of COVID-19 on physical activity: A rapid review. J Glob Health. 2022 Apr 30; 12:05003. </w:t>
      </w:r>
      <w:proofErr w:type="spellStart"/>
      <w:r w:rsidRPr="00A16086">
        <w:rPr>
          <w:sz w:val="24"/>
          <w:szCs w:val="24"/>
        </w:rPr>
        <w:t>doi</w:t>
      </w:r>
      <w:proofErr w:type="spellEnd"/>
      <w:r w:rsidRPr="00A16086">
        <w:rPr>
          <w:sz w:val="24"/>
          <w:szCs w:val="24"/>
        </w:rPr>
        <w:t>: 10.7189/jogh.12.05003. PMID: 35493780; PMCID: PMC8979477.</w:t>
      </w:r>
    </w:p>
    <w:p w14:paraId="40D08F9F" w14:textId="33EF8595" w:rsidR="00727D47" w:rsidRPr="00A16086" w:rsidRDefault="00DB3F1A" w:rsidP="0010011E">
      <w:pPr>
        <w:pStyle w:val="MDPI81references"/>
        <w:numPr>
          <w:ilvl w:val="0"/>
          <w:numId w:val="4"/>
        </w:numPr>
        <w:spacing w:line="240" w:lineRule="auto"/>
        <w:ind w:left="425" w:hanging="425"/>
        <w:rPr>
          <w:sz w:val="24"/>
          <w:szCs w:val="24"/>
        </w:rPr>
      </w:pPr>
      <w:r w:rsidRPr="00A16086">
        <w:rPr>
          <w:sz w:val="24"/>
          <w:szCs w:val="24"/>
        </w:rPr>
        <w:t xml:space="preserve">Venter ZS, Barton DN, Gundersen V, Figari H, Nowell </w:t>
      </w:r>
      <w:proofErr w:type="spellStart"/>
      <w:proofErr w:type="gramStart"/>
      <w:r w:rsidRPr="00A16086">
        <w:rPr>
          <w:sz w:val="24"/>
          <w:szCs w:val="24"/>
        </w:rPr>
        <w:t>M.Urban</w:t>
      </w:r>
      <w:proofErr w:type="spellEnd"/>
      <w:proofErr w:type="gramEnd"/>
      <w:r w:rsidRPr="00A16086">
        <w:rPr>
          <w:sz w:val="24"/>
          <w:szCs w:val="24"/>
        </w:rPr>
        <w:t xml:space="preserve"> nature in a time of crisis: recreational use of green space increases during the COVID-19 outbreak in Oslo, Norway. </w:t>
      </w:r>
      <w:r w:rsidRPr="00A16086">
        <w:rPr>
          <w:i/>
          <w:iCs/>
          <w:sz w:val="24"/>
          <w:szCs w:val="24"/>
        </w:rPr>
        <w:t>Environ Res Lett</w:t>
      </w:r>
      <w:r w:rsidRPr="00A16086">
        <w:rPr>
          <w:sz w:val="24"/>
          <w:szCs w:val="24"/>
        </w:rPr>
        <w:t>. 2020; 15:104075. 10.1088/1748-9326/abb396</w:t>
      </w:r>
    </w:p>
    <w:p w14:paraId="312A6574" w14:textId="06DE6650" w:rsidR="00727D47" w:rsidRPr="00A16086" w:rsidRDefault="00DB3F1A" w:rsidP="0010011E">
      <w:pPr>
        <w:pStyle w:val="MDPI81references"/>
        <w:numPr>
          <w:ilvl w:val="0"/>
          <w:numId w:val="4"/>
        </w:numPr>
        <w:spacing w:line="240" w:lineRule="auto"/>
        <w:ind w:left="425" w:hanging="425"/>
        <w:rPr>
          <w:sz w:val="24"/>
          <w:szCs w:val="24"/>
        </w:rPr>
      </w:pPr>
      <w:proofErr w:type="spellStart"/>
      <w:r w:rsidRPr="00A16086">
        <w:rPr>
          <w:sz w:val="24"/>
          <w:szCs w:val="24"/>
        </w:rPr>
        <w:t>SafeGraph</w:t>
      </w:r>
      <w:proofErr w:type="spellEnd"/>
      <w:r w:rsidRPr="00A16086">
        <w:rPr>
          <w:sz w:val="24"/>
          <w:szCs w:val="24"/>
        </w:rPr>
        <w:t>. (2020). Places Schema. Retrieved from https://docs.safegraph.com/docs/places-schema</w:t>
      </w:r>
    </w:p>
    <w:p w14:paraId="6793EA52" w14:textId="09218A9E" w:rsidR="00727D47" w:rsidRPr="00A16086" w:rsidRDefault="00721294" w:rsidP="0010011E">
      <w:pPr>
        <w:pStyle w:val="MDPI81references"/>
        <w:numPr>
          <w:ilvl w:val="0"/>
          <w:numId w:val="4"/>
        </w:numPr>
        <w:spacing w:line="240" w:lineRule="auto"/>
        <w:ind w:left="425" w:hanging="425"/>
        <w:rPr>
          <w:sz w:val="24"/>
          <w:szCs w:val="24"/>
        </w:rPr>
      </w:pPr>
      <w:r w:rsidRPr="00A16086">
        <w:rPr>
          <w:sz w:val="24"/>
          <w:szCs w:val="24"/>
        </w:rPr>
        <w:t xml:space="preserve">Deniz Kiraz L, Ward Thompson C. How Much Did Urban Park Use Change under the COVID-19 Pandemic? A Comparative Study of Summertime Park Use in 2019 and 2020 in Edinburgh, Scotland. Int J Environ Res Public Health. 2023 Oct 31;20(21):7001. </w:t>
      </w:r>
      <w:proofErr w:type="spellStart"/>
      <w:r w:rsidRPr="00A16086">
        <w:rPr>
          <w:sz w:val="24"/>
          <w:szCs w:val="24"/>
        </w:rPr>
        <w:t>doi</w:t>
      </w:r>
      <w:proofErr w:type="spellEnd"/>
      <w:r w:rsidRPr="00A16086">
        <w:rPr>
          <w:sz w:val="24"/>
          <w:szCs w:val="24"/>
        </w:rPr>
        <w:t>: 10.3390/ijerph20217001. PMID: 37947559; PMCID: PMC10648880.</w:t>
      </w:r>
    </w:p>
    <w:p w14:paraId="6823A55E" w14:textId="69157599" w:rsidR="00A86E9F" w:rsidRPr="00A16086" w:rsidRDefault="00624CDC" w:rsidP="0010011E">
      <w:pPr>
        <w:pStyle w:val="MDPI81references"/>
        <w:numPr>
          <w:ilvl w:val="0"/>
          <w:numId w:val="4"/>
        </w:numPr>
        <w:spacing w:line="240" w:lineRule="auto"/>
        <w:ind w:left="425" w:hanging="425"/>
        <w:rPr>
          <w:sz w:val="24"/>
          <w:szCs w:val="24"/>
        </w:rPr>
      </w:pPr>
      <w:r w:rsidRPr="00A16086">
        <w:rPr>
          <w:sz w:val="24"/>
          <w:szCs w:val="24"/>
        </w:rPr>
        <w:t xml:space="preserve">Csomós G, Borza EM, Farkas JZ. </w:t>
      </w:r>
      <w:proofErr w:type="gramStart"/>
      <w:r w:rsidRPr="00A16086">
        <w:rPr>
          <w:sz w:val="24"/>
          <w:szCs w:val="24"/>
        </w:rPr>
        <w:t>Exploring park</w:t>
      </w:r>
      <w:proofErr w:type="gramEnd"/>
      <w:r w:rsidRPr="00A16086">
        <w:rPr>
          <w:sz w:val="24"/>
          <w:szCs w:val="24"/>
        </w:rPr>
        <w:t xml:space="preserve"> visitation trends during the Covid-19 pandemic in Hungary by using mobile device location data. Sci Rep. 2023 Jul 8;13(1):11078. </w:t>
      </w:r>
      <w:proofErr w:type="spellStart"/>
      <w:r w:rsidRPr="00A16086">
        <w:rPr>
          <w:sz w:val="24"/>
          <w:szCs w:val="24"/>
        </w:rPr>
        <w:t>doi</w:t>
      </w:r>
      <w:proofErr w:type="spellEnd"/>
      <w:r w:rsidRPr="00A16086">
        <w:rPr>
          <w:sz w:val="24"/>
          <w:szCs w:val="24"/>
        </w:rPr>
        <w:t>: 10.1038/s41598-023-38287-3. PMID: 37422583; PMCID: PMC10329667.</w:t>
      </w:r>
    </w:p>
    <w:sectPr w:rsidR="00A86E9F" w:rsidRPr="00A16086" w:rsidSect="00CF0723">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BEE06" w14:textId="77777777" w:rsidR="008B75E5" w:rsidRPr="00AE7596" w:rsidRDefault="008B75E5">
      <w:pPr>
        <w:spacing w:line="240" w:lineRule="auto"/>
      </w:pPr>
      <w:r w:rsidRPr="00AE7596">
        <w:separator/>
      </w:r>
    </w:p>
  </w:endnote>
  <w:endnote w:type="continuationSeparator" w:id="0">
    <w:p w14:paraId="1026D149" w14:textId="77777777" w:rsidR="008B75E5" w:rsidRPr="00AE7596" w:rsidRDefault="008B75E5">
      <w:pPr>
        <w:spacing w:line="240" w:lineRule="auto"/>
      </w:pPr>
      <w:r w:rsidRPr="00AE759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9B0EB" w14:textId="77777777" w:rsidR="00CF0723" w:rsidRDefault="00CF07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9D67F" w14:textId="77777777" w:rsidR="00CF0723" w:rsidRDefault="00CF07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2B436" w14:textId="77777777" w:rsidR="00281E5B" w:rsidRPr="00AE7596" w:rsidRDefault="00281E5B" w:rsidP="004F0E02">
    <w:pPr>
      <w:pBdr>
        <w:top w:val="single" w:sz="4" w:space="0" w:color="000000"/>
      </w:pBdr>
      <w:adjustRightInd w:val="0"/>
      <w:snapToGrid w:val="0"/>
      <w:spacing w:before="480" w:line="100" w:lineRule="exact"/>
      <w:rPr>
        <w:i/>
        <w:iCs/>
        <w:sz w:val="16"/>
        <w:szCs w:val="16"/>
      </w:rPr>
    </w:pPr>
  </w:p>
  <w:p w14:paraId="67E86C15" w14:textId="2CC78A38" w:rsidR="00C45F1E" w:rsidRPr="00AE7596" w:rsidRDefault="00BA570C" w:rsidP="00BA570C">
    <w:pPr>
      <w:tabs>
        <w:tab w:val="right" w:pos="10466"/>
      </w:tabs>
      <w:spacing w:line="240" w:lineRule="auto"/>
      <w:rPr>
        <w:sz w:val="16"/>
        <w:szCs w:val="16"/>
      </w:rPr>
    </w:pPr>
    <w:r w:rsidRPr="00AE7596">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0AF19E" w14:textId="77777777" w:rsidR="008B75E5" w:rsidRPr="00AE7596" w:rsidRDefault="008B75E5">
      <w:pPr>
        <w:spacing w:line="240" w:lineRule="auto"/>
      </w:pPr>
      <w:r w:rsidRPr="00AE7596">
        <w:separator/>
      </w:r>
    </w:p>
  </w:footnote>
  <w:footnote w:type="continuationSeparator" w:id="0">
    <w:p w14:paraId="7AE173C4" w14:textId="77777777" w:rsidR="008B75E5" w:rsidRPr="00AE7596" w:rsidRDefault="008B75E5">
      <w:pPr>
        <w:spacing w:line="240" w:lineRule="auto"/>
      </w:pPr>
      <w:r w:rsidRPr="00AE759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F5C99" w14:textId="6644AA56" w:rsidR="00C45F1E" w:rsidRPr="00AE7596" w:rsidRDefault="00000000" w:rsidP="00C45F1E">
    <w:pPr>
      <w:pStyle w:val="Header"/>
      <w:pBdr>
        <w:bottom w:val="none" w:sz="0" w:space="0" w:color="auto"/>
      </w:pBdr>
    </w:pPr>
    <w:r>
      <w:rPr>
        <w:noProof/>
      </w:rPr>
      <w:pict w14:anchorId="7890CE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379860" o:spid="_x0000_s1026" type="#_x0000_t136" style="position:absolute;left:0;text-align:left;margin-left:0;margin-top:0;width:645.55pt;height:92.2pt;rotation:315;z-index:-251655168;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26175" w14:textId="66939D75" w:rsidR="00281E5B" w:rsidRPr="00AE7596" w:rsidRDefault="00000000" w:rsidP="00BA570C">
    <w:pPr>
      <w:tabs>
        <w:tab w:val="right" w:pos="10466"/>
      </w:tabs>
      <w:adjustRightInd w:val="0"/>
      <w:snapToGrid w:val="0"/>
      <w:spacing w:line="240" w:lineRule="auto"/>
      <w:rPr>
        <w:sz w:val="16"/>
      </w:rPr>
    </w:pPr>
    <w:r>
      <w:rPr>
        <w:noProof/>
      </w:rPr>
      <w:pict w14:anchorId="7D4F4E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379861" o:spid="_x0000_s1027" type="#_x0000_t136" style="position:absolute;left:0;text-align:left;margin-left:0;margin-top:0;width:645.55pt;height:92.2pt;rotation:315;z-index:-251653120;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r w:rsidR="002C73CC" w:rsidRPr="00AE7596">
      <w:rPr>
        <w:sz w:val="16"/>
      </w:rPr>
      <w:ptab w:relativeTo="margin" w:alignment="right" w:leader="none"/>
    </w:r>
    <w:r w:rsidR="002C73CC" w:rsidRPr="00AE7596">
      <w:rPr>
        <w:sz w:val="16"/>
      </w:rPr>
      <w:fldChar w:fldCharType="begin"/>
    </w:r>
    <w:r w:rsidR="002C73CC" w:rsidRPr="00AE7596">
      <w:rPr>
        <w:sz w:val="16"/>
      </w:rPr>
      <w:instrText xml:space="preserve"> PAGE   \* MERGEFORMAT </w:instrText>
    </w:r>
    <w:r w:rsidR="002C73CC" w:rsidRPr="00AE7596">
      <w:rPr>
        <w:sz w:val="16"/>
      </w:rPr>
      <w:fldChar w:fldCharType="separate"/>
    </w:r>
    <w:r w:rsidR="002C73CC" w:rsidRPr="00AE7596">
      <w:rPr>
        <w:sz w:val="16"/>
      </w:rPr>
      <w:t>2</w:t>
    </w:r>
    <w:r w:rsidR="002C73CC" w:rsidRPr="00AE7596">
      <w:rPr>
        <w:sz w:val="16"/>
      </w:rPr>
      <w:fldChar w:fldCharType="end"/>
    </w:r>
    <w:r w:rsidR="002C73CC" w:rsidRPr="00AE7596">
      <w:rPr>
        <w:sz w:val="16"/>
      </w:rPr>
      <w:t xml:space="preserve"> of </w:t>
    </w:r>
    <w:r w:rsidR="002C73CC" w:rsidRPr="00AE7596">
      <w:rPr>
        <w:sz w:val="16"/>
      </w:rPr>
      <w:fldChar w:fldCharType="begin"/>
    </w:r>
    <w:r w:rsidR="002C73CC" w:rsidRPr="00AE7596">
      <w:rPr>
        <w:sz w:val="16"/>
      </w:rPr>
      <w:instrText xml:space="preserve"> NUMPAGES   \* MERGEFORMAT </w:instrText>
    </w:r>
    <w:r w:rsidR="002C73CC" w:rsidRPr="00AE7596">
      <w:rPr>
        <w:sz w:val="16"/>
      </w:rPr>
      <w:fldChar w:fldCharType="separate"/>
    </w:r>
    <w:r w:rsidR="002C73CC" w:rsidRPr="00AE7596">
      <w:rPr>
        <w:sz w:val="16"/>
      </w:rPr>
      <w:t>7</w:t>
    </w:r>
    <w:r w:rsidR="002C73CC" w:rsidRPr="00AE7596">
      <w:rPr>
        <w:sz w:val="16"/>
      </w:rPr>
      <w:fldChar w:fldCharType="end"/>
    </w:r>
  </w:p>
  <w:p w14:paraId="50919753" w14:textId="77777777" w:rsidR="00C45F1E" w:rsidRPr="00AE7596"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281E5B" w:rsidRPr="00AE7596" w14:paraId="24CFF644" w14:textId="77777777" w:rsidTr="008D01B0">
      <w:trPr>
        <w:trHeight w:val="686"/>
      </w:trPr>
      <w:tc>
        <w:tcPr>
          <w:tcW w:w="3679" w:type="dxa"/>
          <w:vAlign w:val="center"/>
        </w:tcPr>
        <w:p w14:paraId="1E085EAB" w14:textId="579E17C9" w:rsidR="00281E5B" w:rsidRPr="00AE7596" w:rsidRDefault="00281E5B" w:rsidP="00BA570C">
          <w:pPr>
            <w:pStyle w:val="Header"/>
            <w:pBdr>
              <w:bottom w:val="none" w:sz="0" w:space="0" w:color="auto"/>
            </w:pBdr>
            <w:jc w:val="left"/>
            <w:rPr>
              <w:rFonts w:eastAsia="DengXian"/>
              <w:b/>
              <w:bCs/>
            </w:rPr>
          </w:pPr>
        </w:p>
      </w:tc>
      <w:tc>
        <w:tcPr>
          <w:tcW w:w="4535" w:type="dxa"/>
          <w:vAlign w:val="center"/>
        </w:tcPr>
        <w:p w14:paraId="422492C6" w14:textId="77777777" w:rsidR="00281E5B" w:rsidRPr="00AE7596" w:rsidRDefault="00281E5B" w:rsidP="00BA570C">
          <w:pPr>
            <w:pStyle w:val="Header"/>
            <w:pBdr>
              <w:bottom w:val="none" w:sz="0" w:space="0" w:color="auto"/>
            </w:pBdr>
            <w:rPr>
              <w:rFonts w:eastAsia="DengXian"/>
              <w:b/>
              <w:bCs/>
            </w:rPr>
          </w:pPr>
        </w:p>
      </w:tc>
      <w:tc>
        <w:tcPr>
          <w:tcW w:w="2273" w:type="dxa"/>
          <w:vAlign w:val="center"/>
        </w:tcPr>
        <w:p w14:paraId="101F88CE" w14:textId="294C7088" w:rsidR="00281E5B" w:rsidRPr="00AE7596" w:rsidRDefault="00281E5B" w:rsidP="00644DA1">
          <w:pPr>
            <w:pStyle w:val="Header"/>
            <w:pBdr>
              <w:bottom w:val="none" w:sz="0" w:space="0" w:color="auto"/>
            </w:pBdr>
            <w:jc w:val="both"/>
            <w:rPr>
              <w:rFonts w:eastAsia="DengXian"/>
              <w:b/>
              <w:bCs/>
            </w:rPr>
          </w:pPr>
        </w:p>
      </w:tc>
    </w:tr>
  </w:tbl>
  <w:p w14:paraId="592767B7" w14:textId="65D9CD5F" w:rsidR="00C45F1E" w:rsidRPr="00AE7596" w:rsidRDefault="00000000" w:rsidP="002C73CC">
    <w:pPr>
      <w:pBdr>
        <w:bottom w:val="single" w:sz="4" w:space="1" w:color="000000"/>
      </w:pBdr>
      <w:adjustRightInd w:val="0"/>
      <w:snapToGrid w:val="0"/>
      <w:spacing w:before="120" w:line="100" w:lineRule="exact"/>
      <w:jc w:val="left"/>
    </w:pPr>
    <w:r>
      <w:rPr>
        <w:noProof/>
      </w:rPr>
      <w:pict w14:anchorId="3BE1F0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379859" o:spid="_x0000_s1025" type="#_x0000_t136" style="position:absolute;margin-left:0;margin-top:0;width:645.55pt;height:92.2pt;rotation:315;z-index:-251657216;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A075E"/>
    <w:multiLevelType w:val="hybridMultilevel"/>
    <w:tmpl w:val="779894E8"/>
    <w:lvl w:ilvl="0" w:tplc="DF52F826">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78B68D0"/>
    <w:multiLevelType w:val="hybridMultilevel"/>
    <w:tmpl w:val="054A593C"/>
    <w:lvl w:ilvl="0" w:tplc="5216A9F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67F0D062"/>
    <w:lvl w:ilvl="0" w:tplc="0B74C6C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2A71D87"/>
    <w:multiLevelType w:val="hybridMultilevel"/>
    <w:tmpl w:val="9FBC5E02"/>
    <w:lvl w:ilvl="0" w:tplc="985A5EF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ED1154"/>
    <w:multiLevelType w:val="hybridMultilevel"/>
    <w:tmpl w:val="7B5011C2"/>
    <w:lvl w:ilvl="0" w:tplc="39B2AAF2">
      <w:start w:val="1"/>
      <w:numFmt w:val="decimal"/>
      <w:lvlText w:val="%1"/>
      <w:lvlJc w:val="left"/>
      <w:pPr>
        <w:ind w:left="2968" w:hanging="360"/>
      </w:pPr>
      <w:rPr>
        <w:rFonts w:hint="default"/>
      </w:rPr>
    </w:lvl>
    <w:lvl w:ilvl="1" w:tplc="20000019" w:tentative="1">
      <w:start w:val="1"/>
      <w:numFmt w:val="lowerLetter"/>
      <w:lvlText w:val="%2."/>
      <w:lvlJc w:val="left"/>
      <w:pPr>
        <w:ind w:left="3688" w:hanging="360"/>
      </w:pPr>
    </w:lvl>
    <w:lvl w:ilvl="2" w:tplc="2000001B" w:tentative="1">
      <w:start w:val="1"/>
      <w:numFmt w:val="lowerRoman"/>
      <w:lvlText w:val="%3."/>
      <w:lvlJc w:val="right"/>
      <w:pPr>
        <w:ind w:left="4408" w:hanging="180"/>
      </w:pPr>
    </w:lvl>
    <w:lvl w:ilvl="3" w:tplc="2000000F" w:tentative="1">
      <w:start w:val="1"/>
      <w:numFmt w:val="decimal"/>
      <w:lvlText w:val="%4."/>
      <w:lvlJc w:val="left"/>
      <w:pPr>
        <w:ind w:left="5128" w:hanging="360"/>
      </w:pPr>
    </w:lvl>
    <w:lvl w:ilvl="4" w:tplc="20000019" w:tentative="1">
      <w:start w:val="1"/>
      <w:numFmt w:val="lowerLetter"/>
      <w:lvlText w:val="%5."/>
      <w:lvlJc w:val="left"/>
      <w:pPr>
        <w:ind w:left="5848" w:hanging="360"/>
      </w:pPr>
    </w:lvl>
    <w:lvl w:ilvl="5" w:tplc="2000001B" w:tentative="1">
      <w:start w:val="1"/>
      <w:numFmt w:val="lowerRoman"/>
      <w:lvlText w:val="%6."/>
      <w:lvlJc w:val="right"/>
      <w:pPr>
        <w:ind w:left="6568" w:hanging="180"/>
      </w:pPr>
    </w:lvl>
    <w:lvl w:ilvl="6" w:tplc="2000000F" w:tentative="1">
      <w:start w:val="1"/>
      <w:numFmt w:val="decimal"/>
      <w:lvlText w:val="%7."/>
      <w:lvlJc w:val="left"/>
      <w:pPr>
        <w:ind w:left="7288" w:hanging="360"/>
      </w:pPr>
    </w:lvl>
    <w:lvl w:ilvl="7" w:tplc="20000019" w:tentative="1">
      <w:start w:val="1"/>
      <w:numFmt w:val="lowerLetter"/>
      <w:lvlText w:val="%8."/>
      <w:lvlJc w:val="left"/>
      <w:pPr>
        <w:ind w:left="8008" w:hanging="360"/>
      </w:pPr>
    </w:lvl>
    <w:lvl w:ilvl="8" w:tplc="2000001B" w:tentative="1">
      <w:start w:val="1"/>
      <w:numFmt w:val="lowerRoman"/>
      <w:lvlText w:val="%9."/>
      <w:lvlJc w:val="right"/>
      <w:pPr>
        <w:ind w:left="8728" w:hanging="180"/>
      </w:pPr>
    </w:lvl>
  </w:abstractNum>
  <w:abstractNum w:abstractNumId="7" w15:restartNumberingAfterBreak="0">
    <w:nsid w:val="27F9426D"/>
    <w:multiLevelType w:val="hybridMultilevel"/>
    <w:tmpl w:val="2D407F76"/>
    <w:lvl w:ilvl="0" w:tplc="ED42950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8"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9"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56136707"/>
    <w:multiLevelType w:val="hybridMultilevel"/>
    <w:tmpl w:val="FBE88242"/>
    <w:lvl w:ilvl="0" w:tplc="43EAC214">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8432360">
    <w:abstractNumId w:val="8"/>
  </w:num>
  <w:num w:numId="2" w16cid:durableId="1172909059">
    <w:abstractNumId w:val="10"/>
  </w:num>
  <w:num w:numId="3" w16cid:durableId="1591502402">
    <w:abstractNumId w:val="5"/>
  </w:num>
  <w:num w:numId="4" w16cid:durableId="2124695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56449820">
    <w:abstractNumId w:val="9"/>
  </w:num>
  <w:num w:numId="6" w16cid:durableId="422800569">
    <w:abstractNumId w:val="12"/>
  </w:num>
  <w:num w:numId="7" w16cid:durableId="11154840">
    <w:abstractNumId w:val="3"/>
  </w:num>
  <w:num w:numId="8" w16cid:durableId="1055353185">
    <w:abstractNumId w:val="12"/>
  </w:num>
  <w:num w:numId="9" w16cid:durableId="393510814">
    <w:abstractNumId w:val="3"/>
  </w:num>
  <w:num w:numId="10" w16cid:durableId="1857500643">
    <w:abstractNumId w:val="12"/>
  </w:num>
  <w:num w:numId="11" w16cid:durableId="1411735925">
    <w:abstractNumId w:val="3"/>
  </w:num>
  <w:num w:numId="12" w16cid:durableId="700545864">
    <w:abstractNumId w:val="14"/>
  </w:num>
  <w:num w:numId="13" w16cid:durableId="2052920653">
    <w:abstractNumId w:val="12"/>
  </w:num>
  <w:num w:numId="14" w16cid:durableId="1149324169">
    <w:abstractNumId w:val="3"/>
  </w:num>
  <w:num w:numId="15" w16cid:durableId="1497842928">
    <w:abstractNumId w:val="2"/>
  </w:num>
  <w:num w:numId="16" w16cid:durableId="1997371287">
    <w:abstractNumId w:val="11"/>
  </w:num>
  <w:num w:numId="17" w16cid:durableId="1596404334">
    <w:abstractNumId w:val="1"/>
  </w:num>
  <w:num w:numId="18" w16cid:durableId="657074873">
    <w:abstractNumId w:val="12"/>
  </w:num>
  <w:num w:numId="19" w16cid:durableId="363409016">
    <w:abstractNumId w:val="3"/>
  </w:num>
  <w:num w:numId="20" w16cid:durableId="538325489">
    <w:abstractNumId w:val="2"/>
  </w:num>
  <w:num w:numId="21" w16cid:durableId="163323966">
    <w:abstractNumId w:val="1"/>
  </w:num>
  <w:num w:numId="22" w16cid:durableId="1443257814">
    <w:abstractNumId w:val="7"/>
  </w:num>
  <w:num w:numId="23" w16cid:durableId="1472793682">
    <w:abstractNumId w:val="4"/>
  </w:num>
  <w:num w:numId="24" w16cid:durableId="109906175">
    <w:abstractNumId w:val="6"/>
  </w:num>
  <w:num w:numId="25" w16cid:durableId="1496843865">
    <w:abstractNumId w:val="13"/>
  </w:num>
  <w:num w:numId="26" w16cid:durableId="1337339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savePreviewPicture/>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A82"/>
    <w:rsid w:val="000142CA"/>
    <w:rsid w:val="00020CE2"/>
    <w:rsid w:val="00037AE6"/>
    <w:rsid w:val="00051876"/>
    <w:rsid w:val="00061068"/>
    <w:rsid w:val="0006304E"/>
    <w:rsid w:val="00064772"/>
    <w:rsid w:val="00070D92"/>
    <w:rsid w:val="00071218"/>
    <w:rsid w:val="00080EFC"/>
    <w:rsid w:val="000855EA"/>
    <w:rsid w:val="000901D1"/>
    <w:rsid w:val="000925CA"/>
    <w:rsid w:val="00093E7F"/>
    <w:rsid w:val="000B0B13"/>
    <w:rsid w:val="000C3739"/>
    <w:rsid w:val="000E0227"/>
    <w:rsid w:val="000E3C01"/>
    <w:rsid w:val="000F0754"/>
    <w:rsid w:val="000F54CF"/>
    <w:rsid w:val="0010011E"/>
    <w:rsid w:val="00104D24"/>
    <w:rsid w:val="00113E2F"/>
    <w:rsid w:val="0014459E"/>
    <w:rsid w:val="001548C1"/>
    <w:rsid w:val="001611BC"/>
    <w:rsid w:val="00167356"/>
    <w:rsid w:val="001762DD"/>
    <w:rsid w:val="00185980"/>
    <w:rsid w:val="001A1BB3"/>
    <w:rsid w:val="001A27B2"/>
    <w:rsid w:val="001A413C"/>
    <w:rsid w:val="001A57BF"/>
    <w:rsid w:val="001B38D4"/>
    <w:rsid w:val="001D057B"/>
    <w:rsid w:val="001E2AEB"/>
    <w:rsid w:val="00204327"/>
    <w:rsid w:val="00206E5B"/>
    <w:rsid w:val="0021760A"/>
    <w:rsid w:val="0022638C"/>
    <w:rsid w:val="002266AA"/>
    <w:rsid w:val="002316BB"/>
    <w:rsid w:val="00234F8D"/>
    <w:rsid w:val="00253CA3"/>
    <w:rsid w:val="00256E65"/>
    <w:rsid w:val="00277A36"/>
    <w:rsid w:val="00281E5B"/>
    <w:rsid w:val="0029420B"/>
    <w:rsid w:val="00295161"/>
    <w:rsid w:val="00297A33"/>
    <w:rsid w:val="002B76DC"/>
    <w:rsid w:val="002C338C"/>
    <w:rsid w:val="002C73CC"/>
    <w:rsid w:val="002D650D"/>
    <w:rsid w:val="002E57DB"/>
    <w:rsid w:val="002E5B86"/>
    <w:rsid w:val="002F1BFE"/>
    <w:rsid w:val="00316C89"/>
    <w:rsid w:val="00321EA6"/>
    <w:rsid w:val="00326141"/>
    <w:rsid w:val="0032634E"/>
    <w:rsid w:val="00330A75"/>
    <w:rsid w:val="003337EA"/>
    <w:rsid w:val="00337833"/>
    <w:rsid w:val="00354A5A"/>
    <w:rsid w:val="0036093E"/>
    <w:rsid w:val="00370C61"/>
    <w:rsid w:val="003746CD"/>
    <w:rsid w:val="003A3C9C"/>
    <w:rsid w:val="003B6ABF"/>
    <w:rsid w:val="003D1D40"/>
    <w:rsid w:val="003D60EE"/>
    <w:rsid w:val="003E6954"/>
    <w:rsid w:val="003E7640"/>
    <w:rsid w:val="003F4EFE"/>
    <w:rsid w:val="003F6C3A"/>
    <w:rsid w:val="00401235"/>
    <w:rsid w:val="00401D30"/>
    <w:rsid w:val="004050FF"/>
    <w:rsid w:val="004102B9"/>
    <w:rsid w:val="00425371"/>
    <w:rsid w:val="00431D81"/>
    <w:rsid w:val="004345D3"/>
    <w:rsid w:val="0044546E"/>
    <w:rsid w:val="00454A4A"/>
    <w:rsid w:val="00467D09"/>
    <w:rsid w:val="0047260B"/>
    <w:rsid w:val="00476157"/>
    <w:rsid w:val="0048108F"/>
    <w:rsid w:val="004A4BBA"/>
    <w:rsid w:val="004A5977"/>
    <w:rsid w:val="004B0B17"/>
    <w:rsid w:val="004B4287"/>
    <w:rsid w:val="004C3F57"/>
    <w:rsid w:val="004C46B1"/>
    <w:rsid w:val="004E0F98"/>
    <w:rsid w:val="004E21A1"/>
    <w:rsid w:val="004E28B5"/>
    <w:rsid w:val="004E5DF9"/>
    <w:rsid w:val="004F0E02"/>
    <w:rsid w:val="005007AA"/>
    <w:rsid w:val="00501D2A"/>
    <w:rsid w:val="005022B4"/>
    <w:rsid w:val="005028E5"/>
    <w:rsid w:val="00502EEE"/>
    <w:rsid w:val="00507EFC"/>
    <w:rsid w:val="00511E44"/>
    <w:rsid w:val="005327C9"/>
    <w:rsid w:val="0053661C"/>
    <w:rsid w:val="00545B32"/>
    <w:rsid w:val="0054757B"/>
    <w:rsid w:val="005660F6"/>
    <w:rsid w:val="0058319A"/>
    <w:rsid w:val="005B2A74"/>
    <w:rsid w:val="005C61D3"/>
    <w:rsid w:val="005D13A9"/>
    <w:rsid w:val="005E0240"/>
    <w:rsid w:val="005E14E8"/>
    <w:rsid w:val="005E42AE"/>
    <w:rsid w:val="005F354D"/>
    <w:rsid w:val="00604EDE"/>
    <w:rsid w:val="00607F24"/>
    <w:rsid w:val="006204BC"/>
    <w:rsid w:val="00624CDC"/>
    <w:rsid w:val="00632077"/>
    <w:rsid w:val="00636DCE"/>
    <w:rsid w:val="006429BB"/>
    <w:rsid w:val="00644DA1"/>
    <w:rsid w:val="00664BD0"/>
    <w:rsid w:val="00681548"/>
    <w:rsid w:val="00692393"/>
    <w:rsid w:val="006A7FF4"/>
    <w:rsid w:val="006C42C8"/>
    <w:rsid w:val="006C619C"/>
    <w:rsid w:val="006E142A"/>
    <w:rsid w:val="006E487A"/>
    <w:rsid w:val="006E6288"/>
    <w:rsid w:val="00721294"/>
    <w:rsid w:val="00727D47"/>
    <w:rsid w:val="00734D00"/>
    <w:rsid w:val="00737376"/>
    <w:rsid w:val="00740B6F"/>
    <w:rsid w:val="0075794E"/>
    <w:rsid w:val="007628E6"/>
    <w:rsid w:val="0076686D"/>
    <w:rsid w:val="007674BF"/>
    <w:rsid w:val="00770948"/>
    <w:rsid w:val="0077402B"/>
    <w:rsid w:val="007812DF"/>
    <w:rsid w:val="00787A82"/>
    <w:rsid w:val="00794A62"/>
    <w:rsid w:val="00797928"/>
    <w:rsid w:val="007A108C"/>
    <w:rsid w:val="007A283C"/>
    <w:rsid w:val="007B4C9E"/>
    <w:rsid w:val="007D2775"/>
    <w:rsid w:val="007D6145"/>
    <w:rsid w:val="007E1AD0"/>
    <w:rsid w:val="007E5740"/>
    <w:rsid w:val="007E7CDF"/>
    <w:rsid w:val="00822B3D"/>
    <w:rsid w:val="00832857"/>
    <w:rsid w:val="00840934"/>
    <w:rsid w:val="00841933"/>
    <w:rsid w:val="008523BB"/>
    <w:rsid w:val="008624B5"/>
    <w:rsid w:val="00865AC6"/>
    <w:rsid w:val="008838CF"/>
    <w:rsid w:val="008859F4"/>
    <w:rsid w:val="008B5125"/>
    <w:rsid w:val="008B75E5"/>
    <w:rsid w:val="008C2A37"/>
    <w:rsid w:val="008D01B0"/>
    <w:rsid w:val="008D2C46"/>
    <w:rsid w:val="008F446B"/>
    <w:rsid w:val="009021A7"/>
    <w:rsid w:val="00933E2C"/>
    <w:rsid w:val="00956613"/>
    <w:rsid w:val="009566E3"/>
    <w:rsid w:val="0095741D"/>
    <w:rsid w:val="00964A28"/>
    <w:rsid w:val="00993A21"/>
    <w:rsid w:val="009A5CA5"/>
    <w:rsid w:val="009C6085"/>
    <w:rsid w:val="009D0DA8"/>
    <w:rsid w:val="009D5560"/>
    <w:rsid w:val="009D62CF"/>
    <w:rsid w:val="009E7E90"/>
    <w:rsid w:val="009F0B0F"/>
    <w:rsid w:val="009F1F42"/>
    <w:rsid w:val="009F70E6"/>
    <w:rsid w:val="00A04FD6"/>
    <w:rsid w:val="00A0751C"/>
    <w:rsid w:val="00A16086"/>
    <w:rsid w:val="00A332D4"/>
    <w:rsid w:val="00A36565"/>
    <w:rsid w:val="00A65307"/>
    <w:rsid w:val="00A6605F"/>
    <w:rsid w:val="00A70B08"/>
    <w:rsid w:val="00A86E9F"/>
    <w:rsid w:val="00AA684A"/>
    <w:rsid w:val="00AC11F9"/>
    <w:rsid w:val="00AC7F68"/>
    <w:rsid w:val="00AE5FFC"/>
    <w:rsid w:val="00AE7596"/>
    <w:rsid w:val="00AF0644"/>
    <w:rsid w:val="00AF5A91"/>
    <w:rsid w:val="00B00AFB"/>
    <w:rsid w:val="00B21347"/>
    <w:rsid w:val="00B33B5F"/>
    <w:rsid w:val="00B4734C"/>
    <w:rsid w:val="00B525D1"/>
    <w:rsid w:val="00B5405E"/>
    <w:rsid w:val="00B77CAC"/>
    <w:rsid w:val="00B80275"/>
    <w:rsid w:val="00B84F5A"/>
    <w:rsid w:val="00BA570C"/>
    <w:rsid w:val="00BB5981"/>
    <w:rsid w:val="00BD20C6"/>
    <w:rsid w:val="00BD2405"/>
    <w:rsid w:val="00BD2C61"/>
    <w:rsid w:val="00BD5735"/>
    <w:rsid w:val="00BE0791"/>
    <w:rsid w:val="00BE424C"/>
    <w:rsid w:val="00BF4597"/>
    <w:rsid w:val="00BF54CA"/>
    <w:rsid w:val="00BF745B"/>
    <w:rsid w:val="00C02A07"/>
    <w:rsid w:val="00C036E8"/>
    <w:rsid w:val="00C069CD"/>
    <w:rsid w:val="00C43255"/>
    <w:rsid w:val="00C45F1E"/>
    <w:rsid w:val="00C57945"/>
    <w:rsid w:val="00C8316E"/>
    <w:rsid w:val="00C83788"/>
    <w:rsid w:val="00C90EAB"/>
    <w:rsid w:val="00C90F92"/>
    <w:rsid w:val="00C9601A"/>
    <w:rsid w:val="00CA6896"/>
    <w:rsid w:val="00CA6E6E"/>
    <w:rsid w:val="00CD3203"/>
    <w:rsid w:val="00CD47CB"/>
    <w:rsid w:val="00CE7302"/>
    <w:rsid w:val="00CF0723"/>
    <w:rsid w:val="00D06B38"/>
    <w:rsid w:val="00D07230"/>
    <w:rsid w:val="00D14CE0"/>
    <w:rsid w:val="00D16352"/>
    <w:rsid w:val="00D223A8"/>
    <w:rsid w:val="00D2684C"/>
    <w:rsid w:val="00D32E9B"/>
    <w:rsid w:val="00D474EE"/>
    <w:rsid w:val="00D501D8"/>
    <w:rsid w:val="00D80381"/>
    <w:rsid w:val="00D92691"/>
    <w:rsid w:val="00D94F8A"/>
    <w:rsid w:val="00DA2639"/>
    <w:rsid w:val="00DA2F02"/>
    <w:rsid w:val="00DB04E8"/>
    <w:rsid w:val="00DB3F1A"/>
    <w:rsid w:val="00DB6007"/>
    <w:rsid w:val="00DC426C"/>
    <w:rsid w:val="00DC54F3"/>
    <w:rsid w:val="00DC5535"/>
    <w:rsid w:val="00DD4C63"/>
    <w:rsid w:val="00DE02F0"/>
    <w:rsid w:val="00DF3FBD"/>
    <w:rsid w:val="00E034CE"/>
    <w:rsid w:val="00E11356"/>
    <w:rsid w:val="00E22508"/>
    <w:rsid w:val="00E30E54"/>
    <w:rsid w:val="00E35766"/>
    <w:rsid w:val="00E40745"/>
    <w:rsid w:val="00E465F8"/>
    <w:rsid w:val="00E4708F"/>
    <w:rsid w:val="00E52F1E"/>
    <w:rsid w:val="00E67679"/>
    <w:rsid w:val="00E70428"/>
    <w:rsid w:val="00E85334"/>
    <w:rsid w:val="00E943BD"/>
    <w:rsid w:val="00E94AAD"/>
    <w:rsid w:val="00EA77BB"/>
    <w:rsid w:val="00EB33F9"/>
    <w:rsid w:val="00ED5DE4"/>
    <w:rsid w:val="00EE3F14"/>
    <w:rsid w:val="00EE5C3B"/>
    <w:rsid w:val="00EF0CEC"/>
    <w:rsid w:val="00EF7C2A"/>
    <w:rsid w:val="00F00695"/>
    <w:rsid w:val="00F179E4"/>
    <w:rsid w:val="00F25D88"/>
    <w:rsid w:val="00F34FEE"/>
    <w:rsid w:val="00F45639"/>
    <w:rsid w:val="00F46BA1"/>
    <w:rsid w:val="00F528DD"/>
    <w:rsid w:val="00F57906"/>
    <w:rsid w:val="00F658F9"/>
    <w:rsid w:val="00F7099C"/>
    <w:rsid w:val="00F90D3B"/>
    <w:rsid w:val="00FA22F0"/>
    <w:rsid w:val="00FB2C15"/>
    <w:rsid w:val="00FE6213"/>
    <w:rsid w:val="00FF00B3"/>
    <w:rsid w:val="00FF69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D875219"/>
  <w15:chartTrackingRefBased/>
  <w15:docId w15:val="{8B7CD4BD-FB73-41F9-801D-D2D60CFF8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9F"/>
    <w:pPr>
      <w:spacing w:line="280" w:lineRule="atLeast"/>
      <w:jc w:val="both"/>
    </w:pPr>
    <w:rPr>
      <w:rFonts w:ascii="Palatino Linotype" w:hAnsi="Palatino Linotype"/>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86E9F"/>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A86E9F"/>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EB33F9"/>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EB33F9"/>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A86E9F"/>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A86E9F"/>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5E42A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86E9F"/>
    <w:rPr>
      <w:color w:val="0000FF"/>
      <w:u w:val="single"/>
    </w:rPr>
  </w:style>
  <w:style w:type="character" w:styleId="UnresolvedMention">
    <w:name w:val="Unresolved Mention"/>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A86E9F"/>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A86E9F"/>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A86E9F"/>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4102B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A86E9F"/>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1762D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semiHidden/>
    <w:unhideWhenUsed/>
    <w:rsid w:val="00A86E9F"/>
    <w:pPr>
      <w:spacing w:line="240" w:lineRule="auto"/>
    </w:pPr>
  </w:style>
  <w:style w:type="character" w:customStyle="1" w:styleId="FootnoteTextChar">
    <w:name w:val="Footnote Text Char"/>
    <w:link w:val="FootnoteText"/>
    <w:semiHidden/>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qFormat/>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qFormat/>
    <w:rsid w:val="00D14CE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Strong">
    <w:name w:val="Strong"/>
    <w:basedOn w:val="DefaultParagraphFont"/>
    <w:uiPriority w:val="22"/>
    <w:qFormat/>
    <w:rsid w:val="00C069CD"/>
    <w:rPr>
      <w:b/>
      <w:bCs/>
    </w:rPr>
  </w:style>
  <w:style w:type="table" w:styleId="GridTable1Light">
    <w:name w:val="Grid Table 1 Light"/>
    <w:basedOn w:val="TableNormal"/>
    <w:uiPriority w:val="46"/>
    <w:rsid w:val="000901D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wnloads\sustainability-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02B07-FB06-46E5-B820-A629EB3B5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sustainability-template</Template>
  <TotalTime>617</TotalTime>
  <Pages>29</Pages>
  <Words>9571</Words>
  <Characters>58293</Characters>
  <Application>Microsoft Office Word</Application>
  <DocSecurity>0</DocSecurity>
  <Lines>1387</Lines>
  <Paragraphs>628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67236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HP</dc:creator>
  <cp:keywords/>
  <dc:description/>
  <cp:lastModifiedBy>Basit Amuda</cp:lastModifiedBy>
  <cp:revision>28</cp:revision>
  <cp:lastPrinted>2025-10-03T03:08:00Z</cp:lastPrinted>
  <dcterms:created xsi:type="dcterms:W3CDTF">2025-10-02T00:20:00Z</dcterms:created>
  <dcterms:modified xsi:type="dcterms:W3CDTF">2025-10-25T20:31:00Z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51cee8ffc7805cfc103bcaa12fcf6366a37463e6398c02bb41b74ddc551b5faa</vt:lpwstr>
  </property>
</Properties>
</file>