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Gill Sans MT" w:cs="Arial"/>
          <w:b/>
          <w:bCs/>
          <w:color w:val="231F20"/>
          <w:kern w:val="2"/>
          <w:sz w:val="36"/>
          <w:szCs w:val="36"/>
        </w:rPr>
      </w:pPr>
      <w:bookmarkStart w:id="0" w:name="_GoBack"/>
      <w:bookmarkEnd w:id="0"/>
      <w:r>
        <w:rPr>
          <w:rFonts w:eastAsia="Gill Sans MT" w:cs="Arial" w:ascii="Arial" w:hAnsi="Arial"/>
          <w:b/>
          <w:bCs/>
          <w:color w:val="231F20"/>
          <w:kern w:val="2"/>
          <w:sz w:val="36"/>
          <w:szCs w:val="36"/>
        </w:rPr>
        <w:t>Method Article</w:t>
      </w:r>
    </w:p>
    <w:p>
      <w:pPr>
        <w:pStyle w:val="Normal"/>
        <w:jc w:val="both"/>
        <w:rPr>
          <w:rFonts w:ascii="Arial" w:hAnsi="Arial" w:eastAsia="Gill Sans MT" w:cs="Arial"/>
          <w:b/>
          <w:bCs/>
          <w:color w:val="231F20"/>
          <w:kern w:val="2"/>
          <w:sz w:val="36"/>
          <w:szCs w:val="36"/>
        </w:rPr>
      </w:pPr>
      <w:r>
        <w:rPr>
          <w:rFonts w:eastAsia="Gill Sans MT" w:cs="Arial" w:ascii="Arial" w:hAnsi="Arial"/>
          <w:b/>
          <w:bCs/>
          <w:color w:val="231F20"/>
          <w:kern w:val="2"/>
          <w:sz w:val="36"/>
          <w:szCs w:val="36"/>
        </w:rPr>
      </w:r>
    </w:p>
    <w:p>
      <w:pPr>
        <w:pStyle w:val="Normal"/>
        <w:rPr>
          <w:sz w:val="20"/>
          <w:szCs w:val="20"/>
          <w:highlight w:val="none"/>
          <w:shd w:fill="BBE33D" w:val="clear"/>
          <w:lang w:val="en-GB"/>
        </w:rPr>
      </w:pPr>
      <w:r>
        <w:rPr>
          <w:rFonts w:eastAsia="Gill Sans MT" w:cs="Arial" w:ascii="Arial" w:hAnsi="Arial"/>
          <w:b/>
          <w:bCs/>
          <w:color w:val="231F20"/>
          <w:kern w:val="2"/>
          <w:sz w:val="36"/>
          <w:szCs w:val="36"/>
          <w:shd w:fill="BBE33D" w:val="clear"/>
          <w:lang w:val="en-GB"/>
        </w:rPr>
        <w:t>Design of a pedagogical strategy for large undergraduate theoretical classes: Empathy as a resource for teaching and the incorporation of AI as a didactic tool</w:t>
      </w:r>
    </w:p>
    <w:p>
      <w:pPr>
        <w:pStyle w:val="Normal"/>
        <w:rPr>
          <w:lang w:val="es-MX"/>
        </w:rPr>
      </w:pPr>
      <w:r>
        <w:rPr>
          <w:lang w:val="es-MX"/>
        </w:rPr>
      </w:r>
    </w:p>
    <w:p>
      <w:pPr>
        <w:pStyle w:val="Normal"/>
        <w:rPr>
          <w:lang w:val="es-MX"/>
        </w:rPr>
      </w:pPr>
      <w:r>
        <w:rPr>
          <w:lang w:val="es-MX"/>
        </w:rPr>
      </w:r>
    </w:p>
    <w:p>
      <w:pPr>
        <w:pStyle w:val="Normal"/>
        <w:rPr>
          <w:lang w:val="es-MX"/>
        </w:rPr>
      </w:pPr>
      <w:r>
        <w:rPr>
          <w:lang w:val="es-MX"/>
        </w:rPr>
        <w:t xml:space="preserve">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016" w:right="2016" w:gutter="0" w:header="0" w:top="1440" w:footer="1296" w:bottom="2016"/>
          <w:pgNumType w:fmt="decimal"/>
          <w:formProt w:val="false"/>
          <w:textDirection w:val="lrTb"/>
          <w:docGrid w:type="default" w:linePitch="272" w:charSpace="16384"/>
        </w:sectPr>
      </w:pPr>
    </w:p>
    <w:p>
      <w:pPr>
        <w:pStyle w:val="AbstHead"/>
        <w:spacing w:before="0" w:after="0"/>
        <w:jc w:val="both"/>
        <w:rPr>
          <w:rFonts w:ascii="Arial" w:hAnsi="Arial" w:cs="Arial"/>
        </w:rPr>
      </w:pPr>
      <w:r>
        <w:rPr>
          <w:rFonts w:cs="Arial" w:ascii="Arial" w:hAnsi="Arial"/>
        </w:rPr>
        <w:t>ABSTRACT</w:t>
      </w:r>
    </w:p>
    <w:p>
      <w:pPr>
        <w:pStyle w:val="AbstHead"/>
        <w:spacing w:before="0" w:after="0"/>
        <w:jc w:val="both"/>
        <w:rPr>
          <w:rFonts w:ascii="Arial" w:hAnsi="Arial" w:cs="Arial"/>
        </w:rPr>
      </w:pPr>
      <w:r>
        <w:rPr>
          <w:rFonts w:cs="Arial" w:ascii="Arial" w:hAnsi="Arial"/>
        </w:rPr>
      </w:r>
    </w:p>
    <w:tbl>
      <w:tblPr>
        <w:tblW w:w="82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280"/>
      </w:tblGrid>
      <w:tr>
        <w:trPr/>
        <w:tc>
          <w:tcPr>
            <w:tcW w:w="828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Body"/>
              <w:spacing w:before="0" w:after="0"/>
              <w:rPr>
                <w:rFonts w:ascii="Arial" w:hAnsi="Arial" w:eastAsia="Calibri" w:cs="Arial"/>
                <w:b/>
                <w:szCs w:val="22"/>
              </w:rPr>
            </w:pPr>
            <w:r>
              <w:rPr>
                <w:rFonts w:eastAsia="Calibri" w:cs="Arial" w:ascii="Arial" w:hAnsi="Arial"/>
                <w:b/>
                <w:szCs w:val="22"/>
              </w:rPr>
            </w:r>
          </w:p>
          <w:p>
            <w:pPr>
              <w:pStyle w:val="Normal"/>
              <w:spacing w:lineRule="exact" w:line="200"/>
              <w:ind w:right="38"/>
              <w:jc w:val="both"/>
              <w:rPr>
                <w:rFonts w:ascii="Palatino Linotype" w:hAnsi="Palatino Linotype" w:eastAsia="Palatino Linotype" w:cs="Palatino Linotype"/>
                <w:i/>
                <w:i/>
                <w:iCs/>
                <w:color w:val="231F20"/>
              </w:rPr>
            </w:pPr>
            <w:r>
              <w:rPr>
                <w:rFonts w:eastAsia="Calibri" w:cs="Arial" w:ascii="Arial" w:hAnsi="Arial"/>
                <w:b/>
                <w:szCs w:val="22"/>
              </w:rPr>
              <w:t>Aim:</w:t>
            </w:r>
            <w:r>
              <w:rPr>
                <w:rFonts w:eastAsia="Calibri" w:cs="Arial" w:ascii="Arial" w:hAnsi="Arial"/>
                <w:szCs w:val="22"/>
              </w:rPr>
              <w:t xml:space="preserve"> Present teaching design for large groups in theoretical undergraduate subjects, considering intangible resources and their management as part of the teaching strategy.</w:t>
            </w:r>
          </w:p>
          <w:p>
            <w:pPr>
              <w:pStyle w:val="Body"/>
              <w:spacing w:before="0" w:after="0"/>
              <w:rPr>
                <w:rFonts w:ascii="Arial" w:hAnsi="Arial" w:eastAsia="Calibri" w:cs="Arial"/>
                <w:szCs w:val="22"/>
              </w:rPr>
            </w:pPr>
            <w:r>
              <w:rPr>
                <w:rFonts w:eastAsia="Calibri" w:cs="Arial" w:ascii="Arial" w:hAnsi="Arial"/>
                <w:b/>
                <w:szCs w:val="22"/>
              </w:rPr>
              <w:t>Study design:</w:t>
            </w:r>
            <w:r>
              <w:rPr>
                <w:rFonts w:eastAsia="Calibri" w:cs="Arial" w:ascii="Arial" w:hAnsi="Arial"/>
                <w:szCs w:val="22"/>
              </w:rPr>
              <w:t xml:space="preserve">  The design is didactic.</w:t>
            </w:r>
          </w:p>
          <w:p>
            <w:pPr>
              <w:pStyle w:val="Body"/>
              <w:spacing w:before="0" w:after="0"/>
              <w:rPr>
                <w:rFonts w:ascii="Arial" w:hAnsi="Arial" w:eastAsia="Calibri" w:cs="Arial"/>
                <w:szCs w:val="22"/>
              </w:rPr>
            </w:pPr>
            <w:r>
              <w:rPr>
                <w:rFonts w:eastAsia="Calibri" w:cs="Arial" w:ascii="Arial" w:hAnsi="Arial"/>
                <w:b/>
                <w:szCs w:val="22"/>
              </w:rPr>
              <w:t>Place and Duration of Study:</w:t>
            </w:r>
            <w:r>
              <w:rPr>
                <w:rFonts w:eastAsia="Calibri" w:cs="Arial" w:ascii="Arial" w:hAnsi="Arial"/>
                <w:szCs w:val="22"/>
              </w:rPr>
              <w:t xml:space="preserve"> The design was done in FES Zaragoza, UNAM, in a group of chemistry II college subject (descriptive chemistry) of the Career of Biology Pharmaceutical Chemist with 60 students enrolled, of which 57 attended regularly.</w:t>
            </w:r>
          </w:p>
          <w:p>
            <w:pPr>
              <w:pStyle w:val="Body"/>
              <w:spacing w:before="0" w:after="0"/>
              <w:rPr>
                <w:rFonts w:ascii="Arial" w:hAnsi="Arial" w:eastAsia="Calibri" w:cs="Arial"/>
                <w:szCs w:val="22"/>
              </w:rPr>
            </w:pPr>
            <w:r>
              <w:rPr>
                <w:rFonts w:eastAsia="Calibri" w:cs="Arial" w:ascii="Arial" w:hAnsi="Arial"/>
                <w:b/>
                <w:bCs/>
                <w:szCs w:val="22"/>
              </w:rPr>
              <w:t>Methodology:</w:t>
            </w:r>
            <w:r>
              <w:rPr>
                <w:rFonts w:eastAsia="Calibri" w:cs="Arial" w:ascii="Arial" w:hAnsi="Arial"/>
                <w:szCs w:val="22"/>
              </w:rPr>
              <w:t xml:space="preserve"> This strategy was designed taking into account </w:t>
            </w:r>
            <w:r>
              <w:rPr>
                <w:rFonts w:eastAsia="Calibri" w:cs="Arial" w:ascii="Arial" w:hAnsi="Arial"/>
                <w:szCs w:val="22"/>
                <w:shd w:fill="BBE33D" w:val="clear"/>
              </w:rPr>
              <w:t>the students' personal situation,</w:t>
            </w:r>
            <w:r>
              <w:rPr>
                <w:rFonts w:eastAsia="Calibri" w:cs="Arial" w:ascii="Arial" w:hAnsi="Arial"/>
                <w:szCs w:val="22"/>
              </w:rPr>
              <w:t xml:space="preserve"> their interpersonal relationships and empathy among themselves, considering these as intangible resources and managing them to benefit student learning. The strategy was designed by the teacher responsible for the subject and discussed with two teachers from the pharmaceutical area and one professional from administration area to enhance it. The strategy was proposed to the students in an agreement, which was accepted by the students in an assembly and signed by the representatives of the students of the subject group before its implementation in the group.</w:t>
            </w:r>
          </w:p>
          <w:p>
            <w:pPr>
              <w:pStyle w:val="Normal"/>
              <w:spacing w:lineRule="exact" w:line="200"/>
              <w:ind w:right="38"/>
              <w:jc w:val="both"/>
              <w:rPr>
                <w:rFonts w:ascii="Palatino Linotype" w:hAnsi="Palatino Linotype" w:eastAsia="Palatino Linotype" w:cs="Palatino Linotype"/>
              </w:rPr>
            </w:pPr>
            <w:r>
              <w:rPr>
                <w:rFonts w:eastAsia="Calibri" w:cs="Arial" w:ascii="Arial" w:hAnsi="Arial"/>
                <w:b/>
                <w:bCs/>
                <w:szCs w:val="22"/>
              </w:rPr>
              <w:t xml:space="preserve">Results: </w:t>
            </w:r>
            <w:r>
              <w:rPr>
                <w:rFonts w:eastAsia="Calibri" w:cs="Arial" w:ascii="Arial" w:hAnsi="Arial"/>
                <w:szCs w:val="22"/>
              </w:rPr>
              <w:t>Students positively perceive that their friendships are considered when forming academic work teams, both internally and externally, with the aim of generating support among peers. They have the empathetic support of a peer to whom they feel closer, the support of an academic team to which they belong, and the support of other academic teams with whom they interact in academic work within the same group.</w:t>
            </w:r>
            <w:r>
              <w:rPr>
                <w:rFonts w:eastAsia="Palatino Linotype" w:cs="Palatino Linotype" w:ascii="Palatino Linotype" w:hAnsi="Palatino Linotype"/>
                <w:szCs w:val="22"/>
              </w:rPr>
              <w:t xml:space="preserve"> </w:t>
            </w:r>
            <w:r>
              <w:rPr>
                <w:rFonts w:eastAsia="Palatino Linotype" w:cs="Palatino Linotype" w:ascii="Palatino Linotype" w:hAnsi="Palatino Linotype"/>
                <w:szCs w:val="22"/>
                <w:shd w:fill="BBE33D" w:val="clear"/>
              </w:rPr>
              <w:t>With this strategy, students feel more confident participating, and consequently, class discussions on the topics increase. Even those who arrive late or are absent due to work try to catch up with their chosen partner or team, reducing the negative impact of work-related absenteeism.</w:t>
            </w:r>
          </w:p>
          <w:p>
            <w:pPr>
              <w:pStyle w:val="Body"/>
              <w:spacing w:before="0" w:after="0"/>
              <w:rPr>
                <w:rFonts w:ascii="Arial" w:hAnsi="Arial" w:eastAsia="Calibri" w:cs="Arial"/>
              </w:rPr>
            </w:pPr>
            <w:r>
              <w:rPr>
                <w:rFonts w:eastAsia="Calibri" w:cs="Arial" w:ascii="Arial" w:hAnsi="Arial"/>
                <w:b/>
                <w:bCs/>
              </w:rPr>
              <w:t>Conclusion:</w:t>
            </w:r>
            <w:r>
              <w:rPr>
                <w:rFonts w:eastAsia="Calibri" w:cs="Arial" w:ascii="Arial" w:hAnsi="Arial"/>
              </w:rPr>
              <w:t xml:space="preserve"> The friendships and empathetic relationships into are two intangible resources that can improve the teaching process in large undergraduates’ group.</w:t>
            </w:r>
          </w:p>
          <w:p>
            <w:pPr>
              <w:pStyle w:val="Body"/>
              <w:spacing w:before="0" w:after="0"/>
              <w:rPr>
                <w:rFonts w:ascii="Arial" w:hAnsi="Arial" w:eastAsia="Calibri" w:cs="Arial"/>
                <w:szCs w:val="22"/>
              </w:rPr>
            </w:pPr>
            <w:r>
              <w:rPr>
                <w:rFonts w:eastAsia="Calibri" w:cs="Arial" w:ascii="Arial" w:hAnsi="Arial"/>
                <w:szCs w:val="22"/>
              </w:rPr>
            </w:r>
          </w:p>
        </w:tc>
      </w:tr>
    </w:tbl>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iCs/>
        </w:rPr>
      </w:pPr>
      <w:r>
        <w:rPr>
          <w:rFonts w:cs="Arial" w:ascii="Arial" w:hAnsi="Arial"/>
          <w:i/>
        </w:rPr>
        <w:t>Keywords: Strategy teaching, teaching-learning process,</w:t>
      </w:r>
      <w:r>
        <w:rPr>
          <w:rFonts w:eastAsia="Palatino Linotype" w:cs="Arial" w:ascii="Arial" w:hAnsi="Arial"/>
          <w:i/>
          <w:iCs/>
          <w:color w:val="231F20"/>
        </w:rPr>
        <w:t xml:space="preserve"> undergraduates, large groups, didactic skills, administration of academic resources, friendships and empathy as academic resources, urban tribes’ theory, use of generative artificial intelligence.</w:t>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Body"/>
        <w:spacing w:before="0" w:after="0"/>
        <w:rPr>
          <w:rFonts w:ascii="Arial" w:hAnsi="Arial" w:cs="Arial"/>
          <w:i/>
          <w:i/>
          <w:iCs/>
        </w:rPr>
      </w:pPr>
      <w:r>
        <w:rPr>
          <w:rFonts w:cs="Arial" w:ascii="Arial" w:hAnsi="Arial"/>
          <w:i/>
          <w:iCs/>
        </w:rPr>
      </w:r>
    </w:p>
    <w:p>
      <w:pPr>
        <w:pStyle w:val="AbstHead"/>
        <w:spacing w:before="0" w:after="0"/>
        <w:jc w:val="both"/>
        <w:rPr>
          <w:rFonts w:ascii="Arial" w:hAnsi="Arial" w:cs="Arial"/>
        </w:rPr>
      </w:pPr>
      <w:r>
        <w:rPr>
          <w:rFonts w:cs="Arial" w:ascii="Arial" w:hAnsi="Arial"/>
        </w:rPr>
        <w:t xml:space="preserve">1. INTRODUCTION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Mexico, the Universidad Nacional Autónoma de México (UNAM) is an educational institution at the bachelor's, undergraduate, and graduate levels that receives the most applications from students seeking admission each year.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For the period 2025-2026, more than 200,000 applications were received at the bachelor's level, of which only 48,560 were admitted (30,000 from its bachelor's education system and 18,560 who entered through a selection exam). However, it is not the only public bachelor's education institution in the country; the Instituto Politécnico Nacional (IPN) and the Universidad Autónoma Metropolitana (UAM) are the two public institutions with the highest number of student in this country, however, despite having multiple university campuses (Schools, Faculties or University Campuses), they are unable to cover the large number of admission applications they receive year after year, and although there are other public universities located in most of the country's federal entities (States), UNAM, IPN and UAM are the three most important public universities in Mexico in terms of degrees offered, number of university campuses and number of students admitted each year (by 2025, 27613 students were admitted to the IPN, and 4464 students were admitted to the UAM in its first selection process, corresponding to the spring 2025).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However, this problem of over-demand for educational services at the bachelor's and master's levels is a constant in most public or low-cost institutions from Mexico to South America and other regions of the world. This results in the formation of groups with a high number of enrolled students and an oversaturation of work for teachers, which impacts the quality of educational services by rendering inoperable the vast majority of teaching strategies that have been developed or evaluated in groups that in most cases do not exceed 25 enrolled students.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Although, in the knowledge society, as the contemporary society in which we live today has been defined, access to information has become extensive and instantaneous due to the incorporation of information and computer technologies, it is also true that the quality and veracity of the information circulating through these information channels is questionable, turning this into a channel of misinformation that affects the development of the class and which teachers must face daily and try to correct the information that students have collected and present in class.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Its effects are even worse when they do not present it to the rest of the class, because it cannot be discussed in class so they left with an invalid idea of ​​​​knowledge, but, to correct, teach and reinforce knowledge and the initiative in each of the students requires time, and it is precisely in this parameter where the quality of educational services for high school and university with large groups is most affected, since the average time per student, once the presentation and discussion of a topic has been given, can be reduced to less than a minute to answer questions, discuss comments or reflect on the basic principles that they support the topic reviewed.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above makes evident the need to seek innovation, whether by creating or modifying teaching strategies that allow a better coverage of the educational services provided by educational institutions, their quality, and the academic and professional training of their graduates.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For this purpose, it is also important to understand and consider the current conditions faced by students, who demand educational services or are "clients" of educational services, personal or work situations that complicate their pursuit of their studies, and that on many occasions, school becomes a place of recreation due to the emotional ties that are formed within them.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general education, from elementary to university, classes of up to 40 or more students are taught in a classroom. Sometimes, the number of students can exceed 100, making it necessary to use an auditorium to teach the class (Jiménez, 2003).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Since the last century, studies have pointed to the need to improve learning in large-group lectures through resources, strategies, methodologies, activities, and tricks to encourage active student participation, satisfaction, and attendance (Oriol &amp; Jordu, 2017; Sobrados. 2016).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Organization for Economic Cooperation and Development (OECD, 2025) notes that the number of students enrolled in a class affects the time and attention that the professor can dedicate to each student and the interaction between students (OECD, 2025; Jiménez, 2003). Meanwhile, UNESCO (2019) emphasizes the need for higher education institutions to adapt their teaching methods to the needs of their students, addressing this as a shift from a paradigm focused on teaching and the transmission of knowledge to one focused on learning and the development of transferable skills.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 universities, theoretical classes are mostly taught in large groups, sometimes with one-way lectures lasting up to 3 hours (Oriol &amp; Jordi, 2017). This teaching style is known as lectures, and is still widely used today, especially in public universities. Two common problems in large groups are, on the one hand, poor and superficial learning, and on the other, low or nonexistent participation, which makes their role in the learning process inactive (Oriol &amp; Jordi, 2017).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teaching-learning strategy is a tool used by teachers to implement and develop competencies in students. These must be employed taking into account the skills to be developed, the operating conditions, the environment, and the resources available to adapt them to the needs of the learner (Pimienta, 2012; Alcoba, 2013). Using the appropriate strategy according to the content to be taught and the characteristics of the students is a sign of quality (Isolina </w:t>
      </w:r>
      <w:r>
        <w:rPr>
          <w:rFonts w:cs="Arial" w:ascii="Arial" w:hAnsi="Arial"/>
          <w:i/>
          <w:iCs/>
        </w:rPr>
        <w:t>et al</w:t>
      </w:r>
      <w:r>
        <w:rPr>
          <w:rFonts w:cs="Arial" w:ascii="Arial" w:hAnsi="Arial"/>
        </w:rPr>
        <w:t>., 2008).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Active (participatory) methods as a teaching-learning strategy are recognized as a valuable didactic resource for achieving results that are not accessible with so-called traditional methods, characterized by one-way communication from teacher to students (Isolina </w:t>
      </w:r>
      <w:r>
        <w:rPr>
          <w:rFonts w:cs="Arial" w:ascii="Arial" w:hAnsi="Arial"/>
          <w:i/>
          <w:iCs/>
        </w:rPr>
        <w:t>et al</w:t>
      </w:r>
      <w:r>
        <w:rPr>
          <w:rFonts w:cs="Arial" w:ascii="Arial" w:hAnsi="Arial"/>
        </w:rPr>
        <w:t>., 2008).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Cooperative learning is a strategy in which groups work in small groups. It is based on cognitive theories that consider students as social subjects, developing in a sociocultural context that is very important for their learning process. In this strategy, the teacher is a facilitator for student learning so that they reach their next potential (Jiménez, 2003; Alcoba, 2013).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Cooperative learning is not a synonymous with students working in groups; it is often confused with practices such as asking more advanced students to help the rest, or having students divide up a project and each share or present that part to their classmates (Jiménez, 2003). According to Felder (1994), cited in Jiménez (2003), a cooperative learning exercise is considered as such only if it meets the following elements in table 1.</w:t>
      </w:r>
    </w:p>
    <w:p>
      <w:pPr>
        <w:pStyle w:val="Normal"/>
        <w:jc w:val="both"/>
        <w:rPr>
          <w:rFonts w:ascii="Arial" w:hAnsi="Arial" w:cs="Arial"/>
        </w:rPr>
      </w:pPr>
      <w:r>
        <w:rPr/>
      </w:r>
    </w:p>
    <w:p>
      <w:pPr>
        <w:pStyle w:val="Normal"/>
        <w:jc w:val="both"/>
        <w:rPr>
          <w:rFonts w:ascii="Arial" w:hAnsi="Arial" w:cs="Arial"/>
        </w:rPr>
      </w:pPr>
      <w:r>
        <w:rPr/>
      </w:r>
    </w:p>
    <w:p>
      <w:pPr>
        <w:pStyle w:val="Normal"/>
        <w:jc w:val="both"/>
        <w:rPr>
          <w:rFonts w:ascii="Arial" w:hAnsi="Arial" w:cs="Arial"/>
        </w:rPr>
      </w:pPr>
      <w:r>
        <w:rPr/>
      </w:r>
    </w:p>
    <w:p>
      <w:pPr>
        <w:pStyle w:val="Normal"/>
        <w:rPr>
          <w:b/>
          <w:bCs/>
        </w:rPr>
      </w:pPr>
      <w:r>
        <w:rPr>
          <w:b/>
          <w:bCs/>
        </w:rPr>
        <w:t>Table 1. Elements of cooperative work according to Felder (1994)*</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2788"/>
        <w:gridCol w:w="5419"/>
      </w:tblGrid>
      <w:tr>
        <w:trPr/>
        <w:tc>
          <w:tcPr>
            <w:tcW w:w="2788" w:type="dxa"/>
            <w:tcBorders>
              <w:top w:val="single" w:sz="4" w:space="0" w:color="000000"/>
              <w:left w:val="single" w:sz="4" w:space="0" w:color="000000"/>
              <w:bottom w:val="single" w:sz="4" w:space="0" w:color="000000"/>
            </w:tcBorders>
          </w:tcPr>
          <w:p>
            <w:pPr>
              <w:pStyle w:val="TableContents"/>
              <w:jc w:val="center"/>
              <w:rPr>
                <w:b/>
                <w:bCs/>
                <w:sz w:val="18"/>
                <w:szCs w:val="18"/>
              </w:rPr>
            </w:pPr>
            <w:r>
              <w:rPr>
                <w:b/>
                <w:bCs/>
                <w:sz w:val="18"/>
                <w:szCs w:val="18"/>
              </w:rPr>
              <w:t>Element</w:t>
            </w:r>
          </w:p>
        </w:tc>
        <w:tc>
          <w:tcPr>
            <w:tcW w:w="5419" w:type="dxa"/>
            <w:tcBorders>
              <w:top w:val="single" w:sz="4" w:space="0" w:color="000000"/>
              <w:left w:val="single" w:sz="4" w:space="0" w:color="000000"/>
              <w:bottom w:val="single" w:sz="4" w:space="0" w:color="000000"/>
              <w:right w:val="single" w:sz="4" w:space="0" w:color="000000"/>
            </w:tcBorders>
          </w:tcPr>
          <w:p>
            <w:pPr>
              <w:pStyle w:val="TableContents"/>
              <w:jc w:val="center"/>
              <w:rPr>
                <w:b/>
                <w:bCs/>
                <w:sz w:val="18"/>
                <w:szCs w:val="18"/>
              </w:rPr>
            </w:pPr>
            <w:r>
              <w:rPr>
                <w:b/>
                <w:bCs/>
                <w:sz w:val="18"/>
                <w:szCs w:val="18"/>
              </w:rPr>
              <w:t>Characteristics</w:t>
            </w:r>
          </w:p>
        </w:tc>
      </w:tr>
      <w:tr>
        <w:trPr/>
        <w:tc>
          <w:tcPr>
            <w:tcW w:w="2788" w:type="dxa"/>
            <w:tcBorders>
              <w:left w:val="single" w:sz="4" w:space="0" w:color="000000"/>
              <w:bottom w:val="single" w:sz="4" w:space="0" w:color="000000"/>
            </w:tcBorders>
          </w:tcPr>
          <w:p>
            <w:pPr>
              <w:pStyle w:val="Normal"/>
              <w:rPr>
                <w:sz w:val="18"/>
                <w:szCs w:val="18"/>
              </w:rPr>
            </w:pPr>
            <w:r>
              <w:rPr>
                <w:sz w:val="18"/>
                <w:szCs w:val="18"/>
                <w:lang w:val="es-MX"/>
              </w:rPr>
              <w:t>a) Positive interdependence</w:t>
            </w:r>
          </w:p>
        </w:tc>
        <w:tc>
          <w:tcPr>
            <w:tcW w:w="5419" w:type="dxa"/>
            <w:tcBorders>
              <w:left w:val="single" w:sz="4" w:space="0" w:color="000000"/>
              <w:bottom w:val="single" w:sz="4" w:space="0" w:color="000000"/>
              <w:right w:val="single" w:sz="4" w:space="0" w:color="000000"/>
            </w:tcBorders>
          </w:tcPr>
          <w:p>
            <w:pPr>
              <w:pStyle w:val="Normal"/>
              <w:jc w:val="both"/>
              <w:rPr>
                <w:sz w:val="18"/>
                <w:szCs w:val="18"/>
              </w:rPr>
            </w:pPr>
            <w:r>
              <w:rPr>
                <w:sz w:val="18"/>
                <w:szCs w:val="18"/>
              </w:rPr>
              <w:t>Each team member depends on the other to achieve their goals. If one student fails, the team fails as a whole. Students realize that what each one does has an effect on the work of the rest of the team members.</w:t>
            </w:r>
          </w:p>
        </w:tc>
      </w:tr>
      <w:tr>
        <w:trPr/>
        <w:tc>
          <w:tcPr>
            <w:tcW w:w="2788" w:type="dxa"/>
            <w:tcBorders>
              <w:left w:val="single" w:sz="4" w:space="0" w:color="000000"/>
              <w:bottom w:val="single" w:sz="4" w:space="0" w:color="000000"/>
            </w:tcBorders>
          </w:tcPr>
          <w:p>
            <w:pPr>
              <w:pStyle w:val="Normal"/>
              <w:rPr>
                <w:sz w:val="18"/>
                <w:szCs w:val="18"/>
              </w:rPr>
            </w:pPr>
            <w:r>
              <w:rPr>
                <w:sz w:val="18"/>
                <w:szCs w:val="18"/>
                <w:lang w:val="es-MX"/>
              </w:rPr>
              <w:t>b) Individual evaluation</w:t>
            </w:r>
          </w:p>
        </w:tc>
        <w:tc>
          <w:tcPr>
            <w:tcW w:w="5419" w:type="dxa"/>
            <w:tcBorders>
              <w:left w:val="single" w:sz="4" w:space="0" w:color="000000"/>
              <w:bottom w:val="single" w:sz="4" w:space="0" w:color="000000"/>
              <w:right w:val="single" w:sz="4" w:space="0" w:color="000000"/>
            </w:tcBorders>
          </w:tcPr>
          <w:p>
            <w:pPr>
              <w:pStyle w:val="TableContents"/>
              <w:jc w:val="both"/>
              <w:rPr>
                <w:sz w:val="18"/>
                <w:szCs w:val="18"/>
              </w:rPr>
            </w:pPr>
            <w:r>
              <w:rPr>
                <w:sz w:val="18"/>
                <w:szCs w:val="18"/>
              </w:rPr>
              <w:t>Each student receives an evaluation for their individual work.</w:t>
            </w:r>
          </w:p>
        </w:tc>
      </w:tr>
      <w:tr>
        <w:trPr/>
        <w:tc>
          <w:tcPr>
            <w:tcW w:w="2788" w:type="dxa"/>
            <w:tcBorders>
              <w:left w:val="single" w:sz="4" w:space="0" w:color="000000"/>
              <w:bottom w:val="single" w:sz="4" w:space="0" w:color="000000"/>
            </w:tcBorders>
          </w:tcPr>
          <w:p>
            <w:pPr>
              <w:pStyle w:val="Normal"/>
              <w:rPr>
                <w:sz w:val="18"/>
                <w:szCs w:val="18"/>
              </w:rPr>
            </w:pPr>
            <w:r>
              <w:rPr>
                <w:sz w:val="18"/>
                <w:szCs w:val="18"/>
              </w:rPr>
              <w:t>c) Face-to-face interactions</w:t>
            </w:r>
          </w:p>
        </w:tc>
        <w:tc>
          <w:tcPr>
            <w:tcW w:w="5419" w:type="dxa"/>
            <w:tcBorders>
              <w:left w:val="single" w:sz="4" w:space="0" w:color="000000"/>
              <w:bottom w:val="single" w:sz="4" w:space="0" w:color="000000"/>
              <w:right w:val="single" w:sz="4" w:space="0" w:color="000000"/>
            </w:tcBorders>
          </w:tcPr>
          <w:p>
            <w:pPr>
              <w:pStyle w:val="TableContents"/>
              <w:jc w:val="both"/>
              <w:rPr>
                <w:sz w:val="18"/>
                <w:szCs w:val="18"/>
              </w:rPr>
            </w:pPr>
            <w:r>
              <w:rPr>
                <w:sz w:val="18"/>
                <w:szCs w:val="18"/>
              </w:rPr>
              <w:t>Students help, encourage, and support each other's learning efforts, because they depend on each other. Team members provide mutual feedback, teach each other, and foster knowledge acquisition.</w:t>
            </w:r>
          </w:p>
        </w:tc>
      </w:tr>
      <w:tr>
        <w:trPr/>
        <w:tc>
          <w:tcPr>
            <w:tcW w:w="2788" w:type="dxa"/>
            <w:tcBorders>
              <w:left w:val="single" w:sz="4" w:space="0" w:color="000000"/>
              <w:bottom w:val="single" w:sz="4" w:space="0" w:color="000000"/>
            </w:tcBorders>
          </w:tcPr>
          <w:p>
            <w:pPr>
              <w:pStyle w:val="Normal"/>
              <w:rPr>
                <w:sz w:val="18"/>
                <w:szCs w:val="18"/>
              </w:rPr>
            </w:pPr>
            <w:r>
              <w:rPr>
                <w:sz w:val="18"/>
                <w:szCs w:val="18"/>
              </w:rPr>
              <w:t>d) Appropriate use of collaborative skills</w:t>
            </w:r>
          </w:p>
        </w:tc>
        <w:tc>
          <w:tcPr>
            <w:tcW w:w="5419" w:type="dxa"/>
            <w:tcBorders>
              <w:left w:val="single" w:sz="4" w:space="0" w:color="000000"/>
              <w:bottom w:val="single" w:sz="4" w:space="0" w:color="000000"/>
              <w:right w:val="single" w:sz="4" w:space="0" w:color="000000"/>
            </w:tcBorders>
          </w:tcPr>
          <w:p>
            <w:pPr>
              <w:pStyle w:val="TableContents"/>
              <w:jc w:val="both"/>
              <w:rPr>
                <w:sz w:val="18"/>
                <w:szCs w:val="18"/>
              </w:rPr>
            </w:pPr>
            <w:r>
              <w:rPr>
                <w:sz w:val="18"/>
                <w:szCs w:val="18"/>
              </w:rPr>
              <w:t>By working together, students learn, develop and use their social skills (leadership, decision-making, confidence, communication and conflict management), which are necessary in future life.</w:t>
            </w:r>
          </w:p>
        </w:tc>
      </w:tr>
      <w:tr>
        <w:trPr/>
        <w:tc>
          <w:tcPr>
            <w:tcW w:w="2788" w:type="dxa"/>
            <w:tcBorders>
              <w:left w:val="single" w:sz="4" w:space="0" w:color="000000"/>
              <w:bottom w:val="single" w:sz="4" w:space="0" w:color="000000"/>
            </w:tcBorders>
          </w:tcPr>
          <w:p>
            <w:pPr>
              <w:pStyle w:val="Normal"/>
              <w:rPr>
                <w:sz w:val="18"/>
                <w:szCs w:val="18"/>
              </w:rPr>
            </w:pPr>
            <w:r>
              <w:rPr>
                <w:sz w:val="18"/>
                <w:szCs w:val="18"/>
                <w:lang w:val="es-MX"/>
              </w:rPr>
              <w:t>e) Group processes</w:t>
            </w:r>
          </w:p>
        </w:tc>
        <w:tc>
          <w:tcPr>
            <w:tcW w:w="5419" w:type="dxa"/>
            <w:tcBorders>
              <w:left w:val="single" w:sz="4" w:space="0" w:color="000000"/>
              <w:bottom w:val="single" w:sz="4" w:space="0" w:color="000000"/>
              <w:right w:val="single" w:sz="4" w:space="0" w:color="000000"/>
            </w:tcBorders>
          </w:tcPr>
          <w:p>
            <w:pPr>
              <w:pStyle w:val="TableContents"/>
              <w:jc w:val="both"/>
              <w:rPr>
                <w:sz w:val="18"/>
                <w:szCs w:val="18"/>
              </w:rPr>
            </w:pPr>
            <w:r>
              <w:rPr>
                <w:sz w:val="18"/>
                <w:szCs w:val="18"/>
              </w:rPr>
              <w:t>To improve group processes, students evaluate their own work, as well as the dynamics and quality of their interpersonal relationships. It is important that work groups dedicate time to activities that promote team building and collaborative work.</w:t>
            </w:r>
          </w:p>
        </w:tc>
      </w:tr>
    </w:tbl>
    <w:p>
      <w:pPr>
        <w:pStyle w:val="Normal"/>
        <w:rPr>
          <w:sz w:val="18"/>
          <w:szCs w:val="18"/>
        </w:rPr>
      </w:pPr>
      <w:r>
        <w:rPr>
          <w:rFonts w:cs="Arial" w:ascii="Arial" w:hAnsi="Arial"/>
          <w:sz w:val="18"/>
          <w:szCs w:val="18"/>
        </w:rPr>
        <w:t>Felder (1994), cited in Jiménez (2003)*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On other hand, the “urban tribes” concept of </w:t>
      </w:r>
      <w:r>
        <w:rPr>
          <w:rFonts w:cs="Arial" w:ascii="Arial" w:hAnsi="Arial"/>
          <w:color w:val="232323"/>
        </w:rPr>
        <w:t xml:space="preserve">Michel Maffesoli (Matteu, 2013) can be </w:t>
      </w:r>
      <w:r>
        <w:rPr>
          <w:rFonts w:cs="Arial" w:ascii="Arial" w:hAnsi="Arial"/>
        </w:rPr>
        <w:t>helpful to understand students in the classroom, these are groups of young people who share common interests, tastes and aesthetics to build a collective identity, in the  particular case of a classroom the collective identity can be seen as the generation, or group, each generation or group, in general, wishes to stand out or distinguish themselves from the rest.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Pimienta (2012), points out the importance of making use of the resources available for teaching, in this sense we can talk about managing the resources available for teaching where the word administration although widely used in the business environment, has different uses among which is the management of affairs of an institution (Donaldson &amp; Fafaliou, 2007), and in an educational institution, in addition to human and economic capital, there is the management of educational services that the institution provides to students, and everything related to the teaching-learning process must be appreciated as a resource.</w:t>
      </w:r>
    </w:p>
    <w:p>
      <w:pPr>
        <w:pStyle w:val="Normal"/>
        <w:jc w:val="both"/>
        <w:rPr>
          <w:rFonts w:ascii="Arial" w:hAnsi="Arial" w:cs="Arial"/>
        </w:rPr>
      </w:pPr>
      <w:r>
        <w:rPr>
          <w:rFonts w:cs="Arial" w:ascii="Arial" w:hAnsi="Arial"/>
        </w:rPr>
      </w:r>
    </w:p>
    <w:p>
      <w:pPr>
        <w:pStyle w:val="Normal"/>
        <w:jc w:val="both"/>
        <w:rPr/>
      </w:pPr>
      <w:r>
        <w:rPr>
          <w:rFonts w:cs="Arial" w:ascii="Arial" w:hAnsi="Arial"/>
        </w:rPr>
        <w:t>When properly managed, it can positively impact the students' acquisition of knowledge, in this sense, emotional relationships, empathy between students and, the technological developments that are currently available to students and teachers must also be appreciated as resources and, consequently design strategies that allow them to be managed positively and for the benefit of students.</w:t>
      </w:r>
    </w:p>
    <w:p>
      <w:pPr>
        <w:pStyle w:val="Normal"/>
        <w:jc w:val="both"/>
        <w:rPr>
          <w:rFonts w:ascii="Arial" w:hAnsi="Arial" w:cs="Arial"/>
        </w:rPr>
      </w:pPr>
      <w:r>
        <w:rPr>
          <w:rFonts w:cs="Arial" w:ascii="Arial" w:hAnsi="Arial"/>
        </w:rPr>
      </w:r>
    </w:p>
    <w:p>
      <w:pPr>
        <w:pStyle w:val="Normal"/>
        <w:jc w:val="both"/>
        <w:rPr>
          <w:highlight w:val="none"/>
          <w:shd w:fill="BBE33D" w:val="clear"/>
        </w:rPr>
      </w:pPr>
      <w:r>
        <w:rPr>
          <w:rFonts w:cs="Arial" w:ascii="Arial" w:hAnsi="Arial"/>
          <w:shd w:fill="BBE33D" w:val="clear"/>
        </w:rPr>
        <w:t xml:space="preserve">Currently, the implementation of generative AI in the classroom has become a challenge that, if approached correctly, offers many advantages. In this sense, Day </w:t>
      </w:r>
      <w:r>
        <w:rPr>
          <w:rFonts w:cs="Arial" w:ascii="Arial" w:hAnsi="Arial"/>
          <w:i/>
          <w:iCs/>
          <w:shd w:fill="BBE33D" w:val="clear"/>
        </w:rPr>
        <w:t>et al</w:t>
      </w:r>
      <w:r>
        <w:rPr>
          <w:rFonts w:cs="Arial" w:ascii="Arial" w:hAnsi="Arial"/>
          <w:shd w:fill="BBE33D" w:val="clear"/>
        </w:rPr>
        <w:t>. (2025) recognize that the scope of the undergraduate curriculum could change as the capacity of generative AI to complete everyday tasks is recognized. Therefore, in accordance with the approach promoted by the European Higher Education Area (EHEA), known as the Bologna Process (European Education Area, 2022), regarding flexibility and the vision of achieving greater student autonomy, the incorporation of digital tools such as generative AI is relevant if we look towards the future and the large volume of information that exists today.</w:t>
      </w:r>
    </w:p>
    <w:p>
      <w:pPr>
        <w:pStyle w:val="Normal"/>
        <w:jc w:val="both"/>
        <w:rPr>
          <w:rFonts w:ascii="Arial" w:hAnsi="Arial" w:cs="Arial"/>
        </w:rPr>
      </w:pPr>
      <w:r>
        <w:rPr>
          <w:rFonts w:cs="Arial" w:ascii="Arial" w:hAnsi="Arial"/>
        </w:rPr>
      </w:r>
    </w:p>
    <w:p>
      <w:pPr>
        <w:pStyle w:val="Normal"/>
        <w:jc w:val="both"/>
        <w:rPr>
          <w:highlight w:val="none"/>
          <w:shd w:fill="BBE33D" w:val="clear"/>
        </w:rPr>
      </w:pPr>
      <w:r>
        <w:rPr>
          <w:rFonts w:cs="Arial" w:ascii="Arial" w:hAnsi="Arial"/>
          <w:shd w:fill="BBE33D" w:val="clear"/>
        </w:rPr>
        <w:t>This paper presents a teaching strategy applicable to large groups in university classrooms in which empathy among classmates is seen as a resource for learning, student autonomy is encouraged inside and outside the classroom, and within the classroom participation, collaboration and the use of AI tools are improved, resulting in an improved level of active and meaningful participation, as well as learning outcomes.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AbstHead"/>
        <w:spacing w:before="0" w:after="0"/>
        <w:jc w:val="both"/>
        <w:rPr>
          <w:rFonts w:ascii="Arial" w:hAnsi="Arial" w:cs="Arial"/>
        </w:rPr>
      </w:pPr>
      <w:r>
        <w:rPr>
          <w:rFonts w:cs="Arial" w:ascii="Arial" w:hAnsi="Arial"/>
        </w:rPr>
        <w:t>2. methodology</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b/>
          <w:bCs/>
          <w:color w:val="231F20"/>
        </w:rPr>
        <w:t>2.1. From the work strategy in the group</w:t>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The work strategy, as well as the justification for each stage that comprises it, is presented sequentially in table 2.</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Table 2. Steps of the teaching methodology in large groups through work in pairs, teams and groups, and the justification for each step.</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4103"/>
        <w:gridCol w:w="4104"/>
      </w:tblGrid>
      <w:tr>
        <w:trPr/>
        <w:tc>
          <w:tcPr>
            <w:tcW w:w="4103" w:type="dxa"/>
            <w:tcBorders>
              <w:top w:val="single" w:sz="4" w:space="0" w:color="000000"/>
              <w:left w:val="single" w:sz="4" w:space="0" w:color="000000"/>
              <w:bottom w:val="single" w:sz="4" w:space="0" w:color="000000"/>
            </w:tcBorders>
          </w:tcPr>
          <w:p>
            <w:pPr>
              <w:pStyle w:val="TableContents"/>
              <w:jc w:val="center"/>
              <w:rPr>
                <w:b/>
                <w:bCs/>
              </w:rPr>
            </w:pPr>
            <w:r>
              <w:rPr>
                <w:b/>
                <w:bCs/>
              </w:rPr>
              <w:t>Steps</w:t>
            </w:r>
          </w:p>
        </w:tc>
        <w:tc>
          <w:tcPr>
            <w:tcW w:w="4104" w:type="dxa"/>
            <w:tcBorders>
              <w:top w:val="single" w:sz="4" w:space="0" w:color="000000"/>
              <w:left w:val="single" w:sz="4" w:space="0" w:color="000000"/>
              <w:bottom w:val="single" w:sz="4" w:space="0" w:color="000000"/>
              <w:right w:val="single" w:sz="4" w:space="0" w:color="000000"/>
            </w:tcBorders>
          </w:tcPr>
          <w:p>
            <w:pPr>
              <w:pStyle w:val="TableContents"/>
              <w:jc w:val="center"/>
              <w:rPr>
                <w:b/>
                <w:bCs/>
              </w:rPr>
            </w:pPr>
            <w:r>
              <w:rPr>
                <w:b/>
                <w:bCs/>
              </w:rPr>
              <w:t>Justification</w:t>
            </w:r>
          </w:p>
        </w:tc>
      </w:tr>
      <w:tr>
        <w:trPr/>
        <w:tc>
          <w:tcPr>
            <w:tcW w:w="4103" w:type="dxa"/>
            <w:tcBorders>
              <w:left w:val="single" w:sz="4" w:space="0" w:color="000000"/>
              <w:bottom w:val="single" w:sz="4" w:space="0" w:color="000000"/>
            </w:tcBorders>
          </w:tcPr>
          <w:p>
            <w:pPr>
              <w:pStyle w:val="TableContents"/>
              <w:jc w:val="both"/>
              <w:rPr/>
            </w:pPr>
            <w:r>
              <w:rPr/>
              <w:t>1. Introduce yourself to the group and initial awareness talk</w:t>
            </w:r>
          </w:p>
        </w:tc>
        <w:tc>
          <w:tcPr>
            <w:tcW w:w="4104" w:type="dxa"/>
            <w:tcBorders>
              <w:left w:val="single" w:sz="4" w:space="0" w:color="000000"/>
              <w:bottom w:val="single" w:sz="4" w:space="0" w:color="000000"/>
              <w:right w:val="single" w:sz="4" w:space="0" w:color="000000"/>
            </w:tcBorders>
          </w:tcPr>
          <w:p>
            <w:pPr>
              <w:pStyle w:val="TableContents"/>
              <w:jc w:val="both"/>
              <w:rPr/>
            </w:pPr>
            <w:r>
              <w:rPr/>
              <w:t>This talk addresses the importance of students being the first to be interested in their learning and its quality, as well as the role of the teacher as a guide and advisor in the learning process of each student.</w:t>
            </w:r>
          </w:p>
        </w:tc>
      </w:tr>
      <w:tr>
        <w:trPr/>
        <w:tc>
          <w:tcPr>
            <w:tcW w:w="4103" w:type="dxa"/>
            <w:tcBorders>
              <w:left w:val="single" w:sz="4" w:space="0" w:color="000000"/>
              <w:bottom w:val="single" w:sz="4" w:space="0" w:color="000000"/>
            </w:tcBorders>
          </w:tcPr>
          <w:p>
            <w:pPr>
              <w:pStyle w:val="TableContents"/>
              <w:jc w:val="both"/>
              <w:rPr/>
            </w:pPr>
            <w:r>
              <w:rPr/>
              <w:t>2. Teams of 4 to 10 people are formed, but these teams must have an even number of members (if there is an odd number of students in the group, a team will have 5, 7, 9, or 11 members). Students may choose to form teams (figure 1).</w:t>
            </w:r>
          </w:p>
        </w:tc>
        <w:tc>
          <w:tcPr>
            <w:tcW w:w="4104" w:type="dxa"/>
            <w:tcBorders>
              <w:left w:val="single" w:sz="4" w:space="0" w:color="000000"/>
              <w:bottom w:val="single" w:sz="4" w:space="0" w:color="000000"/>
              <w:right w:val="single" w:sz="4" w:space="0" w:color="000000"/>
            </w:tcBorders>
          </w:tcPr>
          <w:p>
            <w:pPr>
              <w:pStyle w:val="TableContents"/>
              <w:jc w:val="both"/>
              <w:rPr/>
            </w:pPr>
            <w:r>
              <w:rPr/>
              <w:t>At this stage, team formation allows the total number of students in the group to be subdivided into work teams.</w:t>
            </w:r>
          </w:p>
          <w:p>
            <w:pPr>
              <w:pStyle w:val="TableContents"/>
              <w:jc w:val="both"/>
              <w:rPr/>
            </w:pPr>
            <w:r>
              <w:rPr/>
            </w:r>
          </w:p>
          <w:p>
            <w:pPr>
              <w:pStyle w:val="TableContents"/>
              <w:jc w:val="both"/>
              <w:rPr/>
            </w:pPr>
            <w:r>
              <w:rPr/>
              <w:t>The variation in the number of members allowed per team is due to the need for the teams formed to truly be made up of students with psycho-emotional affinities and an emotional relationship between them.</w:t>
            </w:r>
          </w:p>
        </w:tc>
      </w:tr>
      <w:tr>
        <w:trPr/>
        <w:tc>
          <w:tcPr>
            <w:tcW w:w="4103" w:type="dxa"/>
            <w:tcBorders>
              <w:left w:val="single" w:sz="4" w:space="0" w:color="000000"/>
              <w:bottom w:val="single" w:sz="4" w:space="0" w:color="000000"/>
            </w:tcBorders>
          </w:tcPr>
          <w:p>
            <w:pPr>
              <w:pStyle w:val="TableContents"/>
              <w:jc w:val="both"/>
              <w:rPr/>
            </w:pPr>
            <w:r>
              <w:rPr/>
              <w:t>3. Once the teams are formed, they are instructed to select their pair (a member of the same team to which they belong, in case there is an odd team due to the total number of students in the group also odd, only one sub-team of pairs would be of 3 members).</w:t>
            </w:r>
          </w:p>
          <w:p>
            <w:pPr>
              <w:pStyle w:val="TableContents"/>
              <w:jc w:val="both"/>
              <w:rPr/>
            </w:pPr>
            <w:r>
              <w:rPr/>
            </w:r>
          </w:p>
          <w:p>
            <w:pPr>
              <w:pStyle w:val="TableContents"/>
              <w:jc w:val="both"/>
              <w:rPr/>
            </w:pPr>
            <w:r>
              <w:rPr/>
              <w:t>With this instruction the importance of selecting their pair well is pointed out (or their two pairs in the odd team) considering for their selection their emotional relationship, their personal situation of each one of them (if they work or support activities at home or have some other situation that prevents them from attending class regularly), and the empathy that may exist between them due to the psycho-emotional, social and family situation in which they know their classmates are, since among them the academic work and attendance will be shared since they will be allowed to work together all the time.</w:t>
            </w:r>
          </w:p>
        </w:tc>
        <w:tc>
          <w:tcPr>
            <w:tcW w:w="4104" w:type="dxa"/>
            <w:tcBorders>
              <w:left w:val="single" w:sz="4" w:space="0" w:color="000000"/>
              <w:bottom w:val="single" w:sz="4" w:space="0" w:color="000000"/>
              <w:right w:val="single" w:sz="4" w:space="0" w:color="000000"/>
            </w:tcBorders>
          </w:tcPr>
          <w:p>
            <w:pPr>
              <w:pStyle w:val="TableContents"/>
              <w:jc w:val="both"/>
              <w:rPr/>
            </w:pPr>
            <w:r>
              <w:rPr/>
              <w:t>At this stage, the formation of peer sub teams has the purpose of selecting the person with whom they feel most identified and in whom they trust the most to accompany them in the teaching process.</w:t>
            </w:r>
          </w:p>
          <w:p>
            <w:pPr>
              <w:pStyle w:val="TableContents"/>
              <w:jc w:val="both"/>
              <w:rPr/>
            </w:pPr>
            <w:r>
              <w:rPr/>
            </w:r>
          </w:p>
          <w:p>
            <w:pPr>
              <w:pStyle w:val="TableContents"/>
              <w:jc w:val="both"/>
              <w:rPr/>
            </w:pPr>
            <w:r>
              <w:rPr/>
              <w:t>The empathy between them is due to the emotional relationship that exists, and how much they know each other comes from the things they share as a result of the trust that has been generated between them.</w:t>
            </w:r>
          </w:p>
          <w:p>
            <w:pPr>
              <w:pStyle w:val="TableContents"/>
              <w:jc w:val="both"/>
              <w:rPr/>
            </w:pPr>
            <w:r>
              <w:rPr/>
            </w:r>
          </w:p>
          <w:p>
            <w:pPr>
              <w:pStyle w:val="TableContents"/>
              <w:jc w:val="both"/>
              <w:rPr/>
            </w:pPr>
            <w:r>
              <w:rPr/>
              <w:t>However, the peer sub-teams know that they can count on the other members of the general team to which they belong, and this relationship between the members of a team is reinforced by designing activities within the group, such as the review of topics for discussion, or educational recreational activities in a way that teamwork is encouraged at all times,  and the delivery of reports, sometimes by teams or by sub-teams of peers, generates strong bonds between them and supports each other to continue with their studies in the best possible way.</w:t>
            </w:r>
          </w:p>
          <w:p>
            <w:pPr>
              <w:pStyle w:val="TableContents"/>
              <w:jc w:val="both"/>
              <w:rPr/>
            </w:pPr>
            <w:r>
              <w:rPr/>
            </w:r>
          </w:p>
          <w:p>
            <w:pPr>
              <w:pStyle w:val="TableContents"/>
              <w:jc w:val="both"/>
              <w:rPr/>
            </w:pPr>
            <w:r>
              <w:rPr/>
              <w:t>This dynamic maintains emotional relationships between team members, and if a team has trouble understanding a class topic, the same group participates so that other teams can reach a better understanding of the topic.</w:t>
            </w:r>
          </w:p>
        </w:tc>
      </w:tr>
    </w:tbl>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widowControl/>
        <w:suppressAutoHyphens w:val="true"/>
        <w:bidi w:val="0"/>
        <w:spacing w:before="0" w:after="0"/>
        <w:ind w:hanging="0" w:left="1529" w:right="89"/>
        <w:jc w:val="both"/>
        <w:rPr>
          <w:rFonts w:ascii="Arial" w:hAnsi="Arial" w:eastAsia="" w:cs="Arial" w:eastAsiaTheme="minorEastAsia"/>
          <w:color w:val="231F20"/>
        </w:rPr>
      </w:pPr>
      <w:r>
        <w:drawing>
          <wp:anchor behindDoc="0" distT="0" distB="0" distL="0" distR="0" simplePos="0" locked="0" layoutInCell="0" allowOverlap="1" relativeHeight="15">
            <wp:simplePos x="0" y="0"/>
            <wp:positionH relativeFrom="column">
              <wp:align>center</wp:align>
            </wp:positionH>
            <wp:positionV relativeFrom="paragraph">
              <wp:posOffset>635</wp:posOffset>
            </wp:positionV>
            <wp:extent cx="3771900" cy="4732020"/>
            <wp:effectExtent l="0" t="0" r="0" b="0"/>
            <wp:wrapTopAndBottom/>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8"/>
                    <a:stretch>
                      <a:fillRect/>
                    </a:stretch>
                  </pic:blipFill>
                  <pic:spPr bwMode="auto">
                    <a:xfrm>
                      <a:off x="0" y="0"/>
                      <a:ext cx="3771900" cy="4732020"/>
                    </a:xfrm>
                    <a:prstGeom prst="rect">
                      <a:avLst/>
                    </a:prstGeom>
                  </pic:spPr>
                </pic:pic>
              </a:graphicData>
            </a:graphic>
          </wp:anchor>
        </w:drawing>
      </w:r>
      <w:r>
        <w:rPr>
          <w:rFonts w:eastAsia="" w:cs="Arial" w:ascii="Arial" w:hAnsi="Arial" w:eastAsiaTheme="minorEastAsia"/>
          <w:color w:val="231F20"/>
          <w:shd w:fill="BBE33D" w:val="clear"/>
        </w:rPr>
        <w:t>Figure 1: Organization of group, teams and work pairs.</w:t>
      </w:r>
      <w:r>
        <w:rPr>
          <w:rFonts w:eastAsia="" w:cs="Arial" w:ascii="Arial" w:hAnsi="Arial" w:eastAsiaTheme="minorEastAsia"/>
          <w:color w:val="231F20"/>
        </w:rPr>
        <w:t xml:space="preserve"> </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b/>
          <w:bCs/>
        </w:rPr>
      </w:pPr>
      <w:r>
        <w:rPr>
          <w:rFonts w:eastAsia="" w:cs="Arial" w:ascii="Arial" w:hAnsi="Arial" w:eastAsiaTheme="minorEastAsia"/>
          <w:b/>
          <w:bCs/>
          <w:color w:val="231F20"/>
        </w:rPr>
        <w:t>2.2. From the evaluation</w:t>
      </w:r>
    </w:p>
    <w:p>
      <w:pPr>
        <w:pStyle w:val="Normal"/>
        <w:ind w:right="43"/>
        <w:jc w:val="both"/>
        <w:rPr>
          <w:b/>
          <w:bCs/>
        </w:rPr>
      </w:pPr>
      <w:r>
        <w:rPr>
          <w:rFonts w:eastAsia="" w:cs="Arial" w:ascii="Arial" w:hAnsi="Arial" w:eastAsiaTheme="minorEastAsia"/>
          <w:b/>
          <w:bCs/>
          <w:color w:val="231F20"/>
        </w:rPr>
        <w:t>2.2.1. From assistance</w:t>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Attendance, which is one of the first criteria considered, is recommended to eliminate a mandatory percentage, and to be a criteria for consideration in the final grade depending on the percentage of attendance by the peer sub-team formed, that is, if one or both members of the formed peers attend, attendance is counted for both, and the consideration in the final grade should be an agreement between the teacher and the students enrolled in the subject or course.</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b/>
          <w:bCs/>
          <w:color w:val="231F20"/>
        </w:rPr>
        <w:t>2.2.2. From continuous assessment</w:t>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 xml:space="preserve">The traditional style of requesting participation, selecting students at random and asking them about a topic to review what has already been reviewed, is changed for a participation system in which, through the incorporation of some generative artificial intelligence of their choice (for example “Gemini” , “DeepSeek”, “Copilot”, and other examples), they review the information and generate a discussion about it, involving the group through active participation so that they read the information obtained, write down or emphasize the key points of the topic, this avoids the discomfort that some students feel when being exposed in front of their classmates for not knowing the subject, valuable time is recovered for the class, personal, team and group work is encouraged, and a dynamic of participation and learning is generated in the group. </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This type of participation is recorded as well as that carried out in recreational activities of an educational nature within the classroom (</w:t>
      </w:r>
      <w:r>
        <w:rPr>
          <w:rFonts w:eastAsia="" w:cs="Arial" w:ascii="Arial" w:hAnsi="Arial" w:eastAsiaTheme="minorEastAsia"/>
          <w:color w:val="231F20"/>
        </w:rPr>
        <w:t>for example</w:t>
      </w:r>
      <w:r>
        <w:rPr>
          <w:rFonts w:eastAsia="" w:cs="Arial" w:ascii="Arial" w:hAnsi="Arial" w:eastAsiaTheme="minorEastAsia"/>
          <w:color w:val="231F20"/>
        </w:rPr>
        <w:t xml:space="preserve"> quick bibliographic reviews, practices or educational games within the classroom and reflective and learning activities outside the classroom).</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It is suggested that a physical or digital evidence portfolio be used to record academic activities carried out both inside and outside of class. These activities will ultimately be considered in the evaluation based on what was agreed upon between students and the teacher at the beginning of the school year.</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b/>
          <w:bCs/>
        </w:rPr>
      </w:pPr>
      <w:r>
        <w:rPr>
          <w:rFonts w:eastAsia="" w:cs="Arial" w:ascii="Arial" w:hAnsi="Arial" w:eastAsiaTheme="minorEastAsia"/>
          <w:b/>
          <w:bCs/>
          <w:color w:val="231F20"/>
        </w:rPr>
        <w:t>2.2.3. About the exams</w:t>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The evaluation criteria and the percentage that each criterion represents in the final evaluation are agreed upon with the group, allowing them to hold a group assembly so that the evaluation has the approval of the vast majority of students enrolled in the group and in the subject or course.</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For exams or assessment tests, although pair and teamwork are important, as these are the levels where everyone's participation is encouraged, these assessment tests are administered individually, making this a differentiating factor for each student based on their own learning. It is recommended to allocate the highest percentage to this category, or even 100% if there are students who, for personal, family, or work reasons, find it difficult to attend regularly or arrive on time. However, this should always be a group decision, so allowing them to hold their own assemblies to make decisions is important, as well as writing them down and signing them (student-teacher academic contracts).</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Ultimately, what is achieved with this teaching-learning strategy in which students participate in decision-making is that collaborative work, research, discussion, and the integration of topics are encouraged, but the work of each of them is also assessed with exams or assessment tests, giving them the same opportunity, whether they attend or not (regardless of the reason that prevents them from attending class regularly), to learn with the support of self-taught work, of their selected peer to work with, of the team, and of their emotional relationship with the group.</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spacing w:lineRule="exact" w:line="220"/>
        <w:rPr>
          <w:rFonts w:ascii="Arial" w:hAnsi="Arial" w:eastAsia="" w:cs="Arial" w:eastAsiaTheme="minorEastAsia"/>
          <w:b/>
          <w:bCs/>
          <w:color w:val="231F20"/>
          <w:sz w:val="22"/>
          <w:szCs w:val="22"/>
        </w:rPr>
      </w:pPr>
      <w:r>
        <w:rPr>
          <w:rFonts w:eastAsia="" w:cs="Arial" w:ascii="Arial" w:hAnsi="Arial" w:eastAsiaTheme="minorEastAsia"/>
          <w:b/>
          <w:bCs/>
          <w:color w:val="231F20"/>
          <w:sz w:val="22"/>
          <w:szCs w:val="22"/>
        </w:rPr>
        <w:t>3.DISCUSSION</w:t>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Given the paradigm shift in higher education and considering that the emphasis on the teaching-learning process must be centered on the student, it is necessary to develop strategies that respond to the needs of the learner, considering the available resources and time (Castillo &amp; Agustín, 2017; Alcoba, 2013). In this sense, the developed strategy addresses the need to work in study groups selected by the students after an awareness-raising discussion on the importance of working in teams with peers who can also support them academically, not just emotionally.</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The incorporation of the use of AI and the digital portfolio of evidence also responds to the current need, rather than a trend, in which students develop their own learning styles and in many of these the use of digital tools is currently a constant, however, this has a couple of risks since as the A.I. ​​itself points out on its home sites, specialized information may present errors, and incorporating it into the classroom as a tool allows it to be analyzed, discussed and correct in what needs to be corrected so as not to generate confusion in students. In this sense, Cabero (2005) already pointed out the usefulness but also the risks of using ICT in the classroom.</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 xml:space="preserve">Active teaching methods motivate participation and improve student performance compared to traditional methods (Cardona-Posada, </w:t>
      </w:r>
      <w:r>
        <w:rPr>
          <w:rFonts w:eastAsia="" w:cs="Arial" w:ascii="Arial" w:hAnsi="Arial" w:eastAsiaTheme="minorEastAsia"/>
          <w:i/>
          <w:iCs/>
          <w:color w:val="231F20"/>
        </w:rPr>
        <w:t>et. al</w:t>
      </w:r>
      <w:r>
        <w:rPr>
          <w:rFonts w:eastAsia="" w:cs="Arial" w:ascii="Arial" w:hAnsi="Arial" w:eastAsiaTheme="minorEastAsia"/>
          <w:color w:val="231F20"/>
        </w:rPr>
        <w:t xml:space="preserve">., 2025). The OECD highlights the need for more flexible and inclusive undergraduate education systems, including tailored programs, selection processes that consider different learning styles, and shorter, more targeted offerings. Given the increasing enrollment of students at all educational levels, the OECD recommends a comprehensive approach to ensure equal opportunities and quality in the academic education received to meet professional skills needs (OECD, 2025; Artamonova, </w:t>
      </w:r>
      <w:r>
        <w:rPr>
          <w:rFonts w:eastAsia="" w:cs="Arial" w:ascii="Arial" w:hAnsi="Arial" w:eastAsiaTheme="minorEastAsia"/>
          <w:i/>
          <w:iCs/>
          <w:color w:val="231F20"/>
        </w:rPr>
        <w:t>et al</w:t>
      </w:r>
      <w:r>
        <w:rPr>
          <w:rFonts w:eastAsia="" w:cs="Arial" w:ascii="Arial" w:hAnsi="Arial" w:eastAsiaTheme="minorEastAsia"/>
          <w:color w:val="231F20"/>
        </w:rPr>
        <w:t>., 2014).</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 xml:space="preserve">In Latin America, there are few studies that focus on the problems of large groups (Castillo &amp; Agustín, 2017). Castillo &amp; Agustín (2017) consider a large group to be those with more than 50 students in the classroom, however, the OECD considers large groups to be those with more than 25 students in primary and secondary education, so in this sense, taking into account the consideration made by the OECD (2025) on the need to reduce the number of students in the groups and bring them to an average between 25 and 28 students, a group with more than 30 students can be considered large if considerations are made of the paradigm shift from one centered on learning to one focused on the students, where transferring knowledge is no longer enough, the needs of those who demand the educational service, the ways of learning (learning styles), the operating conditions in the educational institution and the social environment, and the available resources must also be addressed (UNESCO, 2019; OECD, 2025; Montanero, 2019; Cabero, 2005). </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 xml:space="preserve">In this sense, the developed strategy considers the emotional relationships that are formed between students as an intangible but present resource and of great impact on academic achievement, by selecting a peer (student from the same group enrolled in the subject or course) as the support person for their studies, a feeling of trust and mutual commitment is generated to support each other in their learning process, at the same time this strategy considers that these peers are part of a learning environment in the group, and therefore in the vast majority of cases they are part of a larger group of students who have formed emotional bonds of friendship, which is why its structuring requests that work teams of peers be formed with a maximum of 8 or 10 students, in such a way that a large group forms subgroups of up to 10 students, allowing interaction with them in class, especially in class work activities to research a topic, discuss the topic, integrate it with other topics, or carry out a complementary activity or exercise to reinforce learning. It is recommended that a team have at least 4 members; however, given the different personalities and emotional ties that are generated within the group between students, it can be considered the work of only 2 people, or in the case of an odd number of students, a pair work (between two students) can be made up of three people so as not to leave a single person within the group without the support that a peer (student) can provide. </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The emotional ties generated within the group should begin to be seen as a resource that, if properly managed, can positively impact the academic performance of the same students.</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 xml:space="preserve">Isolina </w:t>
      </w:r>
      <w:r>
        <w:rPr>
          <w:rFonts w:eastAsia="" w:cs="Arial" w:ascii="Arial" w:hAnsi="Arial" w:eastAsiaTheme="minorEastAsia"/>
          <w:i/>
          <w:iCs/>
          <w:color w:val="231F20"/>
        </w:rPr>
        <w:t>et al.</w:t>
      </w:r>
      <w:r>
        <w:rPr>
          <w:rFonts w:eastAsia="" w:cs="Arial" w:ascii="Arial" w:hAnsi="Arial" w:eastAsiaTheme="minorEastAsia"/>
          <w:color w:val="231F20"/>
        </w:rPr>
        <w:t xml:space="preserve"> (2008) evaluated the effectiveness of forming subgroups within a group of more than 200 students and compared the effectiveness of this strategy by selecting a few topics. They compared an active teaching-learning method that consisted of self-managed learning with respect to a traditional lecture class. The result of this comparison with respect to achievement was not significant, however 60% of the students perceived the active strategy as more beneficial with respect to the traditional lecture class. To date, no analysis has been conducted regarding this methodology because this strategy is a recent development. However, the acceptance rate of students enrolled in the course reflects their approval of the strategy. It also includes other indicators such as an average attendance rate of 80 to 95% of enrolled students. The same strategy also shows that attendance rates could be around 50% when paired (working partners) are used for the subject. Furthermore, this strategy has encouraged approximately 20% of students in the group to participate on their own initiative in the discussion of topics. The rest of the group participates, when requested, contributes with key ideas to the discussion, revealing students' interest in getting involved in their own learning.</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Given the paradigm shift in education, the increased demand for undergraduate educational services, which results in an increase in the number of students enrolled in a group, and the development of digital tools such as AI and the digital evidence portfolio, this strategy is an applicable option that addresses many of today's needs. It also incorporates active participation in decision-making within the group by students, a fact that is becoming increasingly important.</w:t>
      </w:r>
    </w:p>
    <w:p>
      <w:pPr>
        <w:pStyle w:val="Normal"/>
        <w:jc w:val="both"/>
        <w:rPr>
          <w:rFonts w:ascii="Arial" w:hAnsi="Arial" w:eastAsia="" w:cs="Arial" w:eastAsiaTheme="minorEastAsia"/>
          <w:color w:val="231F20"/>
        </w:rPr>
      </w:pPr>
      <w:r>
        <w:rPr>
          <w:rFonts w:eastAsia="" w:cs="Arial" w:eastAsiaTheme="minorEastAsia" w:ascii="Arial" w:hAnsi="Arial"/>
          <w:color w:val="231F20"/>
        </w:rPr>
      </w:r>
    </w:p>
    <w:p>
      <w:pPr>
        <w:pStyle w:val="ConcHead"/>
        <w:spacing w:before="0" w:after="0"/>
        <w:jc w:val="both"/>
        <w:rPr>
          <w:rFonts w:ascii="Arial" w:hAnsi="Arial" w:cs="Arial"/>
        </w:rPr>
      </w:pPr>
      <w:r>
        <w:rPr>
          <w:rFonts w:cs="Arial" w:ascii="Arial" w:hAnsi="Arial"/>
        </w:rPr>
        <w:t>4. Conclusion</w:t>
      </w:r>
    </w:p>
    <w:p>
      <w:pPr>
        <w:pStyle w:val="Normal"/>
        <w:ind w:right="43"/>
        <w:jc w:val="both"/>
        <w:rPr>
          <w:rFonts w:ascii="Arial" w:hAnsi="Arial" w:eastAsia="" w:cs="Arial" w:eastAsiaTheme="minorEastAsia"/>
          <w:color w:val="231F20"/>
        </w:rPr>
      </w:pPr>
      <w:r>
        <w:rPr>
          <w:rFonts w:eastAsia="" w:cs="Arial" w:ascii="Arial" w:hAnsi="Arial" w:eastAsiaTheme="minorEastAsia"/>
          <w:color w:val="231F20"/>
        </w:rPr>
        <w:t>The approach of this teaching-learning strategy in which students are participants in decision-making, collaborative work, research, discussion, inclusion of the use of AI as a teaching tool, integration of topics, weighting of the individual work of each of the students with exams or evaluation tests, is made flexible with class attendance, and meaningful learning is encouraged by supporting self-taught work, their chosen peer, the formed team and their emotional relationship with the members of the group.</w:t>
      </w:r>
    </w:p>
    <w:p>
      <w:pPr>
        <w:pStyle w:val="Normal"/>
        <w:ind w:right="43"/>
        <w:jc w:val="both"/>
        <w:rPr>
          <w:rFonts w:ascii="Arial" w:hAnsi="Arial" w:eastAsia="" w:cs="Arial" w:eastAsiaTheme="minorEastAsia"/>
          <w:color w:val="231F20"/>
        </w:rPr>
      </w:pPr>
      <w:r>
        <w:rPr>
          <w:rFonts w:eastAsia="" w:cs="Arial" w:eastAsiaTheme="minorEastAsia" w:ascii="Arial" w:hAnsi="Arial"/>
          <w:color w:val="231F20"/>
        </w:rPr>
      </w:r>
    </w:p>
    <w:p>
      <w:pPr>
        <w:pStyle w:val="Normal"/>
        <w:ind w:right="43"/>
        <w:jc w:val="both"/>
        <w:rPr>
          <w:rFonts w:eastAsia="" w:eastAsiaTheme="minorEastAsia"/>
          <w:highlight w:val="none"/>
          <w:shd w:fill="BBE33D" w:val="clear"/>
        </w:rPr>
      </w:pPr>
      <w:r>
        <w:rPr>
          <w:rFonts w:eastAsia="" w:cs="Arial" w:ascii="Arial" w:hAnsi="Arial" w:eastAsiaTheme="minorEastAsia"/>
          <w:color w:val="231F20"/>
          <w:shd w:fill="BBE33D" w:val="clear"/>
        </w:rPr>
        <w:t>The implementation of this strategy has been interesting both for the teacher, who seeks to improve the teaching process in large groups, and for the students, who feel free to participate, discuss, and learn new topics, with the support of a peer (a chosen classmate or friend), the use of generative AI in class, and without the pressure of an attendance percentage as an evaluation criterion. If this strategy is adopted or tested by more colleagues, there will surely be improvements aimed at building a teaching model more suited to the present and future, with the increasing incorporation of intelligent digital tools and the growing social pressure on students to contribute financially to their households due to multiple economic, political, and market factors.</w:t>
      </w:r>
    </w:p>
    <w:p>
      <w:pPr>
        <w:pStyle w:val="Body"/>
        <w:spacing w:before="0" w:after="0"/>
        <w:rPr>
          <w:rFonts w:ascii="Arial" w:hAnsi="Arial" w:cs="Arial"/>
        </w:rPr>
      </w:pPr>
      <w:r>
        <w:rPr>
          <w:rFonts w:cs="Arial" w:ascii="Arial" w:hAnsi="Arial"/>
        </w:rPr>
      </w:r>
    </w:p>
    <w:p>
      <w:pPr>
        <w:pStyle w:val="Body"/>
        <w:spacing w:before="0" w:after="0"/>
        <w:rPr>
          <w:rFonts w:ascii="Arial" w:hAnsi="Arial" w:cs="Arial"/>
        </w:rPr>
      </w:pPr>
      <w:r>
        <w:rPr>
          <w:rFonts w:cs="Arial" w:ascii="Arial" w:hAnsi="Arial"/>
        </w:rPr>
      </w:r>
    </w:p>
    <w:p>
      <w:pPr>
        <w:pStyle w:val="AcknHead"/>
        <w:spacing w:before="0" w:after="0"/>
        <w:jc w:val="both"/>
        <w:rPr>
          <w:rFonts w:ascii="Arial" w:hAnsi="Arial"/>
        </w:rPr>
      </w:pPr>
      <w:r>
        <w:rPr>
          <w:rFonts w:cs="Arial" w:ascii="Arial" w:hAnsi="Arial"/>
        </w:rPr>
        <w:t>DISCLAIMER (ARTIFICIAL INTELLIGENCE)</w:t>
      </w:r>
    </w:p>
    <w:p>
      <w:pPr>
        <w:pStyle w:val="Normal"/>
        <w:jc w:val="both"/>
        <w:rPr>
          <w:rFonts w:ascii="Arial" w:hAnsi="Arial"/>
        </w:rPr>
      </w:pPr>
      <w:r>
        <w:rPr>
          <w:rFonts w:ascii="Arial" w:hAnsi="Arial"/>
        </w:rPr>
        <w:t>Authors hereby declare that NO generative AI technologies such as Large Language Models (ChatGPT, COPILOT, etc.) and text-to-image generators have been used during the writing or editing of this manuscript.</w:t>
      </w:r>
    </w:p>
    <w:p>
      <w:pPr>
        <w:pStyle w:val="Normal"/>
        <w:rPr>
          <w:rFonts w:ascii="Arial" w:hAnsi="Arial"/>
        </w:rPr>
      </w:pPr>
      <w:r>
        <w:rPr>
          <w:rFonts w:ascii="Arial" w:hAnsi="Arial"/>
        </w:rPr>
      </w:r>
    </w:p>
    <w:p>
      <w:pPr>
        <w:pStyle w:val="Normal"/>
        <w:rPr>
          <w:rFonts w:ascii="Arial" w:hAnsi="Arial"/>
        </w:rPr>
      </w:pPr>
      <w:r>
        <w:rPr>
          <w:rFonts w:ascii="Arial" w:hAnsi="Arial"/>
        </w:rPr>
      </w:r>
    </w:p>
    <w:p>
      <w:pPr>
        <w:pStyle w:val="ReferHead"/>
        <w:spacing w:before="0" w:after="0"/>
        <w:jc w:val="both"/>
        <w:rPr>
          <w:rFonts w:ascii="Arial" w:hAnsi="Arial" w:cs="Arial"/>
          <w:lang w:val="es-MX"/>
        </w:rPr>
      </w:pPr>
      <w:r>
        <w:rPr>
          <w:rFonts w:cs="Arial" w:ascii="Arial" w:hAnsi="Arial"/>
          <w:lang w:val="es-MX"/>
        </w:rPr>
      </w:r>
    </w:p>
    <w:p>
      <w:pPr>
        <w:pStyle w:val="ReferHead"/>
        <w:spacing w:before="0" w:after="0"/>
        <w:jc w:val="both"/>
        <w:rPr>
          <w:rFonts w:ascii="Arial" w:hAnsi="Arial"/>
          <w:lang w:val="es-MX"/>
        </w:rPr>
      </w:pPr>
      <w:r>
        <w:rPr>
          <w:rFonts w:cs="Arial" w:ascii="Arial" w:hAnsi="Arial"/>
          <w:lang w:val="es-MX"/>
        </w:rPr>
        <w:t>References</w:t>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Alcoba, G. J. (2013). Organization of teaching methods according to educational goals: Curriculum alignment in higher education. Profesorado, 17 (3): 241-255.</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Artamonova, I., Mosquera, J. C., Ramírez, D. M. H., &amp; Mosquera, A. J. D. (2014). Quantitative results of the application of the 4MAT system in Mechanics at the University of Quindío. Lat. Am. J. Phys. Educ. 8 (4): 4511, 1-8.</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 xml:space="preserve">Castillo, N., &amp; Agustín, F. (2017). Teaching and learning strategies with large groups. Revista Ciencia Multidisciplinaria CUNORI, 1(1), 33-39. DOI: </w:t>
      </w:r>
      <w:r>
        <w:rPr>
          <w:rStyle w:val="Hyperlink"/>
          <w:rFonts w:eastAsia="" w:cs="Arial" w:ascii="Arial" w:hAnsi="Arial" w:eastAsiaTheme="minorEastAsia"/>
          <w:color w:val="231F20"/>
          <w:u w:val="none"/>
          <w:lang w:val="es-MX"/>
        </w:rPr>
        <w:t>https://doi.org/10.36314/cunori.v1i1.8</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Cabero, A. J. (2005). ICTs and universities: challenges, possibilities, and concerns. Revista de la Educación Superior, XXXIV (135), 77–100.</w:t>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Cardona-Posada, S., Orlando Caro, E., &amp; Jiménez-Builes, J. A. (2025). Didactic methodology using active strategies for teaching and learning in large groups of students. Revista Virtual Universidad Católica Del Norte, (74), 4–30. https://doi.org/10.35575/rvucn.n74a2</w:t>
      </w:r>
    </w:p>
    <w:p>
      <w:pPr>
        <w:pStyle w:val="Normal"/>
        <w:ind w:hanging="449" w:left="449"/>
        <w:jc w:val="both"/>
        <w:rPr/>
      </w:pPr>
      <w:r>
        <w:rPr>
          <w:rFonts w:eastAsia="" w:cs="Arial" w:ascii="Arial" w:hAnsi="Arial" w:eastAsiaTheme="minorEastAsia"/>
          <w:color w:val="231F20"/>
          <w:shd w:fill="BBE33D" w:val="clear"/>
          <w:lang w:val="es-MX"/>
        </w:rPr>
        <w:t xml:space="preserve">Day, T., Gonzalez, M., Kim, J., McDaniel. P. N., Redican. K., &amp; Zhu, T. (2025). THE PROFESSIONAL GEOGRAPHER, 77(4):384-401. </w:t>
      </w:r>
      <w:hyperlink r:id="rId9">
        <w:r>
          <w:rPr>
            <w:rStyle w:val="Hyperlink"/>
            <w:rFonts w:eastAsia="" w:cs="Arial" w:ascii="Arial" w:hAnsi="Arial" w:eastAsiaTheme="minorEastAsia"/>
            <w:color w:val="231F20"/>
            <w:u w:val="none"/>
            <w:shd w:fill="BBE33D" w:val="clear"/>
            <w:lang w:val="es-MX"/>
          </w:rPr>
          <w:t>https://doi.org/10.1080/00330124.2025.2478075</w:t>
        </w:r>
      </w:hyperlink>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Donaldson, J., &amp; Fafaliou, I. (2007). Principles of administration revisited. International Journal of Social Economics, 34(5), 297. doi:https://doi.org/10.1108/03068290710741561</w:t>
      </w:r>
    </w:p>
    <w:p>
      <w:pPr>
        <w:pStyle w:val="Normal"/>
        <w:ind w:hanging="449" w:left="449"/>
        <w:jc w:val="both"/>
        <w:rPr>
          <w:rFonts w:eastAsia="" w:eastAsiaTheme="minorEastAsia"/>
          <w:highlight w:val="none"/>
          <w:shd w:fill="BBE33D" w:val="clear"/>
        </w:rPr>
      </w:pPr>
      <w:r>
        <w:rPr>
          <w:rFonts w:eastAsia="" w:cs="Arial" w:ascii="Arial" w:hAnsi="Arial" w:eastAsiaTheme="minorEastAsia"/>
          <w:color w:val="231F20"/>
          <w:shd w:fill="BBE33D" w:val="clear"/>
          <w:lang w:val="es-MX"/>
        </w:rPr>
        <w:t>European Education Area. (2022). The Bologna Process and the European Higher Education Area. What is the Bologna Process? https://education.ec.europa.eu/education-levels/higher-education/inclusive-and-connected-higher-education/bologna-process</w:t>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Isolina, C. S. M., Marcelo, A. G., Brunnetti, E. A. B., &amp; Espindola, E. (2008). Effectiveness of active methods as a teaching-learning strategy in large and heterogeneous groups. Higher Medical Education, 22(1), 1-7.</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Jiménez, M. P. (2003). Cooperative learning, a pedagogical strategy for teaching in large groups: Theoretical background. ESPIGA, 8, 95-108.</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Matteu, A. (2013). Interview with Michel Maffesoli. Note, 76. https://metode.org/issues/entrevista-revistes/michel-maffesoli-2.html</w:t>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Montanero, F. M. (2019). Emerging pedagogical methods for the new century: What is truly innovative? Teri, 31 (1): 5-34.</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OECD (2025), Education at a Glance 2025: OECD Indicators, OECD Publishing, Paris, https://doi.org/10.1787/1c0d9c79-en/</w:t>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Oriol, P., &amp; Jordi, F. (2017). Activities and active learning strategies for theoretical classes in large groups. In García-Escudero, D., &amp; Bardí i Milà. VI Conference on Teaching Innovation in Architecture (pp 10-23). ​​Spain; Digital Polytechnic Initiative, UPC Digital Academic Office; Publications Service of the University of Zaragoza. DOI: 10.5821/jida.2018.5422</w:t>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Pimienta, J. (1990). Teaching and learning strategies: university teaching based on competencies. Mexico: Pearson Education. 192 pp.</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eastAsia="" w:cs="Arial" w:eastAsiaTheme="minorEastAsia"/>
          <w:color w:val="231F20"/>
          <w:lang w:val="es-MX"/>
        </w:rPr>
      </w:pPr>
      <w:r>
        <w:rPr>
          <w:rFonts w:eastAsia="" w:cs="Arial" w:ascii="Arial" w:hAnsi="Arial" w:eastAsiaTheme="minorEastAsia"/>
          <w:color w:val="231F20"/>
          <w:lang w:val="es-MX"/>
        </w:rPr>
        <w:t>Sobrados, L. M. (2016). Teaching in large groups. Experience in the use of portfolios. Opción, 32(10), 773-788.</w:t>
      </w:r>
    </w:p>
    <w:p>
      <w:pPr>
        <w:pStyle w:val="Normal"/>
        <w:ind w:hanging="449" w:left="449"/>
        <w:jc w:val="both"/>
        <w:rPr>
          <w:rFonts w:ascii="Arial" w:hAnsi="Arial" w:eastAsia="" w:cs="Arial" w:eastAsiaTheme="minorEastAsia"/>
          <w:color w:val="231F20"/>
          <w:lang w:val="es-MX"/>
        </w:rPr>
      </w:pPr>
      <w:r>
        <w:rPr>
          <w:rFonts w:eastAsia="" w:cs="Arial" w:eastAsiaTheme="minorEastAsia" w:ascii="Arial" w:hAnsi="Arial"/>
          <w:color w:val="231F20"/>
          <w:lang w:val="es-MX"/>
        </w:rPr>
      </w:r>
    </w:p>
    <w:p>
      <w:pPr>
        <w:pStyle w:val="Normal"/>
        <w:ind w:hanging="449" w:left="449"/>
        <w:jc w:val="both"/>
        <w:rPr>
          <w:rFonts w:ascii="Arial" w:hAnsi="Arial" w:cs="Arial"/>
          <w:lang w:val="es-MX"/>
        </w:rPr>
      </w:pPr>
      <w:r>
        <w:rPr>
          <w:rFonts w:eastAsia="" w:cs="Arial" w:ascii="Arial" w:hAnsi="Arial" w:eastAsiaTheme="minorEastAsia"/>
          <w:color w:val="231F20"/>
          <w:lang w:val="es-MX"/>
        </w:rPr>
        <w:t>UNESCO. (2019). World declaration on higher education in the 21st century: vision and action. Higher Education and Society Journal (ESS), 9(2), 97-113. Retrieved from https://ess.iesalc.unesco.org/index.php/ess3/article/view/171</w:t>
      </w:r>
    </w:p>
    <w:sectPr>
      <w:type w:val="continuous"/>
      <w:pgSz w:w="12240" w:h="15840"/>
      <w:pgMar w:left="2016" w:right="2016" w:gutter="0" w:header="0" w:top="1440" w:footer="1296" w:bottom="2016"/>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Helvetica">
    <w:altName w:val="Arial"/>
    <w:charset w:val="01"/>
    <w:family w:val="roman"/>
    <w:pitch w:val="variable"/>
  </w:font>
  <w:font w:name="Arial">
    <w:charset w:val="01"/>
    <w:family w:val="roman"/>
    <w:pitch w:val="variable"/>
  </w:font>
  <w:font w:name="Liberation Serif">
    <w:altName w:val="Times New Roman"/>
    <w:charset w:val="01"/>
    <w:family w:val="swiss"/>
    <w:pitch w:val="variable"/>
  </w:font>
  <w:font w:name="Cambria">
    <w:charset w:val="01"/>
    <w:family w:val="roman"/>
    <w:pitch w:val="variable"/>
  </w:font>
  <w:font w:name="Symbo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61735" o:spid="shape_0" adj="10800" fillcolor="silver" stroked="f" o:allowincell="f" style="position:absolute;margin-left:-117.95pt;margin-top:353.8pt;width:520.55pt;height:48.65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13">
              <wp:simplePos x="0" y="0"/>
              <wp:positionH relativeFrom="margin">
                <wp:align>center</wp:align>
              </wp:positionH>
              <wp:positionV relativeFrom="margin">
                <wp:align>center</wp:align>
              </wp:positionV>
              <wp:extent cx="138430" cy="16510"/>
              <wp:effectExtent l="2536190" t="3622040" r="0" b="0"/>
              <wp:wrapNone/>
              <wp:docPr id="2" name="PowerPlusWaterMarkObject801561736"/>
              <a:graphic xmlns:a="http://schemas.openxmlformats.org/drawingml/2006/main">
                <a:graphicData uri="http://schemas.microsoft.com/office/word/2010/wordprocessingShape">
                  <wps:wsp>
                    <wps:cNvSpPr txBox="1"/>
                    <wps:spPr>
                      <a:xfrm rot="18900000">
                        <a:off x="0" y="0"/>
                        <a:ext cx="138600" cy="16560"/>
                      </a:xfrm>
                      <a:prstGeom prst="rect">
                        <a:avLst/>
                      </a:prstGeom>
                    </wps:spPr>
                    <wps:txbx>
                      <w:txbxContent>
                        <w:p>
                          <w:pPr>
                            <w:overflowPunct w:val="false"/>
                            <w:rPr/>
                          </w:pPr>
                          <w:r>
                            <w:rPr>
                              <w:sz w:val="2"/>
                              <w:rFonts w:ascii="Helvetica" w:hAnsi="Helvetica"/>
                              <w:color w:val="C0C0C0"/>
                              <w14:textFill>
                                <w14:solidFill>
                                  <w14:srgbClr w14:val="c0c0c0">
                                    <w14:alpha w14:val="50000"/>
                                  </w14:srgbClr>
                                </w14:solidFill>
                              </w14:textFill>
                              <w14:textOutline w14:w="0" w14:cap="flat" w14:cmpd="sng">
                                <w14:noFill/>
                                <w14:round/>
                              </w14:textOutline>
                            </w:rPr>
                            <w:t>UNDER PEER REVIEW</w:t>
                          </w:r>
                        </w:p>
                      </w:txbxContent>
                    </wps:txbx>
                    <wps:bodyPr wrap="square" lIns="0" rIns="0" tIns="0" bIns="0" anchor="ctr">
                      <a:prstTxWarp prst="textPlain">
                        <a:avLst>
                          <a:gd name="adj" fmla="val 50000"/>
                        </a:avLst>
                      </a:prstTxWarp>
                      <a:noAutofit/>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300" distR="0" simplePos="0" locked="0" layoutInCell="0" allowOverlap="1" relativeHeight="13">
              <wp:simplePos x="0" y="0"/>
              <wp:positionH relativeFrom="margin">
                <wp:align>center</wp:align>
              </wp:positionH>
              <wp:positionV relativeFrom="margin">
                <wp:align>center</wp:align>
              </wp:positionV>
              <wp:extent cx="138430" cy="16510"/>
              <wp:effectExtent l="6913880" t="5018405" r="0" b="0"/>
              <wp:wrapNone/>
              <wp:docPr id="3" name="PowerPlusWaterMarkObject801561736"/>
              <a:graphic xmlns:a="http://schemas.openxmlformats.org/drawingml/2006/main">
                <a:graphicData uri="http://schemas.microsoft.com/office/word/2010/wordprocessingShape">
                  <wps:wsp>
                    <wps:cNvSpPr txBox="1"/>
                    <wps:spPr>
                      <a:xfrm rot="18900000">
                        <a:off x="0" y="0"/>
                        <a:ext cx="138600" cy="16560"/>
                      </a:xfrm>
                      <a:prstGeom prst="rect">
                        <a:avLst/>
                      </a:prstGeom>
                    </wps:spPr>
                    <wps:txbx>
                      <w:txbxContent>
                        <w:p>
                          <w:pPr>
                            <w:overflowPunct w:val="false"/>
                            <w:rPr/>
                          </w:pPr>
                          <w:r>
                            <w:rPr>
                              <w:sz w:val="2"/>
                              <w:rFonts w:ascii="Helvetica" w:hAnsi="Helvetica"/>
                              <w:color w:val="C0C0C0"/>
                              <w14:textFill>
                                <w14:solidFill>
                                  <w14:srgbClr w14:val="c0c0c0">
                                    <w14:alpha w14:val="50000"/>
                                  </w14:srgbClr>
                                </w14:solidFill>
                              </w14:textFill>
                              <w14:textOutline w14:w="0" w14:cap="flat" w14:cmpd="sng">
                                <w14:noFill/>
                                <w14:round/>
                              </w14:textOutline>
                            </w:rPr>
                            <w:t>UNDER PEER REVIEW</w:t>
                          </w:r>
                        </w:p>
                      </w:txbxContent>
                    </wps:txbx>
                    <wps:bodyPr wrap="square" lIns="0" rIns="0" tIns="0" bIns="0" anchor="ctr">
                      <a:prstTxWarp prst="textPlain">
                        <a:avLst>
                          <a:gd name="adj" fmla="val 50000"/>
                        </a:avLst>
                      </a:prstTxWarp>
                      <a:noAutofit/>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pPr>
      <w:widowControl/>
      <w:suppressAutoHyphens w:val="true"/>
      <w:bidi w:val="0"/>
      <w:spacing w:before="0" w:after="0"/>
      <w:jc w:val="left"/>
    </w:pPr>
    <w:rPr>
      <w:rFonts w:ascii="Helvetica" w:hAnsi="Helvetica" w:eastAsia="Times New Roman" w:cs="Times New Roman"/>
      <w:color w:val="auto"/>
      <w:kern w:val="0"/>
      <w:sz w:val="20"/>
      <w:szCs w:val="20"/>
      <w:lang w:val="en-US" w:eastAsia="en-US" w:bidi="ar-SA"/>
    </w:rPr>
  </w:style>
  <w:style w:type="paragraph" w:styleId="Heading1">
    <w:name w:val="Heading 1"/>
    <w:basedOn w:val="Normal"/>
    <w:next w:val="Normal"/>
    <w:qFormat/>
    <w:rsid w:val="00423789"/>
    <w:pPr>
      <w:keepNext w:val="true"/>
      <w:spacing w:before="240" w:after="60"/>
      <w:outlineLvl w:val="0"/>
    </w:pPr>
    <w:rPr>
      <w:rFonts w:ascii="Arial" w:hAnsi="Arial"/>
      <w:b/>
      <w:kern w:val="2"/>
      <w:sz w:val="28"/>
    </w:rPr>
  </w:style>
  <w:style w:type="paragraph" w:styleId="Heading2">
    <w:name w:val="Heading 2"/>
    <w:basedOn w:val="Heading"/>
    <w:next w:val="BodyText"/>
    <w:qFormat/>
    <w:pPr>
      <w:spacing w:before="200" w:after="120"/>
      <w:outlineLvl w:val="1"/>
    </w:pPr>
    <w:rPr>
      <w:rFonts w:ascii="Liberation Serif" w:hAnsi="Liberation Serif" w:eastAsia="DejaVu Sans" w:cs="Noto Sans Arabic"/>
      <w:b/>
      <w:bCs/>
      <w:sz w:val="36"/>
      <w:szCs w:val="36"/>
    </w:rPr>
  </w:style>
  <w:style w:type="paragraph" w:styleId="Heading3">
    <w:name w:val="Heading 3"/>
    <w:basedOn w:val="Normal"/>
    <w:next w:val="Normal"/>
    <w:link w:val="Heading3Char"/>
    <w:semiHidden/>
    <w:unhideWhenUsed/>
    <w:qFormat/>
    <w:rsid w:val="00eb3b3f"/>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Bold" w:customStyle="1">
    <w:name w:val="Bold"/>
    <w:qFormat/>
    <w:rsid w:val="00423789"/>
    <w:rPr>
      <w:b/>
    </w:rPr>
  </w:style>
  <w:style w:type="character" w:styleId="Italic" w:customStyle="1">
    <w:name w:val="Italic"/>
    <w:qFormat/>
    <w:rsid w:val="00423789"/>
    <w:rPr>
      <w:i/>
    </w:rPr>
  </w:style>
  <w:style w:type="character" w:styleId="Underline" w:customStyle="1">
    <w:name w:val="Underline"/>
    <w:qFormat/>
    <w:rsid w:val="00423789"/>
    <w:rPr>
      <w:u w:val="single"/>
    </w:rPr>
  </w:style>
  <w:style w:type="character" w:styleId="Subscript" w:customStyle="1">
    <w:name w:val="Subscript"/>
    <w:qFormat/>
    <w:rsid w:val="00423789"/>
    <w:rPr>
      <w:vertAlign w:val="subscript"/>
    </w:rPr>
  </w:style>
  <w:style w:type="character" w:styleId="Superscript" w:customStyle="1">
    <w:name w:val="Superscript"/>
    <w:qFormat/>
    <w:rsid w:val="00423789"/>
    <w:rPr>
      <w:vertAlign w:val="superscript"/>
    </w:rPr>
  </w:style>
  <w:style w:type="character" w:styleId="Symbol" w:customStyle="1">
    <w:name w:val="Symbol"/>
    <w:qFormat/>
    <w:rsid w:val="00423789"/>
    <w:rPr>
      <w:rFonts w:ascii="Symbol" w:hAnsi="Symbol"/>
    </w:rPr>
  </w:style>
  <w:style w:type="character" w:styleId="BoldItal" w:customStyle="1">
    <w:name w:val="BoldItal"/>
    <w:basedOn w:val="DefaultParagraphFont"/>
    <w:qFormat/>
    <w:rsid w:val="00423789"/>
    <w:rPr>
      <w:b/>
      <w:i/>
    </w:rPr>
  </w:style>
  <w:style w:type="character" w:styleId="SubItal" w:customStyle="1">
    <w:name w:val="SubItal"/>
    <w:qFormat/>
    <w:rsid w:val="00423789"/>
    <w:rPr>
      <w:i/>
      <w:vertAlign w:val="subscript"/>
    </w:rPr>
  </w:style>
  <w:style w:type="character" w:styleId="SuperItal" w:customStyle="1">
    <w:name w:val="SuperItal"/>
    <w:qFormat/>
    <w:rsid w:val="00423789"/>
    <w:rPr>
      <w:i/>
      <w:vertAlign w:val="superscript"/>
    </w:rPr>
  </w:style>
  <w:style w:type="character" w:styleId="SymItal" w:customStyle="1">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styleId="BodyText2Char" w:customStyle="1">
    <w:name w:val="Body Text 2 Char"/>
    <w:basedOn w:val="DefaultParagraphFont"/>
    <w:link w:val="BodyText2"/>
    <w:qFormat/>
    <w:rsid w:val="00ef7fd8"/>
    <w:rPr>
      <w:rFonts w:ascii="Helvetica" w:hAnsi="Helvetica"/>
    </w:rPr>
  </w:style>
  <w:style w:type="character" w:styleId="annotationreference">
    <w:name w:val="annotation reference"/>
    <w:basedOn w:val="DefaultParagraphFont"/>
    <w:uiPriority w:val="99"/>
    <w:unhideWhenUsed/>
    <w:qFormat/>
    <w:rsid w:val="00746e59"/>
    <w:rPr>
      <w:sz w:val="16"/>
      <w:szCs w:val="16"/>
    </w:rPr>
  </w:style>
  <w:style w:type="character" w:styleId="CommentTextChar" w:customStyle="1">
    <w:name w:val="Comment Text Char"/>
    <w:basedOn w:val="DefaultParagraphFont"/>
    <w:link w:val="AnnotationText"/>
    <w:uiPriority w:val="99"/>
    <w:qFormat/>
    <w:rsid w:val="00746e59"/>
    <w:rPr>
      <w:lang w:val="nb-NO" w:eastAsia="nb-NO"/>
    </w:rPr>
  </w:style>
  <w:style w:type="character" w:styleId="BalloonTextChar" w:customStyle="1">
    <w:name w:val="Balloon Text Char"/>
    <w:basedOn w:val="DefaultParagraphFont"/>
    <w:link w:val="BalloonText"/>
    <w:qFormat/>
    <w:rsid w:val="00746e59"/>
    <w:rPr>
      <w:rFonts w:ascii="Tahoma" w:hAnsi="Tahoma" w:cs="Tahoma"/>
      <w:sz w:val="16"/>
      <w:szCs w:val="16"/>
    </w:rPr>
  </w:style>
  <w:style w:type="character" w:styleId="BodyText3Char" w:customStyle="1">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rPr/>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fill="E1DFDD" w:val="clear"/>
    </w:rPr>
  </w:style>
  <w:style w:type="character" w:styleId="NumberingSymbols" w:customStyle="1">
    <w:name w:val="Numbering Symbols"/>
    <w:qFormat/>
    <w:rPr/>
  </w:style>
  <w:style w:type="character" w:styleId="Heading3Char" w:customStyle="1">
    <w:name w:val="Heading 3 Char"/>
    <w:basedOn w:val="DefaultParagraphFont"/>
    <w:link w:val="Heading3"/>
    <w:semiHidden/>
    <w:qFormat/>
    <w:rsid w:val="00eb3b3f"/>
    <w:rPr>
      <w:rFonts w:ascii="Cambria" w:hAnsi="Cambria" w:eastAsia="" w:cs="" w:asciiTheme="majorHAnsi" w:cstheme="majorBidi" w:eastAsiaTheme="majorEastAsia" w:hAnsiTheme="majorHAnsi"/>
      <w:color w:themeColor="accent1" w:themeShade="7f" w:val="243F60"/>
      <w:sz w:val="24"/>
      <w:szCs w:val="24"/>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Author" w:customStyle="1">
    <w:name w:val="Author"/>
    <w:basedOn w:val="Normal"/>
    <w:qFormat/>
    <w:rsid w:val="00423789"/>
    <w:pPr>
      <w:spacing w:lineRule="exact" w:line="280"/>
      <w:jc w:val="right"/>
    </w:pPr>
    <w:rPr>
      <w:b/>
      <w:sz w:val="24"/>
    </w:rPr>
  </w:style>
  <w:style w:type="paragraph" w:styleId="Affiliation" w:customStyle="1">
    <w:name w:val="Affiliation"/>
    <w:basedOn w:val="Normal"/>
    <w:qFormat/>
    <w:rsid w:val="00423789"/>
    <w:pPr>
      <w:spacing w:lineRule="exact" w:line="240" w:before="0" w:after="240"/>
      <w:jc w:val="right"/>
    </w:pPr>
    <w:rPr/>
  </w:style>
  <w:style w:type="paragraph" w:styleId="Body" w:customStyle="1">
    <w:name w:val="Body"/>
    <w:basedOn w:val="Normal"/>
    <w:qFormat/>
    <w:rsid w:val="00423789"/>
    <w:pPr>
      <w:spacing w:before="0" w:after="240"/>
      <w:jc w:val="both"/>
    </w:pPr>
    <w:rPr/>
  </w:style>
  <w:style w:type="paragraph" w:styleId="AbstHead" w:customStyle="1">
    <w:name w:val="Abst Head"/>
    <w:basedOn w:val="MainHead"/>
    <w:qFormat/>
    <w:rsid w:val="00423789"/>
    <w:pPr/>
    <w:rPr>
      <w:sz w:val="22"/>
    </w:rPr>
  </w:style>
  <w:style w:type="paragraph" w:styleId="IntroHead" w:customStyle="1">
    <w:name w:val="Intro Head"/>
    <w:basedOn w:val="MainHead"/>
    <w:qFormat/>
    <w:rsid w:val="00423789"/>
    <w:pPr/>
    <w:rPr>
      <w:sz w:val="22"/>
    </w:rPr>
  </w:style>
  <w:style w:type="paragraph" w:styleId="PaperNumber" w:customStyle="1">
    <w:name w:val="Paper Number"/>
    <w:basedOn w:val="Normal"/>
    <w:qFormat/>
    <w:rsid w:val="00423789"/>
    <w:pPr>
      <w:spacing w:lineRule="exact" w:line="280" w:before="0" w:after="280"/>
      <w:jc w:val="right"/>
    </w:pPr>
    <w:rPr>
      <w:b/>
      <w:sz w:val="28"/>
    </w:rPr>
  </w:style>
  <w:style w:type="paragraph" w:styleId="ConcHead" w:customStyle="1">
    <w:name w:val="Conc Head"/>
    <w:basedOn w:val="MainHead"/>
    <w:qFormat/>
    <w:rsid w:val="00423789"/>
    <w:pPr/>
    <w:rPr>
      <w:sz w:val="22"/>
    </w:rPr>
  </w:style>
  <w:style w:type="paragraph" w:styleId="AcknHead" w:customStyle="1">
    <w:name w:val="Ackn Head"/>
    <w:basedOn w:val="MainHead"/>
    <w:qFormat/>
    <w:rsid w:val="00423789"/>
    <w:pPr/>
    <w:rPr>
      <w:sz w:val="22"/>
    </w:rPr>
  </w:style>
  <w:style w:type="paragraph" w:styleId="ReferHead" w:customStyle="1">
    <w:name w:val="Refer Head"/>
    <w:basedOn w:val="MainHead"/>
    <w:qFormat/>
    <w:rsid w:val="00423789"/>
    <w:pPr/>
    <w:rPr>
      <w:sz w:val="22"/>
    </w:rPr>
  </w:style>
  <w:style w:type="paragraph" w:styleId="AddSrcHead" w:customStyle="1">
    <w:name w:val="AddSrc Head"/>
    <w:basedOn w:val="MainHead"/>
    <w:qFormat/>
    <w:rsid w:val="00423789"/>
    <w:pPr/>
    <w:rPr>
      <w:sz w:val="22"/>
    </w:rPr>
  </w:style>
  <w:style w:type="paragraph" w:styleId="DefAcrHead" w:customStyle="1">
    <w:name w:val="DefAcrHead"/>
    <w:basedOn w:val="MainHead"/>
    <w:qFormat/>
    <w:rsid w:val="00423789"/>
    <w:pPr/>
    <w:rPr>
      <w:sz w:val="22"/>
    </w:rPr>
  </w:style>
  <w:style w:type="paragraph" w:styleId="Copyright" w:customStyle="1">
    <w:name w:val="Copyright"/>
    <w:basedOn w:val="Normal"/>
    <w:qFormat/>
    <w:rsid w:val="00423789"/>
    <w:pPr>
      <w:spacing w:lineRule="exact" w:line="200" w:before="0" w:after="960"/>
    </w:pPr>
    <w:rPr>
      <w:sz w:val="16"/>
    </w:rPr>
  </w:style>
  <w:style w:type="paragraph" w:styleId="Title">
    <w:name w:val="Title"/>
    <w:basedOn w:val="Normal"/>
    <w:qFormat/>
    <w:rsid w:val="00423789"/>
    <w:pPr>
      <w:spacing w:before="0" w:after="360"/>
      <w:jc w:val="right"/>
    </w:pPr>
    <w:rPr>
      <w:b/>
      <w:kern w:val="2"/>
      <w:sz w:val="36"/>
    </w:rPr>
  </w:style>
  <w:style w:type="paragraph" w:styleId="Reference" w:customStyle="1">
    <w:name w:val="Reference"/>
    <w:basedOn w:val="Body"/>
    <w:qFormat/>
    <w:rsid w:val="00423789"/>
    <w:pPr>
      <w:numPr>
        <w:ilvl w:val="0"/>
        <w:numId w:val="1"/>
      </w:numPr>
      <w:spacing w:lineRule="exact" w:line="240" w:before="0" w:after="0"/>
    </w:pPr>
    <w:rPr/>
  </w:style>
  <w:style w:type="paragraph" w:styleId="Head1" w:customStyle="1">
    <w:name w:val="Head1"/>
    <w:basedOn w:val="MainHead"/>
    <w:qFormat/>
    <w:rsid w:val="00423789"/>
    <w:pPr/>
    <w:rPr>
      <w:sz w:val="22"/>
    </w:rPr>
  </w:style>
  <w:style w:type="paragraph" w:styleId="ContactHead" w:customStyle="1">
    <w:name w:val="Contact Head"/>
    <w:basedOn w:val="MainHead"/>
    <w:qFormat/>
    <w:rsid w:val="00423789"/>
    <w:pPr/>
    <w:rPr>
      <w:sz w:val="22"/>
    </w:rPr>
  </w:style>
  <w:style w:type="paragraph" w:styleId="Head3" w:customStyle="1">
    <w:name w:val="Head3"/>
    <w:basedOn w:val="Head2"/>
    <w:qFormat/>
    <w:rsid w:val="00423789"/>
    <w:pPr/>
    <w:rPr>
      <w:caps w:val="false"/>
      <w:smallCaps w:val="false"/>
      <w:u w:val="single"/>
    </w:rPr>
  </w:style>
  <w:style w:type="paragraph" w:styleId="Head4" w:customStyle="1">
    <w:name w:val="Head4"/>
    <w:basedOn w:val="Head3"/>
    <w:qFormat/>
    <w:rsid w:val="00423789"/>
    <w:pPr/>
    <w:rPr>
      <w:u w:val="none"/>
    </w:rPr>
  </w:style>
  <w:style w:type="paragraph" w:styleId="UnordList" w:customStyle="1">
    <w:name w:val="Unord List"/>
    <w:basedOn w:val="Body"/>
    <w:qFormat/>
    <w:rsid w:val="00423789"/>
    <w:pPr>
      <w:spacing w:before="0" w:after="0"/>
      <w:ind w:hanging="360" w:left="360"/>
    </w:pPr>
    <w:rPr/>
  </w:style>
  <w:style w:type="paragraph" w:styleId="OrdList" w:customStyle="1">
    <w:name w:val="Ord List"/>
    <w:basedOn w:val="UnordList"/>
    <w:qFormat/>
    <w:rsid w:val="00423789"/>
    <w:pPr>
      <w:jc w:val="left"/>
    </w:pPr>
    <w:rPr/>
  </w:style>
  <w:style w:type="paragraph" w:styleId="Appendix" w:customStyle="1">
    <w:name w:val="Appendix"/>
    <w:basedOn w:val="MainHead"/>
    <w:qFormat/>
    <w:rsid w:val="00423789"/>
    <w:pPr/>
    <w:rPr>
      <w:sz w:val="22"/>
    </w:rPr>
  </w:style>
  <w:style w:type="paragraph" w:styleId="Term" w:customStyle="1">
    <w:name w:val="Term"/>
    <w:basedOn w:val="Body"/>
    <w:qFormat/>
    <w:rsid w:val="00423789"/>
    <w:pPr>
      <w:spacing w:before="0" w:after="0"/>
    </w:pPr>
    <w:rPr>
      <w:b/>
    </w:rPr>
  </w:style>
  <w:style w:type="paragraph" w:styleId="Definition" w:customStyle="1">
    <w:name w:val="Definition"/>
    <w:basedOn w:val="Body"/>
    <w:qFormat/>
    <w:rsid w:val="00423789"/>
    <w:pPr/>
    <w:rPr/>
  </w:style>
  <w:style w:type="paragraph" w:styleId="Head2" w:customStyle="1">
    <w:name w:val="Head2"/>
    <w:basedOn w:val="Normal"/>
    <w:next w:val="Body"/>
    <w:qFormat/>
    <w:rsid w:val="00423789"/>
    <w:pPr>
      <w:keepNext w:val="true"/>
      <w:spacing w:before="0" w:after="240"/>
    </w:pPr>
    <w:rPr>
      <w:caps/>
    </w:rPr>
  </w:style>
  <w:style w:type="paragraph" w:styleId="MainHead" w:customStyle="1">
    <w:name w:val="Main Head"/>
    <w:basedOn w:val="Normal"/>
    <w:qFormat/>
    <w:rsid w:val="00423789"/>
    <w:pPr>
      <w:keepNext w:val="true"/>
      <w:spacing w:before="0" w:after="240"/>
    </w:pPr>
    <w:rPr>
      <w:b/>
      <w:caps/>
    </w:rPr>
  </w:style>
  <w:style w:type="paragraph" w:styleId="Equation" w:customStyle="1">
    <w:name w:val="Equation"/>
    <w:basedOn w:val="Body"/>
    <w:qFormat/>
    <w:rsid w:val="0053056e"/>
    <w:pPr/>
    <w:rPr/>
  </w:style>
  <w:style w:type="paragraph" w:styleId="Figure" w:customStyle="1">
    <w:name w:val="Figure"/>
    <w:basedOn w:val="Copyright"/>
    <w:qFormat/>
    <w:rsid w:val="00030174"/>
    <w:pPr>
      <w:spacing w:before="0" w:after="240"/>
    </w:pPr>
    <w:rPr>
      <w:sz w:val="20"/>
    </w:rPr>
  </w:style>
  <w:style w:type="paragraph" w:styleId="HeaderandFooter" w:customStyle="1">
    <w:name w:val="Header and Footer"/>
    <w:basedOn w:val="Normal"/>
    <w:qFormat/>
    <w:pPr/>
    <w:rPr/>
  </w:style>
  <w:style w:type="paragraph" w:styleId="Footer">
    <w:name w:val="Footer"/>
    <w:basedOn w:val="Normal"/>
    <w:rsid w:val="00423789"/>
    <w:pPr>
      <w:suppressLineNumbers/>
      <w:tabs>
        <w:tab w:val="clear" w:pos="720"/>
        <w:tab w:val="center" w:pos="4320" w:leader="none"/>
        <w:tab w:val="right" w:pos="8640" w:leader="none"/>
      </w:tabs>
    </w:pPr>
    <w:rPr/>
  </w:style>
  <w:style w:type="paragraph" w:styleId="Head41" w:customStyle="1">
    <w:name w:val="Head 4"/>
    <w:basedOn w:val="Head3"/>
    <w:qFormat/>
    <w:rsid w:val="00423789"/>
    <w:pPr/>
    <w:rPr>
      <w:u w:val="none"/>
    </w:rPr>
  </w:style>
  <w:style w:type="paragraph" w:styleId="Header">
    <w:name w:val="Header"/>
    <w:basedOn w:val="Normal"/>
    <w:rsid w:val="00423789"/>
    <w:pPr>
      <w:suppressLineNumbers/>
      <w:tabs>
        <w:tab w:val="clear" w:pos="720"/>
        <w:tab w:val="center" w:pos="4320" w:leader="none"/>
        <w:tab w:val="right" w:pos="8640" w:leader="none"/>
      </w:tabs>
    </w:pPr>
    <w:rPr/>
  </w:style>
  <w:style w:type="paragraph" w:styleId="Paper" w:customStyle="1">
    <w:name w:val="Paper"/>
    <w:basedOn w:val="Normal"/>
    <w:qFormat/>
    <w:rsid w:val="00423789"/>
    <w:pPr>
      <w:spacing w:lineRule="exact" w:line="440" w:before="0" w:after="360"/>
      <w:jc w:val="right"/>
    </w:pPr>
    <w:rPr>
      <w:b/>
      <w:sz w:val="36"/>
    </w:rPr>
  </w:style>
  <w:style w:type="paragraph" w:styleId="Signature">
    <w:name w:val="Signature"/>
    <w:basedOn w:val="Normal"/>
    <w:rsid w:val="00423789"/>
    <w:pPr>
      <w:ind w:left="4320"/>
    </w:pPr>
    <w:rPr/>
  </w:style>
  <w:style w:type="paragraph" w:styleId="SymbolP" w:customStyle="1">
    <w:name w:val="Symbol P"/>
    <w:basedOn w:val="Body"/>
    <w:qFormat/>
    <w:rsid w:val="00423789"/>
    <w:pPr>
      <w:tabs>
        <w:tab w:val="left" w:pos="720" w:leader="none"/>
        <w:tab w:val="left" w:pos="3780" w:leader="none"/>
      </w:tabs>
      <w:spacing w:before="0" w:after="0"/>
    </w:pPr>
    <w:rPr>
      <w:sz w:val="24"/>
    </w:rPr>
  </w:style>
  <w:style w:type="paragraph" w:styleId="BodyText2">
    <w:name w:val="Body Text 2"/>
    <w:basedOn w:val="Normal"/>
    <w:link w:val="BodyText2Char"/>
    <w:qFormat/>
    <w:rsid w:val="00ef7fd8"/>
    <w:pPr>
      <w:spacing w:lineRule="auto" w:line="480" w:before="0" w:after="120"/>
    </w:pPr>
    <w:rPr/>
  </w:style>
  <w:style w:type="paragraph" w:styleId="AnnotationText">
    <w:name w:val="Annotation Text"/>
    <w:basedOn w:val="Normal"/>
    <w:link w:val="CommentTextChar"/>
    <w:uiPriority w:val="99"/>
    <w:unhideWhenUsed/>
    <w:rsid w:val="00746e59"/>
    <w:pPr/>
    <w:rPr>
      <w:rFonts w:ascii="Times New Roman" w:hAnsi="Times New Roman"/>
      <w:lang w:val="nb-NO" w:eastAsia="nb-NO"/>
    </w:rPr>
  </w:style>
  <w:style w:type="paragraph" w:styleId="BalloonText">
    <w:name w:val="Balloon Text"/>
    <w:basedOn w:val="Normal"/>
    <w:link w:val="BalloonTextChar"/>
    <w:qFormat/>
    <w:rsid w:val="00746e59"/>
    <w:pPr/>
    <w:rPr>
      <w:rFonts w:ascii="Tahoma" w:hAnsi="Tahoma" w:cs="Tahoma"/>
      <w:sz w:val="16"/>
      <w:szCs w:val="16"/>
    </w:rPr>
  </w:style>
  <w:style w:type="paragraph" w:styleId="BodyText3">
    <w:name w:val="Body Text 3"/>
    <w:basedOn w:val="Normal"/>
    <w:link w:val="BodyText3Char"/>
    <w:qFormat/>
    <w:rsid w:val="00231920"/>
    <w:pPr>
      <w:spacing w:before="0" w:after="120"/>
    </w:pPr>
    <w:rPr>
      <w:sz w:val="16"/>
      <w:szCs w:val="16"/>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NumberingABC" w:customStyle="1">
    <w:name w:val="Numbering ABC"/>
    <w:qFormat/>
  </w:style>
  <w:style w:type="numbering" w:styleId="Numbering123" w:customStyle="1">
    <w:name w:val="Numbering 123"/>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9652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hyperlink" Target="https://doi.org/10.1080/00330124.2025.2478075"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7966-89B6-42A5-8209-5C978A62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LibreOffice/24.2.7.2$Linux_X86_64 LibreOffice_project/420$Build-2</Application>
  <AppVersion>15.0000</AppVersion>
  <Pages>11</Pages>
  <Words>4789</Words>
  <Characters>26320</Characters>
  <CharactersWithSpaces>31023</CharactersWithSpaces>
  <Paragraphs>107</Paragraphs>
  <Company>aaaa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2025-10-28T05:11:00Z</dcterms:created>
  <dc:creator>SDI</dc:creator>
  <dc:description/>
  <dc:language>en-US</dc:language>
  <cp:lastModifiedBy/>
  <cp:lastPrinted>1999-07-06T11:00:00Z</cp:lastPrinted>
  <dcterms:modified xsi:type="dcterms:W3CDTF">2025-11-01T18:50:52Z</dcterms:modified>
  <cp:revision>31</cp:revision>
  <dc:subject/>
  <dc:title>Paper Template</dc:title>
</cp:coreProperties>
</file>

<file path=docProps/custom.xml><?xml version="1.0" encoding="utf-8"?>
<Properties xmlns="http://schemas.openxmlformats.org/officeDocument/2006/custom-properties" xmlns:vt="http://schemas.openxmlformats.org/officeDocument/2006/docPropsVTypes"/>
</file>