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3DF6" w14:textId="3A35E1C7" w:rsidR="00226570" w:rsidRPr="001558CF" w:rsidRDefault="00226570" w:rsidP="002E3526">
      <w:pPr>
        <w:autoSpaceDE w:val="0"/>
        <w:autoSpaceDN w:val="0"/>
        <w:adjustRightInd w:val="0"/>
        <w:spacing w:after="0" w:line="240" w:lineRule="auto"/>
        <w:jc w:val="center"/>
        <w:rPr>
          <w:rFonts w:ascii="Times New Roman" w:eastAsia="Calibri" w:hAnsi="Times New Roman" w:cs="Times New Roman"/>
          <w:sz w:val="24"/>
          <w:szCs w:val="24"/>
        </w:rPr>
      </w:pPr>
      <w:r w:rsidRPr="00C4294C">
        <w:rPr>
          <w:rFonts w:ascii="Times New Roman" w:eastAsia="Calibri" w:hAnsi="Times New Roman" w:cs="Times New Roman"/>
          <w:b/>
          <w:sz w:val="24"/>
          <w:szCs w:val="24"/>
        </w:rPr>
        <w:t xml:space="preserve">Experimental </w:t>
      </w:r>
      <w:r>
        <w:rPr>
          <w:rFonts w:ascii="Times New Roman" w:eastAsia="Calibri" w:hAnsi="Times New Roman" w:cs="Times New Roman"/>
          <w:b/>
          <w:sz w:val="24"/>
          <w:szCs w:val="24"/>
        </w:rPr>
        <w:t>i</w:t>
      </w:r>
      <w:r w:rsidRPr="00C4294C">
        <w:rPr>
          <w:rFonts w:ascii="Times New Roman" w:eastAsia="Calibri" w:hAnsi="Times New Roman" w:cs="Times New Roman"/>
          <w:b/>
          <w:sz w:val="24"/>
          <w:szCs w:val="24"/>
        </w:rPr>
        <w:t xml:space="preserve">nvestigation of the </w:t>
      </w:r>
      <w:r>
        <w:rPr>
          <w:rFonts w:ascii="Times New Roman" w:eastAsia="Calibri" w:hAnsi="Times New Roman" w:cs="Times New Roman"/>
          <w:b/>
          <w:sz w:val="24"/>
          <w:szCs w:val="24"/>
        </w:rPr>
        <w:t>p</w:t>
      </w:r>
      <w:r w:rsidRPr="00C4294C">
        <w:rPr>
          <w:rFonts w:ascii="Times New Roman" w:eastAsia="Calibri" w:hAnsi="Times New Roman" w:cs="Times New Roman"/>
          <w:b/>
          <w:sz w:val="24"/>
          <w:szCs w:val="24"/>
        </w:rPr>
        <w:t>hysic</w:t>
      </w:r>
      <w:r>
        <w:rPr>
          <w:rFonts w:ascii="Times New Roman" w:eastAsia="Calibri" w:hAnsi="Times New Roman" w:cs="Times New Roman"/>
          <w:b/>
          <w:sz w:val="24"/>
          <w:szCs w:val="24"/>
        </w:rPr>
        <w:t>o-m</w:t>
      </w:r>
      <w:r w:rsidRPr="00C4294C">
        <w:rPr>
          <w:rFonts w:ascii="Times New Roman" w:eastAsia="Calibri" w:hAnsi="Times New Roman" w:cs="Times New Roman"/>
          <w:b/>
          <w:sz w:val="24"/>
          <w:szCs w:val="24"/>
        </w:rPr>
        <w:t xml:space="preserve">echanical </w:t>
      </w:r>
      <w:r>
        <w:rPr>
          <w:rFonts w:ascii="Times New Roman" w:eastAsia="Calibri" w:hAnsi="Times New Roman" w:cs="Times New Roman"/>
          <w:b/>
          <w:sz w:val="24"/>
          <w:szCs w:val="24"/>
        </w:rPr>
        <w:t>properties</w:t>
      </w:r>
      <w:r w:rsidRPr="00C4294C">
        <w:rPr>
          <w:rFonts w:ascii="Times New Roman" w:eastAsia="Calibri" w:hAnsi="Times New Roman" w:cs="Times New Roman"/>
          <w:b/>
          <w:sz w:val="24"/>
          <w:szCs w:val="24"/>
        </w:rPr>
        <w:t xml:space="preserve"> of </w:t>
      </w:r>
      <w:r>
        <w:rPr>
          <w:rFonts w:ascii="Times New Roman" w:eastAsia="Calibri" w:hAnsi="Times New Roman" w:cs="Times New Roman"/>
          <w:b/>
          <w:sz w:val="24"/>
          <w:szCs w:val="24"/>
        </w:rPr>
        <w:t>p</w:t>
      </w:r>
      <w:r w:rsidRPr="00C4294C">
        <w:rPr>
          <w:rFonts w:ascii="Times New Roman" w:eastAsia="Calibri" w:hAnsi="Times New Roman" w:cs="Times New Roman"/>
          <w:b/>
          <w:sz w:val="24"/>
          <w:szCs w:val="24"/>
        </w:rPr>
        <w:t>lastic-</w:t>
      </w:r>
      <w:r>
        <w:rPr>
          <w:rFonts w:ascii="Times New Roman" w:eastAsia="Calibri" w:hAnsi="Times New Roman" w:cs="Times New Roman"/>
          <w:b/>
          <w:sz w:val="24"/>
          <w:szCs w:val="24"/>
        </w:rPr>
        <w:t>s</w:t>
      </w:r>
      <w:r w:rsidRPr="00C4294C">
        <w:rPr>
          <w:rFonts w:ascii="Times New Roman" w:eastAsia="Calibri" w:hAnsi="Times New Roman" w:cs="Times New Roman"/>
          <w:b/>
          <w:sz w:val="24"/>
          <w:szCs w:val="24"/>
        </w:rPr>
        <w:t xml:space="preserve">tabilized </w:t>
      </w:r>
      <w:r>
        <w:rPr>
          <w:rFonts w:ascii="Times New Roman" w:eastAsia="Calibri" w:hAnsi="Times New Roman" w:cs="Times New Roman"/>
          <w:b/>
          <w:sz w:val="24"/>
          <w:szCs w:val="24"/>
        </w:rPr>
        <w:t>p</w:t>
      </w:r>
      <w:r w:rsidRPr="00C4294C">
        <w:rPr>
          <w:rFonts w:ascii="Times New Roman" w:eastAsia="Calibri" w:hAnsi="Times New Roman" w:cs="Times New Roman"/>
          <w:b/>
          <w:sz w:val="24"/>
          <w:szCs w:val="24"/>
        </w:rPr>
        <w:t xml:space="preserve">avement </w:t>
      </w:r>
      <w:r>
        <w:rPr>
          <w:rFonts w:ascii="Times New Roman" w:eastAsia="Calibri" w:hAnsi="Times New Roman" w:cs="Times New Roman"/>
          <w:b/>
          <w:sz w:val="24"/>
          <w:szCs w:val="24"/>
        </w:rPr>
        <w:t>m</w:t>
      </w:r>
      <w:r w:rsidRPr="00C4294C">
        <w:rPr>
          <w:rFonts w:ascii="Times New Roman" w:eastAsia="Calibri" w:hAnsi="Times New Roman" w:cs="Times New Roman"/>
          <w:b/>
          <w:sz w:val="24"/>
          <w:szCs w:val="24"/>
        </w:rPr>
        <w:t>aterials</w:t>
      </w:r>
    </w:p>
    <w:p w14:paraId="68353BCA" w14:textId="77777777" w:rsidR="00226570" w:rsidRPr="00226570" w:rsidRDefault="00226570" w:rsidP="00350C11">
      <w:pPr>
        <w:pStyle w:val="Heading1"/>
      </w:pPr>
      <w:bookmarkStart w:id="0" w:name="_Toc187190179"/>
      <w:r w:rsidRPr="00226570">
        <w:t>ABSTRACT</w:t>
      </w:r>
      <w:bookmarkEnd w:id="0"/>
    </w:p>
    <w:p w14:paraId="2E2EF641" w14:textId="292BD696" w:rsidR="008A610F" w:rsidRPr="008A610F" w:rsidRDefault="008A610F" w:rsidP="008A610F">
      <w:pPr>
        <w:spacing w:after="0" w:line="240" w:lineRule="auto"/>
        <w:jc w:val="both"/>
        <w:rPr>
          <w:rFonts w:ascii="Times New Roman" w:eastAsia="Times New Roman" w:hAnsi="Times New Roman" w:cs="Times New Roman"/>
          <w:iCs/>
          <w:sz w:val="24"/>
          <w:szCs w:val="24"/>
        </w:rPr>
      </w:pPr>
      <w:r w:rsidRPr="008A610F">
        <w:rPr>
          <w:rFonts w:ascii="Times New Roman" w:eastAsia="Times New Roman" w:hAnsi="Times New Roman" w:cs="Times New Roman"/>
          <w:iCs/>
          <w:sz w:val="24"/>
          <w:szCs w:val="24"/>
        </w:rPr>
        <w:t xml:space="preserve">This research evaluates the physico-mechanical properties of asphalt pavements modified with non-biodegradable bottled water plastic waste to improve performance and promote sustainability. Key tests included Los Angeles Abrasion (LAA) and Aggregate Impact Value (AIV) on aggregates, softening point and penetration on bitumen, Marshall mix design for optimum bitumen content (OBC), and Indirect Tensile Strength (ITS) for tensile performance. The OBC was determined as 6 </w:t>
      </w:r>
      <w:proofErr w:type="spellStart"/>
      <w:r w:rsidRPr="008A610F">
        <w:rPr>
          <w:rFonts w:ascii="Times New Roman" w:eastAsia="Times New Roman" w:hAnsi="Times New Roman" w:cs="Times New Roman"/>
          <w:iCs/>
          <w:sz w:val="24"/>
          <w:szCs w:val="24"/>
        </w:rPr>
        <w:t>wt</w:t>
      </w:r>
      <w:proofErr w:type="spellEnd"/>
      <w:r w:rsidRPr="008A610F">
        <w:rPr>
          <w:rFonts w:ascii="Times New Roman" w:eastAsia="Times New Roman" w:hAnsi="Times New Roman" w:cs="Times New Roman"/>
          <w:iCs/>
          <w:sz w:val="24"/>
          <w:szCs w:val="24"/>
        </w:rPr>
        <w:t xml:space="preserve">%. Fifteen samples were then prepared with melted plastic at 10-50 </w:t>
      </w:r>
      <w:proofErr w:type="spellStart"/>
      <w:r w:rsidRPr="008A610F">
        <w:rPr>
          <w:rFonts w:ascii="Times New Roman" w:eastAsia="Times New Roman" w:hAnsi="Times New Roman" w:cs="Times New Roman"/>
          <w:iCs/>
          <w:sz w:val="24"/>
          <w:szCs w:val="24"/>
        </w:rPr>
        <w:t>wt</w:t>
      </w:r>
      <w:proofErr w:type="spellEnd"/>
      <w:r w:rsidRPr="008A610F">
        <w:rPr>
          <w:rFonts w:ascii="Times New Roman" w:eastAsia="Times New Roman" w:hAnsi="Times New Roman" w:cs="Times New Roman"/>
          <w:iCs/>
          <w:sz w:val="24"/>
          <w:szCs w:val="24"/>
        </w:rPr>
        <w:t>% of OBC.</w:t>
      </w:r>
      <w:bookmarkStart w:id="1" w:name="_GoBack"/>
      <w:bookmarkEnd w:id="1"/>
    </w:p>
    <w:p w14:paraId="41B95D2A" w14:textId="11D41063" w:rsidR="008A610F" w:rsidRPr="008A610F" w:rsidRDefault="008A610F" w:rsidP="008A610F">
      <w:pPr>
        <w:spacing w:after="0" w:line="240" w:lineRule="auto"/>
        <w:jc w:val="both"/>
        <w:rPr>
          <w:rFonts w:ascii="Times New Roman" w:eastAsia="Times New Roman" w:hAnsi="Times New Roman" w:cs="Times New Roman"/>
          <w:iCs/>
          <w:sz w:val="24"/>
          <w:szCs w:val="24"/>
        </w:rPr>
      </w:pPr>
      <w:r w:rsidRPr="008A610F">
        <w:rPr>
          <w:rFonts w:ascii="Times New Roman" w:eastAsia="Times New Roman" w:hAnsi="Times New Roman" w:cs="Times New Roman"/>
          <w:iCs/>
          <w:sz w:val="24"/>
          <w:szCs w:val="24"/>
        </w:rPr>
        <w:t xml:space="preserve">Results indicated that 20 </w:t>
      </w:r>
      <w:proofErr w:type="spellStart"/>
      <w:r w:rsidRPr="008A610F">
        <w:rPr>
          <w:rFonts w:ascii="Times New Roman" w:eastAsia="Times New Roman" w:hAnsi="Times New Roman" w:cs="Times New Roman"/>
          <w:iCs/>
          <w:sz w:val="24"/>
          <w:szCs w:val="24"/>
        </w:rPr>
        <w:t>wt</w:t>
      </w:r>
      <w:proofErr w:type="spellEnd"/>
      <w:r w:rsidRPr="008A610F">
        <w:rPr>
          <w:rFonts w:ascii="Times New Roman" w:eastAsia="Times New Roman" w:hAnsi="Times New Roman" w:cs="Times New Roman"/>
          <w:iCs/>
          <w:sz w:val="24"/>
          <w:szCs w:val="24"/>
        </w:rPr>
        <w:t xml:space="preserve">% plastic yielded optimal outcomes: stability increased slightly to 5.25 </w:t>
      </w:r>
      <w:proofErr w:type="spellStart"/>
      <w:r w:rsidRPr="008A610F">
        <w:rPr>
          <w:rFonts w:ascii="Times New Roman" w:eastAsia="Times New Roman" w:hAnsi="Times New Roman" w:cs="Times New Roman"/>
          <w:iCs/>
          <w:sz w:val="24"/>
          <w:szCs w:val="24"/>
        </w:rPr>
        <w:t>kN</w:t>
      </w:r>
      <w:proofErr w:type="spellEnd"/>
      <w:r w:rsidRPr="008A610F">
        <w:rPr>
          <w:rFonts w:ascii="Times New Roman" w:eastAsia="Times New Roman" w:hAnsi="Times New Roman" w:cs="Times New Roman"/>
          <w:iCs/>
          <w:sz w:val="24"/>
          <w:szCs w:val="24"/>
        </w:rPr>
        <w:t xml:space="preserve"> from 4.98 </w:t>
      </w:r>
      <w:proofErr w:type="spellStart"/>
      <w:r w:rsidRPr="008A610F">
        <w:rPr>
          <w:rFonts w:ascii="Times New Roman" w:eastAsia="Times New Roman" w:hAnsi="Times New Roman" w:cs="Times New Roman"/>
          <w:iCs/>
          <w:sz w:val="24"/>
          <w:szCs w:val="24"/>
        </w:rPr>
        <w:t>kN</w:t>
      </w:r>
      <w:proofErr w:type="spellEnd"/>
      <w:r w:rsidRPr="008A610F">
        <w:rPr>
          <w:rFonts w:ascii="Times New Roman" w:eastAsia="Times New Roman" w:hAnsi="Times New Roman" w:cs="Times New Roman"/>
          <w:iCs/>
          <w:sz w:val="24"/>
          <w:szCs w:val="24"/>
        </w:rPr>
        <w:t xml:space="preserve"> (control), with acceptable flow (2-4 mm), voids in mineral aggregate (VMA), and ITS (0.1579 MPa vs. 0.1358 MPa control). LAA (42%) and AIV (27.7%) confirmed aggregate suitability.</w:t>
      </w:r>
    </w:p>
    <w:p w14:paraId="7F37DB10" w14:textId="77777777" w:rsidR="008A610F" w:rsidRPr="008A610F" w:rsidRDefault="008A610F" w:rsidP="008A610F">
      <w:pPr>
        <w:spacing w:after="0" w:line="240" w:lineRule="auto"/>
        <w:jc w:val="both"/>
        <w:rPr>
          <w:rFonts w:ascii="Times New Roman" w:eastAsia="Times New Roman" w:hAnsi="Times New Roman" w:cs="Times New Roman"/>
          <w:iCs/>
          <w:sz w:val="24"/>
          <w:szCs w:val="24"/>
        </w:rPr>
      </w:pPr>
      <w:r w:rsidRPr="008A610F">
        <w:rPr>
          <w:rFonts w:ascii="Times New Roman" w:eastAsia="Times New Roman" w:hAnsi="Times New Roman" w:cs="Times New Roman"/>
          <w:iCs/>
          <w:sz w:val="24"/>
          <w:szCs w:val="24"/>
        </w:rPr>
        <w:t>Compared to prior studies (e.g., on plastic-modified asphalt showing rutting resistance), this work demonstrates superior stability and waste valorization in Nigeria's context, offering a cost-effective, eco-friendly alternative that reduces plastic pollution while enhancing pavement durability for resource-efficient road infrastructure.</w:t>
      </w:r>
    </w:p>
    <w:p w14:paraId="08479EBB" w14:textId="448A56CB" w:rsidR="00226570" w:rsidRDefault="00226570" w:rsidP="008A610F">
      <w:pPr>
        <w:spacing w:after="0" w:line="240" w:lineRule="auto"/>
        <w:jc w:val="both"/>
        <w:rPr>
          <w:rFonts w:ascii="Times New Roman" w:eastAsia="Times New Roman" w:hAnsi="Times New Roman" w:cs="Times New Roman"/>
          <w:iCs/>
          <w:sz w:val="24"/>
          <w:szCs w:val="24"/>
        </w:rPr>
      </w:pPr>
    </w:p>
    <w:p w14:paraId="09039536" w14:textId="419A1807" w:rsidR="00226570" w:rsidRDefault="00226570" w:rsidP="00350C11">
      <w:pPr>
        <w:spacing w:after="0" w:line="240" w:lineRule="auto"/>
        <w:rPr>
          <w:rFonts w:ascii="Times New Roman" w:eastAsia="Times New Roman" w:hAnsi="Times New Roman" w:cs="Times New Roman"/>
          <w:iCs/>
          <w:sz w:val="24"/>
          <w:szCs w:val="24"/>
        </w:rPr>
      </w:pPr>
      <w:r w:rsidRPr="00226570">
        <w:rPr>
          <w:rFonts w:ascii="Times New Roman" w:eastAsia="Times New Roman" w:hAnsi="Times New Roman" w:cs="Times New Roman"/>
          <w:b/>
          <w:bCs/>
          <w:iCs/>
          <w:sz w:val="24"/>
          <w:szCs w:val="24"/>
        </w:rPr>
        <w:t>Keywords:</w:t>
      </w:r>
      <w:r w:rsidR="008A610F">
        <w:rPr>
          <w:rFonts w:ascii="Times New Roman" w:eastAsia="Times New Roman" w:hAnsi="Times New Roman" w:cs="Times New Roman"/>
          <w:iCs/>
          <w:sz w:val="24"/>
          <w:szCs w:val="24"/>
        </w:rPr>
        <w:t xml:space="preserve"> </w:t>
      </w:r>
      <w:r w:rsidR="008A610F" w:rsidRPr="008A610F">
        <w:rPr>
          <w:rFonts w:ascii="Times New Roman" w:eastAsia="Times New Roman" w:hAnsi="Times New Roman" w:cs="Times New Roman"/>
          <w:iCs/>
          <w:sz w:val="24"/>
          <w:szCs w:val="24"/>
        </w:rPr>
        <w:t>Plastic waste, Asphalt pavement, Sustainable modifier, Marshall Stability, Indirect Tensile</w:t>
      </w:r>
      <w:r w:rsidR="00350C11">
        <w:rPr>
          <w:rFonts w:ascii="Times New Roman" w:eastAsia="Times New Roman" w:hAnsi="Times New Roman" w:cs="Times New Roman"/>
          <w:iCs/>
          <w:sz w:val="24"/>
          <w:szCs w:val="24"/>
        </w:rPr>
        <w:t xml:space="preserve"> </w:t>
      </w:r>
      <w:r w:rsidR="008A610F" w:rsidRPr="008A610F">
        <w:rPr>
          <w:rFonts w:ascii="Times New Roman" w:eastAsia="Times New Roman" w:hAnsi="Times New Roman" w:cs="Times New Roman"/>
          <w:iCs/>
          <w:sz w:val="24"/>
          <w:szCs w:val="24"/>
        </w:rPr>
        <w:t>Strength (ITS), Los Angeles Abrasion (LAA)</w:t>
      </w:r>
      <w:r w:rsidR="00350C11">
        <w:rPr>
          <w:rFonts w:ascii="Times New Roman" w:eastAsia="Times New Roman" w:hAnsi="Times New Roman" w:cs="Times New Roman"/>
          <w:iCs/>
          <w:sz w:val="24"/>
          <w:szCs w:val="24"/>
        </w:rPr>
        <w:br/>
      </w:r>
    </w:p>
    <w:p w14:paraId="3D28B3E4" w14:textId="375FE5BF" w:rsidR="00350C11" w:rsidRPr="00350C11" w:rsidRDefault="00350C11" w:rsidP="00350C11">
      <w:pPr>
        <w:pStyle w:val="Heading1"/>
        <w:rPr>
          <w:rFonts w:eastAsia="Times New Roman"/>
        </w:rPr>
      </w:pPr>
      <w:bookmarkStart w:id="2" w:name="_Toc187190184"/>
      <w:r w:rsidRPr="00350C11">
        <w:rPr>
          <w:rFonts w:eastAsia="Times New Roman"/>
        </w:rPr>
        <w:t xml:space="preserve">1 </w:t>
      </w:r>
      <w:r>
        <w:rPr>
          <w:rFonts w:eastAsia="Times New Roman"/>
        </w:rPr>
        <w:t xml:space="preserve">   </w:t>
      </w:r>
      <w:r w:rsidRPr="00350C11">
        <w:rPr>
          <w:rFonts w:eastAsia="Times New Roman"/>
        </w:rPr>
        <w:t xml:space="preserve"> </w:t>
      </w:r>
      <w:r w:rsidR="00226570" w:rsidRPr="00350C11">
        <w:rPr>
          <w:rFonts w:eastAsia="Times New Roman"/>
        </w:rPr>
        <w:t>INTRODUCTIO</w:t>
      </w:r>
      <w:bookmarkEnd w:id="2"/>
      <w:r>
        <w:rPr>
          <w:rFonts w:eastAsia="Times New Roman"/>
        </w:rPr>
        <w:t>N</w:t>
      </w:r>
    </w:p>
    <w:p w14:paraId="5D8A09F1" w14:textId="77777777" w:rsidR="00350C11" w:rsidRDefault="00350C11" w:rsidP="00350C11">
      <w:pPr>
        <w:jc w:val="both"/>
      </w:pPr>
    </w:p>
    <w:p w14:paraId="13AC53C5" w14:textId="77777777" w:rsidR="00350C11" w:rsidRPr="00350C11" w:rsidRDefault="00350C11" w:rsidP="00350C11">
      <w:pPr>
        <w:jc w:val="both"/>
        <w:rPr>
          <w:b/>
          <w:bCs/>
        </w:rPr>
      </w:pPr>
      <w:r w:rsidRPr="00350C11">
        <w:rPr>
          <w:b/>
          <w:bCs/>
        </w:rPr>
        <w:t>1.1. Problem Statement</w:t>
      </w:r>
    </w:p>
    <w:p w14:paraId="551671A6" w14:textId="77777777" w:rsidR="00350C11" w:rsidRDefault="00350C11" w:rsidP="00350C11">
      <w:pPr>
        <w:jc w:val="both"/>
      </w:pPr>
      <w:r>
        <w:t>Road infrastructure is vital for economic development, yet it faces challenges from increasing traffic loads and environmental concerns. Sustainable road construction requires efficient design practices and environmentally friendly methods, including material recycling (Blade Christopher &amp; Edward Kearney, 2004). Concurrently, Nigeria faces a severe plastic waste crisis, with global plastic waste generation exceeding 350 million tons annually (Bruna Alves, 2021), and millions of water bottles discarded daily in Nigeria, clogging drainage systems and causing environmental pollution (</w:t>
      </w:r>
      <w:proofErr w:type="spellStart"/>
      <w:r>
        <w:t>Edoga</w:t>
      </w:r>
      <w:proofErr w:type="spellEnd"/>
      <w:r>
        <w:t xml:space="preserve"> Biodiversity et al., 2023).</w:t>
      </w:r>
    </w:p>
    <w:p w14:paraId="5912D946" w14:textId="49EA5396" w:rsidR="00350C11" w:rsidRDefault="00350C11" w:rsidP="00350C11">
      <w:pPr>
        <w:jc w:val="both"/>
      </w:pPr>
      <w:r>
        <w:br/>
      </w:r>
      <w:r>
        <w:br/>
      </w:r>
    </w:p>
    <w:p w14:paraId="432648D1" w14:textId="77777777" w:rsidR="00350C11" w:rsidRPr="00350C11" w:rsidRDefault="00350C11" w:rsidP="00350C11">
      <w:pPr>
        <w:jc w:val="both"/>
        <w:rPr>
          <w:b/>
          <w:bCs/>
        </w:rPr>
      </w:pPr>
      <w:r w:rsidRPr="00350C11">
        <w:rPr>
          <w:b/>
          <w:bCs/>
        </w:rPr>
        <w:t>1.2. Significance and a Sustainable Pathway</w:t>
      </w:r>
    </w:p>
    <w:p w14:paraId="2EC45377" w14:textId="77777777" w:rsidR="00350C11" w:rsidRDefault="00350C11" w:rsidP="00350C11">
      <w:pPr>
        <w:jc w:val="both"/>
      </w:pPr>
      <w:r>
        <w:t xml:space="preserve">The modification of asphalt binders with polymers represents an established methodology for enhancing pavement performance (Asphalt Institute, 2015). Research has demonstrated that plastic can improve the mechanical, physical, and rheological properties of conventional asphalt formulations (Isaacson, 2001), with applications ranging from waste material incorporation in cold mixes (Zoorob &amp; Thanaya, 2002) to effective bitumen modification in asphalt mixtures (Singh, 2023). Utilizing waste plastic as a modifier presents a transformative opportunity to address both environmental and performance challenges simultaneously, reducing pollution while creating more cost-effective paving </w:t>
      </w:r>
      <w:r>
        <w:lastRenderedPageBreak/>
        <w:t>materials (Adetunji, Sylvester et al., 2020). This approach is particularly relevant in Nigeria where plastic products constitute approximately 30% of municipal solid waste (</w:t>
      </w:r>
      <w:proofErr w:type="spellStart"/>
      <w:r>
        <w:t>Mokuolu</w:t>
      </w:r>
      <w:proofErr w:type="spellEnd"/>
      <w:r>
        <w:t xml:space="preserve"> et al., 2021). Recent advances in modified asphalt applications, including asphalt shale reforming (</w:t>
      </w:r>
      <w:proofErr w:type="spellStart"/>
      <w:r>
        <w:t>Katamine</w:t>
      </w:r>
      <w:proofErr w:type="spellEnd"/>
      <w:r>
        <w:t>, 2024), further demonstrate the potential of innovative modification techniques.</w:t>
      </w:r>
    </w:p>
    <w:p w14:paraId="3CC2D865" w14:textId="77777777" w:rsidR="00350C11" w:rsidRDefault="00350C11" w:rsidP="00350C11">
      <w:pPr>
        <w:jc w:val="both"/>
      </w:pPr>
    </w:p>
    <w:p w14:paraId="19F45E34" w14:textId="77777777" w:rsidR="00350C11" w:rsidRPr="00350C11" w:rsidRDefault="00350C11" w:rsidP="00350C11">
      <w:pPr>
        <w:jc w:val="both"/>
        <w:rPr>
          <w:b/>
          <w:bCs/>
        </w:rPr>
      </w:pPr>
      <w:r w:rsidRPr="00350C11">
        <w:rPr>
          <w:b/>
          <w:bCs/>
        </w:rPr>
        <w:t>1.3. Research Gap</w:t>
      </w:r>
    </w:p>
    <w:p w14:paraId="4ECEBD9E" w14:textId="77777777" w:rsidR="00350C11" w:rsidRDefault="00350C11" w:rsidP="00350C11">
      <w:pPr>
        <w:jc w:val="both"/>
      </w:pPr>
      <w:r>
        <w:t>While previous studies have demonstrated the general feasibility of using plastic waste in asphalt (Singh, 2023; Zoorob &amp; Thanaya, 2017), the optimal incorporation rate for Nigerian materials, particularly when evaluated against local specifications (FGN, 1997), remains insufficiently explored. Furthermore, comprehensive evaluation linking Marshall properties with tensile resistance through Indirect Tensile Strength testing is often lacking, making field performance prediction difficult. Current Nigerian standards do not provide specific guidelines for plastic-modified asphalt mixtures, creating a significant knowledge gap for practical implementation.</w:t>
      </w:r>
    </w:p>
    <w:p w14:paraId="6C4D303C" w14:textId="77777777" w:rsidR="00350C11" w:rsidRDefault="00350C11" w:rsidP="00350C11">
      <w:pPr>
        <w:jc w:val="both"/>
      </w:pPr>
    </w:p>
    <w:p w14:paraId="684065D4" w14:textId="77777777" w:rsidR="00350C11" w:rsidRDefault="00350C11" w:rsidP="00350C11">
      <w:pPr>
        <w:jc w:val="both"/>
      </w:pPr>
    </w:p>
    <w:p w14:paraId="098F75EC" w14:textId="77777777" w:rsidR="00350C11" w:rsidRPr="00350C11" w:rsidRDefault="00350C11" w:rsidP="00350C11">
      <w:pPr>
        <w:jc w:val="both"/>
        <w:rPr>
          <w:b/>
          <w:bCs/>
        </w:rPr>
      </w:pPr>
      <w:r w:rsidRPr="00350C11">
        <w:rPr>
          <w:b/>
          <w:bCs/>
        </w:rPr>
        <w:t>1.4. Research Objective</w:t>
      </w:r>
    </w:p>
    <w:p w14:paraId="5FAB9488" w14:textId="77777777" w:rsidR="00350C11" w:rsidRDefault="00350C11" w:rsidP="00350C11">
      <w:pPr>
        <w:jc w:val="both"/>
      </w:pPr>
      <w:r>
        <w:t>This study aims to determine the optimal content of melted bottled water plastic waste and evaluate its impact on asphalt concrete properties through:</w:t>
      </w:r>
    </w:p>
    <w:p w14:paraId="546E0F47" w14:textId="77777777" w:rsidR="00350C11" w:rsidRDefault="00350C11" w:rsidP="00350C11">
      <w:pPr>
        <w:jc w:val="both"/>
      </w:pPr>
    </w:p>
    <w:p w14:paraId="1D4D09E3" w14:textId="77777777" w:rsidR="00350C11" w:rsidRDefault="00350C11" w:rsidP="00350C11">
      <w:pPr>
        <w:jc w:val="both"/>
      </w:pPr>
      <w:r>
        <w:t>1. Determining optimum bitumen content for the control mix according to Marshall design methods</w:t>
      </w:r>
    </w:p>
    <w:p w14:paraId="2F80FCF1" w14:textId="77777777" w:rsidR="00350C11" w:rsidRDefault="00350C11" w:rsidP="00350C11">
      <w:pPr>
        <w:jc w:val="both"/>
      </w:pPr>
    </w:p>
    <w:p w14:paraId="02747B3A" w14:textId="77777777" w:rsidR="00350C11" w:rsidRDefault="00350C11" w:rsidP="00350C11">
      <w:pPr>
        <w:jc w:val="both"/>
      </w:pPr>
      <w:r>
        <w:t xml:space="preserve">2. Incorporating plastic at 10-50 </w:t>
      </w:r>
      <w:proofErr w:type="spellStart"/>
      <w:r>
        <w:t>wt</w:t>
      </w:r>
      <w:proofErr w:type="spellEnd"/>
      <w:r>
        <w:t>% of optimum bitumen content</w:t>
      </w:r>
    </w:p>
    <w:p w14:paraId="49A81319" w14:textId="77777777" w:rsidR="00350C11" w:rsidRDefault="00350C11" w:rsidP="00350C11">
      <w:pPr>
        <w:jc w:val="both"/>
      </w:pPr>
    </w:p>
    <w:p w14:paraId="4FF1744F" w14:textId="77777777" w:rsidR="00350C11" w:rsidRDefault="00350C11" w:rsidP="00350C11">
      <w:pPr>
        <w:jc w:val="both"/>
      </w:pPr>
      <w:r>
        <w:t>3. Assessing performance through Marshall Stability, flow, density, air voids, and Indirect Tensile Strength, with results evaluated against Nigerian specifications (FGN, 1997)</w:t>
      </w:r>
    </w:p>
    <w:p w14:paraId="7D07DD74" w14:textId="6C93AA8E" w:rsidR="00350C11" w:rsidRDefault="00350C11" w:rsidP="00350C11">
      <w:pPr>
        <w:jc w:val="both"/>
      </w:pPr>
      <w:r>
        <w:br/>
      </w:r>
      <w:r>
        <w:br/>
      </w:r>
      <w:r>
        <w:br/>
      </w:r>
    </w:p>
    <w:p w14:paraId="31C7946B" w14:textId="77777777" w:rsidR="00350C11" w:rsidRPr="00350C11" w:rsidRDefault="00350C11" w:rsidP="00350C11">
      <w:pPr>
        <w:jc w:val="both"/>
        <w:rPr>
          <w:b/>
          <w:bCs/>
        </w:rPr>
      </w:pPr>
      <w:r w:rsidRPr="00350C11">
        <w:rPr>
          <w:b/>
          <w:bCs/>
        </w:rPr>
        <w:t>1.5. Hypothesis</w:t>
      </w:r>
    </w:p>
    <w:p w14:paraId="61DEDCF8" w14:textId="5095884A" w:rsidR="00350C11" w:rsidRPr="00350C11" w:rsidRDefault="00350C11" w:rsidP="00350C11">
      <w:pPr>
        <w:jc w:val="both"/>
      </w:pPr>
      <w:r>
        <w:t>It is hypothesized that incorporating 20% bottled water plastic by weight of optimum bitumen content will significantly enhance Marshall Stability and Indirect Tensile Strength by improving binder cohesion and aggregate bonding, without compromising the volumetric properties or flexibility required by Nigerian road standards.</w:t>
      </w:r>
    </w:p>
    <w:p w14:paraId="4DD62227" w14:textId="77777777" w:rsidR="00350C11" w:rsidRPr="00350C11" w:rsidRDefault="00350C11" w:rsidP="00350C11">
      <w:pPr>
        <w:jc w:val="both"/>
      </w:pPr>
    </w:p>
    <w:p w14:paraId="3D027775" w14:textId="77777777" w:rsidR="00350C11" w:rsidRPr="00350C11" w:rsidRDefault="00350C11" w:rsidP="00350C11">
      <w:pPr>
        <w:jc w:val="both"/>
      </w:pPr>
    </w:p>
    <w:p w14:paraId="3A2D6656" w14:textId="22C69080" w:rsidR="00534D3A" w:rsidRDefault="00350C11" w:rsidP="00350C11">
      <w:pPr>
        <w:pStyle w:val="Heading1"/>
      </w:pPr>
      <w:r>
        <w:rPr>
          <w:rFonts w:eastAsia="Times New Roman"/>
        </w:rPr>
        <w:lastRenderedPageBreak/>
        <w:t xml:space="preserve">2     </w:t>
      </w:r>
      <w:r w:rsidR="00534D3A" w:rsidRPr="00534D3A">
        <w:rPr>
          <w:rFonts w:eastAsia="Times New Roman"/>
        </w:rPr>
        <w:t>MATERIALS</w:t>
      </w:r>
      <w:r w:rsidR="00534D3A">
        <w:t xml:space="preserve"> AND METHODS</w:t>
      </w:r>
    </w:p>
    <w:p w14:paraId="053C8DFD" w14:textId="59AF3662" w:rsidR="001076C3" w:rsidRDefault="001076C3" w:rsidP="002E3526">
      <w:pPr>
        <w:pStyle w:val="Heading2"/>
      </w:pPr>
      <w:r w:rsidRPr="001076C3">
        <w:t xml:space="preserve"> Materials</w:t>
      </w:r>
    </w:p>
    <w:p w14:paraId="5400ED0F" w14:textId="77777777" w:rsidR="001076C3" w:rsidRPr="001076C3" w:rsidRDefault="001076C3" w:rsidP="002E3526">
      <w:pPr>
        <w:spacing w:line="240" w:lineRule="auto"/>
        <w:jc w:val="both"/>
      </w:pPr>
    </w:p>
    <w:p w14:paraId="61F19200" w14:textId="6F777840" w:rsidR="003F6384" w:rsidRPr="00A94477" w:rsidRDefault="00264766" w:rsidP="002E3526">
      <w:pPr>
        <w:spacing w:after="240" w:line="240" w:lineRule="auto"/>
        <w:jc w:val="both"/>
        <w:rPr>
          <w:rFonts w:ascii="Times New Roman" w:hAnsi="Times New Roman" w:cs="Times New Roman"/>
          <w:sz w:val="24"/>
          <w:szCs w:val="24"/>
        </w:rPr>
      </w:pPr>
      <w:r w:rsidRPr="00A94477">
        <w:rPr>
          <w:rFonts w:ascii="Times New Roman" w:hAnsi="Times New Roman" w:cs="Times New Roman"/>
          <w:sz w:val="24"/>
          <w:szCs w:val="24"/>
        </w:rPr>
        <w:t>A grade</w:t>
      </w:r>
      <w:r w:rsidR="00726EC5" w:rsidRPr="00A94477">
        <w:rPr>
          <w:rFonts w:ascii="Times New Roman" w:hAnsi="Times New Roman" w:cs="Times New Roman"/>
          <w:sz w:val="24"/>
          <w:szCs w:val="24"/>
        </w:rPr>
        <w:t xml:space="preserve"> 60/70 bitumen (black in appearance) was sourced from Julius Berger PLC</w:t>
      </w:r>
      <w:r w:rsidR="00A94477">
        <w:rPr>
          <w:rFonts w:ascii="Times New Roman" w:hAnsi="Times New Roman" w:cs="Times New Roman"/>
          <w:sz w:val="24"/>
          <w:szCs w:val="24"/>
        </w:rPr>
        <w:t xml:space="preserve"> </w:t>
      </w:r>
      <w:r w:rsidR="000677EB">
        <w:rPr>
          <w:rFonts w:ascii="Times New Roman" w:hAnsi="Times New Roman" w:cs="Times New Roman"/>
          <w:sz w:val="24"/>
          <w:szCs w:val="24"/>
        </w:rPr>
        <w:t>Company</w:t>
      </w:r>
      <w:r w:rsidR="00A94477">
        <w:rPr>
          <w:rFonts w:ascii="Times New Roman" w:hAnsi="Times New Roman" w:cs="Times New Roman"/>
          <w:sz w:val="24"/>
          <w:szCs w:val="24"/>
        </w:rPr>
        <w:t xml:space="preserve"> in Abuja, Nigeria.</w:t>
      </w:r>
      <w:r w:rsidR="00726EC5" w:rsidRPr="00A94477">
        <w:rPr>
          <w:rFonts w:ascii="Times New Roman" w:hAnsi="Times New Roman" w:cs="Times New Roman"/>
          <w:sz w:val="24"/>
          <w:szCs w:val="24"/>
        </w:rPr>
        <w:t xml:space="preserve"> </w:t>
      </w:r>
      <w:r w:rsidR="00A94477">
        <w:rPr>
          <w:rFonts w:ascii="Times New Roman" w:hAnsi="Times New Roman" w:cs="Times New Roman"/>
          <w:sz w:val="24"/>
          <w:szCs w:val="24"/>
        </w:rPr>
        <w:t>S</w:t>
      </w:r>
      <w:r w:rsidR="007C6DAE" w:rsidRPr="00A94477">
        <w:rPr>
          <w:rFonts w:ascii="Times New Roman" w:hAnsi="Times New Roman" w:cs="Times New Roman"/>
          <w:sz w:val="24"/>
          <w:szCs w:val="24"/>
        </w:rPr>
        <w:t>olid materials like fine and coa</w:t>
      </w:r>
      <w:r w:rsidR="00726EC5" w:rsidRPr="00A94477">
        <w:rPr>
          <w:rFonts w:ascii="Times New Roman" w:hAnsi="Times New Roman" w:cs="Times New Roman"/>
          <w:sz w:val="24"/>
          <w:szCs w:val="24"/>
        </w:rPr>
        <w:t>rse aggregate</w:t>
      </w:r>
      <w:r w:rsidR="007C6DAE" w:rsidRPr="00A94477">
        <w:rPr>
          <w:rFonts w:ascii="Times New Roman" w:hAnsi="Times New Roman" w:cs="Times New Roman"/>
          <w:sz w:val="24"/>
          <w:szCs w:val="24"/>
        </w:rPr>
        <w:t xml:space="preserve"> passing </w:t>
      </w:r>
      <w:r w:rsidRPr="00A94477">
        <w:rPr>
          <w:rFonts w:ascii="Times New Roman" w:hAnsi="Times New Roman" w:cs="Times New Roman"/>
          <w:sz w:val="24"/>
          <w:szCs w:val="24"/>
        </w:rPr>
        <w:t>sieve</w:t>
      </w:r>
      <w:r w:rsidR="007C6DAE" w:rsidRPr="00A94477">
        <w:rPr>
          <w:rFonts w:ascii="Times New Roman" w:hAnsi="Times New Roman" w:cs="Times New Roman"/>
          <w:sz w:val="24"/>
          <w:szCs w:val="24"/>
        </w:rPr>
        <w:t xml:space="preserve"> size 19.00mm and retained in 12-5mm were well graded. </w:t>
      </w:r>
      <w:r w:rsidR="000E73AB" w:rsidRPr="00A94477">
        <w:rPr>
          <w:rFonts w:ascii="Times New Roman" w:hAnsi="Times New Roman" w:cs="Times New Roman"/>
          <w:sz w:val="24"/>
          <w:szCs w:val="24"/>
        </w:rPr>
        <w:t>P</w:t>
      </w:r>
      <w:r w:rsidR="007C6DAE" w:rsidRPr="00A94477">
        <w:rPr>
          <w:rFonts w:ascii="Times New Roman" w:hAnsi="Times New Roman" w:cs="Times New Roman"/>
          <w:sz w:val="24"/>
          <w:szCs w:val="24"/>
        </w:rPr>
        <w:t>assing</w:t>
      </w:r>
      <w:r w:rsidR="00726EC5" w:rsidRPr="00A94477">
        <w:rPr>
          <w:rFonts w:ascii="Times New Roman" w:hAnsi="Times New Roman" w:cs="Times New Roman"/>
          <w:sz w:val="24"/>
          <w:szCs w:val="24"/>
        </w:rPr>
        <w:t xml:space="preserve"> </w:t>
      </w:r>
      <w:r w:rsidR="007C6DAE" w:rsidRPr="00A94477">
        <w:rPr>
          <w:rFonts w:ascii="Times New Roman" w:hAnsi="Times New Roman" w:cs="Times New Roman"/>
          <w:sz w:val="24"/>
          <w:szCs w:val="24"/>
        </w:rPr>
        <w:t xml:space="preserve">abrasion and impact </w:t>
      </w:r>
      <w:r w:rsidR="00A94477" w:rsidRPr="00A94477">
        <w:rPr>
          <w:rFonts w:ascii="Times New Roman" w:hAnsi="Times New Roman" w:cs="Times New Roman"/>
          <w:sz w:val="24"/>
          <w:szCs w:val="24"/>
        </w:rPr>
        <w:t>test,</w:t>
      </w:r>
      <w:r w:rsidR="007C6DAE" w:rsidRPr="00A94477">
        <w:rPr>
          <w:rFonts w:ascii="Times New Roman" w:hAnsi="Times New Roman" w:cs="Times New Roman"/>
          <w:sz w:val="24"/>
          <w:szCs w:val="24"/>
        </w:rPr>
        <w:t xml:space="preserve"> which was carried out in </w:t>
      </w:r>
      <w:r w:rsidR="00A94477">
        <w:rPr>
          <w:rFonts w:ascii="Times New Roman" w:hAnsi="Times New Roman" w:cs="Times New Roman"/>
          <w:sz w:val="24"/>
          <w:szCs w:val="24"/>
        </w:rPr>
        <w:t>the c</w:t>
      </w:r>
      <w:r w:rsidR="007C6DAE" w:rsidRPr="00A94477">
        <w:rPr>
          <w:rFonts w:ascii="Times New Roman" w:hAnsi="Times New Roman" w:cs="Times New Roman"/>
          <w:sz w:val="24"/>
          <w:szCs w:val="24"/>
        </w:rPr>
        <w:t xml:space="preserve">ivil </w:t>
      </w:r>
      <w:r w:rsidR="00A94477">
        <w:rPr>
          <w:rFonts w:ascii="Times New Roman" w:hAnsi="Times New Roman" w:cs="Times New Roman"/>
          <w:sz w:val="24"/>
          <w:szCs w:val="24"/>
        </w:rPr>
        <w:t>e</w:t>
      </w:r>
      <w:r w:rsidR="007C6DAE" w:rsidRPr="00A94477">
        <w:rPr>
          <w:rFonts w:ascii="Times New Roman" w:hAnsi="Times New Roman" w:cs="Times New Roman"/>
          <w:sz w:val="24"/>
          <w:szCs w:val="24"/>
        </w:rPr>
        <w:t xml:space="preserve">ngineering </w:t>
      </w:r>
      <w:r w:rsidR="00A94477">
        <w:rPr>
          <w:rFonts w:ascii="Times New Roman" w:hAnsi="Times New Roman" w:cs="Times New Roman"/>
          <w:sz w:val="24"/>
          <w:szCs w:val="24"/>
        </w:rPr>
        <w:t>l</w:t>
      </w:r>
      <w:r w:rsidR="007C6DAE" w:rsidRPr="00A94477">
        <w:rPr>
          <w:rFonts w:ascii="Times New Roman" w:hAnsi="Times New Roman" w:cs="Times New Roman"/>
          <w:sz w:val="24"/>
          <w:szCs w:val="24"/>
        </w:rPr>
        <w:t>aboratory</w:t>
      </w:r>
      <w:r w:rsidR="00A94477">
        <w:rPr>
          <w:rFonts w:ascii="Times New Roman" w:hAnsi="Times New Roman" w:cs="Times New Roman"/>
          <w:sz w:val="24"/>
          <w:szCs w:val="24"/>
        </w:rPr>
        <w:t xml:space="preserve"> of N</w:t>
      </w:r>
      <w:r w:rsidR="007C6DAE" w:rsidRPr="00A94477">
        <w:rPr>
          <w:rFonts w:ascii="Times New Roman" w:hAnsi="Times New Roman" w:cs="Times New Roman"/>
          <w:sz w:val="24"/>
          <w:szCs w:val="24"/>
        </w:rPr>
        <w:t>ile University of Nigeria.</w:t>
      </w:r>
      <w:r w:rsidR="00A94477">
        <w:rPr>
          <w:rFonts w:ascii="Times New Roman" w:hAnsi="Times New Roman" w:cs="Times New Roman"/>
          <w:sz w:val="24"/>
          <w:szCs w:val="24"/>
        </w:rPr>
        <w:t xml:space="preserve"> T</w:t>
      </w:r>
      <w:r w:rsidR="007C6DAE" w:rsidRPr="00A94477">
        <w:rPr>
          <w:rFonts w:ascii="Times New Roman" w:hAnsi="Times New Roman" w:cs="Times New Roman"/>
          <w:sz w:val="24"/>
          <w:szCs w:val="24"/>
        </w:rPr>
        <w:t xml:space="preserve">he Filler used was one passing </w:t>
      </w:r>
      <w:r w:rsidR="00FD30ED" w:rsidRPr="00A94477">
        <w:rPr>
          <w:rFonts w:ascii="Times New Roman" w:hAnsi="Times New Roman" w:cs="Times New Roman"/>
          <w:sz w:val="24"/>
          <w:szCs w:val="24"/>
        </w:rPr>
        <w:t>sieve size 0.075mm</w:t>
      </w:r>
      <w:r w:rsidR="00A94477">
        <w:rPr>
          <w:rFonts w:ascii="Times New Roman" w:hAnsi="Times New Roman" w:cs="Times New Roman"/>
          <w:sz w:val="24"/>
          <w:szCs w:val="24"/>
        </w:rPr>
        <w:t>.</w:t>
      </w:r>
      <w:r w:rsidR="00F46072">
        <w:rPr>
          <w:rFonts w:ascii="Times New Roman" w:hAnsi="Times New Roman" w:cs="Times New Roman"/>
          <w:sz w:val="24"/>
          <w:szCs w:val="24"/>
        </w:rPr>
        <w:t xml:space="preserve"> Empty water bottle plastic used in the study were picked within the neighboring community, washed, dried and </w:t>
      </w:r>
      <w:r w:rsidR="000959A0">
        <w:rPr>
          <w:rFonts w:ascii="Times New Roman" w:hAnsi="Times New Roman" w:cs="Times New Roman"/>
          <w:sz w:val="24"/>
          <w:szCs w:val="24"/>
        </w:rPr>
        <w:t>pulve</w:t>
      </w:r>
      <w:r w:rsidR="00F46072">
        <w:rPr>
          <w:rFonts w:ascii="Times New Roman" w:hAnsi="Times New Roman" w:cs="Times New Roman"/>
          <w:sz w:val="24"/>
          <w:szCs w:val="24"/>
        </w:rPr>
        <w:t>ri</w:t>
      </w:r>
      <w:r w:rsidR="000959A0">
        <w:rPr>
          <w:rFonts w:ascii="Times New Roman" w:hAnsi="Times New Roman" w:cs="Times New Roman"/>
          <w:sz w:val="24"/>
          <w:szCs w:val="24"/>
        </w:rPr>
        <w:t>z</w:t>
      </w:r>
      <w:r w:rsidR="00F46072">
        <w:rPr>
          <w:rFonts w:ascii="Times New Roman" w:hAnsi="Times New Roman" w:cs="Times New Roman"/>
          <w:sz w:val="24"/>
          <w:szCs w:val="24"/>
        </w:rPr>
        <w:t>ed</w:t>
      </w:r>
      <w:r w:rsidR="000959A0">
        <w:rPr>
          <w:rFonts w:ascii="Times New Roman" w:hAnsi="Times New Roman" w:cs="Times New Roman"/>
          <w:sz w:val="24"/>
          <w:szCs w:val="24"/>
        </w:rPr>
        <w:t xml:space="preserve"> for easy melting.</w:t>
      </w:r>
      <w:r w:rsidR="00F46072">
        <w:rPr>
          <w:rFonts w:ascii="Times New Roman" w:hAnsi="Times New Roman" w:cs="Times New Roman"/>
          <w:sz w:val="24"/>
          <w:szCs w:val="24"/>
        </w:rPr>
        <w:t xml:space="preserve"> </w:t>
      </w:r>
    </w:p>
    <w:p w14:paraId="299E1FE5" w14:textId="789B0C7F" w:rsidR="001076C3" w:rsidRDefault="00A94477" w:rsidP="002E3526">
      <w:pPr>
        <w:pStyle w:val="Heading2"/>
        <w:rPr>
          <w:kern w:val="24"/>
        </w:rPr>
      </w:pPr>
      <w:r>
        <w:rPr>
          <w:kern w:val="24"/>
        </w:rPr>
        <w:t xml:space="preserve"> </w:t>
      </w:r>
      <w:r w:rsidR="001076C3">
        <w:rPr>
          <w:kern w:val="24"/>
        </w:rPr>
        <w:t>Methods</w:t>
      </w:r>
    </w:p>
    <w:p w14:paraId="2C5DA8D6" w14:textId="0BCEBB09" w:rsidR="00D7216B" w:rsidRDefault="00D7216B" w:rsidP="00D7216B">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The following laboratory experiment on physical and mechanical properties of the material and samples were carried out.</w:t>
      </w:r>
    </w:p>
    <w:p w14:paraId="62F9E071" w14:textId="34ED2836" w:rsidR="00EA6A4A" w:rsidRPr="00EA6A4A" w:rsidRDefault="00EA6A4A" w:rsidP="00EA6A4A">
      <w:pPr>
        <w:spacing w:line="240" w:lineRule="auto"/>
        <w:jc w:val="both"/>
        <w:rPr>
          <w:rFonts w:ascii="Times New Roman" w:hAnsi="Times New Roman" w:cs="Times New Roman"/>
          <w:b/>
          <w:iCs/>
          <w:sz w:val="24"/>
          <w:szCs w:val="24"/>
        </w:rPr>
      </w:pPr>
      <w:r w:rsidRPr="00EA6A4A">
        <w:rPr>
          <w:rFonts w:ascii="Times New Roman" w:hAnsi="Times New Roman" w:cs="Times New Roman"/>
          <w:b/>
          <w:iCs/>
          <w:sz w:val="24"/>
          <w:szCs w:val="24"/>
        </w:rPr>
        <w:t>Los Angeles abrasion test</w:t>
      </w:r>
      <w:r>
        <w:rPr>
          <w:rFonts w:ascii="Times New Roman" w:hAnsi="Times New Roman" w:cs="Times New Roman"/>
          <w:b/>
          <w:iCs/>
          <w:sz w:val="24"/>
          <w:szCs w:val="24"/>
        </w:rPr>
        <w:t xml:space="preserve"> (LAA)</w:t>
      </w:r>
    </w:p>
    <w:p w14:paraId="6C0C0463" w14:textId="77777777" w:rsidR="001076C3" w:rsidRPr="001076C3" w:rsidRDefault="001076C3" w:rsidP="00EA6A4A">
      <w:pPr>
        <w:spacing w:line="240" w:lineRule="auto"/>
        <w:jc w:val="both"/>
        <w:rPr>
          <w:rFonts w:ascii="Times New Roman" w:hAnsi="Times New Roman" w:cs="Times New Roman"/>
          <w:sz w:val="24"/>
          <w:szCs w:val="24"/>
        </w:rPr>
      </w:pPr>
      <w:r w:rsidRPr="001076C3">
        <w:rPr>
          <w:rFonts w:ascii="Times New Roman" w:hAnsi="Times New Roman" w:cs="Times New Roman"/>
          <w:iCs/>
          <w:sz w:val="24"/>
          <w:szCs w:val="24"/>
        </w:rPr>
        <w:t xml:space="preserve">Los Angeles abrasion test-LAA was carried out </w:t>
      </w:r>
      <w:r w:rsidRPr="001076C3">
        <w:rPr>
          <w:rFonts w:ascii="Times New Roman" w:hAnsi="Times New Roman" w:cs="Times New Roman"/>
          <w:sz w:val="24"/>
          <w:szCs w:val="24"/>
        </w:rPr>
        <w:t xml:space="preserve">to ascertain the aggregate's resistance to grinding, impact, and abrasion-induced fragmentation and degradation. The clean aggregates that made up the test sample were oven dried at 105 to 110°C, table 1 &amp; 2 indicates that the grading and number of charges. After being cleaned, the test sample was dried in the oven at 105°C to achieve a largely constant weight. After being divided into clear size fractions, the sample was recombined to give the B grading as in table 2, which almost exactly equals the range of sizes in the aggregate provided for the project. Prior to testing, the sample's weight was determined to the closest 1g (M1). The following equation was used to express the LAA value: </w:t>
      </w:r>
    </w:p>
    <w:p w14:paraId="24112AC6" w14:textId="356ED526" w:rsidR="001076C3" w:rsidRPr="001076C3" w:rsidRDefault="00077F8F" w:rsidP="00B237F8">
      <w:pPr>
        <w:pStyle w:val="Caption"/>
      </w:pPr>
      <w:r>
        <w:rPr>
          <w:rFonts w:eastAsiaTheme="minorEastAsia" w:cs="Times New Roman"/>
        </w:rPr>
        <w:t xml:space="preserve">                                   </w:t>
      </w:r>
      <m:oMath>
        <m:r>
          <w:rPr>
            <w:rFonts w:ascii="Cambria Math" w:hAnsi="Cambria Math"/>
          </w:rPr>
          <m:t>LAA=</m:t>
        </m:r>
        <m:d>
          <m:dPr>
            <m:ctrlPr>
              <w:rPr>
                <w:rFonts w:ascii="Cambria Math" w:hAnsi="Cambria Math"/>
              </w:rPr>
            </m:ctrlPr>
          </m:dPr>
          <m:e>
            <m:f>
              <m:fPr>
                <m:ctrlPr>
                  <w:rPr>
                    <w:rFonts w:ascii="Cambria Math" w:hAnsi="Cambria Math"/>
                  </w:rPr>
                </m:ctrlPr>
              </m:fPr>
              <m:num>
                <m:r>
                  <w:rPr>
                    <w:rFonts w:ascii="Cambria Math" w:hAnsi="Cambria Math"/>
                  </w:rPr>
                  <m:t>M1-M2</m:t>
                </m:r>
              </m:num>
              <m:den>
                <m:r>
                  <w:rPr>
                    <w:rFonts w:ascii="Cambria Math" w:hAnsi="Cambria Math"/>
                  </w:rPr>
                  <m:t>M1</m:t>
                </m:r>
              </m:den>
            </m:f>
          </m:e>
        </m:d>
        <m:r>
          <w:rPr>
            <w:rFonts w:ascii="Cambria Math" w:hAnsi="Cambria Math"/>
          </w:rPr>
          <m:t>*100</m:t>
        </m:r>
      </m:oMath>
      <w:r w:rsidR="001076C3" w:rsidRPr="001076C3">
        <w:tab/>
      </w:r>
      <w:r w:rsidR="001076C3" w:rsidRPr="001076C3">
        <w:tab/>
      </w:r>
      <w:r>
        <w:t xml:space="preserve">              </w:t>
      </w:r>
      <w:r w:rsidR="001076C3" w:rsidRPr="001076C3">
        <w:tab/>
        <w:t>(</w:t>
      </w:r>
      <w:fldSimple w:instr=" SEQ Equation \* ARABIC ">
        <w:r w:rsidR="000B6610">
          <w:rPr>
            <w:noProof/>
          </w:rPr>
          <w:t>1</w:t>
        </w:r>
      </w:fldSimple>
      <w:r w:rsidR="001076C3" w:rsidRPr="001076C3">
        <w:t>)</w:t>
      </w:r>
    </w:p>
    <w:p w14:paraId="06831A3C" w14:textId="4D611580" w:rsidR="001076C3" w:rsidRPr="00A94477" w:rsidRDefault="00350C11" w:rsidP="002E3526">
      <w:pPr>
        <w:spacing w:line="240" w:lineRule="auto"/>
        <w:jc w:val="both"/>
        <w:rPr>
          <w:rFonts w:ascii="Times New Roman" w:hAnsi="Times New Roman" w:cs="Times New Roman"/>
          <w:sz w:val="24"/>
          <w:szCs w:val="24"/>
        </w:rPr>
      </w:pPr>
      <w:r w:rsidRPr="001076C3">
        <w:rPr>
          <w:rFonts w:ascii="Times New Roman" w:hAnsi="Times New Roman" w:cs="Times New Roman"/>
          <w:sz w:val="24"/>
          <w:szCs w:val="24"/>
        </w:rPr>
        <w:t>W</w:t>
      </w:r>
      <w:r w:rsidR="001076C3" w:rsidRPr="001076C3">
        <w:rPr>
          <w:rFonts w:ascii="Times New Roman" w:hAnsi="Times New Roman" w:cs="Times New Roman"/>
          <w:sz w:val="24"/>
          <w:szCs w:val="24"/>
        </w:rPr>
        <w:t>here</w:t>
      </w:r>
      <w:r>
        <w:rPr>
          <w:rFonts w:ascii="Times New Roman" w:hAnsi="Times New Roman" w:cs="Times New Roman"/>
          <w:sz w:val="24"/>
          <w:szCs w:val="24"/>
        </w:rPr>
        <w:t xml:space="preserve"> </w:t>
      </w:r>
      <w:r w:rsidRPr="00350C11">
        <w:rPr>
          <w:rFonts w:ascii="Times New Roman" w:hAnsi="Times New Roman" w:cs="Times New Roman"/>
          <w:i/>
          <w:iCs/>
          <w:sz w:val="24"/>
          <w:szCs w:val="24"/>
        </w:rPr>
        <w:t>LAA</w:t>
      </w:r>
      <w:r>
        <w:rPr>
          <w:rFonts w:ascii="Times New Roman" w:hAnsi="Times New Roman" w:cs="Times New Roman"/>
          <w:sz w:val="24"/>
          <w:szCs w:val="24"/>
        </w:rPr>
        <w:t xml:space="preserve"> is the Los Angeles abrasion,</w:t>
      </w:r>
      <w:r w:rsidR="001076C3" w:rsidRPr="001076C3">
        <w:rPr>
          <w:rFonts w:ascii="Times New Roman" w:hAnsi="Times New Roman" w:cs="Times New Roman"/>
          <w:bCs/>
          <w:i/>
          <w:sz w:val="24"/>
          <w:szCs w:val="24"/>
        </w:rPr>
        <w:t xml:space="preserve"> </w:t>
      </w:r>
      <m:oMath>
        <m:r>
          <w:rPr>
            <w:rFonts w:ascii="Cambria Math" w:hAnsi="Cambria Math" w:cs="Times New Roman"/>
            <w:color w:val="191E23"/>
            <w:sz w:val="24"/>
            <w:szCs w:val="24"/>
          </w:rPr>
          <m:t>M1</m:t>
        </m:r>
      </m:oMath>
      <w:r w:rsidR="001076C3" w:rsidRPr="001076C3">
        <w:rPr>
          <w:rFonts w:ascii="Times New Roman" w:hAnsi="Times New Roman" w:cs="Times New Roman"/>
          <w:sz w:val="24"/>
          <w:szCs w:val="24"/>
        </w:rPr>
        <w:t xml:space="preserve"> is the test specimen's initial mass and </w:t>
      </w:r>
      <w:r w:rsidR="001076C3" w:rsidRPr="001076C3">
        <w:rPr>
          <w:rFonts w:ascii="Times New Roman" w:hAnsi="Times New Roman" w:cs="Times New Roman"/>
          <w:bCs/>
          <w:i/>
          <w:color w:val="191E23"/>
          <w:sz w:val="24"/>
          <w:szCs w:val="24"/>
        </w:rPr>
        <w:t xml:space="preserve"> </w:t>
      </w:r>
      <m:oMath>
        <m:r>
          <w:rPr>
            <w:rFonts w:ascii="Cambria Math" w:hAnsi="Cambria Math" w:cs="Times New Roman"/>
            <w:color w:val="191E23"/>
            <w:sz w:val="24"/>
            <w:szCs w:val="24"/>
          </w:rPr>
          <m:t>M2</m:t>
        </m:r>
      </m:oMath>
      <w:r w:rsidR="001076C3" w:rsidRPr="001076C3">
        <w:rPr>
          <w:rFonts w:ascii="Times New Roman" w:hAnsi="Times New Roman" w:cs="Times New Roman"/>
          <w:bCs/>
          <w:i/>
          <w:color w:val="191E23"/>
          <w:sz w:val="24"/>
          <w:szCs w:val="24"/>
        </w:rPr>
        <w:t xml:space="preserve"> </w:t>
      </w:r>
      <w:r w:rsidR="001076C3" w:rsidRPr="001076C3">
        <w:rPr>
          <w:rFonts w:ascii="Times New Roman" w:hAnsi="Times New Roman" w:cs="Times New Roman"/>
          <w:sz w:val="24"/>
          <w:szCs w:val="24"/>
        </w:rPr>
        <w:t>the final mass.</w:t>
      </w:r>
    </w:p>
    <w:p w14:paraId="39A44881" w14:textId="351EB255" w:rsidR="00EA6A4A" w:rsidRPr="00EA6A4A" w:rsidRDefault="000C3DA9" w:rsidP="000C3DA9">
      <w:pPr>
        <w:spacing w:line="240" w:lineRule="auto"/>
        <w:jc w:val="both"/>
        <w:rPr>
          <w:rFonts w:ascii="Times New Roman" w:eastAsia="Times New Roman" w:hAnsi="Times New Roman" w:cs="Times New Roman"/>
          <w:kern w:val="24"/>
          <w:sz w:val="24"/>
          <w:szCs w:val="24"/>
        </w:rPr>
      </w:pPr>
      <w:r w:rsidRPr="00EA6A4A">
        <w:rPr>
          <w:rFonts w:ascii="Times New Roman" w:eastAsia="Times New Roman" w:hAnsi="Times New Roman" w:cs="Times New Roman"/>
          <w:b/>
          <w:kern w:val="24"/>
          <w:sz w:val="24"/>
          <w:szCs w:val="24"/>
        </w:rPr>
        <w:t xml:space="preserve"> </w:t>
      </w:r>
      <w:r w:rsidR="00EA6A4A" w:rsidRPr="00EA6A4A">
        <w:rPr>
          <w:rFonts w:ascii="Times New Roman" w:eastAsia="Times New Roman" w:hAnsi="Times New Roman" w:cs="Times New Roman"/>
          <w:b/>
          <w:kern w:val="24"/>
          <w:sz w:val="24"/>
          <w:szCs w:val="24"/>
        </w:rPr>
        <w:t>Aggregate impact value test</w:t>
      </w:r>
      <w:r w:rsidR="00EA6A4A">
        <w:rPr>
          <w:rFonts w:ascii="Times New Roman" w:eastAsia="Times New Roman" w:hAnsi="Times New Roman" w:cs="Times New Roman"/>
          <w:b/>
          <w:kern w:val="24"/>
          <w:sz w:val="24"/>
          <w:szCs w:val="24"/>
        </w:rPr>
        <w:t xml:space="preserve"> (AIV)</w:t>
      </w:r>
      <w:r w:rsidRPr="00EA6A4A">
        <w:rPr>
          <w:rFonts w:ascii="Times New Roman" w:eastAsia="Times New Roman" w:hAnsi="Times New Roman" w:cs="Times New Roman"/>
          <w:b/>
          <w:kern w:val="24"/>
          <w:sz w:val="24"/>
          <w:szCs w:val="24"/>
        </w:rPr>
        <w:t xml:space="preserve">   </w:t>
      </w:r>
      <w:r w:rsidRPr="00EA6A4A">
        <w:rPr>
          <w:rFonts w:ascii="Times New Roman" w:eastAsia="Times New Roman" w:hAnsi="Times New Roman" w:cs="Times New Roman"/>
          <w:kern w:val="24"/>
          <w:sz w:val="24"/>
          <w:szCs w:val="24"/>
        </w:rPr>
        <w:t xml:space="preserve"> </w:t>
      </w:r>
    </w:p>
    <w:p w14:paraId="020C2C43" w14:textId="6E7E556D" w:rsidR="00A94477" w:rsidRDefault="000C3DA9" w:rsidP="000C3DA9">
      <w:pPr>
        <w:spacing w:line="240" w:lineRule="auto"/>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 </w:t>
      </w:r>
      <w:r w:rsidR="001076C3" w:rsidRPr="008D1599">
        <w:rPr>
          <w:rFonts w:ascii="Times New Roman" w:eastAsia="Times New Roman" w:hAnsi="Times New Roman" w:cs="Times New Roman"/>
          <w:kern w:val="24"/>
          <w:sz w:val="24"/>
          <w:szCs w:val="24"/>
        </w:rPr>
        <w:t>Aggregate impact value</w:t>
      </w:r>
      <w:r w:rsidR="00A94477">
        <w:rPr>
          <w:rFonts w:ascii="Times New Roman" w:eastAsia="Times New Roman" w:hAnsi="Times New Roman" w:cs="Times New Roman"/>
          <w:kern w:val="24"/>
          <w:sz w:val="24"/>
          <w:szCs w:val="24"/>
        </w:rPr>
        <w:t xml:space="preserve"> test was carried out by </w:t>
      </w:r>
      <w:r w:rsidR="00B762CC" w:rsidRPr="008D1599">
        <w:rPr>
          <w:rFonts w:ascii="Times New Roman" w:eastAsia="Times New Roman" w:hAnsi="Times New Roman" w:cs="Times New Roman"/>
          <w:sz w:val="24"/>
          <w:szCs w:val="24"/>
        </w:rPr>
        <w:t>weighing the empty cup of the test equipment (W1), the prepared aggregates were added until it was up to one-third of the cup, and the tamping shaft was struck 25 times. An additional 25 strokes of tamping were employed, after adding an equivalent amount of aggregates. The measure was then finally filled to overflow, tamped 25 times, and any excess aggregates were struck off using the rod as straightedge.</w:t>
      </w:r>
      <w:r w:rsidR="00A94477">
        <w:rPr>
          <w:rFonts w:ascii="Times New Roman" w:eastAsia="Times New Roman" w:hAnsi="Times New Roman" w:cs="Times New Roman"/>
          <w:sz w:val="24"/>
          <w:szCs w:val="24"/>
        </w:rPr>
        <w:t xml:space="preserve"> </w:t>
      </w:r>
      <w:r w:rsidR="00B762CC" w:rsidRPr="008D1599">
        <w:rPr>
          <w:rFonts w:ascii="Times New Roman" w:eastAsia="Times New Roman" w:hAnsi="Times New Roman" w:cs="Times New Roman"/>
          <w:sz w:val="24"/>
          <w:szCs w:val="24"/>
        </w:rPr>
        <w:t>The aggregates' net weight (weight M1) in the measure were now determined. The equipment’s hammer was freely dropped onto the sample in the cup after being raised to a height of 380 mm above their upper surface.</w:t>
      </w:r>
    </w:p>
    <w:p w14:paraId="1A8AEC34" w14:textId="679F52D4" w:rsidR="00EA6A4A" w:rsidRPr="00EA6A4A" w:rsidRDefault="00EA6A4A" w:rsidP="00EA6A4A">
      <w:pPr>
        <w:spacing w:line="240" w:lineRule="auto"/>
        <w:jc w:val="both"/>
        <w:rPr>
          <w:rFonts w:ascii="Times New Roman" w:eastAsia="Times New Roman" w:hAnsi="Times New Roman" w:cs="Times New Roman"/>
          <w:b/>
          <w:kern w:val="24"/>
          <w:sz w:val="24"/>
          <w:szCs w:val="24"/>
        </w:rPr>
      </w:pPr>
      <w:r w:rsidRPr="00EA6A4A">
        <w:rPr>
          <w:rFonts w:ascii="Times New Roman" w:eastAsia="Times New Roman" w:hAnsi="Times New Roman" w:cs="Times New Roman"/>
          <w:b/>
          <w:kern w:val="24"/>
          <w:sz w:val="24"/>
          <w:szCs w:val="24"/>
        </w:rPr>
        <w:t>Softening point of bitumen</w:t>
      </w:r>
    </w:p>
    <w:p w14:paraId="371F11AF" w14:textId="06F1B728" w:rsidR="0070288A" w:rsidRDefault="00A94477" w:rsidP="00EA6A4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For the s</w:t>
      </w:r>
      <w:r w:rsidR="008D1599" w:rsidRPr="008D1599">
        <w:rPr>
          <w:rFonts w:ascii="Times New Roman" w:eastAsia="Times New Roman" w:hAnsi="Times New Roman" w:cs="Times New Roman"/>
          <w:kern w:val="24"/>
          <w:sz w:val="24"/>
          <w:szCs w:val="24"/>
        </w:rPr>
        <w:t xml:space="preserve">oftening </w:t>
      </w:r>
      <w:r w:rsidR="001076C3" w:rsidRPr="008D1599">
        <w:rPr>
          <w:rFonts w:ascii="Times New Roman" w:eastAsia="Times New Roman" w:hAnsi="Times New Roman" w:cs="Times New Roman"/>
          <w:kern w:val="24"/>
          <w:sz w:val="24"/>
          <w:szCs w:val="24"/>
        </w:rPr>
        <w:t>point of bitumen</w:t>
      </w:r>
      <w:r>
        <w:rPr>
          <w:rFonts w:ascii="Times New Roman" w:eastAsia="Times New Roman" w:hAnsi="Times New Roman" w:cs="Times New Roman"/>
          <w:kern w:val="24"/>
          <w:sz w:val="24"/>
          <w:szCs w:val="24"/>
        </w:rPr>
        <w:t xml:space="preserve"> experiment, t</w:t>
      </w:r>
      <w:r w:rsidR="001D1730" w:rsidRPr="008D1599">
        <w:rPr>
          <w:rFonts w:ascii="Times New Roman" w:eastAsia="Times New Roman" w:hAnsi="Times New Roman" w:cs="Times New Roman"/>
          <w:sz w:val="24"/>
          <w:szCs w:val="24"/>
        </w:rPr>
        <w:t>he sample was heated for no more than two hours at a temperature that did not surpass the anticipated softening temperature by more than 110°C.</w:t>
      </w:r>
      <w:r>
        <w:rPr>
          <w:rFonts w:ascii="Times New Roman" w:eastAsia="Times New Roman" w:hAnsi="Times New Roman" w:cs="Times New Roman"/>
          <w:sz w:val="24"/>
          <w:szCs w:val="24"/>
        </w:rPr>
        <w:t xml:space="preserve"> </w:t>
      </w:r>
      <w:r w:rsidR="001D1730" w:rsidRPr="008D1599">
        <w:rPr>
          <w:rFonts w:ascii="Times New Roman" w:eastAsia="Times New Roman" w:hAnsi="Times New Roman" w:cs="Times New Roman"/>
          <w:sz w:val="24"/>
          <w:szCs w:val="24"/>
        </w:rPr>
        <w:t>The heated ring that was resting on the pouring plate was then filled with the heated sample.</w:t>
      </w:r>
      <w:r>
        <w:rPr>
          <w:rFonts w:ascii="Times New Roman" w:eastAsia="Times New Roman" w:hAnsi="Times New Roman" w:cs="Times New Roman"/>
          <w:sz w:val="24"/>
          <w:szCs w:val="24"/>
        </w:rPr>
        <w:t xml:space="preserve"> </w:t>
      </w:r>
      <w:r w:rsidR="001D1730" w:rsidRPr="008D1599">
        <w:rPr>
          <w:rFonts w:ascii="Times New Roman" w:eastAsia="Times New Roman" w:hAnsi="Times New Roman" w:cs="Times New Roman"/>
          <w:sz w:val="24"/>
          <w:szCs w:val="24"/>
        </w:rPr>
        <w:t>After letting the specimen cool for at least half an hour, a hot knife was used to trim off any extra material. The device was put together with the thermometer and ring, and the transparent container was filled with cool clean water down to a depth of 102–108 mm.</w:t>
      </w:r>
      <w:r>
        <w:rPr>
          <w:rFonts w:ascii="Times New Roman" w:eastAsia="Times New Roman" w:hAnsi="Times New Roman" w:cs="Times New Roman"/>
          <w:sz w:val="24"/>
          <w:szCs w:val="24"/>
        </w:rPr>
        <w:t xml:space="preserve"> </w:t>
      </w:r>
      <w:r w:rsidR="001D1730" w:rsidRPr="008D1599">
        <w:rPr>
          <w:rFonts w:ascii="Times New Roman" w:eastAsia="Times New Roman" w:hAnsi="Times New Roman" w:cs="Times New Roman"/>
          <w:sz w:val="24"/>
          <w:szCs w:val="24"/>
        </w:rPr>
        <w:t>For fifteen minutes, the container's temperature was kept at (5 ±1)</w:t>
      </w:r>
      <w:r w:rsidR="0070288A">
        <w:rPr>
          <w:rFonts w:ascii="Times New Roman" w:eastAsia="Times New Roman" w:hAnsi="Times New Roman" w:cs="Times New Roman"/>
          <w:sz w:val="24"/>
          <w:szCs w:val="24"/>
        </w:rPr>
        <w:t xml:space="preserve"> </w:t>
      </w:r>
      <w:r w:rsidRPr="008D1599">
        <w:rPr>
          <w:rFonts w:ascii="Times New Roman" w:eastAsia="Times New Roman" w:hAnsi="Times New Roman" w:cs="Times New Roman"/>
          <w:sz w:val="24"/>
          <w:szCs w:val="24"/>
        </w:rPr>
        <w:t>°C</w:t>
      </w:r>
      <w:r w:rsidR="0070288A">
        <w:rPr>
          <w:rFonts w:ascii="Times New Roman" w:eastAsia="Times New Roman" w:hAnsi="Times New Roman" w:cs="Times New Roman"/>
          <w:sz w:val="24"/>
          <w:szCs w:val="24"/>
        </w:rPr>
        <w:t>.</w:t>
      </w:r>
    </w:p>
    <w:p w14:paraId="39D72446" w14:textId="7DC1C5DA" w:rsidR="00852710" w:rsidRDefault="00852710" w:rsidP="00B237F8">
      <w:pPr>
        <w:pStyle w:val="Caption"/>
        <w:rPr>
          <w:rFonts w:eastAsia="Times New Roman" w:cs="Times New Roman"/>
          <w:szCs w:val="24"/>
        </w:rPr>
      </w:pPr>
      <w:r>
        <w:lastRenderedPageBreak/>
        <w:t xml:space="preserve">Table </w:t>
      </w:r>
      <w:fldSimple w:instr=" SEQ Table \* ARABIC ">
        <w:r w:rsidR="000B6610">
          <w:rPr>
            <w:noProof/>
          </w:rPr>
          <w:t>1</w:t>
        </w:r>
      </w:fldSimple>
      <w:r>
        <w:t>. Experiments with various testing standard</w:t>
      </w:r>
    </w:p>
    <w:tbl>
      <w:tblPr>
        <w:tblW w:w="9005" w:type="dxa"/>
        <w:tblBorders>
          <w:top w:val="single" w:sz="4" w:space="0" w:color="auto"/>
          <w:bottom w:val="single" w:sz="4" w:space="0" w:color="auto"/>
        </w:tblBorders>
        <w:tblLayout w:type="fixed"/>
        <w:tblLook w:val="04A0" w:firstRow="1" w:lastRow="0" w:firstColumn="1" w:lastColumn="0" w:noHBand="0" w:noVBand="1"/>
      </w:tblPr>
      <w:tblGrid>
        <w:gridCol w:w="2870"/>
        <w:gridCol w:w="1436"/>
        <w:gridCol w:w="1014"/>
        <w:gridCol w:w="887"/>
        <w:gridCol w:w="1015"/>
        <w:gridCol w:w="1783"/>
      </w:tblGrid>
      <w:tr w:rsidR="00852710" w:rsidRPr="003F6384" w14:paraId="3F55A7A1" w14:textId="77777777" w:rsidTr="007A7FD4">
        <w:trPr>
          <w:trHeight w:val="212"/>
        </w:trPr>
        <w:tc>
          <w:tcPr>
            <w:tcW w:w="2870" w:type="dxa"/>
            <w:vMerge w:val="restart"/>
            <w:tcBorders>
              <w:top w:val="single" w:sz="4" w:space="0" w:color="auto"/>
              <w:bottom w:val="single" w:sz="4" w:space="0" w:color="auto"/>
            </w:tcBorders>
            <w:hideMark/>
          </w:tcPr>
          <w:p w14:paraId="27109373" w14:textId="77777777" w:rsidR="00852710" w:rsidRPr="003F6384" w:rsidRDefault="00852710" w:rsidP="002E3526">
            <w:pPr>
              <w:spacing w:line="240" w:lineRule="auto"/>
              <w:rPr>
                <w:rFonts w:ascii="Times New Roman" w:hAnsi="Times New Roman" w:cs="Times New Roman"/>
                <w:b/>
                <w:sz w:val="24"/>
                <w:szCs w:val="24"/>
              </w:rPr>
            </w:pPr>
            <w:r w:rsidRPr="003F6384">
              <w:rPr>
                <w:rFonts w:ascii="Times New Roman" w:hAnsi="Times New Roman" w:cs="Times New Roman"/>
                <w:b/>
                <w:sz w:val="24"/>
                <w:szCs w:val="24"/>
              </w:rPr>
              <w:t>EXPERIMENTS</w:t>
            </w:r>
          </w:p>
        </w:tc>
        <w:tc>
          <w:tcPr>
            <w:tcW w:w="1436" w:type="dxa"/>
            <w:vMerge w:val="restart"/>
            <w:tcBorders>
              <w:top w:val="single" w:sz="4" w:space="0" w:color="auto"/>
              <w:bottom w:val="single" w:sz="4" w:space="0" w:color="auto"/>
            </w:tcBorders>
            <w:hideMark/>
          </w:tcPr>
          <w:p w14:paraId="41F55DE5" w14:textId="43DF82C7" w:rsidR="00852710" w:rsidRPr="003F6384" w:rsidRDefault="007A7FD4" w:rsidP="002E352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TEST STANDARD </w:t>
            </w:r>
            <w:r w:rsidR="00852710" w:rsidRPr="003F6384">
              <w:rPr>
                <w:rFonts w:ascii="Times New Roman" w:hAnsi="Times New Roman" w:cs="Times New Roman"/>
                <w:b/>
                <w:sz w:val="24"/>
                <w:szCs w:val="24"/>
              </w:rPr>
              <w:t>(ASTM)</w:t>
            </w:r>
            <w:r>
              <w:rPr>
                <w:rFonts w:ascii="Times New Roman" w:hAnsi="Times New Roman" w:cs="Times New Roman"/>
                <w:b/>
                <w:sz w:val="24"/>
                <w:szCs w:val="24"/>
              </w:rPr>
              <w:t xml:space="preserve">     </w:t>
            </w:r>
          </w:p>
        </w:tc>
        <w:tc>
          <w:tcPr>
            <w:tcW w:w="2916" w:type="dxa"/>
            <w:gridSpan w:val="3"/>
            <w:tcBorders>
              <w:top w:val="single" w:sz="4" w:space="0" w:color="auto"/>
              <w:bottom w:val="single" w:sz="4" w:space="0" w:color="auto"/>
            </w:tcBorders>
            <w:hideMark/>
          </w:tcPr>
          <w:p w14:paraId="7D200017" w14:textId="28EDBFB0" w:rsidR="00852710" w:rsidRPr="003F6384" w:rsidRDefault="007A7FD4" w:rsidP="002E352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52710" w:rsidRPr="003F6384">
              <w:rPr>
                <w:rFonts w:ascii="Times New Roman" w:hAnsi="Times New Roman" w:cs="Times New Roman"/>
                <w:b/>
                <w:sz w:val="24"/>
                <w:szCs w:val="24"/>
              </w:rPr>
              <w:t xml:space="preserve">CODE </w:t>
            </w:r>
            <w:r>
              <w:rPr>
                <w:rFonts w:ascii="Times New Roman" w:hAnsi="Times New Roman" w:cs="Times New Roman"/>
                <w:b/>
                <w:sz w:val="24"/>
                <w:szCs w:val="24"/>
              </w:rPr>
              <w:t xml:space="preserve">  </w:t>
            </w:r>
            <w:r w:rsidR="00852710" w:rsidRPr="003F6384">
              <w:rPr>
                <w:rFonts w:ascii="Times New Roman" w:hAnsi="Times New Roman" w:cs="Times New Roman"/>
                <w:b/>
                <w:sz w:val="24"/>
                <w:szCs w:val="24"/>
              </w:rPr>
              <w:t>SPECIFICATIONS</w:t>
            </w:r>
          </w:p>
        </w:tc>
        <w:tc>
          <w:tcPr>
            <w:tcW w:w="1783" w:type="dxa"/>
            <w:vMerge w:val="restart"/>
            <w:tcBorders>
              <w:top w:val="single" w:sz="4" w:space="0" w:color="auto"/>
              <w:bottom w:val="single" w:sz="4" w:space="0" w:color="auto"/>
            </w:tcBorders>
            <w:hideMark/>
          </w:tcPr>
          <w:p w14:paraId="4FB073C2" w14:textId="77777777" w:rsidR="00852710" w:rsidRPr="003F6384" w:rsidRDefault="00852710" w:rsidP="002E3526">
            <w:pPr>
              <w:spacing w:line="240" w:lineRule="auto"/>
              <w:rPr>
                <w:rFonts w:ascii="Times New Roman" w:hAnsi="Times New Roman" w:cs="Times New Roman"/>
                <w:b/>
                <w:sz w:val="24"/>
                <w:szCs w:val="24"/>
              </w:rPr>
            </w:pPr>
            <w:r w:rsidRPr="003F6384">
              <w:rPr>
                <w:rFonts w:ascii="Times New Roman" w:hAnsi="Times New Roman" w:cs="Times New Roman"/>
                <w:b/>
                <w:sz w:val="24"/>
                <w:szCs w:val="24"/>
              </w:rPr>
              <w:t>OBSERVED RESULTS</w:t>
            </w:r>
          </w:p>
        </w:tc>
      </w:tr>
      <w:tr w:rsidR="00852710" w:rsidRPr="003F6384" w14:paraId="017A7034" w14:textId="77777777" w:rsidTr="007A7FD4">
        <w:trPr>
          <w:trHeight w:val="115"/>
        </w:trPr>
        <w:tc>
          <w:tcPr>
            <w:tcW w:w="2870" w:type="dxa"/>
            <w:vMerge/>
            <w:tcBorders>
              <w:top w:val="single" w:sz="4" w:space="0" w:color="auto"/>
              <w:bottom w:val="single" w:sz="4" w:space="0" w:color="auto"/>
            </w:tcBorders>
            <w:vAlign w:val="center"/>
            <w:hideMark/>
          </w:tcPr>
          <w:p w14:paraId="540C9046" w14:textId="77777777" w:rsidR="00852710" w:rsidRPr="003F6384" w:rsidRDefault="00852710" w:rsidP="002E3526">
            <w:pPr>
              <w:spacing w:line="240" w:lineRule="auto"/>
              <w:rPr>
                <w:rFonts w:ascii="Times New Roman" w:hAnsi="Times New Roman" w:cs="Times New Roman"/>
                <w:b/>
                <w:sz w:val="24"/>
                <w:szCs w:val="24"/>
              </w:rPr>
            </w:pPr>
          </w:p>
        </w:tc>
        <w:tc>
          <w:tcPr>
            <w:tcW w:w="1436" w:type="dxa"/>
            <w:vMerge/>
            <w:tcBorders>
              <w:top w:val="single" w:sz="4" w:space="0" w:color="auto"/>
              <w:bottom w:val="single" w:sz="4" w:space="0" w:color="auto"/>
            </w:tcBorders>
            <w:vAlign w:val="center"/>
            <w:hideMark/>
          </w:tcPr>
          <w:p w14:paraId="01079D88" w14:textId="77777777" w:rsidR="00852710" w:rsidRPr="003F6384" w:rsidRDefault="00852710" w:rsidP="002E3526">
            <w:pPr>
              <w:spacing w:line="240" w:lineRule="auto"/>
              <w:rPr>
                <w:rFonts w:ascii="Times New Roman" w:hAnsi="Times New Roman" w:cs="Times New Roman"/>
                <w:b/>
                <w:sz w:val="24"/>
                <w:szCs w:val="24"/>
              </w:rPr>
            </w:pPr>
          </w:p>
        </w:tc>
        <w:tc>
          <w:tcPr>
            <w:tcW w:w="1014" w:type="dxa"/>
            <w:tcBorders>
              <w:top w:val="single" w:sz="4" w:space="0" w:color="auto"/>
              <w:bottom w:val="single" w:sz="4" w:space="0" w:color="auto"/>
            </w:tcBorders>
            <w:hideMark/>
          </w:tcPr>
          <w:p w14:paraId="1C33248E" w14:textId="77777777" w:rsidR="00852710" w:rsidRPr="003F6384" w:rsidRDefault="00852710" w:rsidP="002E3526">
            <w:pPr>
              <w:spacing w:line="240" w:lineRule="auto"/>
              <w:rPr>
                <w:rFonts w:ascii="Times New Roman" w:hAnsi="Times New Roman" w:cs="Times New Roman"/>
                <w:b/>
                <w:sz w:val="24"/>
                <w:szCs w:val="24"/>
              </w:rPr>
            </w:pPr>
            <w:r w:rsidRPr="003F6384">
              <w:rPr>
                <w:rFonts w:ascii="Times New Roman" w:hAnsi="Times New Roman" w:cs="Times New Roman"/>
                <w:b/>
                <w:sz w:val="24"/>
                <w:szCs w:val="24"/>
              </w:rPr>
              <w:t>40/50</w:t>
            </w:r>
          </w:p>
        </w:tc>
        <w:tc>
          <w:tcPr>
            <w:tcW w:w="887" w:type="dxa"/>
            <w:tcBorders>
              <w:top w:val="single" w:sz="4" w:space="0" w:color="auto"/>
              <w:bottom w:val="single" w:sz="4" w:space="0" w:color="auto"/>
            </w:tcBorders>
            <w:hideMark/>
          </w:tcPr>
          <w:p w14:paraId="710E0D43" w14:textId="77777777" w:rsidR="00852710" w:rsidRPr="003F6384" w:rsidRDefault="00852710" w:rsidP="002E3526">
            <w:pPr>
              <w:spacing w:line="240" w:lineRule="auto"/>
              <w:rPr>
                <w:rFonts w:ascii="Times New Roman" w:hAnsi="Times New Roman" w:cs="Times New Roman"/>
                <w:b/>
                <w:sz w:val="24"/>
                <w:szCs w:val="24"/>
              </w:rPr>
            </w:pPr>
            <w:r w:rsidRPr="003F6384">
              <w:rPr>
                <w:rFonts w:ascii="Times New Roman" w:hAnsi="Times New Roman" w:cs="Times New Roman"/>
                <w:b/>
                <w:sz w:val="24"/>
                <w:szCs w:val="24"/>
              </w:rPr>
              <w:t>60/70</w:t>
            </w:r>
          </w:p>
        </w:tc>
        <w:tc>
          <w:tcPr>
            <w:tcW w:w="1014" w:type="dxa"/>
            <w:tcBorders>
              <w:top w:val="single" w:sz="4" w:space="0" w:color="auto"/>
              <w:bottom w:val="single" w:sz="4" w:space="0" w:color="auto"/>
            </w:tcBorders>
            <w:hideMark/>
          </w:tcPr>
          <w:p w14:paraId="431FB917" w14:textId="77777777" w:rsidR="00852710" w:rsidRPr="003F6384" w:rsidRDefault="00852710" w:rsidP="002E3526">
            <w:pPr>
              <w:spacing w:line="240" w:lineRule="auto"/>
              <w:rPr>
                <w:rFonts w:ascii="Times New Roman" w:hAnsi="Times New Roman" w:cs="Times New Roman"/>
                <w:b/>
                <w:sz w:val="24"/>
                <w:szCs w:val="24"/>
              </w:rPr>
            </w:pPr>
            <w:r w:rsidRPr="003F6384">
              <w:rPr>
                <w:rFonts w:ascii="Times New Roman" w:hAnsi="Times New Roman" w:cs="Times New Roman"/>
                <w:b/>
                <w:sz w:val="24"/>
                <w:szCs w:val="24"/>
              </w:rPr>
              <w:t>80/100</w:t>
            </w:r>
          </w:p>
        </w:tc>
        <w:tc>
          <w:tcPr>
            <w:tcW w:w="1783" w:type="dxa"/>
            <w:vMerge/>
            <w:tcBorders>
              <w:top w:val="single" w:sz="4" w:space="0" w:color="auto"/>
              <w:bottom w:val="single" w:sz="4" w:space="0" w:color="auto"/>
            </w:tcBorders>
            <w:vAlign w:val="center"/>
            <w:hideMark/>
          </w:tcPr>
          <w:p w14:paraId="330C7F3F" w14:textId="77777777" w:rsidR="00852710" w:rsidRPr="003F6384" w:rsidRDefault="00852710" w:rsidP="002E3526">
            <w:pPr>
              <w:spacing w:line="240" w:lineRule="auto"/>
              <w:rPr>
                <w:rFonts w:ascii="Times New Roman" w:hAnsi="Times New Roman" w:cs="Times New Roman"/>
                <w:b/>
                <w:sz w:val="24"/>
                <w:szCs w:val="24"/>
              </w:rPr>
            </w:pPr>
          </w:p>
        </w:tc>
      </w:tr>
      <w:tr w:rsidR="00852710" w:rsidRPr="003F6384" w14:paraId="0AFD9596" w14:textId="77777777" w:rsidTr="007A7FD4">
        <w:trPr>
          <w:trHeight w:val="230"/>
        </w:trPr>
        <w:tc>
          <w:tcPr>
            <w:tcW w:w="2870" w:type="dxa"/>
            <w:tcBorders>
              <w:top w:val="single" w:sz="4" w:space="0" w:color="auto"/>
              <w:bottom w:val="nil"/>
            </w:tcBorders>
            <w:hideMark/>
          </w:tcPr>
          <w:p w14:paraId="512F25F9"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Penetration at 25°C</w:t>
            </w:r>
          </w:p>
        </w:tc>
        <w:tc>
          <w:tcPr>
            <w:tcW w:w="1436" w:type="dxa"/>
            <w:tcBorders>
              <w:top w:val="single" w:sz="4" w:space="0" w:color="auto"/>
              <w:bottom w:val="nil"/>
            </w:tcBorders>
            <w:hideMark/>
          </w:tcPr>
          <w:p w14:paraId="18D0AC4F"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D5-97</w:t>
            </w:r>
          </w:p>
        </w:tc>
        <w:tc>
          <w:tcPr>
            <w:tcW w:w="1014" w:type="dxa"/>
            <w:tcBorders>
              <w:top w:val="single" w:sz="4" w:space="0" w:color="auto"/>
              <w:bottom w:val="nil"/>
            </w:tcBorders>
            <w:hideMark/>
          </w:tcPr>
          <w:p w14:paraId="186F1264"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40-50</w:t>
            </w:r>
          </w:p>
        </w:tc>
        <w:tc>
          <w:tcPr>
            <w:tcW w:w="887" w:type="dxa"/>
            <w:tcBorders>
              <w:top w:val="single" w:sz="4" w:space="0" w:color="auto"/>
              <w:bottom w:val="nil"/>
            </w:tcBorders>
            <w:hideMark/>
          </w:tcPr>
          <w:p w14:paraId="782148F0"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60-70</w:t>
            </w:r>
          </w:p>
        </w:tc>
        <w:tc>
          <w:tcPr>
            <w:tcW w:w="1014" w:type="dxa"/>
            <w:tcBorders>
              <w:top w:val="single" w:sz="4" w:space="0" w:color="auto"/>
              <w:bottom w:val="nil"/>
            </w:tcBorders>
            <w:hideMark/>
          </w:tcPr>
          <w:p w14:paraId="2FF80B63"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80-100</w:t>
            </w:r>
          </w:p>
        </w:tc>
        <w:tc>
          <w:tcPr>
            <w:tcW w:w="1783" w:type="dxa"/>
            <w:tcBorders>
              <w:top w:val="single" w:sz="4" w:space="0" w:color="auto"/>
              <w:bottom w:val="nil"/>
            </w:tcBorders>
            <w:hideMark/>
          </w:tcPr>
          <w:p w14:paraId="59D99387" w14:textId="487C0EC9" w:rsidR="00852710" w:rsidRPr="003F6384" w:rsidRDefault="007A7FD4" w:rsidP="002E3526">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852710" w:rsidRPr="003F6384">
              <w:rPr>
                <w:rFonts w:ascii="Times New Roman" w:hAnsi="Times New Roman" w:cs="Times New Roman"/>
                <w:sz w:val="24"/>
                <w:szCs w:val="24"/>
              </w:rPr>
              <w:t>64</w:t>
            </w:r>
          </w:p>
        </w:tc>
      </w:tr>
      <w:tr w:rsidR="00852710" w:rsidRPr="003F6384" w14:paraId="2EF6C592" w14:textId="77777777" w:rsidTr="007A7FD4">
        <w:trPr>
          <w:trHeight w:val="241"/>
        </w:trPr>
        <w:tc>
          <w:tcPr>
            <w:tcW w:w="2870" w:type="dxa"/>
            <w:tcBorders>
              <w:top w:val="nil"/>
            </w:tcBorders>
            <w:hideMark/>
          </w:tcPr>
          <w:p w14:paraId="3D60526A"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Flash point and Fire point (°C)</w:t>
            </w:r>
          </w:p>
        </w:tc>
        <w:tc>
          <w:tcPr>
            <w:tcW w:w="1436" w:type="dxa"/>
            <w:tcBorders>
              <w:top w:val="nil"/>
            </w:tcBorders>
            <w:hideMark/>
          </w:tcPr>
          <w:p w14:paraId="33468BD1"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D92-02</w:t>
            </w:r>
          </w:p>
        </w:tc>
        <w:tc>
          <w:tcPr>
            <w:tcW w:w="1014" w:type="dxa"/>
            <w:tcBorders>
              <w:top w:val="nil"/>
            </w:tcBorders>
            <w:hideMark/>
          </w:tcPr>
          <w:p w14:paraId="346EAC90"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232</w:t>
            </w:r>
          </w:p>
        </w:tc>
        <w:tc>
          <w:tcPr>
            <w:tcW w:w="887" w:type="dxa"/>
            <w:tcBorders>
              <w:top w:val="nil"/>
            </w:tcBorders>
            <w:hideMark/>
          </w:tcPr>
          <w:p w14:paraId="14DEEFC6"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232</w:t>
            </w:r>
          </w:p>
        </w:tc>
        <w:tc>
          <w:tcPr>
            <w:tcW w:w="1014" w:type="dxa"/>
            <w:tcBorders>
              <w:top w:val="nil"/>
            </w:tcBorders>
            <w:hideMark/>
          </w:tcPr>
          <w:p w14:paraId="47A14224"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219</w:t>
            </w:r>
          </w:p>
        </w:tc>
        <w:tc>
          <w:tcPr>
            <w:tcW w:w="1783" w:type="dxa"/>
            <w:tcBorders>
              <w:top w:val="nil"/>
            </w:tcBorders>
            <w:hideMark/>
          </w:tcPr>
          <w:p w14:paraId="1073364C" w14:textId="5A501873" w:rsidR="00852710" w:rsidRPr="003F6384" w:rsidRDefault="007A7FD4" w:rsidP="002E352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52710" w:rsidRPr="003F6384">
              <w:rPr>
                <w:rFonts w:ascii="Times New Roman" w:hAnsi="Times New Roman" w:cs="Times New Roman"/>
                <w:sz w:val="24"/>
                <w:szCs w:val="24"/>
              </w:rPr>
              <w:t>230</w:t>
            </w:r>
          </w:p>
        </w:tc>
      </w:tr>
      <w:tr w:rsidR="00852710" w:rsidRPr="003F6384" w14:paraId="68876D4B" w14:textId="77777777" w:rsidTr="007A7FD4">
        <w:trPr>
          <w:trHeight w:val="241"/>
        </w:trPr>
        <w:tc>
          <w:tcPr>
            <w:tcW w:w="2870" w:type="dxa"/>
          </w:tcPr>
          <w:p w14:paraId="4C064236"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Softening Point °C</w:t>
            </w:r>
          </w:p>
        </w:tc>
        <w:tc>
          <w:tcPr>
            <w:tcW w:w="1436" w:type="dxa"/>
          </w:tcPr>
          <w:p w14:paraId="2726F918"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D36- 95</w:t>
            </w:r>
          </w:p>
        </w:tc>
        <w:tc>
          <w:tcPr>
            <w:tcW w:w="1014" w:type="dxa"/>
          </w:tcPr>
          <w:p w14:paraId="1D2EE1A4"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52/60</w:t>
            </w:r>
          </w:p>
        </w:tc>
        <w:tc>
          <w:tcPr>
            <w:tcW w:w="887" w:type="dxa"/>
          </w:tcPr>
          <w:p w14:paraId="2A9314D7"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49/59</w:t>
            </w:r>
          </w:p>
        </w:tc>
        <w:tc>
          <w:tcPr>
            <w:tcW w:w="1014" w:type="dxa"/>
          </w:tcPr>
          <w:p w14:paraId="679341C9" w14:textId="77777777" w:rsidR="00852710" w:rsidRPr="003F6384" w:rsidRDefault="00852710" w:rsidP="002E3526">
            <w:pPr>
              <w:spacing w:line="240" w:lineRule="auto"/>
              <w:rPr>
                <w:rFonts w:ascii="Times New Roman" w:hAnsi="Times New Roman" w:cs="Times New Roman"/>
                <w:sz w:val="24"/>
                <w:szCs w:val="24"/>
              </w:rPr>
            </w:pPr>
            <w:r w:rsidRPr="003F6384">
              <w:rPr>
                <w:rFonts w:ascii="Times New Roman" w:hAnsi="Times New Roman" w:cs="Times New Roman"/>
                <w:sz w:val="24"/>
                <w:szCs w:val="24"/>
              </w:rPr>
              <w:t>45/52</w:t>
            </w:r>
          </w:p>
        </w:tc>
        <w:tc>
          <w:tcPr>
            <w:tcW w:w="1783" w:type="dxa"/>
          </w:tcPr>
          <w:p w14:paraId="174FB961" w14:textId="4DC6CF0A" w:rsidR="00852710" w:rsidRPr="003F6384" w:rsidRDefault="007A7FD4" w:rsidP="002E352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52710" w:rsidRPr="003F6384">
              <w:rPr>
                <w:rFonts w:ascii="Times New Roman" w:hAnsi="Times New Roman" w:cs="Times New Roman"/>
                <w:sz w:val="24"/>
                <w:szCs w:val="24"/>
              </w:rPr>
              <w:t>57</w:t>
            </w:r>
          </w:p>
        </w:tc>
      </w:tr>
    </w:tbl>
    <w:p w14:paraId="00F4D4C7" w14:textId="5E46D47D" w:rsidR="00EA6A4A" w:rsidRPr="00EA6A4A" w:rsidRDefault="00EA6A4A" w:rsidP="00EA6A4A">
      <w:pPr>
        <w:spacing w:before="240" w:after="0" w:line="240" w:lineRule="auto"/>
        <w:jc w:val="both"/>
        <w:rPr>
          <w:rFonts w:ascii="Times New Roman" w:eastAsia="Times New Roman" w:hAnsi="Times New Roman" w:cs="Times New Roman"/>
          <w:b/>
          <w:kern w:val="24"/>
          <w:sz w:val="24"/>
          <w:szCs w:val="24"/>
        </w:rPr>
      </w:pPr>
      <w:r w:rsidRPr="00EA6A4A">
        <w:rPr>
          <w:rFonts w:ascii="Times New Roman" w:eastAsia="Times New Roman" w:hAnsi="Times New Roman" w:cs="Times New Roman"/>
          <w:b/>
          <w:kern w:val="24"/>
          <w:sz w:val="24"/>
          <w:szCs w:val="24"/>
        </w:rPr>
        <w:t>Marshall Stability and flow test</w:t>
      </w:r>
    </w:p>
    <w:p w14:paraId="2B906E7E" w14:textId="6482C5E3" w:rsidR="0070288A" w:rsidRPr="00A94477" w:rsidRDefault="00EA6A4A" w:rsidP="00EA6A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Marshall S</w:t>
      </w:r>
      <w:r w:rsidR="001076C3" w:rsidRPr="008D1599">
        <w:rPr>
          <w:rFonts w:ascii="Times New Roman" w:eastAsia="Times New Roman" w:hAnsi="Times New Roman" w:cs="Times New Roman"/>
          <w:kern w:val="24"/>
          <w:sz w:val="24"/>
          <w:szCs w:val="24"/>
        </w:rPr>
        <w:t>tability and flow test</w:t>
      </w:r>
      <w:r w:rsidR="00416E5A" w:rsidRPr="008D1599">
        <w:rPr>
          <w:rFonts w:ascii="Times New Roman" w:eastAsia="Times New Roman" w:hAnsi="Times New Roman" w:cs="Times New Roman"/>
          <w:kern w:val="24"/>
          <w:sz w:val="24"/>
          <w:szCs w:val="24"/>
        </w:rPr>
        <w:t>:</w:t>
      </w:r>
      <w:r w:rsidR="00334BDF" w:rsidRPr="008D1599">
        <w:rPr>
          <w:rFonts w:ascii="Times New Roman" w:eastAsia="Times New Roman" w:hAnsi="Times New Roman" w:cs="Times New Roman"/>
          <w:sz w:val="24"/>
          <w:szCs w:val="24"/>
        </w:rPr>
        <w:t xml:space="preserve"> The purpose of this experiment is to ascertain the characteristics of the asphalt mix that is produced. It aids in assessing the vehicle's resistance to deformation. Additionally, it can be used to find the ideal bitumen content that will yield the asphalt's maximum density, maximum stability, flow deflection, and minimum void percentage.</w:t>
      </w:r>
    </w:p>
    <w:p w14:paraId="59133F09" w14:textId="6DC1A17A" w:rsidR="00077F8F" w:rsidRPr="00077F8F" w:rsidRDefault="00077F8F" w:rsidP="00077F8F">
      <w:pPr>
        <w:spacing w:after="0" w:line="240" w:lineRule="auto"/>
        <w:jc w:val="both"/>
        <w:rPr>
          <w:rFonts w:ascii="Times New Roman" w:eastAsia="Times New Roman" w:hAnsi="Times New Roman" w:cs="Times New Roman"/>
          <w:b/>
          <w:kern w:val="24"/>
          <w:sz w:val="24"/>
          <w:szCs w:val="24"/>
        </w:rPr>
      </w:pPr>
      <w:r w:rsidRPr="00077F8F">
        <w:rPr>
          <w:rFonts w:ascii="Times New Roman" w:eastAsia="Times New Roman" w:hAnsi="Times New Roman" w:cs="Times New Roman"/>
          <w:b/>
          <w:kern w:val="24"/>
          <w:sz w:val="24"/>
          <w:szCs w:val="24"/>
        </w:rPr>
        <w:t>Bulk density test</w:t>
      </w:r>
    </w:p>
    <w:p w14:paraId="31127C11" w14:textId="4DCC18A5" w:rsidR="00416E5A" w:rsidRDefault="00A94477" w:rsidP="00077F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The b</w:t>
      </w:r>
      <w:r w:rsidR="001076C3" w:rsidRPr="008D1599">
        <w:rPr>
          <w:rFonts w:ascii="Times New Roman" w:eastAsia="Times New Roman" w:hAnsi="Times New Roman" w:cs="Times New Roman"/>
          <w:kern w:val="24"/>
          <w:sz w:val="24"/>
          <w:szCs w:val="24"/>
        </w:rPr>
        <w:t>ulk density test</w:t>
      </w:r>
      <w:r>
        <w:rPr>
          <w:rFonts w:ascii="Times New Roman" w:eastAsia="Times New Roman" w:hAnsi="Times New Roman" w:cs="Times New Roman"/>
          <w:kern w:val="24"/>
          <w:sz w:val="24"/>
          <w:szCs w:val="24"/>
        </w:rPr>
        <w:t xml:space="preserve"> was achieved </w:t>
      </w:r>
      <w:r>
        <w:rPr>
          <w:rFonts w:ascii="Times New Roman" w:eastAsia="Times New Roman" w:hAnsi="Times New Roman" w:cs="Times New Roman"/>
          <w:sz w:val="24"/>
          <w:szCs w:val="24"/>
        </w:rPr>
        <w:t>calculating the</w:t>
      </w:r>
      <w:r w:rsidR="00416E5A" w:rsidRPr="008D1599">
        <w:rPr>
          <w:rFonts w:ascii="Times New Roman" w:eastAsia="Times New Roman" w:hAnsi="Times New Roman" w:cs="Times New Roman"/>
          <w:sz w:val="24"/>
          <w:szCs w:val="24"/>
        </w:rPr>
        <w:t xml:space="preserve"> empty measuring cylinder's weight (T) and volume (V). The measure was filled to one-third of the volume, fingers were used to level the surface. Twenty-five strokes of the tamping rod were used, evenly distributed to rod the aggregate layer across the surface. The measure was again filled to two-thirds of the way, it was leveled and rodded once more.</w:t>
      </w:r>
      <w:r w:rsidR="007426E7">
        <w:rPr>
          <w:rFonts w:ascii="Times New Roman" w:eastAsia="Times New Roman" w:hAnsi="Times New Roman" w:cs="Times New Roman"/>
          <w:sz w:val="24"/>
          <w:szCs w:val="24"/>
        </w:rPr>
        <w:t xml:space="preserve"> The following formula was used to calculate the bulk density:</w:t>
      </w:r>
    </w:p>
    <w:p w14:paraId="3FA9C80A" w14:textId="0E6121D4" w:rsidR="007426E7" w:rsidRDefault="00077F8F" w:rsidP="00B237F8">
      <w:pPr>
        <w:pStyle w:val="Caption"/>
        <w:rPr>
          <w:b/>
        </w:rPr>
      </w:pPr>
      <w:r>
        <w:rPr>
          <w:rFonts w:eastAsia="Times New Roman" w:cs="Times New Roman"/>
        </w:rPr>
        <w:t xml:space="preserve">                                </w:t>
      </w:r>
      <m:oMath>
        <m:r>
          <w:rPr>
            <w:rFonts w:ascii="Cambria Math" w:eastAsia="Calibri" w:hAnsi="Cambria Math"/>
          </w:rPr>
          <m:t>M</m:t>
        </m:r>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rPr>
              <m:t>G-T</m:t>
            </m:r>
          </m:num>
          <m:den>
            <m:r>
              <m:rPr>
                <m:sty m:val="bi"/>
              </m:rPr>
              <w:rPr>
                <w:rFonts w:ascii="Cambria Math" w:eastAsia="Calibri" w:hAnsi="Cambria Math"/>
              </w:rPr>
              <m:t>V</m:t>
            </m:r>
          </m:den>
        </m:f>
      </m:oMath>
      <w:r w:rsidR="007426E7">
        <w:rPr>
          <w:b/>
        </w:rPr>
        <w:t xml:space="preserve">  </w:t>
      </w:r>
      <w:r w:rsidR="007426E7">
        <w:rPr>
          <w:b/>
        </w:rPr>
        <w:tab/>
      </w:r>
      <w:r w:rsidR="007426E7">
        <w:rPr>
          <w:b/>
        </w:rPr>
        <w:tab/>
      </w:r>
      <w:r w:rsidR="007426E7">
        <w:rPr>
          <w:b/>
        </w:rPr>
        <w:tab/>
      </w:r>
      <w:r w:rsidR="007426E7">
        <w:rPr>
          <w:b/>
        </w:rPr>
        <w:tab/>
      </w:r>
      <w:r w:rsidR="00647BFE">
        <w:rPr>
          <w:b/>
        </w:rPr>
        <w:tab/>
      </w:r>
      <w:r w:rsidR="007426E7">
        <w:rPr>
          <w:b/>
        </w:rPr>
        <w:t>(</w:t>
      </w:r>
      <w:fldSimple w:instr=" SEQ Equation \* ARABIC ">
        <w:r w:rsidR="000B6610">
          <w:rPr>
            <w:noProof/>
          </w:rPr>
          <w:t>2</w:t>
        </w:r>
      </w:fldSimple>
      <w:r w:rsidR="007426E7">
        <w:t>)</w:t>
      </w:r>
    </w:p>
    <w:p w14:paraId="4921708C" w14:textId="6131EC7C" w:rsidR="00312FCC" w:rsidRDefault="00312FCC" w:rsidP="002E3526">
      <w:pPr>
        <w:spacing w:after="0" w:line="240" w:lineRule="auto"/>
        <w:jc w:val="both"/>
        <w:rPr>
          <w:rFonts w:ascii="Times New Roman" w:eastAsia="Calibri" w:hAnsi="Times New Roman" w:cs="Times New Roman"/>
          <w:sz w:val="24"/>
          <w:szCs w:val="24"/>
        </w:rPr>
      </w:pPr>
      <w:r w:rsidRPr="00344148">
        <w:rPr>
          <w:rFonts w:ascii="Times New Roman" w:eastAsia="Calibri" w:hAnsi="Times New Roman" w:cs="Times New Roman"/>
          <w:sz w:val="24"/>
          <w:szCs w:val="24"/>
        </w:rPr>
        <w:t>Where</w:t>
      </w:r>
      <w:r>
        <w:rPr>
          <w:rFonts w:ascii="Times New Roman" w:eastAsia="Calibri" w:hAnsi="Times New Roman" w:cs="Times New Roman"/>
          <w:i/>
          <w:iCs/>
          <w:sz w:val="24"/>
          <w:szCs w:val="24"/>
        </w:rPr>
        <w:t xml:space="preserve"> </w:t>
      </w:r>
      <w:r w:rsidRPr="00344148">
        <w:rPr>
          <w:rFonts w:ascii="Times New Roman" w:eastAsia="Calibri" w:hAnsi="Times New Roman" w:cs="Times New Roman"/>
          <w:i/>
          <w:iCs/>
          <w:sz w:val="24"/>
          <w:szCs w:val="24"/>
        </w:rPr>
        <w:t xml:space="preserve">M </w:t>
      </w:r>
      <w:r>
        <w:rPr>
          <w:rFonts w:ascii="Times New Roman" w:eastAsia="Calibri" w:hAnsi="Times New Roman" w:cs="Times New Roman"/>
          <w:sz w:val="24"/>
          <w:szCs w:val="24"/>
        </w:rPr>
        <w:t>is the</w:t>
      </w:r>
      <w:r w:rsidRPr="00344148">
        <w:rPr>
          <w:rFonts w:ascii="Times New Roman" w:eastAsia="Calibri" w:hAnsi="Times New Roman" w:cs="Times New Roman"/>
          <w:sz w:val="24"/>
          <w:szCs w:val="24"/>
        </w:rPr>
        <w:t xml:space="preserve"> bulk density of the aggregate </w:t>
      </w:r>
      <w:r>
        <w:rPr>
          <w:rFonts w:ascii="Times New Roman" w:eastAsia="Calibri" w:hAnsi="Times New Roman" w:cs="Times New Roman"/>
          <w:sz w:val="24"/>
          <w:szCs w:val="24"/>
        </w:rPr>
        <w:t>(</w:t>
      </w:r>
      <w:r w:rsidRPr="00344148">
        <w:rPr>
          <w:rFonts w:ascii="Times New Roman" w:eastAsia="Calibri" w:hAnsi="Times New Roman" w:cs="Times New Roman"/>
          <w:sz w:val="24"/>
          <w:szCs w:val="24"/>
        </w:rPr>
        <w:t>kg/m</w:t>
      </w:r>
      <w:r w:rsidRPr="00344148">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w:t>
      </w:r>
      <w:r>
        <w:rPr>
          <w:rFonts w:ascii="Times New Roman" w:eastAsia="Calibri" w:hAnsi="Times New Roman" w:cs="Times New Roman"/>
          <w:i/>
          <w:iCs/>
          <w:sz w:val="24"/>
          <w:szCs w:val="24"/>
        </w:rPr>
        <w:t xml:space="preserve">, </w:t>
      </w:r>
      <w:r w:rsidRPr="00344148">
        <w:rPr>
          <w:rFonts w:ascii="Times New Roman" w:eastAsia="Calibri" w:hAnsi="Times New Roman" w:cs="Times New Roman"/>
          <w:i/>
          <w:iCs/>
          <w:sz w:val="24"/>
          <w:szCs w:val="24"/>
        </w:rPr>
        <w:t xml:space="preserve">G </w:t>
      </w:r>
      <w:r w:rsidRPr="00312FCC">
        <w:rPr>
          <w:rFonts w:ascii="Times New Roman" w:eastAsia="Calibri" w:hAnsi="Times New Roman" w:cs="Times New Roman"/>
          <w:sz w:val="24"/>
          <w:szCs w:val="24"/>
        </w:rPr>
        <w:t>is the</w:t>
      </w:r>
      <w:r>
        <w:rPr>
          <w:rFonts w:ascii="Times New Roman" w:eastAsia="Calibri" w:hAnsi="Times New Roman" w:cs="Times New Roman"/>
          <w:i/>
          <w:iCs/>
          <w:sz w:val="24"/>
          <w:szCs w:val="24"/>
        </w:rPr>
        <w:t xml:space="preserve"> </w:t>
      </w:r>
      <w:r w:rsidRPr="00344148">
        <w:rPr>
          <w:rFonts w:ascii="Times New Roman" w:eastAsia="Calibri" w:hAnsi="Times New Roman" w:cs="Times New Roman"/>
          <w:sz w:val="24"/>
          <w:szCs w:val="24"/>
        </w:rPr>
        <w:t xml:space="preserve">mass of the aggregate plus the measure </w:t>
      </w:r>
      <w:r>
        <w:rPr>
          <w:rFonts w:ascii="Times New Roman" w:eastAsia="Calibri" w:hAnsi="Times New Roman" w:cs="Times New Roman"/>
          <w:sz w:val="24"/>
          <w:szCs w:val="24"/>
        </w:rPr>
        <w:t>(</w:t>
      </w:r>
      <w:r w:rsidRPr="00344148">
        <w:rPr>
          <w:rFonts w:ascii="Times New Roman" w:eastAsia="Calibri" w:hAnsi="Times New Roman" w:cs="Times New Roman"/>
          <w:sz w:val="24"/>
          <w:szCs w:val="24"/>
        </w:rPr>
        <w:t>kg</w:t>
      </w:r>
      <w:r>
        <w:rPr>
          <w:rFonts w:ascii="Times New Roman" w:eastAsia="Calibri" w:hAnsi="Times New Roman" w:cs="Times New Roman"/>
          <w:sz w:val="24"/>
          <w:szCs w:val="24"/>
        </w:rPr>
        <w:t>)</w:t>
      </w:r>
      <w:r>
        <w:rPr>
          <w:rFonts w:ascii="Times New Roman" w:eastAsia="Calibri" w:hAnsi="Times New Roman" w:cs="Times New Roman"/>
          <w:i/>
          <w:iCs/>
          <w:sz w:val="24"/>
          <w:szCs w:val="24"/>
        </w:rPr>
        <w:t xml:space="preserve">, </w:t>
      </w:r>
      <w:r w:rsidRPr="00344148">
        <w:rPr>
          <w:rFonts w:ascii="Times New Roman" w:eastAsia="Calibri" w:hAnsi="Times New Roman" w:cs="Times New Roman"/>
          <w:i/>
          <w:iCs/>
          <w:sz w:val="24"/>
          <w:szCs w:val="24"/>
        </w:rPr>
        <w:t xml:space="preserve">T </w:t>
      </w:r>
      <w:r>
        <w:rPr>
          <w:rFonts w:ascii="Times New Roman" w:eastAsia="Calibri" w:hAnsi="Times New Roman" w:cs="Times New Roman"/>
          <w:sz w:val="24"/>
          <w:szCs w:val="24"/>
        </w:rPr>
        <w:t>is the</w:t>
      </w:r>
      <w:r w:rsidRPr="00344148">
        <w:rPr>
          <w:rFonts w:ascii="Times New Roman" w:eastAsia="Calibri" w:hAnsi="Times New Roman" w:cs="Times New Roman"/>
          <w:sz w:val="24"/>
          <w:szCs w:val="24"/>
        </w:rPr>
        <w:t xml:space="preserve"> mass of the measure </w:t>
      </w:r>
      <w:r>
        <w:rPr>
          <w:rFonts w:ascii="Times New Roman" w:eastAsia="Calibri" w:hAnsi="Times New Roman" w:cs="Times New Roman"/>
          <w:sz w:val="24"/>
          <w:szCs w:val="24"/>
        </w:rPr>
        <w:t>(</w:t>
      </w:r>
      <w:r w:rsidRPr="00344148">
        <w:rPr>
          <w:rFonts w:ascii="Times New Roman" w:eastAsia="Calibri" w:hAnsi="Times New Roman" w:cs="Times New Roman"/>
          <w:sz w:val="24"/>
          <w:szCs w:val="24"/>
        </w:rPr>
        <w:t>kg</w:t>
      </w:r>
      <w:r>
        <w:rPr>
          <w:rFonts w:ascii="Times New Roman" w:eastAsia="Calibri" w:hAnsi="Times New Roman" w:cs="Times New Roman"/>
          <w:sz w:val="24"/>
          <w:szCs w:val="24"/>
        </w:rPr>
        <w:t>)</w:t>
      </w:r>
      <w:r>
        <w:rPr>
          <w:rFonts w:ascii="Times New Roman" w:eastAsia="Calibri" w:hAnsi="Times New Roman" w:cs="Times New Roman"/>
          <w:i/>
          <w:iCs/>
          <w:sz w:val="24"/>
          <w:szCs w:val="24"/>
        </w:rPr>
        <w:t xml:space="preserve">, </w:t>
      </w:r>
      <w:r w:rsidRPr="00312FCC">
        <w:rPr>
          <w:rFonts w:ascii="Times New Roman" w:eastAsia="Calibri" w:hAnsi="Times New Roman" w:cs="Times New Roman"/>
          <w:sz w:val="24"/>
          <w:szCs w:val="24"/>
        </w:rPr>
        <w:t>and</w:t>
      </w:r>
      <w:r>
        <w:rPr>
          <w:rFonts w:ascii="Times New Roman" w:eastAsia="Calibri" w:hAnsi="Times New Roman" w:cs="Times New Roman"/>
          <w:i/>
          <w:iCs/>
          <w:sz w:val="24"/>
          <w:szCs w:val="24"/>
        </w:rPr>
        <w:t xml:space="preserve"> </w:t>
      </w:r>
      <w:r w:rsidRPr="00344148">
        <w:rPr>
          <w:rFonts w:ascii="Times New Roman" w:eastAsia="Calibri" w:hAnsi="Times New Roman" w:cs="Times New Roman"/>
          <w:i/>
          <w:iCs/>
          <w:sz w:val="24"/>
          <w:szCs w:val="24"/>
        </w:rPr>
        <w:t xml:space="preserve">V </w:t>
      </w:r>
      <w:r>
        <w:rPr>
          <w:rFonts w:ascii="Times New Roman" w:eastAsia="Calibri" w:hAnsi="Times New Roman" w:cs="Times New Roman"/>
          <w:sz w:val="24"/>
          <w:szCs w:val="24"/>
        </w:rPr>
        <w:t>is the</w:t>
      </w:r>
      <w:r w:rsidRPr="00344148">
        <w:rPr>
          <w:rFonts w:ascii="Times New Roman" w:eastAsia="Calibri" w:hAnsi="Times New Roman" w:cs="Times New Roman"/>
          <w:sz w:val="24"/>
          <w:szCs w:val="24"/>
        </w:rPr>
        <w:t xml:space="preserve"> volume of the measure </w:t>
      </w:r>
      <w:r>
        <w:rPr>
          <w:rFonts w:ascii="Times New Roman" w:eastAsia="Calibri" w:hAnsi="Times New Roman" w:cs="Times New Roman"/>
          <w:sz w:val="24"/>
          <w:szCs w:val="24"/>
        </w:rPr>
        <w:t>(</w:t>
      </w:r>
      <w:r w:rsidRPr="00344148">
        <w:rPr>
          <w:rFonts w:ascii="Times New Roman" w:eastAsia="Calibri" w:hAnsi="Times New Roman" w:cs="Times New Roman"/>
          <w:sz w:val="24"/>
          <w:szCs w:val="24"/>
        </w:rPr>
        <w:t>m</w:t>
      </w:r>
      <w:r w:rsidRPr="00344148">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w:t>
      </w:r>
    </w:p>
    <w:p w14:paraId="46EA4D5E" w14:textId="6382263D" w:rsidR="00077F8F" w:rsidRPr="00077F8F" w:rsidRDefault="00077F8F" w:rsidP="00077F8F">
      <w:pPr>
        <w:spacing w:after="0" w:line="240" w:lineRule="auto"/>
        <w:jc w:val="both"/>
        <w:rPr>
          <w:rFonts w:ascii="Times New Roman" w:eastAsia="Times New Roman" w:hAnsi="Times New Roman" w:cs="Times New Roman"/>
          <w:b/>
          <w:kern w:val="24"/>
          <w:sz w:val="24"/>
          <w:szCs w:val="24"/>
        </w:rPr>
      </w:pPr>
      <w:r w:rsidRPr="00077F8F">
        <w:rPr>
          <w:rFonts w:ascii="Times New Roman" w:eastAsia="Times New Roman" w:hAnsi="Times New Roman" w:cs="Times New Roman"/>
          <w:b/>
          <w:kern w:val="24"/>
          <w:sz w:val="24"/>
          <w:szCs w:val="24"/>
        </w:rPr>
        <w:t>Specific gravity test</w:t>
      </w:r>
    </w:p>
    <w:p w14:paraId="2F3ACAE7" w14:textId="11494A3A" w:rsidR="002E3526" w:rsidRDefault="008D1599" w:rsidP="00077F8F">
      <w:pPr>
        <w:spacing w:after="0" w:line="240" w:lineRule="auto"/>
        <w:jc w:val="both"/>
        <w:rPr>
          <w:rFonts w:ascii="Times New Roman" w:eastAsia="Times New Roman" w:hAnsi="Times New Roman" w:cs="Times New Roman"/>
          <w:sz w:val="24"/>
          <w:szCs w:val="24"/>
        </w:rPr>
      </w:pPr>
      <w:r w:rsidRPr="008D1599">
        <w:rPr>
          <w:rFonts w:ascii="Times New Roman" w:eastAsia="Times New Roman" w:hAnsi="Times New Roman" w:cs="Times New Roman"/>
          <w:kern w:val="24"/>
          <w:sz w:val="24"/>
          <w:szCs w:val="24"/>
        </w:rPr>
        <w:t xml:space="preserve">Specific </w:t>
      </w:r>
      <w:r w:rsidR="001076C3" w:rsidRPr="008D1599">
        <w:rPr>
          <w:rFonts w:ascii="Times New Roman" w:eastAsia="Times New Roman" w:hAnsi="Times New Roman" w:cs="Times New Roman"/>
          <w:kern w:val="24"/>
          <w:sz w:val="24"/>
          <w:szCs w:val="24"/>
        </w:rPr>
        <w:t>gravity test</w:t>
      </w:r>
      <w:r w:rsidR="00312FCC">
        <w:rPr>
          <w:rFonts w:ascii="Times New Roman" w:eastAsia="Times New Roman" w:hAnsi="Times New Roman" w:cs="Times New Roman"/>
          <w:kern w:val="24"/>
          <w:sz w:val="24"/>
          <w:szCs w:val="24"/>
        </w:rPr>
        <w:t xml:space="preserve"> was carried out by </w:t>
      </w:r>
      <w:r w:rsidR="00305336" w:rsidRPr="008D1599">
        <w:rPr>
          <w:rFonts w:ascii="Times New Roman" w:eastAsia="Times New Roman" w:hAnsi="Times New Roman" w:cs="Times New Roman"/>
          <w:sz w:val="24"/>
          <w:szCs w:val="24"/>
        </w:rPr>
        <w:t>thoroughly wash</w:t>
      </w:r>
      <w:r w:rsidR="00312FCC">
        <w:rPr>
          <w:rFonts w:ascii="Times New Roman" w:eastAsia="Times New Roman" w:hAnsi="Times New Roman" w:cs="Times New Roman"/>
          <w:sz w:val="24"/>
          <w:szCs w:val="24"/>
        </w:rPr>
        <w:t>ing the aggregate</w:t>
      </w:r>
      <w:r w:rsidR="00305336" w:rsidRPr="008D1599">
        <w:rPr>
          <w:rFonts w:ascii="Times New Roman" w:eastAsia="Times New Roman" w:hAnsi="Times New Roman" w:cs="Times New Roman"/>
          <w:sz w:val="24"/>
          <w:szCs w:val="24"/>
        </w:rPr>
        <w:t xml:space="preserve"> to remove dust and finer particles, a sample of aggregate weighing at least 2000g (14–10mm) was allowed to drain and was put in the wire basket. It was then immersed in portable water that was 22 to 32°C, with a least of 5cm of water covering the basket's top. The sample's trapped air was extracted immediately the basket was immersed in water. The basket is raised 25mm above the tank’s base and letting it fall same number of times for this to be accomplished, or roughly one drop per second. Following a 24hour period of complete submersion, the basket and aggregate were again jolted and the weight in water was determined at a temperature of 22 to 32°C (W1</w:t>
      </w:r>
      <w:r w:rsidR="00305336" w:rsidRPr="00A02253">
        <w:rPr>
          <w:rFonts w:ascii="Times New Roman" w:eastAsia="Times New Roman" w:hAnsi="Times New Roman" w:cs="Times New Roman"/>
          <w:sz w:val="24"/>
          <w:szCs w:val="24"/>
        </w:rPr>
        <w:t>).</w:t>
      </w:r>
      <w:r w:rsidR="00647BFE">
        <w:rPr>
          <w:rFonts w:ascii="Times New Roman" w:eastAsia="Times New Roman" w:hAnsi="Times New Roman" w:cs="Times New Roman"/>
          <w:sz w:val="24"/>
          <w:szCs w:val="24"/>
        </w:rPr>
        <w:t xml:space="preserve"> The following formula was used to calculate the specific gravity:</w:t>
      </w:r>
    </w:p>
    <w:p w14:paraId="76389F6D" w14:textId="75CD4EE8" w:rsidR="00312FCC" w:rsidRPr="00350C11" w:rsidRDefault="00077F8F" w:rsidP="00350C11">
      <w:pPr>
        <w:pStyle w:val="Caption"/>
        <w:rPr>
          <w:rFonts w:eastAsia="Times New Roman"/>
        </w:rPr>
      </w:pPr>
      <w:r>
        <w:t xml:space="preserve">                                        </w:t>
      </w:r>
      <w:r w:rsidR="00647BFE" w:rsidRPr="00344148">
        <w:t xml:space="preserve"> </w:t>
      </w:r>
      <m:oMath>
        <m:r>
          <w:rPr>
            <w:rFonts w:ascii="Cambria Math" w:hAnsi="Cambria Math"/>
          </w:rPr>
          <m:t>SG=</m:t>
        </m:r>
        <m:f>
          <m:fPr>
            <m:ctrlPr>
              <w:rPr>
                <w:rFonts w:ascii="Cambria Math" w:hAnsi="Cambria Math"/>
                <w:i/>
              </w:rPr>
            </m:ctrlPr>
          </m:fPr>
          <m:num>
            <m:r>
              <m:rPr>
                <m:sty m:val="p"/>
              </m:rPr>
              <w:rPr>
                <w:rFonts w:ascii="Cambria Math" w:hAnsi="Cambria Math"/>
              </w:rPr>
              <m:t>(w4)</m:t>
            </m:r>
          </m:num>
          <m:den>
            <m:r>
              <m:rPr>
                <m:sty m:val="p"/>
              </m:rPr>
              <w:rPr>
                <w:rFonts w:ascii="Cambria Math" w:hAnsi="Cambria Math"/>
              </w:rPr>
              <m:t>(w3-(w1-w2))</m:t>
            </m:r>
          </m:den>
        </m:f>
      </m:oMath>
      <w:r>
        <w:tab/>
        <w:t xml:space="preserve">                            </w:t>
      </w:r>
      <w:r w:rsidR="00647BFE">
        <w:t>(</w:t>
      </w:r>
      <w:fldSimple w:instr=" SEQ Equation \* ARABIC ">
        <w:r w:rsidR="000B6610">
          <w:rPr>
            <w:noProof/>
          </w:rPr>
          <w:t>3</w:t>
        </w:r>
      </w:fldSimple>
      <w:r w:rsidR="00647BFE">
        <w:t>)</w:t>
      </w:r>
      <w:r w:rsidR="00350C11">
        <w:br/>
      </w:r>
      <w:r w:rsidR="00350C11">
        <w:br/>
      </w:r>
      <w:r w:rsidR="00350C11">
        <w:rPr>
          <w:rFonts w:eastAsia="Calibri" w:cs="Times New Roman"/>
          <w:bCs w:val="0"/>
          <w:szCs w:val="24"/>
        </w:rPr>
        <w:t xml:space="preserve">Where </w:t>
      </w:r>
      <w:r w:rsidR="00350C11" w:rsidRPr="00350C11">
        <w:rPr>
          <w:rFonts w:eastAsia="Calibri" w:cs="Times New Roman"/>
          <w:bCs w:val="0"/>
          <w:i/>
          <w:iCs/>
          <w:szCs w:val="24"/>
        </w:rPr>
        <w:t>SG</w:t>
      </w:r>
      <w:r w:rsidR="00350C11">
        <w:rPr>
          <w:rFonts w:eastAsia="Calibri" w:cs="Times New Roman"/>
          <w:bCs w:val="0"/>
          <w:i/>
          <w:iCs/>
          <w:szCs w:val="24"/>
        </w:rPr>
        <w:t xml:space="preserve"> </w:t>
      </w:r>
      <w:r w:rsidR="00350C11">
        <w:rPr>
          <w:rFonts w:eastAsia="Calibri" w:cs="Times New Roman"/>
          <w:bCs w:val="0"/>
          <w:szCs w:val="24"/>
        </w:rPr>
        <w:t xml:space="preserve">is the </w:t>
      </w:r>
      <w:r w:rsidR="00350C11" w:rsidRPr="00350C11">
        <w:rPr>
          <w:rFonts w:eastAsia="Calibri" w:cs="Times New Roman"/>
          <w:szCs w:val="24"/>
        </w:rPr>
        <w:t>Specific</w:t>
      </w:r>
      <w:r w:rsidR="00350C11">
        <w:rPr>
          <w:rFonts w:eastAsia="Calibri" w:cs="Times New Roman"/>
          <w:szCs w:val="24"/>
        </w:rPr>
        <w:t xml:space="preserve"> </w:t>
      </w:r>
      <w:r w:rsidR="00350C11" w:rsidRPr="00350C11">
        <w:rPr>
          <w:rFonts w:eastAsia="Calibri" w:cs="Times New Roman"/>
          <w:szCs w:val="24"/>
        </w:rPr>
        <w:t>Gravity</w:t>
      </w:r>
      <w:r w:rsidR="00350C11">
        <w:rPr>
          <w:rFonts w:eastAsia="Calibri" w:cs="Times New Roman"/>
          <w:bCs w:val="0"/>
          <w:szCs w:val="24"/>
        </w:rPr>
        <w:t xml:space="preserve">, </w:t>
      </w:r>
      <w:r w:rsidR="00350C11" w:rsidRPr="00350C11">
        <w:rPr>
          <w:rFonts w:eastAsia="Calibri" w:cs="Times New Roman"/>
          <w:bCs w:val="0"/>
          <w:i/>
          <w:iCs/>
          <w:szCs w:val="24"/>
        </w:rPr>
        <w:t>W₁</w:t>
      </w:r>
      <w:r w:rsidR="00350C11">
        <w:rPr>
          <w:rFonts w:eastAsia="Calibri" w:cs="Times New Roman"/>
          <w:bCs w:val="0"/>
          <w:szCs w:val="24"/>
        </w:rPr>
        <w:t xml:space="preserve"> is the </w:t>
      </w:r>
      <w:r w:rsidR="00350C11" w:rsidRPr="00350C11">
        <w:rPr>
          <w:rFonts w:eastAsia="Calibri" w:cs="Times New Roman"/>
          <w:bCs w:val="0"/>
          <w:szCs w:val="24"/>
        </w:rPr>
        <w:t>Weight of the container filled with water (g)</w:t>
      </w:r>
      <w:r w:rsidR="00350C11">
        <w:rPr>
          <w:rFonts w:eastAsia="Calibri" w:cs="Times New Roman"/>
          <w:bCs w:val="0"/>
          <w:szCs w:val="24"/>
        </w:rPr>
        <w:t xml:space="preserve">, </w:t>
      </w:r>
      <w:r w:rsidR="00350C11" w:rsidRPr="00350C11">
        <w:rPr>
          <w:rFonts w:eastAsia="Calibri" w:cs="Times New Roman"/>
          <w:bCs w:val="0"/>
          <w:i/>
          <w:iCs/>
          <w:szCs w:val="24"/>
        </w:rPr>
        <w:t>W₂</w:t>
      </w:r>
      <w:r w:rsidR="00350C11">
        <w:rPr>
          <w:rFonts w:eastAsia="Calibri" w:cs="Times New Roman"/>
          <w:bCs w:val="0"/>
          <w:szCs w:val="24"/>
        </w:rPr>
        <w:t xml:space="preserve"> is the </w:t>
      </w:r>
      <w:r w:rsidR="00350C11" w:rsidRPr="00350C11">
        <w:rPr>
          <w:rFonts w:eastAsia="Calibri" w:cs="Times New Roman"/>
          <w:bCs w:val="0"/>
          <w:szCs w:val="24"/>
        </w:rPr>
        <w:t>Weight of the container filled with water and sample</w:t>
      </w:r>
      <w:r w:rsidR="00350C11">
        <w:rPr>
          <w:rFonts w:eastAsia="Calibri" w:cs="Times New Roman"/>
          <w:bCs w:val="0"/>
          <w:szCs w:val="24"/>
        </w:rPr>
        <w:t xml:space="preserve"> </w:t>
      </w:r>
      <w:r w:rsidR="00350C11" w:rsidRPr="00350C11">
        <w:rPr>
          <w:rFonts w:eastAsia="Calibri" w:cs="Times New Roman"/>
          <w:bCs w:val="0"/>
          <w:szCs w:val="24"/>
        </w:rPr>
        <w:t>(g)</w:t>
      </w:r>
      <w:r w:rsidR="00350C11">
        <w:rPr>
          <w:rFonts w:eastAsia="Calibri" w:cs="Times New Roman"/>
          <w:bCs w:val="0"/>
          <w:szCs w:val="24"/>
        </w:rPr>
        <w:t xml:space="preserve">, </w:t>
      </w:r>
      <w:r w:rsidR="00350C11" w:rsidRPr="00350C11">
        <w:rPr>
          <w:rFonts w:eastAsia="Calibri" w:cs="Times New Roman"/>
          <w:bCs w:val="0"/>
          <w:i/>
          <w:iCs/>
          <w:szCs w:val="24"/>
        </w:rPr>
        <w:t>W₃</w:t>
      </w:r>
      <w:r w:rsidR="00350C11">
        <w:rPr>
          <w:rFonts w:eastAsia="Calibri" w:cs="Times New Roman"/>
          <w:bCs w:val="0"/>
          <w:szCs w:val="24"/>
        </w:rPr>
        <w:t xml:space="preserve"> is the </w:t>
      </w:r>
      <w:r w:rsidR="00350C11" w:rsidRPr="00350C11">
        <w:rPr>
          <w:rFonts w:eastAsia="Calibri" w:cs="Times New Roman"/>
          <w:bCs w:val="0"/>
          <w:szCs w:val="24"/>
        </w:rPr>
        <w:t>Weight of the container filled with sample only</w:t>
      </w:r>
      <w:r w:rsidR="00350C11">
        <w:rPr>
          <w:rFonts w:eastAsia="Calibri" w:cs="Times New Roman"/>
          <w:bCs w:val="0"/>
          <w:szCs w:val="24"/>
        </w:rPr>
        <w:t xml:space="preserve"> </w:t>
      </w:r>
      <w:r w:rsidR="00350C11" w:rsidRPr="00350C11">
        <w:rPr>
          <w:rFonts w:eastAsia="Calibri" w:cs="Times New Roman"/>
          <w:bCs w:val="0"/>
          <w:szCs w:val="24"/>
        </w:rPr>
        <w:t>(g)</w:t>
      </w:r>
      <w:r w:rsidR="00350C11">
        <w:rPr>
          <w:rFonts w:eastAsia="Calibri" w:cs="Times New Roman"/>
          <w:bCs w:val="0"/>
          <w:szCs w:val="24"/>
        </w:rPr>
        <w:t xml:space="preserve">, and </w:t>
      </w:r>
      <w:r w:rsidR="00350C11" w:rsidRPr="00350C11">
        <w:rPr>
          <w:rFonts w:eastAsia="Calibri" w:cs="Times New Roman"/>
          <w:bCs w:val="0"/>
          <w:i/>
          <w:iCs/>
          <w:szCs w:val="24"/>
        </w:rPr>
        <w:t>W₄</w:t>
      </w:r>
      <w:r w:rsidR="00350C11">
        <w:rPr>
          <w:rFonts w:eastAsia="Calibri" w:cs="Times New Roman"/>
          <w:bCs w:val="0"/>
          <w:szCs w:val="24"/>
        </w:rPr>
        <w:t xml:space="preserve"> is the </w:t>
      </w:r>
      <w:r w:rsidR="00350C11" w:rsidRPr="00350C11">
        <w:rPr>
          <w:rFonts w:eastAsia="Calibri" w:cs="Times New Roman"/>
          <w:bCs w:val="0"/>
          <w:szCs w:val="24"/>
        </w:rPr>
        <w:t>Weight of the dry sample in air</w:t>
      </w:r>
      <w:r w:rsidR="00350C11">
        <w:rPr>
          <w:rFonts w:eastAsia="Calibri" w:cs="Times New Roman"/>
          <w:bCs w:val="0"/>
          <w:szCs w:val="24"/>
        </w:rPr>
        <w:t xml:space="preserve"> </w:t>
      </w:r>
      <w:r w:rsidR="00350C11" w:rsidRPr="00350C11">
        <w:rPr>
          <w:rFonts w:eastAsia="Calibri" w:cs="Times New Roman"/>
          <w:bCs w:val="0"/>
          <w:szCs w:val="24"/>
        </w:rPr>
        <w:t>(g)</w:t>
      </w:r>
      <w:r w:rsidR="00350C11">
        <w:rPr>
          <w:rFonts w:eastAsia="Calibri" w:cs="Times New Roman"/>
          <w:bCs w:val="0"/>
          <w:szCs w:val="24"/>
        </w:rPr>
        <w:t>.</w:t>
      </w:r>
      <w:r w:rsidR="00350C11">
        <w:rPr>
          <w:rFonts w:eastAsia="Calibri" w:cs="Times New Roman"/>
          <w:bCs w:val="0"/>
          <w:szCs w:val="24"/>
        </w:rPr>
        <w:br/>
      </w:r>
      <w:r w:rsidR="00350C11">
        <w:rPr>
          <w:rFonts w:eastAsia="Calibri" w:cs="Times New Roman"/>
          <w:bCs w:val="0"/>
          <w:szCs w:val="24"/>
        </w:rPr>
        <w:br/>
      </w:r>
      <w:r w:rsidR="00350C11">
        <w:rPr>
          <w:rFonts w:eastAsia="Calibri" w:cs="Times New Roman"/>
          <w:bCs w:val="0"/>
          <w:szCs w:val="24"/>
        </w:rPr>
        <w:br/>
      </w:r>
      <w:r w:rsidR="00647BFE">
        <w:rPr>
          <w:rFonts w:eastAsia="Calibri" w:cs="Times New Roman"/>
          <w:bCs w:val="0"/>
          <w:szCs w:val="24"/>
        </w:rPr>
        <w:t xml:space="preserve">To </w:t>
      </w:r>
      <w:r w:rsidR="00647BFE">
        <w:rPr>
          <w:rFonts w:eastAsia="Calibri" w:cs="Times New Roman"/>
          <w:szCs w:val="24"/>
        </w:rPr>
        <w:t>c</w:t>
      </w:r>
      <w:r w:rsidR="00647BFE" w:rsidRPr="00344148">
        <w:rPr>
          <w:rFonts w:eastAsia="Calibri" w:cs="Times New Roman"/>
          <w:szCs w:val="24"/>
        </w:rPr>
        <w:t xml:space="preserve">alculate the void content in the aggregate using the bulk density </w:t>
      </w:r>
      <w:r w:rsidR="00647BFE">
        <w:rPr>
          <w:rFonts w:eastAsia="Calibri" w:cs="Times New Roman"/>
          <w:szCs w:val="24"/>
        </w:rPr>
        <w:t>the</w:t>
      </w:r>
      <w:r w:rsidR="00647BFE" w:rsidRPr="00344148">
        <w:rPr>
          <w:rFonts w:eastAsia="Calibri" w:cs="Times New Roman"/>
          <w:szCs w:val="24"/>
        </w:rPr>
        <w:t xml:space="preserve"> follow</w:t>
      </w:r>
      <w:r w:rsidR="00647BFE">
        <w:rPr>
          <w:rFonts w:eastAsia="Calibri" w:cs="Times New Roman"/>
          <w:szCs w:val="24"/>
        </w:rPr>
        <w:t>ing formula was used:</w:t>
      </w:r>
    </w:p>
    <w:p w14:paraId="36E63DF8" w14:textId="598ECECA" w:rsidR="00312FCC" w:rsidRPr="00344148" w:rsidRDefault="00077F8F" w:rsidP="00B237F8">
      <w:pPr>
        <w:pStyle w:val="Caption"/>
      </w:pPr>
      <w:r>
        <w:rPr>
          <w:rFonts w:eastAsia="Times New Roman" w:cs="Times New Roman"/>
        </w:rPr>
        <w:t xml:space="preserve">                                  </w:t>
      </w:r>
      <m:oMath>
        <m:r>
          <m:rPr>
            <m:sty m:val="p"/>
          </m:rPr>
          <w:rPr>
            <w:rFonts w:ascii="Cambria Math" w:eastAsia="Times New Roman" w:hAnsi="Cambria Math"/>
          </w:rPr>
          <m:t xml:space="preserve">Va </m:t>
        </m:r>
        <m:r>
          <w:rPr>
            <w:rFonts w:ascii="Cambria Math" w:hAnsi="Cambria Math"/>
          </w:rPr>
          <m:t>=</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S*W</m:t>
                    </m:r>
                  </m:e>
                </m:d>
                <m:r>
                  <w:rPr>
                    <w:rFonts w:ascii="Cambria Math" w:hAnsi="Cambria Math"/>
                  </w:rPr>
                  <m:t xml:space="preserve">-M </m:t>
                </m:r>
              </m:num>
              <m:den>
                <m:d>
                  <m:dPr>
                    <m:ctrlPr>
                      <w:rPr>
                        <w:rFonts w:ascii="Cambria Math" w:hAnsi="Cambria Math"/>
                        <w:i/>
                      </w:rPr>
                    </m:ctrlPr>
                  </m:dPr>
                  <m:e>
                    <m:r>
                      <w:rPr>
                        <w:rFonts w:ascii="Cambria Math" w:hAnsi="Cambria Math"/>
                      </w:rPr>
                      <m:t>S*W</m:t>
                    </m:r>
                  </m:e>
                </m:d>
              </m:den>
            </m:f>
          </m:e>
        </m:d>
        <m:r>
          <w:rPr>
            <w:rFonts w:ascii="Cambria Math" w:hAnsi="Cambria Math"/>
          </w:rPr>
          <m:t>*</m:t>
        </m:r>
        <m:r>
          <w:rPr>
            <w:rFonts w:ascii="Cambria Math" w:eastAsia="Times New Roman" w:hAnsi="Cambria Math"/>
          </w:rPr>
          <m:t>100</m:t>
        </m:r>
      </m:oMath>
      <w:r w:rsidR="00312FCC">
        <w:tab/>
      </w:r>
      <w:r w:rsidR="00312FCC">
        <w:tab/>
      </w:r>
      <w:r w:rsidR="00312FCC">
        <w:tab/>
      </w:r>
      <w:r>
        <w:t xml:space="preserve">               </w:t>
      </w:r>
      <w:r w:rsidR="00312FCC">
        <w:t>(</w:t>
      </w:r>
      <w:fldSimple w:instr=" SEQ Equation \* ARABIC ">
        <w:r w:rsidR="000B6610">
          <w:rPr>
            <w:noProof/>
          </w:rPr>
          <w:t>4</w:t>
        </w:r>
      </w:fldSimple>
      <w:r w:rsidR="00312FCC">
        <w:t>)</w:t>
      </w:r>
    </w:p>
    <w:p w14:paraId="10BC3D0D" w14:textId="53990086" w:rsidR="00312FCC" w:rsidRDefault="00312FCC" w:rsidP="00647BFE">
      <w:pPr>
        <w:spacing w:after="0" w:line="240" w:lineRule="auto"/>
        <w:jc w:val="both"/>
        <w:rPr>
          <w:rFonts w:ascii="Times New Roman" w:eastAsia="Calibri" w:hAnsi="Times New Roman" w:cs="Times New Roman"/>
          <w:sz w:val="24"/>
          <w:szCs w:val="24"/>
        </w:rPr>
      </w:pPr>
      <w:r w:rsidRPr="00344148">
        <w:rPr>
          <w:rFonts w:ascii="Times New Roman" w:eastAsia="Calibri" w:hAnsi="Times New Roman" w:cs="Times New Roman"/>
          <w:sz w:val="24"/>
          <w:szCs w:val="24"/>
        </w:rPr>
        <w:lastRenderedPageBreak/>
        <w:t>Where</w:t>
      </w:r>
      <w:r>
        <w:rPr>
          <w:rFonts w:ascii="Times New Roman" w:eastAsia="Calibri" w:hAnsi="Times New Roman" w:cs="Times New Roman"/>
          <w:sz w:val="24"/>
          <w:szCs w:val="24"/>
        </w:rPr>
        <w:t xml:space="preserve"> </w:t>
      </w:r>
      <w:r w:rsidR="00350C11">
        <w:rPr>
          <w:rFonts w:ascii="Times New Roman" w:eastAsia="Calibri" w:hAnsi="Times New Roman" w:cs="Times New Roman"/>
          <w:sz w:val="24"/>
          <w:szCs w:val="24"/>
        </w:rPr>
        <w:t xml:space="preserve">Va is the </w:t>
      </w:r>
      <w:r w:rsidR="00350C11" w:rsidRPr="00350C11">
        <w:rPr>
          <w:rFonts w:ascii="Times New Roman" w:eastAsia="Calibri" w:hAnsi="Times New Roman" w:cs="Times New Roman"/>
          <w:sz w:val="24"/>
          <w:szCs w:val="24"/>
        </w:rPr>
        <w:t>Air Voids (%)</w:t>
      </w:r>
      <w:r w:rsidR="00350C11">
        <w:rPr>
          <w:rFonts w:ascii="Times New Roman" w:eastAsia="Calibri" w:hAnsi="Times New Roman" w:cs="Times New Roman"/>
          <w:sz w:val="24"/>
          <w:szCs w:val="24"/>
        </w:rPr>
        <w:t xml:space="preserve">, </w:t>
      </w:r>
      <w:r w:rsidRPr="00344148">
        <w:rPr>
          <w:rFonts w:ascii="Times New Roman" w:eastAsia="Calibri" w:hAnsi="Times New Roman" w:cs="Times New Roman"/>
          <w:i/>
          <w:iCs/>
          <w:sz w:val="24"/>
          <w:szCs w:val="24"/>
        </w:rPr>
        <w:t>M</w:t>
      </w:r>
      <w:r>
        <w:rPr>
          <w:rFonts w:ascii="Times New Roman" w:eastAsia="Calibri" w:hAnsi="Times New Roman" w:cs="Times New Roman"/>
          <w:i/>
          <w:iCs/>
          <w:sz w:val="24"/>
          <w:szCs w:val="24"/>
        </w:rPr>
        <w:t xml:space="preserve"> </w:t>
      </w:r>
      <w:r w:rsidRPr="00312FCC">
        <w:rPr>
          <w:rFonts w:ascii="Times New Roman" w:eastAsia="Calibri" w:hAnsi="Times New Roman" w:cs="Times New Roman"/>
          <w:sz w:val="24"/>
          <w:szCs w:val="24"/>
        </w:rPr>
        <w:t>is the</w:t>
      </w:r>
      <w:r w:rsidRPr="00344148">
        <w:rPr>
          <w:rFonts w:ascii="Times New Roman" w:eastAsia="Calibri" w:hAnsi="Times New Roman" w:cs="Times New Roman"/>
          <w:sz w:val="24"/>
          <w:szCs w:val="24"/>
        </w:rPr>
        <w:t xml:space="preserve"> bulk density of the aggregate </w:t>
      </w:r>
      <w:r>
        <w:rPr>
          <w:rFonts w:ascii="Times New Roman" w:eastAsia="Calibri" w:hAnsi="Times New Roman" w:cs="Times New Roman"/>
          <w:sz w:val="24"/>
          <w:szCs w:val="24"/>
        </w:rPr>
        <w:t>(</w:t>
      </w:r>
      <w:r w:rsidRPr="00344148">
        <w:rPr>
          <w:rFonts w:ascii="Times New Roman" w:eastAsia="Calibri" w:hAnsi="Times New Roman" w:cs="Times New Roman"/>
          <w:sz w:val="24"/>
          <w:szCs w:val="24"/>
        </w:rPr>
        <w:t>kg/m</w:t>
      </w:r>
      <w:r w:rsidRPr="00344148">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w:t>
      </w:r>
      <w:r>
        <w:rPr>
          <w:rFonts w:ascii="Times New Roman" w:eastAsia="Calibri" w:hAnsi="Times New Roman" w:cs="Times New Roman"/>
          <w:i/>
          <w:iCs/>
          <w:sz w:val="24"/>
          <w:szCs w:val="24"/>
        </w:rPr>
        <w:t xml:space="preserve">, </w:t>
      </w:r>
      <w:r w:rsidRPr="00344148">
        <w:rPr>
          <w:rFonts w:ascii="Times New Roman" w:eastAsia="Calibri" w:hAnsi="Times New Roman" w:cs="Times New Roman"/>
          <w:i/>
          <w:iCs/>
          <w:sz w:val="24"/>
          <w:szCs w:val="24"/>
        </w:rPr>
        <w:t xml:space="preserve">S </w:t>
      </w:r>
      <w:r w:rsidR="002E3526">
        <w:rPr>
          <w:rFonts w:ascii="Times New Roman" w:eastAsia="Calibri" w:hAnsi="Times New Roman" w:cs="Times New Roman"/>
          <w:sz w:val="24"/>
          <w:szCs w:val="24"/>
        </w:rPr>
        <w:t>is the a</w:t>
      </w:r>
      <w:r w:rsidRPr="00344148">
        <w:rPr>
          <w:rFonts w:ascii="Times New Roman" w:eastAsia="Calibri" w:hAnsi="Times New Roman" w:cs="Times New Roman"/>
          <w:sz w:val="24"/>
          <w:szCs w:val="24"/>
        </w:rPr>
        <w:t>ssumed bulk specific gravity (dry basis) = 2.65</w:t>
      </w:r>
      <w:r>
        <w:rPr>
          <w:rFonts w:ascii="Times New Roman" w:eastAsia="Calibri" w:hAnsi="Times New Roman" w:cs="Times New Roman"/>
          <w:i/>
          <w:iCs/>
          <w:sz w:val="24"/>
          <w:szCs w:val="24"/>
        </w:rPr>
        <w:t>,</w:t>
      </w:r>
      <w:r w:rsidR="002E3526">
        <w:rPr>
          <w:rFonts w:ascii="Times New Roman" w:eastAsia="Calibri" w:hAnsi="Times New Roman" w:cs="Times New Roman"/>
          <w:i/>
          <w:iCs/>
          <w:sz w:val="24"/>
          <w:szCs w:val="24"/>
        </w:rPr>
        <w:t xml:space="preserve"> </w:t>
      </w:r>
      <w:r w:rsidR="002E3526" w:rsidRPr="002E3526">
        <w:rPr>
          <w:rFonts w:ascii="Times New Roman" w:eastAsia="Calibri" w:hAnsi="Times New Roman" w:cs="Times New Roman"/>
          <w:sz w:val="24"/>
          <w:szCs w:val="24"/>
        </w:rPr>
        <w:t>and</w:t>
      </w:r>
      <w:r>
        <w:rPr>
          <w:rFonts w:ascii="Times New Roman" w:eastAsia="Calibri" w:hAnsi="Times New Roman" w:cs="Times New Roman"/>
          <w:i/>
          <w:iCs/>
          <w:sz w:val="24"/>
          <w:szCs w:val="24"/>
        </w:rPr>
        <w:t xml:space="preserve"> </w:t>
      </w:r>
      <w:r w:rsidRPr="00344148">
        <w:rPr>
          <w:rFonts w:ascii="Times New Roman" w:eastAsia="Calibri" w:hAnsi="Times New Roman" w:cs="Times New Roman"/>
          <w:i/>
          <w:iCs/>
          <w:sz w:val="24"/>
          <w:szCs w:val="24"/>
        </w:rPr>
        <w:t xml:space="preserve">W </w:t>
      </w:r>
      <w:r w:rsidR="002E3526">
        <w:rPr>
          <w:rFonts w:ascii="Times New Roman" w:eastAsia="Calibri" w:hAnsi="Times New Roman" w:cs="Times New Roman"/>
          <w:sz w:val="24"/>
          <w:szCs w:val="24"/>
        </w:rPr>
        <w:t xml:space="preserve">is the </w:t>
      </w:r>
      <w:r w:rsidRPr="00344148">
        <w:rPr>
          <w:rFonts w:ascii="Times New Roman" w:eastAsia="Calibri" w:hAnsi="Times New Roman" w:cs="Times New Roman"/>
          <w:sz w:val="24"/>
          <w:szCs w:val="24"/>
        </w:rPr>
        <w:t xml:space="preserve">density of water </w:t>
      </w:r>
      <w:r w:rsidR="002E3526">
        <w:rPr>
          <w:rFonts w:ascii="Times New Roman" w:eastAsia="Calibri" w:hAnsi="Times New Roman" w:cs="Times New Roman"/>
          <w:sz w:val="24"/>
          <w:szCs w:val="24"/>
        </w:rPr>
        <w:t>(</w:t>
      </w:r>
      <w:r w:rsidRPr="00344148">
        <w:rPr>
          <w:rFonts w:ascii="Times New Roman" w:eastAsia="Calibri" w:hAnsi="Times New Roman" w:cs="Times New Roman"/>
          <w:sz w:val="24"/>
          <w:szCs w:val="24"/>
        </w:rPr>
        <w:t>998 kg/m</w:t>
      </w:r>
      <w:r w:rsidRPr="00344148">
        <w:rPr>
          <w:rFonts w:ascii="Times New Roman" w:eastAsia="Calibri" w:hAnsi="Times New Roman" w:cs="Times New Roman"/>
          <w:sz w:val="24"/>
          <w:szCs w:val="24"/>
          <w:vertAlign w:val="superscript"/>
        </w:rPr>
        <w:t>3</w:t>
      </w:r>
      <w:r w:rsidR="002E3526">
        <w:rPr>
          <w:rFonts w:ascii="Times New Roman" w:eastAsia="Calibri" w:hAnsi="Times New Roman" w:cs="Times New Roman"/>
          <w:sz w:val="24"/>
          <w:szCs w:val="24"/>
        </w:rPr>
        <w:t>)</w:t>
      </w:r>
      <w:r w:rsidRPr="00344148">
        <w:rPr>
          <w:rFonts w:ascii="Times New Roman" w:eastAsia="Calibri" w:hAnsi="Times New Roman" w:cs="Times New Roman"/>
          <w:sz w:val="24"/>
          <w:szCs w:val="24"/>
        </w:rPr>
        <w:t>.</w:t>
      </w:r>
    </w:p>
    <w:p w14:paraId="40FEA606" w14:textId="40FA6643" w:rsidR="002E3526" w:rsidRDefault="002E3526" w:rsidP="00077F8F">
      <w:pPr>
        <w:spacing w:before="240" w:after="240" w:line="240" w:lineRule="auto"/>
        <w:jc w:val="both"/>
        <w:rPr>
          <w:rFonts w:ascii="Times New Roman" w:eastAsia="Calibri" w:hAnsi="Times New Roman" w:cs="Times New Roman"/>
          <w:sz w:val="24"/>
          <w:szCs w:val="24"/>
        </w:rPr>
      </w:pPr>
      <w:r w:rsidRPr="00322CD4">
        <w:rPr>
          <w:rFonts w:ascii="Times New Roman" w:eastAsia="Calibri" w:hAnsi="Times New Roman" w:cs="Times New Roman"/>
          <w:sz w:val="24"/>
          <w:szCs w:val="24"/>
        </w:rPr>
        <w:t>The optimum bitumen content (OBC) for proposed mix is the average of three values of bitumen content (</w:t>
      </w:r>
      <w:proofErr w:type="spellStart"/>
      <w:r w:rsidRPr="00322CD4">
        <w:rPr>
          <w:rFonts w:ascii="Times New Roman" w:eastAsia="Calibri" w:hAnsi="Times New Roman" w:cs="Times New Roman"/>
          <w:sz w:val="24"/>
          <w:szCs w:val="24"/>
        </w:rPr>
        <w:t>Jendia</w:t>
      </w:r>
      <w:proofErr w:type="spellEnd"/>
      <w:r w:rsidRPr="00322CD4">
        <w:rPr>
          <w:rFonts w:ascii="Times New Roman" w:eastAsia="Calibri" w:hAnsi="Times New Roman" w:cs="Times New Roman"/>
          <w:sz w:val="24"/>
          <w:szCs w:val="24"/>
        </w:rPr>
        <w:t>, 2002), which include:</w:t>
      </w:r>
    </w:p>
    <w:p w14:paraId="5E664C54" w14:textId="5178A4BA" w:rsidR="002E3526" w:rsidRDefault="002E3526" w:rsidP="00B237F8">
      <w:pPr>
        <w:pStyle w:val="Caption"/>
        <w:rPr>
          <w:rFonts w:eastAsia="Times New Roman"/>
        </w:rPr>
      </w:pPr>
      <m:oMath>
        <m:r>
          <m:rPr>
            <m:sty m:val="p"/>
          </m:rPr>
          <w:rPr>
            <w:rFonts w:ascii="Cambria Math" w:hAnsi="Cambria Math"/>
          </w:rPr>
          <m:t>Optimum bitumen content(OBC)=</m:t>
        </m:r>
        <m:f>
          <m:fPr>
            <m:ctrlPr>
              <w:rPr>
                <w:rFonts w:ascii="Cambria Math" w:hAnsi="Cambria Math"/>
                <w:i/>
              </w:rPr>
            </m:ctrlPr>
          </m:fPr>
          <m:num>
            <m:r>
              <m:rPr>
                <m:sty m:val="p"/>
              </m:rPr>
              <w:rPr>
                <w:rFonts w:ascii="Cambria Math" w:hAnsi="Cambria Math"/>
              </w:rPr>
              <m:t>stability+bulk density+Va</m:t>
            </m:r>
          </m:num>
          <m:den>
            <m:r>
              <w:rPr>
                <w:rFonts w:ascii="Cambria Math" w:hAnsi="Cambria Math"/>
              </w:rPr>
              <m:t>3</m:t>
            </m:r>
          </m:den>
        </m:f>
      </m:oMath>
      <w:r>
        <w:rPr>
          <w:rFonts w:eastAsia="Times New Roman"/>
        </w:rPr>
        <w:tab/>
        <w:t>(</w:t>
      </w:r>
      <w:r>
        <w:rPr>
          <w:rFonts w:eastAsia="Times New Roman"/>
        </w:rPr>
        <w:fldChar w:fldCharType="begin"/>
      </w:r>
      <w:r>
        <w:rPr>
          <w:rFonts w:eastAsia="Times New Roman"/>
        </w:rPr>
        <w:instrText xml:space="preserve"> SEQ Equation \* ARABIC </w:instrText>
      </w:r>
      <w:r>
        <w:rPr>
          <w:rFonts w:eastAsia="Times New Roman"/>
        </w:rPr>
        <w:fldChar w:fldCharType="separate"/>
      </w:r>
      <w:r w:rsidR="000B6610">
        <w:rPr>
          <w:rFonts w:eastAsia="Times New Roman"/>
          <w:noProof/>
        </w:rPr>
        <w:t>5</w:t>
      </w:r>
      <w:r>
        <w:rPr>
          <w:rFonts w:eastAsia="Times New Roman"/>
        </w:rPr>
        <w:fldChar w:fldCharType="end"/>
      </w:r>
      <w:r>
        <w:rPr>
          <w:rFonts w:eastAsia="Times New Roman"/>
        </w:rPr>
        <w:t>)</w:t>
      </w:r>
    </w:p>
    <w:p w14:paraId="3C6B7538" w14:textId="5D9B3554" w:rsidR="002E3526" w:rsidRDefault="00647BFE" w:rsidP="001079A4">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With the b</w:t>
      </w:r>
      <w:r w:rsidR="002E3526" w:rsidRPr="00322CD4">
        <w:rPr>
          <w:rFonts w:ascii="Times New Roman" w:eastAsia="Calibri" w:hAnsi="Times New Roman" w:cs="Times New Roman"/>
          <w:sz w:val="24"/>
          <w:szCs w:val="24"/>
        </w:rPr>
        <w:t>itumen content at the highest stability</w:t>
      </w:r>
      <w:r w:rsidR="002E3526">
        <w:rPr>
          <w:rFonts w:ascii="Times New Roman" w:eastAsia="Calibri" w:hAnsi="Times New Roman" w:cs="Times New Roman"/>
          <w:sz w:val="24"/>
          <w:szCs w:val="24"/>
        </w:rPr>
        <w:t xml:space="preserve">, </w:t>
      </w:r>
      <w:r w:rsidR="002E3526" w:rsidRPr="00322CD4">
        <w:rPr>
          <w:rFonts w:ascii="Times New Roman" w:eastAsia="Calibri" w:hAnsi="Times New Roman" w:cs="Times New Roman"/>
          <w:sz w:val="24"/>
          <w:szCs w:val="24"/>
        </w:rPr>
        <w:t>bulk density</w:t>
      </w:r>
      <w:r w:rsidR="002E3526">
        <w:rPr>
          <w:rFonts w:ascii="Times New Roman" w:eastAsia="Calibri" w:hAnsi="Times New Roman" w:cs="Times New Roman"/>
          <w:sz w:val="24"/>
          <w:szCs w:val="24"/>
        </w:rPr>
        <w:t xml:space="preserve"> and </w:t>
      </w:r>
      <w:r w:rsidR="002E3526" w:rsidRPr="00322CD4">
        <w:rPr>
          <w:rFonts w:ascii="Times New Roman" w:eastAsia="Calibri" w:hAnsi="Times New Roman" w:cs="Times New Roman"/>
          <w:sz w:val="24"/>
          <w:szCs w:val="24"/>
        </w:rPr>
        <w:t>the median of allowed percentages of air voids</w:t>
      </w:r>
      <w:r w:rsidR="002E3526">
        <w:rPr>
          <w:rFonts w:ascii="Times New Roman" w:eastAsia="Calibri" w:hAnsi="Times New Roman" w:cs="Times New Roman"/>
          <w:sz w:val="24"/>
          <w:szCs w:val="24"/>
        </w:rPr>
        <w:t>.</w:t>
      </w:r>
    </w:p>
    <w:p w14:paraId="6B227A4F" w14:textId="0297CF0B" w:rsidR="00B46762" w:rsidRDefault="001079A4" w:rsidP="001079A4">
      <w:pPr>
        <w:spacing w:line="240" w:lineRule="auto"/>
        <w:jc w:val="both"/>
        <w:rPr>
          <w:rFonts w:ascii="Times New Roman" w:hAnsi="Times New Roman" w:cs="Times New Roman"/>
          <w:b/>
          <w:sz w:val="24"/>
          <w:szCs w:val="24"/>
        </w:rPr>
      </w:pPr>
      <w:r w:rsidRPr="001079A4">
        <w:rPr>
          <w:rFonts w:ascii="Times New Roman" w:hAnsi="Times New Roman" w:cs="Times New Roman"/>
          <w:b/>
          <w:sz w:val="24"/>
          <w:szCs w:val="24"/>
        </w:rPr>
        <w:t>Indirect Tensile Strength (ITS) test</w:t>
      </w:r>
    </w:p>
    <w:p w14:paraId="19F597A1" w14:textId="1DB8B604" w:rsidR="001079A4" w:rsidRDefault="0045409A" w:rsidP="001079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B3751">
        <w:rPr>
          <w:rFonts w:ascii="Times New Roman" w:hAnsi="Times New Roman" w:cs="Times New Roman"/>
          <w:sz w:val="24"/>
          <w:szCs w:val="24"/>
        </w:rPr>
        <w:t>test was</w:t>
      </w:r>
      <w:r>
        <w:rPr>
          <w:rFonts w:ascii="Times New Roman" w:hAnsi="Times New Roman" w:cs="Times New Roman"/>
          <w:sz w:val="24"/>
          <w:szCs w:val="24"/>
        </w:rPr>
        <w:t xml:space="preserve"> conducted </w:t>
      </w:r>
      <w:r w:rsidR="000D1EAF">
        <w:rPr>
          <w:rFonts w:ascii="Times New Roman" w:hAnsi="Times New Roman" w:cs="Times New Roman"/>
          <w:sz w:val="24"/>
          <w:szCs w:val="24"/>
        </w:rPr>
        <w:t xml:space="preserve">as according to AASHTO T283 </w:t>
      </w:r>
      <w:r>
        <w:rPr>
          <w:rFonts w:ascii="Times New Roman" w:hAnsi="Times New Roman" w:cs="Times New Roman"/>
          <w:sz w:val="24"/>
          <w:szCs w:val="24"/>
        </w:rPr>
        <w:t xml:space="preserve">on the </w:t>
      </w:r>
      <w:r w:rsidR="002B3751">
        <w:rPr>
          <w:rFonts w:ascii="Times New Roman" w:hAnsi="Times New Roman" w:cs="Times New Roman"/>
          <w:sz w:val="24"/>
          <w:szCs w:val="24"/>
        </w:rPr>
        <w:t xml:space="preserve">prepared </w:t>
      </w:r>
      <w:r>
        <w:rPr>
          <w:rFonts w:ascii="Times New Roman" w:hAnsi="Times New Roman" w:cs="Times New Roman"/>
          <w:sz w:val="24"/>
          <w:szCs w:val="24"/>
        </w:rPr>
        <w:t xml:space="preserve">marshal specimens </w:t>
      </w:r>
      <w:r w:rsidR="002B3751">
        <w:rPr>
          <w:rFonts w:ascii="Times New Roman" w:hAnsi="Times New Roman" w:cs="Times New Roman"/>
          <w:sz w:val="24"/>
          <w:szCs w:val="24"/>
        </w:rPr>
        <w:t xml:space="preserve">with 65mm height and 100mm diameter </w:t>
      </w:r>
      <w:r>
        <w:rPr>
          <w:rFonts w:ascii="Times New Roman" w:hAnsi="Times New Roman" w:cs="Times New Roman"/>
          <w:sz w:val="24"/>
          <w:szCs w:val="24"/>
        </w:rPr>
        <w:t xml:space="preserve">at </w:t>
      </w:r>
      <w:r w:rsidR="002B3751">
        <w:rPr>
          <w:rFonts w:ascii="Times New Roman" w:hAnsi="Times New Roman" w:cs="Times New Roman"/>
          <w:sz w:val="24"/>
          <w:szCs w:val="24"/>
        </w:rPr>
        <w:t xml:space="preserve">test temperature brought to </w:t>
      </w:r>
      <w:r>
        <w:rPr>
          <w:rFonts w:ascii="Times New Roman" w:hAnsi="Times New Roman" w:cs="Times New Roman"/>
          <w:sz w:val="24"/>
          <w:szCs w:val="24"/>
        </w:rPr>
        <w:t>2</w:t>
      </w:r>
      <w:r w:rsidR="002B3751">
        <w:rPr>
          <w:rFonts w:ascii="Times New Roman" w:hAnsi="Times New Roman" w:cs="Times New Roman"/>
          <w:sz w:val="24"/>
          <w:szCs w:val="24"/>
        </w:rPr>
        <w:t>5</w:t>
      </w:r>
      <w:r w:rsidR="002B3751" w:rsidRPr="002B3751">
        <w:rPr>
          <w:rFonts w:ascii="Times New Roman" w:hAnsi="Times New Roman" w:cs="Times New Roman"/>
          <w:sz w:val="24"/>
          <w:szCs w:val="24"/>
          <w:vertAlign w:val="superscript"/>
        </w:rPr>
        <w:t>0</w:t>
      </w:r>
      <w:r>
        <w:rPr>
          <w:rFonts w:ascii="Times New Roman" w:hAnsi="Times New Roman" w:cs="Times New Roman"/>
          <w:sz w:val="24"/>
          <w:szCs w:val="24"/>
        </w:rPr>
        <w:t>c</w:t>
      </w:r>
      <w:r w:rsidR="002B3751">
        <w:rPr>
          <w:rFonts w:ascii="Times New Roman" w:hAnsi="Times New Roman" w:cs="Times New Roman"/>
          <w:sz w:val="24"/>
          <w:szCs w:val="24"/>
        </w:rPr>
        <w:t xml:space="preserve"> using water bath and at a deformation rate of 50mm/min. The test is performed by loading a cylindrical specimen with a single load which acts parallel to the vertical diametrical plane. </w:t>
      </w:r>
    </w:p>
    <w:p w14:paraId="73E93BE0" w14:textId="1524D682" w:rsidR="0035387E" w:rsidRDefault="0035387E" w:rsidP="001079A4">
      <w:pPr>
        <w:spacing w:line="240" w:lineRule="auto"/>
        <w:jc w:val="both"/>
        <w:rPr>
          <w:rFonts w:ascii="Times New Roman" w:hAnsi="Times New Roman" w:cs="Times New Roman"/>
          <w:sz w:val="24"/>
          <w:szCs w:val="24"/>
        </w:rPr>
      </w:pPr>
      <w:r>
        <w:rPr>
          <w:rFonts w:ascii="Times New Roman" w:hAnsi="Times New Roman" w:cs="Times New Roman"/>
          <w:sz w:val="24"/>
          <w:szCs w:val="24"/>
        </w:rPr>
        <w:t>Load (P) at failure were measured for the specimens at 0, 10, 20, 30, 40 and 50% plastic waste.</w:t>
      </w:r>
    </w:p>
    <w:p w14:paraId="55436274" w14:textId="7A6BC372" w:rsidR="0035387E" w:rsidRDefault="0035387E" w:rsidP="00350C11">
      <w:pPr>
        <w:jc w:val="center"/>
      </w:pPr>
      <w:r>
        <w:t xml:space="preserve">ITS = </w:t>
      </w:r>
      <m:oMath>
        <m:f>
          <m:fPr>
            <m:ctrlPr>
              <w:rPr>
                <w:rFonts w:ascii="Cambria Math" w:hAnsi="Cambria Math"/>
                <w:i/>
              </w:rPr>
            </m:ctrlPr>
          </m:fPr>
          <m:num>
            <m:r>
              <m:rPr>
                <m:sty m:val="p"/>
              </m:rPr>
              <w:rPr>
                <w:rFonts w:ascii="Cambria Math" w:hAnsi="Cambria Math"/>
              </w:rPr>
              <m:t>2000P</m:t>
            </m:r>
          </m:num>
          <m:den>
            <m:r>
              <w:rPr>
                <w:rFonts w:ascii="Cambria Math" w:hAnsi="Cambria Math"/>
              </w:rPr>
              <m:t>πDt</m:t>
            </m:r>
          </m:den>
        </m:f>
      </m:oMath>
      <w:r w:rsidR="000D1EAF">
        <w:t xml:space="preserve">        </w:t>
      </w:r>
      <w:r w:rsidR="00350C11">
        <w:t xml:space="preserve">                                                  </w:t>
      </w:r>
      <w:r w:rsidR="000D1EAF">
        <w:t xml:space="preserve">   </w:t>
      </w:r>
      <w:r w:rsidR="00350C11">
        <w:t xml:space="preserve">                                     </w:t>
      </w:r>
      <w:r>
        <w:t xml:space="preserve">     </w:t>
      </w:r>
      <w:proofErr w:type="gramStart"/>
      <w:r>
        <w:t xml:space="preserve">   (</w:t>
      </w:r>
      <w:proofErr w:type="gramEnd"/>
      <w:r>
        <w:t>6)</w:t>
      </w:r>
    </w:p>
    <w:p w14:paraId="43BF49AA" w14:textId="061343AC" w:rsidR="005B4A7C" w:rsidRPr="001079A4" w:rsidRDefault="000D1EAF" w:rsidP="001079A4">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r w:rsidR="00350C11">
        <w:rPr>
          <w:rFonts w:ascii="Times New Roman" w:hAnsi="Times New Roman" w:cs="Times New Roman"/>
          <w:sz w:val="24"/>
          <w:szCs w:val="24"/>
        </w:rPr>
        <w:t xml:space="preserve"> </w:t>
      </w:r>
      <w:r w:rsidR="00350C11" w:rsidRPr="00350C11">
        <w:rPr>
          <w:rFonts w:ascii="Times New Roman" w:hAnsi="Times New Roman" w:cs="Times New Roman"/>
          <w:i/>
          <w:iCs/>
          <w:sz w:val="24"/>
          <w:szCs w:val="24"/>
        </w:rPr>
        <w:t>ITS</w:t>
      </w:r>
      <w:r w:rsidR="00350C11">
        <w:rPr>
          <w:rFonts w:ascii="Times New Roman" w:hAnsi="Times New Roman" w:cs="Times New Roman"/>
          <w:sz w:val="24"/>
          <w:szCs w:val="24"/>
        </w:rPr>
        <w:t xml:space="preserve"> is the Indirect Tensile Strength </w:t>
      </w:r>
      <w:r w:rsidR="00350C11" w:rsidRPr="00350C11">
        <w:rPr>
          <w:rFonts w:ascii="Times New Roman" w:hAnsi="Times New Roman" w:cs="Times New Roman"/>
          <w:sz w:val="24"/>
          <w:szCs w:val="24"/>
        </w:rPr>
        <w:t>(kPa)</w:t>
      </w:r>
      <w:r w:rsidR="00350C11">
        <w:rPr>
          <w:rFonts w:ascii="Times New Roman" w:hAnsi="Times New Roman" w:cs="Times New Roman"/>
          <w:sz w:val="24"/>
          <w:szCs w:val="24"/>
        </w:rPr>
        <w:t>,</w:t>
      </w:r>
      <w:r>
        <w:rPr>
          <w:rFonts w:ascii="Times New Roman" w:hAnsi="Times New Roman" w:cs="Times New Roman"/>
          <w:sz w:val="24"/>
          <w:szCs w:val="24"/>
        </w:rPr>
        <w:t xml:space="preserve"> </w:t>
      </w:r>
      <w:r w:rsidRPr="00350C11">
        <w:rPr>
          <w:rFonts w:ascii="Times New Roman" w:hAnsi="Times New Roman" w:cs="Times New Roman"/>
          <w:i/>
          <w:iCs/>
          <w:sz w:val="24"/>
          <w:szCs w:val="24"/>
        </w:rPr>
        <w:t>P</w:t>
      </w:r>
      <w:r>
        <w:rPr>
          <w:rFonts w:ascii="Times New Roman" w:hAnsi="Times New Roman" w:cs="Times New Roman"/>
          <w:sz w:val="24"/>
          <w:szCs w:val="24"/>
        </w:rPr>
        <w:t xml:space="preserve"> is applied load at failure</w:t>
      </w:r>
      <w:r w:rsidR="00350C11">
        <w:rPr>
          <w:rFonts w:ascii="Times New Roman" w:hAnsi="Times New Roman" w:cs="Times New Roman"/>
          <w:sz w:val="24"/>
          <w:szCs w:val="24"/>
        </w:rPr>
        <w:t xml:space="preserve"> </w:t>
      </w:r>
      <w:r w:rsidR="00350C11" w:rsidRPr="00350C11">
        <w:rPr>
          <w:rFonts w:ascii="Times New Roman" w:hAnsi="Times New Roman" w:cs="Times New Roman"/>
          <w:sz w:val="24"/>
          <w:szCs w:val="24"/>
        </w:rPr>
        <w:t>(N)</w:t>
      </w:r>
      <w:r>
        <w:rPr>
          <w:rFonts w:ascii="Times New Roman" w:hAnsi="Times New Roman" w:cs="Times New Roman"/>
          <w:sz w:val="24"/>
          <w:szCs w:val="24"/>
        </w:rPr>
        <w:t xml:space="preserve">, </w:t>
      </w:r>
      <w:r w:rsidRPr="00350C11">
        <w:rPr>
          <w:rFonts w:ascii="Times New Roman" w:hAnsi="Times New Roman" w:cs="Times New Roman"/>
          <w:i/>
          <w:iCs/>
          <w:sz w:val="24"/>
          <w:szCs w:val="24"/>
        </w:rPr>
        <w:t>D</w:t>
      </w:r>
      <w:r>
        <w:rPr>
          <w:rFonts w:ascii="Times New Roman" w:hAnsi="Times New Roman" w:cs="Times New Roman"/>
          <w:sz w:val="24"/>
          <w:szCs w:val="24"/>
        </w:rPr>
        <w:t xml:space="preserve"> is diameter of specimen</w:t>
      </w:r>
      <w:r w:rsidR="00350C11">
        <w:rPr>
          <w:rFonts w:ascii="Times New Roman" w:hAnsi="Times New Roman" w:cs="Times New Roman"/>
          <w:sz w:val="24"/>
          <w:szCs w:val="24"/>
        </w:rPr>
        <w:t xml:space="preserve"> </w:t>
      </w:r>
      <w:r w:rsidR="00350C11" w:rsidRPr="00350C11">
        <w:rPr>
          <w:rFonts w:ascii="Times New Roman" w:hAnsi="Times New Roman" w:cs="Times New Roman"/>
          <w:sz w:val="24"/>
          <w:szCs w:val="24"/>
        </w:rPr>
        <w:t>(mm)</w:t>
      </w:r>
      <w:r>
        <w:rPr>
          <w:rFonts w:ascii="Times New Roman" w:hAnsi="Times New Roman" w:cs="Times New Roman"/>
          <w:sz w:val="24"/>
          <w:szCs w:val="24"/>
        </w:rPr>
        <w:t xml:space="preserve"> and </w:t>
      </w:r>
      <w:r w:rsidRPr="00350C11">
        <w:rPr>
          <w:rFonts w:ascii="Times New Roman" w:hAnsi="Times New Roman" w:cs="Times New Roman"/>
          <w:i/>
          <w:iCs/>
          <w:sz w:val="24"/>
          <w:szCs w:val="24"/>
        </w:rPr>
        <w:t>t</w:t>
      </w:r>
      <w:r>
        <w:rPr>
          <w:rFonts w:ascii="Times New Roman" w:hAnsi="Times New Roman" w:cs="Times New Roman"/>
          <w:sz w:val="24"/>
          <w:szCs w:val="24"/>
        </w:rPr>
        <w:t xml:space="preserve"> is specimen thickness</w:t>
      </w:r>
      <w:r w:rsidR="00350C11">
        <w:rPr>
          <w:rFonts w:ascii="Times New Roman" w:hAnsi="Times New Roman" w:cs="Times New Roman"/>
          <w:sz w:val="24"/>
          <w:szCs w:val="24"/>
        </w:rPr>
        <w:t xml:space="preserve"> </w:t>
      </w:r>
      <w:r w:rsidR="00350C11" w:rsidRPr="00350C11">
        <w:rPr>
          <w:rFonts w:ascii="Times New Roman" w:hAnsi="Times New Roman" w:cs="Times New Roman"/>
          <w:sz w:val="24"/>
          <w:szCs w:val="24"/>
        </w:rPr>
        <w:t>(mm)</w:t>
      </w:r>
      <w:r w:rsidR="00350C11">
        <w:rPr>
          <w:rFonts w:ascii="Times New Roman" w:hAnsi="Times New Roman" w:cs="Times New Roman"/>
          <w:sz w:val="24"/>
          <w:szCs w:val="24"/>
        </w:rPr>
        <w:t>.</w:t>
      </w:r>
    </w:p>
    <w:p w14:paraId="5130245F" w14:textId="7413F6D8" w:rsidR="009E16E9" w:rsidRPr="00A94477" w:rsidRDefault="00350C11" w:rsidP="00350C11">
      <w:pPr>
        <w:pStyle w:val="Heading1"/>
        <w:rPr>
          <w:rFonts w:eastAsia="Times New Roman"/>
        </w:rPr>
      </w:pPr>
      <w:r>
        <w:rPr>
          <w:rFonts w:eastAsia="Times New Roman"/>
        </w:rPr>
        <w:t xml:space="preserve">3    </w:t>
      </w:r>
      <w:r w:rsidR="00C233A5" w:rsidRPr="00C233A5">
        <w:rPr>
          <w:rFonts w:eastAsia="Times New Roman"/>
        </w:rPr>
        <w:t>RESULTS AND DISCUSSIONS</w:t>
      </w:r>
    </w:p>
    <w:p w14:paraId="35856F98" w14:textId="10988728" w:rsidR="009E16E9" w:rsidRPr="005401C8" w:rsidRDefault="0076687A" w:rsidP="002E3526">
      <w:pPr>
        <w:spacing w:after="0" w:line="240" w:lineRule="auto"/>
        <w:jc w:val="both"/>
        <w:rPr>
          <w:rFonts w:ascii="Times New Roman" w:eastAsia="Times New Roman" w:hAnsi="Times New Roman" w:cs="Times New Roman"/>
          <w:sz w:val="24"/>
          <w:szCs w:val="24"/>
        </w:rPr>
      </w:pPr>
      <w:r w:rsidRPr="003F6384">
        <w:rPr>
          <w:rFonts w:ascii="Times New Roman" w:eastAsia="Times New Roman" w:hAnsi="Times New Roman" w:cs="Times New Roman"/>
          <w:sz w:val="24"/>
          <w:szCs w:val="24"/>
        </w:rPr>
        <w:t>The results of the aggregate impact value test showed that the aggregate can be used for road surfacing, with a result of 27.7%, falling within the BS 812: Part 112 limits (20-30% satisfactory for road surfacing)</w:t>
      </w:r>
      <w:r w:rsidR="007426E7">
        <w:rPr>
          <w:rFonts w:ascii="Times New Roman" w:eastAsia="Times New Roman" w:hAnsi="Times New Roman" w:cs="Times New Roman"/>
          <w:sz w:val="24"/>
          <w:szCs w:val="24"/>
        </w:rPr>
        <w:t>.</w:t>
      </w:r>
      <w:r w:rsidR="00A94477">
        <w:rPr>
          <w:rFonts w:ascii="Times New Roman" w:eastAsia="Times New Roman" w:hAnsi="Times New Roman" w:cs="Times New Roman"/>
          <w:sz w:val="24"/>
          <w:szCs w:val="24"/>
        </w:rPr>
        <w:t xml:space="preserve"> </w:t>
      </w:r>
    </w:p>
    <w:p w14:paraId="62514D6A" w14:textId="415503A7" w:rsidR="005401C8" w:rsidRPr="003F6384" w:rsidRDefault="005401C8" w:rsidP="002E352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 xml:space="preserve">The </w:t>
      </w:r>
      <w:r w:rsidR="00BD4851" w:rsidRPr="003F6384">
        <w:rPr>
          <w:rFonts w:ascii="Times New Roman" w:eastAsia="Times New Roman" w:hAnsi="Times New Roman" w:cs="Times New Roman"/>
          <w:sz w:val="24"/>
          <w:szCs w:val="24"/>
        </w:rPr>
        <w:t>bitumen's softening point rises in proportion to the amount of plastic waste. This demonstrates that bituminous material's softening point is raised by plastic waste.</w:t>
      </w:r>
      <w:r w:rsidR="00BD4851" w:rsidRPr="00955601">
        <w:rPr>
          <w:rFonts w:ascii="Times New Roman" w:eastAsia="Times New Roman" w:hAnsi="Times New Roman" w:cs="Times New Roman"/>
          <w:b/>
          <w:sz w:val="24"/>
          <w:szCs w:val="24"/>
        </w:rPr>
        <w:t xml:space="preserve"> </w:t>
      </w:r>
      <w:r w:rsidRPr="00955601">
        <w:rPr>
          <w:rFonts w:ascii="Times New Roman" w:eastAsia="Times New Roman" w:hAnsi="Times New Roman" w:cs="Times New Roman"/>
          <w:b/>
          <w:sz w:val="24"/>
          <w:szCs w:val="24"/>
        </w:rPr>
        <w:fldChar w:fldCharType="begin"/>
      </w:r>
      <w:r w:rsidRPr="00955601">
        <w:rPr>
          <w:rFonts w:ascii="Times New Roman" w:eastAsia="Times New Roman" w:hAnsi="Times New Roman" w:cs="Times New Roman"/>
          <w:b/>
          <w:sz w:val="24"/>
          <w:szCs w:val="24"/>
        </w:rPr>
        <w:instrText xml:space="preserve"> REF _Ref189512107 \h  \* MERGEFORMAT </w:instrText>
      </w:r>
      <w:r w:rsidRPr="00955601">
        <w:rPr>
          <w:rFonts w:ascii="Times New Roman" w:eastAsia="Times New Roman" w:hAnsi="Times New Roman" w:cs="Times New Roman"/>
          <w:b/>
          <w:sz w:val="24"/>
          <w:szCs w:val="24"/>
        </w:rPr>
      </w:r>
      <w:r w:rsidRPr="00955601">
        <w:rPr>
          <w:rFonts w:ascii="Times New Roman" w:eastAsia="Times New Roman" w:hAnsi="Times New Roman" w:cs="Times New Roman"/>
          <w:b/>
          <w:sz w:val="24"/>
          <w:szCs w:val="24"/>
        </w:rPr>
        <w:fldChar w:fldCharType="separate"/>
      </w:r>
      <w:r w:rsidR="000B6610" w:rsidRPr="00955601">
        <w:rPr>
          <w:rFonts w:ascii="Times New Roman" w:eastAsia="Times New Roman" w:hAnsi="Times New Roman" w:cs="Times New Roman"/>
          <w:b/>
          <w:sz w:val="24"/>
          <w:szCs w:val="24"/>
        </w:rPr>
        <w:t>Figure 1</w:t>
      </w:r>
      <w:r w:rsidRPr="00955601">
        <w:rPr>
          <w:rFonts w:ascii="Times New Roman" w:eastAsia="Times New Roman" w:hAnsi="Times New Roman" w:cs="Times New Roman"/>
          <w:b/>
          <w:sz w:val="24"/>
          <w:szCs w:val="24"/>
        </w:rPr>
        <w:fldChar w:fldCharType="end"/>
      </w:r>
      <w:r>
        <w:rPr>
          <w:rFonts w:ascii="Times New Roman" w:eastAsia="Times New Roman" w:hAnsi="Times New Roman" w:cs="Times New Roman"/>
          <w:sz w:val="24"/>
          <w:szCs w:val="24"/>
        </w:rPr>
        <w:t xml:space="preserve"> </w:t>
      </w:r>
      <w:r w:rsidRPr="005401C8">
        <w:rPr>
          <w:rFonts w:ascii="Times New Roman" w:eastAsia="Times New Roman" w:hAnsi="Times New Roman" w:cs="Times New Roman"/>
          <w:sz w:val="24"/>
          <w:szCs w:val="24"/>
        </w:rPr>
        <w:t xml:space="preserve">clearly demonstrates a positive correlation between the percentage of plastic waste and the softening point. As the percentage of plastic waste increases, the softening point also increases. This suggests that the addition of plastic waste raises the temperature at which the </w:t>
      </w:r>
      <w:r>
        <w:rPr>
          <w:rFonts w:ascii="Times New Roman" w:eastAsia="Times New Roman" w:hAnsi="Times New Roman" w:cs="Times New Roman"/>
          <w:sz w:val="24"/>
          <w:szCs w:val="24"/>
        </w:rPr>
        <w:t>bitumen</w:t>
      </w:r>
      <w:r w:rsidRPr="005401C8">
        <w:rPr>
          <w:rFonts w:ascii="Times New Roman" w:eastAsia="Times New Roman" w:hAnsi="Times New Roman" w:cs="Times New Roman"/>
          <w:sz w:val="24"/>
          <w:szCs w:val="24"/>
        </w:rPr>
        <w:t xml:space="preserve"> begins to soften</w:t>
      </w:r>
      <w:r>
        <w:rPr>
          <w:rFonts w:ascii="Times New Roman" w:eastAsia="Times New Roman" w:hAnsi="Times New Roman" w:cs="Times New Roman"/>
          <w:sz w:val="24"/>
          <w:szCs w:val="24"/>
        </w:rPr>
        <w:t xml:space="preserve">. </w:t>
      </w:r>
      <w:r w:rsidRPr="005401C8">
        <w:rPr>
          <w:rFonts w:ascii="Times New Roman" w:eastAsia="Times New Roman" w:hAnsi="Times New Roman" w:cs="Times New Roman"/>
          <w:sz w:val="24"/>
          <w:szCs w:val="24"/>
        </w:rPr>
        <w:t xml:space="preserve">The addition of plastic waste alters the thermal properties of the </w:t>
      </w:r>
      <w:r>
        <w:rPr>
          <w:rFonts w:ascii="Times New Roman" w:eastAsia="Times New Roman" w:hAnsi="Times New Roman" w:cs="Times New Roman"/>
          <w:sz w:val="24"/>
          <w:szCs w:val="24"/>
        </w:rPr>
        <w:t>modified bitumen</w:t>
      </w:r>
      <w:r w:rsidRPr="005401C8">
        <w:rPr>
          <w:rFonts w:ascii="Times New Roman" w:eastAsia="Times New Roman" w:hAnsi="Times New Roman" w:cs="Times New Roman"/>
          <w:sz w:val="24"/>
          <w:szCs w:val="24"/>
        </w:rPr>
        <w:t>, making it more resistant to heat (requiring a higher temperature to soften)</w:t>
      </w:r>
      <w:r>
        <w:rPr>
          <w:rFonts w:ascii="Times New Roman" w:eastAsia="Times New Roman" w:hAnsi="Times New Roman" w:cs="Times New Roman"/>
          <w:sz w:val="24"/>
          <w:szCs w:val="24"/>
        </w:rPr>
        <w:t xml:space="preserve">. Also, </w:t>
      </w:r>
      <w:r w:rsidRPr="005401C8">
        <w:rPr>
          <w:rFonts w:ascii="Times New Roman" w:eastAsia="Times New Roman" w:hAnsi="Times New Roman" w:cs="Times New Roman"/>
          <w:sz w:val="24"/>
          <w:szCs w:val="24"/>
        </w:rPr>
        <w:t xml:space="preserve">understanding </w:t>
      </w:r>
      <w:r>
        <w:rPr>
          <w:rFonts w:ascii="Times New Roman" w:eastAsia="Times New Roman" w:hAnsi="Times New Roman" w:cs="Times New Roman"/>
          <w:sz w:val="24"/>
          <w:szCs w:val="24"/>
        </w:rPr>
        <w:t xml:space="preserve">the way </w:t>
      </w:r>
      <w:r w:rsidRPr="005401C8">
        <w:rPr>
          <w:rFonts w:ascii="Times New Roman" w:eastAsia="Times New Roman" w:hAnsi="Times New Roman" w:cs="Times New Roman"/>
          <w:sz w:val="24"/>
          <w:szCs w:val="24"/>
        </w:rPr>
        <w:t xml:space="preserve">plastic waste affects </w:t>
      </w:r>
      <w:r>
        <w:rPr>
          <w:rFonts w:ascii="Times New Roman" w:eastAsia="Times New Roman" w:hAnsi="Times New Roman" w:cs="Times New Roman"/>
          <w:sz w:val="24"/>
          <w:szCs w:val="24"/>
        </w:rPr>
        <w:t>the modified bitumen</w:t>
      </w:r>
      <w:r w:rsidRPr="005401C8">
        <w:rPr>
          <w:rFonts w:ascii="Times New Roman" w:eastAsia="Times New Roman" w:hAnsi="Times New Roman" w:cs="Times New Roman"/>
          <w:sz w:val="24"/>
          <w:szCs w:val="24"/>
        </w:rPr>
        <w:t xml:space="preserve"> properties is crucial for developing sustainable waste management and recycling strategies</w:t>
      </w:r>
      <w:r>
        <w:rPr>
          <w:rFonts w:ascii="Times New Roman" w:eastAsia="Times New Roman" w:hAnsi="Times New Roman" w:cs="Times New Roman"/>
          <w:sz w:val="24"/>
          <w:szCs w:val="24"/>
        </w:rPr>
        <w:t xml:space="preserve">. Also, the results in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REF _Ref189512107 \h  \* MERGEFORMAT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0B6610" w:rsidRPr="000B6610">
        <w:rPr>
          <w:rFonts w:ascii="Times New Roman" w:eastAsia="Times New Roman" w:hAnsi="Times New Roman" w:cs="Times New Roman"/>
          <w:sz w:val="24"/>
          <w:szCs w:val="24"/>
        </w:rPr>
        <w:t>Figure 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5401C8">
        <w:rPr>
          <w:rFonts w:ascii="Times New Roman" w:eastAsia="Times New Roman" w:hAnsi="Times New Roman" w:cs="Times New Roman"/>
          <w:sz w:val="24"/>
          <w:szCs w:val="24"/>
        </w:rPr>
        <w:t xml:space="preserve">could be relevant in engineering, particularly in exploring the potential uses of plastic waste in creating </w:t>
      </w:r>
      <w:r>
        <w:rPr>
          <w:rFonts w:ascii="Times New Roman" w:eastAsia="Times New Roman" w:hAnsi="Times New Roman" w:cs="Times New Roman"/>
          <w:sz w:val="24"/>
          <w:szCs w:val="24"/>
        </w:rPr>
        <w:t xml:space="preserve">various </w:t>
      </w:r>
      <w:r w:rsidRPr="005401C8">
        <w:rPr>
          <w:rFonts w:ascii="Times New Roman" w:eastAsia="Times New Roman" w:hAnsi="Times New Roman" w:cs="Times New Roman"/>
          <w:sz w:val="24"/>
          <w:szCs w:val="24"/>
        </w:rPr>
        <w:t>materials with specific thermal properties</w:t>
      </w:r>
      <w:r>
        <w:rPr>
          <w:rFonts w:ascii="Times New Roman" w:eastAsia="Times New Roman" w:hAnsi="Times New Roman" w:cs="Times New Roman"/>
          <w:sz w:val="24"/>
          <w:szCs w:val="24"/>
        </w:rPr>
        <w:t>.</w:t>
      </w:r>
    </w:p>
    <w:p w14:paraId="7CB04A82" w14:textId="05E5CE84" w:rsidR="00BD4851" w:rsidRPr="003F6384" w:rsidRDefault="00BD4851" w:rsidP="00955601">
      <w:pPr>
        <w:spacing w:before="240" w:after="240" w:line="240" w:lineRule="auto"/>
        <w:jc w:val="center"/>
        <w:rPr>
          <w:rFonts w:ascii="Times New Roman" w:eastAsia="Calibri" w:hAnsi="Times New Roman" w:cs="Times New Roman"/>
          <w:sz w:val="24"/>
          <w:szCs w:val="24"/>
        </w:rPr>
      </w:pPr>
      <w:r w:rsidRPr="003F6384">
        <w:rPr>
          <w:rFonts w:ascii="Times New Roman" w:hAnsi="Times New Roman" w:cs="Times New Roman"/>
          <w:noProof/>
          <w:sz w:val="24"/>
          <w:szCs w:val="24"/>
        </w:rPr>
        <w:lastRenderedPageBreak/>
        <w:drawing>
          <wp:inline distT="0" distB="0" distL="0" distR="0" wp14:anchorId="5C30466A" wp14:editId="2102F88A">
            <wp:extent cx="5126550" cy="2059305"/>
            <wp:effectExtent l="0" t="0" r="17145" b="1714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B16E213" w14:textId="54F01C83" w:rsidR="009E16E9" w:rsidRPr="003F6384" w:rsidRDefault="005401C8" w:rsidP="00B237F8">
      <w:pPr>
        <w:pStyle w:val="Caption"/>
        <w:rPr>
          <w:rFonts w:eastAsia="Times New Roman" w:cs="Times New Roman"/>
          <w:kern w:val="24"/>
          <w:szCs w:val="24"/>
        </w:rPr>
      </w:pPr>
      <w:bookmarkStart w:id="3" w:name="_Ref189512107"/>
      <w:r w:rsidRPr="00046906">
        <w:rPr>
          <w:b/>
        </w:rPr>
        <w:t xml:space="preserve">Figure </w:t>
      </w:r>
      <w:r w:rsidR="00581FDD" w:rsidRPr="00046906">
        <w:rPr>
          <w:b/>
        </w:rPr>
        <w:fldChar w:fldCharType="begin"/>
      </w:r>
      <w:r w:rsidR="00581FDD" w:rsidRPr="00046906">
        <w:rPr>
          <w:b/>
        </w:rPr>
        <w:instrText xml:space="preserve"> SEQ Figure \* ARABIC </w:instrText>
      </w:r>
      <w:r w:rsidR="00581FDD" w:rsidRPr="00046906">
        <w:rPr>
          <w:b/>
        </w:rPr>
        <w:fldChar w:fldCharType="separate"/>
      </w:r>
      <w:r w:rsidR="000B6610" w:rsidRPr="00046906">
        <w:rPr>
          <w:b/>
          <w:noProof/>
        </w:rPr>
        <w:t>1</w:t>
      </w:r>
      <w:r w:rsidR="00581FDD" w:rsidRPr="00046906">
        <w:rPr>
          <w:b/>
          <w:noProof/>
        </w:rPr>
        <w:fldChar w:fldCharType="end"/>
      </w:r>
      <w:bookmarkEnd w:id="3"/>
      <w:r w:rsidRPr="00046906">
        <w:rPr>
          <w:b/>
        </w:rPr>
        <w:t>.</w:t>
      </w:r>
      <w:r w:rsidR="00355384">
        <w:t xml:space="preserve"> Softening point of the modified bitumen</w:t>
      </w:r>
    </w:p>
    <w:p w14:paraId="70CB5F8D" w14:textId="4BFCFA9D" w:rsidR="00355384" w:rsidRDefault="00EC778E" w:rsidP="00A77EEC">
      <w:pPr>
        <w:spacing w:before="240" w:after="0" w:line="240" w:lineRule="auto"/>
        <w:jc w:val="both"/>
        <w:rPr>
          <w:rFonts w:ascii="Times New Roman" w:eastAsia="Times New Roman" w:hAnsi="Times New Roman" w:cs="Times New Roman"/>
          <w:sz w:val="24"/>
          <w:szCs w:val="24"/>
        </w:rPr>
      </w:pPr>
      <w:r w:rsidRPr="003F6384">
        <w:rPr>
          <w:rFonts w:ascii="Times New Roman" w:eastAsia="Times New Roman" w:hAnsi="Times New Roman" w:cs="Times New Roman"/>
          <w:sz w:val="24"/>
          <w:szCs w:val="24"/>
        </w:rPr>
        <w:t xml:space="preserve">According to the stability results displayed </w:t>
      </w:r>
      <w:r w:rsidRPr="00355384">
        <w:rPr>
          <w:rFonts w:ascii="Times New Roman" w:eastAsia="Times New Roman" w:hAnsi="Times New Roman" w:cs="Times New Roman"/>
          <w:sz w:val="24"/>
          <w:szCs w:val="24"/>
        </w:rPr>
        <w:t>in</w:t>
      </w:r>
      <w:r w:rsidRPr="00B237F8">
        <w:rPr>
          <w:rFonts w:ascii="Times New Roman" w:eastAsia="Times New Roman" w:hAnsi="Times New Roman" w:cs="Times New Roman"/>
          <w:b/>
          <w:sz w:val="24"/>
          <w:szCs w:val="24"/>
        </w:rPr>
        <w:t xml:space="preserve"> </w:t>
      </w:r>
      <w:r w:rsidRPr="00B237F8">
        <w:rPr>
          <w:rFonts w:ascii="Times New Roman" w:eastAsia="Times New Roman" w:hAnsi="Times New Roman" w:cs="Times New Roman"/>
          <w:b/>
          <w:sz w:val="24"/>
          <w:szCs w:val="24"/>
        </w:rPr>
        <w:fldChar w:fldCharType="begin"/>
      </w:r>
      <w:r w:rsidRPr="00B237F8">
        <w:rPr>
          <w:rFonts w:ascii="Times New Roman" w:eastAsia="Times New Roman" w:hAnsi="Times New Roman" w:cs="Times New Roman"/>
          <w:b/>
          <w:sz w:val="24"/>
          <w:szCs w:val="24"/>
        </w:rPr>
        <w:instrText xml:space="preserve"> REF _Ref189513146 \h  \* MERGEFORMAT </w:instrText>
      </w:r>
      <w:r w:rsidRPr="00B237F8">
        <w:rPr>
          <w:rFonts w:ascii="Times New Roman" w:eastAsia="Times New Roman" w:hAnsi="Times New Roman" w:cs="Times New Roman"/>
          <w:b/>
          <w:sz w:val="24"/>
          <w:szCs w:val="24"/>
        </w:rPr>
      </w:r>
      <w:r w:rsidRPr="00B237F8">
        <w:rPr>
          <w:rFonts w:ascii="Times New Roman" w:eastAsia="Times New Roman" w:hAnsi="Times New Roman" w:cs="Times New Roman"/>
          <w:b/>
          <w:sz w:val="24"/>
          <w:szCs w:val="24"/>
        </w:rPr>
        <w:fldChar w:fldCharType="separate"/>
      </w:r>
      <w:r w:rsidR="000B6610" w:rsidRPr="00B237F8">
        <w:rPr>
          <w:rFonts w:ascii="Times New Roman" w:eastAsia="Times New Roman" w:hAnsi="Times New Roman" w:cs="Times New Roman"/>
          <w:b/>
          <w:sz w:val="24"/>
          <w:szCs w:val="24"/>
        </w:rPr>
        <w:t>Figure 2</w:t>
      </w:r>
      <w:r w:rsidRPr="00B237F8">
        <w:rPr>
          <w:rFonts w:ascii="Times New Roman" w:eastAsia="Times New Roman" w:hAnsi="Times New Roman" w:cs="Times New Roman"/>
          <w:b/>
          <w:sz w:val="24"/>
          <w:szCs w:val="24"/>
        </w:rPr>
        <w:fldChar w:fldCharType="end"/>
      </w:r>
      <w:r w:rsidRPr="003F6384">
        <w:rPr>
          <w:rFonts w:ascii="Times New Roman" w:eastAsia="Times New Roman" w:hAnsi="Times New Roman" w:cs="Times New Roman"/>
          <w:sz w:val="24"/>
          <w:szCs w:val="24"/>
        </w:rPr>
        <w:t>, stability increases from 5% bitumen percentage to 6% bitumen percentage before starting to decline until it reaches 7% bitumen content. Additionally, the same chart indicates that the stability decreases with increasing bitumen content, reaching its lowest point at 3.33kN. The highest stability measured was 4.98kN. The maximum stability exceeds the least stability required by the Nigerian general specification for roads and bridges (NGSRB, 2020) when compared to the Marshal</w:t>
      </w:r>
      <w:r>
        <w:rPr>
          <w:rFonts w:ascii="Times New Roman" w:eastAsia="Times New Roman" w:hAnsi="Times New Roman" w:cs="Times New Roman"/>
          <w:sz w:val="24"/>
          <w:szCs w:val="24"/>
        </w:rPr>
        <w:t>l</w:t>
      </w:r>
      <w:r w:rsidRPr="003F6384">
        <w:rPr>
          <w:rFonts w:ascii="Times New Roman" w:eastAsia="Times New Roman" w:hAnsi="Times New Roman" w:cs="Times New Roman"/>
          <w:sz w:val="24"/>
          <w:szCs w:val="24"/>
        </w:rPr>
        <w:t xml:space="preserve"> criteria.</w:t>
      </w:r>
      <w:r>
        <w:rPr>
          <w:rFonts w:ascii="Times New Roman" w:eastAsia="Times New Roman" w:hAnsi="Times New Roman" w:cs="Times New Roman"/>
          <w:sz w:val="24"/>
          <w:szCs w:val="24"/>
        </w:rPr>
        <w:t xml:space="preserve"> </w:t>
      </w:r>
      <w:r w:rsidRPr="00EC778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results</w:t>
      </w:r>
      <w:r w:rsidRPr="00EC778E">
        <w:rPr>
          <w:rFonts w:ascii="Times New Roman" w:eastAsia="Times New Roman" w:hAnsi="Times New Roman" w:cs="Times New Roman"/>
          <w:sz w:val="24"/>
          <w:szCs w:val="24"/>
        </w:rPr>
        <w:t xml:space="preserve"> suggest an optimum bitumen percentage exists around 6</w:t>
      </w:r>
      <w:r w:rsidR="00B237F8" w:rsidRPr="003F6384">
        <w:rPr>
          <w:rFonts w:ascii="Times New Roman" w:eastAsia="Times New Roman" w:hAnsi="Times New Roman" w:cs="Times New Roman"/>
          <w:sz w:val="24"/>
          <w:szCs w:val="24"/>
        </w:rPr>
        <w:t>%</w:t>
      </w:r>
      <w:r w:rsidR="00B237F8">
        <w:rPr>
          <w:rFonts w:ascii="Times New Roman" w:eastAsia="Times New Roman" w:hAnsi="Times New Roman" w:cs="Times New Roman"/>
          <w:sz w:val="24"/>
          <w:szCs w:val="24"/>
        </w:rPr>
        <w:t xml:space="preserve">. </w:t>
      </w:r>
      <w:r w:rsidRPr="00EC778E">
        <w:rPr>
          <w:rFonts w:ascii="Times New Roman" w:eastAsia="Times New Roman" w:hAnsi="Times New Roman" w:cs="Times New Roman"/>
          <w:sz w:val="24"/>
          <w:szCs w:val="24"/>
        </w:rPr>
        <w:t>At this point, th</w:t>
      </w:r>
      <w:r w:rsidR="00046906">
        <w:rPr>
          <w:rFonts w:ascii="Times New Roman" w:eastAsia="Times New Roman" w:hAnsi="Times New Roman" w:cs="Times New Roman"/>
          <w:sz w:val="24"/>
          <w:szCs w:val="24"/>
        </w:rPr>
        <w:t>e stability reaches its peak (5</w:t>
      </w:r>
      <w:r w:rsidRPr="00EC778E">
        <w:rPr>
          <w:rFonts w:ascii="Times New Roman" w:eastAsia="Times New Roman" w:hAnsi="Times New Roman" w:cs="Times New Roman"/>
          <w:sz w:val="24"/>
          <w:szCs w:val="24"/>
        </w:rPr>
        <w:t>kN). This implies that 6% bitumen content provides the best balance of</w:t>
      </w:r>
      <w:r>
        <w:rPr>
          <w:rFonts w:ascii="Times New Roman" w:eastAsia="Times New Roman" w:hAnsi="Times New Roman" w:cs="Times New Roman"/>
          <w:sz w:val="24"/>
          <w:szCs w:val="24"/>
        </w:rPr>
        <w:t xml:space="preserve"> </w:t>
      </w:r>
      <w:r w:rsidRPr="00EC778E">
        <w:rPr>
          <w:rFonts w:ascii="Times New Roman" w:eastAsia="Times New Roman" w:hAnsi="Times New Roman" w:cs="Times New Roman"/>
          <w:sz w:val="24"/>
          <w:szCs w:val="24"/>
        </w:rPr>
        <w:t>aggregate binding and mixture strength.</w:t>
      </w:r>
      <w:r>
        <w:rPr>
          <w:rFonts w:ascii="Times New Roman" w:eastAsia="Times New Roman" w:hAnsi="Times New Roman" w:cs="Times New Roman"/>
          <w:sz w:val="24"/>
          <w:szCs w:val="24"/>
        </w:rPr>
        <w:t xml:space="preserve"> </w:t>
      </w:r>
      <w:r w:rsidRPr="00EC778E">
        <w:rPr>
          <w:rFonts w:ascii="Times New Roman" w:eastAsia="Times New Roman" w:hAnsi="Times New Roman" w:cs="Times New Roman"/>
          <w:sz w:val="24"/>
          <w:szCs w:val="24"/>
        </w:rPr>
        <w:t>As the bitumen percentage increases from 5% to 6%, the stability of the mix also increa</w:t>
      </w:r>
      <w:r w:rsidR="00B237F8">
        <w:rPr>
          <w:rFonts w:ascii="Times New Roman" w:eastAsia="Times New Roman" w:hAnsi="Times New Roman" w:cs="Times New Roman"/>
          <w:sz w:val="24"/>
          <w:szCs w:val="24"/>
        </w:rPr>
        <w:t>ses. This is likely because at this point, more</w:t>
      </w:r>
      <w:r w:rsidRPr="00EC778E">
        <w:rPr>
          <w:rFonts w:ascii="Times New Roman" w:eastAsia="Times New Roman" w:hAnsi="Times New Roman" w:cs="Times New Roman"/>
          <w:sz w:val="24"/>
          <w:szCs w:val="24"/>
        </w:rPr>
        <w:t xml:space="preserve"> bitumen provides better cohesion and binding of the aggregate particles, leading to a stronger mix</w:t>
      </w:r>
      <w:r>
        <w:rPr>
          <w:rFonts w:ascii="Times New Roman" w:eastAsia="Times New Roman" w:hAnsi="Times New Roman" w:cs="Times New Roman"/>
          <w:sz w:val="24"/>
          <w:szCs w:val="24"/>
        </w:rPr>
        <w:t>.</w:t>
      </w:r>
      <w:r w:rsidRPr="00EC778E">
        <w:t xml:space="preserve"> </w:t>
      </w:r>
      <w:r w:rsidRPr="00EC778E">
        <w:rPr>
          <w:rFonts w:ascii="Times New Roman" w:eastAsia="Times New Roman" w:hAnsi="Times New Roman" w:cs="Times New Roman"/>
          <w:sz w:val="24"/>
          <w:szCs w:val="24"/>
        </w:rPr>
        <w:t>Beyond 6%, increasing the bitumen content leads to a decrease in stability. This is likely due to over-lubrication of the aggregate particles. Excess bitumen can reduce the internal friction within the mix, making it more susceptible to deformation under load</w:t>
      </w:r>
      <w:r>
        <w:rPr>
          <w:rFonts w:ascii="Times New Roman" w:eastAsia="Times New Roman" w:hAnsi="Times New Roman" w:cs="Times New Roman"/>
          <w:sz w:val="24"/>
          <w:szCs w:val="24"/>
        </w:rPr>
        <w:t>.</w:t>
      </w:r>
    </w:p>
    <w:p w14:paraId="242B20A9" w14:textId="77777777" w:rsidR="00AC2B35" w:rsidRDefault="00AC2B35" w:rsidP="00B237F8">
      <w:pPr>
        <w:spacing w:after="0" w:line="240" w:lineRule="auto"/>
        <w:jc w:val="both"/>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6"/>
      </w:tblGrid>
      <w:tr w:rsidR="00355384" w14:paraId="3F9D8C33" w14:textId="77777777" w:rsidTr="00B237F8">
        <w:trPr>
          <w:trHeight w:val="3222"/>
          <w:jc w:val="center"/>
        </w:trPr>
        <w:tc>
          <w:tcPr>
            <w:tcW w:w="8453" w:type="dxa"/>
          </w:tcPr>
          <w:p w14:paraId="7F501E0B" w14:textId="3738DA9E" w:rsidR="00355384" w:rsidRDefault="00355384" w:rsidP="00B237F8">
            <w:pPr>
              <w:spacing w:after="0" w:line="240" w:lineRule="auto"/>
              <w:jc w:val="center"/>
              <w:rPr>
                <w:rFonts w:ascii="Times New Roman" w:eastAsia="Times New Roman" w:hAnsi="Times New Roman" w:cs="Times New Roman"/>
                <w:sz w:val="24"/>
                <w:szCs w:val="24"/>
              </w:rPr>
            </w:pPr>
            <w:r w:rsidRPr="003F6384">
              <w:rPr>
                <w:rFonts w:ascii="Times New Roman" w:eastAsia="Calibri" w:hAnsi="Times New Roman" w:cs="Times New Roman"/>
                <w:noProof/>
                <w:sz w:val="24"/>
                <w:szCs w:val="24"/>
              </w:rPr>
              <w:drawing>
                <wp:inline distT="0" distB="0" distL="0" distR="0" wp14:anchorId="1B27ABD4" wp14:editId="3D27101C">
                  <wp:extent cx="5362575" cy="1959429"/>
                  <wp:effectExtent l="0" t="0" r="9525" b="3175"/>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7D8F38A2" w14:textId="5EA46C1A" w:rsidR="001D6271" w:rsidRDefault="00355384" w:rsidP="007E34D0">
      <w:pPr>
        <w:pStyle w:val="Caption"/>
      </w:pPr>
      <w:bookmarkStart w:id="4" w:name="_Ref189513146"/>
      <w:r w:rsidRPr="00AC2B35">
        <w:rPr>
          <w:b/>
        </w:rPr>
        <w:t xml:space="preserve">Figure </w:t>
      </w:r>
      <w:r w:rsidR="00581FDD" w:rsidRPr="00AC2B35">
        <w:rPr>
          <w:b/>
        </w:rPr>
        <w:fldChar w:fldCharType="begin"/>
      </w:r>
      <w:r w:rsidR="00581FDD" w:rsidRPr="00AC2B35">
        <w:rPr>
          <w:b/>
        </w:rPr>
        <w:instrText xml:space="preserve"> SEQ Figure \* ARABIC </w:instrText>
      </w:r>
      <w:r w:rsidR="00581FDD" w:rsidRPr="00AC2B35">
        <w:rPr>
          <w:b/>
        </w:rPr>
        <w:fldChar w:fldCharType="separate"/>
      </w:r>
      <w:r w:rsidR="000B6610" w:rsidRPr="00AC2B35">
        <w:rPr>
          <w:b/>
          <w:noProof/>
        </w:rPr>
        <w:t>2</w:t>
      </w:r>
      <w:r w:rsidR="00581FDD" w:rsidRPr="00AC2B35">
        <w:rPr>
          <w:b/>
          <w:noProof/>
        </w:rPr>
        <w:fldChar w:fldCharType="end"/>
      </w:r>
      <w:bookmarkEnd w:id="4"/>
      <w:r w:rsidRPr="00AC2B35">
        <w:rPr>
          <w:b/>
        </w:rPr>
        <w:t>.</w:t>
      </w:r>
      <w:r>
        <w:t xml:space="preserve"> </w:t>
      </w:r>
      <w:r w:rsidRPr="003F6384">
        <w:t xml:space="preserve">Marshall </w:t>
      </w:r>
      <w:r w:rsidR="00AC2B35" w:rsidRPr="003F6384">
        <w:t>Stability</w:t>
      </w:r>
      <w:r>
        <w:t xml:space="preserve"> </w:t>
      </w:r>
      <w:r w:rsidR="008C2F66">
        <w:t xml:space="preserve">vs. </w:t>
      </w:r>
      <w:r>
        <w:t>bitumen</w:t>
      </w:r>
      <w:r w:rsidR="008C2F66">
        <w:t xml:space="preserve"> content</w:t>
      </w:r>
    </w:p>
    <w:p w14:paraId="64D41A9A" w14:textId="77777777" w:rsidR="007E34D0" w:rsidRPr="007E34D0" w:rsidRDefault="007E34D0" w:rsidP="007E34D0"/>
    <w:p w14:paraId="0CD1A611" w14:textId="038EC20F" w:rsidR="00591488" w:rsidRDefault="001D6271" w:rsidP="007E34D0">
      <w:pPr>
        <w:spacing w:after="0" w:line="240" w:lineRule="auto"/>
        <w:jc w:val="both"/>
        <w:rPr>
          <w:rFonts w:ascii="Times New Roman" w:eastAsia="Times New Roman" w:hAnsi="Times New Roman" w:cs="Times New Roman"/>
          <w:sz w:val="24"/>
          <w:szCs w:val="24"/>
        </w:rPr>
      </w:pPr>
      <w:r w:rsidRPr="001D6271">
        <w:rPr>
          <w:rFonts w:ascii="Times New Roman" w:eastAsia="Times New Roman" w:hAnsi="Times New Roman" w:cs="Times New Roman"/>
          <w:b/>
          <w:sz w:val="24"/>
          <w:szCs w:val="24"/>
        </w:rPr>
        <w:t>Figure 3</w:t>
      </w:r>
      <w:r w:rsidRPr="001D6271">
        <w:rPr>
          <w:rFonts w:ascii="Times New Roman" w:eastAsia="Times New Roman" w:hAnsi="Times New Roman" w:cs="Times New Roman"/>
          <w:sz w:val="24"/>
          <w:szCs w:val="24"/>
        </w:rPr>
        <w:t xml:space="preserve"> shows that the stabilities of modified asphalt blends were higher than those of the conventional asphalt mix without modifier for all plastic percentages. The high stabilities may be explained by improved internal friction and increased binder cohesion, as cohesion rises with viscosity. The stability peaks at 20% plastic replacement and then declines as the amount of plastic increases. According to the Nigerian general specification for roads and bridges (NGSRB, 1997), the least stability required (3.5kN) is less than the maximum stability </w:t>
      </w:r>
      <w:r w:rsidRPr="001D6271">
        <w:rPr>
          <w:rFonts w:ascii="Times New Roman" w:eastAsia="Times New Roman" w:hAnsi="Times New Roman" w:cs="Times New Roman"/>
          <w:sz w:val="24"/>
          <w:szCs w:val="24"/>
        </w:rPr>
        <w:lastRenderedPageBreak/>
        <w:t xml:space="preserve">achieved (5.25kN). This indicate that 20% replacement of bitumen with bottle water plastic can be adopted. </w:t>
      </w:r>
    </w:p>
    <w:p w14:paraId="4ACF317A" w14:textId="77777777" w:rsidR="001D6271" w:rsidRPr="001D6271" w:rsidRDefault="001D6271" w:rsidP="001D6271">
      <w:pPr>
        <w:spacing w:after="0" w:line="360" w:lineRule="auto"/>
        <w:jc w:val="both"/>
        <w:rPr>
          <w:rFonts w:ascii="Times New Roman" w:eastAsia="Times New Roman" w:hAnsi="Times New Roman" w:cs="Times New Roman"/>
          <w:sz w:val="24"/>
          <w:szCs w:val="24"/>
        </w:rPr>
      </w:pPr>
    </w:p>
    <w:p w14:paraId="176ABFF5" w14:textId="5AE1C422" w:rsidR="00E02F2F" w:rsidRDefault="00E02F2F" w:rsidP="00AC2B35">
      <w:pPr>
        <w:jc w:val="center"/>
      </w:pPr>
      <w:r w:rsidRPr="00A02253">
        <w:rPr>
          <w:rFonts w:ascii="Times New Roman" w:hAnsi="Times New Roman" w:cs="Times New Roman"/>
          <w:noProof/>
          <w:sz w:val="24"/>
          <w:szCs w:val="24"/>
        </w:rPr>
        <w:drawing>
          <wp:inline distT="0" distB="0" distL="0" distR="0" wp14:anchorId="222E23B8" wp14:editId="0F4E9EC3">
            <wp:extent cx="5343525" cy="2380615"/>
            <wp:effectExtent l="0" t="0" r="9525" b="63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C6A9C6" w14:textId="599EC60A" w:rsidR="00AC2426" w:rsidRDefault="00AC2426" w:rsidP="00B237F8">
      <w:pPr>
        <w:pStyle w:val="Caption"/>
      </w:pPr>
      <w:r w:rsidRPr="00AC2B35">
        <w:rPr>
          <w:b/>
        </w:rPr>
        <w:t xml:space="preserve">Figure </w:t>
      </w:r>
      <w:r>
        <w:rPr>
          <w:b/>
        </w:rPr>
        <w:t>3</w:t>
      </w:r>
      <w:r w:rsidRPr="00AC2B35">
        <w:rPr>
          <w:b/>
        </w:rPr>
        <w:t>.</w:t>
      </w:r>
      <w:r>
        <w:t xml:space="preserve"> </w:t>
      </w:r>
      <w:r w:rsidRPr="003F6384">
        <w:t>Marshall Stability</w:t>
      </w:r>
      <w:r>
        <w:t xml:space="preserve"> vs. Plastic content</w:t>
      </w:r>
    </w:p>
    <w:p w14:paraId="0830F05D" w14:textId="77777777" w:rsidR="00E02F2F" w:rsidRPr="00E02F2F" w:rsidRDefault="00E02F2F" w:rsidP="00AC2426">
      <w:pPr>
        <w:jc w:val="center"/>
      </w:pPr>
    </w:p>
    <w:p w14:paraId="681E4A57" w14:textId="2712BEDB" w:rsidR="00E32763" w:rsidRDefault="00AC2426" w:rsidP="002E3526">
      <w:pPr>
        <w:spacing w:after="0" w:line="240" w:lineRule="auto"/>
        <w:jc w:val="both"/>
        <w:rPr>
          <w:rFonts w:ascii="Times New Roman" w:eastAsia="Times New Roman" w:hAnsi="Times New Roman" w:cs="Times New Roman"/>
          <w:sz w:val="24"/>
          <w:szCs w:val="24"/>
        </w:rPr>
      </w:pPr>
      <w:r w:rsidRPr="00591488">
        <w:rPr>
          <w:rFonts w:ascii="Times New Roman" w:eastAsia="Times New Roman" w:hAnsi="Times New Roman" w:cs="Times New Roman"/>
          <w:b/>
          <w:sz w:val="24"/>
          <w:szCs w:val="24"/>
        </w:rPr>
        <w:t>Figure 4</w:t>
      </w:r>
      <w:r>
        <w:rPr>
          <w:rFonts w:ascii="Times New Roman" w:eastAsia="Times New Roman" w:hAnsi="Times New Roman" w:cs="Times New Roman"/>
          <w:sz w:val="24"/>
          <w:szCs w:val="24"/>
        </w:rPr>
        <w:t xml:space="preserve"> </w:t>
      </w:r>
      <w:r w:rsidR="00E32763" w:rsidRPr="00E32763">
        <w:rPr>
          <w:rFonts w:ascii="Times New Roman" w:eastAsia="Times New Roman" w:hAnsi="Times New Roman" w:cs="Times New Roman"/>
          <w:sz w:val="24"/>
          <w:szCs w:val="24"/>
        </w:rPr>
        <w:t xml:space="preserve">depicts the relationship between </w:t>
      </w:r>
      <w:r w:rsidR="00E32763">
        <w:rPr>
          <w:rFonts w:ascii="Times New Roman" w:eastAsia="Times New Roman" w:hAnsi="Times New Roman" w:cs="Times New Roman"/>
          <w:sz w:val="24"/>
          <w:szCs w:val="24"/>
        </w:rPr>
        <w:t>the b</w:t>
      </w:r>
      <w:r w:rsidR="00E32763" w:rsidRPr="00E32763">
        <w:rPr>
          <w:rFonts w:ascii="Times New Roman" w:eastAsia="Times New Roman" w:hAnsi="Times New Roman" w:cs="Times New Roman"/>
          <w:sz w:val="24"/>
          <w:szCs w:val="24"/>
        </w:rPr>
        <w:t xml:space="preserve">itumen </w:t>
      </w:r>
      <w:r w:rsidR="00E32763">
        <w:rPr>
          <w:rFonts w:ascii="Times New Roman" w:eastAsia="Times New Roman" w:hAnsi="Times New Roman" w:cs="Times New Roman"/>
          <w:sz w:val="24"/>
          <w:szCs w:val="24"/>
        </w:rPr>
        <w:t>p</w:t>
      </w:r>
      <w:r w:rsidR="00E32763" w:rsidRPr="00E32763">
        <w:rPr>
          <w:rFonts w:ascii="Times New Roman" w:eastAsia="Times New Roman" w:hAnsi="Times New Roman" w:cs="Times New Roman"/>
          <w:sz w:val="24"/>
          <w:szCs w:val="24"/>
        </w:rPr>
        <w:t>ercentage</w:t>
      </w:r>
      <w:r w:rsidR="00E32763">
        <w:rPr>
          <w:rFonts w:ascii="Times New Roman" w:eastAsia="Times New Roman" w:hAnsi="Times New Roman" w:cs="Times New Roman"/>
          <w:sz w:val="24"/>
          <w:szCs w:val="24"/>
        </w:rPr>
        <w:t xml:space="preserve"> </w:t>
      </w:r>
      <w:r w:rsidR="00E32763" w:rsidRPr="00E32763">
        <w:rPr>
          <w:rFonts w:ascii="Times New Roman" w:eastAsia="Times New Roman" w:hAnsi="Times New Roman" w:cs="Times New Roman"/>
          <w:sz w:val="24"/>
          <w:szCs w:val="24"/>
        </w:rPr>
        <w:t xml:space="preserve">and its </w:t>
      </w:r>
      <w:r w:rsidR="00E32763">
        <w:rPr>
          <w:rFonts w:ascii="Times New Roman" w:eastAsia="Times New Roman" w:hAnsi="Times New Roman" w:cs="Times New Roman"/>
          <w:sz w:val="24"/>
          <w:szCs w:val="24"/>
        </w:rPr>
        <w:t>b</w:t>
      </w:r>
      <w:r w:rsidR="00E32763" w:rsidRPr="00E32763">
        <w:rPr>
          <w:rFonts w:ascii="Times New Roman" w:eastAsia="Times New Roman" w:hAnsi="Times New Roman" w:cs="Times New Roman"/>
          <w:sz w:val="24"/>
          <w:szCs w:val="24"/>
        </w:rPr>
        <w:t xml:space="preserve">ulk </w:t>
      </w:r>
      <w:r w:rsidR="00E32763">
        <w:rPr>
          <w:rFonts w:ascii="Times New Roman" w:eastAsia="Times New Roman" w:hAnsi="Times New Roman" w:cs="Times New Roman"/>
          <w:sz w:val="24"/>
          <w:szCs w:val="24"/>
        </w:rPr>
        <w:t>d</w:t>
      </w:r>
      <w:r w:rsidR="00E32763" w:rsidRPr="00E32763">
        <w:rPr>
          <w:rFonts w:ascii="Times New Roman" w:eastAsia="Times New Roman" w:hAnsi="Times New Roman" w:cs="Times New Roman"/>
          <w:sz w:val="24"/>
          <w:szCs w:val="24"/>
        </w:rPr>
        <w:t>ensity (kg/m</w:t>
      </w:r>
      <w:r w:rsidR="00E32763" w:rsidRPr="00E32763">
        <w:rPr>
          <w:rFonts w:ascii="Times New Roman" w:eastAsia="Times New Roman" w:hAnsi="Times New Roman" w:cs="Times New Roman"/>
          <w:sz w:val="24"/>
          <w:szCs w:val="24"/>
          <w:vertAlign w:val="superscript"/>
        </w:rPr>
        <w:t>3</w:t>
      </w:r>
      <w:r w:rsidR="00E32763" w:rsidRPr="00E32763">
        <w:rPr>
          <w:rFonts w:ascii="Times New Roman" w:eastAsia="Times New Roman" w:hAnsi="Times New Roman" w:cs="Times New Roman"/>
          <w:sz w:val="24"/>
          <w:szCs w:val="24"/>
        </w:rPr>
        <w:t>).</w:t>
      </w:r>
      <w:r w:rsidR="00E32763">
        <w:rPr>
          <w:rFonts w:ascii="Times New Roman" w:eastAsia="Times New Roman" w:hAnsi="Times New Roman" w:cs="Times New Roman"/>
          <w:b/>
          <w:bCs/>
          <w:sz w:val="24"/>
          <w:szCs w:val="24"/>
        </w:rPr>
        <w:t xml:space="preserve"> </w:t>
      </w:r>
      <w:r w:rsidR="00E32763" w:rsidRPr="00E32763">
        <w:rPr>
          <w:rFonts w:ascii="Times New Roman" w:eastAsia="Times New Roman" w:hAnsi="Times New Roman" w:cs="Times New Roman"/>
          <w:sz w:val="24"/>
          <w:szCs w:val="24"/>
        </w:rPr>
        <w:t>The graph indicates an optimum bitumen percentage around 6% for achieving maximum bulk density. At this point, the density reaches its peak (approximately 2.36 Kg/m</w:t>
      </w:r>
      <w:r w:rsidR="00E32763" w:rsidRPr="00E32763">
        <w:rPr>
          <w:rFonts w:ascii="Times New Roman" w:eastAsia="Times New Roman" w:hAnsi="Times New Roman" w:cs="Times New Roman"/>
          <w:sz w:val="24"/>
          <w:szCs w:val="24"/>
          <w:vertAlign w:val="superscript"/>
        </w:rPr>
        <w:t>3</w:t>
      </w:r>
      <w:r w:rsidR="00E32763" w:rsidRPr="00E32763">
        <w:rPr>
          <w:rFonts w:ascii="Times New Roman" w:eastAsia="Times New Roman" w:hAnsi="Times New Roman" w:cs="Times New Roman"/>
          <w:sz w:val="24"/>
          <w:szCs w:val="24"/>
        </w:rPr>
        <w:t>).</w:t>
      </w:r>
      <w:r w:rsidR="00E32763">
        <w:rPr>
          <w:rFonts w:ascii="Times New Roman" w:eastAsia="Times New Roman" w:hAnsi="Times New Roman" w:cs="Times New Roman"/>
          <w:sz w:val="24"/>
          <w:szCs w:val="24"/>
        </w:rPr>
        <w:t xml:space="preserve"> </w:t>
      </w:r>
      <w:r w:rsidR="00E32763" w:rsidRPr="00E32763">
        <w:rPr>
          <w:rFonts w:ascii="Times New Roman" w:eastAsia="Times New Roman" w:hAnsi="Times New Roman" w:cs="Times New Roman"/>
          <w:sz w:val="24"/>
          <w:szCs w:val="24"/>
        </w:rPr>
        <w:t>As the bitumen percentage increases from 4.5% to 6%, the bulk density of the mix also increases. This is because the added bitumen fills the voids between the aggregate particles, leading to a denser, more compact structure.</w:t>
      </w:r>
      <w:r w:rsidR="00E32763">
        <w:rPr>
          <w:rFonts w:ascii="Times New Roman" w:eastAsia="Times New Roman" w:hAnsi="Times New Roman" w:cs="Times New Roman"/>
          <w:sz w:val="24"/>
          <w:szCs w:val="24"/>
        </w:rPr>
        <w:t xml:space="preserve"> </w:t>
      </w:r>
      <w:r w:rsidR="00E32763" w:rsidRPr="00E32763">
        <w:rPr>
          <w:rFonts w:ascii="Times New Roman" w:eastAsia="Times New Roman" w:hAnsi="Times New Roman" w:cs="Times New Roman"/>
          <w:sz w:val="24"/>
          <w:szCs w:val="24"/>
        </w:rPr>
        <w:t>Beyond 6%, further increases in bitumen content led to a decrease in bulk density. This suggests that excessive bitumen starts to push the aggregate particles further apart, increasing the overall volume and thus reducing the density.</w:t>
      </w:r>
      <w:r w:rsidR="00E32763">
        <w:rPr>
          <w:rFonts w:ascii="Times New Roman" w:eastAsia="Times New Roman" w:hAnsi="Times New Roman" w:cs="Times New Roman"/>
          <w:sz w:val="24"/>
          <w:szCs w:val="24"/>
        </w:rPr>
        <w:t xml:space="preserve"> </w:t>
      </w:r>
      <w:r w:rsidR="00E32763" w:rsidRPr="00E32763">
        <w:rPr>
          <w:rFonts w:ascii="Times New Roman" w:eastAsia="Times New Roman" w:hAnsi="Times New Roman" w:cs="Times New Roman"/>
          <w:sz w:val="24"/>
          <w:szCs w:val="24"/>
        </w:rPr>
        <w:t>Other factors like temperature and environmental conditions can also influence the density of the mix</w:t>
      </w:r>
      <w:r w:rsidR="00E32763">
        <w:rPr>
          <w:rFonts w:ascii="Times New Roman" w:eastAsia="Times New Roman" w:hAnsi="Times New Roman" w:cs="Times New Roman"/>
          <w:sz w:val="24"/>
          <w:szCs w:val="24"/>
        </w:rPr>
        <w:t>.</w:t>
      </w:r>
    </w:p>
    <w:p w14:paraId="703ED10B" w14:textId="77777777" w:rsidR="00E32763" w:rsidRDefault="00E32763" w:rsidP="002E3526">
      <w:pPr>
        <w:spacing w:after="0" w:line="240" w:lineRule="auto"/>
        <w:jc w:val="both"/>
        <w:rPr>
          <w:rFonts w:ascii="Times New Roman" w:eastAsia="Times New Roman" w:hAnsi="Times New Roman" w:cs="Times New Roman"/>
          <w:b/>
          <w:bCs/>
          <w:sz w:val="24"/>
          <w:szCs w:val="24"/>
        </w:rPr>
      </w:pPr>
    </w:p>
    <w:p w14:paraId="3604D1C8" w14:textId="77777777" w:rsidR="00EC778E" w:rsidRPr="003F6384" w:rsidRDefault="00EC778E" w:rsidP="002E3526">
      <w:pPr>
        <w:spacing w:after="0" w:line="240" w:lineRule="auto"/>
        <w:jc w:val="both"/>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tblGrid>
      <w:tr w:rsidR="00852710" w14:paraId="023FCC3F" w14:textId="77777777" w:rsidTr="00EC778E">
        <w:trPr>
          <w:trHeight w:val="3903"/>
          <w:jc w:val="center"/>
        </w:trPr>
        <w:tc>
          <w:tcPr>
            <w:tcW w:w="7378" w:type="dxa"/>
          </w:tcPr>
          <w:p w14:paraId="4A218032" w14:textId="374616F2" w:rsidR="00852710" w:rsidRDefault="00852710" w:rsidP="00581FDD">
            <w:pPr>
              <w:spacing w:after="0" w:line="240" w:lineRule="auto"/>
              <w:jc w:val="center"/>
              <w:rPr>
                <w:rFonts w:ascii="Times New Roman" w:eastAsia="Times New Roman" w:hAnsi="Times New Roman" w:cs="Times New Roman"/>
                <w:sz w:val="24"/>
                <w:szCs w:val="24"/>
              </w:rPr>
            </w:pPr>
            <w:r w:rsidRPr="003F6384">
              <w:rPr>
                <w:rFonts w:ascii="Times New Roman" w:hAnsi="Times New Roman" w:cs="Times New Roman"/>
                <w:noProof/>
                <w:sz w:val="24"/>
                <w:szCs w:val="24"/>
              </w:rPr>
              <w:drawing>
                <wp:inline distT="0" distB="0" distL="0" distR="0" wp14:anchorId="16EB1084" wp14:editId="0A73119F">
                  <wp:extent cx="5514975" cy="2190750"/>
                  <wp:effectExtent l="0" t="0" r="952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5E08BD1" w14:textId="2388C31C" w:rsidR="00852710" w:rsidRDefault="00852710" w:rsidP="00B237F8">
      <w:pPr>
        <w:pStyle w:val="Caption"/>
      </w:pPr>
      <w:bookmarkStart w:id="5" w:name="_Ref189514162"/>
      <w:r w:rsidRPr="00AC2426">
        <w:rPr>
          <w:b/>
        </w:rPr>
        <w:t xml:space="preserve">Figure </w:t>
      </w:r>
      <w:bookmarkEnd w:id="5"/>
      <w:r w:rsidR="00AC2426" w:rsidRPr="00AC2426">
        <w:rPr>
          <w:b/>
        </w:rPr>
        <w:t>4.</w:t>
      </w:r>
      <w:r w:rsidR="00AC2426">
        <w:t xml:space="preserve"> Bulk density vs.</w:t>
      </w:r>
      <w:r>
        <w:t xml:space="preserve"> bitumen</w:t>
      </w:r>
      <w:r w:rsidR="00AC2426">
        <w:t xml:space="preserve"> percentage</w:t>
      </w:r>
    </w:p>
    <w:p w14:paraId="7C5CAAEC" w14:textId="77777777" w:rsidR="00581FDD" w:rsidRPr="00581FDD" w:rsidRDefault="00581FDD" w:rsidP="00581FDD"/>
    <w:p w14:paraId="4AB0EA63" w14:textId="2749E789" w:rsidR="00203D62" w:rsidRDefault="00273825" w:rsidP="002E35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 xml:space="preserve">From </w:t>
      </w:r>
      <w:r w:rsidRPr="00273825">
        <w:rPr>
          <w:rFonts w:ascii="Times New Roman" w:eastAsia="Times New Roman" w:hAnsi="Times New Roman" w:cs="Times New Roman"/>
          <w:b/>
          <w:kern w:val="24"/>
          <w:sz w:val="24"/>
          <w:szCs w:val="24"/>
        </w:rPr>
        <w:t>Figure 5</w:t>
      </w:r>
      <w:r>
        <w:rPr>
          <w:rFonts w:ascii="Times New Roman" w:eastAsia="Times New Roman" w:hAnsi="Times New Roman" w:cs="Times New Roman"/>
          <w:kern w:val="24"/>
          <w:sz w:val="24"/>
          <w:szCs w:val="24"/>
        </w:rPr>
        <w:t xml:space="preserve"> below, t</w:t>
      </w:r>
      <w:r w:rsidR="00203D62">
        <w:rPr>
          <w:rFonts w:ascii="Times New Roman" w:eastAsia="Times New Roman" w:hAnsi="Times New Roman" w:cs="Times New Roman"/>
          <w:kern w:val="24"/>
          <w:sz w:val="24"/>
          <w:szCs w:val="24"/>
        </w:rPr>
        <w:t xml:space="preserve">he </w:t>
      </w:r>
      <w:r w:rsidR="009E16E9" w:rsidRPr="003F6384">
        <w:rPr>
          <w:rFonts w:ascii="Times New Roman" w:eastAsia="Times New Roman" w:hAnsi="Times New Roman" w:cs="Times New Roman"/>
          <w:kern w:val="24"/>
          <w:sz w:val="24"/>
          <w:szCs w:val="24"/>
        </w:rPr>
        <w:t xml:space="preserve">Bulk density </w:t>
      </w:r>
      <w:r w:rsidR="00203D62">
        <w:rPr>
          <w:rFonts w:ascii="Times New Roman" w:eastAsia="Times New Roman" w:hAnsi="Times New Roman" w:cs="Times New Roman"/>
          <w:kern w:val="24"/>
          <w:sz w:val="24"/>
          <w:szCs w:val="24"/>
        </w:rPr>
        <w:t>results i</w:t>
      </w:r>
      <w:r w:rsidR="00203D62" w:rsidRPr="003F6384">
        <w:rPr>
          <w:rFonts w:ascii="Times New Roman" w:eastAsia="Times New Roman" w:hAnsi="Times New Roman" w:cs="Times New Roman"/>
          <w:sz w:val="24"/>
          <w:szCs w:val="24"/>
        </w:rPr>
        <w:t>llustrate</w:t>
      </w:r>
      <w:r w:rsidR="00D702B5" w:rsidRPr="003F6384">
        <w:rPr>
          <w:rFonts w:ascii="Times New Roman" w:eastAsia="Times New Roman" w:hAnsi="Times New Roman" w:cs="Times New Roman"/>
          <w:sz w:val="24"/>
          <w:szCs w:val="24"/>
        </w:rPr>
        <w:t xml:space="preserve"> the general trend that as the amount of plastic increases, so does the bulk density. At 50% plastic percentage, the highest bulk density </w:t>
      </w:r>
      <w:r w:rsidR="00D702B5" w:rsidRPr="003F6384">
        <w:rPr>
          <w:rFonts w:ascii="Times New Roman" w:eastAsia="Times New Roman" w:hAnsi="Times New Roman" w:cs="Times New Roman"/>
          <w:sz w:val="24"/>
          <w:szCs w:val="24"/>
        </w:rPr>
        <w:lastRenderedPageBreak/>
        <w:t>is 2.41 kg/m</w:t>
      </w:r>
      <w:r w:rsidR="00D702B5" w:rsidRPr="00203D62">
        <w:rPr>
          <w:rFonts w:ascii="Times New Roman" w:eastAsia="Times New Roman" w:hAnsi="Times New Roman" w:cs="Times New Roman"/>
          <w:sz w:val="24"/>
          <w:szCs w:val="24"/>
          <w:vertAlign w:val="superscript"/>
        </w:rPr>
        <w:t>3</w:t>
      </w:r>
      <w:r w:rsidR="00D702B5" w:rsidRPr="003F6384">
        <w:rPr>
          <w:rFonts w:ascii="Times New Roman" w:eastAsia="Times New Roman" w:hAnsi="Times New Roman" w:cs="Times New Roman"/>
          <w:sz w:val="24"/>
          <w:szCs w:val="24"/>
        </w:rPr>
        <w:t>, and at 30% plastic content, the minimum bulk density is 2.28 kg/m</w:t>
      </w:r>
      <w:r w:rsidR="00D702B5" w:rsidRPr="00203D62">
        <w:rPr>
          <w:rFonts w:ascii="Times New Roman" w:eastAsia="Times New Roman" w:hAnsi="Times New Roman" w:cs="Times New Roman"/>
          <w:sz w:val="24"/>
          <w:szCs w:val="24"/>
          <w:vertAlign w:val="superscript"/>
        </w:rPr>
        <w:t>3</w:t>
      </w:r>
      <w:r w:rsidR="00D702B5" w:rsidRPr="003F6384">
        <w:rPr>
          <w:rFonts w:ascii="Times New Roman" w:eastAsia="Times New Roman" w:hAnsi="Times New Roman" w:cs="Times New Roman"/>
          <w:sz w:val="24"/>
          <w:szCs w:val="24"/>
        </w:rPr>
        <w:t xml:space="preserve">. Because the specific gravity of plastic is lower than that of aggregate, it significantly affects </w:t>
      </w:r>
      <w:r w:rsidR="00203D62">
        <w:rPr>
          <w:rFonts w:ascii="Times New Roman" w:eastAsia="Times New Roman" w:hAnsi="Times New Roman" w:cs="Times New Roman"/>
          <w:sz w:val="24"/>
          <w:szCs w:val="24"/>
        </w:rPr>
        <w:t xml:space="preserve">the </w:t>
      </w:r>
      <w:r w:rsidR="00D702B5" w:rsidRPr="003F6384">
        <w:rPr>
          <w:rFonts w:ascii="Times New Roman" w:eastAsia="Times New Roman" w:hAnsi="Times New Roman" w:cs="Times New Roman"/>
          <w:sz w:val="24"/>
          <w:szCs w:val="24"/>
        </w:rPr>
        <w:t xml:space="preserve">maximum </w:t>
      </w:r>
      <w:r w:rsidR="00203D62" w:rsidRPr="003F6384">
        <w:rPr>
          <w:rFonts w:ascii="Times New Roman" w:eastAsia="Times New Roman" w:hAnsi="Times New Roman" w:cs="Times New Roman"/>
          <w:sz w:val="24"/>
          <w:szCs w:val="24"/>
        </w:rPr>
        <w:t>density.</w:t>
      </w:r>
      <w:r w:rsidR="00203D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figure below </w:t>
      </w:r>
      <w:r w:rsidR="00203D62">
        <w:rPr>
          <w:rFonts w:ascii="Times New Roman" w:eastAsia="Times New Roman" w:hAnsi="Times New Roman" w:cs="Times New Roman"/>
          <w:sz w:val="24"/>
          <w:szCs w:val="24"/>
        </w:rPr>
        <w:t>shows that f</w:t>
      </w:r>
      <w:r w:rsidR="00203D62" w:rsidRPr="00203D62">
        <w:rPr>
          <w:rFonts w:ascii="Times New Roman" w:eastAsia="Times New Roman" w:hAnsi="Times New Roman" w:cs="Times New Roman"/>
          <w:sz w:val="24"/>
          <w:szCs w:val="24"/>
        </w:rPr>
        <w:t>rom 0% to around 30% plastic content, the bulk density decreases. This suggests that adding plastic initially makes the material lighter for the same volume</w:t>
      </w:r>
      <w:r w:rsidR="00203D62">
        <w:rPr>
          <w:rFonts w:ascii="Times New Roman" w:eastAsia="Times New Roman" w:hAnsi="Times New Roman" w:cs="Times New Roman"/>
          <w:sz w:val="24"/>
          <w:szCs w:val="24"/>
        </w:rPr>
        <w:t xml:space="preserve">. </w:t>
      </w:r>
      <w:r w:rsidR="00203D62" w:rsidRPr="00203D62">
        <w:rPr>
          <w:rFonts w:ascii="Times New Roman" w:eastAsia="Times New Roman" w:hAnsi="Times New Roman" w:cs="Times New Roman"/>
          <w:sz w:val="24"/>
          <w:szCs w:val="24"/>
        </w:rPr>
        <w:t>The bulk density reaches a minimum at approximately 30% plastic conten</w:t>
      </w:r>
      <w:r w:rsidR="00203D62">
        <w:rPr>
          <w:rFonts w:ascii="Times New Roman" w:eastAsia="Times New Roman" w:hAnsi="Times New Roman" w:cs="Times New Roman"/>
          <w:sz w:val="24"/>
          <w:szCs w:val="24"/>
        </w:rPr>
        <w:t xml:space="preserve">t. </w:t>
      </w:r>
      <w:r w:rsidR="00203D62" w:rsidRPr="00203D62">
        <w:rPr>
          <w:rFonts w:ascii="Times New Roman" w:eastAsia="Times New Roman" w:hAnsi="Times New Roman" w:cs="Times New Roman"/>
          <w:sz w:val="24"/>
          <w:szCs w:val="24"/>
        </w:rPr>
        <w:t>Beyond 30% plastic content, the bulk density increases, suggesting that adding more plastic beyond this point starts to make the material heavier per unit volume.</w:t>
      </w:r>
      <w:r w:rsidR="00203D62">
        <w:rPr>
          <w:rFonts w:ascii="Times New Roman" w:eastAsia="Times New Roman" w:hAnsi="Times New Roman" w:cs="Times New Roman"/>
          <w:sz w:val="24"/>
          <w:szCs w:val="24"/>
        </w:rPr>
        <w:t xml:space="preserve"> This implies that the water bottle </w:t>
      </w:r>
      <w:r w:rsidR="00203D62" w:rsidRPr="00203D62">
        <w:rPr>
          <w:rFonts w:ascii="Times New Roman" w:eastAsia="Times New Roman" w:hAnsi="Times New Roman" w:cs="Times New Roman"/>
          <w:sz w:val="24"/>
          <w:szCs w:val="24"/>
        </w:rPr>
        <w:t xml:space="preserve">plastic used </w:t>
      </w:r>
      <w:r w:rsidR="00203D62">
        <w:rPr>
          <w:rFonts w:ascii="Times New Roman" w:eastAsia="Times New Roman" w:hAnsi="Times New Roman" w:cs="Times New Roman"/>
          <w:sz w:val="24"/>
          <w:szCs w:val="24"/>
        </w:rPr>
        <w:t xml:space="preserve">during this investigation </w:t>
      </w:r>
      <w:r w:rsidR="00203D62" w:rsidRPr="00203D62">
        <w:rPr>
          <w:rFonts w:ascii="Times New Roman" w:eastAsia="Times New Roman" w:hAnsi="Times New Roman" w:cs="Times New Roman"/>
          <w:sz w:val="24"/>
          <w:szCs w:val="24"/>
        </w:rPr>
        <w:t xml:space="preserve">significantly influences </w:t>
      </w:r>
      <w:r w:rsidR="00203D62">
        <w:rPr>
          <w:rFonts w:ascii="Times New Roman" w:eastAsia="Times New Roman" w:hAnsi="Times New Roman" w:cs="Times New Roman"/>
          <w:sz w:val="24"/>
          <w:szCs w:val="24"/>
        </w:rPr>
        <w:t>the bitumen’s</w:t>
      </w:r>
      <w:r w:rsidR="00203D62" w:rsidRPr="00203D62">
        <w:rPr>
          <w:rFonts w:ascii="Times New Roman" w:eastAsia="Times New Roman" w:hAnsi="Times New Roman" w:cs="Times New Roman"/>
          <w:sz w:val="24"/>
          <w:szCs w:val="24"/>
        </w:rPr>
        <w:t xml:space="preserve"> density.</w:t>
      </w:r>
      <w:r w:rsidR="00203D62">
        <w:rPr>
          <w:rFonts w:ascii="Times New Roman" w:eastAsia="Times New Roman" w:hAnsi="Times New Roman" w:cs="Times New Roman"/>
          <w:sz w:val="24"/>
          <w:szCs w:val="24"/>
        </w:rPr>
        <w:t xml:space="preserve"> Because, </w:t>
      </w:r>
      <w:r w:rsidR="00203D62" w:rsidRPr="00203D62">
        <w:rPr>
          <w:rFonts w:ascii="Times New Roman" w:eastAsia="Times New Roman" w:hAnsi="Times New Roman" w:cs="Times New Roman"/>
          <w:sz w:val="24"/>
          <w:szCs w:val="24"/>
        </w:rPr>
        <w:t>adding plastic might be filling in gaps, leading to a decrease in bulk density</w:t>
      </w:r>
      <w:r w:rsidR="00203D62">
        <w:rPr>
          <w:rFonts w:ascii="Times New Roman" w:eastAsia="Times New Roman" w:hAnsi="Times New Roman" w:cs="Times New Roman"/>
          <w:sz w:val="24"/>
          <w:szCs w:val="24"/>
        </w:rPr>
        <w:t xml:space="preserve"> initially</w:t>
      </w:r>
      <w:r w:rsidR="00203D62" w:rsidRPr="00203D62">
        <w:rPr>
          <w:rFonts w:ascii="Times New Roman" w:eastAsia="Times New Roman" w:hAnsi="Times New Roman" w:cs="Times New Roman"/>
          <w:sz w:val="24"/>
          <w:szCs w:val="24"/>
        </w:rPr>
        <w:t>. Beyond a certain point, adding more plastic might disrupt the packing efficiency or the plastic itself might be denser, leading to an increase in bulk density.</w:t>
      </w:r>
      <w:r w:rsidR="00852710">
        <w:rPr>
          <w:rFonts w:ascii="Times New Roman" w:eastAsia="Times New Roman" w:hAnsi="Times New Roman" w:cs="Times New Roman"/>
          <w:sz w:val="24"/>
          <w:szCs w:val="24"/>
        </w:rPr>
        <w:t xml:space="preserve"> Also, t</w:t>
      </w:r>
      <w:r w:rsidR="00852710" w:rsidRPr="00852710">
        <w:rPr>
          <w:rFonts w:ascii="Times New Roman" w:eastAsia="Times New Roman" w:hAnsi="Times New Roman" w:cs="Times New Roman"/>
          <w:sz w:val="24"/>
          <w:szCs w:val="24"/>
        </w:rPr>
        <w:t>he interaction between the plastic and the base material at different percentages could influence the overall density</w:t>
      </w:r>
      <w:r w:rsidR="00852710">
        <w:rPr>
          <w:rFonts w:ascii="Times New Roman" w:eastAsia="Times New Roman" w:hAnsi="Times New Roman" w:cs="Times New Roman"/>
          <w:sz w:val="24"/>
          <w:szCs w:val="24"/>
        </w:rPr>
        <w:t xml:space="preserve">. </w:t>
      </w:r>
      <w:r w:rsidR="00852710" w:rsidRPr="00852710">
        <w:rPr>
          <w:rFonts w:ascii="Times New Roman" w:eastAsia="Times New Roman" w:hAnsi="Times New Roman" w:cs="Times New Roman"/>
          <w:sz w:val="24"/>
          <w:szCs w:val="24"/>
        </w:rPr>
        <w:t xml:space="preserve">The </w:t>
      </w:r>
      <w:r w:rsidR="00852710">
        <w:rPr>
          <w:rFonts w:ascii="Times New Roman" w:eastAsia="Times New Roman" w:hAnsi="Times New Roman" w:cs="Times New Roman"/>
          <w:sz w:val="24"/>
          <w:szCs w:val="24"/>
        </w:rPr>
        <w:t>results</w:t>
      </w:r>
      <w:r w:rsidR="00852710" w:rsidRPr="00852710">
        <w:rPr>
          <w:rFonts w:ascii="Times New Roman" w:eastAsia="Times New Roman" w:hAnsi="Times New Roman" w:cs="Times New Roman"/>
          <w:sz w:val="24"/>
          <w:szCs w:val="24"/>
        </w:rPr>
        <w:t xml:space="preserve"> suggests that there might be an optimum percentage of plastic content (around 30% in this case) where the bulk density is minimized. This could be relevant for applications where lightweight </w:t>
      </w:r>
      <w:r w:rsidR="00852710">
        <w:rPr>
          <w:rFonts w:ascii="Times New Roman" w:eastAsia="Times New Roman" w:hAnsi="Times New Roman" w:cs="Times New Roman"/>
          <w:sz w:val="24"/>
          <w:szCs w:val="24"/>
        </w:rPr>
        <w:t xml:space="preserve">bitumen or engineering </w:t>
      </w:r>
      <w:r w:rsidR="00852710" w:rsidRPr="00852710">
        <w:rPr>
          <w:rFonts w:ascii="Times New Roman" w:eastAsia="Times New Roman" w:hAnsi="Times New Roman" w:cs="Times New Roman"/>
          <w:sz w:val="24"/>
          <w:szCs w:val="24"/>
        </w:rPr>
        <w:t>materials are desired</w:t>
      </w:r>
      <w:r w:rsidR="00852710">
        <w:rPr>
          <w:rFonts w:ascii="Times New Roman" w:eastAsia="Times New Roman" w:hAnsi="Times New Roman" w:cs="Times New Roman"/>
          <w:sz w:val="24"/>
          <w:szCs w:val="24"/>
        </w:rPr>
        <w:t>.</w:t>
      </w:r>
    </w:p>
    <w:p w14:paraId="549A28A1" w14:textId="77777777" w:rsidR="00581FDD" w:rsidRDefault="00581FDD" w:rsidP="002E3526">
      <w:pPr>
        <w:spacing w:after="0" w:line="240" w:lineRule="auto"/>
        <w:jc w:val="both"/>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6"/>
      </w:tblGrid>
      <w:tr w:rsidR="00203D62" w14:paraId="5CD61EE2" w14:textId="77777777" w:rsidTr="00203D62">
        <w:trPr>
          <w:trHeight w:val="3421"/>
          <w:jc w:val="center"/>
        </w:trPr>
        <w:tc>
          <w:tcPr>
            <w:tcW w:w="7233" w:type="dxa"/>
          </w:tcPr>
          <w:p w14:paraId="75CD3779" w14:textId="6780134C" w:rsidR="00203D62" w:rsidRDefault="00203D62" w:rsidP="00581FDD">
            <w:pPr>
              <w:spacing w:after="0" w:line="240" w:lineRule="auto"/>
              <w:jc w:val="center"/>
              <w:rPr>
                <w:rFonts w:ascii="Times New Roman" w:eastAsia="Times New Roman" w:hAnsi="Times New Roman" w:cs="Times New Roman"/>
                <w:sz w:val="24"/>
                <w:szCs w:val="24"/>
              </w:rPr>
            </w:pPr>
            <w:r w:rsidRPr="003F6384">
              <w:rPr>
                <w:rFonts w:ascii="Times New Roman" w:hAnsi="Times New Roman" w:cs="Times New Roman"/>
                <w:noProof/>
                <w:sz w:val="24"/>
                <w:szCs w:val="24"/>
              </w:rPr>
              <w:drawing>
                <wp:inline distT="0" distB="0" distL="0" distR="0" wp14:anchorId="37713695" wp14:editId="4AF5B45A">
                  <wp:extent cx="5119370" cy="2047875"/>
                  <wp:effectExtent l="0" t="0" r="508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43DD052" w14:textId="69870877" w:rsidR="00C233A5" w:rsidRDefault="00203D62" w:rsidP="00B237F8">
      <w:pPr>
        <w:pStyle w:val="Caption"/>
      </w:pPr>
      <w:bookmarkStart w:id="6" w:name="_Ref189513512"/>
      <w:r w:rsidRPr="00581FDD">
        <w:rPr>
          <w:b/>
        </w:rPr>
        <w:t>Figure</w:t>
      </w:r>
      <w:bookmarkEnd w:id="6"/>
      <w:r w:rsidR="00581FDD" w:rsidRPr="00581FDD">
        <w:rPr>
          <w:b/>
        </w:rPr>
        <w:t xml:space="preserve"> 5</w:t>
      </w:r>
      <w:r w:rsidRPr="00581FDD">
        <w:rPr>
          <w:b/>
        </w:rPr>
        <w:t>.</w:t>
      </w:r>
      <w:r>
        <w:t xml:space="preserve"> Bulk density of modified bitumen</w:t>
      </w:r>
    </w:p>
    <w:p w14:paraId="6D9BF9B7" w14:textId="5FA6893C" w:rsidR="00A77EEC" w:rsidRPr="00D27E8E" w:rsidRDefault="002A5AFD" w:rsidP="00D27E8E">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6</w:t>
      </w:r>
      <w:r w:rsidRPr="001D62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below indicates the indirect tensile strength of the specimens at 0, 10, 20, 30, 40 &amp; 50% </w:t>
      </w:r>
      <w:r w:rsidR="00D27E8E">
        <w:rPr>
          <w:rFonts w:ascii="Times New Roman" w:eastAsia="Times New Roman" w:hAnsi="Times New Roman" w:cs="Times New Roman"/>
          <w:sz w:val="24"/>
          <w:szCs w:val="24"/>
        </w:rPr>
        <w:t>plastic content. The indirect tensile strength increases from 0.1358Mpa at 0% plastic content to 0.1579Mpa at 20% plastic content. The value decreases from 0.1316Mpa to 0.112Mpa at 30 and 50% plastic content.</w:t>
      </w:r>
      <w:r w:rsidR="004E0352">
        <w:rPr>
          <w:rFonts w:ascii="Times New Roman" w:eastAsia="Times New Roman" w:hAnsi="Times New Roman" w:cs="Times New Roman"/>
          <w:sz w:val="24"/>
          <w:szCs w:val="24"/>
        </w:rPr>
        <w:t xml:space="preserve"> </w:t>
      </w:r>
      <w:r w:rsidR="004E0352" w:rsidRPr="004E0352">
        <w:rPr>
          <w:rFonts w:ascii="Times New Roman" w:eastAsia="Times New Roman" w:hAnsi="Times New Roman" w:cs="Times New Roman"/>
          <w:sz w:val="24"/>
          <w:szCs w:val="24"/>
        </w:rPr>
        <w:t>This suggests that the asphalt specimen’s tensile strength can be increased by up to 20% by adding plastic. The improvement is probably the result of the plastic's improved stiffness and bonding, which increase resistance to deformation and cracking. After 30% plastic content, the indirect tensile strength gradually declines. This decline indicates that too much plastic weakens the mix's cohesiveness. A high plastic percentage can cause brittleness, poor dispersion, or a decrease in bitumen coating, all of which can reduce performance under tensile stress.</w:t>
      </w:r>
      <w:r w:rsidR="004E0352">
        <w:rPr>
          <w:rFonts w:ascii="Times New Roman" w:eastAsia="Times New Roman" w:hAnsi="Times New Roman" w:cs="Times New Roman"/>
          <w:sz w:val="24"/>
          <w:szCs w:val="24"/>
        </w:rPr>
        <w:t xml:space="preserve"> </w:t>
      </w:r>
    </w:p>
    <w:p w14:paraId="79E77414" w14:textId="77777777" w:rsidR="00716B60" w:rsidRDefault="00716B60" w:rsidP="00A77EEC">
      <w:pPr>
        <w:rPr>
          <w:rFonts w:ascii="Times New Roman" w:hAnsi="Times New Roman" w:cs="Times New Roman"/>
        </w:rPr>
      </w:pPr>
    </w:p>
    <w:p w14:paraId="5093FFA3" w14:textId="1F39A332" w:rsidR="00716B60" w:rsidRDefault="00716B60" w:rsidP="00716B60">
      <w:pPr>
        <w:jc w:val="center"/>
        <w:rPr>
          <w:rFonts w:ascii="Times New Roman" w:hAnsi="Times New Roman" w:cs="Times New Roman"/>
        </w:rPr>
      </w:pPr>
      <w:r>
        <w:rPr>
          <w:noProof/>
          <w14:ligatures w14:val="standardContextual"/>
        </w:rPr>
        <w:lastRenderedPageBreak/>
        <w:drawing>
          <wp:inline distT="0" distB="0" distL="0" distR="0" wp14:anchorId="01367FDF" wp14:editId="2009B6AB">
            <wp:extent cx="5093335" cy="2421653"/>
            <wp:effectExtent l="0" t="0" r="1206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77C00F" w14:textId="22478B98" w:rsidR="00716B60" w:rsidRPr="00A77EEC" w:rsidRDefault="00716B60" w:rsidP="00716B60">
      <w:pPr>
        <w:jc w:val="center"/>
        <w:rPr>
          <w:rFonts w:ascii="Times New Roman" w:hAnsi="Times New Roman" w:cs="Times New Roman"/>
        </w:rPr>
      </w:pPr>
      <w:r w:rsidRPr="00716B60">
        <w:rPr>
          <w:rFonts w:ascii="Times New Roman" w:hAnsi="Times New Roman" w:cs="Times New Roman"/>
          <w:b/>
        </w:rPr>
        <w:t>Figure 6.</w:t>
      </w:r>
      <w:r>
        <w:rPr>
          <w:rFonts w:ascii="Times New Roman" w:hAnsi="Times New Roman" w:cs="Times New Roman"/>
        </w:rPr>
        <w:t xml:space="preserve"> Effect of plastic content on indirect tensile strength</w:t>
      </w:r>
    </w:p>
    <w:p w14:paraId="3F6F1300" w14:textId="722DBCC4" w:rsidR="00C233A5" w:rsidRPr="003F6384" w:rsidRDefault="00350C11" w:rsidP="00350C11">
      <w:pPr>
        <w:pStyle w:val="Heading1"/>
        <w:rPr>
          <w:rFonts w:eastAsia="Times New Roman"/>
        </w:rPr>
      </w:pPr>
      <w:r>
        <w:rPr>
          <w:rFonts w:eastAsia="Times New Roman"/>
        </w:rPr>
        <w:t xml:space="preserve">4    </w:t>
      </w:r>
      <w:r w:rsidR="00C233A5" w:rsidRPr="003F6384">
        <w:rPr>
          <w:rFonts w:eastAsia="Times New Roman"/>
        </w:rPr>
        <w:t>CONCLUSION</w:t>
      </w:r>
    </w:p>
    <w:p w14:paraId="30AFACFA" w14:textId="77777777" w:rsidR="00955601" w:rsidRDefault="00AA461B" w:rsidP="002E3526">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AA461B">
        <w:rPr>
          <w:rFonts w:ascii="Times New Roman" w:hAnsi="Times New Roman" w:cs="Times New Roman"/>
          <w:sz w:val="24"/>
          <w:szCs w:val="24"/>
        </w:rPr>
        <w:t xml:space="preserve">his study investigated the effects of incorporating </w:t>
      </w:r>
      <w:r>
        <w:rPr>
          <w:rFonts w:ascii="Times New Roman" w:hAnsi="Times New Roman" w:cs="Times New Roman"/>
          <w:sz w:val="24"/>
          <w:szCs w:val="24"/>
        </w:rPr>
        <w:t xml:space="preserve">water bottle </w:t>
      </w:r>
      <w:r w:rsidRPr="00AA461B">
        <w:rPr>
          <w:rFonts w:ascii="Times New Roman" w:hAnsi="Times New Roman" w:cs="Times New Roman"/>
          <w:sz w:val="24"/>
          <w:szCs w:val="24"/>
        </w:rPr>
        <w:t xml:space="preserve">waste plastic into bitumen for road construction, analyzing aggregate impact value, softening point, Marshall </w:t>
      </w:r>
      <w:r w:rsidR="000734BF" w:rsidRPr="00AA461B">
        <w:rPr>
          <w:rFonts w:ascii="Times New Roman" w:hAnsi="Times New Roman" w:cs="Times New Roman"/>
          <w:sz w:val="24"/>
          <w:szCs w:val="24"/>
        </w:rPr>
        <w:t>Stability</w:t>
      </w:r>
      <w:r w:rsidRPr="00AA461B">
        <w:rPr>
          <w:rFonts w:ascii="Times New Roman" w:hAnsi="Times New Roman" w:cs="Times New Roman"/>
          <w:sz w:val="24"/>
          <w:szCs w:val="24"/>
        </w:rPr>
        <w:t xml:space="preserve"> and flow, and bulk density. The aggregate impact value confirmed the suitability of the aggregate for road surfacing. A clear positive correlation was observed between the percentage of plastic waste and the softening point of the bitumen, indicating improved heat resistance with increasing plastic content. Marshall </w:t>
      </w:r>
      <w:r w:rsidR="000734BF" w:rsidRPr="00AA461B">
        <w:rPr>
          <w:rFonts w:ascii="Times New Roman" w:hAnsi="Times New Roman" w:cs="Times New Roman"/>
          <w:sz w:val="24"/>
          <w:szCs w:val="24"/>
        </w:rPr>
        <w:t>Stability</w:t>
      </w:r>
      <w:r w:rsidRPr="00AA461B">
        <w:rPr>
          <w:rFonts w:ascii="Times New Roman" w:hAnsi="Times New Roman" w:cs="Times New Roman"/>
          <w:sz w:val="24"/>
          <w:szCs w:val="24"/>
        </w:rPr>
        <w:t xml:space="preserve"> tests revealed an optimum bitumen content of approximately 6%, yielding the highest stability value and meeting Nigerian specifications.  Bulk density analysis also suggested an optimal bitumen content around 6% for maximum density. </w:t>
      </w:r>
    </w:p>
    <w:p w14:paraId="31154526" w14:textId="77777777" w:rsidR="00955601" w:rsidRDefault="00AA461B" w:rsidP="002E3526">
      <w:pPr>
        <w:spacing w:line="240" w:lineRule="auto"/>
        <w:jc w:val="both"/>
        <w:rPr>
          <w:rFonts w:ascii="Times New Roman" w:hAnsi="Times New Roman" w:cs="Times New Roman"/>
          <w:sz w:val="24"/>
          <w:szCs w:val="24"/>
        </w:rPr>
      </w:pPr>
      <w:r w:rsidRPr="00AA461B">
        <w:rPr>
          <w:rFonts w:ascii="Times New Roman" w:hAnsi="Times New Roman" w:cs="Times New Roman"/>
          <w:sz w:val="24"/>
          <w:szCs w:val="24"/>
        </w:rPr>
        <w:t>Furthermore, the incorporation of plastic waste influenced the bulk density, with an in</w:t>
      </w:r>
      <w:r w:rsidR="000734BF">
        <w:rPr>
          <w:rFonts w:ascii="Times New Roman" w:hAnsi="Times New Roman" w:cs="Times New Roman"/>
          <w:sz w:val="24"/>
          <w:szCs w:val="24"/>
        </w:rPr>
        <w:t>itial increase up to approximately 2</w:t>
      </w:r>
      <w:r w:rsidRPr="00AA461B">
        <w:rPr>
          <w:rFonts w:ascii="Times New Roman" w:hAnsi="Times New Roman" w:cs="Times New Roman"/>
          <w:sz w:val="24"/>
          <w:szCs w:val="24"/>
        </w:rPr>
        <w:t>0% pl</w:t>
      </w:r>
      <w:r w:rsidR="000734BF">
        <w:rPr>
          <w:rFonts w:ascii="Times New Roman" w:hAnsi="Times New Roman" w:cs="Times New Roman"/>
          <w:sz w:val="24"/>
          <w:szCs w:val="24"/>
        </w:rPr>
        <w:t>astic content, followed by a de</w:t>
      </w:r>
      <w:r w:rsidRPr="00AA461B">
        <w:rPr>
          <w:rFonts w:ascii="Times New Roman" w:hAnsi="Times New Roman" w:cs="Times New Roman"/>
          <w:sz w:val="24"/>
          <w:szCs w:val="24"/>
        </w:rPr>
        <w:t xml:space="preserve">crease beyond this point. This suggests a potential </w:t>
      </w:r>
      <w:r w:rsidR="000734BF">
        <w:rPr>
          <w:rFonts w:ascii="Times New Roman" w:hAnsi="Times New Roman" w:cs="Times New Roman"/>
          <w:sz w:val="24"/>
          <w:szCs w:val="24"/>
        </w:rPr>
        <w:t>optimum plastic content around 2</w:t>
      </w:r>
      <w:r w:rsidRPr="00AA461B">
        <w:rPr>
          <w:rFonts w:ascii="Times New Roman" w:hAnsi="Times New Roman" w:cs="Times New Roman"/>
          <w:sz w:val="24"/>
          <w:szCs w:val="24"/>
        </w:rPr>
        <w:t xml:space="preserve">0% for minimizing bulk density, which could be beneficial for lightweight applications. </w:t>
      </w:r>
      <w:r w:rsidR="000734BF" w:rsidRPr="003F6384">
        <w:rPr>
          <w:rFonts w:ascii="Times New Roman" w:hAnsi="Times New Roman" w:cs="Times New Roman"/>
          <w:sz w:val="24"/>
          <w:szCs w:val="24"/>
        </w:rPr>
        <w:t>It</w:t>
      </w:r>
      <w:r w:rsidR="000734BF">
        <w:rPr>
          <w:rFonts w:ascii="Times New Roman" w:hAnsi="Times New Roman" w:cs="Times New Roman"/>
          <w:sz w:val="24"/>
          <w:szCs w:val="24"/>
        </w:rPr>
        <w:t xml:space="preserve"> was discovered that 20% </w:t>
      </w:r>
      <w:r w:rsidR="000734BF" w:rsidRPr="003F6384">
        <w:rPr>
          <w:rFonts w:ascii="Times New Roman" w:hAnsi="Times New Roman" w:cs="Times New Roman"/>
          <w:sz w:val="24"/>
          <w:szCs w:val="24"/>
        </w:rPr>
        <w:t>by weight of the asphalt blend's optimum bitumen content was the ideal amount of bottled water plastic to be substituted as a modifier.</w:t>
      </w:r>
      <w:r w:rsidR="000734BF">
        <w:rPr>
          <w:rFonts w:ascii="Times New Roman" w:hAnsi="Times New Roman" w:cs="Times New Roman"/>
          <w:sz w:val="24"/>
          <w:szCs w:val="24"/>
        </w:rPr>
        <w:t xml:space="preserve"> </w:t>
      </w:r>
    </w:p>
    <w:p w14:paraId="4F6A6635" w14:textId="180A9B13" w:rsidR="000734BF" w:rsidRDefault="00AA461B" w:rsidP="002E3526">
      <w:pPr>
        <w:spacing w:line="240" w:lineRule="auto"/>
        <w:jc w:val="both"/>
        <w:rPr>
          <w:rFonts w:ascii="Times New Roman" w:hAnsi="Times New Roman" w:cs="Times New Roman"/>
          <w:sz w:val="24"/>
          <w:szCs w:val="24"/>
        </w:rPr>
      </w:pPr>
      <w:r w:rsidRPr="00AA461B">
        <w:rPr>
          <w:rFonts w:ascii="Times New Roman" w:hAnsi="Times New Roman" w:cs="Times New Roman"/>
          <w:sz w:val="24"/>
          <w:szCs w:val="24"/>
        </w:rPr>
        <w:t xml:space="preserve">Overall, the findings highlight the potential benefits of utilizing waste plastic in road construction, improving bitumen properties and potentially offering a sustainable waste management solution. </w:t>
      </w:r>
    </w:p>
    <w:p w14:paraId="5D63EF3F" w14:textId="30EA9C48" w:rsidR="00EB4159" w:rsidRPr="00E2570D" w:rsidRDefault="00AA461B" w:rsidP="002E3526">
      <w:pPr>
        <w:spacing w:line="240" w:lineRule="auto"/>
        <w:jc w:val="both"/>
        <w:rPr>
          <w:rFonts w:ascii="Times New Roman" w:hAnsi="Times New Roman" w:cs="Times New Roman"/>
          <w:sz w:val="24"/>
          <w:szCs w:val="24"/>
        </w:rPr>
      </w:pPr>
      <w:r w:rsidRPr="00AA461B">
        <w:rPr>
          <w:rFonts w:ascii="Times New Roman" w:hAnsi="Times New Roman" w:cs="Times New Roman"/>
          <w:sz w:val="24"/>
          <w:szCs w:val="24"/>
        </w:rPr>
        <w:t>Further research is recommended to explore the long-term performance and durability of the modified bitumen mixes.</w:t>
      </w:r>
      <w:r>
        <w:rPr>
          <w:rFonts w:ascii="Times New Roman" w:hAnsi="Times New Roman" w:cs="Times New Roman"/>
          <w:sz w:val="24"/>
          <w:szCs w:val="24"/>
        </w:rPr>
        <w:t xml:space="preserve"> </w:t>
      </w:r>
      <w:r w:rsidR="00A30E08" w:rsidRPr="003F6384">
        <w:rPr>
          <w:rFonts w:ascii="Times New Roman" w:hAnsi="Times New Roman" w:cs="Times New Roman"/>
          <w:sz w:val="24"/>
          <w:szCs w:val="24"/>
        </w:rPr>
        <w:t xml:space="preserve">In order to manage plastic waste sustainably and to enhance the performance of asphalt mixes, </w:t>
      </w:r>
      <w:r w:rsidRPr="003F6384">
        <w:rPr>
          <w:rFonts w:ascii="Times New Roman" w:hAnsi="Times New Roman" w:cs="Times New Roman"/>
          <w:sz w:val="24"/>
          <w:szCs w:val="24"/>
        </w:rPr>
        <w:t xml:space="preserve">bottle water plastic </w:t>
      </w:r>
      <w:r w:rsidR="00A30E08" w:rsidRPr="003F6384">
        <w:rPr>
          <w:rFonts w:ascii="Times New Roman" w:hAnsi="Times New Roman" w:cs="Times New Roman"/>
          <w:sz w:val="24"/>
          <w:szCs w:val="24"/>
        </w:rPr>
        <w:t>can be easily added as a modifier. Because it transforms the nauseating piles of plastic waste into usable form, this form of pavements mix should be promoted due to its improved environmental quality.</w:t>
      </w:r>
    </w:p>
    <w:p w14:paraId="746649C9" w14:textId="52A65459" w:rsidR="00B77FB1" w:rsidRPr="00EB4159" w:rsidRDefault="00350C11" w:rsidP="002E3526">
      <w:pPr>
        <w:spacing w:line="240" w:lineRule="auto"/>
        <w:jc w:val="both"/>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lastRenderedPageBreak/>
        <w:br/>
      </w:r>
      <w:r w:rsidR="00EB4159" w:rsidRPr="00EB4159">
        <w:rPr>
          <w:rFonts w:ascii="Times New Roman" w:hAnsi="Times New Roman" w:cs="Times New Roman"/>
          <w:b/>
          <w:sz w:val="24"/>
          <w:szCs w:val="24"/>
        </w:rPr>
        <w:t>Reference</w:t>
      </w:r>
    </w:p>
    <w:p w14:paraId="5536C43A" w14:textId="3B3B5178" w:rsidR="00105DA0" w:rsidRPr="00105DA0" w:rsidRDefault="00EB4159"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105DA0" w:rsidRPr="00105DA0">
        <w:rPr>
          <w:rFonts w:ascii="Times New Roman" w:hAnsi="Times New Roman" w:cs="Times New Roman"/>
          <w:noProof/>
          <w:sz w:val="24"/>
          <w:szCs w:val="24"/>
        </w:rPr>
        <w:t xml:space="preserve">Adetunji, Sylvester, O., Orobosa Abraham, I., &amp; Friday Osaru, O.-O. (2020). Externality Effects of Sachet and Plastic Bottled Water Consumption on the Environment: Evidence from Benin City and Okada in Nigeria. </w:t>
      </w:r>
      <w:r w:rsidR="00105DA0" w:rsidRPr="00105DA0">
        <w:rPr>
          <w:rFonts w:ascii="Times New Roman" w:hAnsi="Times New Roman" w:cs="Times New Roman"/>
          <w:i/>
          <w:iCs/>
          <w:noProof/>
          <w:sz w:val="24"/>
          <w:szCs w:val="24"/>
        </w:rPr>
        <w:t>International Journal of Sustainable Development &amp; World Policy</w:t>
      </w:r>
      <w:r w:rsidR="00105DA0" w:rsidRPr="00105DA0">
        <w:rPr>
          <w:rFonts w:ascii="Times New Roman" w:hAnsi="Times New Roman" w:cs="Times New Roman"/>
          <w:noProof/>
          <w:sz w:val="24"/>
          <w:szCs w:val="24"/>
        </w:rPr>
        <w:t xml:space="preserve">, </w:t>
      </w:r>
      <w:r w:rsidR="00105DA0" w:rsidRPr="00105DA0">
        <w:rPr>
          <w:rFonts w:ascii="Times New Roman" w:hAnsi="Times New Roman" w:cs="Times New Roman"/>
          <w:i/>
          <w:iCs/>
          <w:noProof/>
          <w:sz w:val="24"/>
          <w:szCs w:val="24"/>
        </w:rPr>
        <w:t>9</w:t>
      </w:r>
      <w:r w:rsidR="00105DA0" w:rsidRPr="00105DA0">
        <w:rPr>
          <w:rFonts w:ascii="Times New Roman" w:hAnsi="Times New Roman" w:cs="Times New Roman"/>
          <w:noProof/>
          <w:sz w:val="24"/>
          <w:szCs w:val="24"/>
        </w:rPr>
        <w:t>(1), 1–9. https://doi.org/10.18488/journal.26.2020.91.1.9</w:t>
      </w:r>
    </w:p>
    <w:p w14:paraId="3112BAB7" w14:textId="77777777" w:rsidR="00105DA0" w:rsidRPr="00105DA0" w:rsidRDefault="00105DA0"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sidRPr="00105DA0">
        <w:rPr>
          <w:rFonts w:ascii="Times New Roman" w:hAnsi="Times New Roman" w:cs="Times New Roman"/>
          <w:noProof/>
          <w:sz w:val="24"/>
          <w:szCs w:val="24"/>
        </w:rPr>
        <w:t xml:space="preserve">Blade Christopher, &amp; Edward Kearney, E. (2004). </w:t>
      </w:r>
      <w:r w:rsidRPr="00105DA0">
        <w:rPr>
          <w:rFonts w:ascii="Times New Roman" w:hAnsi="Times New Roman" w:cs="Times New Roman"/>
          <w:i/>
          <w:iCs/>
          <w:noProof/>
          <w:sz w:val="24"/>
          <w:szCs w:val="24"/>
        </w:rPr>
        <w:t>Asphalt paving Principles</w:t>
      </w:r>
      <w:r w:rsidRPr="00105DA0">
        <w:rPr>
          <w:rFonts w:ascii="Times New Roman" w:hAnsi="Times New Roman" w:cs="Times New Roman"/>
          <w:noProof/>
          <w:sz w:val="24"/>
          <w:szCs w:val="24"/>
        </w:rPr>
        <w:t>.</w:t>
      </w:r>
    </w:p>
    <w:p w14:paraId="3691C98F" w14:textId="77777777" w:rsidR="00105DA0" w:rsidRPr="00105DA0" w:rsidRDefault="00105DA0"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sidRPr="00105DA0">
        <w:rPr>
          <w:rFonts w:ascii="Times New Roman" w:hAnsi="Times New Roman" w:cs="Times New Roman"/>
          <w:noProof/>
          <w:sz w:val="24"/>
          <w:szCs w:val="24"/>
        </w:rPr>
        <w:t xml:space="preserve">Bruna Alves, 2024. (2021). </w:t>
      </w:r>
      <w:r w:rsidRPr="00105DA0">
        <w:rPr>
          <w:rFonts w:ascii="Times New Roman" w:hAnsi="Times New Roman" w:cs="Times New Roman"/>
          <w:i/>
          <w:iCs/>
          <w:noProof/>
          <w:sz w:val="24"/>
          <w:szCs w:val="24"/>
        </w:rPr>
        <w:t>CHAPTER 39 Plastics in the environment and trends for the future</w:t>
      </w:r>
      <w:r w:rsidRPr="00105DA0">
        <w:rPr>
          <w:rFonts w:ascii="Times New Roman" w:hAnsi="Times New Roman" w:cs="Times New Roman"/>
          <w:noProof/>
          <w:sz w:val="24"/>
          <w:szCs w:val="24"/>
        </w:rPr>
        <w:t>.</w:t>
      </w:r>
    </w:p>
    <w:p w14:paraId="11EE4CF1" w14:textId="77777777" w:rsidR="00105DA0" w:rsidRPr="00105DA0" w:rsidRDefault="00105DA0"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sidRPr="00105DA0">
        <w:rPr>
          <w:rFonts w:ascii="Times New Roman" w:hAnsi="Times New Roman" w:cs="Times New Roman"/>
          <w:noProof/>
          <w:sz w:val="24"/>
          <w:szCs w:val="24"/>
        </w:rPr>
        <w:t xml:space="preserve">Edoga Biodiversity, O., Solutions, C., &amp; Policy, E. P. (2023). </w:t>
      </w:r>
      <w:r w:rsidRPr="00105DA0">
        <w:rPr>
          <w:rFonts w:ascii="Times New Roman" w:hAnsi="Times New Roman" w:cs="Times New Roman"/>
          <w:i/>
          <w:iCs/>
          <w:noProof/>
          <w:sz w:val="24"/>
          <w:szCs w:val="24"/>
        </w:rPr>
        <w:t>The Problem with Solid Waste Management in Nigeria ’ s Low- Income Neighbourhoods The Issue of Solid Waste Management in Nigeria</w:t>
      </w:r>
      <w:r w:rsidRPr="00105DA0">
        <w:rPr>
          <w:rFonts w:ascii="Times New Roman" w:hAnsi="Times New Roman" w:cs="Times New Roman"/>
          <w:noProof/>
          <w:sz w:val="24"/>
          <w:szCs w:val="24"/>
        </w:rPr>
        <w:t>. 1–7.</w:t>
      </w:r>
    </w:p>
    <w:p w14:paraId="7BF39AC8" w14:textId="59DCFFEE" w:rsidR="000740B3" w:rsidRPr="000740B3" w:rsidRDefault="000740B3" w:rsidP="000740B3">
      <w:pPr>
        <w:spacing w:after="240" w:line="360" w:lineRule="auto"/>
        <w:ind w:left="720" w:right="-518" w:hanging="720"/>
        <w:jc w:val="both"/>
        <w:rPr>
          <w:rFonts w:ascii="Times New Roman" w:eastAsia="Calibri" w:hAnsi="Times New Roman" w:cs="Times New Roman"/>
          <w:noProof/>
          <w:sz w:val="24"/>
          <w:szCs w:val="24"/>
        </w:rPr>
      </w:pPr>
      <w:r w:rsidRPr="000740B3">
        <w:rPr>
          <w:rFonts w:ascii="Times New Roman" w:eastAsia="Calibri" w:hAnsi="Times New Roman" w:cs="Times New Roman"/>
          <w:noProof/>
          <w:sz w:val="24"/>
          <w:szCs w:val="24"/>
        </w:rPr>
        <w:t>Asphalt Institute. (201</w:t>
      </w:r>
      <w:r w:rsidR="00900EB3">
        <w:rPr>
          <w:rFonts w:ascii="Times New Roman" w:eastAsia="Calibri" w:hAnsi="Times New Roman" w:cs="Times New Roman"/>
          <w:noProof/>
          <w:sz w:val="24"/>
          <w:szCs w:val="24"/>
        </w:rPr>
        <w:t>5</w:t>
      </w:r>
      <w:r w:rsidRPr="000740B3">
        <w:rPr>
          <w:rFonts w:ascii="Times New Roman" w:eastAsia="Calibri" w:hAnsi="Times New Roman" w:cs="Times New Roman"/>
          <w:noProof/>
          <w:sz w:val="24"/>
          <w:szCs w:val="24"/>
        </w:rPr>
        <w:t xml:space="preserve">). </w:t>
      </w:r>
      <w:r w:rsidRPr="000740B3">
        <w:rPr>
          <w:rFonts w:ascii="Times New Roman" w:eastAsia="Calibri" w:hAnsi="Times New Roman" w:cs="Times New Roman"/>
          <w:i/>
          <w:iCs/>
          <w:noProof/>
          <w:sz w:val="24"/>
          <w:szCs w:val="24"/>
        </w:rPr>
        <w:t>Mix Design Method for Asphalt Concrete</w:t>
      </w:r>
      <w:r>
        <w:rPr>
          <w:rFonts w:ascii="Times New Roman" w:eastAsia="Calibri" w:hAnsi="Times New Roman" w:cs="Times New Roman"/>
          <w:i/>
          <w:iCs/>
          <w:noProof/>
          <w:sz w:val="24"/>
          <w:szCs w:val="24"/>
        </w:rPr>
        <w:t xml:space="preserve"> and Other Hot Mix </w:t>
      </w:r>
      <w:r w:rsidRPr="000740B3">
        <w:rPr>
          <w:rFonts w:ascii="Times New Roman" w:eastAsia="Calibri" w:hAnsi="Times New Roman" w:cs="Times New Roman"/>
          <w:i/>
          <w:iCs/>
          <w:noProof/>
          <w:sz w:val="24"/>
          <w:szCs w:val="24"/>
        </w:rPr>
        <w:t>Types.</w:t>
      </w:r>
      <w:r w:rsidRPr="000740B3">
        <w:rPr>
          <w:rFonts w:ascii="Times New Roman" w:eastAsia="Calibri" w:hAnsi="Times New Roman" w:cs="Times New Roman"/>
          <w:noProof/>
          <w:sz w:val="24"/>
          <w:szCs w:val="24"/>
        </w:rPr>
        <w:t xml:space="preserve"> California.</w:t>
      </w:r>
    </w:p>
    <w:p w14:paraId="71E2CD41" w14:textId="77777777" w:rsidR="00105DA0" w:rsidRPr="00105DA0" w:rsidRDefault="00105DA0"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sidRPr="00105DA0">
        <w:rPr>
          <w:rFonts w:ascii="Times New Roman" w:hAnsi="Times New Roman" w:cs="Times New Roman"/>
          <w:noProof/>
          <w:sz w:val="24"/>
          <w:szCs w:val="24"/>
        </w:rPr>
        <w:t xml:space="preserve">Isaccson, L. and. (2001). Mechanistic analysis of asphalt pavements, using superpave shear tester and Hamburg wheel-tracking device. </w:t>
      </w:r>
      <w:r w:rsidRPr="00105DA0">
        <w:rPr>
          <w:rFonts w:ascii="Times New Roman" w:hAnsi="Times New Roman" w:cs="Times New Roman"/>
          <w:i/>
          <w:iCs/>
          <w:noProof/>
          <w:sz w:val="24"/>
          <w:szCs w:val="24"/>
        </w:rPr>
        <w:t>Transportation Research Record</w:t>
      </w:r>
      <w:r w:rsidRPr="00105DA0">
        <w:rPr>
          <w:rFonts w:ascii="Times New Roman" w:hAnsi="Times New Roman" w:cs="Times New Roman"/>
          <w:noProof/>
          <w:sz w:val="24"/>
          <w:szCs w:val="24"/>
        </w:rPr>
        <w:t xml:space="preserve">, </w:t>
      </w:r>
      <w:r w:rsidRPr="00105DA0">
        <w:rPr>
          <w:rFonts w:ascii="Times New Roman" w:hAnsi="Times New Roman" w:cs="Times New Roman"/>
          <w:i/>
          <w:iCs/>
          <w:noProof/>
          <w:sz w:val="24"/>
          <w:szCs w:val="24"/>
        </w:rPr>
        <w:t>1767</w:t>
      </w:r>
      <w:r w:rsidRPr="00105DA0">
        <w:rPr>
          <w:rFonts w:ascii="Times New Roman" w:hAnsi="Times New Roman" w:cs="Times New Roman"/>
          <w:noProof/>
          <w:sz w:val="24"/>
          <w:szCs w:val="24"/>
        </w:rPr>
        <w:t>, 102–110. https://doi.org/10.3141/1767-13</w:t>
      </w:r>
    </w:p>
    <w:p w14:paraId="24E92C07" w14:textId="77777777" w:rsidR="00105DA0" w:rsidRPr="00105DA0" w:rsidRDefault="00105DA0"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sidRPr="00105DA0">
        <w:rPr>
          <w:rFonts w:ascii="Times New Roman" w:hAnsi="Times New Roman" w:cs="Times New Roman"/>
          <w:noProof/>
          <w:sz w:val="24"/>
          <w:szCs w:val="24"/>
        </w:rPr>
        <w:t xml:space="preserve">Katamine. (2024). Study on the Inhibition Mechanism of Hydration Expansion of Yunnan Gas Shale using Modified Asphalt. </w:t>
      </w:r>
      <w:r w:rsidRPr="00105DA0">
        <w:rPr>
          <w:rFonts w:ascii="Times New Roman" w:hAnsi="Times New Roman" w:cs="Times New Roman"/>
          <w:i/>
          <w:iCs/>
          <w:noProof/>
          <w:sz w:val="24"/>
          <w:szCs w:val="24"/>
        </w:rPr>
        <w:t>Materials</w:t>
      </w:r>
      <w:r w:rsidRPr="00105DA0">
        <w:rPr>
          <w:rFonts w:ascii="Times New Roman" w:hAnsi="Times New Roman" w:cs="Times New Roman"/>
          <w:noProof/>
          <w:sz w:val="24"/>
          <w:szCs w:val="24"/>
        </w:rPr>
        <w:t xml:space="preserve">, </w:t>
      </w:r>
      <w:r w:rsidRPr="00105DA0">
        <w:rPr>
          <w:rFonts w:ascii="Times New Roman" w:hAnsi="Times New Roman" w:cs="Times New Roman"/>
          <w:i/>
          <w:iCs/>
          <w:noProof/>
          <w:sz w:val="24"/>
          <w:szCs w:val="24"/>
        </w:rPr>
        <w:t>17</w:t>
      </w:r>
      <w:r w:rsidRPr="00105DA0">
        <w:rPr>
          <w:rFonts w:ascii="Times New Roman" w:hAnsi="Times New Roman" w:cs="Times New Roman"/>
          <w:noProof/>
          <w:sz w:val="24"/>
          <w:szCs w:val="24"/>
        </w:rPr>
        <w:t>(3). https://doi.org/10.3390/ma17030645</w:t>
      </w:r>
    </w:p>
    <w:p w14:paraId="204AD44C" w14:textId="77777777" w:rsidR="00105DA0" w:rsidRDefault="00105DA0"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sidRPr="00105DA0">
        <w:rPr>
          <w:rFonts w:ascii="Times New Roman" w:hAnsi="Times New Roman" w:cs="Times New Roman"/>
          <w:noProof/>
          <w:sz w:val="24"/>
          <w:szCs w:val="24"/>
        </w:rPr>
        <w:t xml:space="preserve">Mokuolu, O. A., Iji, J. O., &amp; Aremu, S. A. (2021). Solid Waste Generation and Characterization in Ilorin, Nigeria. </w:t>
      </w:r>
      <w:r w:rsidRPr="00105DA0">
        <w:rPr>
          <w:rFonts w:ascii="Times New Roman" w:hAnsi="Times New Roman" w:cs="Times New Roman"/>
          <w:i/>
          <w:iCs/>
          <w:noProof/>
          <w:sz w:val="24"/>
          <w:szCs w:val="24"/>
        </w:rPr>
        <w:t>Arid Zone Journal of Engineering Technology &amp; Environment</w:t>
      </w:r>
      <w:r w:rsidRPr="00105DA0">
        <w:rPr>
          <w:rFonts w:ascii="Times New Roman" w:hAnsi="Times New Roman" w:cs="Times New Roman"/>
          <w:noProof/>
          <w:sz w:val="24"/>
          <w:szCs w:val="24"/>
        </w:rPr>
        <w:t xml:space="preserve">, </w:t>
      </w:r>
      <w:r w:rsidRPr="00105DA0">
        <w:rPr>
          <w:rFonts w:ascii="Times New Roman" w:hAnsi="Times New Roman" w:cs="Times New Roman"/>
          <w:i/>
          <w:iCs/>
          <w:noProof/>
          <w:sz w:val="24"/>
          <w:szCs w:val="24"/>
        </w:rPr>
        <w:t>17</w:t>
      </w:r>
      <w:r w:rsidRPr="00105DA0">
        <w:rPr>
          <w:rFonts w:ascii="Times New Roman" w:hAnsi="Times New Roman" w:cs="Times New Roman"/>
          <w:noProof/>
          <w:sz w:val="24"/>
          <w:szCs w:val="24"/>
        </w:rPr>
        <w:t>(3), 279–288. http://www.ncbi.nlm.nih.gov/pubmed/19577459</w:t>
      </w:r>
    </w:p>
    <w:p w14:paraId="47C085C6" w14:textId="2F61CDDE" w:rsidR="00225AC9" w:rsidRPr="00105DA0" w:rsidRDefault="00225AC9"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sidRPr="00225AC9">
        <w:rPr>
          <w:rFonts w:ascii="Times New Roman" w:hAnsi="Times New Roman" w:cs="Times New Roman"/>
          <w:noProof/>
          <w:sz w:val="24"/>
          <w:szCs w:val="24"/>
        </w:rPr>
        <w:t xml:space="preserve">FGN </w:t>
      </w:r>
      <w:r>
        <w:rPr>
          <w:rFonts w:ascii="Times New Roman" w:hAnsi="Times New Roman" w:cs="Times New Roman"/>
          <w:noProof/>
          <w:sz w:val="24"/>
          <w:szCs w:val="24"/>
        </w:rPr>
        <w:t>(</w:t>
      </w:r>
      <w:r w:rsidRPr="00225AC9">
        <w:rPr>
          <w:rFonts w:ascii="Times New Roman" w:hAnsi="Times New Roman" w:cs="Times New Roman"/>
          <w:noProof/>
          <w:sz w:val="24"/>
          <w:szCs w:val="24"/>
        </w:rPr>
        <w:t>1997</w:t>
      </w:r>
      <w:r>
        <w:rPr>
          <w:rFonts w:ascii="Times New Roman" w:hAnsi="Times New Roman" w:cs="Times New Roman"/>
          <w:noProof/>
          <w:sz w:val="24"/>
          <w:szCs w:val="24"/>
        </w:rPr>
        <w:t>)</w:t>
      </w:r>
      <w:r w:rsidRPr="00225AC9">
        <w:rPr>
          <w:rFonts w:ascii="Times New Roman" w:hAnsi="Times New Roman" w:cs="Times New Roman"/>
          <w:noProof/>
          <w:sz w:val="24"/>
          <w:szCs w:val="24"/>
        </w:rPr>
        <w:t xml:space="preserve">. The Nigerian General Specifications for Roads and Bridges, Volume II, Federal </w:t>
      </w:r>
      <w:r w:rsidRPr="00225AC9">
        <w:rPr>
          <w:rFonts w:ascii="Times New Roman" w:hAnsi="Times New Roman" w:cs="Times New Roman"/>
          <w:noProof/>
          <w:sz w:val="24"/>
          <w:szCs w:val="24"/>
        </w:rPr>
        <w:tab/>
        <w:t xml:space="preserve">  </w:t>
      </w:r>
      <w:r w:rsidRPr="00225AC9">
        <w:rPr>
          <w:rFonts w:ascii="Times New Roman" w:hAnsi="Times New Roman" w:cs="Times New Roman"/>
          <w:noProof/>
          <w:sz w:val="24"/>
          <w:szCs w:val="24"/>
        </w:rPr>
        <w:tab/>
        <w:t xml:space="preserve">     Republic of Nigeria, Federal Ministry of Works.</w:t>
      </w:r>
    </w:p>
    <w:p w14:paraId="71BF3395" w14:textId="77777777" w:rsidR="00105DA0" w:rsidRPr="00105DA0" w:rsidRDefault="00105DA0" w:rsidP="00105DA0">
      <w:pPr>
        <w:widowControl w:val="0"/>
        <w:autoSpaceDE w:val="0"/>
        <w:autoSpaceDN w:val="0"/>
        <w:adjustRightInd w:val="0"/>
        <w:spacing w:line="240" w:lineRule="auto"/>
        <w:ind w:left="480" w:hanging="480"/>
        <w:rPr>
          <w:rFonts w:ascii="Times New Roman" w:hAnsi="Times New Roman" w:cs="Times New Roman"/>
          <w:noProof/>
          <w:sz w:val="24"/>
          <w:szCs w:val="24"/>
        </w:rPr>
      </w:pPr>
      <w:r w:rsidRPr="00105DA0">
        <w:rPr>
          <w:rFonts w:ascii="Times New Roman" w:hAnsi="Times New Roman" w:cs="Times New Roman"/>
          <w:noProof/>
          <w:sz w:val="24"/>
          <w:szCs w:val="24"/>
        </w:rPr>
        <w:t xml:space="preserve">Singh, S. and. (2023). </w:t>
      </w:r>
      <w:r w:rsidRPr="00105DA0">
        <w:rPr>
          <w:rFonts w:ascii="Times New Roman" w:hAnsi="Times New Roman" w:cs="Times New Roman"/>
          <w:i/>
          <w:iCs/>
          <w:noProof/>
          <w:sz w:val="24"/>
          <w:szCs w:val="24"/>
        </w:rPr>
        <w:t>MavMatrix MavMatrix Effect of Impurities in Plastic Waste on the Performance of Effect of Impurities in Plastic Waste on the Performance of Plastic road Plastic road</w:t>
      </w:r>
      <w:r w:rsidRPr="00105DA0">
        <w:rPr>
          <w:rFonts w:ascii="Times New Roman" w:hAnsi="Times New Roman" w:cs="Times New Roman"/>
          <w:noProof/>
          <w:sz w:val="24"/>
          <w:szCs w:val="24"/>
        </w:rPr>
        <w:t>. https://doi.org/https://mavmatrix.uta.edu/civilengineering_dissertations</w:t>
      </w:r>
    </w:p>
    <w:p w14:paraId="4F2AE260" w14:textId="57CFDAC6" w:rsidR="00105DA0" w:rsidRPr="00105DA0" w:rsidRDefault="00105DA0" w:rsidP="00105DA0">
      <w:pPr>
        <w:widowControl w:val="0"/>
        <w:autoSpaceDE w:val="0"/>
        <w:autoSpaceDN w:val="0"/>
        <w:adjustRightInd w:val="0"/>
        <w:spacing w:line="240" w:lineRule="auto"/>
        <w:ind w:left="480" w:hanging="480"/>
        <w:rPr>
          <w:rFonts w:ascii="Times New Roman" w:hAnsi="Times New Roman" w:cs="Times New Roman"/>
          <w:noProof/>
          <w:sz w:val="24"/>
        </w:rPr>
      </w:pPr>
      <w:r w:rsidRPr="00105DA0">
        <w:rPr>
          <w:rFonts w:ascii="Times New Roman" w:hAnsi="Times New Roman" w:cs="Times New Roman"/>
          <w:noProof/>
          <w:sz w:val="24"/>
          <w:szCs w:val="24"/>
        </w:rPr>
        <w:t>Zoorob, S., &amp; Thanaya, I. (20</w:t>
      </w:r>
      <w:r w:rsidR="00900EB3">
        <w:rPr>
          <w:rFonts w:ascii="Times New Roman" w:hAnsi="Times New Roman" w:cs="Times New Roman"/>
          <w:noProof/>
          <w:sz w:val="24"/>
          <w:szCs w:val="24"/>
        </w:rPr>
        <w:t>02</w:t>
      </w:r>
      <w:r w:rsidRPr="00105DA0">
        <w:rPr>
          <w:rFonts w:ascii="Times New Roman" w:hAnsi="Times New Roman" w:cs="Times New Roman"/>
          <w:noProof/>
          <w:sz w:val="24"/>
          <w:szCs w:val="24"/>
        </w:rPr>
        <w:t xml:space="preserve">). Improving the performance of cold bituminous emulsion mixtures (CBEMs) incorporating waste materials. </w:t>
      </w:r>
      <w:r w:rsidRPr="00105DA0">
        <w:rPr>
          <w:rFonts w:ascii="Times New Roman" w:hAnsi="Times New Roman" w:cs="Times New Roman"/>
          <w:i/>
          <w:iCs/>
          <w:noProof/>
          <w:sz w:val="24"/>
          <w:szCs w:val="24"/>
        </w:rPr>
        <w:t>Performance of Bituminous and Hydraulic Materials in Pavements</w:t>
      </w:r>
      <w:r w:rsidRPr="00105DA0">
        <w:rPr>
          <w:rFonts w:ascii="Times New Roman" w:hAnsi="Times New Roman" w:cs="Times New Roman"/>
          <w:noProof/>
          <w:sz w:val="24"/>
          <w:szCs w:val="24"/>
        </w:rPr>
        <w:t xml:space="preserve">, </w:t>
      </w:r>
      <w:r w:rsidRPr="00105DA0">
        <w:rPr>
          <w:rFonts w:ascii="Times New Roman" w:hAnsi="Times New Roman" w:cs="Times New Roman"/>
          <w:i/>
          <w:iCs/>
          <w:noProof/>
          <w:sz w:val="24"/>
          <w:szCs w:val="24"/>
        </w:rPr>
        <w:t>Oai Id</w:t>
      </w:r>
      <w:r w:rsidRPr="00105DA0">
        <w:rPr>
          <w:rFonts w:ascii="Times New Roman" w:hAnsi="Times New Roman" w:cs="Times New Roman"/>
          <w:noProof/>
          <w:sz w:val="24"/>
          <w:szCs w:val="24"/>
        </w:rPr>
        <w:t>, 237–249. https://doi.org/10.4324/9780203743928-36</w:t>
      </w:r>
    </w:p>
    <w:p w14:paraId="3A4581B0" w14:textId="61344FC2" w:rsidR="00EB4159" w:rsidRPr="00AA461B" w:rsidRDefault="00EB4159" w:rsidP="002E3526">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EB4159" w:rsidRPr="00AA4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F00E8"/>
    <w:multiLevelType w:val="hybridMultilevel"/>
    <w:tmpl w:val="D3DC3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47496"/>
    <w:multiLevelType w:val="hybridMultilevel"/>
    <w:tmpl w:val="65A25000"/>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32773FB1"/>
    <w:multiLevelType w:val="hybridMultilevel"/>
    <w:tmpl w:val="352EA334"/>
    <w:lvl w:ilvl="0" w:tplc="8F787AFA">
      <w:start w:val="1"/>
      <w:numFmt w:val="decimal"/>
      <w:pStyle w:val="Heading2"/>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2A54AA"/>
    <w:multiLevelType w:val="hybridMultilevel"/>
    <w:tmpl w:val="65A25000"/>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55236D9B"/>
    <w:multiLevelType w:val="multilevel"/>
    <w:tmpl w:val="4C42F0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0B968C9"/>
    <w:multiLevelType w:val="hybridMultilevel"/>
    <w:tmpl w:val="80782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F0AEC"/>
    <w:multiLevelType w:val="hybridMultilevel"/>
    <w:tmpl w:val="B10CA50A"/>
    <w:lvl w:ilvl="0" w:tplc="B1F238E6">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CD7DF4"/>
    <w:multiLevelType w:val="hybridMultilevel"/>
    <w:tmpl w:val="9C448AFA"/>
    <w:lvl w:ilvl="0" w:tplc="1D6E6814">
      <w:start w:val="1"/>
      <w:numFmt w:val="lowerRoman"/>
      <w:lvlText w:val="%1."/>
      <w:lvlJc w:val="right"/>
      <w:pPr>
        <w:tabs>
          <w:tab w:val="num" w:pos="720"/>
        </w:tabs>
        <w:ind w:left="720" w:hanging="360"/>
      </w:pPr>
    </w:lvl>
    <w:lvl w:ilvl="1" w:tplc="32EE5532" w:tentative="1">
      <w:start w:val="1"/>
      <w:numFmt w:val="lowerRoman"/>
      <w:lvlText w:val="%2."/>
      <w:lvlJc w:val="right"/>
      <w:pPr>
        <w:tabs>
          <w:tab w:val="num" w:pos="1440"/>
        </w:tabs>
        <w:ind w:left="1440" w:hanging="360"/>
      </w:pPr>
    </w:lvl>
    <w:lvl w:ilvl="2" w:tplc="D9286208" w:tentative="1">
      <w:start w:val="1"/>
      <w:numFmt w:val="lowerRoman"/>
      <w:lvlText w:val="%3."/>
      <w:lvlJc w:val="right"/>
      <w:pPr>
        <w:tabs>
          <w:tab w:val="num" w:pos="2160"/>
        </w:tabs>
        <w:ind w:left="2160" w:hanging="360"/>
      </w:pPr>
    </w:lvl>
    <w:lvl w:ilvl="3" w:tplc="44363BF8" w:tentative="1">
      <w:start w:val="1"/>
      <w:numFmt w:val="lowerRoman"/>
      <w:lvlText w:val="%4."/>
      <w:lvlJc w:val="right"/>
      <w:pPr>
        <w:tabs>
          <w:tab w:val="num" w:pos="2880"/>
        </w:tabs>
        <w:ind w:left="2880" w:hanging="360"/>
      </w:pPr>
    </w:lvl>
    <w:lvl w:ilvl="4" w:tplc="13E6B4F8" w:tentative="1">
      <w:start w:val="1"/>
      <w:numFmt w:val="lowerRoman"/>
      <w:lvlText w:val="%5."/>
      <w:lvlJc w:val="right"/>
      <w:pPr>
        <w:tabs>
          <w:tab w:val="num" w:pos="3600"/>
        </w:tabs>
        <w:ind w:left="3600" w:hanging="360"/>
      </w:pPr>
    </w:lvl>
    <w:lvl w:ilvl="5" w:tplc="0F9E6F66" w:tentative="1">
      <w:start w:val="1"/>
      <w:numFmt w:val="lowerRoman"/>
      <w:lvlText w:val="%6."/>
      <w:lvlJc w:val="right"/>
      <w:pPr>
        <w:tabs>
          <w:tab w:val="num" w:pos="4320"/>
        </w:tabs>
        <w:ind w:left="4320" w:hanging="360"/>
      </w:pPr>
    </w:lvl>
    <w:lvl w:ilvl="6" w:tplc="FBE080BC" w:tentative="1">
      <w:start w:val="1"/>
      <w:numFmt w:val="lowerRoman"/>
      <w:lvlText w:val="%7."/>
      <w:lvlJc w:val="right"/>
      <w:pPr>
        <w:tabs>
          <w:tab w:val="num" w:pos="5040"/>
        </w:tabs>
        <w:ind w:left="5040" w:hanging="360"/>
      </w:pPr>
    </w:lvl>
    <w:lvl w:ilvl="7" w:tplc="17289842" w:tentative="1">
      <w:start w:val="1"/>
      <w:numFmt w:val="lowerRoman"/>
      <w:lvlText w:val="%8."/>
      <w:lvlJc w:val="right"/>
      <w:pPr>
        <w:tabs>
          <w:tab w:val="num" w:pos="5760"/>
        </w:tabs>
        <w:ind w:left="5760" w:hanging="360"/>
      </w:pPr>
    </w:lvl>
    <w:lvl w:ilvl="8" w:tplc="B3B0ED10" w:tentative="1">
      <w:start w:val="1"/>
      <w:numFmt w:val="lowerRoman"/>
      <w:lvlText w:val="%9."/>
      <w:lvlJc w:val="right"/>
      <w:pPr>
        <w:tabs>
          <w:tab w:val="num" w:pos="6480"/>
        </w:tabs>
        <w:ind w:left="6480" w:hanging="360"/>
      </w:pPr>
    </w:lvl>
  </w:abstractNum>
  <w:num w:numId="1">
    <w:abstractNumId w:val="6"/>
  </w:num>
  <w:num w:numId="2">
    <w:abstractNumId w:val="6"/>
  </w:num>
  <w:num w:numId="3">
    <w:abstractNumId w:val="4"/>
  </w:num>
  <w:num w:numId="4">
    <w:abstractNumId w:val="4"/>
  </w:num>
  <w:num w:numId="5">
    <w:abstractNumId w:val="4"/>
  </w:num>
  <w:num w:numId="6">
    <w:abstractNumId w:val="4"/>
  </w:num>
  <w:num w:numId="7">
    <w:abstractNumId w:val="7"/>
  </w:num>
  <w:num w:numId="8">
    <w:abstractNumId w:val="3"/>
  </w:num>
  <w:num w:numId="9">
    <w:abstractNumId w:val="1"/>
  </w:num>
  <w:num w:numId="10">
    <w:abstractNumId w:val="2"/>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70"/>
    <w:rsid w:val="00003E1A"/>
    <w:rsid w:val="00016C7F"/>
    <w:rsid w:val="000174FF"/>
    <w:rsid w:val="00017892"/>
    <w:rsid w:val="00025FE1"/>
    <w:rsid w:val="00040B5D"/>
    <w:rsid w:val="0004331E"/>
    <w:rsid w:val="00046906"/>
    <w:rsid w:val="00047A19"/>
    <w:rsid w:val="00066C83"/>
    <w:rsid w:val="000677EB"/>
    <w:rsid w:val="000734BF"/>
    <w:rsid w:val="000740B3"/>
    <w:rsid w:val="00077F8F"/>
    <w:rsid w:val="0008156A"/>
    <w:rsid w:val="00090532"/>
    <w:rsid w:val="000959A0"/>
    <w:rsid w:val="000B6610"/>
    <w:rsid w:val="000C3DA9"/>
    <w:rsid w:val="000C5901"/>
    <w:rsid w:val="000C6725"/>
    <w:rsid w:val="000D17CC"/>
    <w:rsid w:val="000D1EAF"/>
    <w:rsid w:val="000D4639"/>
    <w:rsid w:val="000E73AB"/>
    <w:rsid w:val="001034CC"/>
    <w:rsid w:val="001057C1"/>
    <w:rsid w:val="00105DA0"/>
    <w:rsid w:val="001076C3"/>
    <w:rsid w:val="001079A4"/>
    <w:rsid w:val="00113246"/>
    <w:rsid w:val="00132669"/>
    <w:rsid w:val="001338CD"/>
    <w:rsid w:val="001443EB"/>
    <w:rsid w:val="00152F29"/>
    <w:rsid w:val="00153A16"/>
    <w:rsid w:val="001558CF"/>
    <w:rsid w:val="00170BDC"/>
    <w:rsid w:val="0019187E"/>
    <w:rsid w:val="00191882"/>
    <w:rsid w:val="00193083"/>
    <w:rsid w:val="00193616"/>
    <w:rsid w:val="001A4214"/>
    <w:rsid w:val="001A6F57"/>
    <w:rsid w:val="001B3B70"/>
    <w:rsid w:val="001C17DD"/>
    <w:rsid w:val="001D1730"/>
    <w:rsid w:val="001D4CEC"/>
    <w:rsid w:val="001D6271"/>
    <w:rsid w:val="001E5FAA"/>
    <w:rsid w:val="00203D62"/>
    <w:rsid w:val="002132C9"/>
    <w:rsid w:val="00214188"/>
    <w:rsid w:val="00225AC9"/>
    <w:rsid w:val="00226570"/>
    <w:rsid w:val="00226E72"/>
    <w:rsid w:val="00231046"/>
    <w:rsid w:val="002375A9"/>
    <w:rsid w:val="00247428"/>
    <w:rsid w:val="00251999"/>
    <w:rsid w:val="00263EE3"/>
    <w:rsid w:val="0026458F"/>
    <w:rsid w:val="00264766"/>
    <w:rsid w:val="002669C1"/>
    <w:rsid w:val="00273825"/>
    <w:rsid w:val="00282851"/>
    <w:rsid w:val="00287FE3"/>
    <w:rsid w:val="00292024"/>
    <w:rsid w:val="002A307E"/>
    <w:rsid w:val="002A3C1F"/>
    <w:rsid w:val="002A5AFD"/>
    <w:rsid w:val="002A5F3F"/>
    <w:rsid w:val="002B199B"/>
    <w:rsid w:val="002B3751"/>
    <w:rsid w:val="002B5085"/>
    <w:rsid w:val="002B6A43"/>
    <w:rsid w:val="002B76AD"/>
    <w:rsid w:val="002C046D"/>
    <w:rsid w:val="002D0D5D"/>
    <w:rsid w:val="002D0DA2"/>
    <w:rsid w:val="002E3526"/>
    <w:rsid w:val="002E4AB2"/>
    <w:rsid w:val="002E783F"/>
    <w:rsid w:val="00305336"/>
    <w:rsid w:val="00312FCC"/>
    <w:rsid w:val="00313A09"/>
    <w:rsid w:val="00315FCB"/>
    <w:rsid w:val="00323BF6"/>
    <w:rsid w:val="00325732"/>
    <w:rsid w:val="00334BDF"/>
    <w:rsid w:val="00341126"/>
    <w:rsid w:val="00342F7A"/>
    <w:rsid w:val="00345764"/>
    <w:rsid w:val="00347738"/>
    <w:rsid w:val="00350C11"/>
    <w:rsid w:val="0035387E"/>
    <w:rsid w:val="00355384"/>
    <w:rsid w:val="00366F99"/>
    <w:rsid w:val="00374D85"/>
    <w:rsid w:val="00376B00"/>
    <w:rsid w:val="00390419"/>
    <w:rsid w:val="003B7E14"/>
    <w:rsid w:val="003C2B71"/>
    <w:rsid w:val="003F6384"/>
    <w:rsid w:val="004016B1"/>
    <w:rsid w:val="004027A1"/>
    <w:rsid w:val="00411695"/>
    <w:rsid w:val="00411794"/>
    <w:rsid w:val="00416E5A"/>
    <w:rsid w:val="004172D6"/>
    <w:rsid w:val="00421F0F"/>
    <w:rsid w:val="00424A35"/>
    <w:rsid w:val="00442BEA"/>
    <w:rsid w:val="004474F5"/>
    <w:rsid w:val="00447998"/>
    <w:rsid w:val="00451BC4"/>
    <w:rsid w:val="0045409A"/>
    <w:rsid w:val="00461FC5"/>
    <w:rsid w:val="00480B3B"/>
    <w:rsid w:val="00483D18"/>
    <w:rsid w:val="00483FB8"/>
    <w:rsid w:val="00495BE0"/>
    <w:rsid w:val="004C7FE7"/>
    <w:rsid w:val="004D7308"/>
    <w:rsid w:val="004E0352"/>
    <w:rsid w:val="004E1C4A"/>
    <w:rsid w:val="004E464F"/>
    <w:rsid w:val="004E515F"/>
    <w:rsid w:val="004F2BEB"/>
    <w:rsid w:val="004F6E13"/>
    <w:rsid w:val="0052300A"/>
    <w:rsid w:val="00534D3A"/>
    <w:rsid w:val="005401C8"/>
    <w:rsid w:val="0055204E"/>
    <w:rsid w:val="0057274D"/>
    <w:rsid w:val="00572D85"/>
    <w:rsid w:val="00577B28"/>
    <w:rsid w:val="00581FDD"/>
    <w:rsid w:val="005824D7"/>
    <w:rsid w:val="00582E95"/>
    <w:rsid w:val="00591488"/>
    <w:rsid w:val="005A422D"/>
    <w:rsid w:val="005A4E45"/>
    <w:rsid w:val="005B0375"/>
    <w:rsid w:val="005B4A7C"/>
    <w:rsid w:val="005C35A8"/>
    <w:rsid w:val="005C507A"/>
    <w:rsid w:val="005E1683"/>
    <w:rsid w:val="005E2A5C"/>
    <w:rsid w:val="005F3C5E"/>
    <w:rsid w:val="005F49B7"/>
    <w:rsid w:val="00601B74"/>
    <w:rsid w:val="00610CAA"/>
    <w:rsid w:val="006152E5"/>
    <w:rsid w:val="00624583"/>
    <w:rsid w:val="0062546B"/>
    <w:rsid w:val="0062626A"/>
    <w:rsid w:val="00635C61"/>
    <w:rsid w:val="00647BFE"/>
    <w:rsid w:val="006563AE"/>
    <w:rsid w:val="00671F5C"/>
    <w:rsid w:val="00674B2B"/>
    <w:rsid w:val="006838B3"/>
    <w:rsid w:val="00687D06"/>
    <w:rsid w:val="00687D39"/>
    <w:rsid w:val="00697706"/>
    <w:rsid w:val="006A68A8"/>
    <w:rsid w:val="006B4390"/>
    <w:rsid w:val="006D5158"/>
    <w:rsid w:val="006E5478"/>
    <w:rsid w:val="006F4BD2"/>
    <w:rsid w:val="006F7840"/>
    <w:rsid w:val="006F7F46"/>
    <w:rsid w:val="0070288A"/>
    <w:rsid w:val="00716B60"/>
    <w:rsid w:val="00726EC5"/>
    <w:rsid w:val="00730BF2"/>
    <w:rsid w:val="007348C5"/>
    <w:rsid w:val="007426E7"/>
    <w:rsid w:val="0075432E"/>
    <w:rsid w:val="00761A6F"/>
    <w:rsid w:val="00765FB5"/>
    <w:rsid w:val="0076687A"/>
    <w:rsid w:val="0077555D"/>
    <w:rsid w:val="00777152"/>
    <w:rsid w:val="007846F1"/>
    <w:rsid w:val="007874C6"/>
    <w:rsid w:val="0079399D"/>
    <w:rsid w:val="0079401C"/>
    <w:rsid w:val="007A072F"/>
    <w:rsid w:val="007A6A1E"/>
    <w:rsid w:val="007A7FD4"/>
    <w:rsid w:val="007C0724"/>
    <w:rsid w:val="007C2751"/>
    <w:rsid w:val="007C6DAE"/>
    <w:rsid w:val="007D196C"/>
    <w:rsid w:val="007D3549"/>
    <w:rsid w:val="007D5670"/>
    <w:rsid w:val="007E12BA"/>
    <w:rsid w:val="007E3411"/>
    <w:rsid w:val="007E34D0"/>
    <w:rsid w:val="007E6A22"/>
    <w:rsid w:val="007E6D5C"/>
    <w:rsid w:val="007F2F14"/>
    <w:rsid w:val="007F73FE"/>
    <w:rsid w:val="007F7B02"/>
    <w:rsid w:val="00817A84"/>
    <w:rsid w:val="0082719C"/>
    <w:rsid w:val="00836D97"/>
    <w:rsid w:val="0084310A"/>
    <w:rsid w:val="00850CFF"/>
    <w:rsid w:val="00852252"/>
    <w:rsid w:val="00852710"/>
    <w:rsid w:val="0085538C"/>
    <w:rsid w:val="00876167"/>
    <w:rsid w:val="008768A3"/>
    <w:rsid w:val="00880970"/>
    <w:rsid w:val="00890ECC"/>
    <w:rsid w:val="00897A05"/>
    <w:rsid w:val="008A0BF5"/>
    <w:rsid w:val="008A328C"/>
    <w:rsid w:val="008A610F"/>
    <w:rsid w:val="008A618B"/>
    <w:rsid w:val="008B22F7"/>
    <w:rsid w:val="008B4B3E"/>
    <w:rsid w:val="008C2F66"/>
    <w:rsid w:val="008C679B"/>
    <w:rsid w:val="008C6888"/>
    <w:rsid w:val="008C7962"/>
    <w:rsid w:val="008D1599"/>
    <w:rsid w:val="008D2140"/>
    <w:rsid w:val="008D3CA9"/>
    <w:rsid w:val="008E3538"/>
    <w:rsid w:val="008E4A90"/>
    <w:rsid w:val="008F6CBC"/>
    <w:rsid w:val="00900EB3"/>
    <w:rsid w:val="00930EAD"/>
    <w:rsid w:val="00935118"/>
    <w:rsid w:val="00941097"/>
    <w:rsid w:val="009423E4"/>
    <w:rsid w:val="00950476"/>
    <w:rsid w:val="00951C9E"/>
    <w:rsid w:val="009525D9"/>
    <w:rsid w:val="00955601"/>
    <w:rsid w:val="00983376"/>
    <w:rsid w:val="009918E5"/>
    <w:rsid w:val="00993860"/>
    <w:rsid w:val="00997F8E"/>
    <w:rsid w:val="009A01CB"/>
    <w:rsid w:val="009A190F"/>
    <w:rsid w:val="009A33EF"/>
    <w:rsid w:val="009A48D4"/>
    <w:rsid w:val="009B054D"/>
    <w:rsid w:val="009B308D"/>
    <w:rsid w:val="009B3E08"/>
    <w:rsid w:val="009C2C75"/>
    <w:rsid w:val="009C38FB"/>
    <w:rsid w:val="009C7E80"/>
    <w:rsid w:val="009D03B9"/>
    <w:rsid w:val="009D09CD"/>
    <w:rsid w:val="009D2FC2"/>
    <w:rsid w:val="009E0343"/>
    <w:rsid w:val="009E16E9"/>
    <w:rsid w:val="009E644E"/>
    <w:rsid w:val="009F0E10"/>
    <w:rsid w:val="009F55C1"/>
    <w:rsid w:val="00A22EB0"/>
    <w:rsid w:val="00A27560"/>
    <w:rsid w:val="00A30E08"/>
    <w:rsid w:val="00A525AC"/>
    <w:rsid w:val="00A54790"/>
    <w:rsid w:val="00A64C68"/>
    <w:rsid w:val="00A67449"/>
    <w:rsid w:val="00A716F3"/>
    <w:rsid w:val="00A75698"/>
    <w:rsid w:val="00A77EEC"/>
    <w:rsid w:val="00A868FB"/>
    <w:rsid w:val="00A94477"/>
    <w:rsid w:val="00A95BB2"/>
    <w:rsid w:val="00A970FF"/>
    <w:rsid w:val="00AA461B"/>
    <w:rsid w:val="00AA6359"/>
    <w:rsid w:val="00AB3AA1"/>
    <w:rsid w:val="00AB7118"/>
    <w:rsid w:val="00AC2426"/>
    <w:rsid w:val="00AC2B35"/>
    <w:rsid w:val="00AC3D7D"/>
    <w:rsid w:val="00AD59FB"/>
    <w:rsid w:val="00AE1694"/>
    <w:rsid w:val="00AE7FB4"/>
    <w:rsid w:val="00AF1F29"/>
    <w:rsid w:val="00B04EB3"/>
    <w:rsid w:val="00B05E33"/>
    <w:rsid w:val="00B1706E"/>
    <w:rsid w:val="00B237F8"/>
    <w:rsid w:val="00B23CE4"/>
    <w:rsid w:val="00B269DB"/>
    <w:rsid w:val="00B331C3"/>
    <w:rsid w:val="00B36AEB"/>
    <w:rsid w:val="00B46762"/>
    <w:rsid w:val="00B61B49"/>
    <w:rsid w:val="00B61DFE"/>
    <w:rsid w:val="00B74B70"/>
    <w:rsid w:val="00B752E3"/>
    <w:rsid w:val="00B762CC"/>
    <w:rsid w:val="00B77FB1"/>
    <w:rsid w:val="00BB39D3"/>
    <w:rsid w:val="00BD4851"/>
    <w:rsid w:val="00BD5CDA"/>
    <w:rsid w:val="00BE0923"/>
    <w:rsid w:val="00BE5FCC"/>
    <w:rsid w:val="00BF573C"/>
    <w:rsid w:val="00C07E83"/>
    <w:rsid w:val="00C1432C"/>
    <w:rsid w:val="00C2097D"/>
    <w:rsid w:val="00C233A5"/>
    <w:rsid w:val="00C53808"/>
    <w:rsid w:val="00C66F8B"/>
    <w:rsid w:val="00C67399"/>
    <w:rsid w:val="00C732CC"/>
    <w:rsid w:val="00C84CCA"/>
    <w:rsid w:val="00CA137B"/>
    <w:rsid w:val="00CA7A79"/>
    <w:rsid w:val="00CC02B0"/>
    <w:rsid w:val="00CC4AAC"/>
    <w:rsid w:val="00CC5301"/>
    <w:rsid w:val="00CC5337"/>
    <w:rsid w:val="00CC6E72"/>
    <w:rsid w:val="00CC7544"/>
    <w:rsid w:val="00CE535D"/>
    <w:rsid w:val="00CF33ED"/>
    <w:rsid w:val="00D0077B"/>
    <w:rsid w:val="00D01662"/>
    <w:rsid w:val="00D035AA"/>
    <w:rsid w:val="00D101C4"/>
    <w:rsid w:val="00D27E8E"/>
    <w:rsid w:val="00D3738A"/>
    <w:rsid w:val="00D5418D"/>
    <w:rsid w:val="00D66437"/>
    <w:rsid w:val="00D702B5"/>
    <w:rsid w:val="00D7216B"/>
    <w:rsid w:val="00D75C75"/>
    <w:rsid w:val="00D76483"/>
    <w:rsid w:val="00D847AE"/>
    <w:rsid w:val="00D86311"/>
    <w:rsid w:val="00DA0A5F"/>
    <w:rsid w:val="00DA37B1"/>
    <w:rsid w:val="00DA40D9"/>
    <w:rsid w:val="00DA710B"/>
    <w:rsid w:val="00DB0F4F"/>
    <w:rsid w:val="00DB1CC9"/>
    <w:rsid w:val="00DB22CE"/>
    <w:rsid w:val="00DC115E"/>
    <w:rsid w:val="00DC7F41"/>
    <w:rsid w:val="00DE09C4"/>
    <w:rsid w:val="00DE3037"/>
    <w:rsid w:val="00E02F2F"/>
    <w:rsid w:val="00E03DDB"/>
    <w:rsid w:val="00E07B5B"/>
    <w:rsid w:val="00E124AD"/>
    <w:rsid w:val="00E14B35"/>
    <w:rsid w:val="00E15A9E"/>
    <w:rsid w:val="00E22377"/>
    <w:rsid w:val="00E22C35"/>
    <w:rsid w:val="00E2570D"/>
    <w:rsid w:val="00E25C03"/>
    <w:rsid w:val="00E26D69"/>
    <w:rsid w:val="00E32763"/>
    <w:rsid w:val="00E337E1"/>
    <w:rsid w:val="00E37559"/>
    <w:rsid w:val="00E66C33"/>
    <w:rsid w:val="00E70481"/>
    <w:rsid w:val="00E91012"/>
    <w:rsid w:val="00E9660C"/>
    <w:rsid w:val="00E971B2"/>
    <w:rsid w:val="00E97A03"/>
    <w:rsid w:val="00EA6A4A"/>
    <w:rsid w:val="00EB4159"/>
    <w:rsid w:val="00EB55DD"/>
    <w:rsid w:val="00EB7558"/>
    <w:rsid w:val="00EC684B"/>
    <w:rsid w:val="00EC778E"/>
    <w:rsid w:val="00ED6E93"/>
    <w:rsid w:val="00EE6E4F"/>
    <w:rsid w:val="00EF7AB8"/>
    <w:rsid w:val="00F01F33"/>
    <w:rsid w:val="00F0200B"/>
    <w:rsid w:val="00F11E6F"/>
    <w:rsid w:val="00F120ED"/>
    <w:rsid w:val="00F20882"/>
    <w:rsid w:val="00F23123"/>
    <w:rsid w:val="00F4285E"/>
    <w:rsid w:val="00F46072"/>
    <w:rsid w:val="00F52184"/>
    <w:rsid w:val="00F64241"/>
    <w:rsid w:val="00F67A78"/>
    <w:rsid w:val="00F67FCF"/>
    <w:rsid w:val="00F706F4"/>
    <w:rsid w:val="00F70EE7"/>
    <w:rsid w:val="00F75B5B"/>
    <w:rsid w:val="00F76442"/>
    <w:rsid w:val="00FC6BC1"/>
    <w:rsid w:val="00FC71C3"/>
    <w:rsid w:val="00FD30ED"/>
    <w:rsid w:val="00FE0FC5"/>
    <w:rsid w:val="00FF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E531"/>
  <w15:docId w15:val="{0C23CA61-4C47-44A2-B47D-59092CE9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570"/>
    <w:pPr>
      <w:spacing w:after="160" w:line="259" w:lineRule="auto"/>
    </w:pPr>
    <w:rPr>
      <w:kern w:val="0"/>
      <w:sz w:val="22"/>
      <w:szCs w:val="22"/>
      <w14:ligatures w14:val="none"/>
    </w:rPr>
  </w:style>
  <w:style w:type="paragraph" w:styleId="Heading1">
    <w:name w:val="heading 1"/>
    <w:basedOn w:val="Normal"/>
    <w:next w:val="Normal"/>
    <w:link w:val="Heading1Char"/>
    <w:autoRedefine/>
    <w:uiPriority w:val="9"/>
    <w:qFormat/>
    <w:rsid w:val="00350C11"/>
    <w:pPr>
      <w:keepNext/>
      <w:keepLines/>
      <w:pBdr>
        <w:top w:val="nil"/>
        <w:left w:val="nil"/>
        <w:bottom w:val="nil"/>
        <w:right w:val="nil"/>
        <w:between w:val="nil"/>
        <w:bar w:val="nil"/>
      </w:pBdr>
      <w:spacing w:before="360" w:after="80" w:line="240" w:lineRule="auto"/>
      <w:jc w:val="both"/>
      <w:outlineLvl w:val="0"/>
    </w:pPr>
    <w:rPr>
      <w:rFonts w:ascii="Times New Roman" w:eastAsiaTheme="majorEastAsia" w:hAnsi="Times New Roman" w:cstheme="majorBidi"/>
      <w:b/>
      <w:bCs/>
      <w:color w:val="000000" w:themeColor="text1"/>
      <w:sz w:val="24"/>
      <w:szCs w:val="40"/>
      <w:bdr w:val="nil"/>
      <w:lang w:val="en-GB"/>
    </w:rPr>
  </w:style>
  <w:style w:type="paragraph" w:styleId="Heading2">
    <w:name w:val="heading 2"/>
    <w:basedOn w:val="Normal"/>
    <w:next w:val="Normal"/>
    <w:link w:val="Heading2Char"/>
    <w:autoRedefine/>
    <w:uiPriority w:val="9"/>
    <w:unhideWhenUsed/>
    <w:qFormat/>
    <w:rsid w:val="001076C3"/>
    <w:pPr>
      <w:keepNext/>
      <w:keepLines/>
      <w:numPr>
        <w:numId w:val="10"/>
      </w:numPr>
      <w:spacing w:before="160" w:after="80" w:line="240" w:lineRule="auto"/>
      <w:outlineLvl w:val="1"/>
    </w:pPr>
    <w:rPr>
      <w:rFonts w:ascii="Times New Roman" w:eastAsiaTheme="majorEastAsia" w:hAnsi="Times New Roman" w:cs="Times New Roman"/>
      <w:b/>
      <w:color w:val="000000" w:themeColor="text1"/>
      <w:sz w:val="24"/>
      <w:szCs w:val="24"/>
    </w:rPr>
  </w:style>
  <w:style w:type="paragraph" w:styleId="Heading3">
    <w:name w:val="heading 3"/>
    <w:basedOn w:val="Normal"/>
    <w:next w:val="Normal"/>
    <w:link w:val="Heading3Char"/>
    <w:uiPriority w:val="9"/>
    <w:semiHidden/>
    <w:unhideWhenUsed/>
    <w:qFormat/>
    <w:rsid w:val="00226570"/>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570"/>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570"/>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570"/>
    <w:pPr>
      <w:keepNext/>
      <w:keepLines/>
      <w:numPr>
        <w:ilvl w:val="5"/>
        <w:numId w:val="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570"/>
    <w:pPr>
      <w:keepNext/>
      <w:keepLines/>
      <w:numPr>
        <w:ilvl w:val="6"/>
        <w:numId w:val="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570"/>
    <w:pPr>
      <w:keepNext/>
      <w:keepLines/>
      <w:numPr>
        <w:ilvl w:val="7"/>
        <w:numId w:val="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570"/>
    <w:pPr>
      <w:keepNext/>
      <w:keepLines/>
      <w:numPr>
        <w:ilvl w:val="8"/>
        <w:numId w:val="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C11"/>
    <w:rPr>
      <w:rFonts w:ascii="Times New Roman" w:eastAsiaTheme="majorEastAsia" w:hAnsi="Times New Roman" w:cstheme="majorBidi"/>
      <w:b/>
      <w:bCs/>
      <w:color w:val="000000" w:themeColor="text1"/>
      <w:kern w:val="0"/>
      <w:szCs w:val="40"/>
      <w:bdr w:val="nil"/>
      <w:lang w:val="en-GB"/>
      <w14:ligatures w14:val="none"/>
    </w:rPr>
  </w:style>
  <w:style w:type="character" w:customStyle="1" w:styleId="Heading2Char">
    <w:name w:val="Heading 2 Char"/>
    <w:basedOn w:val="DefaultParagraphFont"/>
    <w:link w:val="Heading2"/>
    <w:uiPriority w:val="9"/>
    <w:rsid w:val="001076C3"/>
    <w:rPr>
      <w:rFonts w:ascii="Times New Roman" w:eastAsiaTheme="majorEastAsia" w:hAnsi="Times New Roman" w:cs="Times New Roman"/>
      <w:b/>
      <w:color w:val="000000" w:themeColor="text1"/>
      <w:kern w:val="0"/>
      <w14:ligatures w14:val="none"/>
    </w:rPr>
  </w:style>
  <w:style w:type="character" w:customStyle="1" w:styleId="Heading3Char">
    <w:name w:val="Heading 3 Char"/>
    <w:basedOn w:val="DefaultParagraphFont"/>
    <w:link w:val="Heading3"/>
    <w:uiPriority w:val="9"/>
    <w:semiHidden/>
    <w:rsid w:val="00226570"/>
    <w:rPr>
      <w:rFonts w:eastAsiaTheme="majorEastAsia" w:cstheme="majorBidi"/>
      <w:color w:val="0F4761" w:themeColor="accent1" w:themeShade="BF"/>
      <w:kern w:val="0"/>
      <w:sz w:val="28"/>
      <w:szCs w:val="28"/>
      <w:bdr w:val="nil"/>
      <w:lang w:val="en-GB"/>
      <w14:ligatures w14:val="none"/>
    </w:rPr>
  </w:style>
  <w:style w:type="character" w:customStyle="1" w:styleId="Heading4Char">
    <w:name w:val="Heading 4 Char"/>
    <w:basedOn w:val="DefaultParagraphFont"/>
    <w:link w:val="Heading4"/>
    <w:uiPriority w:val="9"/>
    <w:semiHidden/>
    <w:rsid w:val="00226570"/>
    <w:rPr>
      <w:rFonts w:eastAsiaTheme="majorEastAsia" w:cstheme="majorBidi"/>
      <w:i/>
      <w:iCs/>
      <w:color w:val="0F4761" w:themeColor="accent1" w:themeShade="BF"/>
      <w:kern w:val="0"/>
      <w:bdr w:val="nil"/>
      <w:lang w:val="en-GB"/>
      <w14:ligatures w14:val="none"/>
    </w:rPr>
  </w:style>
  <w:style w:type="character" w:customStyle="1" w:styleId="Heading5Char">
    <w:name w:val="Heading 5 Char"/>
    <w:basedOn w:val="DefaultParagraphFont"/>
    <w:link w:val="Heading5"/>
    <w:uiPriority w:val="9"/>
    <w:semiHidden/>
    <w:rsid w:val="00226570"/>
    <w:rPr>
      <w:rFonts w:eastAsiaTheme="majorEastAsia" w:cstheme="majorBidi"/>
      <w:color w:val="0F4761" w:themeColor="accent1" w:themeShade="BF"/>
      <w:kern w:val="0"/>
      <w:bdr w:val="nil"/>
      <w:lang w:val="en-GB"/>
      <w14:ligatures w14:val="none"/>
    </w:rPr>
  </w:style>
  <w:style w:type="character" w:customStyle="1" w:styleId="Heading6Char">
    <w:name w:val="Heading 6 Char"/>
    <w:basedOn w:val="DefaultParagraphFont"/>
    <w:link w:val="Heading6"/>
    <w:uiPriority w:val="9"/>
    <w:semiHidden/>
    <w:rsid w:val="00226570"/>
    <w:rPr>
      <w:rFonts w:eastAsiaTheme="majorEastAsia" w:cstheme="majorBidi"/>
      <w:i/>
      <w:iCs/>
      <w:color w:val="595959" w:themeColor="text1" w:themeTint="A6"/>
      <w:kern w:val="0"/>
      <w:bdr w:val="nil"/>
      <w:lang w:val="en-GB"/>
      <w14:ligatures w14:val="none"/>
    </w:rPr>
  </w:style>
  <w:style w:type="character" w:customStyle="1" w:styleId="Heading7Char">
    <w:name w:val="Heading 7 Char"/>
    <w:basedOn w:val="DefaultParagraphFont"/>
    <w:link w:val="Heading7"/>
    <w:uiPriority w:val="9"/>
    <w:semiHidden/>
    <w:rsid w:val="00226570"/>
    <w:rPr>
      <w:rFonts w:eastAsiaTheme="majorEastAsia" w:cstheme="majorBidi"/>
      <w:color w:val="595959" w:themeColor="text1" w:themeTint="A6"/>
      <w:kern w:val="0"/>
      <w:bdr w:val="nil"/>
      <w:lang w:val="en-GB"/>
      <w14:ligatures w14:val="none"/>
    </w:rPr>
  </w:style>
  <w:style w:type="character" w:customStyle="1" w:styleId="Heading8Char">
    <w:name w:val="Heading 8 Char"/>
    <w:basedOn w:val="DefaultParagraphFont"/>
    <w:link w:val="Heading8"/>
    <w:uiPriority w:val="9"/>
    <w:semiHidden/>
    <w:rsid w:val="00226570"/>
    <w:rPr>
      <w:rFonts w:eastAsiaTheme="majorEastAsia" w:cstheme="majorBidi"/>
      <w:i/>
      <w:iCs/>
      <w:color w:val="272727" w:themeColor="text1" w:themeTint="D8"/>
      <w:kern w:val="0"/>
      <w:bdr w:val="nil"/>
      <w:lang w:val="en-GB"/>
      <w14:ligatures w14:val="none"/>
    </w:rPr>
  </w:style>
  <w:style w:type="character" w:customStyle="1" w:styleId="Heading9Char">
    <w:name w:val="Heading 9 Char"/>
    <w:basedOn w:val="DefaultParagraphFont"/>
    <w:link w:val="Heading9"/>
    <w:uiPriority w:val="9"/>
    <w:semiHidden/>
    <w:rsid w:val="00226570"/>
    <w:rPr>
      <w:rFonts w:eastAsiaTheme="majorEastAsia" w:cstheme="majorBidi"/>
      <w:color w:val="272727" w:themeColor="text1" w:themeTint="D8"/>
      <w:kern w:val="0"/>
      <w:bdr w:val="nil"/>
      <w:lang w:val="en-GB"/>
      <w14:ligatures w14:val="none"/>
    </w:rPr>
  </w:style>
  <w:style w:type="paragraph" w:styleId="Title">
    <w:name w:val="Title"/>
    <w:basedOn w:val="Normal"/>
    <w:next w:val="Normal"/>
    <w:link w:val="TitleChar"/>
    <w:uiPriority w:val="10"/>
    <w:qFormat/>
    <w:rsid w:val="002265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570"/>
    <w:rPr>
      <w:rFonts w:asciiTheme="majorHAnsi" w:eastAsiaTheme="majorEastAsia" w:hAnsiTheme="majorHAnsi" w:cstheme="majorBidi"/>
      <w:spacing w:val="-10"/>
      <w:kern w:val="28"/>
      <w:sz w:val="56"/>
      <w:szCs w:val="56"/>
      <w:bdr w:val="nil"/>
      <w:lang w:val="en-GB"/>
      <w14:ligatures w14:val="none"/>
    </w:rPr>
  </w:style>
  <w:style w:type="paragraph" w:styleId="Subtitle">
    <w:name w:val="Subtitle"/>
    <w:basedOn w:val="Normal"/>
    <w:next w:val="Normal"/>
    <w:link w:val="SubtitleChar"/>
    <w:uiPriority w:val="11"/>
    <w:qFormat/>
    <w:rsid w:val="00226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570"/>
    <w:rPr>
      <w:rFonts w:eastAsiaTheme="majorEastAsia" w:cstheme="majorBidi"/>
      <w:color w:val="595959" w:themeColor="text1" w:themeTint="A6"/>
      <w:spacing w:val="15"/>
      <w:kern w:val="0"/>
      <w:sz w:val="28"/>
      <w:szCs w:val="28"/>
      <w:bdr w:val="nil"/>
      <w:lang w:val="en-GB"/>
      <w14:ligatures w14:val="none"/>
    </w:rPr>
  </w:style>
  <w:style w:type="paragraph" w:styleId="Quote">
    <w:name w:val="Quote"/>
    <w:basedOn w:val="Normal"/>
    <w:next w:val="Normal"/>
    <w:link w:val="QuoteChar"/>
    <w:uiPriority w:val="29"/>
    <w:qFormat/>
    <w:rsid w:val="00226570"/>
    <w:pPr>
      <w:spacing w:before="160"/>
      <w:jc w:val="center"/>
    </w:pPr>
    <w:rPr>
      <w:i/>
      <w:iCs/>
      <w:color w:val="404040" w:themeColor="text1" w:themeTint="BF"/>
    </w:rPr>
  </w:style>
  <w:style w:type="character" w:customStyle="1" w:styleId="QuoteChar">
    <w:name w:val="Quote Char"/>
    <w:basedOn w:val="DefaultParagraphFont"/>
    <w:link w:val="Quote"/>
    <w:uiPriority w:val="29"/>
    <w:rsid w:val="00226570"/>
    <w:rPr>
      <w:rFonts w:ascii="Times New Roman" w:eastAsia="Arial Unicode MS" w:hAnsi="Times New Roman" w:cs="Times New Roman"/>
      <w:i/>
      <w:iCs/>
      <w:color w:val="404040" w:themeColor="text1" w:themeTint="BF"/>
      <w:kern w:val="0"/>
      <w:bdr w:val="nil"/>
      <w:lang w:val="en-GB"/>
      <w14:ligatures w14:val="none"/>
    </w:rPr>
  </w:style>
  <w:style w:type="paragraph" w:styleId="ListParagraph">
    <w:name w:val="List Paragraph"/>
    <w:basedOn w:val="Normal"/>
    <w:uiPriority w:val="34"/>
    <w:qFormat/>
    <w:rsid w:val="00226570"/>
    <w:pPr>
      <w:ind w:left="720"/>
      <w:contextualSpacing/>
    </w:pPr>
  </w:style>
  <w:style w:type="character" w:styleId="IntenseEmphasis">
    <w:name w:val="Intense Emphasis"/>
    <w:basedOn w:val="DefaultParagraphFont"/>
    <w:uiPriority w:val="21"/>
    <w:qFormat/>
    <w:rsid w:val="00226570"/>
    <w:rPr>
      <w:i/>
      <w:iCs/>
      <w:color w:val="0F4761" w:themeColor="accent1" w:themeShade="BF"/>
    </w:rPr>
  </w:style>
  <w:style w:type="paragraph" w:styleId="IntenseQuote">
    <w:name w:val="Intense Quote"/>
    <w:basedOn w:val="Normal"/>
    <w:next w:val="Normal"/>
    <w:link w:val="IntenseQuoteChar"/>
    <w:uiPriority w:val="30"/>
    <w:qFormat/>
    <w:rsid w:val="0022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570"/>
    <w:rPr>
      <w:rFonts w:ascii="Times New Roman" w:eastAsia="Arial Unicode MS" w:hAnsi="Times New Roman" w:cs="Times New Roman"/>
      <w:i/>
      <w:iCs/>
      <w:color w:val="0F4761" w:themeColor="accent1" w:themeShade="BF"/>
      <w:kern w:val="0"/>
      <w:bdr w:val="nil"/>
      <w:lang w:val="en-GB"/>
      <w14:ligatures w14:val="none"/>
    </w:rPr>
  </w:style>
  <w:style w:type="character" w:styleId="IntenseReference">
    <w:name w:val="Intense Reference"/>
    <w:basedOn w:val="DefaultParagraphFont"/>
    <w:uiPriority w:val="32"/>
    <w:qFormat/>
    <w:rsid w:val="00226570"/>
    <w:rPr>
      <w:b/>
      <w:bCs/>
      <w:smallCaps/>
      <w:color w:val="0F4761" w:themeColor="accent1" w:themeShade="BF"/>
      <w:spacing w:val="5"/>
    </w:rPr>
  </w:style>
  <w:style w:type="character" w:styleId="Hyperlink">
    <w:name w:val="Hyperlink"/>
    <w:basedOn w:val="DefaultParagraphFont"/>
    <w:uiPriority w:val="99"/>
    <w:unhideWhenUsed/>
    <w:rsid w:val="00226570"/>
    <w:rPr>
      <w:color w:val="467886" w:themeColor="hyperlink"/>
      <w:u w:val="single"/>
    </w:rPr>
  </w:style>
  <w:style w:type="table" w:styleId="TableGrid">
    <w:name w:val="Table Grid"/>
    <w:basedOn w:val="TableNormal"/>
    <w:uiPriority w:val="59"/>
    <w:rsid w:val="00C233A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E14"/>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autoRedefine/>
    <w:uiPriority w:val="35"/>
    <w:unhideWhenUsed/>
    <w:qFormat/>
    <w:rsid w:val="00B237F8"/>
    <w:pPr>
      <w:spacing w:after="0" w:line="240" w:lineRule="auto"/>
      <w:jc w:val="center"/>
    </w:pPr>
    <w:rPr>
      <w:rFonts w:ascii="Times New Roman" w:hAnsi="Times New Roman"/>
      <w:bCs/>
      <w:color w:val="000000" w:themeColor="text1"/>
      <w:sz w:val="24"/>
      <w:szCs w:val="18"/>
    </w:rPr>
  </w:style>
  <w:style w:type="paragraph" w:styleId="BalloonText">
    <w:name w:val="Balloon Text"/>
    <w:basedOn w:val="Normal"/>
    <w:link w:val="BalloonTextChar"/>
    <w:uiPriority w:val="99"/>
    <w:semiHidden/>
    <w:unhideWhenUsed/>
    <w:rsid w:val="003B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E14"/>
    <w:rPr>
      <w:rFonts w:ascii="Tahoma" w:hAnsi="Tahoma" w:cs="Tahoma"/>
      <w:kern w:val="0"/>
      <w:sz w:val="16"/>
      <w:szCs w:val="16"/>
      <w14:ligatures w14:val="none"/>
    </w:rPr>
  </w:style>
  <w:style w:type="character" w:styleId="Strong">
    <w:name w:val="Strong"/>
    <w:basedOn w:val="DefaultParagraphFont"/>
    <w:uiPriority w:val="22"/>
    <w:qFormat/>
    <w:rsid w:val="00EC778E"/>
    <w:rPr>
      <w:b/>
      <w:bCs/>
    </w:rPr>
  </w:style>
  <w:style w:type="character" w:styleId="PlaceholderText">
    <w:name w:val="Placeholder Text"/>
    <w:basedOn w:val="DefaultParagraphFont"/>
    <w:uiPriority w:val="99"/>
    <w:semiHidden/>
    <w:rsid w:val="001034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ndao\Documents\Msc%20Dissertation\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0%</c:v>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Percent of plastic waste</c:v>
              </c:pt>
            </c:strLit>
          </c:cat>
          <c:val>
            <c:numRef>
              <c:f>Sheet1!$B$3</c:f>
              <c:numCache>
                <c:formatCode>General</c:formatCode>
                <c:ptCount val="1"/>
                <c:pt idx="0">
                  <c:v>57</c:v>
                </c:pt>
              </c:numCache>
            </c:numRef>
          </c:val>
          <c:extLst>
            <c:ext xmlns:c16="http://schemas.microsoft.com/office/drawing/2014/chart" uri="{C3380CC4-5D6E-409C-BE32-E72D297353CC}">
              <c16:uniqueId val="{00000000-F5C8-4162-A93E-054C3BC1E004}"/>
            </c:ext>
          </c:extLst>
        </c:ser>
        <c:ser>
          <c:idx val="1"/>
          <c:order val="1"/>
          <c:tx>
            <c:v>10</c:v>
          </c:tx>
          <c:spPr>
            <a:solidFill>
              <a:schemeClr val="accent2"/>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Percent of plastic waste</c:v>
              </c:pt>
            </c:strLit>
          </c:cat>
          <c:val>
            <c:numRef>
              <c:f>Sheet1!$B$4</c:f>
              <c:numCache>
                <c:formatCode>General</c:formatCode>
                <c:ptCount val="1"/>
                <c:pt idx="0">
                  <c:v>61</c:v>
                </c:pt>
              </c:numCache>
            </c:numRef>
          </c:val>
          <c:extLst>
            <c:ext xmlns:c16="http://schemas.microsoft.com/office/drawing/2014/chart" uri="{C3380CC4-5D6E-409C-BE32-E72D297353CC}">
              <c16:uniqueId val="{00000001-F5C8-4162-A93E-054C3BC1E004}"/>
            </c:ext>
          </c:extLst>
        </c:ser>
        <c:ser>
          <c:idx val="2"/>
          <c:order val="2"/>
          <c:tx>
            <c:strRef>
              <c:f>Sheet1!$A$5</c:f>
              <c:strCache>
                <c:ptCount val="1"/>
                <c:pt idx="0">
                  <c:v>20</c:v>
                </c:pt>
              </c:strCache>
            </c:strRef>
          </c:tx>
          <c:spPr>
            <a:solidFill>
              <a:schemeClr val="accent3"/>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Percent of plastic waste</c:v>
              </c:pt>
            </c:strLit>
          </c:cat>
          <c:val>
            <c:numRef>
              <c:f>Sheet1!$B$5</c:f>
              <c:numCache>
                <c:formatCode>General</c:formatCode>
                <c:ptCount val="1"/>
                <c:pt idx="0">
                  <c:v>64</c:v>
                </c:pt>
              </c:numCache>
            </c:numRef>
          </c:val>
          <c:extLst>
            <c:ext xmlns:c16="http://schemas.microsoft.com/office/drawing/2014/chart" uri="{C3380CC4-5D6E-409C-BE32-E72D297353CC}">
              <c16:uniqueId val="{00000002-F5C8-4162-A93E-054C3BC1E004}"/>
            </c:ext>
          </c:extLst>
        </c:ser>
        <c:ser>
          <c:idx val="3"/>
          <c:order val="3"/>
          <c:tx>
            <c:strRef>
              <c:f>Sheet1!$A$6</c:f>
              <c:strCache>
                <c:ptCount val="1"/>
                <c:pt idx="0">
                  <c:v>30</c:v>
                </c:pt>
              </c:strCache>
            </c:strRef>
          </c:tx>
          <c:spPr>
            <a:solidFill>
              <a:schemeClr val="accent4"/>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Percent of plastic waste</c:v>
              </c:pt>
            </c:strLit>
          </c:cat>
          <c:val>
            <c:numRef>
              <c:f>Sheet1!$B$6</c:f>
              <c:numCache>
                <c:formatCode>General</c:formatCode>
                <c:ptCount val="1"/>
                <c:pt idx="0">
                  <c:v>67</c:v>
                </c:pt>
              </c:numCache>
            </c:numRef>
          </c:val>
          <c:extLst>
            <c:ext xmlns:c16="http://schemas.microsoft.com/office/drawing/2014/chart" uri="{C3380CC4-5D6E-409C-BE32-E72D297353CC}">
              <c16:uniqueId val="{00000003-F5C8-4162-A93E-054C3BC1E004}"/>
            </c:ext>
          </c:extLst>
        </c:ser>
        <c:ser>
          <c:idx val="4"/>
          <c:order val="4"/>
          <c:tx>
            <c:strRef>
              <c:f>Sheet1!$A$7</c:f>
              <c:strCache>
                <c:ptCount val="1"/>
                <c:pt idx="0">
                  <c:v>40</c:v>
                </c:pt>
              </c:strCache>
            </c:strRef>
          </c:tx>
          <c:spPr>
            <a:solidFill>
              <a:schemeClr val="accent5"/>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Percent of plastic waste</c:v>
              </c:pt>
            </c:strLit>
          </c:cat>
          <c:val>
            <c:numRef>
              <c:f>Sheet1!$B$7</c:f>
              <c:numCache>
                <c:formatCode>General</c:formatCode>
                <c:ptCount val="1"/>
                <c:pt idx="0">
                  <c:v>70</c:v>
                </c:pt>
              </c:numCache>
            </c:numRef>
          </c:val>
          <c:extLst>
            <c:ext xmlns:c16="http://schemas.microsoft.com/office/drawing/2014/chart" uri="{C3380CC4-5D6E-409C-BE32-E72D297353CC}">
              <c16:uniqueId val="{00000004-F5C8-4162-A93E-054C3BC1E004}"/>
            </c:ext>
          </c:extLst>
        </c:ser>
        <c:ser>
          <c:idx val="5"/>
          <c:order val="5"/>
          <c:tx>
            <c:strRef>
              <c:f>Sheet1!$A$8</c:f>
              <c:strCache>
                <c:ptCount val="1"/>
                <c:pt idx="0">
                  <c:v>50</c:v>
                </c:pt>
              </c:strCache>
            </c:strRef>
          </c:tx>
          <c:spPr>
            <a:solidFill>
              <a:schemeClr val="accent6"/>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Percent of plastic waste</c:v>
              </c:pt>
            </c:strLit>
          </c:cat>
          <c:val>
            <c:numRef>
              <c:f>Sheet1!$B$8</c:f>
              <c:numCache>
                <c:formatCode>General</c:formatCode>
                <c:ptCount val="1"/>
                <c:pt idx="0">
                  <c:v>73</c:v>
                </c:pt>
              </c:numCache>
            </c:numRef>
          </c:val>
          <c:extLst>
            <c:ext xmlns:c16="http://schemas.microsoft.com/office/drawing/2014/chart" uri="{C3380CC4-5D6E-409C-BE32-E72D297353CC}">
              <c16:uniqueId val="{00000005-F5C8-4162-A93E-054C3BC1E004}"/>
            </c:ext>
          </c:extLst>
        </c:ser>
        <c:dLbls>
          <c:dLblPos val="outEnd"/>
          <c:showLegendKey val="0"/>
          <c:showVal val="1"/>
          <c:showCatName val="0"/>
          <c:showSerName val="0"/>
          <c:showPercent val="0"/>
          <c:showBubbleSize val="0"/>
        </c:dLbls>
        <c:gapWidth val="150"/>
        <c:axId val="422506416"/>
        <c:axId val="422507592"/>
      </c:barChart>
      <c:catAx>
        <c:axId val="422506416"/>
        <c:scaling>
          <c:orientation val="minMax"/>
        </c:scaling>
        <c:delete val="1"/>
        <c:axPos val="b"/>
        <c:title>
          <c:tx>
            <c:rich>
              <a:bodyPr rot="0" vert="horz"/>
              <a:lstStyle/>
              <a:p>
                <a:pPr>
                  <a:defRPr/>
                </a:pPr>
                <a:r>
                  <a:rPr lang="en-US"/>
                  <a:t>Percentage of Plastic waste (%)</a:t>
                </a:r>
              </a:p>
            </c:rich>
          </c:tx>
          <c:overlay val="0"/>
          <c:spPr>
            <a:noFill/>
            <a:ln>
              <a:noFill/>
            </a:ln>
            <a:effectLst/>
          </c:spPr>
        </c:title>
        <c:numFmt formatCode="General" sourceLinked="1"/>
        <c:majorTickMark val="out"/>
        <c:minorTickMark val="none"/>
        <c:tickLblPos val="nextTo"/>
        <c:crossAx val="422507592"/>
        <c:crosses val="autoZero"/>
        <c:auto val="1"/>
        <c:lblAlgn val="ctr"/>
        <c:lblOffset val="100"/>
        <c:tickMarkSkip val="1"/>
        <c:noMultiLvlLbl val="0"/>
      </c:catAx>
      <c:valAx>
        <c:axId val="422507592"/>
        <c:scaling>
          <c:orientation val="minMax"/>
        </c:scaling>
        <c:delete val="0"/>
        <c:axPos val="l"/>
        <c:title>
          <c:tx>
            <c:rich>
              <a:bodyPr rot="-5400000" vert="horz"/>
              <a:lstStyle/>
              <a:p>
                <a:pPr>
                  <a:defRPr/>
                </a:pPr>
                <a:r>
                  <a:rPr lang="en-US"/>
                  <a:t>Softening Point (0C)</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22506416"/>
        <c:crosses val="autoZero"/>
        <c:crossBetween val="between"/>
      </c:valAx>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Sheet1!$B$87:$B$91</c:f>
              <c:numCache>
                <c:formatCode>General</c:formatCode>
                <c:ptCount val="5"/>
                <c:pt idx="0">
                  <c:v>5</c:v>
                </c:pt>
                <c:pt idx="1">
                  <c:v>5.5</c:v>
                </c:pt>
                <c:pt idx="2">
                  <c:v>6</c:v>
                </c:pt>
                <c:pt idx="3">
                  <c:v>6.5</c:v>
                </c:pt>
                <c:pt idx="4">
                  <c:v>7</c:v>
                </c:pt>
              </c:numCache>
            </c:numRef>
          </c:xVal>
          <c:yVal>
            <c:numRef>
              <c:f>Sheet1!$C$87:$C$91</c:f>
              <c:numCache>
                <c:formatCode>General</c:formatCode>
                <c:ptCount val="5"/>
                <c:pt idx="0">
                  <c:v>3.8699999999999997</c:v>
                </c:pt>
                <c:pt idx="1">
                  <c:v>4.2699999999999996</c:v>
                </c:pt>
                <c:pt idx="2">
                  <c:v>4.9800000000000004</c:v>
                </c:pt>
                <c:pt idx="3">
                  <c:v>3.3299999999999987</c:v>
                </c:pt>
                <c:pt idx="4">
                  <c:v>3.53</c:v>
                </c:pt>
              </c:numCache>
            </c:numRef>
          </c:yVal>
          <c:smooth val="1"/>
          <c:extLst>
            <c:ext xmlns:c16="http://schemas.microsoft.com/office/drawing/2014/chart" uri="{C3380CC4-5D6E-409C-BE32-E72D297353CC}">
              <c16:uniqueId val="{00000000-69F8-F441-92DE-511BDB086DF0}"/>
            </c:ext>
          </c:extLst>
        </c:ser>
        <c:dLbls>
          <c:showLegendKey val="0"/>
          <c:showVal val="0"/>
          <c:showCatName val="0"/>
          <c:showSerName val="0"/>
          <c:showPercent val="0"/>
          <c:showBubbleSize val="0"/>
        </c:dLbls>
        <c:axId val="277228896"/>
        <c:axId val="277227720"/>
      </c:scatterChart>
      <c:valAx>
        <c:axId val="277228896"/>
        <c:scaling>
          <c:orientation val="minMax"/>
          <c:max val="7"/>
          <c:min val="5"/>
        </c:scaling>
        <c:delete val="0"/>
        <c:axPos val="b"/>
        <c:majorGridlines>
          <c:spPr>
            <a:ln w="9525" cap="flat" cmpd="sng" algn="ctr">
              <a:noFill/>
              <a:round/>
            </a:ln>
            <a:effectLst/>
          </c:spPr>
        </c:majorGridlines>
        <c:minorGridlines>
          <c:spPr>
            <a:ln w="9525" cap="flat" cmpd="sng" algn="ctr">
              <a:noFill/>
              <a:round/>
            </a:ln>
            <a:effectLst/>
          </c:spPr>
        </c:minorGridlines>
        <c:title>
          <c:tx>
            <c:rich>
              <a:bodyPr rot="0" vert="horz"/>
              <a:lstStyle/>
              <a:p>
                <a:pPr>
                  <a:defRPr/>
                </a:pPr>
                <a:r>
                  <a:rPr lang="en-US"/>
                  <a:t>Bitumen Percentage</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77227720"/>
        <c:crosses val="autoZero"/>
        <c:crossBetween val="midCat"/>
      </c:valAx>
      <c:valAx>
        <c:axId val="277227720"/>
        <c:scaling>
          <c:orientation val="minMax"/>
          <c:max val="5.0999999999999996"/>
          <c:min val="3"/>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vert="horz"/>
              <a:lstStyle/>
              <a:p>
                <a:pPr>
                  <a:defRPr/>
                </a:pPr>
                <a:r>
                  <a:rPr lang="en-US"/>
                  <a:t>Stability (kn)</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772288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scatterChart>
        <c:scatterStyle val="smoothMarker"/>
        <c:varyColors val="0"/>
        <c:ser>
          <c:idx val="0"/>
          <c:order val="0"/>
          <c:tx>
            <c:v>Plastic Content Vs. Stability</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Sheet3!$A$3:$A$7</c:f>
              <c:numCache>
                <c:formatCode>General</c:formatCode>
                <c:ptCount val="5"/>
                <c:pt idx="0">
                  <c:v>10</c:v>
                </c:pt>
                <c:pt idx="1">
                  <c:v>20</c:v>
                </c:pt>
                <c:pt idx="2">
                  <c:v>30</c:v>
                </c:pt>
                <c:pt idx="3">
                  <c:v>40</c:v>
                </c:pt>
                <c:pt idx="4">
                  <c:v>50</c:v>
                </c:pt>
              </c:numCache>
            </c:numRef>
          </c:xVal>
          <c:yVal>
            <c:numRef>
              <c:f>Sheet3!$B$3:$B$7</c:f>
              <c:numCache>
                <c:formatCode>General</c:formatCode>
                <c:ptCount val="5"/>
                <c:pt idx="0">
                  <c:v>4.32</c:v>
                </c:pt>
                <c:pt idx="1">
                  <c:v>5.25</c:v>
                </c:pt>
                <c:pt idx="2">
                  <c:v>4.95</c:v>
                </c:pt>
                <c:pt idx="3">
                  <c:v>4.28</c:v>
                </c:pt>
                <c:pt idx="4">
                  <c:v>3.6</c:v>
                </c:pt>
              </c:numCache>
            </c:numRef>
          </c:yVal>
          <c:smooth val="1"/>
          <c:extLst>
            <c:ext xmlns:c16="http://schemas.microsoft.com/office/drawing/2014/chart" uri="{C3380CC4-5D6E-409C-BE32-E72D297353CC}">
              <c16:uniqueId val="{00000000-A5BC-4AAE-9D36-7B242667D928}"/>
            </c:ext>
          </c:extLst>
        </c:ser>
        <c:dLbls>
          <c:showLegendKey val="0"/>
          <c:showVal val="0"/>
          <c:showCatName val="0"/>
          <c:showSerName val="0"/>
          <c:showPercent val="0"/>
          <c:showBubbleSize val="0"/>
        </c:dLbls>
        <c:axId val="277229680"/>
        <c:axId val="277229288"/>
      </c:scatterChart>
      <c:valAx>
        <c:axId val="2772296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Plastic Content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229288"/>
        <c:crosses val="autoZero"/>
        <c:crossBetween val="midCat"/>
      </c:valAx>
      <c:valAx>
        <c:axId val="277229288"/>
        <c:scaling>
          <c:orientation val="minMax"/>
          <c:min val="3"/>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Stability (KN)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7229680"/>
        <c:crosses val="autoZero"/>
        <c:crossBetween val="midCat"/>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200"/>
            </a:pPr>
            <a:r>
              <a:rPr lang="en-US" sz="1200"/>
              <a:t>Bitumen vs Bulk density</a:t>
            </a:r>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Sheet2!$A$5:$A$9</c:f>
              <c:numCache>
                <c:formatCode>General</c:formatCode>
                <c:ptCount val="5"/>
                <c:pt idx="0">
                  <c:v>5</c:v>
                </c:pt>
                <c:pt idx="1">
                  <c:v>5.5</c:v>
                </c:pt>
                <c:pt idx="2">
                  <c:v>6</c:v>
                </c:pt>
                <c:pt idx="3">
                  <c:v>6.5</c:v>
                </c:pt>
                <c:pt idx="4">
                  <c:v>7</c:v>
                </c:pt>
              </c:numCache>
            </c:numRef>
          </c:xVal>
          <c:yVal>
            <c:numRef>
              <c:f>Sheet2!$D$5:$D$9</c:f>
              <c:numCache>
                <c:formatCode>General</c:formatCode>
                <c:ptCount val="5"/>
                <c:pt idx="0">
                  <c:v>2.33</c:v>
                </c:pt>
                <c:pt idx="1">
                  <c:v>2.35</c:v>
                </c:pt>
                <c:pt idx="2">
                  <c:v>2.36</c:v>
                </c:pt>
                <c:pt idx="3">
                  <c:v>2.2999999999999998</c:v>
                </c:pt>
                <c:pt idx="4">
                  <c:v>2.2400000000000002</c:v>
                </c:pt>
              </c:numCache>
            </c:numRef>
          </c:yVal>
          <c:smooth val="1"/>
          <c:extLst>
            <c:ext xmlns:c16="http://schemas.microsoft.com/office/drawing/2014/chart" uri="{C3380CC4-5D6E-409C-BE32-E72D297353CC}">
              <c16:uniqueId val="{00000000-185C-7241-A6F4-36E31C39E22C}"/>
            </c:ext>
          </c:extLst>
        </c:ser>
        <c:dLbls>
          <c:showLegendKey val="0"/>
          <c:showVal val="0"/>
          <c:showCatName val="0"/>
          <c:showSerName val="0"/>
          <c:showPercent val="0"/>
          <c:showBubbleSize val="0"/>
        </c:dLbls>
        <c:axId val="277230464"/>
        <c:axId val="277230856"/>
      </c:scatterChart>
      <c:valAx>
        <c:axId val="277230464"/>
        <c:scaling>
          <c:orientation val="minMax"/>
          <c:min val="4.5"/>
        </c:scaling>
        <c:delete val="0"/>
        <c:axPos val="b"/>
        <c:title>
          <c:tx>
            <c:rich>
              <a:bodyPr rot="0" vert="horz"/>
              <a:lstStyle/>
              <a:p>
                <a:pPr>
                  <a:defRPr/>
                </a:pPr>
                <a:r>
                  <a:rPr lang="en-US"/>
                  <a:t>Bitumen Percentage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77230856"/>
        <c:crosses val="autoZero"/>
        <c:crossBetween val="midCat"/>
      </c:valAx>
      <c:valAx>
        <c:axId val="277230856"/>
        <c:scaling>
          <c:orientation val="minMax"/>
        </c:scaling>
        <c:delete val="0"/>
        <c:axPos val="l"/>
        <c:title>
          <c:tx>
            <c:rich>
              <a:bodyPr rot="-5400000" vert="horz"/>
              <a:lstStyle/>
              <a:p>
                <a:pPr>
                  <a:defRPr/>
                </a:pPr>
                <a:r>
                  <a:rPr lang="en-US"/>
                  <a:t>Bulk Density Kg/m3</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772304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vert="horz"/>
        <a:lstStyle/>
        <a:p>
          <a:pPr>
            <a:defRPr/>
          </a:pPr>
          <a:endParaRPr lang="en-US"/>
        </a:p>
      </c:txPr>
    </c:title>
    <c:autoTitleDeleted val="0"/>
    <c:plotArea>
      <c:layout/>
      <c:scatterChart>
        <c:scatterStyle val="smoothMarker"/>
        <c:varyColors val="0"/>
        <c:ser>
          <c:idx val="0"/>
          <c:order val="0"/>
          <c:tx>
            <c:v>Plastic Vs. Bulk Density</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Sheet3!$A$3:$A$7</c:f>
              <c:numCache>
                <c:formatCode>General</c:formatCode>
                <c:ptCount val="5"/>
                <c:pt idx="0">
                  <c:v>10</c:v>
                </c:pt>
                <c:pt idx="1">
                  <c:v>20</c:v>
                </c:pt>
                <c:pt idx="2">
                  <c:v>30</c:v>
                </c:pt>
                <c:pt idx="3">
                  <c:v>40</c:v>
                </c:pt>
                <c:pt idx="4">
                  <c:v>50</c:v>
                </c:pt>
              </c:numCache>
            </c:numRef>
          </c:xVal>
          <c:yVal>
            <c:numRef>
              <c:f>Sheet3!$D$3:$D$7</c:f>
              <c:numCache>
                <c:formatCode>General</c:formatCode>
                <c:ptCount val="5"/>
                <c:pt idx="0">
                  <c:v>2.33</c:v>
                </c:pt>
                <c:pt idx="1">
                  <c:v>2.29</c:v>
                </c:pt>
                <c:pt idx="2">
                  <c:v>2.2799999999999998</c:v>
                </c:pt>
                <c:pt idx="3">
                  <c:v>2.34</c:v>
                </c:pt>
                <c:pt idx="4">
                  <c:v>2.41</c:v>
                </c:pt>
              </c:numCache>
            </c:numRef>
          </c:yVal>
          <c:smooth val="1"/>
          <c:extLst>
            <c:ext xmlns:c16="http://schemas.microsoft.com/office/drawing/2014/chart" uri="{C3380CC4-5D6E-409C-BE32-E72D297353CC}">
              <c16:uniqueId val="{00000000-2064-8941-8D54-6A81A63BD44F}"/>
            </c:ext>
          </c:extLst>
        </c:ser>
        <c:dLbls>
          <c:showLegendKey val="0"/>
          <c:showVal val="0"/>
          <c:showCatName val="0"/>
          <c:showSerName val="0"/>
          <c:showPercent val="0"/>
          <c:showBubbleSize val="0"/>
        </c:dLbls>
        <c:axId val="420672216"/>
        <c:axId val="420667512"/>
      </c:scatterChart>
      <c:valAx>
        <c:axId val="420672216"/>
        <c:scaling>
          <c:orientation val="minMax"/>
        </c:scaling>
        <c:delete val="0"/>
        <c:axPos val="b"/>
        <c:title>
          <c:tx>
            <c:rich>
              <a:bodyPr rot="0" vert="horz"/>
              <a:lstStyle/>
              <a:p>
                <a:pPr>
                  <a:defRPr/>
                </a:pPr>
                <a:r>
                  <a:rPr lang="en-US"/>
                  <a:t>Plastic Content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20667512"/>
        <c:crosses val="autoZero"/>
        <c:crossBetween val="midCat"/>
      </c:valAx>
      <c:valAx>
        <c:axId val="420667512"/>
        <c:scaling>
          <c:orientation val="minMax"/>
        </c:scaling>
        <c:delete val="0"/>
        <c:axPos val="l"/>
        <c:title>
          <c:tx>
            <c:rich>
              <a:bodyPr rot="-5400000" vert="horz"/>
              <a:lstStyle/>
              <a:p>
                <a:pPr>
                  <a:defRPr/>
                </a:pPr>
                <a:r>
                  <a:rPr lang="en-US"/>
                  <a:t>Bulk Density (KN/m3)</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206722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ITS</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Sheet1!$A$3:$A$8</c:f>
              <c:numCache>
                <c:formatCode>General</c:formatCode>
                <c:ptCount val="6"/>
                <c:pt idx="0">
                  <c:v>0</c:v>
                </c:pt>
                <c:pt idx="1">
                  <c:v>10</c:v>
                </c:pt>
                <c:pt idx="2">
                  <c:v>20</c:v>
                </c:pt>
                <c:pt idx="3">
                  <c:v>30</c:v>
                </c:pt>
                <c:pt idx="4">
                  <c:v>40</c:v>
                </c:pt>
                <c:pt idx="5">
                  <c:v>50</c:v>
                </c:pt>
              </c:numCache>
            </c:numRef>
          </c:cat>
          <c:val>
            <c:numRef>
              <c:f>Sheet1!$D$3:$D$8</c:f>
              <c:numCache>
                <c:formatCode>General</c:formatCode>
                <c:ptCount val="6"/>
                <c:pt idx="0">
                  <c:v>0.1358</c:v>
                </c:pt>
                <c:pt idx="1">
                  <c:v>0.14599999999999999</c:v>
                </c:pt>
                <c:pt idx="2">
                  <c:v>0.15790000000000001</c:v>
                </c:pt>
                <c:pt idx="3">
                  <c:v>0.13159999999999999</c:v>
                </c:pt>
                <c:pt idx="4">
                  <c:v>0.12479999999999999</c:v>
                </c:pt>
                <c:pt idx="5">
                  <c:v>0.112</c:v>
                </c:pt>
              </c:numCache>
            </c:numRef>
          </c:val>
          <c:extLst>
            <c:ext xmlns:c16="http://schemas.microsoft.com/office/drawing/2014/chart" uri="{C3380CC4-5D6E-409C-BE32-E72D297353CC}">
              <c16:uniqueId val="{00000000-737F-46B4-B68C-6FEB7268715B}"/>
            </c:ext>
          </c:extLst>
        </c:ser>
        <c:dLbls>
          <c:showLegendKey val="0"/>
          <c:showVal val="0"/>
          <c:showCatName val="0"/>
          <c:showSerName val="0"/>
          <c:showPercent val="0"/>
          <c:showBubbleSize val="0"/>
        </c:dLbls>
        <c:gapWidth val="150"/>
        <c:shape val="box"/>
        <c:axId val="420673784"/>
        <c:axId val="420667904"/>
        <c:axId val="0"/>
      </c:bar3DChart>
      <c:catAx>
        <c:axId val="4206737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Percentage of Plastic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20667904"/>
        <c:crosses val="autoZero"/>
        <c:auto val="1"/>
        <c:lblAlgn val="ctr"/>
        <c:lblOffset val="100"/>
        <c:noMultiLvlLbl val="0"/>
      </c:catAx>
      <c:valAx>
        <c:axId val="42066790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t>Indirect Tensile Strength (Mpa)</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2067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6A0FE0-D67E-F642-B3FC-576B07875637}">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1307C-D26A-4106-A704-899D8C10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10</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assiaboubakar@gmail.com</dc:creator>
  <cp:keywords/>
  <dc:description/>
  <cp:lastModifiedBy>Editor-11</cp:lastModifiedBy>
  <cp:revision>2</cp:revision>
  <cp:lastPrinted>2025-08-22T16:30:00Z</cp:lastPrinted>
  <dcterms:created xsi:type="dcterms:W3CDTF">2025-08-22T16:30:00Z</dcterms:created>
  <dcterms:modified xsi:type="dcterms:W3CDTF">2025-11-12T11:08:00Z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6bbfb0b9-948d-3463-a060-db3479d843ee</vt:lpwstr>
  </property>
  <property fmtid="{D5CDD505-2E9C-101B-9397-08002B2CF9AE}" pid="24" name="Mendeley Citation Style_1">
    <vt:lpwstr>http://www.zotero.org/styles/apa</vt:lpwstr>
  </property>
</Properties>
</file>