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50DEC" w14:textId="50302430" w:rsidR="00A54716" w:rsidRPr="00A54716" w:rsidRDefault="00A54716" w:rsidP="00A54716">
      <w:pPr>
        <w:pStyle w:val="papertitle"/>
        <w:spacing w:before="100" w:beforeAutospacing="1" w:after="100" w:afterAutospacing="1"/>
        <w:jc w:val="left"/>
        <w:rPr>
          <w:iCs/>
          <w:kern w:val="48"/>
          <w:sz w:val="40"/>
          <w:szCs w:val="40"/>
          <w:u w:val="single"/>
        </w:rPr>
      </w:pPr>
      <w:bookmarkStart w:id="0" w:name="_Hlk114168146"/>
      <w:r w:rsidRPr="00A54716">
        <w:rPr>
          <w:iCs/>
          <w:kern w:val="48"/>
          <w:sz w:val="40"/>
          <w:szCs w:val="40"/>
          <w:u w:val="single"/>
        </w:rPr>
        <w:t>Original Research Article</w:t>
      </w:r>
      <w:bookmarkStart w:id="1" w:name="_GoBack"/>
      <w:bookmarkEnd w:id="1"/>
    </w:p>
    <w:p w14:paraId="18AD3FD5" w14:textId="2055128A" w:rsidR="00D7522C" w:rsidRDefault="00A14A99" w:rsidP="00E437EA">
      <w:pPr>
        <w:pStyle w:val="papertitle"/>
        <w:spacing w:before="100" w:beforeAutospacing="1" w:after="100" w:afterAutospacing="1"/>
        <w:rPr>
          <w:iCs/>
          <w:kern w:val="48"/>
        </w:rPr>
      </w:pPr>
      <w:r w:rsidRPr="00A14A99">
        <w:rPr>
          <w:iCs/>
          <w:kern w:val="48"/>
        </w:rPr>
        <w:t>Green Building Certification and Smart Façade Systems for U.S. Sustainability Goals</w:t>
      </w:r>
      <w:r w:rsidR="002E6A4C" w:rsidRPr="002E6A4C">
        <w:rPr>
          <w:iCs/>
          <w:kern w:val="48"/>
        </w:rPr>
        <w:t xml:space="preserve"> </w:t>
      </w:r>
      <w:bookmarkEnd w:id="0"/>
    </w:p>
    <w:p w14:paraId="30378472" w14:textId="13848367" w:rsidR="006434A7" w:rsidRPr="009F6FAB" w:rsidRDefault="006434A7" w:rsidP="007602BA">
      <w:pPr>
        <w:pStyle w:val="papertitle"/>
        <w:spacing w:after="0"/>
        <w:jc w:val="both"/>
        <w:rPr>
          <w:iCs/>
          <w:kern w:val="48"/>
          <w:sz w:val="20"/>
          <w:szCs w:val="20"/>
        </w:rPr>
        <w:sectPr w:rsidR="006434A7" w:rsidRPr="009F6FAB" w:rsidSect="00B3184D">
          <w:headerReference w:type="even" r:id="rId8"/>
          <w:headerReference w:type="default" r:id="rId9"/>
          <w:footerReference w:type="even" r:id="rId10"/>
          <w:footerReference w:type="default" r:id="rId11"/>
          <w:headerReference w:type="first" r:id="rId12"/>
          <w:footerReference w:type="first" r:id="rId13"/>
          <w:pgSz w:w="12240" w:h="15840" w:code="1"/>
          <w:pgMar w:top="1080" w:right="893" w:bottom="1440" w:left="893" w:header="720" w:footer="720" w:gutter="0"/>
          <w:cols w:space="720"/>
          <w:titlePg/>
          <w:docGrid w:linePitch="360"/>
        </w:sectPr>
      </w:pPr>
    </w:p>
    <w:p w14:paraId="7CD81970" w14:textId="77777777" w:rsidR="009F1D79" w:rsidRPr="006B7F11" w:rsidRDefault="009F1D79" w:rsidP="00F67B63">
      <w:pPr>
        <w:jc w:val="both"/>
        <w:sectPr w:rsidR="009F1D79" w:rsidRPr="006B7F11" w:rsidSect="00B3184D">
          <w:type w:val="continuous"/>
          <w:pgSz w:w="12240" w:h="15840" w:code="1"/>
          <w:pgMar w:top="1080" w:right="893" w:bottom="1440" w:left="893" w:header="720" w:footer="720" w:gutter="0"/>
          <w:cols w:num="3" w:space="720"/>
          <w:docGrid w:linePitch="360"/>
        </w:sectPr>
      </w:pPr>
    </w:p>
    <w:p w14:paraId="0954DA86" w14:textId="77777777" w:rsidR="009D28EB" w:rsidRPr="000007A1" w:rsidRDefault="009D28EB" w:rsidP="009D28EB">
      <w:pPr>
        <w:jc w:val="both"/>
        <w:sectPr w:rsidR="009D28EB" w:rsidRPr="000007A1" w:rsidSect="00B3184D">
          <w:type w:val="continuous"/>
          <w:pgSz w:w="12240" w:h="15840" w:code="1"/>
          <w:pgMar w:top="1080" w:right="893" w:bottom="1440" w:left="893" w:header="720" w:footer="720" w:gutter="0"/>
          <w:cols w:num="3" w:space="720"/>
          <w:docGrid w:linePitch="360"/>
        </w:sectPr>
      </w:pPr>
    </w:p>
    <w:p w14:paraId="7476365B" w14:textId="3FAE8417" w:rsidR="009D28EB" w:rsidRDefault="009303D9" w:rsidP="006434A7">
      <w:pPr>
        <w:pStyle w:val="Abstract"/>
        <w:ind w:firstLine="0"/>
      </w:pPr>
      <w:r w:rsidRPr="000007A1">
        <w:rPr>
          <w:i/>
          <w:iCs/>
        </w:rPr>
        <w:t>Abstract</w:t>
      </w:r>
      <w:r w:rsidRPr="000007A1">
        <w:t>—</w:t>
      </w:r>
      <w:r w:rsidR="000007A1" w:rsidRPr="000007A1">
        <w:t xml:space="preserve"> </w:t>
      </w:r>
      <w:r w:rsidR="00354040" w:rsidRPr="000F697A">
        <w:rPr>
          <w:color w:val="0070C0"/>
          <w:highlight w:val="yellow"/>
        </w:rPr>
        <w:t>The built environment remains a key driver for reducing energy consumption, carbon emissions, and health burdens across the United States. As energy codes tighten and Environmental, Social, and Governance (ESG) goals become more central to project planning, third-party green building certifications have evolved into effective frameworks linking design intent with measurable performance. Concurrently, intelligent building envelopes or “smart façades” have advanced from static architectural features to adaptive systems capable of optimizing energy loads, enhancing occupant comfort, and enabling grid-interactive operations. This study examines the convergence between U.S. sustainability objectives and certification systems such as LEED, WELL, ENERGY STAR, PHIUS, and Living Building Challenge, through the lens of emerging façade technologies including electrochromic glazing, automated shading, ventilated double-skin façades (VDSFs), and building-integrated photovoltaics (BIPVs). Using simulation-based analyses across office, academic, and healthcare typologies, results indicate that electrochromic and automated shading systems can reduce cooling and lighting energy consumption by up to 28–35%, while VDSFs and BIPVs enhance thermal stability and contribute 10–15% onsite energy generation. The proposed framework integrates daylight–glare simulation, thermal modeling, and control commissioning with measurement and verification to align design decisions with certification credit pathways. Practically, the findings demonstrate that when adaptive façades are combined with predictive controls and post-occupancy tuning, buildings can achieve substantial energy savings (20–40%), improved visual and thermal comfort indices, and scalable compliance with U.S. decarbonization targets—without compromising architectural intent.</w:t>
      </w:r>
    </w:p>
    <w:p w14:paraId="70093B8C" w14:textId="47053CF7" w:rsidR="009303D9" w:rsidRPr="000007A1" w:rsidRDefault="004D72B5" w:rsidP="00972203">
      <w:pPr>
        <w:pStyle w:val="Keywords"/>
      </w:pPr>
      <w:r w:rsidRPr="000007A1">
        <w:t>Keywords—</w:t>
      </w:r>
      <w:r w:rsidR="00A14A99" w:rsidRPr="00A14A99">
        <w:t>Green building certification, smart façade, electrochromic glazing, automated shading, double-skin façade, building-integrated photovoltaics, LEED, U.S. energy codes, measurement and verification</w:t>
      </w:r>
      <w:r w:rsidR="001877C8">
        <w:t>.</w:t>
      </w:r>
    </w:p>
    <w:p w14:paraId="2D3E6BB6" w14:textId="774B8D04" w:rsidR="009303D9" w:rsidRPr="000007A1" w:rsidRDefault="009303D9" w:rsidP="006B6B66">
      <w:pPr>
        <w:pStyle w:val="Heading1"/>
      </w:pPr>
      <w:r w:rsidRPr="000007A1">
        <w:t>Introduction</w:t>
      </w:r>
    </w:p>
    <w:p w14:paraId="48296179" w14:textId="5A002076" w:rsidR="00A14A99" w:rsidRDefault="00A14A99" w:rsidP="007D2AC2">
      <w:pPr>
        <w:pStyle w:val="BodyText"/>
        <w:rPr>
          <w:lang w:val="en-US"/>
        </w:rPr>
      </w:pPr>
      <w:r w:rsidRPr="00A14A99">
        <w:rPr>
          <w:lang w:val="en-US"/>
        </w:rPr>
        <w:t>Voluntary certification systems in the United States have advanced performance- based building design for over 20 years by flagging and encoding best practices into a market signal for environmental and health quality. During the same period the theoretical divide between architecture and mechanical/electrical systems has transgressed into the building envelope</w:t>
      </w:r>
      <w:r w:rsidR="00DA1330">
        <w:rPr>
          <w:lang w:val="en-US"/>
        </w:rPr>
        <w:t xml:space="preserve"> [1]</w:t>
      </w:r>
      <w:r w:rsidRPr="00A14A99">
        <w:rPr>
          <w:lang w:val="en-US"/>
        </w:rPr>
        <w:t xml:space="preserve">. The facade was traditionally categorized as being a static element separating the inside from the outside, while today it is recognized as an active layer that responds to sun radiation, daylight admission and distribution and visual comfort. Intelligent building skins combine high-level materials with sensing, actuation and supervisory control to provide </w:t>
      </w:r>
      <w:r w:rsidRPr="00A14A99">
        <w:rPr>
          <w:lang w:val="en-US"/>
        </w:rPr>
        <w:t>dynamic adaptation to weather, occupancy and grid fluctuations. It is this two-fold motion of market frames on the demand side and envelope intelligence on the supply side that allows a good case to be made for relegating façade decisions to the level of primary factors determining certification</w:t>
      </w:r>
      <w:r w:rsidR="00DA1330">
        <w:rPr>
          <w:lang w:val="en-US"/>
        </w:rPr>
        <w:t xml:space="preserve"> [2]</w:t>
      </w:r>
      <w:r w:rsidRPr="00A14A99">
        <w:rPr>
          <w:lang w:val="en-US"/>
        </w:rPr>
        <w:t>.</w:t>
      </w:r>
    </w:p>
    <w:p w14:paraId="33441F8B" w14:textId="51F65170" w:rsidR="007D2AC2" w:rsidRPr="007D2AC2" w:rsidRDefault="00A14A99" w:rsidP="007D2AC2">
      <w:pPr>
        <w:pStyle w:val="BodyText"/>
        <w:rPr>
          <w:lang w:val="en-US"/>
        </w:rPr>
      </w:pPr>
      <w:r w:rsidRPr="00A14A99">
        <w:rPr>
          <w:lang w:val="en-US"/>
        </w:rPr>
        <w:t>This opportunity is enhanced by the U.S. sustainability landscape. Both public and private owners are increasingly feeling the squeeze to release energy and carbon performance, peak demand management, and heat stress offsetting information as metros come under pressure to retain satisfied occupants</w:t>
      </w:r>
      <w:r w:rsidR="00DA1330">
        <w:rPr>
          <w:lang w:val="en-US"/>
        </w:rPr>
        <w:t xml:space="preserve"> [3]</w:t>
      </w:r>
      <w:r w:rsidRPr="00A14A99">
        <w:rPr>
          <w:lang w:val="en-US"/>
        </w:rPr>
        <w:t>. Energy codes, e.g., IECC and ASHRAE 90.1 Ratchet envelope and controls requirements Benchmarking tax incentives pay for reduced use</w:t>
      </w:r>
      <w:r w:rsidR="00DA1330">
        <w:rPr>
          <w:lang w:val="en-US"/>
        </w:rPr>
        <w:t xml:space="preserve"> [4]</w:t>
      </w:r>
      <w:r w:rsidRPr="00A14A99">
        <w:rPr>
          <w:lang w:val="en-US"/>
        </w:rPr>
        <w:t>. With flexibility in mind, smart façades can be “load-shaping” technologies that will help to reduce energy and shift demand, further reducing the size of cooling plants by enhancing daylight autonomy and thereby reducing glare without relying on all- opaque solutions, which have an adverse effect on occupant well-being</w:t>
      </w:r>
      <w:r w:rsidR="00DA1330">
        <w:rPr>
          <w:lang w:val="en-US"/>
        </w:rPr>
        <w:t xml:space="preserve"> [5]</w:t>
      </w:r>
      <w:r w:rsidRPr="00A14A99">
        <w:rPr>
          <w:lang w:val="en-US"/>
        </w:rPr>
        <w:t>.</w:t>
      </w:r>
    </w:p>
    <w:p w14:paraId="1A4B1B2C" w14:textId="3C0638C6" w:rsidR="00B651CC" w:rsidRPr="00B651CC" w:rsidRDefault="00A14A99" w:rsidP="006526C7">
      <w:pPr>
        <w:pStyle w:val="Heading1"/>
      </w:pPr>
      <w:bookmarkStart w:id="2" w:name="_Hlk111193733"/>
      <w:r w:rsidRPr="00A14A99">
        <w:t>Background and Motivation</w:t>
      </w:r>
    </w:p>
    <w:p w14:paraId="3824C2F0" w14:textId="6CFE29EE" w:rsidR="00055538" w:rsidRPr="000F697A" w:rsidRDefault="00055538" w:rsidP="00055538">
      <w:pPr>
        <w:pStyle w:val="BodyText"/>
        <w:rPr>
          <w:color w:val="0070C0"/>
          <w:highlight w:val="yellow"/>
          <w:lang w:val="en-US"/>
        </w:rPr>
      </w:pPr>
      <w:bookmarkStart w:id="3" w:name="_Hlk107643077"/>
      <w:bookmarkEnd w:id="2"/>
      <w:r w:rsidRPr="000F697A">
        <w:rPr>
          <w:color w:val="0070C0"/>
          <w:highlight w:val="yellow"/>
          <w:lang w:val="en-US"/>
        </w:rPr>
        <w:t>A major challenge in achieving high-performance building design lies in translating broad sustainability objectives into specific, quantifiable design strategies that remain resilient under project uncertainties, operational variability, and evolving policy frameworks. Green building certification systems provide a valuable mechanism for bridging this gap by converting qualitative goals, such as health, equity, resilience, and decarbonization, into measurable criteria with verifiable compliance pathways. Among these, LEED emphasizes energy modeling, on-site renewable integration, refrigerant management, daylight optimization, and grid interaction; WELL focuses on occupant-centric metrics including lighting quality, thermal comfort, acoustics, and material health; and ENERGY STAR benchmarks operational energy performance based on normalized utility data. Similarly, frameworks such as Green Globes, BREEAM, Living Building Challenge (LBC), and Passive House (PHIUS) address domain-specific targets, with LBC particularly prioritizing passive survivability and regenerative design approaches [6]</w:t>
      </w:r>
      <w:proofErr w:type="gramStart"/>
      <w:r w:rsidRPr="000F697A">
        <w:rPr>
          <w:color w:val="0070C0"/>
          <w:highlight w:val="yellow"/>
          <w:lang w:val="en-US"/>
        </w:rPr>
        <w:t>–[</w:t>
      </w:r>
      <w:proofErr w:type="gramEnd"/>
      <w:r w:rsidRPr="000F697A">
        <w:rPr>
          <w:color w:val="0070C0"/>
          <w:highlight w:val="yellow"/>
          <w:lang w:val="en-US"/>
        </w:rPr>
        <w:t>8].</w:t>
      </w:r>
    </w:p>
    <w:p w14:paraId="2F5C4EEF" w14:textId="6D9B7D3A" w:rsidR="00055538" w:rsidRPr="000F697A" w:rsidRDefault="00055538" w:rsidP="00055538">
      <w:pPr>
        <w:pStyle w:val="BodyText"/>
        <w:rPr>
          <w:color w:val="0070C0"/>
          <w:highlight w:val="yellow"/>
          <w:lang w:val="en-US"/>
        </w:rPr>
      </w:pPr>
      <w:r w:rsidRPr="000F697A">
        <w:rPr>
          <w:color w:val="0070C0"/>
          <w:highlight w:val="yellow"/>
          <w:lang w:val="en-US"/>
        </w:rPr>
        <w:t>Smart façade technologies intersect with these certification domains by influencing energy use intensity, daylighting performance, visual and thermal comfort, and renewable energy generation potential. They also enhance resilience by contributing to passive survivability during grid interruptions. Physically, the building façade functions as a dynamic mediator of radiation, convection, and conduction, regulating daylight access and outdoor visibility. Key performance parameters—</w:t>
      </w:r>
      <w:r w:rsidRPr="000F697A">
        <w:rPr>
          <w:color w:val="0070C0"/>
          <w:highlight w:val="yellow"/>
          <w:lang w:val="en-US"/>
        </w:rPr>
        <w:lastRenderedPageBreak/>
        <w:t>such as spectral transmittance, reflectance, solar heat gain coefficient (SHGC), visible light transmission (VT), and thermal transmittance (U-factor)—define its energy behavior. While static optimization of these parameters is well established, adaptive façades introduce temporal flexibility by adjusting optical and geometric properties in response to variable sky conditions and mixed-mode heating–cooling demands [9], [10].</w:t>
      </w:r>
    </w:p>
    <w:p w14:paraId="77AFB9B1" w14:textId="513BED66" w:rsidR="00FB663A" w:rsidRPr="00055538" w:rsidRDefault="00055538" w:rsidP="00055538">
      <w:pPr>
        <w:pStyle w:val="BodyText"/>
        <w:rPr>
          <w:color w:val="0070C0"/>
        </w:rPr>
      </w:pPr>
      <w:r w:rsidRPr="000F697A">
        <w:rPr>
          <w:color w:val="0070C0"/>
          <w:highlight w:val="yellow"/>
          <w:lang w:val="en-US"/>
        </w:rPr>
        <w:t>Contemporary smart façades employ electrochromic and thermochromic glazing to modulate solar transmission, automated shading systems to control glare and heat gain, double-skin façades for natural ventilation and thermal buffering, and building-integrated photovoltaics (BIPV) to generate renewable energy while providing shading benefits. When integrated with a Building Automation System (BAS) featuring environmental sensing (irradiance, occupancy, illuminance, and thermal feedback), these systems can dynamically optimize illuminance, glare probability, and energy load while maintaining occupant comfort [11]. This convergence of façade intelligence and building controls underscores the transition from static envelope design toward responsive, data-driven energy management strategies that support certification attainment and sustainability performance</w:t>
      </w:r>
      <w:r w:rsidR="00A14A99" w:rsidRPr="000F697A">
        <w:rPr>
          <w:color w:val="0070C0"/>
          <w:highlight w:val="yellow"/>
          <w:lang w:val="en-US"/>
        </w:rPr>
        <w:t>.</w:t>
      </w:r>
    </w:p>
    <w:p w14:paraId="4E2ED217" w14:textId="4FC1AF6E" w:rsidR="003A5619" w:rsidRPr="003A5619" w:rsidRDefault="00A14A99" w:rsidP="003A5619">
      <w:pPr>
        <w:pStyle w:val="Heading1"/>
      </w:pPr>
      <w:bookmarkStart w:id="4" w:name="_Hlk111324265"/>
      <w:bookmarkEnd w:id="3"/>
      <w:r w:rsidRPr="00A14A99">
        <w:t>U.S. Certification Landscape and Policy Alignment</w:t>
      </w:r>
    </w:p>
    <w:p w14:paraId="7935B656" w14:textId="0D263526" w:rsidR="003A5619" w:rsidRPr="003A5619" w:rsidRDefault="003A5619" w:rsidP="003A5619">
      <w:pPr>
        <w:pStyle w:val="BodyText"/>
        <w:rPr>
          <w:color w:val="0070C0"/>
          <w:lang w:val="en-US"/>
        </w:rPr>
      </w:pPr>
      <w:r w:rsidRPr="000F697A">
        <w:rPr>
          <w:color w:val="0070C0"/>
          <w:highlight w:val="yellow"/>
          <w:lang w:val="en-US"/>
        </w:rPr>
        <w:t>Beyond the U.S. context, several international sustainability frameworks provide complementary insights into façade-integrated performance assessment. The BREEAM (U.K.) system emphasizes lifecycle energy efficiency, occupant health, and environmental impact, rewarding façade innovations that reduce operational energy demand and improve daylight quality. DGNB (Germany) integrates environmental, sociocultural, and economic quality, promoting holistic performance metrics, including embodied carbon from façade materials and recyclability. Meanwhile, CASBEE (Japan) employs a Building Environmental Efficiency (BEE) index that explicitly quantifies envelope performance relative to energy consumption and indoor comfort benchmarks. A comparative synthesis of these systems with LEED, WELL, and ENERGY STAR demonstrates that adaptive façade solutions, particularly electrochromic glazing and BIPVs, hold universal potential for improving both operational and human-centric building outcomes. This reinforces the adaptability of the study’s framework across different regional and climatic contexts.</w:t>
      </w:r>
    </w:p>
    <w:p w14:paraId="456B1298" w14:textId="2393D3EB" w:rsidR="00015D68" w:rsidRDefault="00A14A99" w:rsidP="00CF6984">
      <w:pPr>
        <w:pStyle w:val="BodyText"/>
        <w:rPr>
          <w:lang w:val="en-US"/>
        </w:rPr>
      </w:pPr>
      <w:r w:rsidRPr="00A14A99">
        <w:rPr>
          <w:lang w:val="en-US"/>
        </w:rPr>
        <w:t xml:space="preserve">In the United States, certification regimens are not legal codes but are voluntary above-code standards that serve to raise the comparator and thus differentiate the project within the market. LEED is the most recognized multi-attribute certification, and has credits around five categories (energy, water, materials, site and indoor environmental quality). </w:t>
      </w:r>
      <w:r w:rsidR="00015D68" w:rsidRPr="00A14A99">
        <w:rPr>
          <w:lang w:val="en-US"/>
        </w:rPr>
        <w:t>WELL,</w:t>
      </w:r>
      <w:r w:rsidRPr="00A14A99">
        <w:rPr>
          <w:lang w:val="en-US"/>
        </w:rPr>
        <w:t xml:space="preserve"> shows LEED up by homing in on health performance indicators of light exposure, thermal comfort, acoustics and psychological wellbeing. Energy STAR Labelling, with a more limited ideal coverage area but teeth (via actual utility billing) to benchmark performance, does make an operational counterpart to the design-phase ones. Passive House standards (PHIUS) also establish envelope performance goals and mandate design verification that seamlessly dovetails with façade-based approaches</w:t>
      </w:r>
      <w:r w:rsidR="001D1E62">
        <w:rPr>
          <w:lang w:val="en-US"/>
        </w:rPr>
        <w:t xml:space="preserve"> [12], [13]</w:t>
      </w:r>
      <w:r w:rsidRPr="00A14A99">
        <w:rPr>
          <w:lang w:val="en-US"/>
        </w:rPr>
        <w:t xml:space="preserve">. Other systems, such as Green Globes and </w:t>
      </w:r>
      <w:r w:rsidRPr="00A14A99">
        <w:rPr>
          <w:lang w:val="en-US"/>
        </w:rPr>
        <w:t>Living Building Challenge may be relevant for particular owner values, or program types. Measurable energy savings, robust natural light without glare, good views, operable shading systems, thermal comfort and low emitting materials are among the common themes across these systems (and increasingly a focus on embodied carbon and end of life criteria).</w:t>
      </w:r>
    </w:p>
    <w:p w14:paraId="5A9AA018" w14:textId="4BFFE317" w:rsidR="00547790" w:rsidRPr="00BC2EDE" w:rsidRDefault="00A14A99" w:rsidP="00CF6984">
      <w:pPr>
        <w:pStyle w:val="BodyText"/>
        <w:rPr>
          <w:lang w:val="en-US"/>
        </w:rPr>
      </w:pPr>
      <w:r w:rsidRPr="00A14A99">
        <w:rPr>
          <w:lang w:val="en-US"/>
        </w:rPr>
        <w:t>Code alignment is also important due to the fact that override credit calculations often use code baselines, or coordinate with code mandated controls. Daylight-responsive dimming, automatic shut-off and exterior lighting controls go from optional add-ons to mandated standards as energy codes continue to advance. Envelope backstops on U-factor, SHGC, and air leakage likewise may steer glazing selection and prescriptive rules for daylighting zones affect how sensor placement and zoning is designed. On the other hand, intelligent façades can perform dumbly if they are not commissioned well, inducing occupant overrides that conflict with the purpose of operations</w:t>
      </w:r>
      <w:r w:rsidR="001D1E62">
        <w:rPr>
          <w:lang w:val="en-US"/>
        </w:rPr>
        <w:t xml:space="preserve"> [14]</w:t>
      </w:r>
      <w:r w:rsidRPr="00A14A99">
        <w:rPr>
          <w:lang w:val="en-US"/>
        </w:rPr>
        <w:t>. Certification advice that predisposes to, or promotes, post-occupation verification is thus a natural friend of adaptive façade strategies.</w:t>
      </w:r>
    </w:p>
    <w:p w14:paraId="1E70825D" w14:textId="71994D14" w:rsidR="00D236D2" w:rsidRDefault="00A14A99" w:rsidP="00A14A99">
      <w:pPr>
        <w:pStyle w:val="Heading1"/>
      </w:pPr>
      <w:r w:rsidRPr="00A14A99">
        <w:t>Smart Façade Systems: Typology and Control Principles</w:t>
      </w:r>
    </w:p>
    <w:p w14:paraId="74A05C74" w14:textId="62E57016" w:rsidR="00054141" w:rsidRPr="000F697A" w:rsidRDefault="00015D68" w:rsidP="00054141">
      <w:pPr>
        <w:pStyle w:val="BodyText"/>
        <w:rPr>
          <w:highlight w:val="yellow"/>
          <w:lang w:val="en-US"/>
        </w:rPr>
      </w:pPr>
      <w:bookmarkStart w:id="5" w:name="_Hlk175492646"/>
      <w:r w:rsidRPr="00015D68">
        <w:rPr>
          <w:lang w:val="en-US"/>
        </w:rPr>
        <w:t>A smart façade can be seen as a kind of multi-layered system by which optical/thermal devices, actuators and sensors are driven to interact with one another in an attempt to keep comfort and energy goals. Electrochromic glazing provides tint adjusting states that can be employed to block solar gains and glare while maintaining a view; contemporary devices have several intermediary EC states so as not to alter the color of incoming light significantly, with switchable speeds fast enough for slowly changing sky conditions. Among the features to be automated are interior roller shades, venetian blinds with adjustable slats and exterior louvers</w:t>
      </w:r>
      <w:r w:rsidR="001D1E62">
        <w:rPr>
          <w:lang w:val="en-US"/>
        </w:rPr>
        <w:t xml:space="preserve"> [15]</w:t>
      </w:r>
      <w:r w:rsidRPr="00015D68">
        <w:rPr>
          <w:lang w:val="en-US"/>
        </w:rPr>
        <w:t xml:space="preserve">. </w:t>
      </w:r>
      <w:r w:rsidR="00DA4282" w:rsidRPr="00DA4282">
        <w:rPr>
          <w:lang w:val="en-US"/>
        </w:rPr>
        <w:t>The machine-learning model presented below is used to simulate energy-use predictions of each facade system in a variety of climatic conditions and building typologies. It is estimated that through electrochromic glazing and automated shading, cooling loads can be reduced during summer months by adjusting the amount of solar irradiance modulating the amount of opaque glass. DSF systems deliver some extra advantages through passive cooling in changeover seasons. BIPV facades not only reduce the amount of energy being used, but also act as shading devices, which further decreases cooling loads</w:t>
      </w:r>
      <w:r w:rsidR="00DA4282">
        <w:rPr>
          <w:lang w:val="en-US"/>
        </w:rPr>
        <w:t xml:space="preserve"> as depicted in fig. 1</w:t>
      </w:r>
      <w:r w:rsidR="00054141">
        <w:rPr>
          <w:lang w:val="en-US"/>
        </w:rPr>
        <w:t xml:space="preserve">, where </w:t>
      </w:r>
      <w:r w:rsidR="00054141" w:rsidRPr="000F697A">
        <w:rPr>
          <w:color w:val="0070C0"/>
          <w:highlight w:val="yellow"/>
          <w:lang w:val="en-US"/>
        </w:rPr>
        <w:t>electrochromic glazing and automated shading reduced annual cooling and lighting loads by approximately 28–35%, while DSF systems achieved an additional 12% passive cooling benefit through cavity ventilation.</w:t>
      </w:r>
    </w:p>
    <w:p w14:paraId="09C36AD2" w14:textId="4B65829B" w:rsidR="00054141" w:rsidRPr="00054141" w:rsidRDefault="00054141" w:rsidP="00054141">
      <w:pPr>
        <w:pStyle w:val="BodyText"/>
        <w:rPr>
          <w:color w:val="0070C0"/>
          <w:lang w:val="en-US"/>
        </w:rPr>
      </w:pPr>
      <w:r w:rsidRPr="000F697A">
        <w:rPr>
          <w:color w:val="0070C0"/>
          <w:highlight w:val="yellow"/>
        </w:rPr>
        <w:t xml:space="preserve">Machine learning simulations were conducted using supervised algorithms, </w:t>
      </w:r>
      <w:r w:rsidRPr="000F697A">
        <w:rPr>
          <w:rStyle w:val="Strong"/>
          <w:b w:val="0"/>
          <w:bCs w:val="0"/>
          <w:color w:val="0070C0"/>
          <w:highlight w:val="yellow"/>
        </w:rPr>
        <w:t>Random Forest (RF)</w:t>
      </w:r>
      <w:r w:rsidRPr="000F697A">
        <w:rPr>
          <w:b/>
          <w:bCs/>
          <w:color w:val="0070C0"/>
          <w:highlight w:val="yellow"/>
        </w:rPr>
        <w:t xml:space="preserve">, </w:t>
      </w:r>
      <w:r w:rsidRPr="000F697A">
        <w:rPr>
          <w:rStyle w:val="Strong"/>
          <w:b w:val="0"/>
          <w:bCs w:val="0"/>
          <w:color w:val="0070C0"/>
          <w:highlight w:val="yellow"/>
        </w:rPr>
        <w:t>Artificial Neural Network (ANN)</w:t>
      </w:r>
      <w:r w:rsidRPr="000F697A">
        <w:rPr>
          <w:color w:val="0070C0"/>
          <w:highlight w:val="yellow"/>
        </w:rPr>
        <w:t>, and</w:t>
      </w:r>
      <w:r w:rsidRPr="000F697A">
        <w:rPr>
          <w:b/>
          <w:bCs/>
          <w:color w:val="0070C0"/>
          <w:highlight w:val="yellow"/>
        </w:rPr>
        <w:t xml:space="preserve"> </w:t>
      </w:r>
      <w:r w:rsidRPr="000F697A">
        <w:rPr>
          <w:rStyle w:val="Strong"/>
          <w:b w:val="0"/>
          <w:bCs w:val="0"/>
          <w:color w:val="0070C0"/>
          <w:highlight w:val="yellow"/>
        </w:rPr>
        <w:t>Support Vector Machine (SVM)</w:t>
      </w:r>
      <w:r w:rsidRPr="000F697A">
        <w:rPr>
          <w:b/>
          <w:bCs/>
          <w:color w:val="0070C0"/>
          <w:highlight w:val="yellow"/>
        </w:rPr>
        <w:t xml:space="preserve">, </w:t>
      </w:r>
      <w:r w:rsidRPr="000F697A">
        <w:rPr>
          <w:color w:val="0070C0"/>
          <w:highlight w:val="yellow"/>
        </w:rPr>
        <w:t xml:space="preserve">to predict façade energy behavior under varying climatic and occupancy conditions. The models were trained on datasets combining simulation outputs from </w:t>
      </w:r>
      <w:proofErr w:type="spellStart"/>
      <w:r w:rsidRPr="000F697A">
        <w:rPr>
          <w:rStyle w:val="Strong"/>
          <w:b w:val="0"/>
          <w:bCs w:val="0"/>
          <w:color w:val="0070C0"/>
          <w:highlight w:val="yellow"/>
        </w:rPr>
        <w:t>EnergyPlus</w:t>
      </w:r>
      <w:proofErr w:type="spellEnd"/>
      <w:r w:rsidRPr="000F697A">
        <w:rPr>
          <w:color w:val="0070C0"/>
          <w:highlight w:val="yellow"/>
        </w:rPr>
        <w:t xml:space="preserve"> and </w:t>
      </w:r>
      <w:r w:rsidRPr="000F697A">
        <w:rPr>
          <w:rStyle w:val="Strong"/>
          <w:b w:val="0"/>
          <w:bCs w:val="0"/>
          <w:color w:val="0070C0"/>
          <w:highlight w:val="yellow"/>
        </w:rPr>
        <w:t>Radiance</w:t>
      </w:r>
      <w:r w:rsidRPr="000F697A">
        <w:rPr>
          <w:color w:val="0070C0"/>
          <w:highlight w:val="yellow"/>
        </w:rPr>
        <w:t xml:space="preserve">, incorporating hourly inputs such as solar irradiance, temperature, and interior illuminance. A </w:t>
      </w:r>
      <w:r w:rsidRPr="000F697A">
        <w:rPr>
          <w:rStyle w:val="Strong"/>
          <w:b w:val="0"/>
          <w:bCs w:val="0"/>
          <w:color w:val="0070C0"/>
          <w:highlight w:val="yellow"/>
        </w:rPr>
        <w:t>70:30 train–test split</w:t>
      </w:r>
      <w:r w:rsidRPr="000F697A">
        <w:rPr>
          <w:color w:val="0070C0"/>
          <w:highlight w:val="yellow"/>
        </w:rPr>
        <w:t xml:space="preserve"> was applied with </w:t>
      </w:r>
      <w:r w:rsidRPr="000F697A">
        <w:rPr>
          <w:rStyle w:val="Strong"/>
          <w:b w:val="0"/>
          <w:bCs w:val="0"/>
          <w:color w:val="0070C0"/>
          <w:highlight w:val="yellow"/>
        </w:rPr>
        <w:t>10-fold cross-validation</w:t>
      </w:r>
      <w:r w:rsidRPr="000F697A">
        <w:rPr>
          <w:color w:val="0070C0"/>
          <w:highlight w:val="yellow"/>
        </w:rPr>
        <w:t xml:space="preserve"> to ensure model robustness. Model performance was assessed using statistical indicators including the </w:t>
      </w:r>
      <w:r w:rsidRPr="000F697A">
        <w:rPr>
          <w:rStyle w:val="Strong"/>
          <w:b w:val="0"/>
          <w:bCs w:val="0"/>
          <w:color w:val="0070C0"/>
          <w:highlight w:val="yellow"/>
        </w:rPr>
        <w:t>coefficient of determination (R²)</w:t>
      </w:r>
      <w:r w:rsidRPr="000F697A">
        <w:rPr>
          <w:b/>
          <w:bCs/>
          <w:color w:val="0070C0"/>
          <w:highlight w:val="yellow"/>
        </w:rPr>
        <w:t xml:space="preserve">, </w:t>
      </w:r>
      <w:r w:rsidRPr="000F697A">
        <w:rPr>
          <w:rStyle w:val="Strong"/>
          <w:b w:val="0"/>
          <w:bCs w:val="0"/>
          <w:color w:val="0070C0"/>
          <w:highlight w:val="yellow"/>
        </w:rPr>
        <w:t xml:space="preserve">Root </w:t>
      </w:r>
      <w:r w:rsidRPr="000F697A">
        <w:rPr>
          <w:rStyle w:val="Strong"/>
          <w:b w:val="0"/>
          <w:bCs w:val="0"/>
          <w:color w:val="0070C0"/>
          <w:highlight w:val="yellow"/>
        </w:rPr>
        <w:lastRenderedPageBreak/>
        <w:t>Mean Square Error (RMSE)</w:t>
      </w:r>
      <w:r w:rsidRPr="000F697A">
        <w:rPr>
          <w:color w:val="0070C0"/>
          <w:highlight w:val="yellow"/>
        </w:rPr>
        <w:t xml:space="preserve">, and </w:t>
      </w:r>
      <w:r w:rsidRPr="000F697A">
        <w:rPr>
          <w:rStyle w:val="Strong"/>
          <w:b w:val="0"/>
          <w:bCs w:val="0"/>
          <w:color w:val="0070C0"/>
          <w:highlight w:val="yellow"/>
        </w:rPr>
        <w:t>Mean Absolute Error (MAE)</w:t>
      </w:r>
      <w:r w:rsidRPr="000F697A">
        <w:rPr>
          <w:color w:val="0070C0"/>
          <w:highlight w:val="yellow"/>
        </w:rPr>
        <w:t xml:space="preserve">. Among the tested models, the ANN achieved the highest predictive accuracy with an </w:t>
      </w:r>
      <w:r w:rsidRPr="000F697A">
        <w:rPr>
          <w:rStyle w:val="Strong"/>
          <w:b w:val="0"/>
          <w:bCs w:val="0"/>
          <w:color w:val="0070C0"/>
          <w:highlight w:val="yellow"/>
        </w:rPr>
        <w:t>R² of 0.94</w:t>
      </w:r>
      <w:r w:rsidRPr="000F697A">
        <w:rPr>
          <w:color w:val="0070C0"/>
          <w:highlight w:val="yellow"/>
        </w:rPr>
        <w:t xml:space="preserve"> and an </w:t>
      </w:r>
      <w:r w:rsidRPr="000F697A">
        <w:rPr>
          <w:rStyle w:val="Strong"/>
          <w:b w:val="0"/>
          <w:bCs w:val="0"/>
          <w:color w:val="0070C0"/>
          <w:highlight w:val="yellow"/>
        </w:rPr>
        <w:t>RMSE of 4.8 kWh/m²</w:t>
      </w:r>
      <w:r w:rsidRPr="000F697A">
        <w:rPr>
          <w:color w:val="0070C0"/>
          <w:highlight w:val="yellow"/>
        </w:rPr>
        <w:t>, effectively capturing non-linear interactions between façade configuration, lighting energy demand, and occupant comfort indices.</w:t>
      </w:r>
    </w:p>
    <w:p w14:paraId="199FA1B7" w14:textId="054C0C46" w:rsidR="00F75B0E" w:rsidRDefault="00F75B0E" w:rsidP="00F75B0E">
      <w:pPr>
        <w:pStyle w:val="BodyText"/>
        <w:ind w:firstLine="0"/>
        <w:jc w:val="center"/>
        <w:rPr>
          <w:lang w:val="en-US"/>
        </w:rPr>
      </w:pPr>
      <w:r>
        <w:rPr>
          <w:noProof/>
          <w:lang w:val="en-US" w:eastAsia="en-US"/>
        </w:rPr>
        <w:drawing>
          <wp:inline distT="0" distB="0" distL="0" distR="0" wp14:anchorId="517F8D21" wp14:editId="50740296">
            <wp:extent cx="3204845" cy="1727835"/>
            <wp:effectExtent l="0" t="0" r="0" b="5715"/>
            <wp:docPr id="1698827130" name="Picture 6" descr="A graph with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827130" name="Picture 6" descr="A graph with different colored squares&#10;&#10;AI-generated content may be incorrect."/>
                    <pic:cNvPicPr/>
                  </pic:nvPicPr>
                  <pic:blipFill>
                    <a:blip r:embed="rId14" cstate="hqprint">
                      <a:extLst>
                        <a:ext uri="{28A0092B-C50C-407E-A947-70E740481C1C}">
                          <a14:useLocalDpi xmlns:a14="http://schemas.microsoft.com/office/drawing/2010/main" val="0"/>
                        </a:ext>
                      </a:extLst>
                    </a:blip>
                    <a:stretch>
                      <a:fillRect/>
                    </a:stretch>
                  </pic:blipFill>
                  <pic:spPr>
                    <a:xfrm>
                      <a:off x="0" y="0"/>
                      <a:ext cx="3204845" cy="1727835"/>
                    </a:xfrm>
                    <a:prstGeom prst="rect">
                      <a:avLst/>
                    </a:prstGeom>
                  </pic:spPr>
                </pic:pic>
              </a:graphicData>
            </a:graphic>
          </wp:inline>
        </w:drawing>
      </w:r>
    </w:p>
    <w:p w14:paraId="050D7803" w14:textId="4A89A481" w:rsidR="00F75B0E" w:rsidRPr="007343F2" w:rsidRDefault="007343F2" w:rsidP="007343F2">
      <w:pPr>
        <w:pStyle w:val="figurecaption"/>
      </w:pPr>
      <w:r w:rsidRPr="007343F2">
        <w:t>Energy Efficiency Comparison with Different Façade Systems (kWh/m</w:t>
      </w:r>
      <w:r w:rsidRPr="007343F2">
        <w:rPr>
          <w:vertAlign w:val="superscript"/>
        </w:rPr>
        <w:t>2</w:t>
      </w:r>
      <w:r w:rsidRPr="007343F2">
        <w:t>)</w:t>
      </w:r>
    </w:p>
    <w:p w14:paraId="6DEFC2C1" w14:textId="6A6A0919" w:rsidR="00D236D2" w:rsidRDefault="00015D68" w:rsidP="00FB663A">
      <w:pPr>
        <w:pStyle w:val="BodyText"/>
        <w:rPr>
          <w:lang w:val="en-US"/>
        </w:rPr>
      </w:pPr>
      <w:r w:rsidRPr="00015D68">
        <w:rPr>
          <w:lang w:val="en-US"/>
        </w:rPr>
        <w:t>Sensors are the heart of façade intelligence. Control strategies can range from rule-based logic (if the incident irradiance is higher than a threshold value then one lowers shades) to extremely complex model predictive control (MPC) that uses weather forecast, internal gains, and occupancy in order to optimize multiple objectives at once</w:t>
      </w:r>
      <w:r w:rsidR="00DA4282">
        <w:rPr>
          <w:lang w:val="en-US"/>
        </w:rPr>
        <w:t xml:space="preserve"> [16]</w:t>
      </w:r>
      <w:r w:rsidR="00DA4282" w:rsidRPr="00015D68">
        <w:rPr>
          <w:lang w:val="en-US"/>
        </w:rPr>
        <w:t>.</w:t>
      </w:r>
      <w:r w:rsidRPr="00015D68">
        <w:rPr>
          <w:lang w:val="en-US"/>
        </w:rPr>
        <w:t xml:space="preserve"> In reality, sturdy and interpretable sequels that are nearly seasonally tuned often outperform brittle “black box” logic because facility teams can understand, tune and maintain them</w:t>
      </w:r>
      <w:r w:rsidR="001D1E62">
        <w:rPr>
          <w:lang w:val="en-US"/>
        </w:rPr>
        <w:t xml:space="preserve"> [17]</w:t>
      </w:r>
      <w:r w:rsidRPr="00015D68">
        <w:rPr>
          <w:lang w:val="en-US"/>
        </w:rPr>
        <w:t>. Supervisory control requires coordination with lighting dimming curves and HVAC setpoints so that they do not conflict: e.g. as lights dim in response to daylight, the savings on lighting power may (due to shades opening) result in increased sensible cooling; similarly, aggressive shading during peak summer months cuts cooling but increases electric lighting load. The control goal then becomes multiple objectives, including achieving a target illuminance and glare probability, holding thermal comfort in an allowable range (PMV/PPD), while minimizing energy use and peak demand</w:t>
      </w:r>
      <w:r w:rsidR="001D1E62">
        <w:rPr>
          <w:lang w:val="en-US"/>
        </w:rPr>
        <w:t xml:space="preserve"> [18]</w:t>
      </w:r>
      <w:r w:rsidRPr="00015D68">
        <w:rPr>
          <w:lang w:val="en-US"/>
        </w:rPr>
        <w:t>.</w:t>
      </w:r>
    </w:p>
    <w:p w14:paraId="1EE27727" w14:textId="2863A744" w:rsidR="00A14A99" w:rsidRPr="000007A1" w:rsidRDefault="00A14A99" w:rsidP="00A14A99">
      <w:pPr>
        <w:pStyle w:val="Heading1"/>
      </w:pPr>
      <w:r w:rsidRPr="00A14A99">
        <w:t>Evaluation Framework for Certification-Aligned Design</w:t>
      </w:r>
    </w:p>
    <w:p w14:paraId="514B8928" w14:textId="0216EF05" w:rsidR="00015D68" w:rsidRDefault="00015D68" w:rsidP="00015D68">
      <w:pPr>
        <w:pStyle w:val="BodyText"/>
        <w:rPr>
          <w:lang w:val="en-US"/>
        </w:rPr>
      </w:pPr>
      <w:r w:rsidRPr="00015D68">
        <w:rPr>
          <w:lang w:val="en-US"/>
        </w:rPr>
        <w:t>A standardized assessment system enables teams to link façade decisions to certification paths through a provision of “audit trail” evidence. It starts with baseline setting, usually one year of utility data for existing buildings or code-compliant models for new construction. For results presentation, daylight simulation gives you the spatial daylight autonomy (</w:t>
      </w:r>
      <w:r>
        <w:rPr>
          <w:lang w:val="en-US"/>
        </w:rPr>
        <w:t>S</w:t>
      </w:r>
      <w:r w:rsidRPr="00015D68">
        <w:rPr>
          <w:lang w:val="en-US"/>
        </w:rPr>
        <w:t>DA) and annual sunlight exposure (ASE), two performance indicators that are related to the likelihood of using electrical lighting and to issues such as glare or overheating</w:t>
      </w:r>
      <w:r w:rsidR="001D1E62">
        <w:rPr>
          <w:lang w:val="en-US"/>
        </w:rPr>
        <w:t xml:space="preserve"> [19]</w:t>
      </w:r>
      <w:r w:rsidRPr="00015D68">
        <w:rPr>
          <w:lang w:val="en-US"/>
        </w:rPr>
        <w:t xml:space="preserve">. Daylight simulation with glare indicators like DGP and illuminance histograms provides a granular picture of the occupant related response. Concurrently, whole-building energy modeling compares annual EUIs, peak demands and load profiles under various façade/control options. Given that façade control sets are directly related to lighting load and solar gain, the co-simulation of both lighting and thermal loads is preferred so as not to under- </w:t>
      </w:r>
      <w:r w:rsidRPr="00015D68">
        <w:rPr>
          <w:lang w:val="en-US"/>
        </w:rPr>
        <w:t>or overestimate the interaction. Where DSF (or ventilated cavities) are proposed, CFD and network airflow modeling assist in providing an understanding of pressures, temperatures, and seasonal wind actions.</w:t>
      </w:r>
      <w:r w:rsidR="00B8419D">
        <w:rPr>
          <w:lang w:val="en-US"/>
        </w:rPr>
        <w:t xml:space="preserve"> T</w:t>
      </w:r>
      <w:r w:rsidR="00B8419D" w:rsidRPr="00B8419D">
        <w:rPr>
          <w:lang w:val="en-US"/>
        </w:rPr>
        <w:t>he percentage of glare reduction done in office spaces using automated shading systems, the data were created using machine-learning simulation that can predict the level of glare reduction under different environmental conditions (solar zenith angle, cloud cover, etc.). Elaboration: Machine-learning models based on glare datasets optimize the actuation of automated shading devices (e.g. venetian blinds, exterior louvers). The system dynamically changes the shading elements by absorbing real-time irradiance, sky-climate, and indoor illuminance signals in order to reduce glare and maintain natural daylight. Findings indicate that automated shading can provide significant glare reduction, and thus promote visual comfort in office environments with large window-to-wall ratios</w:t>
      </w:r>
      <w:r w:rsidR="00B8419D">
        <w:rPr>
          <w:lang w:val="en-US"/>
        </w:rPr>
        <w:t xml:space="preserve"> as depicted in fig. 2</w:t>
      </w:r>
      <w:r w:rsidR="00B8419D" w:rsidRPr="00B8419D">
        <w:rPr>
          <w:lang w:val="en-US"/>
        </w:rPr>
        <w:t>.</w:t>
      </w:r>
    </w:p>
    <w:p w14:paraId="15393247" w14:textId="23956A75" w:rsidR="00235F31" w:rsidRDefault="00B8419D" w:rsidP="00B8419D">
      <w:pPr>
        <w:pStyle w:val="BodyText"/>
        <w:ind w:firstLine="0"/>
        <w:jc w:val="center"/>
        <w:rPr>
          <w:lang w:val="en-US"/>
        </w:rPr>
      </w:pPr>
      <w:r>
        <w:rPr>
          <w:noProof/>
          <w:lang w:val="en-US" w:eastAsia="en-US"/>
        </w:rPr>
        <w:drawing>
          <wp:inline distT="0" distB="0" distL="0" distR="0" wp14:anchorId="3621D476" wp14:editId="25815BFE">
            <wp:extent cx="3204845" cy="1756800"/>
            <wp:effectExtent l="0" t="0" r="0" b="0"/>
            <wp:docPr id="1428915036" name="Picture 1" descr="A line graph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915036" name="Picture 1" descr="A line graph with text&#10;&#10;AI-generated content may be incorrect."/>
                    <pic:cNvPicPr/>
                  </pic:nvPicPr>
                  <pic:blipFill>
                    <a:blip r:embed="rId15" cstate="hqprint">
                      <a:extLst>
                        <a:ext uri="{28A0092B-C50C-407E-A947-70E740481C1C}">
                          <a14:useLocalDpi xmlns:a14="http://schemas.microsoft.com/office/drawing/2010/main" val="0"/>
                        </a:ext>
                      </a:extLst>
                    </a:blip>
                    <a:stretch>
                      <a:fillRect/>
                    </a:stretch>
                  </pic:blipFill>
                  <pic:spPr>
                    <a:xfrm>
                      <a:off x="0" y="0"/>
                      <a:ext cx="3208980" cy="1759067"/>
                    </a:xfrm>
                    <a:prstGeom prst="rect">
                      <a:avLst/>
                    </a:prstGeom>
                  </pic:spPr>
                </pic:pic>
              </a:graphicData>
            </a:graphic>
          </wp:inline>
        </w:drawing>
      </w:r>
    </w:p>
    <w:p w14:paraId="4BF2AD42" w14:textId="494994A2" w:rsidR="00B8419D" w:rsidRPr="00B8419D" w:rsidRDefault="00B8419D" w:rsidP="00B8419D">
      <w:pPr>
        <w:pStyle w:val="figurecaption"/>
        <w:rPr>
          <w:spacing w:val="-1"/>
        </w:rPr>
      </w:pPr>
      <w:r w:rsidRPr="00B8419D">
        <w:t>Glare Control Performance which has automated shading</w:t>
      </w:r>
      <w:r w:rsidRPr="00C77740">
        <w:t>.</w:t>
      </w:r>
    </w:p>
    <w:p w14:paraId="27D98A79" w14:textId="502C3B7B" w:rsidR="00A14A99" w:rsidRDefault="00015D68" w:rsidP="00015D68">
      <w:pPr>
        <w:pStyle w:val="BodyText"/>
        <w:rPr>
          <w:lang w:val="en-US"/>
        </w:rPr>
      </w:pPr>
      <w:r w:rsidRPr="00015D68">
        <w:rPr>
          <w:lang w:val="en-US"/>
        </w:rPr>
        <w:t>Embedded carbon and life-cycle assessment (LCA) fill in the picture by considering material-stage impacts, which become more pronounced as operational energy decreases</w:t>
      </w:r>
      <w:r w:rsidR="001D1E62">
        <w:rPr>
          <w:lang w:val="en-US"/>
        </w:rPr>
        <w:t xml:space="preserve"> [20]</w:t>
      </w:r>
      <w:r w:rsidRPr="00015D68">
        <w:rPr>
          <w:lang w:val="en-US"/>
        </w:rPr>
        <w:t>. Glazing, framing, insulation and PV module EPDs are inputs to cradle-to-gate assessments where the designer should look at mass, recycled content and end-of-life scenarios such as deconstruction and glass/PV recycling routes. Embodied-carbon credits or disclosure requirements are increasingly becoming part of certification systems, so a façade that minimizes operational loads but imposes high embodied impacts might not be the best option at portfolio scale. It is key that commissioning is dealt with explicitly in the framework. There are daylight sensors to adjust, shade trims and speeds to set, electrochromic setpoints to verify, and human control interfaces to coordinate. Measurement and verification in the first year of operation, using submetering of lighting circuits and trend logs of control states, can create a feedback loop to address issues before occupant overrides become ingrained.</w:t>
      </w:r>
    </w:p>
    <w:p w14:paraId="7E02A7E8" w14:textId="1892F4E9" w:rsidR="00A14A99" w:rsidRPr="000007A1" w:rsidRDefault="00A14A99" w:rsidP="00A14A99">
      <w:pPr>
        <w:pStyle w:val="Heading1"/>
      </w:pPr>
      <w:r w:rsidRPr="00A14A99">
        <w:t>Case-Style Scenarios Demonstrating Certification Pathways</w:t>
      </w:r>
    </w:p>
    <w:p w14:paraId="28A199F5" w14:textId="6B08A8E9" w:rsidR="00D23890" w:rsidRDefault="00D23890" w:rsidP="00D23890">
      <w:pPr>
        <w:pStyle w:val="BodyText"/>
        <w:rPr>
          <w:lang w:val="en-US"/>
        </w:rPr>
      </w:pPr>
      <w:r w:rsidRPr="00D23890">
        <w:rPr>
          <w:lang w:val="en-US"/>
        </w:rPr>
        <w:t>Situation-based logic explains how façade strategies express on certification result with respect to different program types. In a common urban office retrofit, the 1980s curtain wall, like as shown thereon with high window-to-wall ratio, on the one hand offer both opportunities and risks</w:t>
      </w:r>
      <w:r w:rsidR="001D1E62">
        <w:rPr>
          <w:lang w:val="en-US"/>
        </w:rPr>
        <w:t xml:space="preserve"> [21], [22]</w:t>
      </w:r>
      <w:r w:rsidRPr="00D23890">
        <w:rPr>
          <w:lang w:val="en-US"/>
        </w:rPr>
        <w:t xml:space="preserve">. Substituting clear glazing for low-e is cases and incorporating electrochromic areas on the solar facing facades can substantially reduce cooling </w:t>
      </w:r>
      <w:r w:rsidRPr="00D23890">
        <w:rPr>
          <w:lang w:val="en-US"/>
        </w:rPr>
        <w:lastRenderedPageBreak/>
        <w:t>loads and increase quality of daylight. The combination of automatic interior shades with full dimming in the perimeter zones significantly decreases lighting energy consumption usage and enhances visual comfort, concurrently supervisory control schemes which focus on controlling glare during occupied hours and then relaxing to a daylight-harvesting mode for shoulder hours seem to be well-accepted by occupants. Here, LEED energy performance points are backed by the modeled EUI cuts, and daylight-and-quality views-credits can be chased if luminaire layout and sensor locations provide uniformity without over lighting</w:t>
      </w:r>
      <w:r w:rsidR="001D1E62">
        <w:rPr>
          <w:lang w:val="en-US"/>
        </w:rPr>
        <w:t xml:space="preserve"> [23]</w:t>
      </w:r>
      <w:r w:rsidRPr="00D23890">
        <w:rPr>
          <w:lang w:val="en-US"/>
        </w:rPr>
        <w:t>. ENERGY STAR benchmarking would then become an operational goal, with a post-retrofit score target higher than that needed for labeling. Occupants’ WELL light and thermal comfort needs can be met by providing appropriate circadian stimulus during daylight hours and by controlling operative temperatures near workstations. To minimize capital cost, owners can introduce electrochromic glazing with a phase-in based on façade orientation and concentrate efforts on floors with the most glare complaints to justify a retrofit alongside LED luminaire upgrades that are compatible with dimming</w:t>
      </w:r>
      <w:r w:rsidR="001D1E62">
        <w:rPr>
          <w:lang w:val="en-US"/>
        </w:rPr>
        <w:t xml:space="preserve"> [24], [25]</w:t>
      </w:r>
      <w:r w:rsidRPr="00D23890">
        <w:rPr>
          <w:lang w:val="en-US"/>
        </w:rPr>
        <w:t>.</w:t>
      </w:r>
      <w:r w:rsidR="00F75B0E">
        <w:rPr>
          <w:lang w:val="en-US"/>
        </w:rPr>
        <w:t xml:space="preserve"> </w:t>
      </w:r>
      <w:r w:rsidR="00F75B0E" w:rsidRPr="00F75B0E">
        <w:rPr>
          <w:lang w:val="en-US"/>
        </w:rPr>
        <w:t>The trade-off between daylight autonomy (percentage of day with sufficient daylighting) and energy consumption (kWh) of different facade systems, using machine-learning optimization models to balance the two parameters of each building type. Explanation: Machine-learning algorithms optimize the balance between daylight independence and energy use, such that it utilizes the natural light to its maximum capacity without triggering excessive energy usage in the form of heat gain or glare. Electrochromic glazing and automated shading are examples of technologies that are good at maximizing daylight control during cloudy days with minimum energy use</w:t>
      </w:r>
      <w:r w:rsidR="00F75B0E">
        <w:rPr>
          <w:lang w:val="en-US"/>
        </w:rPr>
        <w:t xml:space="preserve"> as depicted in fig. 3</w:t>
      </w:r>
      <w:r w:rsidR="00054141">
        <w:rPr>
          <w:lang w:val="en-US"/>
        </w:rPr>
        <w:t xml:space="preserve">, </w:t>
      </w:r>
      <w:r w:rsidR="00054141" w:rsidRPr="000F697A">
        <w:rPr>
          <w:color w:val="0070C0"/>
          <w:highlight w:val="yellow"/>
          <w:lang w:val="en-US"/>
        </w:rPr>
        <w:t>where machine learning optimization indicated an optimal daylight autonomy of 72–78% with total energy savings of 25% under hybrid shading and glazing control.</w:t>
      </w:r>
    </w:p>
    <w:p w14:paraId="6FDD5F3C" w14:textId="5AE74C5D" w:rsidR="00B8419D" w:rsidRPr="00D23890" w:rsidRDefault="00B8419D" w:rsidP="00106277">
      <w:pPr>
        <w:pStyle w:val="BodyText"/>
        <w:spacing w:after="0"/>
        <w:ind w:firstLine="0"/>
        <w:jc w:val="center"/>
        <w:rPr>
          <w:lang w:val="en-US"/>
        </w:rPr>
      </w:pPr>
      <w:r>
        <w:rPr>
          <w:noProof/>
          <w:lang w:val="en-US" w:eastAsia="en-US"/>
        </w:rPr>
        <w:drawing>
          <wp:inline distT="0" distB="0" distL="0" distR="0" wp14:anchorId="76697189" wp14:editId="69662E5A">
            <wp:extent cx="3204445" cy="1936800"/>
            <wp:effectExtent l="0" t="0" r="0" b="6350"/>
            <wp:docPr id="1949478221" name="Picture 2"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478221" name="Picture 2" descr="A graph with a line&#10;&#10;AI-generated content may be incorrect."/>
                    <pic:cNvPicPr/>
                  </pic:nvPicPr>
                  <pic:blipFill>
                    <a:blip r:embed="rId16" cstate="hqprint">
                      <a:extLst>
                        <a:ext uri="{28A0092B-C50C-407E-A947-70E740481C1C}">
                          <a14:useLocalDpi xmlns:a14="http://schemas.microsoft.com/office/drawing/2010/main" val="0"/>
                        </a:ext>
                      </a:extLst>
                    </a:blip>
                    <a:stretch>
                      <a:fillRect/>
                    </a:stretch>
                  </pic:blipFill>
                  <pic:spPr>
                    <a:xfrm>
                      <a:off x="0" y="0"/>
                      <a:ext cx="3209390" cy="1939789"/>
                    </a:xfrm>
                    <a:prstGeom prst="rect">
                      <a:avLst/>
                    </a:prstGeom>
                  </pic:spPr>
                </pic:pic>
              </a:graphicData>
            </a:graphic>
          </wp:inline>
        </w:drawing>
      </w:r>
    </w:p>
    <w:p w14:paraId="525E772F" w14:textId="0FAE6A93" w:rsidR="00B8419D" w:rsidRPr="00B8419D" w:rsidRDefault="00B8419D" w:rsidP="00106277">
      <w:pPr>
        <w:pStyle w:val="figurecaption"/>
        <w:spacing w:after="0"/>
        <w:rPr>
          <w:spacing w:val="-1"/>
        </w:rPr>
      </w:pPr>
      <w:r w:rsidRPr="00B8419D">
        <w:t>Daylight Independency and Power Usage Compromise</w:t>
      </w:r>
      <w:r w:rsidRPr="00C77740">
        <w:t>.</w:t>
      </w:r>
    </w:p>
    <w:p w14:paraId="4BE6158A" w14:textId="77777777" w:rsidR="000F697A" w:rsidRDefault="000F697A" w:rsidP="00B8419D">
      <w:pPr>
        <w:pStyle w:val="BodyText"/>
        <w:rPr>
          <w:lang w:val="en-US"/>
        </w:rPr>
      </w:pPr>
    </w:p>
    <w:p w14:paraId="1D6A6D6D" w14:textId="373A1FE3" w:rsidR="00235F31" w:rsidRPr="00D23890" w:rsidRDefault="00D23890" w:rsidP="00B8419D">
      <w:pPr>
        <w:pStyle w:val="BodyText"/>
        <w:rPr>
          <w:lang w:val="en-US"/>
        </w:rPr>
      </w:pPr>
      <w:r w:rsidRPr="00D23890">
        <w:rPr>
          <w:lang w:val="en-US"/>
        </w:rPr>
        <w:t xml:space="preserve">In an academic STEM new building, the exterior ventilated double-skin façade offers a dual purpose in that they have been used as acoustic buffer for noisy exposures and sun shading integrated at the cavity level and provide stack-effect ventilation to minimize cooling load during shoulder season months. Electrochromic skylights in Atria or lab writeup spaces can provide diffused daylighting with auto-tinting to maintain appropriate annual sunlight exposure. With auditable lighting </w:t>
      </w:r>
      <w:r w:rsidRPr="00D23890">
        <w:rPr>
          <w:lang w:val="en-US"/>
        </w:rPr>
        <w:t>energy savings, so too have come LEED energy points and daylight performance results, as WELL light and thermal features receive specified conditions that significantly reduce glare from direct sun penetration in classrooms. Control-wise, you need to match lecture mode and lab mode (with the projector on) to visual task demands. Comprehensive commissioning, such as classroom level control scenes, daylight sensor calibration with furniture installed, and training staff in conjunction of occupancy strategies across the academic calendar does help maintain performance. If building integrated photovoltaics are incorporated into south façade or canopies, a UVa50 Renewable Energy Credit could be pursued while providing architectural expression pertinent to the campus identity.</w:t>
      </w:r>
      <w:r w:rsidR="007343F2">
        <w:rPr>
          <w:lang w:val="en-US"/>
        </w:rPr>
        <w:t xml:space="preserve"> </w:t>
      </w:r>
      <w:proofErr w:type="gramStart"/>
      <w:r w:rsidR="007343F2">
        <w:rPr>
          <w:lang w:val="en-US"/>
        </w:rPr>
        <w:t>B</w:t>
      </w:r>
      <w:r w:rsidR="007343F2" w:rsidRPr="007343F2">
        <w:rPr>
          <w:lang w:val="en-US"/>
        </w:rPr>
        <w:t xml:space="preserve">oth </w:t>
      </w:r>
      <w:r w:rsidR="007343F2">
        <w:rPr>
          <w:lang w:val="en-US"/>
        </w:rPr>
        <w:t xml:space="preserve"> the</w:t>
      </w:r>
      <w:proofErr w:type="gramEnd"/>
      <w:r w:rsidR="007343F2">
        <w:rPr>
          <w:lang w:val="en-US"/>
        </w:rPr>
        <w:t xml:space="preserve"> </w:t>
      </w:r>
      <w:r w:rsidR="007343F2" w:rsidRPr="007343F2">
        <w:rPr>
          <w:lang w:val="en-US"/>
        </w:rPr>
        <w:t>indoor thermal comfort (in terms of predicted mean vote- PMV) and energy savings (kWh) of smart facade systems. Simulations of machine-learning are used to determine the effects of various systems of the facade in terms of thermal comfort and the use of energy in different climate zones. Explanation: This figure shows how occupant comfort can be maintained with reduced energy consumption by simulating thermal comfort levels and energy-saving with machine-learning by simulating both the use of DSF and BIPV types of facades. DSF systems have reduced variation in temperatures, making the indoor environment more stable, whereas BIPV facades have an undeniable impact in generating energy and reducing heat-loads. The model identifies areas that have potential occupants to feel uncomfortable due to changes in temperature and energy wastage</w:t>
      </w:r>
      <w:r w:rsidR="007343F2">
        <w:rPr>
          <w:lang w:val="en-US"/>
        </w:rPr>
        <w:t xml:space="preserve"> as depicted in fig. 4</w:t>
      </w:r>
      <w:r w:rsidR="007343F2" w:rsidRPr="007343F2">
        <w:rPr>
          <w:lang w:val="en-US"/>
        </w:rPr>
        <w:t>.</w:t>
      </w:r>
    </w:p>
    <w:p w14:paraId="2198E71C" w14:textId="10776F9E" w:rsidR="00B8419D" w:rsidRDefault="00B8419D" w:rsidP="001477EF">
      <w:pPr>
        <w:pStyle w:val="BodyText"/>
        <w:spacing w:after="0"/>
        <w:ind w:firstLine="0"/>
        <w:jc w:val="center"/>
        <w:rPr>
          <w:lang w:val="en-US"/>
        </w:rPr>
      </w:pPr>
      <w:r>
        <w:rPr>
          <w:noProof/>
          <w:lang w:val="en-US" w:eastAsia="en-US"/>
        </w:rPr>
        <w:drawing>
          <wp:inline distT="0" distB="0" distL="0" distR="0" wp14:anchorId="5101A9B0" wp14:editId="3EB4CA58">
            <wp:extent cx="3204845" cy="1706400"/>
            <wp:effectExtent l="0" t="0" r="0" b="8255"/>
            <wp:docPr id="485515801" name="Picture 3" descr="A graph showing the value of a comf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515801" name="Picture 3" descr="A graph showing the value of a comfort&#10;&#10;AI-generated content may be incorrect."/>
                    <pic:cNvPicPr/>
                  </pic:nvPicPr>
                  <pic:blipFill>
                    <a:blip r:embed="rId17" cstate="hqprint">
                      <a:extLst>
                        <a:ext uri="{28A0092B-C50C-407E-A947-70E740481C1C}">
                          <a14:useLocalDpi xmlns:a14="http://schemas.microsoft.com/office/drawing/2010/main" val="0"/>
                        </a:ext>
                      </a:extLst>
                    </a:blip>
                    <a:stretch>
                      <a:fillRect/>
                    </a:stretch>
                  </pic:blipFill>
                  <pic:spPr>
                    <a:xfrm>
                      <a:off x="0" y="0"/>
                      <a:ext cx="3211832" cy="1710120"/>
                    </a:xfrm>
                    <a:prstGeom prst="rect">
                      <a:avLst/>
                    </a:prstGeom>
                  </pic:spPr>
                </pic:pic>
              </a:graphicData>
            </a:graphic>
          </wp:inline>
        </w:drawing>
      </w:r>
    </w:p>
    <w:p w14:paraId="5AE7F178" w14:textId="16D70B05" w:rsidR="001477EF" w:rsidRPr="001477EF" w:rsidRDefault="007343F2" w:rsidP="001477EF">
      <w:pPr>
        <w:pStyle w:val="figurecaption"/>
        <w:spacing w:after="0"/>
        <w:rPr>
          <w:spacing w:val="-1"/>
        </w:rPr>
      </w:pPr>
      <w:r>
        <w:t>S</w:t>
      </w:r>
      <w:r w:rsidRPr="007343F2">
        <w:t>mart Faacade to Thermal Comfort Indoors and Savings.</w:t>
      </w:r>
    </w:p>
    <w:p w14:paraId="6059C297" w14:textId="788F84A2" w:rsidR="00A14A99" w:rsidRPr="00015D68" w:rsidRDefault="00A14A99" w:rsidP="00015D68">
      <w:pPr>
        <w:pStyle w:val="Heading1"/>
      </w:pPr>
      <w:r w:rsidRPr="00A14A99">
        <w:t>Controls Integration, Cybersecurity, and Human Factors</w:t>
      </w:r>
    </w:p>
    <w:p w14:paraId="1F5D9937" w14:textId="77777777" w:rsidR="001877C8" w:rsidRDefault="00D828CD" w:rsidP="00015D68">
      <w:pPr>
        <w:pStyle w:val="BodyText"/>
        <w:rPr>
          <w:lang w:val="en-US"/>
        </w:rPr>
      </w:pPr>
      <w:r w:rsidRPr="00CB5EF9">
        <w:rPr>
          <w:lang w:val="en-US"/>
        </w:rPr>
        <w:t>The techno</w:t>
      </w:r>
      <w:r w:rsidR="00CB5EF9" w:rsidRPr="00CB5EF9">
        <w:rPr>
          <w:lang w:val="en-US"/>
        </w:rPr>
        <w:t>-logistical success of a smart façade is in the coordination of sub-systems Solution: In this definition below, one can observe smart façades via-a valuable contribution that BMS offers to the building at presents occurs by integrating IoT-enabled devices. Dimming curves have to be carefully exposed in lighting controls, avoiding flicker and low-end body effects; shade motors are required to report their position and status for diagnosis purposes; electro-chromic controllers require fail-safe logic, avoiding uncontrolled tints if external or internal communication fails. Schedules need to be timed to the seasons and site solar paths and normal occupancy, but they also need to have manual overrides visible by the BAS so that commissioning agents can identify patterns of discontent.</w:t>
      </w:r>
    </w:p>
    <w:p w14:paraId="53E607E2" w14:textId="1F90CFDF" w:rsidR="00A14A99" w:rsidRDefault="00CB5EF9" w:rsidP="00015D68">
      <w:pPr>
        <w:pStyle w:val="BodyText"/>
        <w:rPr>
          <w:lang w:val="en-US"/>
        </w:rPr>
      </w:pPr>
      <w:r w:rsidRPr="00CB5EF9">
        <w:rPr>
          <w:lang w:val="en-US"/>
        </w:rPr>
        <w:t xml:space="preserve">Predictive control algorithms consume weather forecasts and, when available, grid signals like time-of-use tariffs or </w:t>
      </w:r>
      <w:r w:rsidRPr="00CB5EF9">
        <w:rPr>
          <w:lang w:val="en-US"/>
        </w:rPr>
        <w:lastRenderedPageBreak/>
        <w:t>realizing demand response events. In grid-interaction efficient buildings (GEB), facade controls engage in load shifting by precooling for anticipated high prices or daylight harvesting during event windows. With façade devices now sitting on IP networks, cybersecurity is a must: network segmentation, authenticated APIs (application programming interfaces), encrypted communications and change-control procedures all but eliminate the likelihood of malicious or mistaken disruptions. Human factors complete the picture. Occupants need just a few, intuitive control mechanisms</w:t>
      </w:r>
      <w:r>
        <w:rPr>
          <w:lang w:val="en-US"/>
        </w:rPr>
        <w:t xml:space="preserve"> r</w:t>
      </w:r>
      <w:r w:rsidRPr="00CB5EF9">
        <w:rPr>
          <w:lang w:val="en-US"/>
        </w:rPr>
        <w:t xml:space="preserve">aise/lower, tint level presets, task lighting override—with more </w:t>
      </w:r>
      <w:proofErr w:type="spellStart"/>
      <w:r w:rsidRPr="00CB5EF9">
        <w:rPr>
          <w:lang w:val="en-US"/>
        </w:rPr>
        <w:t>bunsen</w:t>
      </w:r>
      <w:proofErr w:type="spellEnd"/>
      <w:r w:rsidRPr="00CB5EF9">
        <w:rPr>
          <w:lang w:val="en-US"/>
        </w:rPr>
        <w:t>-burner-level automation handled at the building scale. Signage and brief onboarding (</w:t>
      </w:r>
      <w:proofErr w:type="spellStart"/>
      <w:r w:rsidRPr="00CB5EF9">
        <w:rPr>
          <w:lang w:val="en-US"/>
        </w:rPr>
        <w:t>eg</w:t>
      </w:r>
      <w:proofErr w:type="spellEnd"/>
      <w:r w:rsidRPr="00CB5EF9">
        <w:rPr>
          <w:lang w:val="en-US"/>
        </w:rPr>
        <w:t>, at move-in) education mitigate override fear and raise the threshold for noisy conditions.</w:t>
      </w:r>
      <w:r w:rsidR="001477EF">
        <w:rPr>
          <w:rFonts w:ascii="Arial" w:hAnsi="Arial" w:cs="Arial"/>
          <w:color w:val="111111"/>
          <w:spacing w:val="0"/>
          <w:sz w:val="27"/>
          <w:szCs w:val="27"/>
          <w:shd w:val="clear" w:color="auto" w:fill="D4EDDA"/>
          <w:lang w:val="en-US" w:eastAsia="en-US"/>
        </w:rPr>
        <w:t xml:space="preserve"> </w:t>
      </w:r>
      <w:r w:rsidR="001477EF" w:rsidRPr="001477EF">
        <w:rPr>
          <w:lang w:val="en-US"/>
        </w:rPr>
        <w:t>The bar-chart, which compared occupant satisfaction (thermal comfort, visual comfort, overall satisfaction) and energy-performance ratings (LEED credits, WELL Certification points), was obtained after one year of the building operation. The data will be based on machine-learning models that will be analyzed based on sensor data and occupant feedback. Rationalization: Machine-learning models that are trained using post-occupancy data attribute occupant satisfaction to smart facade performance. The feedback is gathered through the surveys and is built into the IoT platform of the building. The thermal and visual comfort measures are considered as well as the energy performance measurements, including LEED and WELL scores. Results show that high performance in the two aspects is positively correlated with well occupant experience even in the presence of well energy performance in case of smart facades</w:t>
      </w:r>
      <w:r w:rsidR="001477EF">
        <w:rPr>
          <w:lang w:val="en-US"/>
        </w:rPr>
        <w:t xml:space="preserve"> as depicted in fig. 5</w:t>
      </w:r>
      <w:r w:rsidR="000F697A">
        <w:rPr>
          <w:lang w:val="en-US"/>
        </w:rPr>
        <w:t xml:space="preserve">, </w:t>
      </w:r>
      <w:r w:rsidR="000F697A" w:rsidRPr="000F697A">
        <w:rPr>
          <w:color w:val="0070C0"/>
          <w:highlight w:val="yellow"/>
          <w:lang w:val="en-US"/>
        </w:rPr>
        <w:t>where survey and sensor data showed that smart façade controls improved occupant visual and thermal satisfaction scores by 22% and 18%, respectively, compared to baseline conditions.</w:t>
      </w:r>
    </w:p>
    <w:p w14:paraId="46899011" w14:textId="5F2F24A3" w:rsidR="00235F31" w:rsidRDefault="00B8419D" w:rsidP="00B8419D">
      <w:pPr>
        <w:pStyle w:val="BodyText"/>
        <w:ind w:firstLine="0"/>
        <w:jc w:val="center"/>
        <w:rPr>
          <w:lang w:val="en-US"/>
        </w:rPr>
      </w:pPr>
      <w:r>
        <w:rPr>
          <w:noProof/>
          <w:lang w:val="en-US" w:eastAsia="en-US"/>
        </w:rPr>
        <w:drawing>
          <wp:inline distT="0" distB="0" distL="0" distR="0" wp14:anchorId="2E9D7CEC" wp14:editId="3F06FFBC">
            <wp:extent cx="3204845" cy="1828800"/>
            <wp:effectExtent l="0" t="0" r="0" b="0"/>
            <wp:docPr id="1227293967" name="Picture 4" descr="A graph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293967" name="Picture 4" descr="A graph with a red line&#10;&#10;AI-generated content may be incorrect."/>
                    <pic:cNvPicPr/>
                  </pic:nvPicPr>
                  <pic:blipFill>
                    <a:blip r:embed="rId18" cstate="hqprint">
                      <a:extLst>
                        <a:ext uri="{28A0092B-C50C-407E-A947-70E740481C1C}">
                          <a14:useLocalDpi xmlns:a14="http://schemas.microsoft.com/office/drawing/2010/main" val="0"/>
                        </a:ext>
                      </a:extLst>
                    </a:blip>
                    <a:stretch>
                      <a:fillRect/>
                    </a:stretch>
                  </pic:blipFill>
                  <pic:spPr>
                    <a:xfrm>
                      <a:off x="0" y="0"/>
                      <a:ext cx="3207675" cy="1830415"/>
                    </a:xfrm>
                    <a:prstGeom prst="rect">
                      <a:avLst/>
                    </a:prstGeom>
                  </pic:spPr>
                </pic:pic>
              </a:graphicData>
            </a:graphic>
          </wp:inline>
        </w:drawing>
      </w:r>
    </w:p>
    <w:p w14:paraId="2CA67B34" w14:textId="7B32709A" w:rsidR="00B8419D" w:rsidRPr="00B8419D" w:rsidRDefault="001477EF" w:rsidP="00B8419D">
      <w:pPr>
        <w:pStyle w:val="figurecaption"/>
        <w:rPr>
          <w:spacing w:val="-1"/>
        </w:rPr>
      </w:pPr>
      <w:r w:rsidRPr="001477EF">
        <w:t>Smart Façade Performance Feedback (Post Occupancy)</w:t>
      </w:r>
      <w:r>
        <w:t>.</w:t>
      </w:r>
    </w:p>
    <w:p w14:paraId="1A670697" w14:textId="5BA6E4DB" w:rsidR="00A14A99" w:rsidRPr="000007A1" w:rsidRDefault="00A14A99" w:rsidP="00A14A99">
      <w:pPr>
        <w:pStyle w:val="Heading1"/>
      </w:pPr>
      <w:r w:rsidRPr="00A14A99">
        <w:t>Measurement, Verification, and Commissioning Patterns</w:t>
      </w:r>
    </w:p>
    <w:p w14:paraId="1956F669" w14:textId="427789D0" w:rsidR="00A14A99" w:rsidRDefault="00D828CD" w:rsidP="00015D68">
      <w:pPr>
        <w:pStyle w:val="BodyText"/>
        <w:rPr>
          <w:lang w:val="en-US"/>
        </w:rPr>
      </w:pPr>
      <w:r w:rsidRPr="00D828CD">
        <w:rPr>
          <w:lang w:val="en-US"/>
        </w:rPr>
        <w:t xml:space="preserve">Commissioning is not one event, but everything from the design intent documentation to through post occupancy seasonal testing. For façades, field measurements cover illuminance mapping under clear and overcast skies, glare assessments from sample seating areas, and checks of shade travel limits and speed. Underperformance is often due to mis-calibrated sensors (notably for daylight sensing), which must be calibrated at times of </w:t>
      </w:r>
      <w:proofErr w:type="spellStart"/>
      <w:r w:rsidRPr="00D828CD">
        <w:rPr>
          <w:lang w:val="en-US"/>
        </w:rPr>
        <w:t>tbe</w:t>
      </w:r>
      <w:proofErr w:type="spellEnd"/>
      <w:r w:rsidRPr="00D828CD">
        <w:rPr>
          <w:lang w:val="en-US"/>
        </w:rPr>
        <w:t xml:space="preserve"> day in the presence of furniture and finishes. Periods for the facades status (tint level, shade position) should be </w:t>
      </w:r>
      <w:r w:rsidRPr="00D828CD">
        <w:rPr>
          <w:lang w:val="en-US"/>
        </w:rPr>
        <w:t>mentioned as trend logs if sufficiently short to cross-compare with lighting and HVAC responses; hourly data is typically appropriate for energy analysis, whilst 1–5 min is necessary in order to comment on occupant satisfaction. An M&amp;V plan should specify which measures will be monitored and how (e.g. space types, hours of operation, staff in those spaces), such as perimeter lighting power density during occupied hours, distribution by orientation of shade positions and percent of time achieving target illuminance; When performance does not match predictions, the cause can be identified through parameter sweeps in simulation to find drivers  for example, a lower-than-predicted sky clearness index or different occupant schedules — and then retuning of controls. A virtuous cycle develops if building operators can be taught to read diagnostic dashboards, and occupants can know how their actions affect performance.</w:t>
      </w:r>
    </w:p>
    <w:p w14:paraId="5D15F3BD" w14:textId="1DAFE732" w:rsidR="00D23890" w:rsidRDefault="00D828CD" w:rsidP="00D23890">
      <w:pPr>
        <w:pStyle w:val="Heading1"/>
      </w:pPr>
      <w:r w:rsidRPr="00D828CD">
        <w:t>Economics, Incentives, and Portfolio Strategy</w:t>
      </w:r>
    </w:p>
    <w:p w14:paraId="2D715775" w14:textId="7F82D21D" w:rsidR="00FE30EF" w:rsidRPr="00FE30EF" w:rsidRDefault="00FE30EF" w:rsidP="00FA27D0">
      <w:pPr>
        <w:pStyle w:val="BodyText"/>
        <w:rPr>
          <w:lang w:val="en-US"/>
        </w:rPr>
      </w:pPr>
      <w:r w:rsidRPr="00FE30EF">
        <w:rPr>
          <w:lang w:val="en-US"/>
        </w:rPr>
        <w:t xml:space="preserve">Smart façade project economics are climate and orientation-dependent, window-to-wall ratio based, utility tariff sensitive, existing system efficiency specific and construction logistical oriented. Electrochromic glazing has higher first costs over static low-e, but it can lead to smaller mechanical plant and reduce operating costs as well; automated shading and daylighting controls are often cost-effective because of the reduction in lighting energy use and relatively small incremental costs when packaged with LED upgrades. The economics of BIPV depend on module price, inverter and balance-of-system costs, and the geometry of the shading; their value is higher when there are limitations on roof area or façades capable of hosting a significant area without undue self-shading. Incentives for certification introduce a second channel to the business case; energy and daylight credits are able to open up levels of certification that owners appreciate in terms of market differentiation, while third-party validation of savings is available via operational benchmarking. </w:t>
      </w:r>
    </w:p>
    <w:p w14:paraId="5D93A818" w14:textId="217C3106" w:rsidR="00D828CD" w:rsidRDefault="00D828CD" w:rsidP="00D828CD">
      <w:pPr>
        <w:pStyle w:val="Heading2"/>
      </w:pPr>
      <w:r w:rsidRPr="00D828CD">
        <w:t>Risks, Limitations, and Mitigations</w:t>
      </w:r>
    </w:p>
    <w:p w14:paraId="1571C26A" w14:textId="77777777" w:rsidR="001877C8" w:rsidRDefault="00FE30EF" w:rsidP="00D828CD">
      <w:pPr>
        <w:pStyle w:val="BodyText"/>
        <w:rPr>
          <w:lang w:val="en-US"/>
        </w:rPr>
      </w:pPr>
      <w:r w:rsidRPr="00FE30EF">
        <w:rPr>
          <w:lang w:val="en-US"/>
        </w:rPr>
        <w:t xml:space="preserve">Despite the substantial advantages of smart façades, they also present hazards when they are inadequately designed and maintained. Control complexity can also lead to operators getting overwhelmed; remedy comes from clear sequence-of-operations documents, training, a conservative default behavior that fails safely and the ability to pilot the machine in specific targeted sequences through complex tasks. Specifically, occupant override fatigue is a frequent mode of failure; cures include fewer, more intuitive presets as well as feedback that shows why in the world the system has decided to do something. DSF fire and smoke solutions should be developed in collaboration with code officials; acoustic flanking paths and stack pressures demand initial modeling and full-scale mock-ups. </w:t>
      </w:r>
    </w:p>
    <w:p w14:paraId="5D9C0D2C" w14:textId="7D0BA771" w:rsidR="00D828CD" w:rsidRDefault="00FE30EF" w:rsidP="00D828CD">
      <w:pPr>
        <w:pStyle w:val="BodyText"/>
        <w:rPr>
          <w:lang w:val="en-US"/>
        </w:rPr>
      </w:pPr>
      <w:r w:rsidRPr="00FE30EF">
        <w:rPr>
          <w:lang w:val="en-US"/>
        </w:rPr>
        <w:t xml:space="preserve">Electrochromic color quality and switching uniformity have come a long way but still need to be verified in physical and visual mock-ups to ensure user acceptance. Local shading, soiling or thermal derates can jeopardize the performance of BIPV facades; consideration of module-design, ventilation and access logistics solves this issue. Finally, late-breaking value engineering power in design can lead to deterioration in control quality; once the smart façade concept has been established, it should be preserved through clear contract language that </w:t>
      </w:r>
      <w:r w:rsidRPr="00FE30EF">
        <w:rPr>
          <w:lang w:val="en-US"/>
        </w:rPr>
        <w:lastRenderedPageBreak/>
        <w:t>performance depends on both hardware and commissioning scope.</w:t>
      </w:r>
      <w:r w:rsidR="00FA27D0">
        <w:rPr>
          <w:lang w:val="en-US"/>
        </w:rPr>
        <w:t xml:space="preserve"> </w:t>
      </w:r>
      <w:r w:rsidR="00FA27D0" w:rsidRPr="00FA27D0">
        <w:rPr>
          <w:lang w:val="en-US"/>
        </w:rPr>
        <w:t>The bar chart helps show to what degree the different systems of facades mitigate peak demand. The highest impact is shown in building-integrated photovoltaic (BIPV) facades, then the use of the double-skin facade, and automated shading systems. These technologies help in controlling the internal thermal load by regulating the heat gain, and increase of shading, as a result, the peak demand is lower and the need to use additional cooling or heating in case of extreme weather conditions is also minimized</w:t>
      </w:r>
      <w:r w:rsidR="00FA27D0">
        <w:rPr>
          <w:lang w:val="en-US"/>
        </w:rPr>
        <w:t xml:space="preserve"> as depicted in fig. 6</w:t>
      </w:r>
      <w:r w:rsidR="00FA27D0" w:rsidRPr="00FA27D0">
        <w:rPr>
          <w:lang w:val="en-US"/>
        </w:rPr>
        <w:t>.</w:t>
      </w:r>
    </w:p>
    <w:p w14:paraId="6120E0A3" w14:textId="2A813CAC" w:rsidR="00B8419D" w:rsidRDefault="00B8419D" w:rsidP="00B8419D">
      <w:pPr>
        <w:pStyle w:val="BodyText"/>
        <w:ind w:firstLine="0"/>
        <w:jc w:val="center"/>
        <w:rPr>
          <w:lang w:val="en-US"/>
        </w:rPr>
      </w:pPr>
      <w:r>
        <w:rPr>
          <w:noProof/>
          <w:lang w:val="en-US" w:eastAsia="en-US"/>
        </w:rPr>
        <w:drawing>
          <wp:inline distT="0" distB="0" distL="0" distR="0" wp14:anchorId="3B014BA8" wp14:editId="1D44E1AC">
            <wp:extent cx="3204303" cy="1886400"/>
            <wp:effectExtent l="0" t="0" r="0" b="0"/>
            <wp:docPr id="135534441" name="Picture 5" descr="A graph of a bar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34441" name="Picture 5" descr="A graph of a bar graph&#10;&#10;AI-generated content may be incorrect."/>
                    <pic:cNvPicPr/>
                  </pic:nvPicPr>
                  <pic:blipFill>
                    <a:blip r:embed="rId19" cstate="hqprint">
                      <a:extLst>
                        <a:ext uri="{28A0092B-C50C-407E-A947-70E740481C1C}">
                          <a14:useLocalDpi xmlns:a14="http://schemas.microsoft.com/office/drawing/2010/main" val="0"/>
                        </a:ext>
                      </a:extLst>
                    </a:blip>
                    <a:stretch>
                      <a:fillRect/>
                    </a:stretch>
                  </pic:blipFill>
                  <pic:spPr>
                    <a:xfrm>
                      <a:off x="0" y="0"/>
                      <a:ext cx="3222173" cy="1896921"/>
                    </a:xfrm>
                    <a:prstGeom prst="rect">
                      <a:avLst/>
                    </a:prstGeom>
                  </pic:spPr>
                </pic:pic>
              </a:graphicData>
            </a:graphic>
          </wp:inline>
        </w:drawing>
      </w:r>
    </w:p>
    <w:p w14:paraId="28C7B17C" w14:textId="33276772" w:rsidR="00B8419D" w:rsidRPr="00B8419D" w:rsidRDefault="00FA27D0" w:rsidP="00B8419D">
      <w:pPr>
        <w:pStyle w:val="figurecaption"/>
        <w:rPr>
          <w:spacing w:val="-1"/>
        </w:rPr>
      </w:pPr>
      <w:r w:rsidRPr="00FA27D0">
        <w:t>Smart Façade System's Effect on Peak Demand Reduction</w:t>
      </w:r>
      <w:r>
        <w:t>.</w:t>
      </w:r>
    </w:p>
    <w:p w14:paraId="2259D1B5" w14:textId="55473BA3" w:rsidR="00D828CD" w:rsidRDefault="00D828CD" w:rsidP="00D828CD">
      <w:pPr>
        <w:pStyle w:val="Heading2"/>
      </w:pPr>
      <w:r w:rsidRPr="00D828CD">
        <w:t>Synthesis and Practical Guidance</w:t>
      </w:r>
    </w:p>
    <w:p w14:paraId="634F12DE" w14:textId="7F9431C0" w:rsidR="00235F31" w:rsidRPr="00B8419D" w:rsidRDefault="001877C8" w:rsidP="00B8419D">
      <w:pPr>
        <w:pStyle w:val="BodyText"/>
        <w:rPr>
          <w:lang w:val="en-US"/>
        </w:rPr>
        <w:sectPr w:rsidR="00235F31" w:rsidRPr="00B8419D" w:rsidSect="00B3184D">
          <w:type w:val="continuous"/>
          <w:pgSz w:w="12240" w:h="15840" w:code="1"/>
          <w:pgMar w:top="1080" w:right="893" w:bottom="1440" w:left="893" w:header="720" w:footer="720" w:gutter="0"/>
          <w:cols w:num="2" w:space="360"/>
          <w:docGrid w:linePitch="360"/>
        </w:sectPr>
      </w:pPr>
      <w:r w:rsidRPr="001877C8">
        <w:rPr>
          <w:lang w:val="en-US"/>
        </w:rPr>
        <w:t xml:space="preserve">The common thread in these last sections is that </w:t>
      </w:r>
      <w:proofErr w:type="spellStart"/>
      <w:r w:rsidRPr="001877C8">
        <w:rPr>
          <w:lang w:val="en-US"/>
        </w:rPr>
        <w:t>certifi</w:t>
      </w:r>
      <w:proofErr w:type="spellEnd"/>
      <w:r w:rsidRPr="001877C8">
        <w:rPr>
          <w:lang w:val="en-US"/>
        </w:rPr>
        <w:t xml:space="preserve"> cation results are greatest when façade strategies are described as systems, rather than features in a catalogue. A pragmatic path starts with goals that are transparent about energy, daylighting, comfort, and carbon; is rooted in co-simulation that honors the feedback between lighting, shading, glazing, and HVAC; and ends with commissioning plus operator engagement to maintain advances. When it comes to certification, the facade is not only responsible for energy points but also for human-centric statistics that are becoming more crucial to owners. Glare reduction and daylighting, Views Maintaining good views will improve cognitive performance, satisfaction and well as stabilizing operative temperatures. First time quality Significant improvements to perceived quality can be made using a combination of natural lighting/ventilation in the canopy. Feeling that you are outdoors Visually connecting to the outdoors supports wellbeing targets. BIPV or canopy PV that integrates with façade shading geometries can be seen as bringing on-site generation directly onto the building and contributing to resilience messaging while also reducing net energy use. The suggested approach to delivery is based on an iterative, evidence-led practice: baseline and target setting; concept options for envelope including control narratives; simulation and cost-benefit analysis; stakeholder review (including O&amp;M); procurement with mock-ups then followed by rigorous commissioning; year one tuning with open reporting against certification performance.</w:t>
      </w:r>
      <w:bookmarkEnd w:id="5"/>
    </w:p>
    <w:p w14:paraId="405F6FFA" w14:textId="755C327B" w:rsidR="0002580E" w:rsidRPr="007D0DF0" w:rsidRDefault="00A7436C" w:rsidP="00F328CD">
      <w:pPr>
        <w:pStyle w:val="tablehead"/>
        <w:rPr>
          <w:sz w:val="20"/>
          <w:szCs w:val="20"/>
        </w:rPr>
      </w:pPr>
      <w:r w:rsidRPr="007D0DF0">
        <w:rPr>
          <w:sz w:val="20"/>
          <w:szCs w:val="20"/>
        </w:rPr>
        <w:t xml:space="preserve">Performance </w:t>
      </w:r>
      <w:r w:rsidR="0002580E" w:rsidRPr="007D0DF0">
        <w:rPr>
          <w:sz w:val="20"/>
          <w:szCs w:val="20"/>
        </w:rPr>
        <w:t xml:space="preserve">Summary of </w:t>
      </w:r>
      <w:r w:rsidRPr="007D0DF0">
        <w:rPr>
          <w:sz w:val="20"/>
          <w:szCs w:val="20"/>
        </w:rPr>
        <w:t>Different Types of Methods</w:t>
      </w:r>
    </w:p>
    <w:tbl>
      <w:tblPr>
        <w:tblStyle w:val="TableGrid"/>
        <w:tblW w:w="0" w:type="auto"/>
        <w:jc w:val="center"/>
        <w:tblLayout w:type="fixed"/>
        <w:tblLook w:val="04A0" w:firstRow="1" w:lastRow="0" w:firstColumn="1" w:lastColumn="0" w:noHBand="0" w:noVBand="1"/>
      </w:tblPr>
      <w:tblGrid>
        <w:gridCol w:w="895"/>
        <w:gridCol w:w="1350"/>
        <w:gridCol w:w="1260"/>
        <w:gridCol w:w="1170"/>
        <w:gridCol w:w="1287"/>
        <w:gridCol w:w="783"/>
        <w:gridCol w:w="1260"/>
        <w:gridCol w:w="1260"/>
        <w:gridCol w:w="1179"/>
      </w:tblGrid>
      <w:tr w:rsidR="00971213" w:rsidRPr="001877C8" w14:paraId="04EB1634" w14:textId="65AF2879" w:rsidTr="00971213">
        <w:trPr>
          <w:trHeight w:val="269"/>
          <w:jc w:val="center"/>
        </w:trPr>
        <w:tc>
          <w:tcPr>
            <w:tcW w:w="895" w:type="dxa"/>
          </w:tcPr>
          <w:p w14:paraId="756F9C35" w14:textId="65840E70" w:rsidR="001877C8" w:rsidRPr="001877C8" w:rsidRDefault="001877C8" w:rsidP="001877C8">
            <w:pPr>
              <w:pStyle w:val="BodyText"/>
              <w:spacing w:after="0" w:line="240" w:lineRule="auto"/>
              <w:ind w:firstLine="0"/>
              <w:jc w:val="center"/>
              <w:rPr>
                <w:b/>
                <w:bCs/>
                <w:i/>
                <w:iCs/>
                <w:sz w:val="16"/>
                <w:szCs w:val="16"/>
              </w:rPr>
            </w:pPr>
            <w:r w:rsidRPr="001877C8">
              <w:rPr>
                <w:b/>
                <w:bCs/>
                <w:i/>
                <w:iCs/>
                <w:sz w:val="16"/>
                <w:szCs w:val="16"/>
              </w:rPr>
              <w:t>Method</w:t>
            </w:r>
          </w:p>
        </w:tc>
        <w:tc>
          <w:tcPr>
            <w:tcW w:w="1350" w:type="dxa"/>
          </w:tcPr>
          <w:p w14:paraId="55C88B53" w14:textId="162AB9F4" w:rsidR="001877C8" w:rsidRPr="001877C8" w:rsidRDefault="001877C8" w:rsidP="001877C8">
            <w:pPr>
              <w:pStyle w:val="BodyText"/>
              <w:spacing w:after="0" w:line="240" w:lineRule="auto"/>
              <w:ind w:firstLine="0"/>
              <w:jc w:val="center"/>
              <w:rPr>
                <w:b/>
                <w:bCs/>
                <w:i/>
                <w:iCs/>
                <w:sz w:val="16"/>
                <w:szCs w:val="16"/>
              </w:rPr>
            </w:pPr>
            <w:r w:rsidRPr="001877C8">
              <w:rPr>
                <w:b/>
                <w:bCs/>
                <w:i/>
                <w:iCs/>
                <w:sz w:val="16"/>
                <w:szCs w:val="16"/>
              </w:rPr>
              <w:t>What it does</w:t>
            </w:r>
          </w:p>
        </w:tc>
        <w:tc>
          <w:tcPr>
            <w:tcW w:w="1260" w:type="dxa"/>
          </w:tcPr>
          <w:p w14:paraId="0995C28D" w14:textId="002C8243" w:rsidR="001877C8" w:rsidRPr="001877C8" w:rsidRDefault="001877C8" w:rsidP="001877C8">
            <w:pPr>
              <w:pStyle w:val="BodyText"/>
              <w:spacing w:after="0" w:line="240" w:lineRule="auto"/>
              <w:ind w:firstLine="0"/>
              <w:jc w:val="center"/>
              <w:rPr>
                <w:b/>
                <w:bCs/>
                <w:i/>
                <w:iCs/>
                <w:sz w:val="16"/>
                <w:szCs w:val="16"/>
              </w:rPr>
            </w:pPr>
            <w:r w:rsidRPr="001877C8">
              <w:rPr>
                <w:b/>
                <w:bCs/>
                <w:i/>
                <w:iCs/>
                <w:sz w:val="16"/>
                <w:szCs w:val="16"/>
              </w:rPr>
              <w:t>Typical Energy Impact*</w:t>
            </w:r>
          </w:p>
        </w:tc>
        <w:tc>
          <w:tcPr>
            <w:tcW w:w="1170" w:type="dxa"/>
          </w:tcPr>
          <w:p w14:paraId="51555511" w14:textId="468DF5CB" w:rsidR="001877C8" w:rsidRPr="001877C8" w:rsidRDefault="001877C8" w:rsidP="001877C8">
            <w:pPr>
              <w:pStyle w:val="BodyText"/>
              <w:spacing w:after="0" w:line="240" w:lineRule="auto"/>
              <w:ind w:firstLine="0"/>
              <w:jc w:val="center"/>
              <w:rPr>
                <w:b/>
                <w:bCs/>
                <w:i/>
                <w:iCs/>
                <w:sz w:val="16"/>
                <w:szCs w:val="16"/>
              </w:rPr>
            </w:pPr>
            <w:r w:rsidRPr="001877C8">
              <w:rPr>
                <w:b/>
                <w:bCs/>
                <w:i/>
                <w:iCs/>
                <w:sz w:val="16"/>
                <w:szCs w:val="16"/>
              </w:rPr>
              <w:t>Comfort &amp; Glare</w:t>
            </w:r>
          </w:p>
        </w:tc>
        <w:tc>
          <w:tcPr>
            <w:tcW w:w="1287" w:type="dxa"/>
          </w:tcPr>
          <w:p w14:paraId="51AD4FB5" w14:textId="4F1B4217" w:rsidR="001877C8" w:rsidRPr="001877C8" w:rsidRDefault="001877C8" w:rsidP="001877C8">
            <w:pPr>
              <w:pStyle w:val="BodyText"/>
              <w:spacing w:after="0" w:line="240" w:lineRule="auto"/>
              <w:ind w:firstLine="0"/>
              <w:jc w:val="center"/>
              <w:rPr>
                <w:b/>
                <w:bCs/>
                <w:i/>
                <w:iCs/>
                <w:sz w:val="16"/>
                <w:szCs w:val="16"/>
              </w:rPr>
            </w:pPr>
            <w:r w:rsidRPr="001877C8">
              <w:rPr>
                <w:b/>
                <w:bCs/>
                <w:i/>
                <w:iCs/>
                <w:sz w:val="16"/>
                <w:szCs w:val="16"/>
              </w:rPr>
              <w:t>Grid/Resilience Contribution</w:t>
            </w:r>
          </w:p>
        </w:tc>
        <w:tc>
          <w:tcPr>
            <w:tcW w:w="783" w:type="dxa"/>
          </w:tcPr>
          <w:p w14:paraId="6C333E54" w14:textId="56ECCC60" w:rsidR="001877C8" w:rsidRPr="001877C8" w:rsidRDefault="001877C8" w:rsidP="001877C8">
            <w:pPr>
              <w:pStyle w:val="BodyText"/>
              <w:spacing w:after="0" w:line="240" w:lineRule="auto"/>
              <w:ind w:firstLine="0"/>
              <w:jc w:val="center"/>
              <w:rPr>
                <w:b/>
                <w:bCs/>
                <w:i/>
                <w:iCs/>
                <w:sz w:val="16"/>
                <w:szCs w:val="16"/>
              </w:rPr>
            </w:pPr>
            <w:r w:rsidRPr="001877C8">
              <w:rPr>
                <w:b/>
                <w:bCs/>
                <w:i/>
                <w:iCs/>
                <w:sz w:val="16"/>
                <w:szCs w:val="16"/>
              </w:rPr>
              <w:t>Retrofit Fit</w:t>
            </w:r>
          </w:p>
        </w:tc>
        <w:tc>
          <w:tcPr>
            <w:tcW w:w="1260" w:type="dxa"/>
          </w:tcPr>
          <w:p w14:paraId="032AB10B" w14:textId="55696B5F" w:rsidR="001877C8" w:rsidRPr="001877C8" w:rsidRDefault="001877C8" w:rsidP="001877C8">
            <w:pPr>
              <w:pStyle w:val="BodyText"/>
              <w:spacing w:after="0" w:line="240" w:lineRule="auto"/>
              <w:ind w:firstLine="0"/>
              <w:jc w:val="center"/>
              <w:rPr>
                <w:b/>
                <w:bCs/>
                <w:i/>
                <w:iCs/>
                <w:sz w:val="16"/>
                <w:szCs w:val="16"/>
              </w:rPr>
            </w:pPr>
            <w:r w:rsidRPr="001877C8">
              <w:rPr>
                <w:b/>
                <w:bCs/>
                <w:i/>
                <w:iCs/>
                <w:sz w:val="16"/>
                <w:szCs w:val="16"/>
              </w:rPr>
              <w:t>Commissioning Complexity</w:t>
            </w:r>
          </w:p>
        </w:tc>
        <w:tc>
          <w:tcPr>
            <w:tcW w:w="1260" w:type="dxa"/>
          </w:tcPr>
          <w:p w14:paraId="0BB0867F" w14:textId="4848F5F3" w:rsidR="001877C8" w:rsidRPr="001877C8" w:rsidRDefault="001877C8" w:rsidP="001877C8">
            <w:pPr>
              <w:pStyle w:val="BodyText"/>
              <w:spacing w:after="0" w:line="240" w:lineRule="auto"/>
              <w:ind w:firstLine="0"/>
              <w:jc w:val="center"/>
              <w:rPr>
                <w:b/>
                <w:bCs/>
                <w:i/>
                <w:iCs/>
                <w:sz w:val="16"/>
                <w:szCs w:val="16"/>
              </w:rPr>
            </w:pPr>
            <w:r w:rsidRPr="001877C8">
              <w:rPr>
                <w:b/>
                <w:bCs/>
                <w:i/>
                <w:iCs/>
                <w:sz w:val="16"/>
                <w:szCs w:val="16"/>
              </w:rPr>
              <w:t>Certification Levers</w:t>
            </w:r>
          </w:p>
        </w:tc>
        <w:tc>
          <w:tcPr>
            <w:tcW w:w="1179" w:type="dxa"/>
          </w:tcPr>
          <w:p w14:paraId="0E247621" w14:textId="32104E55" w:rsidR="001877C8" w:rsidRPr="001877C8" w:rsidRDefault="001877C8" w:rsidP="001877C8">
            <w:pPr>
              <w:pStyle w:val="BodyText"/>
              <w:spacing w:after="0" w:line="240" w:lineRule="auto"/>
              <w:ind w:firstLine="0"/>
              <w:jc w:val="center"/>
              <w:rPr>
                <w:b/>
                <w:bCs/>
                <w:i/>
                <w:iCs/>
                <w:sz w:val="16"/>
                <w:szCs w:val="16"/>
              </w:rPr>
            </w:pPr>
            <w:r w:rsidRPr="001877C8">
              <w:rPr>
                <w:b/>
                <w:bCs/>
                <w:i/>
                <w:iCs/>
                <w:sz w:val="16"/>
                <w:szCs w:val="16"/>
              </w:rPr>
              <w:t>Notable Risks / Watch-outs</w:t>
            </w:r>
          </w:p>
        </w:tc>
      </w:tr>
      <w:tr w:rsidR="00971213" w:rsidRPr="001877C8" w14:paraId="09F701F8" w14:textId="27D4881D" w:rsidTr="00971213">
        <w:trPr>
          <w:trHeight w:val="535"/>
          <w:jc w:val="center"/>
        </w:trPr>
        <w:tc>
          <w:tcPr>
            <w:tcW w:w="895" w:type="dxa"/>
          </w:tcPr>
          <w:p w14:paraId="49BF874E" w14:textId="3699F1AA"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Dynamic (Electrochromic) Glazing</w:t>
            </w:r>
          </w:p>
        </w:tc>
        <w:tc>
          <w:tcPr>
            <w:tcW w:w="1350" w:type="dxa"/>
          </w:tcPr>
          <w:p w14:paraId="53B6A0F0" w14:textId="4AD8D7FB"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Varies visible/solar transmittance to cut heat gain and glare while preserving views</w:t>
            </w:r>
          </w:p>
        </w:tc>
        <w:tc>
          <w:tcPr>
            <w:tcW w:w="1260" w:type="dxa"/>
          </w:tcPr>
          <w:p w14:paraId="2048FCB8" w14:textId="7BE28E1F"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 xml:space="preserve">Cooling </w:t>
            </w:r>
            <w:r w:rsidRPr="001877C8">
              <w:rPr>
                <w:rFonts w:hint="eastAsia"/>
                <w:sz w:val="16"/>
                <w:szCs w:val="16"/>
              </w:rPr>
              <w:t>↓</w:t>
            </w:r>
            <w:r w:rsidRPr="001877C8">
              <w:rPr>
                <w:rFonts w:hint="eastAsia"/>
                <w:sz w:val="16"/>
                <w:szCs w:val="16"/>
              </w:rPr>
              <w:t xml:space="preserve">; lighting </w:t>
            </w:r>
            <w:r w:rsidRPr="001877C8">
              <w:rPr>
                <w:rFonts w:hint="eastAsia"/>
                <w:sz w:val="16"/>
                <w:szCs w:val="16"/>
              </w:rPr>
              <w:t>↓</w:t>
            </w:r>
            <w:r w:rsidRPr="001877C8">
              <w:rPr>
                <w:rFonts w:hint="eastAsia"/>
                <w:sz w:val="16"/>
                <w:szCs w:val="16"/>
              </w:rPr>
              <w:t xml:space="preserve"> in perimeter zones; heating impact depends on climate</w:t>
            </w:r>
          </w:p>
        </w:tc>
        <w:tc>
          <w:tcPr>
            <w:tcW w:w="1170" w:type="dxa"/>
          </w:tcPr>
          <w:p w14:paraId="2B13D70B" w14:textId="3D734894"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Strong glare control with views; improves daylight autonomy wh</w:t>
            </w:r>
            <w:r w:rsidRPr="001877C8">
              <w:rPr>
                <w:sz w:val="16"/>
                <w:szCs w:val="16"/>
              </w:rPr>
              <w:t>en paired with dimming</w:t>
            </w:r>
          </w:p>
        </w:tc>
        <w:tc>
          <w:tcPr>
            <w:tcW w:w="1287" w:type="dxa"/>
          </w:tcPr>
          <w:p w14:paraId="332D7D51" w14:textId="0AB41F6C" w:rsidR="001877C8" w:rsidRPr="001877C8" w:rsidRDefault="001877C8" w:rsidP="001877C8">
            <w:pPr>
              <w:pStyle w:val="BodyText"/>
              <w:spacing w:after="0" w:line="240" w:lineRule="auto"/>
              <w:ind w:firstLine="0"/>
              <w:jc w:val="center"/>
              <w:rPr>
                <w:sz w:val="16"/>
                <w:szCs w:val="16"/>
              </w:rPr>
            </w:pPr>
            <w:r w:rsidRPr="001877C8">
              <w:rPr>
                <w:sz w:val="16"/>
                <w:szCs w:val="16"/>
              </w:rPr>
              <w:t>Indirect: enables load shaping via daylighting; supports DR events</w:t>
            </w:r>
          </w:p>
        </w:tc>
        <w:tc>
          <w:tcPr>
            <w:tcW w:w="783" w:type="dxa"/>
          </w:tcPr>
          <w:p w14:paraId="2B3E23FA" w14:textId="44AF0431" w:rsidR="001877C8" w:rsidRPr="001877C8" w:rsidRDefault="001877C8" w:rsidP="001877C8">
            <w:pPr>
              <w:pStyle w:val="BodyText"/>
              <w:spacing w:after="0" w:line="240" w:lineRule="auto"/>
              <w:ind w:firstLine="0"/>
              <w:jc w:val="center"/>
              <w:rPr>
                <w:sz w:val="16"/>
                <w:szCs w:val="16"/>
              </w:rPr>
            </w:pPr>
            <w:r w:rsidRPr="001877C8">
              <w:rPr>
                <w:sz w:val="16"/>
                <w:szCs w:val="16"/>
              </w:rPr>
              <w:t>Medium (glass replacement)</w:t>
            </w:r>
          </w:p>
        </w:tc>
        <w:tc>
          <w:tcPr>
            <w:tcW w:w="1260" w:type="dxa"/>
          </w:tcPr>
          <w:p w14:paraId="214A1B4C" w14:textId="094095D5" w:rsidR="001877C8" w:rsidRPr="001877C8" w:rsidRDefault="001877C8" w:rsidP="001877C8">
            <w:pPr>
              <w:pStyle w:val="BodyText"/>
              <w:spacing w:after="0" w:line="240" w:lineRule="auto"/>
              <w:ind w:firstLine="0"/>
              <w:jc w:val="center"/>
              <w:rPr>
                <w:sz w:val="16"/>
                <w:szCs w:val="16"/>
              </w:rPr>
            </w:pPr>
            <w:r w:rsidRPr="001877C8">
              <w:rPr>
                <w:sz w:val="16"/>
                <w:szCs w:val="16"/>
              </w:rPr>
              <w:t>Medium: sensor calibration, tint setpoints, HVAC/lighting coordination</w:t>
            </w:r>
          </w:p>
        </w:tc>
        <w:tc>
          <w:tcPr>
            <w:tcW w:w="1260" w:type="dxa"/>
          </w:tcPr>
          <w:p w14:paraId="1F7675E3" w14:textId="0DC0D18B" w:rsidR="001877C8" w:rsidRPr="001877C8" w:rsidRDefault="001877C8" w:rsidP="001877C8">
            <w:pPr>
              <w:pStyle w:val="BodyText"/>
              <w:spacing w:after="0" w:line="240" w:lineRule="auto"/>
              <w:ind w:firstLine="0"/>
              <w:jc w:val="center"/>
              <w:rPr>
                <w:sz w:val="16"/>
                <w:szCs w:val="16"/>
              </w:rPr>
            </w:pPr>
            <w:r w:rsidRPr="001877C8">
              <w:rPr>
                <w:sz w:val="16"/>
                <w:szCs w:val="16"/>
              </w:rPr>
              <w:t>LEED: Energy, Daylight, Quality Views; WELL: Light, Thermal; ENERGY STAR: lower EUI</w:t>
            </w:r>
          </w:p>
        </w:tc>
        <w:tc>
          <w:tcPr>
            <w:tcW w:w="1179" w:type="dxa"/>
          </w:tcPr>
          <w:p w14:paraId="1E954588" w14:textId="393367B6" w:rsidR="001877C8" w:rsidRPr="001877C8" w:rsidRDefault="001877C8" w:rsidP="001877C8">
            <w:pPr>
              <w:pStyle w:val="BodyText"/>
              <w:spacing w:after="0" w:line="240" w:lineRule="auto"/>
              <w:ind w:firstLine="0"/>
              <w:jc w:val="center"/>
              <w:rPr>
                <w:sz w:val="16"/>
                <w:szCs w:val="16"/>
              </w:rPr>
            </w:pPr>
            <w:r w:rsidRPr="001877C8">
              <w:rPr>
                <w:sz w:val="16"/>
                <w:szCs w:val="16"/>
              </w:rPr>
              <w:t>Color neutrality, switching speed, controls drift; user acceptance if scenes are abrupt</w:t>
            </w:r>
          </w:p>
        </w:tc>
      </w:tr>
      <w:tr w:rsidR="00971213" w:rsidRPr="001877C8" w14:paraId="0609F514" w14:textId="5F99317F" w:rsidTr="00971213">
        <w:trPr>
          <w:trHeight w:val="535"/>
          <w:jc w:val="center"/>
        </w:trPr>
        <w:tc>
          <w:tcPr>
            <w:tcW w:w="895" w:type="dxa"/>
          </w:tcPr>
          <w:p w14:paraId="641339E5" w14:textId="041E7D06"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Automated Interior Shading + Daylight Dimming</w:t>
            </w:r>
          </w:p>
        </w:tc>
        <w:tc>
          <w:tcPr>
            <w:tcW w:w="1350" w:type="dxa"/>
          </w:tcPr>
          <w:p w14:paraId="50A0E5E0" w14:textId="20AF02BC"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Motorized shades + photosensors reduce solar gain and electric lighting</w:t>
            </w:r>
          </w:p>
        </w:tc>
        <w:tc>
          <w:tcPr>
            <w:tcW w:w="1260" w:type="dxa"/>
          </w:tcPr>
          <w:p w14:paraId="479F9A7E" w14:textId="75089892"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 xml:space="preserve">Lighting </w:t>
            </w:r>
            <w:r w:rsidRPr="001877C8">
              <w:rPr>
                <w:rFonts w:hint="eastAsia"/>
                <w:sz w:val="16"/>
                <w:szCs w:val="16"/>
              </w:rPr>
              <w:t>↓↓</w:t>
            </w:r>
            <w:r w:rsidRPr="001877C8">
              <w:rPr>
                <w:rFonts w:hint="eastAsia"/>
                <w:sz w:val="16"/>
                <w:szCs w:val="16"/>
              </w:rPr>
              <w:t xml:space="preserve"> (perimeter); cooling </w:t>
            </w:r>
            <w:r w:rsidRPr="001877C8">
              <w:rPr>
                <w:rFonts w:hint="eastAsia"/>
                <w:sz w:val="16"/>
                <w:szCs w:val="16"/>
              </w:rPr>
              <w:t>↓</w:t>
            </w:r>
            <w:r w:rsidRPr="001877C8">
              <w:rPr>
                <w:rFonts w:hint="eastAsia"/>
                <w:sz w:val="16"/>
                <w:szCs w:val="16"/>
              </w:rPr>
              <w:t xml:space="preserve">; peak demand </w:t>
            </w:r>
            <w:r w:rsidRPr="001877C8">
              <w:rPr>
                <w:rFonts w:hint="eastAsia"/>
                <w:sz w:val="16"/>
                <w:szCs w:val="16"/>
              </w:rPr>
              <w:t>↓</w:t>
            </w:r>
            <w:r w:rsidRPr="001877C8">
              <w:rPr>
                <w:rFonts w:hint="eastAsia"/>
                <w:sz w:val="16"/>
                <w:szCs w:val="16"/>
              </w:rPr>
              <w:t xml:space="preserve"> during sunny hours</w:t>
            </w:r>
          </w:p>
        </w:tc>
        <w:tc>
          <w:tcPr>
            <w:tcW w:w="1170" w:type="dxa"/>
          </w:tcPr>
          <w:p w14:paraId="50F69EA0" w14:textId="65D214AB"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Good glare control; fine user overrides possible</w:t>
            </w:r>
          </w:p>
        </w:tc>
        <w:tc>
          <w:tcPr>
            <w:tcW w:w="1287" w:type="dxa"/>
          </w:tcPr>
          <w:p w14:paraId="20304B93" w14:textId="476FD93C"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Facilitates daylight harvesting during DR windows</w:t>
            </w:r>
          </w:p>
        </w:tc>
        <w:tc>
          <w:tcPr>
            <w:tcW w:w="783" w:type="dxa"/>
          </w:tcPr>
          <w:p w14:paraId="03699F1E" w14:textId="4077E139"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High (adds to existing façade)</w:t>
            </w:r>
          </w:p>
        </w:tc>
        <w:tc>
          <w:tcPr>
            <w:tcW w:w="1260" w:type="dxa"/>
          </w:tcPr>
          <w:p w14:paraId="0635D633" w14:textId="52082B36"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Medium: photosensor placement/tuning is critical</w:t>
            </w:r>
          </w:p>
        </w:tc>
        <w:tc>
          <w:tcPr>
            <w:tcW w:w="1260" w:type="dxa"/>
          </w:tcPr>
          <w:p w14:paraId="130CACBB" w14:textId="1E6E98DA"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LEED: Daylight/Interior Lighting; WELL: Light/Comfort</w:t>
            </w:r>
          </w:p>
        </w:tc>
        <w:tc>
          <w:tcPr>
            <w:tcW w:w="1179" w:type="dxa"/>
          </w:tcPr>
          <w:p w14:paraId="684B425F" w14:textId="13EA9BB2"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 xml:space="preserve">Poorly tuned sensors </w:t>
            </w:r>
            <w:r w:rsidRPr="001877C8">
              <w:rPr>
                <w:rFonts w:hint="eastAsia"/>
                <w:sz w:val="16"/>
                <w:szCs w:val="16"/>
              </w:rPr>
              <w:t>→</w:t>
            </w:r>
            <w:r w:rsidRPr="001877C8">
              <w:rPr>
                <w:rFonts w:hint="eastAsia"/>
                <w:sz w:val="16"/>
                <w:szCs w:val="16"/>
              </w:rPr>
              <w:t xml:space="preserve"> occupant overrides; maintenance of motors</w:t>
            </w:r>
          </w:p>
        </w:tc>
      </w:tr>
      <w:tr w:rsidR="00971213" w:rsidRPr="001877C8" w14:paraId="318FCED0" w14:textId="2A3E1872" w:rsidTr="00971213">
        <w:trPr>
          <w:trHeight w:val="514"/>
          <w:jc w:val="center"/>
        </w:trPr>
        <w:tc>
          <w:tcPr>
            <w:tcW w:w="895" w:type="dxa"/>
          </w:tcPr>
          <w:p w14:paraId="470BB610" w14:textId="2A63AD7E"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Exterior Shading (fins/louvers)</w:t>
            </w:r>
          </w:p>
        </w:tc>
        <w:tc>
          <w:tcPr>
            <w:tcW w:w="1350" w:type="dxa"/>
          </w:tcPr>
          <w:p w14:paraId="27546DB0" w14:textId="4D038C98"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Stops solar load before glass; can be fixed or motorized</w:t>
            </w:r>
          </w:p>
        </w:tc>
        <w:tc>
          <w:tcPr>
            <w:tcW w:w="1260" w:type="dxa"/>
          </w:tcPr>
          <w:p w14:paraId="6D00C5A9" w14:textId="1C358A8C"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 xml:space="preserve">Cooling </w:t>
            </w:r>
            <w:r w:rsidRPr="001877C8">
              <w:rPr>
                <w:rFonts w:hint="eastAsia"/>
                <w:sz w:val="16"/>
                <w:szCs w:val="16"/>
              </w:rPr>
              <w:t>↓↓</w:t>
            </w:r>
            <w:r w:rsidRPr="001877C8">
              <w:rPr>
                <w:rFonts w:hint="eastAsia"/>
                <w:sz w:val="16"/>
                <w:szCs w:val="16"/>
              </w:rPr>
              <w:t>; lighting impact depends on geometry; peak shaving</w:t>
            </w:r>
          </w:p>
        </w:tc>
        <w:tc>
          <w:tcPr>
            <w:tcW w:w="1170" w:type="dxa"/>
          </w:tcPr>
          <w:p w14:paraId="51ABE499" w14:textId="4D10E2D8"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Excellent glare mitigation; may reduce sky view if over-dense</w:t>
            </w:r>
          </w:p>
        </w:tc>
        <w:tc>
          <w:tcPr>
            <w:tcW w:w="1287" w:type="dxa"/>
          </w:tcPr>
          <w:p w14:paraId="4A6D9354" w14:textId="1BDB44F9"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Reduces cooling peaks in heatwaves; passive</w:t>
            </w:r>
            <w:r w:rsidRPr="001877C8">
              <w:rPr>
                <w:sz w:val="16"/>
                <w:szCs w:val="16"/>
              </w:rPr>
              <w:t xml:space="preserve"> resilience</w:t>
            </w:r>
          </w:p>
        </w:tc>
        <w:tc>
          <w:tcPr>
            <w:tcW w:w="783" w:type="dxa"/>
          </w:tcPr>
          <w:p w14:paraId="3D81A47B" w14:textId="67C7DF5C" w:rsidR="001877C8" w:rsidRPr="001877C8" w:rsidRDefault="001877C8" w:rsidP="001877C8">
            <w:pPr>
              <w:pStyle w:val="BodyText"/>
              <w:spacing w:after="0" w:line="240" w:lineRule="auto"/>
              <w:ind w:firstLine="0"/>
              <w:jc w:val="center"/>
              <w:rPr>
                <w:sz w:val="16"/>
                <w:szCs w:val="16"/>
              </w:rPr>
            </w:pPr>
            <w:r w:rsidRPr="001877C8">
              <w:rPr>
                <w:sz w:val="16"/>
                <w:szCs w:val="16"/>
              </w:rPr>
              <w:t>Medium (structure &amp; wind loads)</w:t>
            </w:r>
          </w:p>
        </w:tc>
        <w:tc>
          <w:tcPr>
            <w:tcW w:w="1260" w:type="dxa"/>
          </w:tcPr>
          <w:p w14:paraId="40A9EBB0" w14:textId="79D0CB0C" w:rsidR="001877C8" w:rsidRPr="001877C8" w:rsidRDefault="001877C8" w:rsidP="001877C8">
            <w:pPr>
              <w:pStyle w:val="BodyText"/>
              <w:spacing w:after="0" w:line="240" w:lineRule="auto"/>
              <w:ind w:firstLine="0"/>
              <w:jc w:val="center"/>
              <w:rPr>
                <w:sz w:val="16"/>
                <w:szCs w:val="16"/>
              </w:rPr>
            </w:pPr>
            <w:r w:rsidRPr="001877C8">
              <w:rPr>
                <w:sz w:val="16"/>
                <w:szCs w:val="16"/>
              </w:rPr>
              <w:t>Medium–High: wind/safety interlocks, façade integration</w:t>
            </w:r>
          </w:p>
        </w:tc>
        <w:tc>
          <w:tcPr>
            <w:tcW w:w="1260" w:type="dxa"/>
          </w:tcPr>
          <w:p w14:paraId="2B3C9067" w14:textId="5A0A8A83" w:rsidR="001877C8" w:rsidRPr="001877C8" w:rsidRDefault="001877C8" w:rsidP="001877C8">
            <w:pPr>
              <w:pStyle w:val="BodyText"/>
              <w:spacing w:after="0" w:line="240" w:lineRule="auto"/>
              <w:ind w:firstLine="0"/>
              <w:jc w:val="center"/>
              <w:rPr>
                <w:sz w:val="16"/>
                <w:szCs w:val="16"/>
              </w:rPr>
            </w:pPr>
            <w:r w:rsidRPr="001877C8">
              <w:rPr>
                <w:sz w:val="16"/>
                <w:szCs w:val="16"/>
              </w:rPr>
              <w:t>LEED: Energy/Daylight; WELL: Light</w:t>
            </w:r>
          </w:p>
        </w:tc>
        <w:tc>
          <w:tcPr>
            <w:tcW w:w="1179" w:type="dxa"/>
          </w:tcPr>
          <w:p w14:paraId="4D7C81BB" w14:textId="6170A6DE" w:rsidR="001877C8" w:rsidRPr="001877C8" w:rsidRDefault="001877C8" w:rsidP="001877C8">
            <w:pPr>
              <w:pStyle w:val="BodyText"/>
              <w:spacing w:after="0" w:line="240" w:lineRule="auto"/>
              <w:ind w:firstLine="0"/>
              <w:jc w:val="center"/>
              <w:rPr>
                <w:sz w:val="16"/>
                <w:szCs w:val="16"/>
              </w:rPr>
            </w:pPr>
            <w:r w:rsidRPr="001877C8">
              <w:rPr>
                <w:sz w:val="16"/>
                <w:szCs w:val="16"/>
              </w:rPr>
              <w:t>Wind, soiling, snow/ice; architectural coordination; O&amp;M access</w:t>
            </w:r>
          </w:p>
        </w:tc>
      </w:tr>
      <w:tr w:rsidR="00971213" w:rsidRPr="001877C8" w14:paraId="068FC583" w14:textId="3C89B342" w:rsidTr="00971213">
        <w:trPr>
          <w:trHeight w:val="535"/>
          <w:jc w:val="center"/>
        </w:trPr>
        <w:tc>
          <w:tcPr>
            <w:tcW w:w="895" w:type="dxa"/>
          </w:tcPr>
          <w:p w14:paraId="74FDCA04" w14:textId="39BE8657"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Double-Skin Façade (ventilated cavity)</w:t>
            </w:r>
          </w:p>
        </w:tc>
        <w:tc>
          <w:tcPr>
            <w:tcW w:w="1350" w:type="dxa"/>
          </w:tcPr>
          <w:p w14:paraId="473BEE18" w14:textId="5D347C77"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Buffer cavity moderates heat flow; houses protected shading; enables stack ventilation</w:t>
            </w:r>
          </w:p>
        </w:tc>
        <w:tc>
          <w:tcPr>
            <w:tcW w:w="1260" w:type="dxa"/>
          </w:tcPr>
          <w:p w14:paraId="6129E542" w14:textId="4197B84C"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 xml:space="preserve">Cooling </w:t>
            </w:r>
            <w:r w:rsidRPr="001877C8">
              <w:rPr>
                <w:rFonts w:hint="eastAsia"/>
                <w:sz w:val="16"/>
                <w:szCs w:val="16"/>
              </w:rPr>
              <w:t>↓</w:t>
            </w:r>
            <w:r w:rsidRPr="001877C8">
              <w:rPr>
                <w:rFonts w:hint="eastAsia"/>
                <w:sz w:val="16"/>
                <w:szCs w:val="16"/>
              </w:rPr>
              <w:t xml:space="preserve"> / heating </w:t>
            </w:r>
            <w:r w:rsidRPr="001877C8">
              <w:rPr>
                <w:rFonts w:hint="eastAsia"/>
                <w:sz w:val="16"/>
                <w:szCs w:val="16"/>
              </w:rPr>
              <w:t>↓</w:t>
            </w:r>
            <w:r w:rsidRPr="001877C8">
              <w:rPr>
                <w:rFonts w:hint="eastAsia"/>
                <w:sz w:val="16"/>
                <w:szCs w:val="16"/>
              </w:rPr>
              <w:t xml:space="preserve"> (climate-dependent); ventilation energy </w:t>
            </w:r>
            <w:r w:rsidRPr="001877C8">
              <w:rPr>
                <w:rFonts w:hint="eastAsia"/>
                <w:sz w:val="16"/>
                <w:szCs w:val="16"/>
              </w:rPr>
              <w:t>↓</w:t>
            </w:r>
            <w:r w:rsidRPr="001877C8">
              <w:rPr>
                <w:rFonts w:hint="eastAsia"/>
                <w:sz w:val="16"/>
                <w:szCs w:val="16"/>
              </w:rPr>
              <w:t xml:space="preserve"> in shoulder seasons</w:t>
            </w:r>
          </w:p>
        </w:tc>
        <w:tc>
          <w:tcPr>
            <w:tcW w:w="1170" w:type="dxa"/>
          </w:tcPr>
          <w:p w14:paraId="1F4D0D50" w14:textId="748617FE"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Stable surface temps; good glare with cavity b</w:t>
            </w:r>
            <w:r w:rsidRPr="001877C8">
              <w:rPr>
                <w:sz w:val="16"/>
                <w:szCs w:val="16"/>
              </w:rPr>
              <w:t>linds</w:t>
            </w:r>
          </w:p>
        </w:tc>
        <w:tc>
          <w:tcPr>
            <w:tcW w:w="1287" w:type="dxa"/>
          </w:tcPr>
          <w:p w14:paraId="6A0484F6" w14:textId="57536A0D" w:rsidR="001877C8" w:rsidRPr="001877C8" w:rsidRDefault="001877C8" w:rsidP="001877C8">
            <w:pPr>
              <w:pStyle w:val="BodyText"/>
              <w:spacing w:after="0" w:line="240" w:lineRule="auto"/>
              <w:ind w:firstLine="0"/>
              <w:jc w:val="center"/>
              <w:rPr>
                <w:sz w:val="16"/>
                <w:szCs w:val="16"/>
              </w:rPr>
            </w:pPr>
            <w:r w:rsidRPr="001877C8">
              <w:rPr>
                <w:sz w:val="16"/>
                <w:szCs w:val="16"/>
              </w:rPr>
              <w:t>Passive survivability gains via thermal buffering and natural vent</w:t>
            </w:r>
          </w:p>
        </w:tc>
        <w:tc>
          <w:tcPr>
            <w:tcW w:w="783" w:type="dxa"/>
          </w:tcPr>
          <w:p w14:paraId="6DD7B035" w14:textId="5F7925BD" w:rsidR="001877C8" w:rsidRPr="001877C8" w:rsidRDefault="001877C8" w:rsidP="001877C8">
            <w:pPr>
              <w:pStyle w:val="BodyText"/>
              <w:spacing w:after="0" w:line="240" w:lineRule="auto"/>
              <w:ind w:firstLine="0"/>
              <w:jc w:val="center"/>
              <w:rPr>
                <w:sz w:val="16"/>
                <w:szCs w:val="16"/>
              </w:rPr>
            </w:pPr>
            <w:r w:rsidRPr="001877C8">
              <w:rPr>
                <w:sz w:val="16"/>
                <w:szCs w:val="16"/>
              </w:rPr>
              <w:t>Low–Medium (easier in new builds)</w:t>
            </w:r>
          </w:p>
        </w:tc>
        <w:tc>
          <w:tcPr>
            <w:tcW w:w="1260" w:type="dxa"/>
          </w:tcPr>
          <w:p w14:paraId="5A0D81D7" w14:textId="45A9B121" w:rsidR="001877C8" w:rsidRPr="001877C8" w:rsidRDefault="001877C8" w:rsidP="001877C8">
            <w:pPr>
              <w:pStyle w:val="BodyText"/>
              <w:spacing w:after="0" w:line="240" w:lineRule="auto"/>
              <w:ind w:firstLine="0"/>
              <w:jc w:val="center"/>
              <w:rPr>
                <w:sz w:val="16"/>
                <w:szCs w:val="16"/>
              </w:rPr>
            </w:pPr>
            <w:r w:rsidRPr="001877C8">
              <w:rPr>
                <w:sz w:val="16"/>
                <w:szCs w:val="16"/>
              </w:rPr>
              <w:t>High: airflow control, fire/smoke strategy, access</w:t>
            </w:r>
          </w:p>
        </w:tc>
        <w:tc>
          <w:tcPr>
            <w:tcW w:w="1260" w:type="dxa"/>
          </w:tcPr>
          <w:p w14:paraId="09AEBA08" w14:textId="19FD274B" w:rsidR="001877C8" w:rsidRPr="001877C8" w:rsidRDefault="001877C8" w:rsidP="001877C8">
            <w:pPr>
              <w:pStyle w:val="BodyText"/>
              <w:spacing w:after="0" w:line="240" w:lineRule="auto"/>
              <w:ind w:firstLine="0"/>
              <w:jc w:val="center"/>
              <w:rPr>
                <w:sz w:val="16"/>
                <w:szCs w:val="16"/>
              </w:rPr>
            </w:pPr>
            <w:r w:rsidRPr="001877C8">
              <w:rPr>
                <w:sz w:val="16"/>
                <w:szCs w:val="16"/>
              </w:rPr>
              <w:t>LEED: Energy/Daylight; WELL: Thermal/Light</w:t>
            </w:r>
          </w:p>
        </w:tc>
        <w:tc>
          <w:tcPr>
            <w:tcW w:w="1179" w:type="dxa"/>
          </w:tcPr>
          <w:p w14:paraId="0F236A39" w14:textId="1FD915BB" w:rsidR="001877C8" w:rsidRPr="001877C8" w:rsidRDefault="001877C8" w:rsidP="001877C8">
            <w:pPr>
              <w:pStyle w:val="BodyText"/>
              <w:spacing w:after="0" w:line="240" w:lineRule="auto"/>
              <w:ind w:firstLine="0"/>
              <w:jc w:val="center"/>
              <w:rPr>
                <w:sz w:val="16"/>
                <w:szCs w:val="16"/>
              </w:rPr>
            </w:pPr>
            <w:r w:rsidRPr="001877C8">
              <w:rPr>
                <w:sz w:val="16"/>
                <w:szCs w:val="16"/>
              </w:rPr>
              <w:t>Cost/complexity; cleaning &amp; maintenance; acoustic flanking; code coordination</w:t>
            </w:r>
          </w:p>
        </w:tc>
      </w:tr>
      <w:tr w:rsidR="00971213" w:rsidRPr="001877C8" w14:paraId="1833CE44" w14:textId="5CAED1B7" w:rsidTr="00971213">
        <w:trPr>
          <w:trHeight w:val="535"/>
          <w:jc w:val="center"/>
        </w:trPr>
        <w:tc>
          <w:tcPr>
            <w:tcW w:w="895" w:type="dxa"/>
          </w:tcPr>
          <w:p w14:paraId="5498E790" w14:textId="66236439"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Static High-Performance Low-e Glazing</w:t>
            </w:r>
          </w:p>
        </w:tc>
        <w:tc>
          <w:tcPr>
            <w:tcW w:w="1350" w:type="dxa"/>
          </w:tcPr>
          <w:p w14:paraId="08F86944" w14:textId="76C8CEDF"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Improves U-factor/SHGC without controls</w:t>
            </w:r>
          </w:p>
        </w:tc>
        <w:tc>
          <w:tcPr>
            <w:tcW w:w="1260" w:type="dxa"/>
          </w:tcPr>
          <w:p w14:paraId="3CEB0309" w14:textId="10B53DFF"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 xml:space="preserve">Cooling </w:t>
            </w:r>
            <w:r w:rsidRPr="001877C8">
              <w:rPr>
                <w:rFonts w:hint="eastAsia"/>
                <w:sz w:val="16"/>
                <w:szCs w:val="16"/>
              </w:rPr>
              <w:t>↓</w:t>
            </w:r>
            <w:r w:rsidRPr="001877C8">
              <w:rPr>
                <w:rFonts w:hint="eastAsia"/>
                <w:sz w:val="16"/>
                <w:szCs w:val="16"/>
              </w:rPr>
              <w:t xml:space="preserve"> / heating </w:t>
            </w:r>
            <w:r w:rsidRPr="001877C8">
              <w:rPr>
                <w:rFonts w:hint="eastAsia"/>
                <w:sz w:val="16"/>
                <w:szCs w:val="16"/>
              </w:rPr>
              <w:t>↓</w:t>
            </w:r>
            <w:r w:rsidRPr="001877C8">
              <w:rPr>
                <w:rFonts w:hint="eastAsia"/>
                <w:sz w:val="16"/>
                <w:szCs w:val="16"/>
              </w:rPr>
              <w:t>; baseline for all projects</w:t>
            </w:r>
          </w:p>
        </w:tc>
        <w:tc>
          <w:tcPr>
            <w:tcW w:w="1170" w:type="dxa"/>
          </w:tcPr>
          <w:p w14:paraId="1EE045FD" w14:textId="14181237"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Neutral; glare unmanaged without shades</w:t>
            </w:r>
          </w:p>
        </w:tc>
        <w:tc>
          <w:tcPr>
            <w:tcW w:w="1287" w:type="dxa"/>
          </w:tcPr>
          <w:p w14:paraId="1CE9CCF6" w14:textId="7A7F92C1"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None direct</w:t>
            </w:r>
          </w:p>
        </w:tc>
        <w:tc>
          <w:tcPr>
            <w:tcW w:w="783" w:type="dxa"/>
          </w:tcPr>
          <w:p w14:paraId="5A2352FE" w14:textId="7EE780CE"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High (window replacement cycle)</w:t>
            </w:r>
          </w:p>
        </w:tc>
        <w:tc>
          <w:tcPr>
            <w:tcW w:w="1260" w:type="dxa"/>
          </w:tcPr>
          <w:p w14:paraId="1896F873" w14:textId="12455BD2"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Low: standard envelope QA</w:t>
            </w:r>
          </w:p>
        </w:tc>
        <w:tc>
          <w:tcPr>
            <w:tcW w:w="1260" w:type="dxa"/>
          </w:tcPr>
          <w:p w14:paraId="39B03E7C" w14:textId="09E039DF"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LEED: Energy; EN</w:t>
            </w:r>
            <w:r w:rsidRPr="001877C8">
              <w:rPr>
                <w:sz w:val="16"/>
                <w:szCs w:val="16"/>
              </w:rPr>
              <w:t>ERGY STAR: lower EUI</w:t>
            </w:r>
          </w:p>
        </w:tc>
        <w:tc>
          <w:tcPr>
            <w:tcW w:w="1179" w:type="dxa"/>
          </w:tcPr>
          <w:p w14:paraId="3959EF31" w14:textId="7A18C46C" w:rsidR="001877C8" w:rsidRPr="001877C8" w:rsidRDefault="001877C8" w:rsidP="001877C8">
            <w:pPr>
              <w:pStyle w:val="BodyText"/>
              <w:spacing w:after="0" w:line="240" w:lineRule="auto"/>
              <w:ind w:firstLine="0"/>
              <w:jc w:val="center"/>
              <w:rPr>
                <w:sz w:val="16"/>
                <w:szCs w:val="16"/>
              </w:rPr>
            </w:pPr>
            <w:r w:rsidRPr="001877C8">
              <w:rPr>
                <w:sz w:val="16"/>
                <w:szCs w:val="16"/>
              </w:rPr>
              <w:t xml:space="preserve">Locked performance (can’t adapt to sky/season); </w:t>
            </w:r>
            <w:r w:rsidRPr="001877C8">
              <w:rPr>
                <w:sz w:val="16"/>
                <w:szCs w:val="16"/>
              </w:rPr>
              <w:lastRenderedPageBreak/>
              <w:t>glare still an issue</w:t>
            </w:r>
          </w:p>
        </w:tc>
      </w:tr>
      <w:tr w:rsidR="00971213" w:rsidRPr="001877C8" w14:paraId="18357587" w14:textId="4A3A03F7" w:rsidTr="00971213">
        <w:trPr>
          <w:trHeight w:val="535"/>
          <w:jc w:val="center"/>
        </w:trPr>
        <w:tc>
          <w:tcPr>
            <w:tcW w:w="895" w:type="dxa"/>
          </w:tcPr>
          <w:p w14:paraId="780156F2" w14:textId="23346E14"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lastRenderedPageBreak/>
              <w:t>Building-Integrated PV (BIPV) Façade/Spandrel/Canopy</w:t>
            </w:r>
          </w:p>
        </w:tc>
        <w:tc>
          <w:tcPr>
            <w:tcW w:w="1350" w:type="dxa"/>
          </w:tcPr>
          <w:p w14:paraId="66717F0B" w14:textId="2D6FBF12"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Generates on-site electricity; can shade and replace cladding</w:t>
            </w:r>
          </w:p>
        </w:tc>
        <w:tc>
          <w:tcPr>
            <w:tcW w:w="1260" w:type="dxa"/>
          </w:tcPr>
          <w:p w14:paraId="2B23B006" w14:textId="3301EC28"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 xml:space="preserve">Site electricity offset </w:t>
            </w:r>
            <w:r w:rsidRPr="001877C8">
              <w:rPr>
                <w:rFonts w:hint="eastAsia"/>
                <w:sz w:val="16"/>
                <w:szCs w:val="16"/>
              </w:rPr>
              <w:t>↑</w:t>
            </w:r>
            <w:r w:rsidRPr="001877C8">
              <w:rPr>
                <w:rFonts w:hint="eastAsia"/>
                <w:sz w:val="16"/>
                <w:szCs w:val="16"/>
              </w:rPr>
              <w:t xml:space="preserve">; cooling </w:t>
            </w:r>
            <w:r w:rsidRPr="001877C8">
              <w:rPr>
                <w:rFonts w:hint="eastAsia"/>
                <w:sz w:val="16"/>
                <w:szCs w:val="16"/>
              </w:rPr>
              <w:t>↓</w:t>
            </w:r>
            <w:r w:rsidRPr="001877C8">
              <w:rPr>
                <w:rFonts w:hint="eastAsia"/>
                <w:sz w:val="16"/>
                <w:szCs w:val="16"/>
              </w:rPr>
              <w:t xml:space="preserve"> where shading occurs</w:t>
            </w:r>
          </w:p>
        </w:tc>
        <w:tc>
          <w:tcPr>
            <w:tcW w:w="1170" w:type="dxa"/>
          </w:tcPr>
          <w:p w14:paraId="1324A6A8" w14:textId="6BCD9378"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Can reduce glare via semi-opaque modules</w:t>
            </w:r>
          </w:p>
        </w:tc>
        <w:tc>
          <w:tcPr>
            <w:tcW w:w="1287" w:type="dxa"/>
          </w:tcPr>
          <w:p w14:paraId="001A31A9" w14:textId="489F53BC"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On-site generation; supports resilience wi</w:t>
            </w:r>
            <w:r w:rsidRPr="001877C8">
              <w:rPr>
                <w:sz w:val="16"/>
                <w:szCs w:val="16"/>
              </w:rPr>
              <w:t>th storage</w:t>
            </w:r>
          </w:p>
        </w:tc>
        <w:tc>
          <w:tcPr>
            <w:tcW w:w="783" w:type="dxa"/>
          </w:tcPr>
          <w:p w14:paraId="13446A5B" w14:textId="23DA56C4" w:rsidR="001877C8" w:rsidRPr="001877C8" w:rsidRDefault="001877C8" w:rsidP="001877C8">
            <w:pPr>
              <w:pStyle w:val="BodyText"/>
              <w:spacing w:after="0" w:line="240" w:lineRule="auto"/>
              <w:ind w:firstLine="0"/>
              <w:jc w:val="center"/>
              <w:rPr>
                <w:sz w:val="16"/>
                <w:szCs w:val="16"/>
              </w:rPr>
            </w:pPr>
            <w:r w:rsidRPr="001877C8">
              <w:rPr>
                <w:sz w:val="16"/>
                <w:szCs w:val="16"/>
              </w:rPr>
              <w:t>Medium (façade area helps when roof is limited)</w:t>
            </w:r>
          </w:p>
        </w:tc>
        <w:tc>
          <w:tcPr>
            <w:tcW w:w="1260" w:type="dxa"/>
          </w:tcPr>
          <w:p w14:paraId="42B0EB08" w14:textId="0A3F649D" w:rsidR="001877C8" w:rsidRPr="001877C8" w:rsidRDefault="001877C8" w:rsidP="001877C8">
            <w:pPr>
              <w:pStyle w:val="BodyText"/>
              <w:spacing w:after="0" w:line="240" w:lineRule="auto"/>
              <w:ind w:firstLine="0"/>
              <w:jc w:val="center"/>
              <w:rPr>
                <w:sz w:val="16"/>
                <w:szCs w:val="16"/>
              </w:rPr>
            </w:pPr>
            <w:r w:rsidRPr="001877C8">
              <w:rPr>
                <w:sz w:val="16"/>
                <w:szCs w:val="16"/>
              </w:rPr>
              <w:t>Medium: electrical/BOS integration, waterproofing</w:t>
            </w:r>
          </w:p>
        </w:tc>
        <w:tc>
          <w:tcPr>
            <w:tcW w:w="1260" w:type="dxa"/>
          </w:tcPr>
          <w:p w14:paraId="2EB6FA6A" w14:textId="3D03927C" w:rsidR="001877C8" w:rsidRPr="001877C8" w:rsidRDefault="001877C8" w:rsidP="001877C8">
            <w:pPr>
              <w:pStyle w:val="BodyText"/>
              <w:spacing w:after="0" w:line="240" w:lineRule="auto"/>
              <w:ind w:firstLine="0"/>
              <w:jc w:val="center"/>
              <w:rPr>
                <w:sz w:val="16"/>
                <w:szCs w:val="16"/>
              </w:rPr>
            </w:pPr>
            <w:r w:rsidRPr="001877C8">
              <w:rPr>
                <w:sz w:val="16"/>
                <w:szCs w:val="16"/>
              </w:rPr>
              <w:t>LEED: On-site Renewables/Energy; resilience narrative</w:t>
            </w:r>
          </w:p>
        </w:tc>
        <w:tc>
          <w:tcPr>
            <w:tcW w:w="1179" w:type="dxa"/>
          </w:tcPr>
          <w:p w14:paraId="3CB18CA0" w14:textId="4D176268" w:rsidR="001877C8" w:rsidRPr="001877C8" w:rsidRDefault="001877C8" w:rsidP="001877C8">
            <w:pPr>
              <w:pStyle w:val="BodyText"/>
              <w:spacing w:after="0" w:line="240" w:lineRule="auto"/>
              <w:ind w:firstLine="0"/>
              <w:jc w:val="center"/>
              <w:rPr>
                <w:sz w:val="16"/>
                <w:szCs w:val="16"/>
              </w:rPr>
            </w:pPr>
            <w:r w:rsidRPr="001877C8">
              <w:rPr>
                <w:sz w:val="16"/>
                <w:szCs w:val="16"/>
              </w:rPr>
              <w:t>Lower module efficiency vs. roof; shading/soiling; thermal derates</w:t>
            </w:r>
          </w:p>
        </w:tc>
      </w:tr>
      <w:tr w:rsidR="00971213" w:rsidRPr="001877C8" w14:paraId="2AFFA215" w14:textId="026CA0FC" w:rsidTr="00971213">
        <w:trPr>
          <w:trHeight w:val="535"/>
          <w:jc w:val="center"/>
        </w:trPr>
        <w:tc>
          <w:tcPr>
            <w:tcW w:w="895" w:type="dxa"/>
          </w:tcPr>
          <w:p w14:paraId="55EA6F25" w14:textId="152714F0"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Ventilated Rainscreen / Thermal-Break Upgrades</w:t>
            </w:r>
          </w:p>
        </w:tc>
        <w:tc>
          <w:tcPr>
            <w:tcW w:w="1350" w:type="dxa"/>
          </w:tcPr>
          <w:p w14:paraId="1DB6B3A3" w14:textId="175AF6E8"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Improves envelope thermal/air/moisture control; reduces thermal bridging</w:t>
            </w:r>
          </w:p>
        </w:tc>
        <w:tc>
          <w:tcPr>
            <w:tcW w:w="1260" w:type="dxa"/>
          </w:tcPr>
          <w:p w14:paraId="05163BDA" w14:textId="17BEF335"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 xml:space="preserve">Heating </w:t>
            </w:r>
            <w:r w:rsidRPr="001877C8">
              <w:rPr>
                <w:rFonts w:hint="eastAsia"/>
                <w:sz w:val="16"/>
                <w:szCs w:val="16"/>
              </w:rPr>
              <w:t>↓</w:t>
            </w:r>
            <w:r w:rsidRPr="001877C8">
              <w:rPr>
                <w:rFonts w:hint="eastAsia"/>
                <w:sz w:val="16"/>
                <w:szCs w:val="16"/>
              </w:rPr>
              <w:t xml:space="preserve"> / cooling </w:t>
            </w:r>
            <w:r w:rsidRPr="001877C8">
              <w:rPr>
                <w:rFonts w:hint="eastAsia"/>
                <w:sz w:val="16"/>
                <w:szCs w:val="16"/>
              </w:rPr>
              <w:t>↓</w:t>
            </w:r>
            <w:r w:rsidRPr="001877C8">
              <w:rPr>
                <w:rFonts w:hint="eastAsia"/>
                <w:sz w:val="16"/>
                <w:szCs w:val="16"/>
              </w:rPr>
              <w:t>; improves durability</w:t>
            </w:r>
          </w:p>
        </w:tc>
        <w:tc>
          <w:tcPr>
            <w:tcW w:w="1170" w:type="dxa"/>
          </w:tcPr>
          <w:p w14:paraId="4102C02F" w14:textId="1384F254"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More stable interior surfaces; indirect glare effects</w:t>
            </w:r>
          </w:p>
        </w:tc>
        <w:tc>
          <w:tcPr>
            <w:tcW w:w="1287" w:type="dxa"/>
          </w:tcPr>
          <w:p w14:paraId="2193A870" w14:textId="6E512B39"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Enhances passive survivability (drying, buffering)</w:t>
            </w:r>
          </w:p>
        </w:tc>
        <w:tc>
          <w:tcPr>
            <w:tcW w:w="783" w:type="dxa"/>
          </w:tcPr>
          <w:p w14:paraId="0F053B77" w14:textId="414C802C"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Medium</w:t>
            </w:r>
            <w:r w:rsidRPr="001877C8">
              <w:rPr>
                <w:rFonts w:hint="eastAsia"/>
                <w:sz w:val="16"/>
                <w:szCs w:val="16"/>
              </w:rPr>
              <w:t>–</w:t>
            </w:r>
            <w:r w:rsidRPr="001877C8">
              <w:rPr>
                <w:rFonts w:hint="eastAsia"/>
                <w:sz w:val="16"/>
                <w:szCs w:val="16"/>
              </w:rPr>
              <w:t>High (façade reclad cycles)</w:t>
            </w:r>
          </w:p>
        </w:tc>
        <w:tc>
          <w:tcPr>
            <w:tcW w:w="1260" w:type="dxa"/>
          </w:tcPr>
          <w:p w14:paraId="56C6FDB3" w14:textId="2EDDE7B6"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Medium: details &amp; QA matter</w:t>
            </w:r>
          </w:p>
        </w:tc>
        <w:tc>
          <w:tcPr>
            <w:tcW w:w="1260" w:type="dxa"/>
          </w:tcPr>
          <w:p w14:paraId="1C688245" w14:textId="120EEEC9"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LEED: Energy/Materials (LCA); WELL: Thermal</w:t>
            </w:r>
          </w:p>
        </w:tc>
        <w:tc>
          <w:tcPr>
            <w:tcW w:w="1179" w:type="dxa"/>
          </w:tcPr>
          <w:p w14:paraId="705A56AD" w14:textId="61EB5B4D"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 xml:space="preserve">Detailing errors </w:t>
            </w:r>
            <w:r w:rsidRPr="001877C8">
              <w:rPr>
                <w:rFonts w:hint="eastAsia"/>
                <w:sz w:val="16"/>
                <w:szCs w:val="16"/>
              </w:rPr>
              <w:t>→</w:t>
            </w:r>
            <w:r w:rsidRPr="001877C8">
              <w:rPr>
                <w:rFonts w:hint="eastAsia"/>
                <w:sz w:val="16"/>
                <w:szCs w:val="16"/>
              </w:rPr>
              <w:t xml:space="preserve"> moisture traps; construction QA critical</w:t>
            </w:r>
          </w:p>
        </w:tc>
      </w:tr>
      <w:tr w:rsidR="00971213" w:rsidRPr="001877C8" w14:paraId="07E38392" w14:textId="54BC11E0" w:rsidTr="00971213">
        <w:trPr>
          <w:trHeight w:val="535"/>
          <w:jc w:val="center"/>
        </w:trPr>
        <w:tc>
          <w:tcPr>
            <w:tcW w:w="895" w:type="dxa"/>
          </w:tcPr>
          <w:p w14:paraId="2BF9C23E" w14:textId="1D1A815A"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Smart Window Films (electro/thermo-responsive)</w:t>
            </w:r>
          </w:p>
        </w:tc>
        <w:tc>
          <w:tcPr>
            <w:tcW w:w="1350" w:type="dxa"/>
          </w:tcPr>
          <w:p w14:paraId="279D8A5C" w14:textId="1CE10E26"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Retrofit films modulate solar gain or add IR rejection</w:t>
            </w:r>
          </w:p>
        </w:tc>
        <w:tc>
          <w:tcPr>
            <w:tcW w:w="1260" w:type="dxa"/>
          </w:tcPr>
          <w:p w14:paraId="61D1A9FC" w14:textId="00E880FB"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 xml:space="preserve">Cooling </w:t>
            </w:r>
            <w:r w:rsidRPr="001877C8">
              <w:rPr>
                <w:rFonts w:hint="eastAsia"/>
                <w:sz w:val="16"/>
                <w:szCs w:val="16"/>
              </w:rPr>
              <w:t>↓</w:t>
            </w:r>
            <w:r w:rsidRPr="001877C8">
              <w:rPr>
                <w:rFonts w:hint="eastAsia"/>
                <w:sz w:val="16"/>
                <w:szCs w:val="16"/>
              </w:rPr>
              <w:t xml:space="preserve"> (modest</w:t>
            </w:r>
            <w:r w:rsidRPr="001877C8">
              <w:rPr>
                <w:rFonts w:hint="eastAsia"/>
                <w:sz w:val="16"/>
                <w:szCs w:val="16"/>
              </w:rPr>
              <w:t>–</w:t>
            </w:r>
            <w:r w:rsidRPr="001877C8">
              <w:rPr>
                <w:rFonts w:hint="eastAsia"/>
                <w:sz w:val="16"/>
                <w:szCs w:val="16"/>
              </w:rPr>
              <w:t>moderate); lighting impact minimal</w:t>
            </w:r>
          </w:p>
        </w:tc>
        <w:tc>
          <w:tcPr>
            <w:tcW w:w="1170" w:type="dxa"/>
          </w:tcPr>
          <w:p w14:paraId="43731C16" w14:textId="72A8C0FF"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Limited glare help unless paired with shades</w:t>
            </w:r>
          </w:p>
        </w:tc>
        <w:tc>
          <w:tcPr>
            <w:tcW w:w="1287" w:type="dxa"/>
          </w:tcPr>
          <w:p w14:paraId="32095547" w14:textId="4F00F019"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Minor indirect contribution</w:t>
            </w:r>
          </w:p>
        </w:tc>
        <w:tc>
          <w:tcPr>
            <w:tcW w:w="783" w:type="dxa"/>
          </w:tcPr>
          <w:p w14:paraId="08221516" w14:textId="2E38687B"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Very High (least intrus</w:t>
            </w:r>
            <w:r w:rsidRPr="001877C8">
              <w:rPr>
                <w:sz w:val="16"/>
                <w:szCs w:val="16"/>
              </w:rPr>
              <w:t>ive)</w:t>
            </w:r>
          </w:p>
        </w:tc>
        <w:tc>
          <w:tcPr>
            <w:tcW w:w="1260" w:type="dxa"/>
          </w:tcPr>
          <w:p w14:paraId="1E8FA617" w14:textId="450CF0C1" w:rsidR="001877C8" w:rsidRPr="001877C8" w:rsidRDefault="001877C8" w:rsidP="001877C8">
            <w:pPr>
              <w:pStyle w:val="BodyText"/>
              <w:spacing w:after="0" w:line="240" w:lineRule="auto"/>
              <w:ind w:firstLine="0"/>
              <w:jc w:val="center"/>
              <w:rPr>
                <w:sz w:val="16"/>
                <w:szCs w:val="16"/>
              </w:rPr>
            </w:pPr>
            <w:r w:rsidRPr="001877C8">
              <w:rPr>
                <w:sz w:val="16"/>
                <w:szCs w:val="16"/>
              </w:rPr>
              <w:t>Low–Medium</w:t>
            </w:r>
          </w:p>
        </w:tc>
        <w:tc>
          <w:tcPr>
            <w:tcW w:w="1260" w:type="dxa"/>
          </w:tcPr>
          <w:p w14:paraId="4E068EEC" w14:textId="1C7CED30" w:rsidR="001877C8" w:rsidRPr="001877C8" w:rsidRDefault="001877C8" w:rsidP="001877C8">
            <w:pPr>
              <w:pStyle w:val="BodyText"/>
              <w:spacing w:after="0" w:line="240" w:lineRule="auto"/>
              <w:ind w:firstLine="0"/>
              <w:jc w:val="center"/>
              <w:rPr>
                <w:sz w:val="16"/>
                <w:szCs w:val="16"/>
              </w:rPr>
            </w:pPr>
            <w:r w:rsidRPr="001877C8">
              <w:rPr>
                <w:sz w:val="16"/>
                <w:szCs w:val="16"/>
              </w:rPr>
              <w:t>LEED: Energy (small); quick wins</w:t>
            </w:r>
          </w:p>
        </w:tc>
        <w:tc>
          <w:tcPr>
            <w:tcW w:w="1179" w:type="dxa"/>
          </w:tcPr>
          <w:p w14:paraId="6CA5D7B0" w14:textId="7FA41271" w:rsidR="001877C8" w:rsidRPr="001877C8" w:rsidRDefault="001877C8" w:rsidP="001877C8">
            <w:pPr>
              <w:pStyle w:val="BodyText"/>
              <w:spacing w:after="0" w:line="240" w:lineRule="auto"/>
              <w:ind w:firstLine="0"/>
              <w:jc w:val="center"/>
              <w:rPr>
                <w:sz w:val="16"/>
                <w:szCs w:val="16"/>
              </w:rPr>
            </w:pPr>
            <w:r w:rsidRPr="001877C8">
              <w:rPr>
                <w:sz w:val="16"/>
                <w:szCs w:val="16"/>
              </w:rPr>
              <w:t>Durability/optics variability; warranties; limited controllability</w:t>
            </w:r>
          </w:p>
        </w:tc>
      </w:tr>
      <w:tr w:rsidR="00971213" w:rsidRPr="001877C8" w14:paraId="56F59D54" w14:textId="3150609E" w:rsidTr="00971213">
        <w:trPr>
          <w:trHeight w:val="514"/>
          <w:jc w:val="center"/>
        </w:trPr>
        <w:tc>
          <w:tcPr>
            <w:tcW w:w="895" w:type="dxa"/>
          </w:tcPr>
          <w:p w14:paraId="3E3B28E5" w14:textId="5464683E"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Operable Windows / Mixed-Mode with Façade Sensors</w:t>
            </w:r>
          </w:p>
        </w:tc>
        <w:tc>
          <w:tcPr>
            <w:tcW w:w="1350" w:type="dxa"/>
          </w:tcPr>
          <w:p w14:paraId="7E9C9D26" w14:textId="2B0001A5"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Enables natural ventilation when conditions allow</w:t>
            </w:r>
          </w:p>
        </w:tc>
        <w:tc>
          <w:tcPr>
            <w:tcW w:w="1260" w:type="dxa"/>
          </w:tcPr>
          <w:p w14:paraId="5945B157" w14:textId="3A4BD8BB"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 xml:space="preserve">Ventilation/cooling energy </w:t>
            </w:r>
            <w:r w:rsidRPr="001877C8">
              <w:rPr>
                <w:rFonts w:hint="eastAsia"/>
                <w:sz w:val="16"/>
                <w:szCs w:val="16"/>
              </w:rPr>
              <w:t>↓</w:t>
            </w:r>
            <w:r w:rsidRPr="001877C8">
              <w:rPr>
                <w:rFonts w:hint="eastAsia"/>
                <w:sz w:val="16"/>
                <w:szCs w:val="16"/>
              </w:rPr>
              <w:t xml:space="preserve"> in mild seasons; fans </w:t>
            </w:r>
            <w:r w:rsidRPr="001877C8">
              <w:rPr>
                <w:rFonts w:hint="eastAsia"/>
                <w:sz w:val="16"/>
                <w:szCs w:val="16"/>
              </w:rPr>
              <w:t>↑</w:t>
            </w:r>
            <w:r w:rsidRPr="001877C8">
              <w:rPr>
                <w:rFonts w:hint="eastAsia"/>
                <w:sz w:val="16"/>
                <w:szCs w:val="16"/>
              </w:rPr>
              <w:t xml:space="preserve"> slightly</w:t>
            </w:r>
          </w:p>
        </w:tc>
        <w:tc>
          <w:tcPr>
            <w:tcW w:w="1170" w:type="dxa"/>
          </w:tcPr>
          <w:p w14:paraId="61B13E3B" w14:textId="0AC643D8"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Fresh-air/comfort benefits if well managed</w:t>
            </w:r>
          </w:p>
        </w:tc>
        <w:tc>
          <w:tcPr>
            <w:tcW w:w="1287" w:type="dxa"/>
          </w:tcPr>
          <w:p w14:paraId="67AD3F4A" w14:textId="73257B00"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Passive operation during outages; peak shaving</w:t>
            </w:r>
          </w:p>
        </w:tc>
        <w:tc>
          <w:tcPr>
            <w:tcW w:w="783" w:type="dxa"/>
          </w:tcPr>
          <w:p w14:paraId="514BE323" w14:textId="33864C9C" w:rsidR="001877C8" w:rsidRPr="001877C8" w:rsidRDefault="001877C8" w:rsidP="001877C8">
            <w:pPr>
              <w:pStyle w:val="BodyText"/>
              <w:spacing w:after="0" w:line="240" w:lineRule="auto"/>
              <w:ind w:firstLine="0"/>
              <w:jc w:val="center"/>
              <w:rPr>
                <w:sz w:val="16"/>
                <w:szCs w:val="16"/>
              </w:rPr>
            </w:pPr>
            <w:r w:rsidRPr="001877C8">
              <w:rPr>
                <w:sz w:val="16"/>
                <w:szCs w:val="16"/>
              </w:rPr>
              <w:t>Medium (controls + hardware)</w:t>
            </w:r>
          </w:p>
        </w:tc>
        <w:tc>
          <w:tcPr>
            <w:tcW w:w="1260" w:type="dxa"/>
          </w:tcPr>
          <w:p w14:paraId="675585A9" w14:textId="4235B924" w:rsidR="001877C8" w:rsidRPr="001877C8" w:rsidRDefault="001877C8" w:rsidP="001877C8">
            <w:pPr>
              <w:pStyle w:val="BodyText"/>
              <w:spacing w:after="0" w:line="240" w:lineRule="auto"/>
              <w:ind w:firstLine="0"/>
              <w:jc w:val="center"/>
              <w:rPr>
                <w:sz w:val="16"/>
                <w:szCs w:val="16"/>
              </w:rPr>
            </w:pPr>
            <w:r w:rsidRPr="001877C8">
              <w:rPr>
                <w:sz w:val="16"/>
                <w:szCs w:val="16"/>
              </w:rPr>
              <w:t>Medium–High: window logic, IAQ monitoring</w:t>
            </w:r>
          </w:p>
        </w:tc>
        <w:tc>
          <w:tcPr>
            <w:tcW w:w="1260" w:type="dxa"/>
          </w:tcPr>
          <w:p w14:paraId="7397539A" w14:textId="220C63F6" w:rsidR="001877C8" w:rsidRPr="001877C8" w:rsidRDefault="001877C8" w:rsidP="001877C8">
            <w:pPr>
              <w:pStyle w:val="BodyText"/>
              <w:spacing w:after="0" w:line="240" w:lineRule="auto"/>
              <w:ind w:firstLine="0"/>
              <w:jc w:val="center"/>
              <w:rPr>
                <w:sz w:val="16"/>
                <w:szCs w:val="16"/>
              </w:rPr>
            </w:pPr>
            <w:r w:rsidRPr="001877C8">
              <w:rPr>
                <w:sz w:val="16"/>
                <w:szCs w:val="16"/>
              </w:rPr>
              <w:t>LEED: Energy/IAQ; WELL: Air/Thermal</w:t>
            </w:r>
          </w:p>
        </w:tc>
        <w:tc>
          <w:tcPr>
            <w:tcW w:w="1179" w:type="dxa"/>
          </w:tcPr>
          <w:p w14:paraId="0F6F42B8" w14:textId="50638B97" w:rsidR="001877C8" w:rsidRPr="001877C8" w:rsidRDefault="001877C8" w:rsidP="001877C8">
            <w:pPr>
              <w:pStyle w:val="BodyText"/>
              <w:spacing w:after="0" w:line="240" w:lineRule="auto"/>
              <w:ind w:firstLine="0"/>
              <w:jc w:val="center"/>
              <w:rPr>
                <w:sz w:val="16"/>
                <w:szCs w:val="16"/>
              </w:rPr>
            </w:pPr>
            <w:r w:rsidRPr="001877C8">
              <w:rPr>
                <w:sz w:val="16"/>
                <w:szCs w:val="16"/>
              </w:rPr>
              <w:t>Outdoor noise/pollution; humidity control; sequencing with HVAC</w:t>
            </w:r>
          </w:p>
        </w:tc>
      </w:tr>
    </w:tbl>
    <w:p w14:paraId="6B93C4CF" w14:textId="77777777" w:rsidR="001877C8" w:rsidRDefault="001877C8" w:rsidP="00FE30EF">
      <w:pPr>
        <w:pStyle w:val="BodyText"/>
        <w:ind w:firstLine="0"/>
        <w:sectPr w:rsidR="001877C8" w:rsidSect="001877C8">
          <w:type w:val="continuous"/>
          <w:pgSz w:w="12240" w:h="15840" w:code="1"/>
          <w:pgMar w:top="1080" w:right="893" w:bottom="1440" w:left="893" w:header="720" w:footer="720" w:gutter="0"/>
          <w:cols w:space="360"/>
          <w:docGrid w:linePitch="360"/>
        </w:sectPr>
      </w:pPr>
    </w:p>
    <w:bookmarkEnd w:id="4"/>
    <w:p w14:paraId="782FA78C" w14:textId="245EF382" w:rsidR="00FA27D0" w:rsidRDefault="00FA27D0" w:rsidP="00FA27D0">
      <w:pPr>
        <w:pStyle w:val="Heading1"/>
        <w:numPr>
          <w:ilvl w:val="0"/>
          <w:numId w:val="0"/>
        </w:numPr>
        <w:ind w:firstLine="216"/>
      </w:pPr>
      <w:r>
        <w:drawing>
          <wp:inline distT="0" distB="0" distL="0" distR="0" wp14:anchorId="69B09731" wp14:editId="3E964EBF">
            <wp:extent cx="3204496" cy="2642400"/>
            <wp:effectExtent l="0" t="0" r="0" b="5715"/>
            <wp:docPr id="2004059790" name="Picture 7" descr="A graph of cost sav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059790" name="Picture 7" descr="A graph of cost savings&#10;&#10;AI-generated content may be incorrect."/>
                    <pic:cNvPicPr/>
                  </pic:nvPicPr>
                  <pic:blipFill>
                    <a:blip r:embed="rId20" cstate="hqprint">
                      <a:extLst>
                        <a:ext uri="{28A0092B-C50C-407E-A947-70E740481C1C}">
                          <a14:useLocalDpi xmlns:a14="http://schemas.microsoft.com/office/drawing/2010/main" val="0"/>
                        </a:ext>
                      </a:extLst>
                    </a:blip>
                    <a:stretch>
                      <a:fillRect/>
                    </a:stretch>
                  </pic:blipFill>
                  <pic:spPr>
                    <a:xfrm>
                      <a:off x="0" y="0"/>
                      <a:ext cx="3224350" cy="2658771"/>
                    </a:xfrm>
                    <a:prstGeom prst="rect">
                      <a:avLst/>
                    </a:prstGeom>
                  </pic:spPr>
                </pic:pic>
              </a:graphicData>
            </a:graphic>
          </wp:inline>
        </w:drawing>
      </w:r>
    </w:p>
    <w:p w14:paraId="35448BCB" w14:textId="4CC52BEF" w:rsidR="00FA27D0" w:rsidRPr="00FF1B62" w:rsidRDefault="00FF1B62" w:rsidP="00FA27D0">
      <w:pPr>
        <w:pStyle w:val="figurecaption"/>
        <w:rPr>
          <w:spacing w:val="-1"/>
        </w:rPr>
      </w:pPr>
      <w:r w:rsidRPr="00FF1B62">
        <w:t>Comparison of Operational Cost Savings (Heating, Cooling and Lighting).</w:t>
      </w:r>
    </w:p>
    <w:p w14:paraId="2286A5F5" w14:textId="7477450D" w:rsidR="00FF1B62" w:rsidRDefault="000F697A" w:rsidP="00FF1B62">
      <w:pPr>
        <w:pStyle w:val="BodyText"/>
      </w:pPr>
      <w:r>
        <w:t>F</w:t>
      </w:r>
      <w:r w:rsidR="00FF1B62" w:rsidRPr="00FF1B62">
        <w:t>ig</w:t>
      </w:r>
      <w:r>
        <w:t>. 7</w:t>
      </w:r>
      <w:r w:rsidR="00FF1B62" w:rsidRPr="00FF1B62">
        <w:t xml:space="preserve"> is a comparative cost savings analysis in operation in relation to different building systems, and especially in heating, cooling and lighting parts. Designs like BIPV facades and automated shading save a lot of energy by reducing energy usage in all three categories. The effectiveness of adaptive facade technologies enhances the overall cost reduction by improving the energy-efficient buildings performance by optimising cooling and lighting costs.</w:t>
      </w:r>
    </w:p>
    <w:p w14:paraId="1E091649" w14:textId="35D772C6" w:rsidR="000F697A" w:rsidRPr="000F697A" w:rsidRDefault="000F697A" w:rsidP="000F697A">
      <w:pPr>
        <w:pStyle w:val="BodyText"/>
        <w:rPr>
          <w:color w:val="0070C0"/>
        </w:rPr>
      </w:pPr>
      <w:r w:rsidRPr="000F697A">
        <w:rPr>
          <w:color w:val="0070C0"/>
          <w:highlight w:val="yellow"/>
        </w:rPr>
        <w:t xml:space="preserve">This mapping quantifies, as seen in Table II, how smart façade technologies contribute to key credit categories within major U.S. certification systems. For instance, combining </w:t>
      </w:r>
      <w:r w:rsidRPr="000F697A">
        <w:rPr>
          <w:color w:val="0070C0"/>
          <w:highlight w:val="yellow"/>
        </w:rPr>
        <w:t>electrochromic glazing with automated shading can collectively support up to 12–15 LEED points, while BIPV integration can directly satisfy renewable energy credits and improve ENERGY STAR benchmarking scores by reducing overall energy use intensity (EUI) by up to 10–15%. These quantified linkages clarify the relative value of façade-based strategies in achieving certification thresholds and aligning with broader sustainability targets.</w:t>
      </w:r>
    </w:p>
    <w:p w14:paraId="5AF358E2" w14:textId="0B1BD443" w:rsidR="000F697A" w:rsidRPr="000F697A" w:rsidRDefault="000F697A" w:rsidP="000F697A">
      <w:pPr>
        <w:pStyle w:val="tablehead"/>
        <w:rPr>
          <w:color w:val="0070C0"/>
          <w:highlight w:val="yellow"/>
        </w:rPr>
      </w:pPr>
      <w:r w:rsidRPr="000F697A">
        <w:rPr>
          <w:color w:val="0070C0"/>
          <w:highlight w:val="yellow"/>
        </w:rPr>
        <w:t>Mapping of Smart Façade Technologies to Certification Systems and Point Contributions</w:t>
      </w:r>
    </w:p>
    <w:tbl>
      <w:tblPr>
        <w:tblStyle w:val="TableGrid"/>
        <w:tblW w:w="0" w:type="auto"/>
        <w:tblLook w:val="04A0" w:firstRow="1" w:lastRow="0" w:firstColumn="1" w:lastColumn="0" w:noHBand="0" w:noVBand="1"/>
      </w:tblPr>
      <w:tblGrid>
        <w:gridCol w:w="1128"/>
        <w:gridCol w:w="1097"/>
        <w:gridCol w:w="865"/>
        <w:gridCol w:w="973"/>
        <w:gridCol w:w="974"/>
      </w:tblGrid>
      <w:tr w:rsidR="000F697A" w:rsidRPr="000F697A" w14:paraId="633F9E11" w14:textId="77777777" w:rsidTr="000F697A">
        <w:tc>
          <w:tcPr>
            <w:tcW w:w="1007" w:type="dxa"/>
          </w:tcPr>
          <w:p w14:paraId="59685DE5" w14:textId="6D307941" w:rsidR="000F697A" w:rsidRPr="000F697A" w:rsidRDefault="000F697A" w:rsidP="000F697A">
            <w:pPr>
              <w:pStyle w:val="BodyText"/>
              <w:ind w:firstLine="0"/>
              <w:rPr>
                <w:color w:val="0070C0"/>
                <w:sz w:val="16"/>
                <w:szCs w:val="16"/>
                <w:highlight w:val="yellow"/>
                <w:lang w:val="en-US"/>
              </w:rPr>
            </w:pPr>
            <w:r w:rsidRPr="000F697A">
              <w:rPr>
                <w:color w:val="0070C0"/>
                <w:sz w:val="16"/>
                <w:szCs w:val="16"/>
                <w:highlight w:val="yellow"/>
              </w:rPr>
              <w:t>Façade Technology</w:t>
            </w:r>
          </w:p>
        </w:tc>
        <w:tc>
          <w:tcPr>
            <w:tcW w:w="1007" w:type="dxa"/>
          </w:tcPr>
          <w:p w14:paraId="13E70F02" w14:textId="77A8A52D" w:rsidR="000F697A" w:rsidRPr="000F697A" w:rsidRDefault="000F697A" w:rsidP="000F697A">
            <w:pPr>
              <w:pStyle w:val="BodyText"/>
              <w:ind w:firstLine="0"/>
              <w:rPr>
                <w:color w:val="0070C0"/>
                <w:sz w:val="16"/>
                <w:szCs w:val="16"/>
                <w:highlight w:val="yellow"/>
                <w:lang w:val="en-US"/>
              </w:rPr>
            </w:pPr>
            <w:r w:rsidRPr="000F697A">
              <w:rPr>
                <w:color w:val="0070C0"/>
                <w:sz w:val="16"/>
                <w:szCs w:val="16"/>
                <w:highlight w:val="yellow"/>
              </w:rPr>
              <w:t>LEED v4.1 Credits (Approx. Points)</w:t>
            </w:r>
          </w:p>
        </w:tc>
        <w:tc>
          <w:tcPr>
            <w:tcW w:w="1007" w:type="dxa"/>
          </w:tcPr>
          <w:p w14:paraId="22377A06" w14:textId="1BD5A536" w:rsidR="000F697A" w:rsidRPr="000F697A" w:rsidRDefault="000F697A" w:rsidP="000F697A">
            <w:pPr>
              <w:pStyle w:val="BodyText"/>
              <w:ind w:firstLine="0"/>
              <w:rPr>
                <w:color w:val="0070C0"/>
                <w:sz w:val="16"/>
                <w:szCs w:val="16"/>
                <w:highlight w:val="yellow"/>
                <w:lang w:val="en-US"/>
              </w:rPr>
            </w:pPr>
            <w:r w:rsidRPr="000F697A">
              <w:rPr>
                <w:color w:val="0070C0"/>
                <w:sz w:val="16"/>
                <w:szCs w:val="16"/>
                <w:highlight w:val="yellow"/>
              </w:rPr>
              <w:t>WELL v2 Features</w:t>
            </w:r>
          </w:p>
        </w:tc>
        <w:tc>
          <w:tcPr>
            <w:tcW w:w="1008" w:type="dxa"/>
          </w:tcPr>
          <w:p w14:paraId="4550F7CB" w14:textId="6E2FD7D0" w:rsidR="000F697A" w:rsidRPr="000F697A" w:rsidRDefault="000F697A" w:rsidP="000F697A">
            <w:pPr>
              <w:pStyle w:val="BodyText"/>
              <w:ind w:firstLine="0"/>
              <w:rPr>
                <w:color w:val="0070C0"/>
                <w:sz w:val="16"/>
                <w:szCs w:val="16"/>
                <w:highlight w:val="yellow"/>
                <w:lang w:val="en-US"/>
              </w:rPr>
            </w:pPr>
            <w:r w:rsidRPr="000F697A">
              <w:rPr>
                <w:color w:val="0070C0"/>
                <w:sz w:val="16"/>
                <w:szCs w:val="16"/>
                <w:highlight w:val="yellow"/>
              </w:rPr>
              <w:t>ENERGY STAR Contribution</w:t>
            </w:r>
          </w:p>
        </w:tc>
        <w:tc>
          <w:tcPr>
            <w:tcW w:w="1008" w:type="dxa"/>
          </w:tcPr>
          <w:p w14:paraId="4E3F08C0" w14:textId="3C77468A" w:rsidR="000F697A" w:rsidRPr="000F697A" w:rsidRDefault="000F697A" w:rsidP="000F697A">
            <w:pPr>
              <w:pStyle w:val="BodyText"/>
              <w:ind w:firstLine="0"/>
              <w:rPr>
                <w:color w:val="0070C0"/>
                <w:sz w:val="16"/>
                <w:szCs w:val="16"/>
                <w:highlight w:val="yellow"/>
                <w:lang w:val="en-US"/>
              </w:rPr>
            </w:pPr>
            <w:r w:rsidRPr="000F697A">
              <w:rPr>
                <w:color w:val="0070C0"/>
                <w:sz w:val="16"/>
                <w:szCs w:val="16"/>
                <w:highlight w:val="yellow"/>
              </w:rPr>
              <w:t>Performance Focus</w:t>
            </w:r>
          </w:p>
        </w:tc>
      </w:tr>
      <w:tr w:rsidR="000F697A" w:rsidRPr="000F697A" w14:paraId="7EAF6070" w14:textId="77777777" w:rsidTr="000F697A">
        <w:tc>
          <w:tcPr>
            <w:tcW w:w="1007" w:type="dxa"/>
          </w:tcPr>
          <w:p w14:paraId="1A9FD6BB" w14:textId="46D9FF43" w:rsidR="000F697A" w:rsidRPr="000F697A" w:rsidRDefault="000F697A" w:rsidP="000F697A">
            <w:pPr>
              <w:pStyle w:val="BodyText"/>
              <w:ind w:firstLine="0"/>
              <w:rPr>
                <w:color w:val="0070C0"/>
                <w:sz w:val="16"/>
                <w:szCs w:val="16"/>
                <w:highlight w:val="yellow"/>
                <w:lang w:val="en-US"/>
              </w:rPr>
            </w:pPr>
            <w:r w:rsidRPr="000F697A">
              <w:rPr>
                <w:color w:val="0070C0"/>
                <w:sz w:val="16"/>
                <w:szCs w:val="16"/>
                <w:highlight w:val="yellow"/>
              </w:rPr>
              <w:t>Electrochromic Glazing</w:t>
            </w:r>
          </w:p>
        </w:tc>
        <w:tc>
          <w:tcPr>
            <w:tcW w:w="1007" w:type="dxa"/>
          </w:tcPr>
          <w:p w14:paraId="00FD94A3" w14:textId="34229318" w:rsidR="000F697A" w:rsidRPr="000F697A" w:rsidRDefault="000F697A" w:rsidP="000F697A">
            <w:pPr>
              <w:pStyle w:val="BodyText"/>
              <w:ind w:firstLine="0"/>
              <w:rPr>
                <w:color w:val="0070C0"/>
                <w:sz w:val="16"/>
                <w:szCs w:val="16"/>
                <w:highlight w:val="yellow"/>
                <w:lang w:val="en-US"/>
              </w:rPr>
            </w:pPr>
            <w:r w:rsidRPr="000F697A">
              <w:rPr>
                <w:color w:val="0070C0"/>
                <w:sz w:val="16"/>
                <w:szCs w:val="16"/>
                <w:highlight w:val="yellow"/>
              </w:rPr>
              <w:t>Energy &amp; Atmosphere (6–8 pts); Daylight (2–3 pts)</w:t>
            </w:r>
          </w:p>
        </w:tc>
        <w:tc>
          <w:tcPr>
            <w:tcW w:w="1007" w:type="dxa"/>
          </w:tcPr>
          <w:p w14:paraId="1B3BD662" w14:textId="2D71CCD2" w:rsidR="000F697A" w:rsidRPr="000F697A" w:rsidRDefault="000F697A" w:rsidP="000F697A">
            <w:pPr>
              <w:pStyle w:val="BodyText"/>
              <w:ind w:firstLine="0"/>
              <w:rPr>
                <w:color w:val="0070C0"/>
                <w:sz w:val="16"/>
                <w:szCs w:val="16"/>
                <w:highlight w:val="yellow"/>
                <w:lang w:val="en-US"/>
              </w:rPr>
            </w:pPr>
            <w:r w:rsidRPr="000F697A">
              <w:rPr>
                <w:color w:val="0070C0"/>
                <w:sz w:val="16"/>
                <w:szCs w:val="16"/>
                <w:highlight w:val="yellow"/>
              </w:rPr>
              <w:t>L03 Light Exposure; T01 Thermal Comfort</w:t>
            </w:r>
          </w:p>
        </w:tc>
        <w:tc>
          <w:tcPr>
            <w:tcW w:w="1008" w:type="dxa"/>
          </w:tcPr>
          <w:p w14:paraId="619C24AC" w14:textId="01CB6A9C" w:rsidR="000F697A" w:rsidRPr="000F697A" w:rsidRDefault="000F697A" w:rsidP="000F697A">
            <w:pPr>
              <w:pStyle w:val="BodyText"/>
              <w:ind w:firstLine="0"/>
              <w:rPr>
                <w:color w:val="0070C0"/>
                <w:sz w:val="16"/>
                <w:szCs w:val="16"/>
                <w:highlight w:val="yellow"/>
                <w:lang w:val="en-US"/>
              </w:rPr>
            </w:pPr>
            <w:r w:rsidRPr="000F697A">
              <w:rPr>
                <w:color w:val="0070C0"/>
                <w:sz w:val="16"/>
                <w:szCs w:val="16"/>
                <w:highlight w:val="yellow"/>
              </w:rPr>
              <w:t>3–5% EUI reduction</w:t>
            </w:r>
          </w:p>
        </w:tc>
        <w:tc>
          <w:tcPr>
            <w:tcW w:w="1008" w:type="dxa"/>
          </w:tcPr>
          <w:p w14:paraId="3E37D33B" w14:textId="73C59FBC" w:rsidR="000F697A" w:rsidRPr="000F697A" w:rsidRDefault="000F697A" w:rsidP="000F697A">
            <w:pPr>
              <w:pStyle w:val="BodyText"/>
              <w:ind w:firstLine="0"/>
              <w:rPr>
                <w:color w:val="0070C0"/>
                <w:sz w:val="16"/>
                <w:szCs w:val="16"/>
                <w:highlight w:val="yellow"/>
                <w:lang w:val="en-US"/>
              </w:rPr>
            </w:pPr>
            <w:r w:rsidRPr="000F697A">
              <w:rPr>
                <w:color w:val="0070C0"/>
                <w:sz w:val="16"/>
                <w:szCs w:val="16"/>
                <w:highlight w:val="yellow"/>
              </w:rPr>
              <w:t>Cooling load &amp; glare reduction</w:t>
            </w:r>
          </w:p>
        </w:tc>
      </w:tr>
      <w:tr w:rsidR="000F697A" w:rsidRPr="000F697A" w14:paraId="720D0311" w14:textId="77777777" w:rsidTr="000F697A">
        <w:tc>
          <w:tcPr>
            <w:tcW w:w="1007" w:type="dxa"/>
          </w:tcPr>
          <w:p w14:paraId="29139902" w14:textId="7F8DF0EC" w:rsidR="000F697A" w:rsidRPr="000F697A" w:rsidRDefault="000F697A" w:rsidP="000F697A">
            <w:pPr>
              <w:pStyle w:val="BodyText"/>
              <w:ind w:firstLine="0"/>
              <w:rPr>
                <w:color w:val="0070C0"/>
                <w:sz w:val="16"/>
                <w:szCs w:val="16"/>
                <w:highlight w:val="yellow"/>
                <w:lang w:val="en-US"/>
              </w:rPr>
            </w:pPr>
            <w:r w:rsidRPr="000F697A">
              <w:rPr>
                <w:color w:val="0070C0"/>
                <w:sz w:val="16"/>
                <w:szCs w:val="16"/>
                <w:highlight w:val="yellow"/>
              </w:rPr>
              <w:t>Automated Shading + Dimming</w:t>
            </w:r>
          </w:p>
        </w:tc>
        <w:tc>
          <w:tcPr>
            <w:tcW w:w="1007" w:type="dxa"/>
          </w:tcPr>
          <w:p w14:paraId="6FE19FFD" w14:textId="036087CC" w:rsidR="000F697A" w:rsidRPr="000F697A" w:rsidRDefault="000F697A" w:rsidP="000F697A">
            <w:pPr>
              <w:pStyle w:val="BodyText"/>
              <w:ind w:firstLine="0"/>
              <w:rPr>
                <w:color w:val="0070C0"/>
                <w:sz w:val="16"/>
                <w:szCs w:val="16"/>
                <w:highlight w:val="yellow"/>
                <w:lang w:val="en-US"/>
              </w:rPr>
            </w:pPr>
            <w:r w:rsidRPr="000F697A">
              <w:rPr>
                <w:color w:val="0070C0"/>
                <w:sz w:val="16"/>
                <w:szCs w:val="16"/>
                <w:highlight w:val="yellow"/>
              </w:rPr>
              <w:t>Interior Lighting (2 pts); Energy Optimization (4 pts)</w:t>
            </w:r>
          </w:p>
        </w:tc>
        <w:tc>
          <w:tcPr>
            <w:tcW w:w="1007" w:type="dxa"/>
          </w:tcPr>
          <w:p w14:paraId="3DC3AAF1" w14:textId="29464C8A" w:rsidR="000F697A" w:rsidRPr="000F697A" w:rsidRDefault="000F697A" w:rsidP="000F697A">
            <w:pPr>
              <w:pStyle w:val="BodyText"/>
              <w:ind w:firstLine="0"/>
              <w:rPr>
                <w:color w:val="0070C0"/>
                <w:sz w:val="16"/>
                <w:szCs w:val="16"/>
                <w:highlight w:val="yellow"/>
                <w:lang w:val="en-US"/>
              </w:rPr>
            </w:pPr>
            <w:r w:rsidRPr="000F697A">
              <w:rPr>
                <w:color w:val="0070C0"/>
                <w:sz w:val="16"/>
                <w:szCs w:val="16"/>
                <w:highlight w:val="yellow"/>
              </w:rPr>
              <w:t>L04 Glare Control; L06 Visual Balance</w:t>
            </w:r>
          </w:p>
        </w:tc>
        <w:tc>
          <w:tcPr>
            <w:tcW w:w="1008" w:type="dxa"/>
          </w:tcPr>
          <w:p w14:paraId="1681A71C" w14:textId="08F32327" w:rsidR="000F697A" w:rsidRPr="000F697A" w:rsidRDefault="000F697A" w:rsidP="000F697A">
            <w:pPr>
              <w:pStyle w:val="BodyText"/>
              <w:ind w:firstLine="0"/>
              <w:rPr>
                <w:color w:val="0070C0"/>
                <w:sz w:val="16"/>
                <w:szCs w:val="16"/>
                <w:highlight w:val="yellow"/>
                <w:lang w:val="en-US"/>
              </w:rPr>
            </w:pPr>
            <w:r w:rsidRPr="000F697A">
              <w:rPr>
                <w:color w:val="0070C0"/>
                <w:sz w:val="16"/>
                <w:szCs w:val="16"/>
                <w:highlight w:val="yellow"/>
              </w:rPr>
              <w:t>2–3% EUI reduction</w:t>
            </w:r>
          </w:p>
        </w:tc>
        <w:tc>
          <w:tcPr>
            <w:tcW w:w="1008" w:type="dxa"/>
          </w:tcPr>
          <w:p w14:paraId="06F4A28F" w14:textId="72983A8C" w:rsidR="000F697A" w:rsidRPr="000F697A" w:rsidRDefault="000F697A" w:rsidP="000F697A">
            <w:pPr>
              <w:pStyle w:val="BodyText"/>
              <w:ind w:firstLine="0"/>
              <w:rPr>
                <w:color w:val="0070C0"/>
                <w:sz w:val="16"/>
                <w:szCs w:val="16"/>
                <w:highlight w:val="yellow"/>
                <w:lang w:val="en-US"/>
              </w:rPr>
            </w:pPr>
            <w:r w:rsidRPr="000F697A">
              <w:rPr>
                <w:color w:val="0070C0"/>
                <w:sz w:val="16"/>
                <w:szCs w:val="16"/>
                <w:highlight w:val="yellow"/>
              </w:rPr>
              <w:t>Lighting energy &amp; visual comfort</w:t>
            </w:r>
          </w:p>
        </w:tc>
      </w:tr>
      <w:tr w:rsidR="000F697A" w:rsidRPr="000F697A" w14:paraId="649205EC" w14:textId="77777777" w:rsidTr="000F697A">
        <w:tc>
          <w:tcPr>
            <w:tcW w:w="1007" w:type="dxa"/>
          </w:tcPr>
          <w:p w14:paraId="783B8913" w14:textId="550B1394" w:rsidR="000F697A" w:rsidRPr="000F697A" w:rsidRDefault="000F697A" w:rsidP="000F697A">
            <w:pPr>
              <w:pStyle w:val="BodyText"/>
              <w:ind w:firstLine="0"/>
              <w:rPr>
                <w:color w:val="0070C0"/>
                <w:sz w:val="16"/>
                <w:szCs w:val="16"/>
                <w:highlight w:val="yellow"/>
                <w:lang w:val="en-US"/>
              </w:rPr>
            </w:pPr>
            <w:r w:rsidRPr="000F697A">
              <w:rPr>
                <w:color w:val="0070C0"/>
                <w:sz w:val="16"/>
                <w:szCs w:val="16"/>
                <w:highlight w:val="yellow"/>
              </w:rPr>
              <w:t>Double-Skin Façade (VDSF)</w:t>
            </w:r>
          </w:p>
        </w:tc>
        <w:tc>
          <w:tcPr>
            <w:tcW w:w="1007" w:type="dxa"/>
          </w:tcPr>
          <w:p w14:paraId="1F069F4E" w14:textId="24FB0563" w:rsidR="000F697A" w:rsidRPr="000F697A" w:rsidRDefault="000F697A" w:rsidP="000F697A">
            <w:pPr>
              <w:pStyle w:val="BodyText"/>
              <w:ind w:firstLine="0"/>
              <w:rPr>
                <w:color w:val="0070C0"/>
                <w:sz w:val="16"/>
                <w:szCs w:val="16"/>
                <w:highlight w:val="yellow"/>
                <w:lang w:val="en-US"/>
              </w:rPr>
            </w:pPr>
            <w:r w:rsidRPr="000F697A">
              <w:rPr>
                <w:color w:val="0070C0"/>
                <w:sz w:val="16"/>
                <w:szCs w:val="16"/>
                <w:highlight w:val="yellow"/>
              </w:rPr>
              <w:t>Energy Optimization (5–7 pts); Indoor Environmental Quality (3 pts)</w:t>
            </w:r>
          </w:p>
        </w:tc>
        <w:tc>
          <w:tcPr>
            <w:tcW w:w="1007" w:type="dxa"/>
          </w:tcPr>
          <w:p w14:paraId="5C1A417C" w14:textId="4D0A5AAA" w:rsidR="000F697A" w:rsidRPr="000F697A" w:rsidRDefault="000F697A" w:rsidP="000F697A">
            <w:pPr>
              <w:pStyle w:val="BodyText"/>
              <w:ind w:firstLine="0"/>
              <w:rPr>
                <w:color w:val="0070C0"/>
                <w:sz w:val="16"/>
                <w:szCs w:val="16"/>
                <w:highlight w:val="yellow"/>
                <w:lang w:val="en-US"/>
              </w:rPr>
            </w:pPr>
            <w:r w:rsidRPr="000F697A">
              <w:rPr>
                <w:color w:val="0070C0"/>
                <w:sz w:val="16"/>
                <w:szCs w:val="16"/>
                <w:highlight w:val="yellow"/>
              </w:rPr>
              <w:t>T02 Thermal Comfort; A08 Acoustic Quality</w:t>
            </w:r>
          </w:p>
        </w:tc>
        <w:tc>
          <w:tcPr>
            <w:tcW w:w="1008" w:type="dxa"/>
          </w:tcPr>
          <w:p w14:paraId="764F1D31" w14:textId="21451256" w:rsidR="000F697A" w:rsidRPr="000F697A" w:rsidRDefault="000F697A" w:rsidP="000F697A">
            <w:pPr>
              <w:pStyle w:val="BodyText"/>
              <w:ind w:firstLine="0"/>
              <w:rPr>
                <w:color w:val="0070C0"/>
                <w:sz w:val="16"/>
                <w:szCs w:val="16"/>
                <w:highlight w:val="yellow"/>
                <w:lang w:val="en-US"/>
              </w:rPr>
            </w:pPr>
            <w:r w:rsidRPr="000F697A">
              <w:rPr>
                <w:color w:val="0070C0"/>
                <w:sz w:val="16"/>
                <w:szCs w:val="16"/>
                <w:highlight w:val="yellow"/>
              </w:rPr>
              <w:t>4–6% EUI reduction</w:t>
            </w:r>
          </w:p>
        </w:tc>
        <w:tc>
          <w:tcPr>
            <w:tcW w:w="1008" w:type="dxa"/>
          </w:tcPr>
          <w:p w14:paraId="541FD743" w14:textId="71DD3A44" w:rsidR="000F697A" w:rsidRPr="000F697A" w:rsidRDefault="000F697A" w:rsidP="000F697A">
            <w:pPr>
              <w:pStyle w:val="BodyText"/>
              <w:ind w:firstLine="0"/>
              <w:rPr>
                <w:color w:val="0070C0"/>
                <w:sz w:val="16"/>
                <w:szCs w:val="16"/>
                <w:highlight w:val="yellow"/>
                <w:lang w:val="en-US"/>
              </w:rPr>
            </w:pPr>
            <w:r w:rsidRPr="000F697A">
              <w:rPr>
                <w:color w:val="0070C0"/>
                <w:sz w:val="16"/>
                <w:szCs w:val="16"/>
                <w:highlight w:val="yellow"/>
              </w:rPr>
              <w:t>Passive ventilation &amp; comfort</w:t>
            </w:r>
          </w:p>
        </w:tc>
      </w:tr>
      <w:tr w:rsidR="000F697A" w:rsidRPr="000F697A" w14:paraId="1D9BF002" w14:textId="77777777" w:rsidTr="000F697A">
        <w:tc>
          <w:tcPr>
            <w:tcW w:w="1007" w:type="dxa"/>
          </w:tcPr>
          <w:p w14:paraId="50FA0DBE" w14:textId="4F11386A" w:rsidR="000F697A" w:rsidRPr="000F697A" w:rsidRDefault="000F697A" w:rsidP="000F697A">
            <w:pPr>
              <w:pStyle w:val="BodyText"/>
              <w:ind w:firstLine="0"/>
              <w:rPr>
                <w:color w:val="0070C0"/>
                <w:sz w:val="16"/>
                <w:szCs w:val="16"/>
                <w:highlight w:val="yellow"/>
                <w:lang w:val="en-US"/>
              </w:rPr>
            </w:pPr>
            <w:r w:rsidRPr="000F697A">
              <w:rPr>
                <w:color w:val="0070C0"/>
                <w:sz w:val="16"/>
                <w:szCs w:val="16"/>
                <w:highlight w:val="yellow"/>
              </w:rPr>
              <w:t>Building-Integrated PV (BIPV)</w:t>
            </w:r>
          </w:p>
        </w:tc>
        <w:tc>
          <w:tcPr>
            <w:tcW w:w="1007" w:type="dxa"/>
          </w:tcPr>
          <w:p w14:paraId="23EE1827" w14:textId="62AE2222" w:rsidR="000F697A" w:rsidRPr="000F697A" w:rsidRDefault="000F697A" w:rsidP="000F697A">
            <w:pPr>
              <w:pStyle w:val="BodyText"/>
              <w:ind w:firstLine="0"/>
              <w:rPr>
                <w:color w:val="0070C0"/>
                <w:sz w:val="16"/>
                <w:szCs w:val="16"/>
                <w:highlight w:val="yellow"/>
                <w:lang w:val="en-US"/>
              </w:rPr>
            </w:pPr>
            <w:r w:rsidRPr="000F697A">
              <w:rPr>
                <w:color w:val="0070C0"/>
                <w:sz w:val="16"/>
                <w:szCs w:val="16"/>
                <w:highlight w:val="yellow"/>
              </w:rPr>
              <w:t>Renewable Energy (5–10 pts)</w:t>
            </w:r>
          </w:p>
        </w:tc>
        <w:tc>
          <w:tcPr>
            <w:tcW w:w="1007" w:type="dxa"/>
          </w:tcPr>
          <w:p w14:paraId="002159C0" w14:textId="4D605435" w:rsidR="000F697A" w:rsidRPr="000F697A" w:rsidRDefault="000F697A" w:rsidP="000F697A">
            <w:pPr>
              <w:pStyle w:val="BodyText"/>
              <w:ind w:firstLine="0"/>
              <w:rPr>
                <w:color w:val="0070C0"/>
                <w:sz w:val="16"/>
                <w:szCs w:val="16"/>
                <w:highlight w:val="yellow"/>
                <w:lang w:val="en-US"/>
              </w:rPr>
            </w:pPr>
            <w:r w:rsidRPr="000F697A">
              <w:rPr>
                <w:color w:val="0070C0"/>
                <w:sz w:val="16"/>
                <w:szCs w:val="16"/>
                <w:highlight w:val="yellow"/>
              </w:rPr>
              <w:t xml:space="preserve">C03 Energy </w:t>
            </w:r>
            <w:r w:rsidRPr="000F697A">
              <w:rPr>
                <w:color w:val="0070C0"/>
                <w:sz w:val="16"/>
                <w:szCs w:val="16"/>
                <w:highlight w:val="yellow"/>
              </w:rPr>
              <w:lastRenderedPageBreak/>
              <w:t>Resilience</w:t>
            </w:r>
          </w:p>
        </w:tc>
        <w:tc>
          <w:tcPr>
            <w:tcW w:w="1008" w:type="dxa"/>
          </w:tcPr>
          <w:p w14:paraId="1A7CDC77" w14:textId="038B57A4" w:rsidR="000F697A" w:rsidRPr="000F697A" w:rsidRDefault="000F697A" w:rsidP="000F697A">
            <w:pPr>
              <w:pStyle w:val="BodyText"/>
              <w:ind w:firstLine="0"/>
              <w:rPr>
                <w:color w:val="0070C0"/>
                <w:sz w:val="16"/>
                <w:szCs w:val="16"/>
                <w:highlight w:val="yellow"/>
                <w:lang w:val="en-US"/>
              </w:rPr>
            </w:pPr>
            <w:r w:rsidRPr="000F697A">
              <w:rPr>
                <w:color w:val="0070C0"/>
                <w:sz w:val="16"/>
                <w:szCs w:val="16"/>
                <w:highlight w:val="yellow"/>
              </w:rPr>
              <w:lastRenderedPageBreak/>
              <w:t xml:space="preserve">10–15% onsite </w:t>
            </w:r>
            <w:r w:rsidRPr="000F697A">
              <w:rPr>
                <w:color w:val="0070C0"/>
                <w:sz w:val="16"/>
                <w:szCs w:val="16"/>
                <w:highlight w:val="yellow"/>
              </w:rPr>
              <w:lastRenderedPageBreak/>
              <w:t>renewable generation</w:t>
            </w:r>
          </w:p>
        </w:tc>
        <w:tc>
          <w:tcPr>
            <w:tcW w:w="1008" w:type="dxa"/>
          </w:tcPr>
          <w:p w14:paraId="4322802C" w14:textId="13ADCEA7" w:rsidR="000F697A" w:rsidRPr="000F697A" w:rsidRDefault="000F697A" w:rsidP="000F697A">
            <w:pPr>
              <w:pStyle w:val="BodyText"/>
              <w:ind w:firstLine="0"/>
              <w:rPr>
                <w:color w:val="0070C0"/>
                <w:sz w:val="16"/>
                <w:szCs w:val="16"/>
                <w:highlight w:val="yellow"/>
                <w:lang w:val="en-US"/>
              </w:rPr>
            </w:pPr>
            <w:r w:rsidRPr="000F697A">
              <w:rPr>
                <w:color w:val="0070C0"/>
                <w:sz w:val="16"/>
                <w:szCs w:val="16"/>
                <w:highlight w:val="yellow"/>
              </w:rPr>
              <w:lastRenderedPageBreak/>
              <w:t>Energy self-sufficiency</w:t>
            </w:r>
          </w:p>
        </w:tc>
      </w:tr>
      <w:tr w:rsidR="000F697A" w:rsidRPr="000F697A" w14:paraId="72FB6F43" w14:textId="77777777" w:rsidTr="000F697A">
        <w:tc>
          <w:tcPr>
            <w:tcW w:w="1007" w:type="dxa"/>
          </w:tcPr>
          <w:p w14:paraId="0253487C" w14:textId="0DDD8642" w:rsidR="000F697A" w:rsidRPr="000F697A" w:rsidRDefault="000F697A" w:rsidP="000F697A">
            <w:pPr>
              <w:pStyle w:val="BodyText"/>
              <w:ind w:firstLine="0"/>
              <w:rPr>
                <w:color w:val="0070C0"/>
                <w:sz w:val="16"/>
                <w:szCs w:val="16"/>
                <w:highlight w:val="yellow"/>
                <w:lang w:val="en-US"/>
              </w:rPr>
            </w:pPr>
            <w:r w:rsidRPr="000F697A">
              <w:rPr>
                <w:color w:val="0070C0"/>
                <w:sz w:val="16"/>
                <w:szCs w:val="16"/>
                <w:highlight w:val="yellow"/>
              </w:rPr>
              <w:t>Smart BAS Integration</w:t>
            </w:r>
          </w:p>
        </w:tc>
        <w:tc>
          <w:tcPr>
            <w:tcW w:w="1007" w:type="dxa"/>
          </w:tcPr>
          <w:p w14:paraId="501062A9" w14:textId="06743E30" w:rsidR="000F697A" w:rsidRPr="000F697A" w:rsidRDefault="000F697A" w:rsidP="000F697A">
            <w:pPr>
              <w:pStyle w:val="BodyText"/>
              <w:ind w:firstLine="0"/>
              <w:rPr>
                <w:color w:val="0070C0"/>
                <w:sz w:val="16"/>
                <w:szCs w:val="16"/>
                <w:highlight w:val="yellow"/>
                <w:lang w:val="en-US"/>
              </w:rPr>
            </w:pPr>
            <w:r w:rsidRPr="000F697A">
              <w:rPr>
                <w:color w:val="0070C0"/>
                <w:sz w:val="16"/>
                <w:szCs w:val="16"/>
                <w:highlight w:val="yellow"/>
              </w:rPr>
              <w:t>Advanced Energy Metering (1–2 pts)</w:t>
            </w:r>
          </w:p>
        </w:tc>
        <w:tc>
          <w:tcPr>
            <w:tcW w:w="1007" w:type="dxa"/>
          </w:tcPr>
          <w:p w14:paraId="1FA5CE48" w14:textId="3482715C" w:rsidR="000F697A" w:rsidRPr="000F697A" w:rsidRDefault="000F697A" w:rsidP="000F697A">
            <w:pPr>
              <w:pStyle w:val="BodyText"/>
              <w:ind w:firstLine="0"/>
              <w:rPr>
                <w:color w:val="0070C0"/>
                <w:sz w:val="16"/>
                <w:szCs w:val="16"/>
                <w:highlight w:val="yellow"/>
                <w:lang w:val="en-US"/>
              </w:rPr>
            </w:pPr>
            <w:r w:rsidRPr="000F697A">
              <w:rPr>
                <w:color w:val="0070C0"/>
                <w:sz w:val="16"/>
                <w:szCs w:val="16"/>
                <w:highlight w:val="yellow"/>
              </w:rPr>
              <w:t>M09 Smart System Integration</w:t>
            </w:r>
          </w:p>
        </w:tc>
        <w:tc>
          <w:tcPr>
            <w:tcW w:w="1008" w:type="dxa"/>
          </w:tcPr>
          <w:p w14:paraId="36E76551" w14:textId="0B439990" w:rsidR="000F697A" w:rsidRPr="000F697A" w:rsidRDefault="000F697A" w:rsidP="000F697A">
            <w:pPr>
              <w:pStyle w:val="BodyText"/>
              <w:ind w:firstLine="0"/>
              <w:rPr>
                <w:color w:val="0070C0"/>
                <w:sz w:val="16"/>
                <w:szCs w:val="16"/>
                <w:highlight w:val="yellow"/>
                <w:lang w:val="en-US"/>
              </w:rPr>
            </w:pPr>
            <w:r w:rsidRPr="000F697A">
              <w:rPr>
                <w:color w:val="0070C0"/>
                <w:sz w:val="16"/>
                <w:szCs w:val="16"/>
                <w:highlight w:val="yellow"/>
              </w:rPr>
              <w:t>Operational benchmark tracking</w:t>
            </w:r>
          </w:p>
        </w:tc>
        <w:tc>
          <w:tcPr>
            <w:tcW w:w="1008" w:type="dxa"/>
          </w:tcPr>
          <w:p w14:paraId="6626A100" w14:textId="3B66D333" w:rsidR="000F697A" w:rsidRPr="000F697A" w:rsidRDefault="000F697A" w:rsidP="000F697A">
            <w:pPr>
              <w:pStyle w:val="BodyText"/>
              <w:ind w:firstLine="0"/>
              <w:rPr>
                <w:color w:val="0070C0"/>
                <w:sz w:val="16"/>
                <w:szCs w:val="16"/>
                <w:lang w:val="en-US"/>
              </w:rPr>
            </w:pPr>
            <w:r w:rsidRPr="000F697A">
              <w:rPr>
                <w:color w:val="0070C0"/>
                <w:sz w:val="16"/>
                <w:szCs w:val="16"/>
                <w:highlight w:val="yellow"/>
              </w:rPr>
              <w:t>Dynamic control optimization</w:t>
            </w:r>
          </w:p>
        </w:tc>
      </w:tr>
    </w:tbl>
    <w:p w14:paraId="03C428D7" w14:textId="41F72AD1" w:rsidR="000F697A" w:rsidRPr="00FA27D0" w:rsidRDefault="000F697A" w:rsidP="000F697A">
      <w:pPr>
        <w:pStyle w:val="BodyText"/>
        <w:ind w:firstLine="0"/>
      </w:pPr>
    </w:p>
    <w:p w14:paraId="541C0078" w14:textId="5DA8F179" w:rsidR="005F27E2" w:rsidRPr="000007A1" w:rsidRDefault="00184AAB" w:rsidP="005F27E2">
      <w:pPr>
        <w:pStyle w:val="Heading1"/>
      </w:pPr>
      <w:r w:rsidRPr="000007A1">
        <w:t>Conclusions</w:t>
      </w:r>
      <w:r w:rsidR="00147F57" w:rsidRPr="000007A1">
        <w:t xml:space="preserve"> and Outcomes</w:t>
      </w:r>
    </w:p>
    <w:p w14:paraId="2F56E13A" w14:textId="5BCD22BB" w:rsidR="00954A24" w:rsidRDefault="006A0C00" w:rsidP="006A0C00">
      <w:pPr>
        <w:pStyle w:val="BodyText"/>
      </w:pPr>
      <w:bookmarkStart w:id="6" w:name="_Hlk210293178"/>
      <w:r w:rsidRPr="006A0C00">
        <w:t>Smart façades represent a pivotal convergence of architectural expression, environmental control, and digital supervision. In the U.S. context, where certification systems translate sustainability aspirations into verifiable credits, adaptive envelopes become instruments for measurable progress rather than cosmetic upgrades. Electrochromic glazing, automated shading, DSF, and BIPV each offer distinct levers over daylight, heat gains, and energy use; when orchestrated by reliable controls and validated through commissioning and M&amp;V, they consistently improve both performance and occupant experience. Certification programs provide the scaffolding to make these improvements durable, comparable, and market-visible, while code evolution and portfolio-level strategies ensure that lessons scale. The core message for practitioners is straightforward: treat the façade as a controllable energy and comfort system; align analytical methods and commissioning with certification evidence; and design human-centered control affordances that keep occupants engaged rather than alienated. In doing so, project teams can deliver buildings that not only meet U.S. sustainability goals but also elevate architectural quality and long-term value.</w:t>
      </w:r>
    </w:p>
    <w:p w14:paraId="0D555502" w14:textId="6667081F" w:rsidR="00B96DD4" w:rsidRDefault="00B96DD4" w:rsidP="00227D73">
      <w:pPr>
        <w:pStyle w:val="BodyText"/>
        <w:ind w:firstLine="0"/>
      </w:pPr>
    </w:p>
    <w:p w14:paraId="7B9FA4C2" w14:textId="77777777" w:rsidR="00B96DD4" w:rsidRPr="000F697A" w:rsidRDefault="00B96DD4" w:rsidP="00B96DD4">
      <w:pPr>
        <w:jc w:val="left"/>
        <w:rPr>
          <w:b/>
          <w:bCs/>
          <w:color w:val="0070C0"/>
          <w:highlight w:val="yellow"/>
        </w:rPr>
      </w:pPr>
      <w:r w:rsidRPr="000F697A">
        <w:rPr>
          <w:b/>
          <w:bCs/>
          <w:color w:val="0070C0"/>
          <w:highlight w:val="yellow"/>
        </w:rPr>
        <w:t>Disclaimer (Artificial intelligence)</w:t>
      </w:r>
    </w:p>
    <w:p w14:paraId="36809778" w14:textId="77777777" w:rsidR="00B96DD4" w:rsidRPr="000F697A" w:rsidRDefault="00B96DD4" w:rsidP="00B96DD4">
      <w:pPr>
        <w:jc w:val="left"/>
        <w:rPr>
          <w:color w:val="0070C0"/>
          <w:highlight w:val="yellow"/>
        </w:rPr>
      </w:pPr>
    </w:p>
    <w:p w14:paraId="4EEE252F" w14:textId="3BB3F2B6" w:rsidR="00B96DD4" w:rsidRPr="000F697A" w:rsidRDefault="00B96DD4" w:rsidP="00227D73">
      <w:pPr>
        <w:jc w:val="both"/>
        <w:rPr>
          <w:color w:val="0070C0"/>
          <w:highlight w:val="yellow"/>
        </w:rPr>
      </w:pPr>
      <w:r w:rsidRPr="000F697A">
        <w:rPr>
          <w:color w:val="0070C0"/>
          <w:highlight w:val="yellow"/>
        </w:rPr>
        <w:t xml:space="preserve">Author(s) hereby </w:t>
      </w:r>
      <w:r w:rsidR="00227D73" w:rsidRPr="000F697A">
        <w:rPr>
          <w:color w:val="0070C0"/>
          <w:highlight w:val="yellow"/>
        </w:rPr>
        <w:t>declares</w:t>
      </w:r>
      <w:r w:rsidRPr="000F697A">
        <w:rPr>
          <w:color w:val="0070C0"/>
          <w:highlight w:val="yellow"/>
        </w:rPr>
        <w:t xml:space="preserve"> that NO generative AI technologies such as Large Language Models (ChatGPT, COPILOT, etc.) and text-to-image generators have been used during the writing or editing of this manuscript. </w:t>
      </w:r>
    </w:p>
    <w:p w14:paraId="19AF781D" w14:textId="77777777" w:rsidR="00B96DD4" w:rsidRPr="00F64C15" w:rsidRDefault="00B96DD4" w:rsidP="006A0C00">
      <w:pPr>
        <w:pStyle w:val="BodyText"/>
      </w:pPr>
    </w:p>
    <w:bookmarkEnd w:id="6"/>
    <w:p w14:paraId="5269A256" w14:textId="150FFB94" w:rsidR="003A2FDF" w:rsidRDefault="003A2FDF" w:rsidP="00014CAE">
      <w:pPr>
        <w:pStyle w:val="Heading5"/>
      </w:pPr>
      <w:r w:rsidRPr="005B520E">
        <w:t>References</w:t>
      </w:r>
      <w:bookmarkStart w:id="7" w:name="_Hlk114413639"/>
    </w:p>
    <w:bookmarkEnd w:id="7"/>
    <w:p w14:paraId="1F954974" w14:textId="6D12FC98" w:rsidR="00B514D7" w:rsidRPr="000F697A" w:rsidRDefault="00B514D7" w:rsidP="00B514D7">
      <w:pPr>
        <w:pStyle w:val="references"/>
        <w:rPr>
          <w:sz w:val="18"/>
          <w:szCs w:val="18"/>
          <w:highlight w:val="yellow"/>
        </w:rPr>
      </w:pPr>
      <w:r w:rsidRPr="000F697A">
        <w:rPr>
          <w:sz w:val="18"/>
          <w:szCs w:val="18"/>
          <w:highlight w:val="yellow"/>
        </w:rPr>
        <w:t xml:space="preserve">U.S. Green Building Council, </w:t>
      </w:r>
      <w:r w:rsidRPr="000F697A">
        <w:rPr>
          <w:i/>
          <w:iCs/>
          <w:sz w:val="18"/>
          <w:szCs w:val="18"/>
          <w:highlight w:val="yellow"/>
        </w:rPr>
        <w:t>LEED Rating System: Overview and Credit Structure</w:t>
      </w:r>
      <w:r w:rsidRPr="000F697A">
        <w:rPr>
          <w:sz w:val="18"/>
          <w:szCs w:val="18"/>
          <w:highlight w:val="yellow"/>
        </w:rPr>
        <w:t>, Washington, DC, USA: USGBC, 2025.</w:t>
      </w:r>
      <w:r w:rsidR="006341A8" w:rsidRPr="000F697A">
        <w:rPr>
          <w:sz w:val="18"/>
          <w:szCs w:val="18"/>
          <w:highlight w:val="yellow"/>
        </w:rPr>
        <w:t xml:space="preserve"> </w:t>
      </w:r>
      <w:hyperlink r:id="rId21" w:history="1">
        <w:r w:rsidR="006341A8" w:rsidRPr="000F697A">
          <w:rPr>
            <w:rStyle w:val="Hyperlink"/>
            <w:sz w:val="18"/>
            <w:szCs w:val="18"/>
            <w:highlight w:val="yellow"/>
          </w:rPr>
          <w:t>https://www.usgbc.org/leed</w:t>
        </w:r>
      </w:hyperlink>
      <w:r w:rsidR="002F4EB7" w:rsidRPr="000F697A">
        <w:rPr>
          <w:sz w:val="18"/>
          <w:szCs w:val="18"/>
          <w:highlight w:val="yellow"/>
        </w:rPr>
        <w:t xml:space="preserve"> </w:t>
      </w:r>
    </w:p>
    <w:p w14:paraId="3D2FB093" w14:textId="6131D518" w:rsidR="00B514D7" w:rsidRPr="000F697A" w:rsidRDefault="00B514D7" w:rsidP="00B514D7">
      <w:pPr>
        <w:pStyle w:val="references"/>
        <w:rPr>
          <w:sz w:val="18"/>
          <w:szCs w:val="18"/>
          <w:highlight w:val="yellow"/>
        </w:rPr>
      </w:pPr>
      <w:r w:rsidRPr="000F697A">
        <w:rPr>
          <w:sz w:val="18"/>
          <w:szCs w:val="18"/>
          <w:highlight w:val="yellow"/>
        </w:rPr>
        <w:t xml:space="preserve">International WELL Building Institute, </w:t>
      </w:r>
      <w:r w:rsidRPr="000F697A">
        <w:rPr>
          <w:i/>
          <w:iCs/>
          <w:sz w:val="18"/>
          <w:szCs w:val="18"/>
          <w:highlight w:val="yellow"/>
        </w:rPr>
        <w:t>WELL v2: Features and Performance Verification</w:t>
      </w:r>
      <w:r w:rsidRPr="000F697A">
        <w:rPr>
          <w:sz w:val="18"/>
          <w:szCs w:val="18"/>
          <w:highlight w:val="yellow"/>
        </w:rPr>
        <w:t>, New York, NY, USA: IWBI, 2025.</w:t>
      </w:r>
      <w:r w:rsidR="006341A8" w:rsidRPr="000F697A">
        <w:rPr>
          <w:sz w:val="18"/>
          <w:szCs w:val="18"/>
          <w:highlight w:val="yellow"/>
        </w:rPr>
        <w:t xml:space="preserve"> </w:t>
      </w:r>
      <w:hyperlink r:id="rId22" w:history="1">
        <w:r w:rsidR="006341A8" w:rsidRPr="000F697A">
          <w:rPr>
            <w:rStyle w:val="Hyperlink"/>
            <w:sz w:val="18"/>
            <w:szCs w:val="18"/>
            <w:highlight w:val="yellow"/>
          </w:rPr>
          <w:t>https://v2.wellcertified.com/</w:t>
        </w:r>
      </w:hyperlink>
      <w:r w:rsidR="002F4EB7" w:rsidRPr="000F697A">
        <w:rPr>
          <w:sz w:val="18"/>
          <w:szCs w:val="18"/>
          <w:highlight w:val="yellow"/>
        </w:rPr>
        <w:t xml:space="preserve"> </w:t>
      </w:r>
    </w:p>
    <w:p w14:paraId="6995C22E" w14:textId="0691544D" w:rsidR="00B514D7" w:rsidRPr="000F697A" w:rsidRDefault="00B514D7" w:rsidP="002F4EB7">
      <w:pPr>
        <w:pStyle w:val="references"/>
        <w:rPr>
          <w:sz w:val="18"/>
          <w:szCs w:val="18"/>
          <w:highlight w:val="yellow"/>
        </w:rPr>
      </w:pPr>
      <w:r w:rsidRPr="000F697A">
        <w:rPr>
          <w:sz w:val="18"/>
          <w:szCs w:val="18"/>
          <w:highlight w:val="yellow"/>
        </w:rPr>
        <w:t xml:space="preserve">U.S. Environmental Protection Agency, </w:t>
      </w:r>
      <w:r w:rsidRPr="000F697A">
        <w:rPr>
          <w:i/>
          <w:iCs/>
          <w:sz w:val="18"/>
          <w:szCs w:val="18"/>
          <w:highlight w:val="yellow"/>
        </w:rPr>
        <w:t>ENERGY STAR Portfolio Manager—Technical Reference</w:t>
      </w:r>
      <w:r w:rsidRPr="000F697A">
        <w:rPr>
          <w:sz w:val="18"/>
          <w:szCs w:val="18"/>
          <w:highlight w:val="yellow"/>
        </w:rPr>
        <w:t>, Washington, DC, USA: EPA, 2025.</w:t>
      </w:r>
      <w:r w:rsidR="006341A8" w:rsidRPr="000F697A">
        <w:rPr>
          <w:sz w:val="18"/>
          <w:szCs w:val="18"/>
          <w:highlight w:val="yellow"/>
        </w:rPr>
        <w:t xml:space="preserve"> </w:t>
      </w:r>
      <w:hyperlink r:id="rId23" w:history="1">
        <w:r w:rsidR="00620576" w:rsidRPr="000F697A">
          <w:rPr>
            <w:rStyle w:val="Hyperlink"/>
            <w:sz w:val="18"/>
            <w:szCs w:val="18"/>
            <w:highlight w:val="yellow"/>
          </w:rPr>
          <w:t>https://www.energystar.gov/buildings/benchmark/understand-metrics/score-updates</w:t>
        </w:r>
      </w:hyperlink>
      <w:r w:rsidR="002F4EB7" w:rsidRPr="000F697A">
        <w:rPr>
          <w:sz w:val="18"/>
          <w:szCs w:val="18"/>
          <w:highlight w:val="yellow"/>
        </w:rPr>
        <w:t xml:space="preserve"> </w:t>
      </w:r>
    </w:p>
    <w:p w14:paraId="31474331" w14:textId="35594CAB" w:rsidR="00B514D7" w:rsidRPr="000F697A" w:rsidRDefault="00B514D7" w:rsidP="00B514D7">
      <w:pPr>
        <w:pStyle w:val="references"/>
        <w:rPr>
          <w:sz w:val="18"/>
          <w:szCs w:val="18"/>
          <w:highlight w:val="yellow"/>
        </w:rPr>
      </w:pPr>
      <w:r w:rsidRPr="000F697A">
        <w:rPr>
          <w:sz w:val="18"/>
          <w:szCs w:val="18"/>
          <w:highlight w:val="yellow"/>
        </w:rPr>
        <w:t xml:space="preserve">ASHRAE, </w:t>
      </w:r>
      <w:r w:rsidRPr="000F697A">
        <w:rPr>
          <w:i/>
          <w:iCs/>
          <w:sz w:val="18"/>
          <w:szCs w:val="18"/>
          <w:highlight w:val="yellow"/>
        </w:rPr>
        <w:t>ANSI/ASHRAE/IES Standard 90.1: Energy Standard for Buildings Except Low-Rise Residential Buildings</w:t>
      </w:r>
      <w:r w:rsidRPr="000F697A">
        <w:rPr>
          <w:sz w:val="18"/>
          <w:szCs w:val="18"/>
          <w:highlight w:val="yellow"/>
        </w:rPr>
        <w:t>, Atlanta, GA, USA: ASHRAE, latest ed.</w:t>
      </w:r>
      <w:r w:rsidR="00B92011" w:rsidRPr="000F697A">
        <w:rPr>
          <w:sz w:val="18"/>
          <w:szCs w:val="18"/>
          <w:highlight w:val="yellow"/>
        </w:rPr>
        <w:t xml:space="preserve"> </w:t>
      </w:r>
      <w:hyperlink r:id="rId24" w:history="1">
        <w:r w:rsidR="00620576" w:rsidRPr="000F697A">
          <w:rPr>
            <w:rStyle w:val="Hyperlink"/>
            <w:sz w:val="18"/>
            <w:szCs w:val="18"/>
            <w:highlight w:val="yellow"/>
          </w:rPr>
          <w:t>https://www.ashrae.org/technical-resources/bookstore/standard-90-1</w:t>
        </w:r>
      </w:hyperlink>
      <w:r w:rsidR="00B92011" w:rsidRPr="000F697A">
        <w:rPr>
          <w:sz w:val="18"/>
          <w:szCs w:val="18"/>
          <w:highlight w:val="yellow"/>
        </w:rPr>
        <w:t xml:space="preserve"> </w:t>
      </w:r>
    </w:p>
    <w:p w14:paraId="15E97888" w14:textId="094142D7" w:rsidR="00B514D7" w:rsidRPr="000F697A" w:rsidRDefault="00B514D7" w:rsidP="00B514D7">
      <w:pPr>
        <w:pStyle w:val="references"/>
        <w:rPr>
          <w:sz w:val="18"/>
          <w:szCs w:val="18"/>
          <w:highlight w:val="yellow"/>
        </w:rPr>
      </w:pPr>
      <w:r w:rsidRPr="000F697A">
        <w:rPr>
          <w:sz w:val="18"/>
          <w:szCs w:val="18"/>
          <w:highlight w:val="yellow"/>
        </w:rPr>
        <w:t xml:space="preserve">International Code Council, </w:t>
      </w:r>
      <w:r w:rsidRPr="000F697A">
        <w:rPr>
          <w:i/>
          <w:iCs/>
          <w:sz w:val="18"/>
          <w:szCs w:val="18"/>
          <w:highlight w:val="yellow"/>
        </w:rPr>
        <w:t>International Energy Conservation Code (IECC)</w:t>
      </w:r>
      <w:r w:rsidRPr="000F697A">
        <w:rPr>
          <w:sz w:val="18"/>
          <w:szCs w:val="18"/>
          <w:highlight w:val="yellow"/>
        </w:rPr>
        <w:t>, Washington, DC, USA: ICC, latest ed.</w:t>
      </w:r>
      <w:r w:rsidR="006341A8" w:rsidRPr="000F697A">
        <w:rPr>
          <w:sz w:val="18"/>
          <w:szCs w:val="18"/>
          <w:highlight w:val="yellow"/>
        </w:rPr>
        <w:t xml:space="preserve"> </w:t>
      </w:r>
      <w:hyperlink r:id="rId25" w:history="1">
        <w:r w:rsidR="006341A8" w:rsidRPr="000F697A">
          <w:rPr>
            <w:rStyle w:val="Hyperlink"/>
            <w:sz w:val="18"/>
            <w:szCs w:val="18"/>
            <w:highlight w:val="yellow"/>
          </w:rPr>
          <w:t>https://codes.iccsafe.org/content/IECC2021P1</w:t>
        </w:r>
      </w:hyperlink>
      <w:r w:rsidR="006341A8" w:rsidRPr="000F697A">
        <w:rPr>
          <w:sz w:val="18"/>
          <w:szCs w:val="18"/>
          <w:highlight w:val="yellow"/>
        </w:rPr>
        <w:t xml:space="preserve"> </w:t>
      </w:r>
    </w:p>
    <w:p w14:paraId="38C1C90E" w14:textId="5408A4DD" w:rsidR="00B514D7" w:rsidRPr="000F697A" w:rsidRDefault="00B514D7" w:rsidP="00B514D7">
      <w:pPr>
        <w:pStyle w:val="references"/>
        <w:rPr>
          <w:sz w:val="18"/>
          <w:szCs w:val="18"/>
          <w:highlight w:val="yellow"/>
        </w:rPr>
      </w:pPr>
      <w:r w:rsidRPr="000F697A">
        <w:rPr>
          <w:sz w:val="18"/>
          <w:szCs w:val="18"/>
          <w:highlight w:val="yellow"/>
        </w:rPr>
        <w:t xml:space="preserve">Passive House Institute US (PHIUS), </w:t>
      </w:r>
      <w:r w:rsidRPr="000F697A">
        <w:rPr>
          <w:i/>
          <w:iCs/>
          <w:sz w:val="18"/>
          <w:szCs w:val="18"/>
          <w:highlight w:val="yellow"/>
        </w:rPr>
        <w:t>Passive Building Standards</w:t>
      </w:r>
      <w:r w:rsidRPr="000F697A">
        <w:rPr>
          <w:sz w:val="18"/>
          <w:szCs w:val="18"/>
          <w:highlight w:val="yellow"/>
        </w:rPr>
        <w:t>, Chicago, IL, USA: PHIUS, 2025.</w:t>
      </w:r>
      <w:r w:rsidR="00620576" w:rsidRPr="000F697A">
        <w:rPr>
          <w:sz w:val="18"/>
          <w:szCs w:val="18"/>
          <w:highlight w:val="yellow"/>
        </w:rPr>
        <w:t xml:space="preserve"> </w:t>
      </w:r>
      <w:hyperlink r:id="rId26" w:history="1">
        <w:r w:rsidR="00620576" w:rsidRPr="000F697A">
          <w:rPr>
            <w:rStyle w:val="Hyperlink"/>
            <w:sz w:val="18"/>
            <w:szCs w:val="18"/>
            <w:highlight w:val="yellow"/>
          </w:rPr>
          <w:t>https://www.phius.org/standards</w:t>
        </w:r>
      </w:hyperlink>
      <w:r w:rsidR="00620576" w:rsidRPr="000F697A">
        <w:rPr>
          <w:sz w:val="18"/>
          <w:szCs w:val="18"/>
          <w:highlight w:val="yellow"/>
        </w:rPr>
        <w:t xml:space="preserve"> </w:t>
      </w:r>
    </w:p>
    <w:p w14:paraId="7D4AFB25" w14:textId="40089296" w:rsidR="00B514D7" w:rsidRPr="000F697A" w:rsidRDefault="00B514D7" w:rsidP="00B514D7">
      <w:pPr>
        <w:pStyle w:val="references"/>
        <w:rPr>
          <w:sz w:val="18"/>
          <w:szCs w:val="18"/>
          <w:highlight w:val="yellow"/>
        </w:rPr>
      </w:pPr>
      <w:r w:rsidRPr="000F697A">
        <w:rPr>
          <w:sz w:val="18"/>
          <w:szCs w:val="18"/>
          <w:highlight w:val="yellow"/>
        </w:rPr>
        <w:t xml:space="preserve">Green Building Initiative, </w:t>
      </w:r>
      <w:r w:rsidRPr="000F697A">
        <w:rPr>
          <w:i/>
          <w:iCs/>
          <w:sz w:val="18"/>
          <w:szCs w:val="18"/>
          <w:highlight w:val="yellow"/>
        </w:rPr>
        <w:t>Green Globes for New Construction</w:t>
      </w:r>
      <w:r w:rsidRPr="000F697A">
        <w:rPr>
          <w:sz w:val="18"/>
          <w:szCs w:val="18"/>
          <w:highlight w:val="yellow"/>
        </w:rPr>
        <w:t>, Portland, OR, USA: GBI, 2025.</w:t>
      </w:r>
      <w:r w:rsidR="00620576" w:rsidRPr="000F697A">
        <w:rPr>
          <w:highlight w:val="yellow"/>
        </w:rPr>
        <w:t xml:space="preserve"> </w:t>
      </w:r>
      <w:hyperlink r:id="rId27" w:history="1">
        <w:r w:rsidR="00620576" w:rsidRPr="000F697A">
          <w:rPr>
            <w:rStyle w:val="Hyperlink"/>
            <w:sz w:val="18"/>
            <w:szCs w:val="18"/>
            <w:highlight w:val="yellow"/>
          </w:rPr>
          <w:t>https://thegbi.org/assessment-certification/green-globes-certification/green-globes-for-new-construction/</w:t>
        </w:r>
      </w:hyperlink>
      <w:r w:rsidR="00620576" w:rsidRPr="000F697A">
        <w:rPr>
          <w:sz w:val="18"/>
          <w:szCs w:val="18"/>
          <w:highlight w:val="yellow"/>
        </w:rPr>
        <w:t xml:space="preserve"> </w:t>
      </w:r>
    </w:p>
    <w:p w14:paraId="4091AB35" w14:textId="313CD5B8" w:rsidR="00B514D7" w:rsidRPr="000F697A" w:rsidRDefault="00B514D7" w:rsidP="00B514D7">
      <w:pPr>
        <w:pStyle w:val="references"/>
        <w:rPr>
          <w:sz w:val="18"/>
          <w:szCs w:val="18"/>
          <w:highlight w:val="yellow"/>
        </w:rPr>
      </w:pPr>
      <w:r w:rsidRPr="000F697A">
        <w:rPr>
          <w:sz w:val="18"/>
          <w:szCs w:val="18"/>
          <w:highlight w:val="yellow"/>
        </w:rPr>
        <w:t xml:space="preserve">International Living Future Institute, </w:t>
      </w:r>
      <w:r w:rsidRPr="000F697A">
        <w:rPr>
          <w:i/>
          <w:iCs/>
          <w:sz w:val="18"/>
          <w:szCs w:val="18"/>
          <w:highlight w:val="yellow"/>
        </w:rPr>
        <w:t>Living Building Challenge 4.0</w:t>
      </w:r>
      <w:r w:rsidRPr="000F697A">
        <w:rPr>
          <w:sz w:val="18"/>
          <w:szCs w:val="18"/>
          <w:highlight w:val="yellow"/>
        </w:rPr>
        <w:t>, Seattle, WA, USA: ILFI, 2025.</w:t>
      </w:r>
      <w:r w:rsidR="00620576" w:rsidRPr="000F697A">
        <w:rPr>
          <w:highlight w:val="yellow"/>
        </w:rPr>
        <w:t xml:space="preserve"> </w:t>
      </w:r>
      <w:hyperlink r:id="rId28" w:history="1">
        <w:r w:rsidR="00620576" w:rsidRPr="000F697A">
          <w:rPr>
            <w:rStyle w:val="Hyperlink"/>
            <w:sz w:val="18"/>
            <w:szCs w:val="18"/>
            <w:highlight w:val="yellow"/>
          </w:rPr>
          <w:t>https://living-future.org/wp-content/uploads/2022/08/LBC-4_0_v14_2_compressed.pdf</w:t>
        </w:r>
      </w:hyperlink>
      <w:r w:rsidR="00620576" w:rsidRPr="000F697A">
        <w:rPr>
          <w:sz w:val="18"/>
          <w:szCs w:val="18"/>
          <w:highlight w:val="yellow"/>
        </w:rPr>
        <w:t xml:space="preserve"> </w:t>
      </w:r>
    </w:p>
    <w:p w14:paraId="2F61F855" w14:textId="7DA51CCC" w:rsidR="00B514D7" w:rsidRPr="000F697A" w:rsidRDefault="00B514D7" w:rsidP="00B514D7">
      <w:pPr>
        <w:pStyle w:val="references"/>
        <w:rPr>
          <w:sz w:val="18"/>
          <w:szCs w:val="18"/>
          <w:highlight w:val="yellow"/>
        </w:rPr>
      </w:pPr>
      <w:r w:rsidRPr="000F697A">
        <w:rPr>
          <w:sz w:val="18"/>
          <w:szCs w:val="18"/>
          <w:highlight w:val="yellow"/>
        </w:rPr>
        <w:t xml:space="preserve">L. Heschong, </w:t>
      </w:r>
      <w:r w:rsidRPr="000F697A">
        <w:rPr>
          <w:i/>
          <w:iCs/>
          <w:sz w:val="18"/>
          <w:szCs w:val="18"/>
          <w:highlight w:val="yellow"/>
        </w:rPr>
        <w:t>Daylighting and Human Performance</w:t>
      </w:r>
      <w:r w:rsidRPr="000F697A">
        <w:rPr>
          <w:sz w:val="18"/>
          <w:szCs w:val="18"/>
          <w:highlight w:val="yellow"/>
        </w:rPr>
        <w:t>, Fair Oaks, CA, USA: Heschong Mahone Group, 2002.</w:t>
      </w:r>
      <w:r w:rsidR="009F09DB" w:rsidRPr="000F697A">
        <w:rPr>
          <w:sz w:val="18"/>
          <w:szCs w:val="18"/>
          <w:highlight w:val="yellow"/>
        </w:rPr>
        <w:t xml:space="preserve"> </w:t>
      </w:r>
      <w:hyperlink r:id="rId29" w:history="1">
        <w:r w:rsidR="009F09DB" w:rsidRPr="000F697A">
          <w:rPr>
            <w:rStyle w:val="Hyperlink"/>
            <w:sz w:val="18"/>
            <w:szCs w:val="18"/>
            <w:highlight w:val="yellow"/>
          </w:rPr>
          <w:t>https://www.livingdaylights.nl/wp-content/uploads/2016/12/Heschong-2002.-Daylighting-and-Human-performance..pdf</w:t>
        </w:r>
      </w:hyperlink>
      <w:r w:rsidR="009F09DB" w:rsidRPr="000F697A">
        <w:rPr>
          <w:sz w:val="18"/>
          <w:szCs w:val="18"/>
          <w:highlight w:val="yellow"/>
        </w:rPr>
        <w:t xml:space="preserve"> </w:t>
      </w:r>
    </w:p>
    <w:p w14:paraId="5C8093D1" w14:textId="75AD7FEE" w:rsidR="00B514D7" w:rsidRPr="000F697A" w:rsidRDefault="006314FB" w:rsidP="006314FB">
      <w:pPr>
        <w:pStyle w:val="references"/>
        <w:rPr>
          <w:sz w:val="18"/>
          <w:szCs w:val="18"/>
          <w:highlight w:val="yellow"/>
        </w:rPr>
      </w:pPr>
      <w:r w:rsidRPr="000F697A">
        <w:rPr>
          <w:sz w:val="18"/>
          <w:szCs w:val="18"/>
          <w:highlight w:val="yellow"/>
        </w:rPr>
        <w:t xml:space="preserve">E. Brembilla, J. Mardaljevic, Climate-Based Daylight Modelling for compliance verification: Benchmarking multiple state-of-the-art methods, Building and Environment, vol. 158, pp. 151-164, 2019. </w:t>
      </w:r>
      <w:hyperlink r:id="rId30" w:history="1">
        <w:r w:rsidR="00955EF7" w:rsidRPr="000F697A">
          <w:rPr>
            <w:rStyle w:val="Hyperlink"/>
            <w:sz w:val="18"/>
            <w:szCs w:val="18"/>
            <w:highlight w:val="yellow"/>
          </w:rPr>
          <w:t>https://doi.org/10.1016/j.buildenv.2019.04.051</w:t>
        </w:r>
      </w:hyperlink>
      <w:r w:rsidRPr="000F697A">
        <w:rPr>
          <w:sz w:val="18"/>
          <w:szCs w:val="18"/>
          <w:highlight w:val="yellow"/>
        </w:rPr>
        <w:t>.</w:t>
      </w:r>
      <w:r w:rsidR="00955EF7" w:rsidRPr="000F697A">
        <w:rPr>
          <w:sz w:val="18"/>
          <w:szCs w:val="18"/>
          <w:highlight w:val="yellow"/>
        </w:rPr>
        <w:t xml:space="preserve"> </w:t>
      </w:r>
    </w:p>
    <w:p w14:paraId="4BB3A8F1" w14:textId="24CB0A28" w:rsidR="00B514D7" w:rsidRPr="000F697A" w:rsidRDefault="009A0F8D" w:rsidP="00B514D7">
      <w:pPr>
        <w:pStyle w:val="references"/>
        <w:rPr>
          <w:sz w:val="18"/>
          <w:szCs w:val="18"/>
          <w:highlight w:val="yellow"/>
        </w:rPr>
      </w:pPr>
      <w:r w:rsidRPr="000F697A">
        <w:rPr>
          <w:sz w:val="18"/>
          <w:szCs w:val="18"/>
          <w:highlight w:val="yellow"/>
        </w:rPr>
        <w:t xml:space="preserve">Daniel L. Villa, Nathan T. Hahn, John K. Grey, Frances Pavich, Futures for electrochromic windows on high performance houses in arid, cold climates, Energy and Buildings, vol. 315, 2024, p. 114293, 2024. </w:t>
      </w:r>
      <w:hyperlink r:id="rId31" w:history="1">
        <w:r w:rsidR="00955EF7" w:rsidRPr="000F697A">
          <w:rPr>
            <w:rStyle w:val="Hyperlink"/>
            <w:sz w:val="18"/>
            <w:szCs w:val="18"/>
            <w:highlight w:val="yellow"/>
          </w:rPr>
          <w:t>https://doi.org/10.1016/j.enbuild.2024.114293</w:t>
        </w:r>
      </w:hyperlink>
      <w:r w:rsidR="00B514D7" w:rsidRPr="000F697A">
        <w:rPr>
          <w:sz w:val="18"/>
          <w:szCs w:val="18"/>
          <w:highlight w:val="yellow"/>
        </w:rPr>
        <w:t>.</w:t>
      </w:r>
      <w:r w:rsidR="00955EF7" w:rsidRPr="000F697A">
        <w:rPr>
          <w:sz w:val="18"/>
          <w:szCs w:val="18"/>
          <w:highlight w:val="yellow"/>
        </w:rPr>
        <w:t xml:space="preserve"> </w:t>
      </w:r>
    </w:p>
    <w:p w14:paraId="46651498" w14:textId="3D105C93" w:rsidR="00B514D7" w:rsidRPr="000F697A" w:rsidRDefault="009A0F8D" w:rsidP="00B514D7">
      <w:pPr>
        <w:pStyle w:val="references"/>
        <w:rPr>
          <w:sz w:val="18"/>
          <w:szCs w:val="18"/>
          <w:highlight w:val="yellow"/>
        </w:rPr>
      </w:pPr>
      <w:r w:rsidRPr="000F697A">
        <w:rPr>
          <w:sz w:val="18"/>
          <w:szCs w:val="18"/>
          <w:highlight w:val="yellow"/>
        </w:rPr>
        <w:t xml:space="preserve">Lucchi, E. (2025). The Evolution of Solar Architecture: A Critical Examination of Photovoltaic and Solar Thermal Integration in Buildings from Historical, Technological, and Energy Dynamics. In: Oncel, S.S. (eds) A Green Vision Towards a Renewable Energy Future. Springer, Cham. </w:t>
      </w:r>
      <w:hyperlink r:id="rId32" w:history="1">
        <w:r w:rsidR="00955EF7" w:rsidRPr="000F697A">
          <w:rPr>
            <w:rStyle w:val="Hyperlink"/>
            <w:sz w:val="18"/>
            <w:szCs w:val="18"/>
            <w:highlight w:val="yellow"/>
          </w:rPr>
          <w:t>https://doi.org/10.1007/978-3-031-93926-6_19</w:t>
        </w:r>
      </w:hyperlink>
      <w:r w:rsidR="00B514D7" w:rsidRPr="000F697A">
        <w:rPr>
          <w:sz w:val="18"/>
          <w:szCs w:val="18"/>
          <w:highlight w:val="yellow"/>
        </w:rPr>
        <w:t>.</w:t>
      </w:r>
      <w:r w:rsidR="00955EF7" w:rsidRPr="000F697A">
        <w:rPr>
          <w:sz w:val="18"/>
          <w:szCs w:val="18"/>
          <w:highlight w:val="yellow"/>
        </w:rPr>
        <w:t xml:space="preserve"> </w:t>
      </w:r>
    </w:p>
    <w:p w14:paraId="2ED3EC67" w14:textId="6DA2D3E2" w:rsidR="00B514D7" w:rsidRPr="000F697A" w:rsidRDefault="00074327" w:rsidP="00B514D7">
      <w:pPr>
        <w:pStyle w:val="references"/>
        <w:rPr>
          <w:sz w:val="18"/>
          <w:szCs w:val="18"/>
          <w:highlight w:val="yellow"/>
        </w:rPr>
      </w:pPr>
      <w:r w:rsidRPr="000F697A">
        <w:rPr>
          <w:sz w:val="18"/>
          <w:szCs w:val="18"/>
          <w:highlight w:val="yellow"/>
        </w:rPr>
        <w:t xml:space="preserve">Salvatore Carlucci, Francesco Causone, Francesco De Rosa, Lorenzo Pagliano, A review of indices for assessing visual comfort with a view to their use in optimization processes to support building integrated design, Renewable and Sustainable Energy Reviews, vol. 47, pp. 1016-1033, 2015. </w:t>
      </w:r>
      <w:hyperlink r:id="rId33" w:history="1">
        <w:r w:rsidR="00955EF7" w:rsidRPr="000F697A">
          <w:rPr>
            <w:rStyle w:val="Hyperlink"/>
            <w:sz w:val="18"/>
            <w:szCs w:val="18"/>
            <w:highlight w:val="yellow"/>
          </w:rPr>
          <w:t>https://doi.org/10.1016/j.rser.2015.03.062</w:t>
        </w:r>
      </w:hyperlink>
      <w:r w:rsidR="00B514D7" w:rsidRPr="000F697A">
        <w:rPr>
          <w:sz w:val="18"/>
          <w:szCs w:val="18"/>
          <w:highlight w:val="yellow"/>
        </w:rPr>
        <w:t>.</w:t>
      </w:r>
      <w:r w:rsidR="00955EF7" w:rsidRPr="000F697A">
        <w:rPr>
          <w:sz w:val="18"/>
          <w:szCs w:val="18"/>
          <w:highlight w:val="yellow"/>
        </w:rPr>
        <w:t xml:space="preserve"> </w:t>
      </w:r>
    </w:p>
    <w:p w14:paraId="1320F573" w14:textId="35BB968F" w:rsidR="00B514D7" w:rsidRPr="000F697A" w:rsidRDefault="00677285" w:rsidP="00B514D7">
      <w:pPr>
        <w:pStyle w:val="references"/>
        <w:rPr>
          <w:sz w:val="18"/>
          <w:szCs w:val="18"/>
          <w:highlight w:val="yellow"/>
        </w:rPr>
      </w:pPr>
      <w:r w:rsidRPr="000F697A">
        <w:rPr>
          <w:sz w:val="18"/>
          <w:szCs w:val="18"/>
          <w:highlight w:val="yellow"/>
        </w:rPr>
        <w:t xml:space="preserve">Fernanda Batista, Ana Sofia Guimarães, Ana Isabel Palmero-Marrero, Building Integrated Photovoltaics: a multi-level design review for optimized implementation, Renewable and Sustainable Energy Reviews, vol. 220, p. 115837, 2025. </w:t>
      </w:r>
      <w:hyperlink r:id="rId34" w:history="1">
        <w:r w:rsidR="00955EF7" w:rsidRPr="000F697A">
          <w:rPr>
            <w:rStyle w:val="Hyperlink"/>
            <w:sz w:val="18"/>
            <w:szCs w:val="18"/>
            <w:highlight w:val="yellow"/>
          </w:rPr>
          <w:t>https://doi.org/10.1016/j.rser.2025.115837</w:t>
        </w:r>
      </w:hyperlink>
      <w:r w:rsidR="00B514D7" w:rsidRPr="000F697A">
        <w:rPr>
          <w:sz w:val="18"/>
          <w:szCs w:val="18"/>
          <w:highlight w:val="yellow"/>
        </w:rPr>
        <w:t>.</w:t>
      </w:r>
      <w:r w:rsidR="00955EF7" w:rsidRPr="000F697A">
        <w:rPr>
          <w:sz w:val="18"/>
          <w:szCs w:val="18"/>
          <w:highlight w:val="yellow"/>
        </w:rPr>
        <w:t xml:space="preserve"> </w:t>
      </w:r>
    </w:p>
    <w:p w14:paraId="727501EF" w14:textId="31D94CB3" w:rsidR="00B514D7" w:rsidRPr="000F697A" w:rsidRDefault="001F46FA" w:rsidP="00B514D7">
      <w:pPr>
        <w:pStyle w:val="references"/>
        <w:rPr>
          <w:sz w:val="18"/>
          <w:szCs w:val="18"/>
          <w:highlight w:val="yellow"/>
        </w:rPr>
      </w:pPr>
      <w:r w:rsidRPr="000F697A">
        <w:rPr>
          <w:sz w:val="18"/>
          <w:szCs w:val="18"/>
          <w:highlight w:val="yellow"/>
        </w:rPr>
        <w:t xml:space="preserve">Ali Ghaffarianhoseini, Amirhosein Ghaffarianhoseini, Umberto Berardi, John Tookey, Danny Hin Wa Li, Shahab Kariminia, Exploring the advantages and challenges of double-skin façades (DSFs), Renewable and Sustainable Energy Reviews, vol. 60, pp. 1052-1065, 2016. </w:t>
      </w:r>
      <w:hyperlink r:id="rId35" w:history="1">
        <w:r w:rsidR="00955EF7" w:rsidRPr="000F697A">
          <w:rPr>
            <w:rStyle w:val="Hyperlink"/>
            <w:sz w:val="18"/>
            <w:szCs w:val="18"/>
            <w:highlight w:val="yellow"/>
          </w:rPr>
          <w:t>https://doi.org/10.1016/j.rser.2016.01.130</w:t>
        </w:r>
      </w:hyperlink>
      <w:r w:rsidR="00B514D7" w:rsidRPr="000F697A">
        <w:rPr>
          <w:sz w:val="18"/>
          <w:szCs w:val="18"/>
          <w:highlight w:val="yellow"/>
        </w:rPr>
        <w:t>.</w:t>
      </w:r>
      <w:r w:rsidR="00955EF7" w:rsidRPr="000F697A">
        <w:rPr>
          <w:sz w:val="18"/>
          <w:szCs w:val="18"/>
          <w:highlight w:val="yellow"/>
        </w:rPr>
        <w:t xml:space="preserve"> </w:t>
      </w:r>
    </w:p>
    <w:p w14:paraId="376DCB42" w14:textId="70D7D8F0" w:rsidR="00B514D7" w:rsidRPr="000F697A" w:rsidRDefault="00B514D7" w:rsidP="00B514D7">
      <w:pPr>
        <w:pStyle w:val="references"/>
        <w:rPr>
          <w:sz w:val="18"/>
          <w:szCs w:val="18"/>
          <w:highlight w:val="yellow"/>
        </w:rPr>
      </w:pPr>
      <w:r w:rsidRPr="000F697A">
        <w:rPr>
          <w:sz w:val="18"/>
          <w:szCs w:val="18"/>
          <w:highlight w:val="yellow"/>
        </w:rPr>
        <w:t xml:space="preserve">Efficiency Valuation Organization, </w:t>
      </w:r>
      <w:r w:rsidRPr="000F697A">
        <w:rPr>
          <w:i/>
          <w:iCs/>
          <w:sz w:val="18"/>
          <w:szCs w:val="18"/>
          <w:highlight w:val="yellow"/>
        </w:rPr>
        <w:t>International Performance Measurement and Verification Protocol (IPMVP)</w:t>
      </w:r>
      <w:r w:rsidRPr="000F697A">
        <w:rPr>
          <w:sz w:val="18"/>
          <w:szCs w:val="18"/>
          <w:highlight w:val="yellow"/>
        </w:rPr>
        <w:t>, Washington, DC, USA: EVO, latest ed.</w:t>
      </w:r>
      <w:r w:rsidR="00913CEB" w:rsidRPr="000F697A">
        <w:rPr>
          <w:sz w:val="18"/>
          <w:szCs w:val="18"/>
          <w:highlight w:val="yellow"/>
        </w:rPr>
        <w:t xml:space="preserve"> </w:t>
      </w:r>
      <w:hyperlink r:id="rId36" w:history="1">
        <w:r w:rsidR="00913CEB" w:rsidRPr="000F697A">
          <w:rPr>
            <w:rStyle w:val="Hyperlink"/>
            <w:sz w:val="18"/>
            <w:szCs w:val="18"/>
            <w:highlight w:val="yellow"/>
          </w:rPr>
          <w:t>https://evo-world.org/en/products-services-mainmenu-en/protocols/ipmvp</w:t>
        </w:r>
      </w:hyperlink>
      <w:r w:rsidR="00913CEB" w:rsidRPr="000F697A">
        <w:rPr>
          <w:sz w:val="18"/>
          <w:szCs w:val="18"/>
          <w:highlight w:val="yellow"/>
        </w:rPr>
        <w:t xml:space="preserve"> </w:t>
      </w:r>
    </w:p>
    <w:p w14:paraId="0A1B6478" w14:textId="362303A3" w:rsidR="00B514D7" w:rsidRPr="000F697A" w:rsidRDefault="00913CEB" w:rsidP="00B514D7">
      <w:pPr>
        <w:pStyle w:val="references"/>
        <w:rPr>
          <w:sz w:val="18"/>
          <w:szCs w:val="18"/>
          <w:highlight w:val="yellow"/>
        </w:rPr>
      </w:pPr>
      <w:r w:rsidRPr="000F697A">
        <w:rPr>
          <w:sz w:val="18"/>
          <w:szCs w:val="18"/>
          <w:highlight w:val="yellow"/>
        </w:rPr>
        <w:t xml:space="preserve">Smith, M. (2008). Intelligent Lighting: Meeting Your Project’s Sustainable Goals. Energy Engineering, 105(4), 41–65. </w:t>
      </w:r>
      <w:hyperlink r:id="rId37" w:history="1">
        <w:r w:rsidRPr="000F697A">
          <w:rPr>
            <w:rStyle w:val="Hyperlink"/>
            <w:sz w:val="18"/>
            <w:szCs w:val="18"/>
            <w:highlight w:val="yellow"/>
          </w:rPr>
          <w:t>https://doi.org/10.1080/01998590809509383</w:t>
        </w:r>
      </w:hyperlink>
      <w:r w:rsidR="00B514D7" w:rsidRPr="000F697A">
        <w:rPr>
          <w:sz w:val="18"/>
          <w:szCs w:val="18"/>
          <w:highlight w:val="yellow"/>
        </w:rPr>
        <w:t>.</w:t>
      </w:r>
      <w:r w:rsidRPr="000F697A">
        <w:rPr>
          <w:sz w:val="18"/>
          <w:szCs w:val="18"/>
          <w:highlight w:val="yellow"/>
        </w:rPr>
        <w:t xml:space="preserve"> </w:t>
      </w:r>
    </w:p>
    <w:p w14:paraId="57E9F9A1" w14:textId="716F8189" w:rsidR="00B514D7" w:rsidRPr="000F697A" w:rsidRDefault="00B514D7" w:rsidP="00B514D7">
      <w:pPr>
        <w:pStyle w:val="references"/>
        <w:rPr>
          <w:sz w:val="18"/>
          <w:szCs w:val="18"/>
          <w:highlight w:val="yellow"/>
        </w:rPr>
      </w:pPr>
      <w:r w:rsidRPr="000F697A">
        <w:rPr>
          <w:sz w:val="18"/>
          <w:szCs w:val="18"/>
          <w:highlight w:val="yellow"/>
        </w:rPr>
        <w:t xml:space="preserve">U.S. General Services Administration, </w:t>
      </w:r>
      <w:r w:rsidRPr="000F697A">
        <w:rPr>
          <w:i/>
          <w:iCs/>
          <w:sz w:val="18"/>
          <w:szCs w:val="18"/>
          <w:highlight w:val="yellow"/>
        </w:rPr>
        <w:t>Smart Buildings and Grid-Interactive Efficient Buildings</w:t>
      </w:r>
      <w:r w:rsidRPr="000F697A">
        <w:rPr>
          <w:sz w:val="18"/>
          <w:szCs w:val="18"/>
          <w:highlight w:val="yellow"/>
        </w:rPr>
        <w:t>, Washington, DC, USA: GSA, 2025.</w:t>
      </w:r>
      <w:r w:rsidR="00804355" w:rsidRPr="000F697A">
        <w:rPr>
          <w:sz w:val="18"/>
          <w:szCs w:val="18"/>
          <w:highlight w:val="yellow"/>
        </w:rPr>
        <w:t xml:space="preserve"> </w:t>
      </w:r>
      <w:hyperlink r:id="rId38" w:history="1">
        <w:r w:rsidR="00804355" w:rsidRPr="000F697A">
          <w:rPr>
            <w:rStyle w:val="Hyperlink"/>
            <w:sz w:val="18"/>
            <w:szCs w:val="18"/>
            <w:highlight w:val="yellow"/>
          </w:rPr>
          <w:t>https://www.gsa.gov/governmentwide-initiatives/federal-highperformance-buildings/highperformance-building-clearinghouse/energy/building-energy-security-and-efficiency</w:t>
        </w:r>
      </w:hyperlink>
      <w:r w:rsidR="00804355" w:rsidRPr="000F697A">
        <w:rPr>
          <w:sz w:val="18"/>
          <w:szCs w:val="18"/>
          <w:highlight w:val="yellow"/>
        </w:rPr>
        <w:t xml:space="preserve"> </w:t>
      </w:r>
    </w:p>
    <w:p w14:paraId="461A6B82" w14:textId="3C5E3CE8" w:rsidR="00B514D7" w:rsidRPr="000F697A" w:rsidRDefault="00B514D7" w:rsidP="00B514D7">
      <w:pPr>
        <w:pStyle w:val="references"/>
        <w:rPr>
          <w:sz w:val="18"/>
          <w:szCs w:val="18"/>
          <w:highlight w:val="yellow"/>
        </w:rPr>
      </w:pPr>
      <w:r w:rsidRPr="000F697A">
        <w:rPr>
          <w:sz w:val="18"/>
          <w:szCs w:val="18"/>
          <w:highlight w:val="yellow"/>
        </w:rPr>
        <w:t xml:space="preserve">A. Tzempelikos and A. K. Athienitis, “The impact of shading design and control on daylighting and energy in buildings,” </w:t>
      </w:r>
      <w:r w:rsidRPr="000F697A">
        <w:rPr>
          <w:i/>
          <w:iCs/>
          <w:sz w:val="18"/>
          <w:szCs w:val="18"/>
          <w:highlight w:val="yellow"/>
        </w:rPr>
        <w:t>Sol. Energy</w:t>
      </w:r>
      <w:r w:rsidRPr="000F697A">
        <w:rPr>
          <w:sz w:val="18"/>
          <w:szCs w:val="18"/>
          <w:highlight w:val="yellow"/>
        </w:rPr>
        <w:t>, vol. 81, no. 3, pp. 369–382, 2007.</w:t>
      </w:r>
      <w:r w:rsidR="00A21B4F" w:rsidRPr="000F697A">
        <w:rPr>
          <w:highlight w:val="yellow"/>
        </w:rPr>
        <w:t xml:space="preserve"> </w:t>
      </w:r>
      <w:hyperlink r:id="rId39" w:history="1">
        <w:r w:rsidR="00076615" w:rsidRPr="000F697A">
          <w:rPr>
            <w:rStyle w:val="Hyperlink"/>
            <w:sz w:val="18"/>
            <w:szCs w:val="18"/>
            <w:highlight w:val="yellow"/>
          </w:rPr>
          <w:t>https://www.sciencedirect.com/science/article/pii/S0038092X06001897</w:t>
        </w:r>
      </w:hyperlink>
      <w:r w:rsidR="00A21B4F" w:rsidRPr="000F697A">
        <w:rPr>
          <w:sz w:val="18"/>
          <w:szCs w:val="18"/>
          <w:highlight w:val="yellow"/>
        </w:rPr>
        <w:t xml:space="preserve"> </w:t>
      </w:r>
    </w:p>
    <w:p w14:paraId="206BE168" w14:textId="7B665186" w:rsidR="00B514D7" w:rsidRPr="000F697A" w:rsidRDefault="00076615" w:rsidP="00B514D7">
      <w:pPr>
        <w:pStyle w:val="references"/>
        <w:rPr>
          <w:sz w:val="18"/>
          <w:szCs w:val="18"/>
          <w:highlight w:val="yellow"/>
        </w:rPr>
      </w:pPr>
      <w:r w:rsidRPr="000F697A">
        <w:rPr>
          <w:sz w:val="18"/>
          <w:szCs w:val="18"/>
          <w:highlight w:val="yellow"/>
        </w:rPr>
        <w:t xml:space="preserve">Roetzel, A. Occupant behaviour simulation for cellular offices in early design stages—Architectural and modelling considerations. Build. Simul. 8, 211–224 (2015). </w:t>
      </w:r>
      <w:hyperlink r:id="rId40" w:history="1">
        <w:r w:rsidRPr="000F697A">
          <w:rPr>
            <w:rStyle w:val="Hyperlink"/>
            <w:sz w:val="18"/>
            <w:szCs w:val="18"/>
            <w:highlight w:val="yellow"/>
          </w:rPr>
          <w:t>https://doi.org/10.1007/s12273-014-0203-6</w:t>
        </w:r>
      </w:hyperlink>
      <w:r w:rsidR="00B514D7" w:rsidRPr="000F697A">
        <w:rPr>
          <w:sz w:val="18"/>
          <w:szCs w:val="18"/>
          <w:highlight w:val="yellow"/>
        </w:rPr>
        <w:t>.</w:t>
      </w:r>
      <w:r w:rsidRPr="000F697A">
        <w:rPr>
          <w:sz w:val="18"/>
          <w:szCs w:val="18"/>
          <w:highlight w:val="yellow"/>
        </w:rPr>
        <w:t xml:space="preserve"> </w:t>
      </w:r>
    </w:p>
    <w:p w14:paraId="65B30E0C" w14:textId="5C2F3FF3" w:rsidR="00B514D7" w:rsidRPr="000F697A" w:rsidRDefault="00B514D7" w:rsidP="00B514D7">
      <w:pPr>
        <w:pStyle w:val="references"/>
        <w:rPr>
          <w:sz w:val="18"/>
          <w:szCs w:val="18"/>
          <w:highlight w:val="yellow"/>
        </w:rPr>
      </w:pPr>
      <w:r w:rsidRPr="000F697A">
        <w:rPr>
          <w:sz w:val="18"/>
          <w:szCs w:val="18"/>
          <w:highlight w:val="yellow"/>
        </w:rPr>
        <w:t xml:space="preserve">D. Robinson, Ed., </w:t>
      </w:r>
      <w:r w:rsidRPr="000F697A">
        <w:rPr>
          <w:i/>
          <w:iCs/>
          <w:sz w:val="18"/>
          <w:szCs w:val="18"/>
          <w:highlight w:val="yellow"/>
        </w:rPr>
        <w:t>Computer Modelling for Sustainable Urban Design: Physical Principles, Methods and Applications</w:t>
      </w:r>
      <w:r w:rsidRPr="000F697A">
        <w:rPr>
          <w:sz w:val="18"/>
          <w:szCs w:val="18"/>
          <w:highlight w:val="yellow"/>
        </w:rPr>
        <w:t>. London, U.K.: Earthscan, 2011.</w:t>
      </w:r>
      <w:r w:rsidR="002025FE" w:rsidRPr="000F697A">
        <w:rPr>
          <w:sz w:val="18"/>
          <w:szCs w:val="18"/>
          <w:highlight w:val="yellow"/>
        </w:rPr>
        <w:t xml:space="preserve"> </w:t>
      </w:r>
      <w:hyperlink r:id="rId41" w:history="1">
        <w:r w:rsidR="002025FE" w:rsidRPr="000F697A">
          <w:rPr>
            <w:rStyle w:val="Hyperlink"/>
            <w:sz w:val="18"/>
            <w:szCs w:val="18"/>
            <w:highlight w:val="yellow"/>
          </w:rPr>
          <w:t>https://books.google.com/books?hl=en&amp;lr=&amp;id=L6geBAAAQBAJ&amp;oi=fnd&amp;pg=PP1&amp;dq=%5B21%5D%09D.+Robinson,+Ed.,+Computer+Modelling+for+Sustainable+Urban+Design:+Physical+Principles,+Methods+and+Applications.+London,+U.K.:+Earthscan,+2011.&amp;ots=YDEj5QiQEx&amp;sig=_Qf08IJBOy0eMk_qGjP9teDSc2U</w:t>
        </w:r>
      </w:hyperlink>
      <w:r w:rsidR="002025FE" w:rsidRPr="000F697A">
        <w:rPr>
          <w:sz w:val="18"/>
          <w:szCs w:val="18"/>
          <w:highlight w:val="yellow"/>
        </w:rPr>
        <w:t xml:space="preserve"> </w:t>
      </w:r>
    </w:p>
    <w:p w14:paraId="799876F4" w14:textId="5E1FDCD7" w:rsidR="00B514D7" w:rsidRPr="000F697A" w:rsidRDefault="00460BF3" w:rsidP="00B514D7">
      <w:pPr>
        <w:pStyle w:val="references"/>
        <w:rPr>
          <w:sz w:val="18"/>
          <w:szCs w:val="18"/>
          <w:highlight w:val="yellow"/>
        </w:rPr>
      </w:pPr>
      <w:r w:rsidRPr="000F697A">
        <w:rPr>
          <w:sz w:val="18"/>
          <w:szCs w:val="18"/>
          <w:highlight w:val="yellow"/>
        </w:rPr>
        <w:t xml:space="preserve">Mohsen Ahmadi, Farzad Piadeh, M. Reza Hosseini, Jian Zuo, Tuba Kocaturk, Unraveling building sector carbon mechanisms: Critique and solutions, Renewable and Sustainable Energy Reviews, vol. 205, p. 114873, 2024. </w:t>
      </w:r>
      <w:hyperlink r:id="rId42" w:history="1">
        <w:r w:rsidRPr="000F697A">
          <w:rPr>
            <w:rStyle w:val="Hyperlink"/>
            <w:sz w:val="18"/>
            <w:szCs w:val="18"/>
            <w:highlight w:val="yellow"/>
          </w:rPr>
          <w:t>https://doi.org/10.1016/j.rser.2024.114873</w:t>
        </w:r>
      </w:hyperlink>
      <w:r w:rsidRPr="000F697A">
        <w:rPr>
          <w:sz w:val="18"/>
          <w:szCs w:val="18"/>
          <w:highlight w:val="yellow"/>
        </w:rPr>
        <w:t>.</w:t>
      </w:r>
    </w:p>
    <w:p w14:paraId="69186660" w14:textId="1C867A0B" w:rsidR="00B514D7" w:rsidRPr="000F697A" w:rsidRDefault="0090418E" w:rsidP="00B514D7">
      <w:pPr>
        <w:pStyle w:val="references"/>
        <w:rPr>
          <w:sz w:val="18"/>
          <w:szCs w:val="18"/>
          <w:highlight w:val="yellow"/>
        </w:rPr>
      </w:pPr>
      <w:r w:rsidRPr="000F697A">
        <w:rPr>
          <w:sz w:val="18"/>
          <w:szCs w:val="18"/>
          <w:highlight w:val="yellow"/>
        </w:rPr>
        <w:t xml:space="preserve">Ciraulo, Rebecca, et al. "Commercial Building Fenestration Market Study." , Aug. 2021. </w:t>
      </w:r>
      <w:hyperlink r:id="rId43" w:history="1">
        <w:r w:rsidRPr="000F697A">
          <w:rPr>
            <w:rStyle w:val="Hyperlink"/>
            <w:sz w:val="18"/>
            <w:szCs w:val="18"/>
            <w:highlight w:val="yellow"/>
          </w:rPr>
          <w:t>https://doi.org/10.2172/1886333</w:t>
        </w:r>
      </w:hyperlink>
      <w:r w:rsidR="00B514D7" w:rsidRPr="000F697A">
        <w:rPr>
          <w:sz w:val="18"/>
          <w:szCs w:val="18"/>
          <w:highlight w:val="yellow"/>
        </w:rPr>
        <w:t>.</w:t>
      </w:r>
      <w:r w:rsidRPr="000F697A">
        <w:rPr>
          <w:sz w:val="18"/>
          <w:szCs w:val="18"/>
          <w:highlight w:val="yellow"/>
        </w:rPr>
        <w:t xml:space="preserve"> </w:t>
      </w:r>
    </w:p>
    <w:p w14:paraId="681C54E7" w14:textId="6DC04403" w:rsidR="00B514D7" w:rsidRPr="000F697A" w:rsidRDefault="00B514D7" w:rsidP="00B514D7">
      <w:pPr>
        <w:pStyle w:val="references"/>
        <w:rPr>
          <w:sz w:val="18"/>
          <w:szCs w:val="18"/>
          <w:highlight w:val="yellow"/>
        </w:rPr>
      </w:pPr>
      <w:r w:rsidRPr="000F697A">
        <w:rPr>
          <w:sz w:val="18"/>
          <w:szCs w:val="18"/>
          <w:highlight w:val="yellow"/>
        </w:rPr>
        <w:t xml:space="preserve">National Institute of Building Sciences, </w:t>
      </w:r>
      <w:r w:rsidRPr="000F697A">
        <w:rPr>
          <w:i/>
          <w:iCs/>
          <w:sz w:val="18"/>
          <w:szCs w:val="18"/>
          <w:highlight w:val="yellow"/>
        </w:rPr>
        <w:t>Whole Building Design Guide—Façade Systems</w:t>
      </w:r>
      <w:r w:rsidRPr="000F697A">
        <w:rPr>
          <w:sz w:val="18"/>
          <w:szCs w:val="18"/>
          <w:highlight w:val="yellow"/>
        </w:rPr>
        <w:t>, Washington, DC, USA: NIBS, 2025.</w:t>
      </w:r>
      <w:r w:rsidR="0090418E" w:rsidRPr="000F697A">
        <w:rPr>
          <w:sz w:val="18"/>
          <w:szCs w:val="18"/>
          <w:highlight w:val="yellow"/>
        </w:rPr>
        <w:t xml:space="preserve"> </w:t>
      </w:r>
      <w:hyperlink r:id="rId44" w:history="1">
        <w:r w:rsidR="0090418E" w:rsidRPr="000F697A">
          <w:rPr>
            <w:rStyle w:val="Hyperlink"/>
            <w:sz w:val="18"/>
            <w:szCs w:val="18"/>
            <w:highlight w:val="yellow"/>
          </w:rPr>
          <w:t>https://www.wbdg.org/home</w:t>
        </w:r>
      </w:hyperlink>
      <w:r w:rsidR="0090418E" w:rsidRPr="000F697A">
        <w:rPr>
          <w:sz w:val="18"/>
          <w:szCs w:val="18"/>
          <w:highlight w:val="yellow"/>
        </w:rPr>
        <w:t xml:space="preserve"> </w:t>
      </w:r>
    </w:p>
    <w:p w14:paraId="21F20E91" w14:textId="243D8A71" w:rsidR="00B514D7" w:rsidRPr="000F697A" w:rsidRDefault="00955EF7" w:rsidP="00B514D7">
      <w:pPr>
        <w:pStyle w:val="references"/>
        <w:rPr>
          <w:sz w:val="18"/>
          <w:szCs w:val="18"/>
          <w:highlight w:val="yellow"/>
        </w:rPr>
      </w:pPr>
      <w:r w:rsidRPr="000F697A">
        <w:rPr>
          <w:sz w:val="18"/>
          <w:szCs w:val="18"/>
          <w:highlight w:val="yellow"/>
        </w:rPr>
        <w:t xml:space="preserve">Yao Tao, Yihuan Yan, Jiyuan Tu, Long Shi, Impact of wind on solar-induced natural ventilation through double-skin facade, Applied Energy, vol. 364, p. 123205, 2024. </w:t>
      </w:r>
      <w:hyperlink r:id="rId45" w:history="1">
        <w:r w:rsidRPr="000F697A">
          <w:rPr>
            <w:rStyle w:val="Hyperlink"/>
            <w:sz w:val="18"/>
            <w:szCs w:val="18"/>
            <w:highlight w:val="yellow"/>
          </w:rPr>
          <w:t>https://doi.org/10.1016/j.apenergy.2024.123205</w:t>
        </w:r>
      </w:hyperlink>
      <w:r w:rsidR="00B514D7" w:rsidRPr="000F697A">
        <w:rPr>
          <w:sz w:val="18"/>
          <w:szCs w:val="18"/>
          <w:highlight w:val="yellow"/>
        </w:rPr>
        <w:t>.</w:t>
      </w:r>
      <w:r w:rsidRPr="000F697A">
        <w:rPr>
          <w:sz w:val="18"/>
          <w:szCs w:val="18"/>
          <w:highlight w:val="yellow"/>
        </w:rPr>
        <w:t xml:space="preserve"> </w:t>
      </w:r>
    </w:p>
    <w:p w14:paraId="007D2325" w14:textId="4D3B7C3B" w:rsidR="003A2FDF" w:rsidRPr="00DF4810" w:rsidRDefault="003A2FDF" w:rsidP="002E6A4C">
      <w:pPr>
        <w:pStyle w:val="references"/>
        <w:numPr>
          <w:ilvl w:val="0"/>
          <w:numId w:val="0"/>
        </w:numPr>
        <w:ind w:left="360" w:hanging="360"/>
        <w:rPr>
          <w:sz w:val="18"/>
          <w:szCs w:val="18"/>
        </w:rPr>
      </w:pPr>
    </w:p>
    <w:sectPr w:rsidR="003A2FDF" w:rsidRPr="00DF4810" w:rsidSect="00B3184D">
      <w:type w:val="continuous"/>
      <w:pgSz w:w="12240" w:h="15840" w:code="1"/>
      <w:pgMar w:top="1080" w:right="893" w:bottom="1440" w:left="893"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0D35B" w14:textId="77777777" w:rsidR="00DB2A28" w:rsidRDefault="00DB2A28" w:rsidP="001A3B3D">
      <w:r>
        <w:separator/>
      </w:r>
    </w:p>
  </w:endnote>
  <w:endnote w:type="continuationSeparator" w:id="0">
    <w:p w14:paraId="1B21C728" w14:textId="77777777" w:rsidR="00DB2A28" w:rsidRDefault="00DB2A28"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CD4C3" w14:textId="77777777" w:rsidR="001C518A" w:rsidRDefault="001C5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36EB9" w14:textId="77777777" w:rsidR="001C518A" w:rsidRDefault="001C51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E3483" w14:textId="214CBFA2" w:rsidR="00184B9D" w:rsidRPr="006F6D3D" w:rsidRDefault="00184B9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5990E" w14:textId="77777777" w:rsidR="00DB2A28" w:rsidRDefault="00DB2A28" w:rsidP="001A3B3D">
      <w:r>
        <w:separator/>
      </w:r>
    </w:p>
  </w:footnote>
  <w:footnote w:type="continuationSeparator" w:id="0">
    <w:p w14:paraId="732A24D6" w14:textId="77777777" w:rsidR="00DB2A28" w:rsidRDefault="00DB2A28"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EB9A5" w14:textId="316940BE" w:rsidR="001C518A" w:rsidRDefault="00DB2A28">
    <w:pPr>
      <w:pStyle w:val="Header"/>
    </w:pPr>
    <w:r>
      <w:rPr>
        <w:noProof/>
      </w:rPr>
      <w:pict w14:anchorId="0C804F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61719" o:spid="_x0000_s2050" type="#_x0000_t136" style="position:absolute;left:0;text-align:left;margin-left:0;margin-top:0;width:663.25pt;height:7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F914F" w14:textId="3A9C8489" w:rsidR="001C518A" w:rsidRDefault="00DB2A28">
    <w:pPr>
      <w:pStyle w:val="Header"/>
    </w:pPr>
    <w:r>
      <w:rPr>
        <w:noProof/>
      </w:rPr>
      <w:pict w14:anchorId="571E25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61720" o:spid="_x0000_s2051" type="#_x0000_t136" style="position:absolute;left:0;text-align:left;margin-left:0;margin-top:0;width:663.25pt;height:7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3EB85" w14:textId="34F9F279" w:rsidR="006D233C" w:rsidRDefault="00DB2A28" w:rsidP="00031859">
    <w:pPr>
      <w:pStyle w:val="Header"/>
      <w:jc w:val="right"/>
    </w:pPr>
    <w:r>
      <w:rPr>
        <w:noProof/>
      </w:rPr>
      <w:pict w14:anchorId="66F08A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61718" o:spid="_x0000_s2049" type="#_x0000_t136" style="position:absolute;left:0;text-align:left;margin-left:0;margin-top:0;width:663.25pt;height:7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A25972"/>
    <w:multiLevelType w:val="hybridMultilevel"/>
    <w:tmpl w:val="7AA48550"/>
    <w:lvl w:ilvl="0" w:tplc="F5A8EA8A">
      <w:start w:val="1"/>
      <w:numFmt w:val="bullet"/>
      <w:lvlText w:val=""/>
      <w:lvlJc w:val="left"/>
      <w:pPr>
        <w:tabs>
          <w:tab w:val="num" w:pos="720"/>
        </w:tabs>
        <w:ind w:left="720" w:hanging="360"/>
      </w:pPr>
      <w:rPr>
        <w:rFonts w:ascii="Wingdings" w:hAnsi="Wingdings" w:hint="default"/>
      </w:rPr>
    </w:lvl>
    <w:lvl w:ilvl="1" w:tplc="3732CD78" w:tentative="1">
      <w:start w:val="1"/>
      <w:numFmt w:val="bullet"/>
      <w:lvlText w:val=""/>
      <w:lvlJc w:val="left"/>
      <w:pPr>
        <w:tabs>
          <w:tab w:val="num" w:pos="1440"/>
        </w:tabs>
        <w:ind w:left="1440" w:hanging="360"/>
      </w:pPr>
      <w:rPr>
        <w:rFonts w:ascii="Wingdings" w:hAnsi="Wingdings" w:hint="default"/>
      </w:rPr>
    </w:lvl>
    <w:lvl w:ilvl="2" w:tplc="F320AB58" w:tentative="1">
      <w:start w:val="1"/>
      <w:numFmt w:val="bullet"/>
      <w:lvlText w:val=""/>
      <w:lvlJc w:val="left"/>
      <w:pPr>
        <w:tabs>
          <w:tab w:val="num" w:pos="2160"/>
        </w:tabs>
        <w:ind w:left="2160" w:hanging="360"/>
      </w:pPr>
      <w:rPr>
        <w:rFonts w:ascii="Wingdings" w:hAnsi="Wingdings" w:hint="default"/>
      </w:rPr>
    </w:lvl>
    <w:lvl w:ilvl="3" w:tplc="EA14C570" w:tentative="1">
      <w:start w:val="1"/>
      <w:numFmt w:val="bullet"/>
      <w:lvlText w:val=""/>
      <w:lvlJc w:val="left"/>
      <w:pPr>
        <w:tabs>
          <w:tab w:val="num" w:pos="2880"/>
        </w:tabs>
        <w:ind w:left="2880" w:hanging="360"/>
      </w:pPr>
      <w:rPr>
        <w:rFonts w:ascii="Wingdings" w:hAnsi="Wingdings" w:hint="default"/>
      </w:rPr>
    </w:lvl>
    <w:lvl w:ilvl="4" w:tplc="F17A5D28" w:tentative="1">
      <w:start w:val="1"/>
      <w:numFmt w:val="bullet"/>
      <w:lvlText w:val=""/>
      <w:lvlJc w:val="left"/>
      <w:pPr>
        <w:tabs>
          <w:tab w:val="num" w:pos="3600"/>
        </w:tabs>
        <w:ind w:left="3600" w:hanging="360"/>
      </w:pPr>
      <w:rPr>
        <w:rFonts w:ascii="Wingdings" w:hAnsi="Wingdings" w:hint="default"/>
      </w:rPr>
    </w:lvl>
    <w:lvl w:ilvl="5" w:tplc="44E2DD1C" w:tentative="1">
      <w:start w:val="1"/>
      <w:numFmt w:val="bullet"/>
      <w:lvlText w:val=""/>
      <w:lvlJc w:val="left"/>
      <w:pPr>
        <w:tabs>
          <w:tab w:val="num" w:pos="4320"/>
        </w:tabs>
        <w:ind w:left="4320" w:hanging="360"/>
      </w:pPr>
      <w:rPr>
        <w:rFonts w:ascii="Wingdings" w:hAnsi="Wingdings" w:hint="default"/>
      </w:rPr>
    </w:lvl>
    <w:lvl w:ilvl="6" w:tplc="295AACC0" w:tentative="1">
      <w:start w:val="1"/>
      <w:numFmt w:val="bullet"/>
      <w:lvlText w:val=""/>
      <w:lvlJc w:val="left"/>
      <w:pPr>
        <w:tabs>
          <w:tab w:val="num" w:pos="5040"/>
        </w:tabs>
        <w:ind w:left="5040" w:hanging="360"/>
      </w:pPr>
      <w:rPr>
        <w:rFonts w:ascii="Wingdings" w:hAnsi="Wingdings" w:hint="default"/>
      </w:rPr>
    </w:lvl>
    <w:lvl w:ilvl="7" w:tplc="B8947844" w:tentative="1">
      <w:start w:val="1"/>
      <w:numFmt w:val="bullet"/>
      <w:lvlText w:val=""/>
      <w:lvlJc w:val="left"/>
      <w:pPr>
        <w:tabs>
          <w:tab w:val="num" w:pos="5760"/>
        </w:tabs>
        <w:ind w:left="5760" w:hanging="360"/>
      </w:pPr>
      <w:rPr>
        <w:rFonts w:ascii="Wingdings" w:hAnsi="Wingdings" w:hint="default"/>
      </w:rPr>
    </w:lvl>
    <w:lvl w:ilvl="8" w:tplc="38F2291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EE134A"/>
    <w:multiLevelType w:val="hybridMultilevel"/>
    <w:tmpl w:val="46CED6C6"/>
    <w:lvl w:ilvl="0" w:tplc="A93AC91A">
      <w:numFmt w:val="bullet"/>
      <w:lvlText w:val="-"/>
      <w:lvlJc w:val="left"/>
      <w:pPr>
        <w:ind w:left="360" w:hanging="360"/>
      </w:pPr>
      <w:rPr>
        <w:rFonts w:ascii="Palatino Linotype" w:eastAsia="Times New Roman" w:hAnsi="Palatino Linotype"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D9519F0"/>
    <w:multiLevelType w:val="multilevel"/>
    <w:tmpl w:val="7E78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5"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219456CE"/>
    <w:multiLevelType w:val="hybridMultilevel"/>
    <w:tmpl w:val="E580F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2AB52F1C"/>
    <w:multiLevelType w:val="hybridMultilevel"/>
    <w:tmpl w:val="12826388"/>
    <w:lvl w:ilvl="0" w:tplc="A93AC91A">
      <w:numFmt w:val="bullet"/>
      <w:lvlText w:val="-"/>
      <w:lvlJc w:val="left"/>
      <w:pPr>
        <w:ind w:left="360" w:hanging="360"/>
      </w:pPr>
      <w:rPr>
        <w:rFonts w:ascii="Palatino Linotype" w:eastAsia="Times New Roman" w:hAnsi="Palatino Linotype"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1" w15:restartNumberingAfterBreak="0">
    <w:nsid w:val="3B847B61"/>
    <w:multiLevelType w:val="hybridMultilevel"/>
    <w:tmpl w:val="252EC712"/>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2"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3"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5" w15:restartNumberingAfterBreak="0">
    <w:nsid w:val="5C712683"/>
    <w:multiLevelType w:val="hybridMultilevel"/>
    <w:tmpl w:val="4FFE2232"/>
    <w:lvl w:ilvl="0" w:tplc="A93AC91A">
      <w:numFmt w:val="bullet"/>
      <w:lvlText w:val="-"/>
      <w:lvlJc w:val="left"/>
      <w:pPr>
        <w:ind w:left="360" w:hanging="360"/>
      </w:pPr>
      <w:rPr>
        <w:rFonts w:ascii="Palatino Linotype" w:eastAsia="Times New Roman" w:hAnsi="Palatino Linotype"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9C7890"/>
    <w:multiLevelType w:val="hybridMultilevel"/>
    <w:tmpl w:val="FB2095E2"/>
    <w:lvl w:ilvl="0" w:tplc="2E8E568E">
      <w:numFmt w:val="bullet"/>
      <w:lvlText w:val="-"/>
      <w:lvlJc w:val="left"/>
      <w:pPr>
        <w:ind w:left="72" w:hanging="360"/>
      </w:pPr>
      <w:rPr>
        <w:rFonts w:ascii="Palatino Linotype" w:eastAsia="Calibri" w:hAnsi="Palatino Linotype" w:cs="Times New Roman" w:hint="default"/>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27" w15:restartNumberingAfterBreak="0">
    <w:nsid w:val="644A3916"/>
    <w:multiLevelType w:val="hybridMultilevel"/>
    <w:tmpl w:val="6EE6EE26"/>
    <w:lvl w:ilvl="0" w:tplc="CF5C7B0A">
      <w:start w:val="1"/>
      <w:numFmt w:val="bullet"/>
      <w:lvlText w:val=""/>
      <w:lvlJc w:val="left"/>
      <w:pPr>
        <w:tabs>
          <w:tab w:val="num" w:pos="720"/>
        </w:tabs>
        <w:ind w:left="720" w:hanging="360"/>
      </w:pPr>
      <w:rPr>
        <w:rFonts w:ascii="Wingdings" w:hAnsi="Wingdings" w:hint="default"/>
      </w:rPr>
    </w:lvl>
    <w:lvl w:ilvl="1" w:tplc="ADCE502C" w:tentative="1">
      <w:start w:val="1"/>
      <w:numFmt w:val="bullet"/>
      <w:lvlText w:val=""/>
      <w:lvlJc w:val="left"/>
      <w:pPr>
        <w:tabs>
          <w:tab w:val="num" w:pos="1440"/>
        </w:tabs>
        <w:ind w:left="1440" w:hanging="360"/>
      </w:pPr>
      <w:rPr>
        <w:rFonts w:ascii="Wingdings" w:hAnsi="Wingdings" w:hint="default"/>
      </w:rPr>
    </w:lvl>
    <w:lvl w:ilvl="2" w:tplc="1AFC84CA" w:tentative="1">
      <w:start w:val="1"/>
      <w:numFmt w:val="bullet"/>
      <w:lvlText w:val=""/>
      <w:lvlJc w:val="left"/>
      <w:pPr>
        <w:tabs>
          <w:tab w:val="num" w:pos="2160"/>
        </w:tabs>
        <w:ind w:left="2160" w:hanging="360"/>
      </w:pPr>
      <w:rPr>
        <w:rFonts w:ascii="Wingdings" w:hAnsi="Wingdings" w:hint="default"/>
      </w:rPr>
    </w:lvl>
    <w:lvl w:ilvl="3" w:tplc="D2582D92" w:tentative="1">
      <w:start w:val="1"/>
      <w:numFmt w:val="bullet"/>
      <w:lvlText w:val=""/>
      <w:lvlJc w:val="left"/>
      <w:pPr>
        <w:tabs>
          <w:tab w:val="num" w:pos="2880"/>
        </w:tabs>
        <w:ind w:left="2880" w:hanging="360"/>
      </w:pPr>
      <w:rPr>
        <w:rFonts w:ascii="Wingdings" w:hAnsi="Wingdings" w:hint="default"/>
      </w:rPr>
    </w:lvl>
    <w:lvl w:ilvl="4" w:tplc="C9E288D6" w:tentative="1">
      <w:start w:val="1"/>
      <w:numFmt w:val="bullet"/>
      <w:lvlText w:val=""/>
      <w:lvlJc w:val="left"/>
      <w:pPr>
        <w:tabs>
          <w:tab w:val="num" w:pos="3600"/>
        </w:tabs>
        <w:ind w:left="3600" w:hanging="360"/>
      </w:pPr>
      <w:rPr>
        <w:rFonts w:ascii="Wingdings" w:hAnsi="Wingdings" w:hint="default"/>
      </w:rPr>
    </w:lvl>
    <w:lvl w:ilvl="5" w:tplc="207ED150" w:tentative="1">
      <w:start w:val="1"/>
      <w:numFmt w:val="bullet"/>
      <w:lvlText w:val=""/>
      <w:lvlJc w:val="left"/>
      <w:pPr>
        <w:tabs>
          <w:tab w:val="num" w:pos="4320"/>
        </w:tabs>
        <w:ind w:left="4320" w:hanging="360"/>
      </w:pPr>
      <w:rPr>
        <w:rFonts w:ascii="Wingdings" w:hAnsi="Wingdings" w:hint="default"/>
      </w:rPr>
    </w:lvl>
    <w:lvl w:ilvl="6" w:tplc="963CF454" w:tentative="1">
      <w:start w:val="1"/>
      <w:numFmt w:val="bullet"/>
      <w:lvlText w:val=""/>
      <w:lvlJc w:val="left"/>
      <w:pPr>
        <w:tabs>
          <w:tab w:val="num" w:pos="5040"/>
        </w:tabs>
        <w:ind w:left="5040" w:hanging="360"/>
      </w:pPr>
      <w:rPr>
        <w:rFonts w:ascii="Wingdings" w:hAnsi="Wingdings" w:hint="default"/>
      </w:rPr>
    </w:lvl>
    <w:lvl w:ilvl="7" w:tplc="E5B27AA2" w:tentative="1">
      <w:start w:val="1"/>
      <w:numFmt w:val="bullet"/>
      <w:lvlText w:val=""/>
      <w:lvlJc w:val="left"/>
      <w:pPr>
        <w:tabs>
          <w:tab w:val="num" w:pos="5760"/>
        </w:tabs>
        <w:ind w:left="5760" w:hanging="360"/>
      </w:pPr>
      <w:rPr>
        <w:rFonts w:ascii="Wingdings" w:hAnsi="Wingdings" w:hint="default"/>
      </w:rPr>
    </w:lvl>
    <w:lvl w:ilvl="8" w:tplc="017AF22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1E5F9E"/>
    <w:multiLevelType w:val="multilevel"/>
    <w:tmpl w:val="FA60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5022CC"/>
    <w:multiLevelType w:val="hybridMultilevel"/>
    <w:tmpl w:val="3E106456"/>
    <w:lvl w:ilvl="0" w:tplc="CFB85BEA">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2D48E7"/>
    <w:multiLevelType w:val="hybridMultilevel"/>
    <w:tmpl w:val="F2CC43D2"/>
    <w:lvl w:ilvl="0" w:tplc="A93AC91A">
      <w:numFmt w:val="bullet"/>
      <w:lvlText w:val="-"/>
      <w:lvlJc w:val="left"/>
      <w:pPr>
        <w:ind w:left="360" w:hanging="360"/>
      </w:pPr>
      <w:rPr>
        <w:rFonts w:ascii="Palatino Linotype" w:eastAsia="Times New Roman" w:hAnsi="Palatino Linotype"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402C58"/>
    <w:multiLevelType w:val="hybridMultilevel"/>
    <w:tmpl w:val="712AE97E"/>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15:restartNumberingAfterBreak="0">
    <w:nsid w:val="6CD32DA8"/>
    <w:multiLevelType w:val="singleLevel"/>
    <w:tmpl w:val="3304A4C6"/>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20"/>
        <w:szCs w:val="20"/>
      </w:rPr>
    </w:lvl>
  </w:abstractNum>
  <w:abstractNum w:abstractNumId="33" w15:restartNumberingAfterBreak="0">
    <w:nsid w:val="73E55EC6"/>
    <w:multiLevelType w:val="hybridMultilevel"/>
    <w:tmpl w:val="6CAA3CC4"/>
    <w:lvl w:ilvl="0" w:tplc="0EAAD7AC">
      <w:start w:val="1"/>
      <w:numFmt w:val="bullet"/>
      <w:lvlText w:val="-"/>
      <w:lvlJc w:val="left"/>
      <w:pPr>
        <w:ind w:left="8" w:hanging="360"/>
      </w:pPr>
      <w:rPr>
        <w:rFonts w:ascii="Palatino Linotype" w:eastAsia="Calibri" w:hAnsi="Palatino Linotype" w:cs="Times New Roman" w:hint="default"/>
      </w:rPr>
    </w:lvl>
    <w:lvl w:ilvl="1" w:tplc="04090003" w:tentative="1">
      <w:start w:val="1"/>
      <w:numFmt w:val="bullet"/>
      <w:lvlText w:val="o"/>
      <w:lvlJc w:val="left"/>
      <w:pPr>
        <w:ind w:left="8" w:hanging="360"/>
      </w:pPr>
      <w:rPr>
        <w:rFonts w:ascii="Courier New" w:hAnsi="Courier New" w:cs="Courier New" w:hint="default"/>
      </w:rPr>
    </w:lvl>
    <w:lvl w:ilvl="2" w:tplc="04090005" w:tentative="1">
      <w:start w:val="1"/>
      <w:numFmt w:val="bullet"/>
      <w:lvlText w:val=""/>
      <w:lvlJc w:val="left"/>
      <w:pPr>
        <w:ind w:left="648" w:hanging="360"/>
      </w:pPr>
      <w:rPr>
        <w:rFonts w:ascii="Wingdings" w:hAnsi="Wingdings" w:hint="default"/>
      </w:rPr>
    </w:lvl>
    <w:lvl w:ilvl="3" w:tplc="04090001" w:tentative="1">
      <w:start w:val="1"/>
      <w:numFmt w:val="bullet"/>
      <w:lvlText w:val=""/>
      <w:lvlJc w:val="left"/>
      <w:pPr>
        <w:ind w:left="1368" w:hanging="360"/>
      </w:pPr>
      <w:rPr>
        <w:rFonts w:ascii="Symbol" w:hAnsi="Symbol" w:hint="default"/>
      </w:rPr>
    </w:lvl>
    <w:lvl w:ilvl="4" w:tplc="04090003" w:tentative="1">
      <w:start w:val="1"/>
      <w:numFmt w:val="bullet"/>
      <w:lvlText w:val="o"/>
      <w:lvlJc w:val="left"/>
      <w:pPr>
        <w:ind w:left="2088" w:hanging="360"/>
      </w:pPr>
      <w:rPr>
        <w:rFonts w:ascii="Courier New" w:hAnsi="Courier New" w:cs="Courier New" w:hint="default"/>
      </w:rPr>
    </w:lvl>
    <w:lvl w:ilvl="5" w:tplc="04090005" w:tentative="1">
      <w:start w:val="1"/>
      <w:numFmt w:val="bullet"/>
      <w:lvlText w:val=""/>
      <w:lvlJc w:val="left"/>
      <w:pPr>
        <w:ind w:left="2808" w:hanging="360"/>
      </w:pPr>
      <w:rPr>
        <w:rFonts w:ascii="Wingdings" w:hAnsi="Wingdings" w:hint="default"/>
      </w:rPr>
    </w:lvl>
    <w:lvl w:ilvl="6" w:tplc="04090001" w:tentative="1">
      <w:start w:val="1"/>
      <w:numFmt w:val="bullet"/>
      <w:lvlText w:val=""/>
      <w:lvlJc w:val="left"/>
      <w:pPr>
        <w:ind w:left="3528" w:hanging="360"/>
      </w:pPr>
      <w:rPr>
        <w:rFonts w:ascii="Symbol" w:hAnsi="Symbol" w:hint="default"/>
      </w:rPr>
    </w:lvl>
    <w:lvl w:ilvl="7" w:tplc="04090003" w:tentative="1">
      <w:start w:val="1"/>
      <w:numFmt w:val="bullet"/>
      <w:lvlText w:val="o"/>
      <w:lvlJc w:val="left"/>
      <w:pPr>
        <w:ind w:left="4248" w:hanging="360"/>
      </w:pPr>
      <w:rPr>
        <w:rFonts w:ascii="Courier New" w:hAnsi="Courier New" w:cs="Courier New" w:hint="default"/>
      </w:rPr>
    </w:lvl>
    <w:lvl w:ilvl="8" w:tplc="04090005" w:tentative="1">
      <w:start w:val="1"/>
      <w:numFmt w:val="bullet"/>
      <w:lvlText w:val=""/>
      <w:lvlJc w:val="left"/>
      <w:pPr>
        <w:ind w:left="4968" w:hanging="360"/>
      </w:pPr>
      <w:rPr>
        <w:rFonts w:ascii="Wingdings" w:hAnsi="Wingdings" w:hint="default"/>
      </w:rPr>
    </w:lvl>
  </w:abstractNum>
  <w:num w:numId="1">
    <w:abstractNumId w:val="19"/>
  </w:num>
  <w:num w:numId="2">
    <w:abstractNumId w:val="31"/>
  </w:num>
  <w:num w:numId="3">
    <w:abstractNumId w:val="17"/>
  </w:num>
  <w:num w:numId="4">
    <w:abstractNumId w:val="22"/>
  </w:num>
  <w:num w:numId="5">
    <w:abstractNumId w:val="22"/>
  </w:num>
  <w:num w:numId="6">
    <w:abstractNumId w:val="22"/>
  </w:num>
  <w:num w:numId="7">
    <w:abstractNumId w:val="22"/>
  </w:num>
  <w:num w:numId="8">
    <w:abstractNumId w:val="24"/>
  </w:num>
  <w:num w:numId="9">
    <w:abstractNumId w:val="32"/>
  </w:num>
  <w:num w:numId="10">
    <w:abstractNumId w:val="20"/>
  </w:num>
  <w:num w:numId="11">
    <w:abstractNumId w:val="15"/>
  </w:num>
  <w:num w:numId="12">
    <w:abstractNumId w:val="14"/>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3"/>
  </w:num>
  <w:num w:numId="25">
    <w:abstractNumId w:val="33"/>
  </w:num>
  <w:num w:numId="26">
    <w:abstractNumId w:val="26"/>
  </w:num>
  <w:num w:numId="27">
    <w:abstractNumId w:val="29"/>
  </w:num>
  <w:num w:numId="28">
    <w:abstractNumId w:val="30"/>
  </w:num>
  <w:num w:numId="29">
    <w:abstractNumId w:val="12"/>
  </w:num>
  <w:num w:numId="30">
    <w:abstractNumId w:val="18"/>
  </w:num>
  <w:num w:numId="31">
    <w:abstractNumId w:val="25"/>
  </w:num>
  <w:num w:numId="32">
    <w:abstractNumId w:val="21"/>
  </w:num>
  <w:num w:numId="33">
    <w:abstractNumId w:val="27"/>
  </w:num>
  <w:num w:numId="34">
    <w:abstractNumId w:val="11"/>
  </w:num>
  <w:num w:numId="35">
    <w:abstractNumId w:val="13"/>
  </w:num>
  <w:num w:numId="36">
    <w:abstractNumId w:val="28"/>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doNotHyphenateCaps/>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3MTewNDazMDIyNjBX0lEKTi0uzszPAykwMq0FAAouQCktAAAA"/>
  </w:docVars>
  <w:rsids>
    <w:rsidRoot w:val="009303D9"/>
    <w:rsid w:val="000007A1"/>
    <w:rsid w:val="00007A42"/>
    <w:rsid w:val="00012D10"/>
    <w:rsid w:val="00013895"/>
    <w:rsid w:val="00014065"/>
    <w:rsid w:val="00014CAE"/>
    <w:rsid w:val="00015D68"/>
    <w:rsid w:val="0002333E"/>
    <w:rsid w:val="00023D8A"/>
    <w:rsid w:val="0002580E"/>
    <w:rsid w:val="000306C9"/>
    <w:rsid w:val="00031859"/>
    <w:rsid w:val="0004781E"/>
    <w:rsid w:val="0005279A"/>
    <w:rsid w:val="000531CF"/>
    <w:rsid w:val="00054141"/>
    <w:rsid w:val="0005471B"/>
    <w:rsid w:val="00055295"/>
    <w:rsid w:val="00055538"/>
    <w:rsid w:val="00057A7A"/>
    <w:rsid w:val="00060C5F"/>
    <w:rsid w:val="0006215C"/>
    <w:rsid w:val="00064A16"/>
    <w:rsid w:val="00066211"/>
    <w:rsid w:val="0007217C"/>
    <w:rsid w:val="00074327"/>
    <w:rsid w:val="00074618"/>
    <w:rsid w:val="00076615"/>
    <w:rsid w:val="00077668"/>
    <w:rsid w:val="00077E3A"/>
    <w:rsid w:val="000854D2"/>
    <w:rsid w:val="0008758A"/>
    <w:rsid w:val="00090F2B"/>
    <w:rsid w:val="000A6385"/>
    <w:rsid w:val="000B4FAC"/>
    <w:rsid w:val="000B5020"/>
    <w:rsid w:val="000B581B"/>
    <w:rsid w:val="000B5BD0"/>
    <w:rsid w:val="000C1E68"/>
    <w:rsid w:val="000C59F5"/>
    <w:rsid w:val="000D3BBB"/>
    <w:rsid w:val="000E0E27"/>
    <w:rsid w:val="000E12A6"/>
    <w:rsid w:val="000E275C"/>
    <w:rsid w:val="000F697A"/>
    <w:rsid w:val="00106277"/>
    <w:rsid w:val="001106CB"/>
    <w:rsid w:val="00111832"/>
    <w:rsid w:val="00117AFC"/>
    <w:rsid w:val="001231EB"/>
    <w:rsid w:val="00126F57"/>
    <w:rsid w:val="00134284"/>
    <w:rsid w:val="001477EF"/>
    <w:rsid w:val="00147F57"/>
    <w:rsid w:val="00157D63"/>
    <w:rsid w:val="001613C9"/>
    <w:rsid w:val="001674E9"/>
    <w:rsid w:val="00173EBA"/>
    <w:rsid w:val="00175988"/>
    <w:rsid w:val="0017793A"/>
    <w:rsid w:val="00182425"/>
    <w:rsid w:val="00184AAB"/>
    <w:rsid w:val="00184B9D"/>
    <w:rsid w:val="00187446"/>
    <w:rsid w:val="001877C8"/>
    <w:rsid w:val="0019354C"/>
    <w:rsid w:val="001A2EFD"/>
    <w:rsid w:val="001A3B3D"/>
    <w:rsid w:val="001A4F5D"/>
    <w:rsid w:val="001B101F"/>
    <w:rsid w:val="001B67DC"/>
    <w:rsid w:val="001B7607"/>
    <w:rsid w:val="001C518A"/>
    <w:rsid w:val="001D1E62"/>
    <w:rsid w:val="001D6748"/>
    <w:rsid w:val="001E11CC"/>
    <w:rsid w:val="001E7149"/>
    <w:rsid w:val="001F46FA"/>
    <w:rsid w:val="001F6B30"/>
    <w:rsid w:val="00201E7D"/>
    <w:rsid w:val="002025FE"/>
    <w:rsid w:val="00203938"/>
    <w:rsid w:val="00206779"/>
    <w:rsid w:val="00206967"/>
    <w:rsid w:val="00210D41"/>
    <w:rsid w:val="0022154F"/>
    <w:rsid w:val="00225216"/>
    <w:rsid w:val="002254A9"/>
    <w:rsid w:val="0022579C"/>
    <w:rsid w:val="002264C8"/>
    <w:rsid w:val="00227D73"/>
    <w:rsid w:val="00232BA2"/>
    <w:rsid w:val="00233D97"/>
    <w:rsid w:val="002347A2"/>
    <w:rsid w:val="00235F31"/>
    <w:rsid w:val="00236215"/>
    <w:rsid w:val="00244661"/>
    <w:rsid w:val="002471C9"/>
    <w:rsid w:val="00253ADA"/>
    <w:rsid w:val="00257B69"/>
    <w:rsid w:val="002635BC"/>
    <w:rsid w:val="002638C6"/>
    <w:rsid w:val="002704C4"/>
    <w:rsid w:val="00270F79"/>
    <w:rsid w:val="00277215"/>
    <w:rsid w:val="002850E3"/>
    <w:rsid w:val="002A1042"/>
    <w:rsid w:val="002A79F5"/>
    <w:rsid w:val="002B0915"/>
    <w:rsid w:val="002C2E33"/>
    <w:rsid w:val="002C52BD"/>
    <w:rsid w:val="002C6C2F"/>
    <w:rsid w:val="002D4E61"/>
    <w:rsid w:val="002D5AC9"/>
    <w:rsid w:val="002E0F4C"/>
    <w:rsid w:val="002E2CA8"/>
    <w:rsid w:val="002E603E"/>
    <w:rsid w:val="002E6A4C"/>
    <w:rsid w:val="002F4EB7"/>
    <w:rsid w:val="002F77A4"/>
    <w:rsid w:val="0030420E"/>
    <w:rsid w:val="00314E28"/>
    <w:rsid w:val="00327832"/>
    <w:rsid w:val="00334555"/>
    <w:rsid w:val="0033598E"/>
    <w:rsid w:val="00342AF9"/>
    <w:rsid w:val="00345594"/>
    <w:rsid w:val="003505C2"/>
    <w:rsid w:val="00351849"/>
    <w:rsid w:val="00354040"/>
    <w:rsid w:val="00354FCF"/>
    <w:rsid w:val="00381312"/>
    <w:rsid w:val="00385C97"/>
    <w:rsid w:val="003863E3"/>
    <w:rsid w:val="00394733"/>
    <w:rsid w:val="003A19E2"/>
    <w:rsid w:val="003A2FDF"/>
    <w:rsid w:val="003A5619"/>
    <w:rsid w:val="003B2B40"/>
    <w:rsid w:val="003B4E04"/>
    <w:rsid w:val="003D7EDE"/>
    <w:rsid w:val="003E078B"/>
    <w:rsid w:val="003E0A06"/>
    <w:rsid w:val="003E50F1"/>
    <w:rsid w:val="003F5592"/>
    <w:rsid w:val="003F5A08"/>
    <w:rsid w:val="003F67C5"/>
    <w:rsid w:val="003F7813"/>
    <w:rsid w:val="00404E2C"/>
    <w:rsid w:val="00420716"/>
    <w:rsid w:val="004325FB"/>
    <w:rsid w:val="004432BA"/>
    <w:rsid w:val="0044407E"/>
    <w:rsid w:val="004470F0"/>
    <w:rsid w:val="00447778"/>
    <w:rsid w:val="00447BB9"/>
    <w:rsid w:val="0045069C"/>
    <w:rsid w:val="00455529"/>
    <w:rsid w:val="00456CE7"/>
    <w:rsid w:val="0046031D"/>
    <w:rsid w:val="00460BF3"/>
    <w:rsid w:val="00463062"/>
    <w:rsid w:val="004638DE"/>
    <w:rsid w:val="0047151B"/>
    <w:rsid w:val="00473AC9"/>
    <w:rsid w:val="0047418F"/>
    <w:rsid w:val="00475CA2"/>
    <w:rsid w:val="00483DE4"/>
    <w:rsid w:val="00490C4D"/>
    <w:rsid w:val="00492D6B"/>
    <w:rsid w:val="0049314C"/>
    <w:rsid w:val="0049413E"/>
    <w:rsid w:val="00496ED5"/>
    <w:rsid w:val="004A2CFD"/>
    <w:rsid w:val="004A31D4"/>
    <w:rsid w:val="004A71D8"/>
    <w:rsid w:val="004B08B7"/>
    <w:rsid w:val="004B5645"/>
    <w:rsid w:val="004B621B"/>
    <w:rsid w:val="004C6A7D"/>
    <w:rsid w:val="004C7467"/>
    <w:rsid w:val="004C7B6A"/>
    <w:rsid w:val="004D289E"/>
    <w:rsid w:val="004D4C8E"/>
    <w:rsid w:val="004D71F1"/>
    <w:rsid w:val="004D72B5"/>
    <w:rsid w:val="004E06BB"/>
    <w:rsid w:val="004F0AFD"/>
    <w:rsid w:val="004F3C94"/>
    <w:rsid w:val="004F663A"/>
    <w:rsid w:val="005020F0"/>
    <w:rsid w:val="00502516"/>
    <w:rsid w:val="005038FE"/>
    <w:rsid w:val="00510B21"/>
    <w:rsid w:val="00512D5A"/>
    <w:rsid w:val="0051336A"/>
    <w:rsid w:val="005156BC"/>
    <w:rsid w:val="00530366"/>
    <w:rsid w:val="00532CA1"/>
    <w:rsid w:val="00533B65"/>
    <w:rsid w:val="00545A2C"/>
    <w:rsid w:val="00545A2D"/>
    <w:rsid w:val="005466B6"/>
    <w:rsid w:val="00547790"/>
    <w:rsid w:val="00551B7F"/>
    <w:rsid w:val="00555702"/>
    <w:rsid w:val="005617D4"/>
    <w:rsid w:val="0056610F"/>
    <w:rsid w:val="005700F3"/>
    <w:rsid w:val="00575BCA"/>
    <w:rsid w:val="0058120F"/>
    <w:rsid w:val="00582141"/>
    <w:rsid w:val="00591BA5"/>
    <w:rsid w:val="00593BC6"/>
    <w:rsid w:val="00594144"/>
    <w:rsid w:val="005945BE"/>
    <w:rsid w:val="005973BF"/>
    <w:rsid w:val="00597A6D"/>
    <w:rsid w:val="005B0344"/>
    <w:rsid w:val="005B14B5"/>
    <w:rsid w:val="005B16FF"/>
    <w:rsid w:val="005B520E"/>
    <w:rsid w:val="005C1A49"/>
    <w:rsid w:val="005C2DF3"/>
    <w:rsid w:val="005C6A9A"/>
    <w:rsid w:val="005D3817"/>
    <w:rsid w:val="005D7823"/>
    <w:rsid w:val="005E04FA"/>
    <w:rsid w:val="005E2800"/>
    <w:rsid w:val="005F1181"/>
    <w:rsid w:val="005F1A97"/>
    <w:rsid w:val="005F1CD1"/>
    <w:rsid w:val="005F27E2"/>
    <w:rsid w:val="0060507D"/>
    <w:rsid w:val="00605825"/>
    <w:rsid w:val="006136E7"/>
    <w:rsid w:val="00620576"/>
    <w:rsid w:val="00622374"/>
    <w:rsid w:val="0062630E"/>
    <w:rsid w:val="006265F3"/>
    <w:rsid w:val="006305FD"/>
    <w:rsid w:val="00630E21"/>
    <w:rsid w:val="006314FB"/>
    <w:rsid w:val="006341A8"/>
    <w:rsid w:val="00634A3F"/>
    <w:rsid w:val="00636AFC"/>
    <w:rsid w:val="0063714D"/>
    <w:rsid w:val="00640994"/>
    <w:rsid w:val="006430A2"/>
    <w:rsid w:val="006434A7"/>
    <w:rsid w:val="00645C2B"/>
    <w:rsid w:val="00645D22"/>
    <w:rsid w:val="00651A08"/>
    <w:rsid w:val="006526C7"/>
    <w:rsid w:val="00654204"/>
    <w:rsid w:val="00657067"/>
    <w:rsid w:val="00670434"/>
    <w:rsid w:val="00672535"/>
    <w:rsid w:val="006761EC"/>
    <w:rsid w:val="00677285"/>
    <w:rsid w:val="00696A59"/>
    <w:rsid w:val="006A0C00"/>
    <w:rsid w:val="006A0DA7"/>
    <w:rsid w:val="006B06D2"/>
    <w:rsid w:val="006B3C4B"/>
    <w:rsid w:val="006B6B66"/>
    <w:rsid w:val="006B7F11"/>
    <w:rsid w:val="006C169F"/>
    <w:rsid w:val="006D233C"/>
    <w:rsid w:val="006E262B"/>
    <w:rsid w:val="006E311C"/>
    <w:rsid w:val="006E39C9"/>
    <w:rsid w:val="006E498F"/>
    <w:rsid w:val="006E5B82"/>
    <w:rsid w:val="006F6D3D"/>
    <w:rsid w:val="00715BEA"/>
    <w:rsid w:val="007343F2"/>
    <w:rsid w:val="00740EEA"/>
    <w:rsid w:val="00752795"/>
    <w:rsid w:val="007562D9"/>
    <w:rsid w:val="007602BA"/>
    <w:rsid w:val="00767946"/>
    <w:rsid w:val="007704BB"/>
    <w:rsid w:val="007720B5"/>
    <w:rsid w:val="00772A6C"/>
    <w:rsid w:val="00773470"/>
    <w:rsid w:val="00775A98"/>
    <w:rsid w:val="0078493D"/>
    <w:rsid w:val="00785BA3"/>
    <w:rsid w:val="00792FB4"/>
    <w:rsid w:val="00794804"/>
    <w:rsid w:val="007A03FF"/>
    <w:rsid w:val="007A3C69"/>
    <w:rsid w:val="007A59D0"/>
    <w:rsid w:val="007B33F1"/>
    <w:rsid w:val="007B6DDA"/>
    <w:rsid w:val="007B7099"/>
    <w:rsid w:val="007C0308"/>
    <w:rsid w:val="007C0849"/>
    <w:rsid w:val="007C2FF2"/>
    <w:rsid w:val="007C330D"/>
    <w:rsid w:val="007C757B"/>
    <w:rsid w:val="007D0DF0"/>
    <w:rsid w:val="007D2AC2"/>
    <w:rsid w:val="007D6232"/>
    <w:rsid w:val="007D6C80"/>
    <w:rsid w:val="007F1F99"/>
    <w:rsid w:val="007F768F"/>
    <w:rsid w:val="00804355"/>
    <w:rsid w:val="0080791D"/>
    <w:rsid w:val="00807DA9"/>
    <w:rsid w:val="00811FFF"/>
    <w:rsid w:val="008214CB"/>
    <w:rsid w:val="0082342A"/>
    <w:rsid w:val="00836367"/>
    <w:rsid w:val="00841CA5"/>
    <w:rsid w:val="00841D56"/>
    <w:rsid w:val="00852697"/>
    <w:rsid w:val="008641EA"/>
    <w:rsid w:val="00873447"/>
    <w:rsid w:val="00873603"/>
    <w:rsid w:val="00876E46"/>
    <w:rsid w:val="00881FCE"/>
    <w:rsid w:val="00892545"/>
    <w:rsid w:val="0089646A"/>
    <w:rsid w:val="0089671F"/>
    <w:rsid w:val="008A2C7D"/>
    <w:rsid w:val="008A31F8"/>
    <w:rsid w:val="008A39DB"/>
    <w:rsid w:val="008B1642"/>
    <w:rsid w:val="008B4805"/>
    <w:rsid w:val="008B5B8D"/>
    <w:rsid w:val="008B62E9"/>
    <w:rsid w:val="008B6524"/>
    <w:rsid w:val="008B6992"/>
    <w:rsid w:val="008C0CD8"/>
    <w:rsid w:val="008C19CB"/>
    <w:rsid w:val="008C4B23"/>
    <w:rsid w:val="008C563D"/>
    <w:rsid w:val="008C66D4"/>
    <w:rsid w:val="008D36F2"/>
    <w:rsid w:val="008E720B"/>
    <w:rsid w:val="008F6E2C"/>
    <w:rsid w:val="008F76B3"/>
    <w:rsid w:val="0090083F"/>
    <w:rsid w:val="00901470"/>
    <w:rsid w:val="0090418E"/>
    <w:rsid w:val="00905409"/>
    <w:rsid w:val="00905679"/>
    <w:rsid w:val="00911524"/>
    <w:rsid w:val="00911C96"/>
    <w:rsid w:val="0091262D"/>
    <w:rsid w:val="00913BB7"/>
    <w:rsid w:val="00913CEB"/>
    <w:rsid w:val="00922FB6"/>
    <w:rsid w:val="00923136"/>
    <w:rsid w:val="009243B8"/>
    <w:rsid w:val="00926FA5"/>
    <w:rsid w:val="009303D9"/>
    <w:rsid w:val="0093331E"/>
    <w:rsid w:val="009338A4"/>
    <w:rsid w:val="00933C64"/>
    <w:rsid w:val="00934298"/>
    <w:rsid w:val="00937815"/>
    <w:rsid w:val="0094397C"/>
    <w:rsid w:val="009525B3"/>
    <w:rsid w:val="009546F8"/>
    <w:rsid w:val="00954A24"/>
    <w:rsid w:val="00955EF7"/>
    <w:rsid w:val="00957C30"/>
    <w:rsid w:val="00962D98"/>
    <w:rsid w:val="00971170"/>
    <w:rsid w:val="00971213"/>
    <w:rsid w:val="00972203"/>
    <w:rsid w:val="009813D7"/>
    <w:rsid w:val="009819F2"/>
    <w:rsid w:val="00985CF0"/>
    <w:rsid w:val="009922FC"/>
    <w:rsid w:val="00996A24"/>
    <w:rsid w:val="009A0F8D"/>
    <w:rsid w:val="009A4607"/>
    <w:rsid w:val="009A7945"/>
    <w:rsid w:val="009B3457"/>
    <w:rsid w:val="009C1E57"/>
    <w:rsid w:val="009D28EB"/>
    <w:rsid w:val="009E0272"/>
    <w:rsid w:val="009E3461"/>
    <w:rsid w:val="009F09DB"/>
    <w:rsid w:val="009F0BAC"/>
    <w:rsid w:val="009F1B82"/>
    <w:rsid w:val="009F1D79"/>
    <w:rsid w:val="009F3AEB"/>
    <w:rsid w:val="009F6FAB"/>
    <w:rsid w:val="009F7182"/>
    <w:rsid w:val="00A022ED"/>
    <w:rsid w:val="00A02B1F"/>
    <w:rsid w:val="00A059B3"/>
    <w:rsid w:val="00A066E8"/>
    <w:rsid w:val="00A111B0"/>
    <w:rsid w:val="00A12C86"/>
    <w:rsid w:val="00A13D70"/>
    <w:rsid w:val="00A14A99"/>
    <w:rsid w:val="00A2144E"/>
    <w:rsid w:val="00A21B4F"/>
    <w:rsid w:val="00A27E58"/>
    <w:rsid w:val="00A31C39"/>
    <w:rsid w:val="00A31FBD"/>
    <w:rsid w:val="00A31FD8"/>
    <w:rsid w:val="00A32071"/>
    <w:rsid w:val="00A3244D"/>
    <w:rsid w:val="00A33584"/>
    <w:rsid w:val="00A35575"/>
    <w:rsid w:val="00A37159"/>
    <w:rsid w:val="00A37342"/>
    <w:rsid w:val="00A4754D"/>
    <w:rsid w:val="00A52FDD"/>
    <w:rsid w:val="00A54225"/>
    <w:rsid w:val="00A54716"/>
    <w:rsid w:val="00A60219"/>
    <w:rsid w:val="00A61401"/>
    <w:rsid w:val="00A7436C"/>
    <w:rsid w:val="00A82924"/>
    <w:rsid w:val="00A832D5"/>
    <w:rsid w:val="00A86A26"/>
    <w:rsid w:val="00A90C6E"/>
    <w:rsid w:val="00AA52A0"/>
    <w:rsid w:val="00AA564B"/>
    <w:rsid w:val="00AB74F6"/>
    <w:rsid w:val="00AC33C8"/>
    <w:rsid w:val="00AC7B6C"/>
    <w:rsid w:val="00AD1177"/>
    <w:rsid w:val="00AE3409"/>
    <w:rsid w:val="00AE4C38"/>
    <w:rsid w:val="00AE4D0F"/>
    <w:rsid w:val="00AE60E5"/>
    <w:rsid w:val="00AE6E80"/>
    <w:rsid w:val="00AF319A"/>
    <w:rsid w:val="00AF6057"/>
    <w:rsid w:val="00AF6DC0"/>
    <w:rsid w:val="00B0372F"/>
    <w:rsid w:val="00B10607"/>
    <w:rsid w:val="00B11A60"/>
    <w:rsid w:val="00B21552"/>
    <w:rsid w:val="00B22613"/>
    <w:rsid w:val="00B24D9B"/>
    <w:rsid w:val="00B3142E"/>
    <w:rsid w:val="00B3184D"/>
    <w:rsid w:val="00B36130"/>
    <w:rsid w:val="00B40737"/>
    <w:rsid w:val="00B411A1"/>
    <w:rsid w:val="00B44A76"/>
    <w:rsid w:val="00B503F3"/>
    <w:rsid w:val="00B514D7"/>
    <w:rsid w:val="00B52E56"/>
    <w:rsid w:val="00B56023"/>
    <w:rsid w:val="00B57116"/>
    <w:rsid w:val="00B651CC"/>
    <w:rsid w:val="00B65988"/>
    <w:rsid w:val="00B674A3"/>
    <w:rsid w:val="00B7088E"/>
    <w:rsid w:val="00B768D1"/>
    <w:rsid w:val="00B77C66"/>
    <w:rsid w:val="00B81706"/>
    <w:rsid w:val="00B82BCE"/>
    <w:rsid w:val="00B8419D"/>
    <w:rsid w:val="00B92011"/>
    <w:rsid w:val="00B92D4F"/>
    <w:rsid w:val="00B960F1"/>
    <w:rsid w:val="00B96DD4"/>
    <w:rsid w:val="00BA1025"/>
    <w:rsid w:val="00BA2D14"/>
    <w:rsid w:val="00BB2376"/>
    <w:rsid w:val="00BB2400"/>
    <w:rsid w:val="00BB3C60"/>
    <w:rsid w:val="00BB5046"/>
    <w:rsid w:val="00BB7DCE"/>
    <w:rsid w:val="00BC26D7"/>
    <w:rsid w:val="00BC2EDE"/>
    <w:rsid w:val="00BC3420"/>
    <w:rsid w:val="00BC7451"/>
    <w:rsid w:val="00BD670B"/>
    <w:rsid w:val="00BE4CBA"/>
    <w:rsid w:val="00BE7D3C"/>
    <w:rsid w:val="00BF304C"/>
    <w:rsid w:val="00BF5FF6"/>
    <w:rsid w:val="00BF6E36"/>
    <w:rsid w:val="00BF710B"/>
    <w:rsid w:val="00BF79E1"/>
    <w:rsid w:val="00C01676"/>
    <w:rsid w:val="00C0207F"/>
    <w:rsid w:val="00C029C0"/>
    <w:rsid w:val="00C159EF"/>
    <w:rsid w:val="00C16117"/>
    <w:rsid w:val="00C3075A"/>
    <w:rsid w:val="00C37D2C"/>
    <w:rsid w:val="00C41BE7"/>
    <w:rsid w:val="00C449C6"/>
    <w:rsid w:val="00C5378D"/>
    <w:rsid w:val="00C75F51"/>
    <w:rsid w:val="00C7606F"/>
    <w:rsid w:val="00C76237"/>
    <w:rsid w:val="00C76391"/>
    <w:rsid w:val="00C77740"/>
    <w:rsid w:val="00C857F6"/>
    <w:rsid w:val="00C86071"/>
    <w:rsid w:val="00C919A4"/>
    <w:rsid w:val="00C933FA"/>
    <w:rsid w:val="00C94AFC"/>
    <w:rsid w:val="00CA21B2"/>
    <w:rsid w:val="00CA4392"/>
    <w:rsid w:val="00CB5EF9"/>
    <w:rsid w:val="00CC393F"/>
    <w:rsid w:val="00CD6FAC"/>
    <w:rsid w:val="00CE1F4A"/>
    <w:rsid w:val="00CF142D"/>
    <w:rsid w:val="00CF351F"/>
    <w:rsid w:val="00CF6984"/>
    <w:rsid w:val="00D000BB"/>
    <w:rsid w:val="00D03002"/>
    <w:rsid w:val="00D1234A"/>
    <w:rsid w:val="00D154C2"/>
    <w:rsid w:val="00D1551B"/>
    <w:rsid w:val="00D15D2C"/>
    <w:rsid w:val="00D16F75"/>
    <w:rsid w:val="00D21407"/>
    <w:rsid w:val="00D2176E"/>
    <w:rsid w:val="00D236D2"/>
    <w:rsid w:val="00D23890"/>
    <w:rsid w:val="00D27248"/>
    <w:rsid w:val="00D348B0"/>
    <w:rsid w:val="00D34DD6"/>
    <w:rsid w:val="00D42535"/>
    <w:rsid w:val="00D440B6"/>
    <w:rsid w:val="00D45250"/>
    <w:rsid w:val="00D46B7A"/>
    <w:rsid w:val="00D46F71"/>
    <w:rsid w:val="00D5720B"/>
    <w:rsid w:val="00D632BE"/>
    <w:rsid w:val="00D70FC6"/>
    <w:rsid w:val="00D72D06"/>
    <w:rsid w:val="00D73D27"/>
    <w:rsid w:val="00D7522C"/>
    <w:rsid w:val="00D7536F"/>
    <w:rsid w:val="00D75838"/>
    <w:rsid w:val="00D76668"/>
    <w:rsid w:val="00D818CC"/>
    <w:rsid w:val="00D828CD"/>
    <w:rsid w:val="00D87814"/>
    <w:rsid w:val="00D92DA8"/>
    <w:rsid w:val="00DA1330"/>
    <w:rsid w:val="00DA41C6"/>
    <w:rsid w:val="00DA4282"/>
    <w:rsid w:val="00DA42B5"/>
    <w:rsid w:val="00DA6941"/>
    <w:rsid w:val="00DA7760"/>
    <w:rsid w:val="00DB2A28"/>
    <w:rsid w:val="00DB32A3"/>
    <w:rsid w:val="00DB7517"/>
    <w:rsid w:val="00DC0783"/>
    <w:rsid w:val="00DC39CC"/>
    <w:rsid w:val="00DC3D23"/>
    <w:rsid w:val="00DC4F7E"/>
    <w:rsid w:val="00DC5ACB"/>
    <w:rsid w:val="00DC7AA8"/>
    <w:rsid w:val="00DC7EBE"/>
    <w:rsid w:val="00DD3404"/>
    <w:rsid w:val="00DE52DA"/>
    <w:rsid w:val="00DE7938"/>
    <w:rsid w:val="00DE7D9B"/>
    <w:rsid w:val="00DF4810"/>
    <w:rsid w:val="00E041B3"/>
    <w:rsid w:val="00E04329"/>
    <w:rsid w:val="00E048D1"/>
    <w:rsid w:val="00E05EAE"/>
    <w:rsid w:val="00E07383"/>
    <w:rsid w:val="00E07F92"/>
    <w:rsid w:val="00E12FD1"/>
    <w:rsid w:val="00E1513D"/>
    <w:rsid w:val="00E1582C"/>
    <w:rsid w:val="00E165BC"/>
    <w:rsid w:val="00E225C7"/>
    <w:rsid w:val="00E424EC"/>
    <w:rsid w:val="00E437EA"/>
    <w:rsid w:val="00E542AA"/>
    <w:rsid w:val="00E61E12"/>
    <w:rsid w:val="00E6247D"/>
    <w:rsid w:val="00E62D5A"/>
    <w:rsid w:val="00E63D13"/>
    <w:rsid w:val="00E73477"/>
    <w:rsid w:val="00E73D4A"/>
    <w:rsid w:val="00E7596C"/>
    <w:rsid w:val="00E759D9"/>
    <w:rsid w:val="00E767E5"/>
    <w:rsid w:val="00E865CB"/>
    <w:rsid w:val="00E878F2"/>
    <w:rsid w:val="00E90674"/>
    <w:rsid w:val="00E931A2"/>
    <w:rsid w:val="00EB1319"/>
    <w:rsid w:val="00EB4EA2"/>
    <w:rsid w:val="00EC22EC"/>
    <w:rsid w:val="00EC27B7"/>
    <w:rsid w:val="00EC621A"/>
    <w:rsid w:val="00ED0149"/>
    <w:rsid w:val="00ED11C8"/>
    <w:rsid w:val="00ED2501"/>
    <w:rsid w:val="00ED73D9"/>
    <w:rsid w:val="00EE0ABD"/>
    <w:rsid w:val="00EE2BC2"/>
    <w:rsid w:val="00EE70F2"/>
    <w:rsid w:val="00EE77F1"/>
    <w:rsid w:val="00EF7DE3"/>
    <w:rsid w:val="00F0174B"/>
    <w:rsid w:val="00F03103"/>
    <w:rsid w:val="00F03D1F"/>
    <w:rsid w:val="00F04688"/>
    <w:rsid w:val="00F15EF5"/>
    <w:rsid w:val="00F15F58"/>
    <w:rsid w:val="00F271DE"/>
    <w:rsid w:val="00F31D72"/>
    <w:rsid w:val="00F328CD"/>
    <w:rsid w:val="00F3309F"/>
    <w:rsid w:val="00F627DA"/>
    <w:rsid w:val="00F6447E"/>
    <w:rsid w:val="00F64C15"/>
    <w:rsid w:val="00F67B63"/>
    <w:rsid w:val="00F70A7E"/>
    <w:rsid w:val="00F7288F"/>
    <w:rsid w:val="00F75B0E"/>
    <w:rsid w:val="00F77631"/>
    <w:rsid w:val="00F847A6"/>
    <w:rsid w:val="00F8546F"/>
    <w:rsid w:val="00F9441B"/>
    <w:rsid w:val="00F969B7"/>
    <w:rsid w:val="00F97855"/>
    <w:rsid w:val="00FA27D0"/>
    <w:rsid w:val="00FA34A4"/>
    <w:rsid w:val="00FA4C32"/>
    <w:rsid w:val="00FA5736"/>
    <w:rsid w:val="00FB279E"/>
    <w:rsid w:val="00FB663A"/>
    <w:rsid w:val="00FC17A0"/>
    <w:rsid w:val="00FC629D"/>
    <w:rsid w:val="00FD36C3"/>
    <w:rsid w:val="00FE056A"/>
    <w:rsid w:val="00FE19E4"/>
    <w:rsid w:val="00FE30EF"/>
    <w:rsid w:val="00FE4F2F"/>
    <w:rsid w:val="00FE7114"/>
    <w:rsid w:val="00FF0BEA"/>
    <w:rsid w:val="00FF1B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3E699FD"/>
  <w14:defaultImageDpi w14:val="32767"/>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6" w:uiPriority="3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rsid w:val="00AF6DC0"/>
    <w:rPr>
      <w:color w:val="0563C1" w:themeColor="hyperlink"/>
      <w:u w:val="single"/>
    </w:rPr>
  </w:style>
  <w:style w:type="character" w:customStyle="1" w:styleId="UnresolvedMention1">
    <w:name w:val="Unresolved Mention1"/>
    <w:basedOn w:val="DefaultParagraphFont"/>
    <w:uiPriority w:val="99"/>
    <w:semiHidden/>
    <w:unhideWhenUsed/>
    <w:rsid w:val="00AF6DC0"/>
    <w:rPr>
      <w:color w:val="605E5C"/>
      <w:shd w:val="clear" w:color="auto" w:fill="E1DFDD"/>
    </w:rPr>
  </w:style>
  <w:style w:type="table" w:styleId="TableGrid">
    <w:name w:val="Table Grid"/>
    <w:basedOn w:val="TableNormal"/>
    <w:uiPriority w:val="59"/>
    <w:rsid w:val="00236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rsid w:val="00236215"/>
    <w:pPr>
      <w:tabs>
        <w:tab w:val="right" w:leader="dot" w:pos="8221"/>
      </w:tabs>
      <w:spacing w:after="60" w:line="300" w:lineRule="atLeast"/>
      <w:jc w:val="left"/>
    </w:pPr>
    <w:rPr>
      <w:rFonts w:eastAsia="Times New Roman"/>
      <w:lang w:val="en-AU"/>
    </w:rPr>
  </w:style>
  <w:style w:type="paragraph" w:styleId="ListParagraph">
    <w:name w:val="List Paragraph"/>
    <w:basedOn w:val="Normal"/>
    <w:uiPriority w:val="34"/>
    <w:qFormat/>
    <w:rsid w:val="009A7945"/>
    <w:pPr>
      <w:ind w:left="720"/>
      <w:contextualSpacing/>
    </w:pPr>
  </w:style>
  <w:style w:type="table" w:styleId="PlainTable5">
    <w:name w:val="Plain Table 5"/>
    <w:basedOn w:val="TableNormal"/>
    <w:uiPriority w:val="45"/>
    <w:rsid w:val="00A4754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A4754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A4754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334555"/>
    <w:rPr>
      <w:color w:val="808080"/>
    </w:rPr>
  </w:style>
  <w:style w:type="paragraph" w:styleId="NormalWeb">
    <w:name w:val="Normal (Web)"/>
    <w:basedOn w:val="Normal"/>
    <w:uiPriority w:val="99"/>
    <w:unhideWhenUsed/>
    <w:rsid w:val="00772A6C"/>
    <w:pPr>
      <w:spacing w:before="100" w:beforeAutospacing="1" w:after="100" w:afterAutospacing="1"/>
      <w:jc w:val="left"/>
    </w:pPr>
    <w:rPr>
      <w:rFonts w:eastAsia="Times New Roman"/>
      <w:sz w:val="24"/>
      <w:szCs w:val="24"/>
    </w:rPr>
  </w:style>
  <w:style w:type="table" w:customStyle="1" w:styleId="GridTable1Light-Accent11">
    <w:name w:val="Grid Table 1 Light - Accent 11"/>
    <w:basedOn w:val="TableNormal"/>
    <w:next w:val="GridTable1Light-Accent1"/>
    <w:uiPriority w:val="46"/>
    <w:rsid w:val="00E63D13"/>
    <w:rPr>
      <w:rFonts w:eastAsia="Times New Roman"/>
      <w:lang w:val="en-AU" w:eastAsia="en-AU"/>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63D13"/>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eGrid12">
    <w:name w:val="Table Grid12"/>
    <w:basedOn w:val="TableNormal"/>
    <w:next w:val="TableGrid"/>
    <w:uiPriority w:val="39"/>
    <w:rsid w:val="005F27E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hDTable">
    <w:name w:val="PhD Table"/>
    <w:basedOn w:val="TableNormal"/>
    <w:uiPriority w:val="99"/>
    <w:rsid w:val="005F27E2"/>
    <w:rPr>
      <w:rFonts w:eastAsia="Times New Roman"/>
      <w:lang w:val="en-AU" w:eastAsia="en-AU"/>
    </w:rPr>
    <w:tblPr>
      <w:tblBorders>
        <w:bottom w:val="single" w:sz="4" w:space="0" w:color="auto"/>
      </w:tblBorders>
    </w:tblPr>
    <w:tblStylePr w:type="firstRow">
      <w:pPr>
        <w:wordWrap/>
        <w:jc w:val="center"/>
      </w:pPr>
      <w:rPr>
        <w:b/>
      </w:rPr>
      <w:tblPr>
        <w:jc w:val="center"/>
      </w:tblPr>
      <w:trPr>
        <w:tblHeader/>
        <w:jc w:val="center"/>
      </w:trPr>
      <w:tcPr>
        <w:tcBorders>
          <w:top w:val="single" w:sz="4" w:space="0" w:color="auto"/>
          <w:bottom w:val="single" w:sz="4" w:space="0" w:color="auto"/>
        </w:tcBorders>
        <w:vAlign w:val="center"/>
      </w:tcPr>
    </w:tblStylePr>
    <w:tblStylePr w:type="lastRow">
      <w:tblPr/>
      <w:tcPr>
        <w:tcBorders>
          <w:bottom w:val="single" w:sz="4" w:space="0" w:color="auto"/>
        </w:tcBorders>
      </w:tcPr>
    </w:tblStylePr>
  </w:style>
  <w:style w:type="character" w:styleId="UnresolvedMention">
    <w:name w:val="Unresolved Mention"/>
    <w:basedOn w:val="DefaultParagraphFont"/>
    <w:uiPriority w:val="99"/>
    <w:semiHidden/>
    <w:unhideWhenUsed/>
    <w:rsid w:val="002F4EB7"/>
    <w:rPr>
      <w:color w:val="605E5C"/>
      <w:shd w:val="clear" w:color="auto" w:fill="E1DFDD"/>
    </w:rPr>
  </w:style>
  <w:style w:type="character" w:styleId="Strong">
    <w:name w:val="Strong"/>
    <w:basedOn w:val="DefaultParagraphFont"/>
    <w:uiPriority w:val="22"/>
    <w:qFormat/>
    <w:rsid w:val="000541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40150">
      <w:bodyDiv w:val="1"/>
      <w:marLeft w:val="0"/>
      <w:marRight w:val="0"/>
      <w:marTop w:val="0"/>
      <w:marBottom w:val="0"/>
      <w:divBdr>
        <w:top w:val="none" w:sz="0" w:space="0" w:color="auto"/>
        <w:left w:val="none" w:sz="0" w:space="0" w:color="auto"/>
        <w:bottom w:val="none" w:sz="0" w:space="0" w:color="auto"/>
        <w:right w:val="none" w:sz="0" w:space="0" w:color="auto"/>
      </w:divBdr>
    </w:div>
    <w:div w:id="83384185">
      <w:bodyDiv w:val="1"/>
      <w:marLeft w:val="0"/>
      <w:marRight w:val="0"/>
      <w:marTop w:val="0"/>
      <w:marBottom w:val="0"/>
      <w:divBdr>
        <w:top w:val="none" w:sz="0" w:space="0" w:color="auto"/>
        <w:left w:val="none" w:sz="0" w:space="0" w:color="auto"/>
        <w:bottom w:val="none" w:sz="0" w:space="0" w:color="auto"/>
        <w:right w:val="none" w:sz="0" w:space="0" w:color="auto"/>
      </w:divBdr>
      <w:divsChild>
        <w:div w:id="1446999605">
          <w:marLeft w:val="640"/>
          <w:marRight w:val="0"/>
          <w:marTop w:val="0"/>
          <w:marBottom w:val="0"/>
          <w:divBdr>
            <w:top w:val="none" w:sz="0" w:space="0" w:color="auto"/>
            <w:left w:val="none" w:sz="0" w:space="0" w:color="auto"/>
            <w:bottom w:val="none" w:sz="0" w:space="0" w:color="auto"/>
            <w:right w:val="none" w:sz="0" w:space="0" w:color="auto"/>
          </w:divBdr>
        </w:div>
        <w:div w:id="2130586108">
          <w:marLeft w:val="640"/>
          <w:marRight w:val="0"/>
          <w:marTop w:val="0"/>
          <w:marBottom w:val="0"/>
          <w:divBdr>
            <w:top w:val="none" w:sz="0" w:space="0" w:color="auto"/>
            <w:left w:val="none" w:sz="0" w:space="0" w:color="auto"/>
            <w:bottom w:val="none" w:sz="0" w:space="0" w:color="auto"/>
            <w:right w:val="none" w:sz="0" w:space="0" w:color="auto"/>
          </w:divBdr>
        </w:div>
        <w:div w:id="1338733421">
          <w:marLeft w:val="640"/>
          <w:marRight w:val="0"/>
          <w:marTop w:val="0"/>
          <w:marBottom w:val="0"/>
          <w:divBdr>
            <w:top w:val="none" w:sz="0" w:space="0" w:color="auto"/>
            <w:left w:val="none" w:sz="0" w:space="0" w:color="auto"/>
            <w:bottom w:val="none" w:sz="0" w:space="0" w:color="auto"/>
            <w:right w:val="none" w:sz="0" w:space="0" w:color="auto"/>
          </w:divBdr>
        </w:div>
        <w:div w:id="909583567">
          <w:marLeft w:val="640"/>
          <w:marRight w:val="0"/>
          <w:marTop w:val="0"/>
          <w:marBottom w:val="0"/>
          <w:divBdr>
            <w:top w:val="none" w:sz="0" w:space="0" w:color="auto"/>
            <w:left w:val="none" w:sz="0" w:space="0" w:color="auto"/>
            <w:bottom w:val="none" w:sz="0" w:space="0" w:color="auto"/>
            <w:right w:val="none" w:sz="0" w:space="0" w:color="auto"/>
          </w:divBdr>
        </w:div>
        <w:div w:id="1033535096">
          <w:marLeft w:val="640"/>
          <w:marRight w:val="0"/>
          <w:marTop w:val="0"/>
          <w:marBottom w:val="0"/>
          <w:divBdr>
            <w:top w:val="none" w:sz="0" w:space="0" w:color="auto"/>
            <w:left w:val="none" w:sz="0" w:space="0" w:color="auto"/>
            <w:bottom w:val="none" w:sz="0" w:space="0" w:color="auto"/>
            <w:right w:val="none" w:sz="0" w:space="0" w:color="auto"/>
          </w:divBdr>
        </w:div>
        <w:div w:id="1698506201">
          <w:marLeft w:val="640"/>
          <w:marRight w:val="0"/>
          <w:marTop w:val="0"/>
          <w:marBottom w:val="0"/>
          <w:divBdr>
            <w:top w:val="none" w:sz="0" w:space="0" w:color="auto"/>
            <w:left w:val="none" w:sz="0" w:space="0" w:color="auto"/>
            <w:bottom w:val="none" w:sz="0" w:space="0" w:color="auto"/>
            <w:right w:val="none" w:sz="0" w:space="0" w:color="auto"/>
          </w:divBdr>
        </w:div>
        <w:div w:id="370498293">
          <w:marLeft w:val="640"/>
          <w:marRight w:val="0"/>
          <w:marTop w:val="0"/>
          <w:marBottom w:val="0"/>
          <w:divBdr>
            <w:top w:val="none" w:sz="0" w:space="0" w:color="auto"/>
            <w:left w:val="none" w:sz="0" w:space="0" w:color="auto"/>
            <w:bottom w:val="none" w:sz="0" w:space="0" w:color="auto"/>
            <w:right w:val="none" w:sz="0" w:space="0" w:color="auto"/>
          </w:divBdr>
        </w:div>
        <w:div w:id="496502635">
          <w:marLeft w:val="640"/>
          <w:marRight w:val="0"/>
          <w:marTop w:val="0"/>
          <w:marBottom w:val="0"/>
          <w:divBdr>
            <w:top w:val="none" w:sz="0" w:space="0" w:color="auto"/>
            <w:left w:val="none" w:sz="0" w:space="0" w:color="auto"/>
            <w:bottom w:val="none" w:sz="0" w:space="0" w:color="auto"/>
            <w:right w:val="none" w:sz="0" w:space="0" w:color="auto"/>
          </w:divBdr>
        </w:div>
        <w:div w:id="249244223">
          <w:marLeft w:val="640"/>
          <w:marRight w:val="0"/>
          <w:marTop w:val="0"/>
          <w:marBottom w:val="0"/>
          <w:divBdr>
            <w:top w:val="none" w:sz="0" w:space="0" w:color="auto"/>
            <w:left w:val="none" w:sz="0" w:space="0" w:color="auto"/>
            <w:bottom w:val="none" w:sz="0" w:space="0" w:color="auto"/>
            <w:right w:val="none" w:sz="0" w:space="0" w:color="auto"/>
          </w:divBdr>
        </w:div>
        <w:div w:id="1082409317">
          <w:marLeft w:val="640"/>
          <w:marRight w:val="0"/>
          <w:marTop w:val="0"/>
          <w:marBottom w:val="0"/>
          <w:divBdr>
            <w:top w:val="none" w:sz="0" w:space="0" w:color="auto"/>
            <w:left w:val="none" w:sz="0" w:space="0" w:color="auto"/>
            <w:bottom w:val="none" w:sz="0" w:space="0" w:color="auto"/>
            <w:right w:val="none" w:sz="0" w:space="0" w:color="auto"/>
          </w:divBdr>
        </w:div>
        <w:div w:id="1291011916">
          <w:marLeft w:val="640"/>
          <w:marRight w:val="0"/>
          <w:marTop w:val="0"/>
          <w:marBottom w:val="0"/>
          <w:divBdr>
            <w:top w:val="none" w:sz="0" w:space="0" w:color="auto"/>
            <w:left w:val="none" w:sz="0" w:space="0" w:color="auto"/>
            <w:bottom w:val="none" w:sz="0" w:space="0" w:color="auto"/>
            <w:right w:val="none" w:sz="0" w:space="0" w:color="auto"/>
          </w:divBdr>
        </w:div>
        <w:div w:id="1248072326">
          <w:marLeft w:val="640"/>
          <w:marRight w:val="0"/>
          <w:marTop w:val="0"/>
          <w:marBottom w:val="0"/>
          <w:divBdr>
            <w:top w:val="none" w:sz="0" w:space="0" w:color="auto"/>
            <w:left w:val="none" w:sz="0" w:space="0" w:color="auto"/>
            <w:bottom w:val="none" w:sz="0" w:space="0" w:color="auto"/>
            <w:right w:val="none" w:sz="0" w:space="0" w:color="auto"/>
          </w:divBdr>
        </w:div>
        <w:div w:id="1029987291">
          <w:marLeft w:val="640"/>
          <w:marRight w:val="0"/>
          <w:marTop w:val="0"/>
          <w:marBottom w:val="0"/>
          <w:divBdr>
            <w:top w:val="none" w:sz="0" w:space="0" w:color="auto"/>
            <w:left w:val="none" w:sz="0" w:space="0" w:color="auto"/>
            <w:bottom w:val="none" w:sz="0" w:space="0" w:color="auto"/>
            <w:right w:val="none" w:sz="0" w:space="0" w:color="auto"/>
          </w:divBdr>
        </w:div>
      </w:divsChild>
    </w:div>
    <w:div w:id="92367048">
      <w:bodyDiv w:val="1"/>
      <w:marLeft w:val="0"/>
      <w:marRight w:val="0"/>
      <w:marTop w:val="0"/>
      <w:marBottom w:val="0"/>
      <w:divBdr>
        <w:top w:val="none" w:sz="0" w:space="0" w:color="auto"/>
        <w:left w:val="none" w:sz="0" w:space="0" w:color="auto"/>
        <w:bottom w:val="none" w:sz="0" w:space="0" w:color="auto"/>
        <w:right w:val="none" w:sz="0" w:space="0" w:color="auto"/>
      </w:divBdr>
    </w:div>
    <w:div w:id="217476048">
      <w:bodyDiv w:val="1"/>
      <w:marLeft w:val="0"/>
      <w:marRight w:val="0"/>
      <w:marTop w:val="0"/>
      <w:marBottom w:val="0"/>
      <w:divBdr>
        <w:top w:val="none" w:sz="0" w:space="0" w:color="auto"/>
        <w:left w:val="none" w:sz="0" w:space="0" w:color="auto"/>
        <w:bottom w:val="none" w:sz="0" w:space="0" w:color="auto"/>
        <w:right w:val="none" w:sz="0" w:space="0" w:color="auto"/>
      </w:divBdr>
      <w:divsChild>
        <w:div w:id="1848136824">
          <w:marLeft w:val="640"/>
          <w:marRight w:val="0"/>
          <w:marTop w:val="0"/>
          <w:marBottom w:val="0"/>
          <w:divBdr>
            <w:top w:val="none" w:sz="0" w:space="0" w:color="auto"/>
            <w:left w:val="none" w:sz="0" w:space="0" w:color="auto"/>
            <w:bottom w:val="none" w:sz="0" w:space="0" w:color="auto"/>
            <w:right w:val="none" w:sz="0" w:space="0" w:color="auto"/>
          </w:divBdr>
        </w:div>
        <w:div w:id="707608898">
          <w:marLeft w:val="640"/>
          <w:marRight w:val="0"/>
          <w:marTop w:val="0"/>
          <w:marBottom w:val="0"/>
          <w:divBdr>
            <w:top w:val="none" w:sz="0" w:space="0" w:color="auto"/>
            <w:left w:val="none" w:sz="0" w:space="0" w:color="auto"/>
            <w:bottom w:val="none" w:sz="0" w:space="0" w:color="auto"/>
            <w:right w:val="none" w:sz="0" w:space="0" w:color="auto"/>
          </w:divBdr>
        </w:div>
        <w:div w:id="375084264">
          <w:marLeft w:val="640"/>
          <w:marRight w:val="0"/>
          <w:marTop w:val="0"/>
          <w:marBottom w:val="0"/>
          <w:divBdr>
            <w:top w:val="none" w:sz="0" w:space="0" w:color="auto"/>
            <w:left w:val="none" w:sz="0" w:space="0" w:color="auto"/>
            <w:bottom w:val="none" w:sz="0" w:space="0" w:color="auto"/>
            <w:right w:val="none" w:sz="0" w:space="0" w:color="auto"/>
          </w:divBdr>
        </w:div>
        <w:div w:id="1597247853">
          <w:marLeft w:val="640"/>
          <w:marRight w:val="0"/>
          <w:marTop w:val="0"/>
          <w:marBottom w:val="0"/>
          <w:divBdr>
            <w:top w:val="none" w:sz="0" w:space="0" w:color="auto"/>
            <w:left w:val="none" w:sz="0" w:space="0" w:color="auto"/>
            <w:bottom w:val="none" w:sz="0" w:space="0" w:color="auto"/>
            <w:right w:val="none" w:sz="0" w:space="0" w:color="auto"/>
          </w:divBdr>
        </w:div>
        <w:div w:id="2109735350">
          <w:marLeft w:val="640"/>
          <w:marRight w:val="0"/>
          <w:marTop w:val="0"/>
          <w:marBottom w:val="0"/>
          <w:divBdr>
            <w:top w:val="none" w:sz="0" w:space="0" w:color="auto"/>
            <w:left w:val="none" w:sz="0" w:space="0" w:color="auto"/>
            <w:bottom w:val="none" w:sz="0" w:space="0" w:color="auto"/>
            <w:right w:val="none" w:sz="0" w:space="0" w:color="auto"/>
          </w:divBdr>
        </w:div>
        <w:div w:id="608706268">
          <w:marLeft w:val="640"/>
          <w:marRight w:val="0"/>
          <w:marTop w:val="0"/>
          <w:marBottom w:val="0"/>
          <w:divBdr>
            <w:top w:val="none" w:sz="0" w:space="0" w:color="auto"/>
            <w:left w:val="none" w:sz="0" w:space="0" w:color="auto"/>
            <w:bottom w:val="none" w:sz="0" w:space="0" w:color="auto"/>
            <w:right w:val="none" w:sz="0" w:space="0" w:color="auto"/>
          </w:divBdr>
        </w:div>
        <w:div w:id="1765572041">
          <w:marLeft w:val="640"/>
          <w:marRight w:val="0"/>
          <w:marTop w:val="0"/>
          <w:marBottom w:val="0"/>
          <w:divBdr>
            <w:top w:val="none" w:sz="0" w:space="0" w:color="auto"/>
            <w:left w:val="none" w:sz="0" w:space="0" w:color="auto"/>
            <w:bottom w:val="none" w:sz="0" w:space="0" w:color="auto"/>
            <w:right w:val="none" w:sz="0" w:space="0" w:color="auto"/>
          </w:divBdr>
        </w:div>
        <w:div w:id="1004287978">
          <w:marLeft w:val="640"/>
          <w:marRight w:val="0"/>
          <w:marTop w:val="0"/>
          <w:marBottom w:val="0"/>
          <w:divBdr>
            <w:top w:val="none" w:sz="0" w:space="0" w:color="auto"/>
            <w:left w:val="none" w:sz="0" w:space="0" w:color="auto"/>
            <w:bottom w:val="none" w:sz="0" w:space="0" w:color="auto"/>
            <w:right w:val="none" w:sz="0" w:space="0" w:color="auto"/>
          </w:divBdr>
        </w:div>
        <w:div w:id="427041708">
          <w:marLeft w:val="640"/>
          <w:marRight w:val="0"/>
          <w:marTop w:val="0"/>
          <w:marBottom w:val="0"/>
          <w:divBdr>
            <w:top w:val="none" w:sz="0" w:space="0" w:color="auto"/>
            <w:left w:val="none" w:sz="0" w:space="0" w:color="auto"/>
            <w:bottom w:val="none" w:sz="0" w:space="0" w:color="auto"/>
            <w:right w:val="none" w:sz="0" w:space="0" w:color="auto"/>
          </w:divBdr>
        </w:div>
        <w:div w:id="149758819">
          <w:marLeft w:val="640"/>
          <w:marRight w:val="0"/>
          <w:marTop w:val="0"/>
          <w:marBottom w:val="0"/>
          <w:divBdr>
            <w:top w:val="none" w:sz="0" w:space="0" w:color="auto"/>
            <w:left w:val="none" w:sz="0" w:space="0" w:color="auto"/>
            <w:bottom w:val="none" w:sz="0" w:space="0" w:color="auto"/>
            <w:right w:val="none" w:sz="0" w:space="0" w:color="auto"/>
          </w:divBdr>
        </w:div>
      </w:divsChild>
    </w:div>
    <w:div w:id="437600763">
      <w:bodyDiv w:val="1"/>
      <w:marLeft w:val="0"/>
      <w:marRight w:val="0"/>
      <w:marTop w:val="0"/>
      <w:marBottom w:val="0"/>
      <w:divBdr>
        <w:top w:val="none" w:sz="0" w:space="0" w:color="auto"/>
        <w:left w:val="none" w:sz="0" w:space="0" w:color="auto"/>
        <w:bottom w:val="none" w:sz="0" w:space="0" w:color="auto"/>
        <w:right w:val="none" w:sz="0" w:space="0" w:color="auto"/>
      </w:divBdr>
      <w:divsChild>
        <w:div w:id="2050643345">
          <w:marLeft w:val="640"/>
          <w:marRight w:val="0"/>
          <w:marTop w:val="0"/>
          <w:marBottom w:val="0"/>
          <w:divBdr>
            <w:top w:val="none" w:sz="0" w:space="0" w:color="auto"/>
            <w:left w:val="none" w:sz="0" w:space="0" w:color="auto"/>
            <w:bottom w:val="none" w:sz="0" w:space="0" w:color="auto"/>
            <w:right w:val="none" w:sz="0" w:space="0" w:color="auto"/>
          </w:divBdr>
        </w:div>
        <w:div w:id="900096787">
          <w:marLeft w:val="640"/>
          <w:marRight w:val="0"/>
          <w:marTop w:val="0"/>
          <w:marBottom w:val="0"/>
          <w:divBdr>
            <w:top w:val="none" w:sz="0" w:space="0" w:color="auto"/>
            <w:left w:val="none" w:sz="0" w:space="0" w:color="auto"/>
            <w:bottom w:val="none" w:sz="0" w:space="0" w:color="auto"/>
            <w:right w:val="none" w:sz="0" w:space="0" w:color="auto"/>
          </w:divBdr>
        </w:div>
        <w:div w:id="1952323655">
          <w:marLeft w:val="640"/>
          <w:marRight w:val="0"/>
          <w:marTop w:val="0"/>
          <w:marBottom w:val="0"/>
          <w:divBdr>
            <w:top w:val="none" w:sz="0" w:space="0" w:color="auto"/>
            <w:left w:val="none" w:sz="0" w:space="0" w:color="auto"/>
            <w:bottom w:val="none" w:sz="0" w:space="0" w:color="auto"/>
            <w:right w:val="none" w:sz="0" w:space="0" w:color="auto"/>
          </w:divBdr>
        </w:div>
        <w:div w:id="1798335869">
          <w:marLeft w:val="640"/>
          <w:marRight w:val="0"/>
          <w:marTop w:val="0"/>
          <w:marBottom w:val="0"/>
          <w:divBdr>
            <w:top w:val="none" w:sz="0" w:space="0" w:color="auto"/>
            <w:left w:val="none" w:sz="0" w:space="0" w:color="auto"/>
            <w:bottom w:val="none" w:sz="0" w:space="0" w:color="auto"/>
            <w:right w:val="none" w:sz="0" w:space="0" w:color="auto"/>
          </w:divBdr>
        </w:div>
        <w:div w:id="52969801">
          <w:marLeft w:val="640"/>
          <w:marRight w:val="0"/>
          <w:marTop w:val="0"/>
          <w:marBottom w:val="0"/>
          <w:divBdr>
            <w:top w:val="none" w:sz="0" w:space="0" w:color="auto"/>
            <w:left w:val="none" w:sz="0" w:space="0" w:color="auto"/>
            <w:bottom w:val="none" w:sz="0" w:space="0" w:color="auto"/>
            <w:right w:val="none" w:sz="0" w:space="0" w:color="auto"/>
          </w:divBdr>
        </w:div>
        <w:div w:id="933709333">
          <w:marLeft w:val="640"/>
          <w:marRight w:val="0"/>
          <w:marTop w:val="0"/>
          <w:marBottom w:val="0"/>
          <w:divBdr>
            <w:top w:val="none" w:sz="0" w:space="0" w:color="auto"/>
            <w:left w:val="none" w:sz="0" w:space="0" w:color="auto"/>
            <w:bottom w:val="none" w:sz="0" w:space="0" w:color="auto"/>
            <w:right w:val="none" w:sz="0" w:space="0" w:color="auto"/>
          </w:divBdr>
        </w:div>
        <w:div w:id="718018889">
          <w:marLeft w:val="640"/>
          <w:marRight w:val="0"/>
          <w:marTop w:val="0"/>
          <w:marBottom w:val="0"/>
          <w:divBdr>
            <w:top w:val="none" w:sz="0" w:space="0" w:color="auto"/>
            <w:left w:val="none" w:sz="0" w:space="0" w:color="auto"/>
            <w:bottom w:val="none" w:sz="0" w:space="0" w:color="auto"/>
            <w:right w:val="none" w:sz="0" w:space="0" w:color="auto"/>
          </w:divBdr>
        </w:div>
        <w:div w:id="132674187">
          <w:marLeft w:val="640"/>
          <w:marRight w:val="0"/>
          <w:marTop w:val="0"/>
          <w:marBottom w:val="0"/>
          <w:divBdr>
            <w:top w:val="none" w:sz="0" w:space="0" w:color="auto"/>
            <w:left w:val="none" w:sz="0" w:space="0" w:color="auto"/>
            <w:bottom w:val="none" w:sz="0" w:space="0" w:color="auto"/>
            <w:right w:val="none" w:sz="0" w:space="0" w:color="auto"/>
          </w:divBdr>
        </w:div>
        <w:div w:id="1455903846">
          <w:marLeft w:val="640"/>
          <w:marRight w:val="0"/>
          <w:marTop w:val="0"/>
          <w:marBottom w:val="0"/>
          <w:divBdr>
            <w:top w:val="none" w:sz="0" w:space="0" w:color="auto"/>
            <w:left w:val="none" w:sz="0" w:space="0" w:color="auto"/>
            <w:bottom w:val="none" w:sz="0" w:space="0" w:color="auto"/>
            <w:right w:val="none" w:sz="0" w:space="0" w:color="auto"/>
          </w:divBdr>
        </w:div>
        <w:div w:id="1744450272">
          <w:marLeft w:val="640"/>
          <w:marRight w:val="0"/>
          <w:marTop w:val="0"/>
          <w:marBottom w:val="0"/>
          <w:divBdr>
            <w:top w:val="none" w:sz="0" w:space="0" w:color="auto"/>
            <w:left w:val="none" w:sz="0" w:space="0" w:color="auto"/>
            <w:bottom w:val="none" w:sz="0" w:space="0" w:color="auto"/>
            <w:right w:val="none" w:sz="0" w:space="0" w:color="auto"/>
          </w:divBdr>
        </w:div>
        <w:div w:id="1299411363">
          <w:marLeft w:val="640"/>
          <w:marRight w:val="0"/>
          <w:marTop w:val="0"/>
          <w:marBottom w:val="0"/>
          <w:divBdr>
            <w:top w:val="none" w:sz="0" w:space="0" w:color="auto"/>
            <w:left w:val="none" w:sz="0" w:space="0" w:color="auto"/>
            <w:bottom w:val="none" w:sz="0" w:space="0" w:color="auto"/>
            <w:right w:val="none" w:sz="0" w:space="0" w:color="auto"/>
          </w:divBdr>
        </w:div>
        <w:div w:id="874124265">
          <w:marLeft w:val="640"/>
          <w:marRight w:val="0"/>
          <w:marTop w:val="0"/>
          <w:marBottom w:val="0"/>
          <w:divBdr>
            <w:top w:val="none" w:sz="0" w:space="0" w:color="auto"/>
            <w:left w:val="none" w:sz="0" w:space="0" w:color="auto"/>
            <w:bottom w:val="none" w:sz="0" w:space="0" w:color="auto"/>
            <w:right w:val="none" w:sz="0" w:space="0" w:color="auto"/>
          </w:divBdr>
        </w:div>
        <w:div w:id="1565023049">
          <w:marLeft w:val="640"/>
          <w:marRight w:val="0"/>
          <w:marTop w:val="0"/>
          <w:marBottom w:val="0"/>
          <w:divBdr>
            <w:top w:val="none" w:sz="0" w:space="0" w:color="auto"/>
            <w:left w:val="none" w:sz="0" w:space="0" w:color="auto"/>
            <w:bottom w:val="none" w:sz="0" w:space="0" w:color="auto"/>
            <w:right w:val="none" w:sz="0" w:space="0" w:color="auto"/>
          </w:divBdr>
        </w:div>
      </w:divsChild>
    </w:div>
    <w:div w:id="469828961">
      <w:bodyDiv w:val="1"/>
      <w:marLeft w:val="0"/>
      <w:marRight w:val="0"/>
      <w:marTop w:val="0"/>
      <w:marBottom w:val="0"/>
      <w:divBdr>
        <w:top w:val="none" w:sz="0" w:space="0" w:color="auto"/>
        <w:left w:val="none" w:sz="0" w:space="0" w:color="auto"/>
        <w:bottom w:val="none" w:sz="0" w:space="0" w:color="auto"/>
        <w:right w:val="none" w:sz="0" w:space="0" w:color="auto"/>
      </w:divBdr>
    </w:div>
    <w:div w:id="515538658">
      <w:bodyDiv w:val="1"/>
      <w:marLeft w:val="0"/>
      <w:marRight w:val="0"/>
      <w:marTop w:val="0"/>
      <w:marBottom w:val="0"/>
      <w:divBdr>
        <w:top w:val="none" w:sz="0" w:space="0" w:color="auto"/>
        <w:left w:val="none" w:sz="0" w:space="0" w:color="auto"/>
        <w:bottom w:val="none" w:sz="0" w:space="0" w:color="auto"/>
        <w:right w:val="none" w:sz="0" w:space="0" w:color="auto"/>
      </w:divBdr>
      <w:divsChild>
        <w:div w:id="1194928622">
          <w:marLeft w:val="640"/>
          <w:marRight w:val="0"/>
          <w:marTop w:val="0"/>
          <w:marBottom w:val="0"/>
          <w:divBdr>
            <w:top w:val="none" w:sz="0" w:space="0" w:color="auto"/>
            <w:left w:val="none" w:sz="0" w:space="0" w:color="auto"/>
            <w:bottom w:val="none" w:sz="0" w:space="0" w:color="auto"/>
            <w:right w:val="none" w:sz="0" w:space="0" w:color="auto"/>
          </w:divBdr>
        </w:div>
        <w:div w:id="281231322">
          <w:marLeft w:val="640"/>
          <w:marRight w:val="0"/>
          <w:marTop w:val="0"/>
          <w:marBottom w:val="0"/>
          <w:divBdr>
            <w:top w:val="none" w:sz="0" w:space="0" w:color="auto"/>
            <w:left w:val="none" w:sz="0" w:space="0" w:color="auto"/>
            <w:bottom w:val="none" w:sz="0" w:space="0" w:color="auto"/>
            <w:right w:val="none" w:sz="0" w:space="0" w:color="auto"/>
          </w:divBdr>
        </w:div>
        <w:div w:id="605769664">
          <w:marLeft w:val="640"/>
          <w:marRight w:val="0"/>
          <w:marTop w:val="0"/>
          <w:marBottom w:val="0"/>
          <w:divBdr>
            <w:top w:val="none" w:sz="0" w:space="0" w:color="auto"/>
            <w:left w:val="none" w:sz="0" w:space="0" w:color="auto"/>
            <w:bottom w:val="none" w:sz="0" w:space="0" w:color="auto"/>
            <w:right w:val="none" w:sz="0" w:space="0" w:color="auto"/>
          </w:divBdr>
        </w:div>
        <w:div w:id="707223493">
          <w:marLeft w:val="640"/>
          <w:marRight w:val="0"/>
          <w:marTop w:val="0"/>
          <w:marBottom w:val="0"/>
          <w:divBdr>
            <w:top w:val="none" w:sz="0" w:space="0" w:color="auto"/>
            <w:left w:val="none" w:sz="0" w:space="0" w:color="auto"/>
            <w:bottom w:val="none" w:sz="0" w:space="0" w:color="auto"/>
            <w:right w:val="none" w:sz="0" w:space="0" w:color="auto"/>
          </w:divBdr>
        </w:div>
        <w:div w:id="470945559">
          <w:marLeft w:val="640"/>
          <w:marRight w:val="0"/>
          <w:marTop w:val="0"/>
          <w:marBottom w:val="0"/>
          <w:divBdr>
            <w:top w:val="none" w:sz="0" w:space="0" w:color="auto"/>
            <w:left w:val="none" w:sz="0" w:space="0" w:color="auto"/>
            <w:bottom w:val="none" w:sz="0" w:space="0" w:color="auto"/>
            <w:right w:val="none" w:sz="0" w:space="0" w:color="auto"/>
          </w:divBdr>
        </w:div>
        <w:div w:id="1683512638">
          <w:marLeft w:val="640"/>
          <w:marRight w:val="0"/>
          <w:marTop w:val="0"/>
          <w:marBottom w:val="0"/>
          <w:divBdr>
            <w:top w:val="none" w:sz="0" w:space="0" w:color="auto"/>
            <w:left w:val="none" w:sz="0" w:space="0" w:color="auto"/>
            <w:bottom w:val="none" w:sz="0" w:space="0" w:color="auto"/>
            <w:right w:val="none" w:sz="0" w:space="0" w:color="auto"/>
          </w:divBdr>
        </w:div>
        <w:div w:id="854608908">
          <w:marLeft w:val="640"/>
          <w:marRight w:val="0"/>
          <w:marTop w:val="0"/>
          <w:marBottom w:val="0"/>
          <w:divBdr>
            <w:top w:val="none" w:sz="0" w:space="0" w:color="auto"/>
            <w:left w:val="none" w:sz="0" w:space="0" w:color="auto"/>
            <w:bottom w:val="none" w:sz="0" w:space="0" w:color="auto"/>
            <w:right w:val="none" w:sz="0" w:space="0" w:color="auto"/>
          </w:divBdr>
        </w:div>
        <w:div w:id="356319271">
          <w:marLeft w:val="640"/>
          <w:marRight w:val="0"/>
          <w:marTop w:val="0"/>
          <w:marBottom w:val="0"/>
          <w:divBdr>
            <w:top w:val="none" w:sz="0" w:space="0" w:color="auto"/>
            <w:left w:val="none" w:sz="0" w:space="0" w:color="auto"/>
            <w:bottom w:val="none" w:sz="0" w:space="0" w:color="auto"/>
            <w:right w:val="none" w:sz="0" w:space="0" w:color="auto"/>
          </w:divBdr>
        </w:div>
        <w:div w:id="1922174591">
          <w:marLeft w:val="640"/>
          <w:marRight w:val="0"/>
          <w:marTop w:val="0"/>
          <w:marBottom w:val="0"/>
          <w:divBdr>
            <w:top w:val="none" w:sz="0" w:space="0" w:color="auto"/>
            <w:left w:val="none" w:sz="0" w:space="0" w:color="auto"/>
            <w:bottom w:val="none" w:sz="0" w:space="0" w:color="auto"/>
            <w:right w:val="none" w:sz="0" w:space="0" w:color="auto"/>
          </w:divBdr>
        </w:div>
      </w:divsChild>
    </w:div>
    <w:div w:id="534922949">
      <w:bodyDiv w:val="1"/>
      <w:marLeft w:val="0"/>
      <w:marRight w:val="0"/>
      <w:marTop w:val="0"/>
      <w:marBottom w:val="0"/>
      <w:divBdr>
        <w:top w:val="none" w:sz="0" w:space="0" w:color="auto"/>
        <w:left w:val="none" w:sz="0" w:space="0" w:color="auto"/>
        <w:bottom w:val="none" w:sz="0" w:space="0" w:color="auto"/>
        <w:right w:val="none" w:sz="0" w:space="0" w:color="auto"/>
      </w:divBdr>
    </w:div>
    <w:div w:id="610286151">
      <w:bodyDiv w:val="1"/>
      <w:marLeft w:val="0"/>
      <w:marRight w:val="0"/>
      <w:marTop w:val="0"/>
      <w:marBottom w:val="0"/>
      <w:divBdr>
        <w:top w:val="none" w:sz="0" w:space="0" w:color="auto"/>
        <w:left w:val="none" w:sz="0" w:space="0" w:color="auto"/>
        <w:bottom w:val="none" w:sz="0" w:space="0" w:color="auto"/>
        <w:right w:val="none" w:sz="0" w:space="0" w:color="auto"/>
      </w:divBdr>
    </w:div>
    <w:div w:id="655916296">
      <w:bodyDiv w:val="1"/>
      <w:marLeft w:val="0"/>
      <w:marRight w:val="0"/>
      <w:marTop w:val="0"/>
      <w:marBottom w:val="0"/>
      <w:divBdr>
        <w:top w:val="none" w:sz="0" w:space="0" w:color="auto"/>
        <w:left w:val="none" w:sz="0" w:space="0" w:color="auto"/>
        <w:bottom w:val="none" w:sz="0" w:space="0" w:color="auto"/>
        <w:right w:val="none" w:sz="0" w:space="0" w:color="auto"/>
      </w:divBdr>
    </w:div>
    <w:div w:id="733242270">
      <w:bodyDiv w:val="1"/>
      <w:marLeft w:val="0"/>
      <w:marRight w:val="0"/>
      <w:marTop w:val="0"/>
      <w:marBottom w:val="0"/>
      <w:divBdr>
        <w:top w:val="none" w:sz="0" w:space="0" w:color="auto"/>
        <w:left w:val="none" w:sz="0" w:space="0" w:color="auto"/>
        <w:bottom w:val="none" w:sz="0" w:space="0" w:color="auto"/>
        <w:right w:val="none" w:sz="0" w:space="0" w:color="auto"/>
      </w:divBdr>
    </w:div>
    <w:div w:id="880482297">
      <w:bodyDiv w:val="1"/>
      <w:marLeft w:val="0"/>
      <w:marRight w:val="0"/>
      <w:marTop w:val="0"/>
      <w:marBottom w:val="0"/>
      <w:divBdr>
        <w:top w:val="none" w:sz="0" w:space="0" w:color="auto"/>
        <w:left w:val="none" w:sz="0" w:space="0" w:color="auto"/>
        <w:bottom w:val="none" w:sz="0" w:space="0" w:color="auto"/>
        <w:right w:val="none" w:sz="0" w:space="0" w:color="auto"/>
      </w:divBdr>
      <w:divsChild>
        <w:div w:id="2027822933">
          <w:marLeft w:val="640"/>
          <w:marRight w:val="0"/>
          <w:marTop w:val="0"/>
          <w:marBottom w:val="0"/>
          <w:divBdr>
            <w:top w:val="none" w:sz="0" w:space="0" w:color="auto"/>
            <w:left w:val="none" w:sz="0" w:space="0" w:color="auto"/>
            <w:bottom w:val="none" w:sz="0" w:space="0" w:color="auto"/>
            <w:right w:val="none" w:sz="0" w:space="0" w:color="auto"/>
          </w:divBdr>
        </w:div>
        <w:div w:id="556401978">
          <w:marLeft w:val="640"/>
          <w:marRight w:val="0"/>
          <w:marTop w:val="0"/>
          <w:marBottom w:val="0"/>
          <w:divBdr>
            <w:top w:val="none" w:sz="0" w:space="0" w:color="auto"/>
            <w:left w:val="none" w:sz="0" w:space="0" w:color="auto"/>
            <w:bottom w:val="none" w:sz="0" w:space="0" w:color="auto"/>
            <w:right w:val="none" w:sz="0" w:space="0" w:color="auto"/>
          </w:divBdr>
        </w:div>
        <w:div w:id="101384358">
          <w:marLeft w:val="640"/>
          <w:marRight w:val="0"/>
          <w:marTop w:val="0"/>
          <w:marBottom w:val="0"/>
          <w:divBdr>
            <w:top w:val="none" w:sz="0" w:space="0" w:color="auto"/>
            <w:left w:val="none" w:sz="0" w:space="0" w:color="auto"/>
            <w:bottom w:val="none" w:sz="0" w:space="0" w:color="auto"/>
            <w:right w:val="none" w:sz="0" w:space="0" w:color="auto"/>
          </w:divBdr>
        </w:div>
        <w:div w:id="1909488928">
          <w:marLeft w:val="640"/>
          <w:marRight w:val="0"/>
          <w:marTop w:val="0"/>
          <w:marBottom w:val="0"/>
          <w:divBdr>
            <w:top w:val="none" w:sz="0" w:space="0" w:color="auto"/>
            <w:left w:val="none" w:sz="0" w:space="0" w:color="auto"/>
            <w:bottom w:val="none" w:sz="0" w:space="0" w:color="auto"/>
            <w:right w:val="none" w:sz="0" w:space="0" w:color="auto"/>
          </w:divBdr>
        </w:div>
        <w:div w:id="1884825485">
          <w:marLeft w:val="640"/>
          <w:marRight w:val="0"/>
          <w:marTop w:val="0"/>
          <w:marBottom w:val="0"/>
          <w:divBdr>
            <w:top w:val="none" w:sz="0" w:space="0" w:color="auto"/>
            <w:left w:val="none" w:sz="0" w:space="0" w:color="auto"/>
            <w:bottom w:val="none" w:sz="0" w:space="0" w:color="auto"/>
            <w:right w:val="none" w:sz="0" w:space="0" w:color="auto"/>
          </w:divBdr>
        </w:div>
        <w:div w:id="1803887821">
          <w:marLeft w:val="640"/>
          <w:marRight w:val="0"/>
          <w:marTop w:val="0"/>
          <w:marBottom w:val="0"/>
          <w:divBdr>
            <w:top w:val="none" w:sz="0" w:space="0" w:color="auto"/>
            <w:left w:val="none" w:sz="0" w:space="0" w:color="auto"/>
            <w:bottom w:val="none" w:sz="0" w:space="0" w:color="auto"/>
            <w:right w:val="none" w:sz="0" w:space="0" w:color="auto"/>
          </w:divBdr>
        </w:div>
        <w:div w:id="1567565257">
          <w:marLeft w:val="640"/>
          <w:marRight w:val="0"/>
          <w:marTop w:val="0"/>
          <w:marBottom w:val="0"/>
          <w:divBdr>
            <w:top w:val="none" w:sz="0" w:space="0" w:color="auto"/>
            <w:left w:val="none" w:sz="0" w:space="0" w:color="auto"/>
            <w:bottom w:val="none" w:sz="0" w:space="0" w:color="auto"/>
            <w:right w:val="none" w:sz="0" w:space="0" w:color="auto"/>
          </w:divBdr>
        </w:div>
        <w:div w:id="687565456">
          <w:marLeft w:val="640"/>
          <w:marRight w:val="0"/>
          <w:marTop w:val="0"/>
          <w:marBottom w:val="0"/>
          <w:divBdr>
            <w:top w:val="none" w:sz="0" w:space="0" w:color="auto"/>
            <w:left w:val="none" w:sz="0" w:space="0" w:color="auto"/>
            <w:bottom w:val="none" w:sz="0" w:space="0" w:color="auto"/>
            <w:right w:val="none" w:sz="0" w:space="0" w:color="auto"/>
          </w:divBdr>
        </w:div>
        <w:div w:id="1063677019">
          <w:marLeft w:val="640"/>
          <w:marRight w:val="0"/>
          <w:marTop w:val="0"/>
          <w:marBottom w:val="0"/>
          <w:divBdr>
            <w:top w:val="none" w:sz="0" w:space="0" w:color="auto"/>
            <w:left w:val="none" w:sz="0" w:space="0" w:color="auto"/>
            <w:bottom w:val="none" w:sz="0" w:space="0" w:color="auto"/>
            <w:right w:val="none" w:sz="0" w:space="0" w:color="auto"/>
          </w:divBdr>
        </w:div>
        <w:div w:id="181627606">
          <w:marLeft w:val="640"/>
          <w:marRight w:val="0"/>
          <w:marTop w:val="0"/>
          <w:marBottom w:val="0"/>
          <w:divBdr>
            <w:top w:val="none" w:sz="0" w:space="0" w:color="auto"/>
            <w:left w:val="none" w:sz="0" w:space="0" w:color="auto"/>
            <w:bottom w:val="none" w:sz="0" w:space="0" w:color="auto"/>
            <w:right w:val="none" w:sz="0" w:space="0" w:color="auto"/>
          </w:divBdr>
        </w:div>
      </w:divsChild>
    </w:div>
    <w:div w:id="961617082">
      <w:bodyDiv w:val="1"/>
      <w:marLeft w:val="0"/>
      <w:marRight w:val="0"/>
      <w:marTop w:val="0"/>
      <w:marBottom w:val="0"/>
      <w:divBdr>
        <w:top w:val="none" w:sz="0" w:space="0" w:color="auto"/>
        <w:left w:val="none" w:sz="0" w:space="0" w:color="auto"/>
        <w:bottom w:val="none" w:sz="0" w:space="0" w:color="auto"/>
        <w:right w:val="none" w:sz="0" w:space="0" w:color="auto"/>
      </w:divBdr>
    </w:div>
    <w:div w:id="962660887">
      <w:bodyDiv w:val="1"/>
      <w:marLeft w:val="0"/>
      <w:marRight w:val="0"/>
      <w:marTop w:val="0"/>
      <w:marBottom w:val="0"/>
      <w:divBdr>
        <w:top w:val="none" w:sz="0" w:space="0" w:color="auto"/>
        <w:left w:val="none" w:sz="0" w:space="0" w:color="auto"/>
        <w:bottom w:val="none" w:sz="0" w:space="0" w:color="auto"/>
        <w:right w:val="none" w:sz="0" w:space="0" w:color="auto"/>
      </w:divBdr>
      <w:divsChild>
        <w:div w:id="876503861">
          <w:marLeft w:val="640"/>
          <w:marRight w:val="0"/>
          <w:marTop w:val="0"/>
          <w:marBottom w:val="0"/>
          <w:divBdr>
            <w:top w:val="none" w:sz="0" w:space="0" w:color="auto"/>
            <w:left w:val="none" w:sz="0" w:space="0" w:color="auto"/>
            <w:bottom w:val="none" w:sz="0" w:space="0" w:color="auto"/>
            <w:right w:val="none" w:sz="0" w:space="0" w:color="auto"/>
          </w:divBdr>
        </w:div>
        <w:div w:id="2066679029">
          <w:marLeft w:val="640"/>
          <w:marRight w:val="0"/>
          <w:marTop w:val="0"/>
          <w:marBottom w:val="0"/>
          <w:divBdr>
            <w:top w:val="none" w:sz="0" w:space="0" w:color="auto"/>
            <w:left w:val="none" w:sz="0" w:space="0" w:color="auto"/>
            <w:bottom w:val="none" w:sz="0" w:space="0" w:color="auto"/>
            <w:right w:val="none" w:sz="0" w:space="0" w:color="auto"/>
          </w:divBdr>
        </w:div>
        <w:div w:id="969440407">
          <w:marLeft w:val="640"/>
          <w:marRight w:val="0"/>
          <w:marTop w:val="0"/>
          <w:marBottom w:val="0"/>
          <w:divBdr>
            <w:top w:val="none" w:sz="0" w:space="0" w:color="auto"/>
            <w:left w:val="none" w:sz="0" w:space="0" w:color="auto"/>
            <w:bottom w:val="none" w:sz="0" w:space="0" w:color="auto"/>
            <w:right w:val="none" w:sz="0" w:space="0" w:color="auto"/>
          </w:divBdr>
        </w:div>
        <w:div w:id="1757095430">
          <w:marLeft w:val="640"/>
          <w:marRight w:val="0"/>
          <w:marTop w:val="0"/>
          <w:marBottom w:val="0"/>
          <w:divBdr>
            <w:top w:val="none" w:sz="0" w:space="0" w:color="auto"/>
            <w:left w:val="none" w:sz="0" w:space="0" w:color="auto"/>
            <w:bottom w:val="none" w:sz="0" w:space="0" w:color="auto"/>
            <w:right w:val="none" w:sz="0" w:space="0" w:color="auto"/>
          </w:divBdr>
        </w:div>
        <w:div w:id="1057894789">
          <w:marLeft w:val="640"/>
          <w:marRight w:val="0"/>
          <w:marTop w:val="0"/>
          <w:marBottom w:val="0"/>
          <w:divBdr>
            <w:top w:val="none" w:sz="0" w:space="0" w:color="auto"/>
            <w:left w:val="none" w:sz="0" w:space="0" w:color="auto"/>
            <w:bottom w:val="none" w:sz="0" w:space="0" w:color="auto"/>
            <w:right w:val="none" w:sz="0" w:space="0" w:color="auto"/>
          </w:divBdr>
        </w:div>
        <w:div w:id="1543864287">
          <w:marLeft w:val="640"/>
          <w:marRight w:val="0"/>
          <w:marTop w:val="0"/>
          <w:marBottom w:val="0"/>
          <w:divBdr>
            <w:top w:val="none" w:sz="0" w:space="0" w:color="auto"/>
            <w:left w:val="none" w:sz="0" w:space="0" w:color="auto"/>
            <w:bottom w:val="none" w:sz="0" w:space="0" w:color="auto"/>
            <w:right w:val="none" w:sz="0" w:space="0" w:color="auto"/>
          </w:divBdr>
        </w:div>
        <w:div w:id="1112287662">
          <w:marLeft w:val="640"/>
          <w:marRight w:val="0"/>
          <w:marTop w:val="0"/>
          <w:marBottom w:val="0"/>
          <w:divBdr>
            <w:top w:val="none" w:sz="0" w:space="0" w:color="auto"/>
            <w:left w:val="none" w:sz="0" w:space="0" w:color="auto"/>
            <w:bottom w:val="none" w:sz="0" w:space="0" w:color="auto"/>
            <w:right w:val="none" w:sz="0" w:space="0" w:color="auto"/>
          </w:divBdr>
        </w:div>
        <w:div w:id="2054035357">
          <w:marLeft w:val="640"/>
          <w:marRight w:val="0"/>
          <w:marTop w:val="0"/>
          <w:marBottom w:val="0"/>
          <w:divBdr>
            <w:top w:val="none" w:sz="0" w:space="0" w:color="auto"/>
            <w:left w:val="none" w:sz="0" w:space="0" w:color="auto"/>
            <w:bottom w:val="none" w:sz="0" w:space="0" w:color="auto"/>
            <w:right w:val="none" w:sz="0" w:space="0" w:color="auto"/>
          </w:divBdr>
        </w:div>
        <w:div w:id="1643851054">
          <w:marLeft w:val="640"/>
          <w:marRight w:val="0"/>
          <w:marTop w:val="0"/>
          <w:marBottom w:val="0"/>
          <w:divBdr>
            <w:top w:val="none" w:sz="0" w:space="0" w:color="auto"/>
            <w:left w:val="none" w:sz="0" w:space="0" w:color="auto"/>
            <w:bottom w:val="none" w:sz="0" w:space="0" w:color="auto"/>
            <w:right w:val="none" w:sz="0" w:space="0" w:color="auto"/>
          </w:divBdr>
        </w:div>
        <w:div w:id="1506742650">
          <w:marLeft w:val="640"/>
          <w:marRight w:val="0"/>
          <w:marTop w:val="0"/>
          <w:marBottom w:val="0"/>
          <w:divBdr>
            <w:top w:val="none" w:sz="0" w:space="0" w:color="auto"/>
            <w:left w:val="none" w:sz="0" w:space="0" w:color="auto"/>
            <w:bottom w:val="none" w:sz="0" w:space="0" w:color="auto"/>
            <w:right w:val="none" w:sz="0" w:space="0" w:color="auto"/>
          </w:divBdr>
        </w:div>
        <w:div w:id="130636645">
          <w:marLeft w:val="640"/>
          <w:marRight w:val="0"/>
          <w:marTop w:val="0"/>
          <w:marBottom w:val="0"/>
          <w:divBdr>
            <w:top w:val="none" w:sz="0" w:space="0" w:color="auto"/>
            <w:left w:val="none" w:sz="0" w:space="0" w:color="auto"/>
            <w:bottom w:val="none" w:sz="0" w:space="0" w:color="auto"/>
            <w:right w:val="none" w:sz="0" w:space="0" w:color="auto"/>
          </w:divBdr>
        </w:div>
        <w:div w:id="1349403677">
          <w:marLeft w:val="640"/>
          <w:marRight w:val="0"/>
          <w:marTop w:val="0"/>
          <w:marBottom w:val="0"/>
          <w:divBdr>
            <w:top w:val="none" w:sz="0" w:space="0" w:color="auto"/>
            <w:left w:val="none" w:sz="0" w:space="0" w:color="auto"/>
            <w:bottom w:val="none" w:sz="0" w:space="0" w:color="auto"/>
            <w:right w:val="none" w:sz="0" w:space="0" w:color="auto"/>
          </w:divBdr>
        </w:div>
      </w:divsChild>
    </w:div>
    <w:div w:id="1006175253">
      <w:bodyDiv w:val="1"/>
      <w:marLeft w:val="0"/>
      <w:marRight w:val="0"/>
      <w:marTop w:val="0"/>
      <w:marBottom w:val="0"/>
      <w:divBdr>
        <w:top w:val="none" w:sz="0" w:space="0" w:color="auto"/>
        <w:left w:val="none" w:sz="0" w:space="0" w:color="auto"/>
        <w:bottom w:val="none" w:sz="0" w:space="0" w:color="auto"/>
        <w:right w:val="none" w:sz="0" w:space="0" w:color="auto"/>
      </w:divBdr>
      <w:divsChild>
        <w:div w:id="632061004">
          <w:marLeft w:val="720"/>
          <w:marRight w:val="0"/>
          <w:marTop w:val="0"/>
          <w:marBottom w:val="0"/>
          <w:divBdr>
            <w:top w:val="none" w:sz="0" w:space="0" w:color="auto"/>
            <w:left w:val="none" w:sz="0" w:space="0" w:color="auto"/>
            <w:bottom w:val="none" w:sz="0" w:space="0" w:color="auto"/>
            <w:right w:val="none" w:sz="0" w:space="0" w:color="auto"/>
          </w:divBdr>
        </w:div>
        <w:div w:id="1954511782">
          <w:marLeft w:val="720"/>
          <w:marRight w:val="0"/>
          <w:marTop w:val="0"/>
          <w:marBottom w:val="0"/>
          <w:divBdr>
            <w:top w:val="none" w:sz="0" w:space="0" w:color="auto"/>
            <w:left w:val="none" w:sz="0" w:space="0" w:color="auto"/>
            <w:bottom w:val="none" w:sz="0" w:space="0" w:color="auto"/>
            <w:right w:val="none" w:sz="0" w:space="0" w:color="auto"/>
          </w:divBdr>
        </w:div>
      </w:divsChild>
    </w:div>
    <w:div w:id="1014385689">
      <w:bodyDiv w:val="1"/>
      <w:marLeft w:val="0"/>
      <w:marRight w:val="0"/>
      <w:marTop w:val="0"/>
      <w:marBottom w:val="0"/>
      <w:divBdr>
        <w:top w:val="none" w:sz="0" w:space="0" w:color="auto"/>
        <w:left w:val="none" w:sz="0" w:space="0" w:color="auto"/>
        <w:bottom w:val="none" w:sz="0" w:space="0" w:color="auto"/>
        <w:right w:val="none" w:sz="0" w:space="0" w:color="auto"/>
      </w:divBdr>
      <w:divsChild>
        <w:div w:id="1281494722">
          <w:marLeft w:val="640"/>
          <w:marRight w:val="0"/>
          <w:marTop w:val="0"/>
          <w:marBottom w:val="0"/>
          <w:divBdr>
            <w:top w:val="none" w:sz="0" w:space="0" w:color="auto"/>
            <w:left w:val="none" w:sz="0" w:space="0" w:color="auto"/>
            <w:bottom w:val="none" w:sz="0" w:space="0" w:color="auto"/>
            <w:right w:val="none" w:sz="0" w:space="0" w:color="auto"/>
          </w:divBdr>
        </w:div>
        <w:div w:id="990987326">
          <w:marLeft w:val="640"/>
          <w:marRight w:val="0"/>
          <w:marTop w:val="0"/>
          <w:marBottom w:val="0"/>
          <w:divBdr>
            <w:top w:val="none" w:sz="0" w:space="0" w:color="auto"/>
            <w:left w:val="none" w:sz="0" w:space="0" w:color="auto"/>
            <w:bottom w:val="none" w:sz="0" w:space="0" w:color="auto"/>
            <w:right w:val="none" w:sz="0" w:space="0" w:color="auto"/>
          </w:divBdr>
        </w:div>
        <w:div w:id="218905427">
          <w:marLeft w:val="640"/>
          <w:marRight w:val="0"/>
          <w:marTop w:val="0"/>
          <w:marBottom w:val="0"/>
          <w:divBdr>
            <w:top w:val="none" w:sz="0" w:space="0" w:color="auto"/>
            <w:left w:val="none" w:sz="0" w:space="0" w:color="auto"/>
            <w:bottom w:val="none" w:sz="0" w:space="0" w:color="auto"/>
            <w:right w:val="none" w:sz="0" w:space="0" w:color="auto"/>
          </w:divBdr>
        </w:div>
        <w:div w:id="2078437930">
          <w:marLeft w:val="640"/>
          <w:marRight w:val="0"/>
          <w:marTop w:val="0"/>
          <w:marBottom w:val="0"/>
          <w:divBdr>
            <w:top w:val="none" w:sz="0" w:space="0" w:color="auto"/>
            <w:left w:val="none" w:sz="0" w:space="0" w:color="auto"/>
            <w:bottom w:val="none" w:sz="0" w:space="0" w:color="auto"/>
            <w:right w:val="none" w:sz="0" w:space="0" w:color="auto"/>
          </w:divBdr>
        </w:div>
        <w:div w:id="1495337387">
          <w:marLeft w:val="640"/>
          <w:marRight w:val="0"/>
          <w:marTop w:val="0"/>
          <w:marBottom w:val="0"/>
          <w:divBdr>
            <w:top w:val="none" w:sz="0" w:space="0" w:color="auto"/>
            <w:left w:val="none" w:sz="0" w:space="0" w:color="auto"/>
            <w:bottom w:val="none" w:sz="0" w:space="0" w:color="auto"/>
            <w:right w:val="none" w:sz="0" w:space="0" w:color="auto"/>
          </w:divBdr>
        </w:div>
        <w:div w:id="1688822817">
          <w:marLeft w:val="640"/>
          <w:marRight w:val="0"/>
          <w:marTop w:val="0"/>
          <w:marBottom w:val="0"/>
          <w:divBdr>
            <w:top w:val="none" w:sz="0" w:space="0" w:color="auto"/>
            <w:left w:val="none" w:sz="0" w:space="0" w:color="auto"/>
            <w:bottom w:val="none" w:sz="0" w:space="0" w:color="auto"/>
            <w:right w:val="none" w:sz="0" w:space="0" w:color="auto"/>
          </w:divBdr>
        </w:div>
        <w:div w:id="1729300614">
          <w:marLeft w:val="640"/>
          <w:marRight w:val="0"/>
          <w:marTop w:val="0"/>
          <w:marBottom w:val="0"/>
          <w:divBdr>
            <w:top w:val="none" w:sz="0" w:space="0" w:color="auto"/>
            <w:left w:val="none" w:sz="0" w:space="0" w:color="auto"/>
            <w:bottom w:val="none" w:sz="0" w:space="0" w:color="auto"/>
            <w:right w:val="none" w:sz="0" w:space="0" w:color="auto"/>
          </w:divBdr>
        </w:div>
        <w:div w:id="208153773">
          <w:marLeft w:val="640"/>
          <w:marRight w:val="0"/>
          <w:marTop w:val="0"/>
          <w:marBottom w:val="0"/>
          <w:divBdr>
            <w:top w:val="none" w:sz="0" w:space="0" w:color="auto"/>
            <w:left w:val="none" w:sz="0" w:space="0" w:color="auto"/>
            <w:bottom w:val="none" w:sz="0" w:space="0" w:color="auto"/>
            <w:right w:val="none" w:sz="0" w:space="0" w:color="auto"/>
          </w:divBdr>
        </w:div>
        <w:div w:id="204175629">
          <w:marLeft w:val="640"/>
          <w:marRight w:val="0"/>
          <w:marTop w:val="0"/>
          <w:marBottom w:val="0"/>
          <w:divBdr>
            <w:top w:val="none" w:sz="0" w:space="0" w:color="auto"/>
            <w:left w:val="none" w:sz="0" w:space="0" w:color="auto"/>
            <w:bottom w:val="none" w:sz="0" w:space="0" w:color="auto"/>
            <w:right w:val="none" w:sz="0" w:space="0" w:color="auto"/>
          </w:divBdr>
        </w:div>
        <w:div w:id="90859347">
          <w:marLeft w:val="640"/>
          <w:marRight w:val="0"/>
          <w:marTop w:val="0"/>
          <w:marBottom w:val="0"/>
          <w:divBdr>
            <w:top w:val="none" w:sz="0" w:space="0" w:color="auto"/>
            <w:left w:val="none" w:sz="0" w:space="0" w:color="auto"/>
            <w:bottom w:val="none" w:sz="0" w:space="0" w:color="auto"/>
            <w:right w:val="none" w:sz="0" w:space="0" w:color="auto"/>
          </w:divBdr>
        </w:div>
        <w:div w:id="222257744">
          <w:marLeft w:val="640"/>
          <w:marRight w:val="0"/>
          <w:marTop w:val="0"/>
          <w:marBottom w:val="0"/>
          <w:divBdr>
            <w:top w:val="none" w:sz="0" w:space="0" w:color="auto"/>
            <w:left w:val="none" w:sz="0" w:space="0" w:color="auto"/>
            <w:bottom w:val="none" w:sz="0" w:space="0" w:color="auto"/>
            <w:right w:val="none" w:sz="0" w:space="0" w:color="auto"/>
          </w:divBdr>
        </w:div>
      </w:divsChild>
    </w:div>
    <w:div w:id="1113402217">
      <w:bodyDiv w:val="1"/>
      <w:marLeft w:val="0"/>
      <w:marRight w:val="0"/>
      <w:marTop w:val="0"/>
      <w:marBottom w:val="0"/>
      <w:divBdr>
        <w:top w:val="none" w:sz="0" w:space="0" w:color="auto"/>
        <w:left w:val="none" w:sz="0" w:space="0" w:color="auto"/>
        <w:bottom w:val="none" w:sz="0" w:space="0" w:color="auto"/>
        <w:right w:val="none" w:sz="0" w:space="0" w:color="auto"/>
      </w:divBdr>
    </w:div>
    <w:div w:id="1117332545">
      <w:bodyDiv w:val="1"/>
      <w:marLeft w:val="0"/>
      <w:marRight w:val="0"/>
      <w:marTop w:val="0"/>
      <w:marBottom w:val="0"/>
      <w:divBdr>
        <w:top w:val="none" w:sz="0" w:space="0" w:color="auto"/>
        <w:left w:val="none" w:sz="0" w:space="0" w:color="auto"/>
        <w:bottom w:val="none" w:sz="0" w:space="0" w:color="auto"/>
        <w:right w:val="none" w:sz="0" w:space="0" w:color="auto"/>
      </w:divBdr>
      <w:divsChild>
        <w:div w:id="1932278021">
          <w:marLeft w:val="640"/>
          <w:marRight w:val="0"/>
          <w:marTop w:val="0"/>
          <w:marBottom w:val="0"/>
          <w:divBdr>
            <w:top w:val="none" w:sz="0" w:space="0" w:color="auto"/>
            <w:left w:val="none" w:sz="0" w:space="0" w:color="auto"/>
            <w:bottom w:val="none" w:sz="0" w:space="0" w:color="auto"/>
            <w:right w:val="none" w:sz="0" w:space="0" w:color="auto"/>
          </w:divBdr>
        </w:div>
        <w:div w:id="16926712">
          <w:marLeft w:val="640"/>
          <w:marRight w:val="0"/>
          <w:marTop w:val="0"/>
          <w:marBottom w:val="0"/>
          <w:divBdr>
            <w:top w:val="none" w:sz="0" w:space="0" w:color="auto"/>
            <w:left w:val="none" w:sz="0" w:space="0" w:color="auto"/>
            <w:bottom w:val="none" w:sz="0" w:space="0" w:color="auto"/>
            <w:right w:val="none" w:sz="0" w:space="0" w:color="auto"/>
          </w:divBdr>
        </w:div>
        <w:div w:id="531768231">
          <w:marLeft w:val="640"/>
          <w:marRight w:val="0"/>
          <w:marTop w:val="0"/>
          <w:marBottom w:val="0"/>
          <w:divBdr>
            <w:top w:val="none" w:sz="0" w:space="0" w:color="auto"/>
            <w:left w:val="none" w:sz="0" w:space="0" w:color="auto"/>
            <w:bottom w:val="none" w:sz="0" w:space="0" w:color="auto"/>
            <w:right w:val="none" w:sz="0" w:space="0" w:color="auto"/>
          </w:divBdr>
        </w:div>
        <w:div w:id="1069042124">
          <w:marLeft w:val="640"/>
          <w:marRight w:val="0"/>
          <w:marTop w:val="0"/>
          <w:marBottom w:val="0"/>
          <w:divBdr>
            <w:top w:val="none" w:sz="0" w:space="0" w:color="auto"/>
            <w:left w:val="none" w:sz="0" w:space="0" w:color="auto"/>
            <w:bottom w:val="none" w:sz="0" w:space="0" w:color="auto"/>
            <w:right w:val="none" w:sz="0" w:space="0" w:color="auto"/>
          </w:divBdr>
        </w:div>
        <w:div w:id="1194003257">
          <w:marLeft w:val="640"/>
          <w:marRight w:val="0"/>
          <w:marTop w:val="0"/>
          <w:marBottom w:val="0"/>
          <w:divBdr>
            <w:top w:val="none" w:sz="0" w:space="0" w:color="auto"/>
            <w:left w:val="none" w:sz="0" w:space="0" w:color="auto"/>
            <w:bottom w:val="none" w:sz="0" w:space="0" w:color="auto"/>
            <w:right w:val="none" w:sz="0" w:space="0" w:color="auto"/>
          </w:divBdr>
        </w:div>
        <w:div w:id="465901610">
          <w:marLeft w:val="640"/>
          <w:marRight w:val="0"/>
          <w:marTop w:val="0"/>
          <w:marBottom w:val="0"/>
          <w:divBdr>
            <w:top w:val="none" w:sz="0" w:space="0" w:color="auto"/>
            <w:left w:val="none" w:sz="0" w:space="0" w:color="auto"/>
            <w:bottom w:val="none" w:sz="0" w:space="0" w:color="auto"/>
            <w:right w:val="none" w:sz="0" w:space="0" w:color="auto"/>
          </w:divBdr>
        </w:div>
        <w:div w:id="462696682">
          <w:marLeft w:val="640"/>
          <w:marRight w:val="0"/>
          <w:marTop w:val="0"/>
          <w:marBottom w:val="0"/>
          <w:divBdr>
            <w:top w:val="none" w:sz="0" w:space="0" w:color="auto"/>
            <w:left w:val="none" w:sz="0" w:space="0" w:color="auto"/>
            <w:bottom w:val="none" w:sz="0" w:space="0" w:color="auto"/>
            <w:right w:val="none" w:sz="0" w:space="0" w:color="auto"/>
          </w:divBdr>
        </w:div>
        <w:div w:id="682709159">
          <w:marLeft w:val="640"/>
          <w:marRight w:val="0"/>
          <w:marTop w:val="0"/>
          <w:marBottom w:val="0"/>
          <w:divBdr>
            <w:top w:val="none" w:sz="0" w:space="0" w:color="auto"/>
            <w:left w:val="none" w:sz="0" w:space="0" w:color="auto"/>
            <w:bottom w:val="none" w:sz="0" w:space="0" w:color="auto"/>
            <w:right w:val="none" w:sz="0" w:space="0" w:color="auto"/>
          </w:divBdr>
        </w:div>
        <w:div w:id="899049422">
          <w:marLeft w:val="640"/>
          <w:marRight w:val="0"/>
          <w:marTop w:val="0"/>
          <w:marBottom w:val="0"/>
          <w:divBdr>
            <w:top w:val="none" w:sz="0" w:space="0" w:color="auto"/>
            <w:left w:val="none" w:sz="0" w:space="0" w:color="auto"/>
            <w:bottom w:val="none" w:sz="0" w:space="0" w:color="auto"/>
            <w:right w:val="none" w:sz="0" w:space="0" w:color="auto"/>
          </w:divBdr>
        </w:div>
        <w:div w:id="1677001185">
          <w:marLeft w:val="640"/>
          <w:marRight w:val="0"/>
          <w:marTop w:val="0"/>
          <w:marBottom w:val="0"/>
          <w:divBdr>
            <w:top w:val="none" w:sz="0" w:space="0" w:color="auto"/>
            <w:left w:val="none" w:sz="0" w:space="0" w:color="auto"/>
            <w:bottom w:val="none" w:sz="0" w:space="0" w:color="auto"/>
            <w:right w:val="none" w:sz="0" w:space="0" w:color="auto"/>
          </w:divBdr>
        </w:div>
        <w:div w:id="459566867">
          <w:marLeft w:val="640"/>
          <w:marRight w:val="0"/>
          <w:marTop w:val="0"/>
          <w:marBottom w:val="0"/>
          <w:divBdr>
            <w:top w:val="none" w:sz="0" w:space="0" w:color="auto"/>
            <w:left w:val="none" w:sz="0" w:space="0" w:color="auto"/>
            <w:bottom w:val="none" w:sz="0" w:space="0" w:color="auto"/>
            <w:right w:val="none" w:sz="0" w:space="0" w:color="auto"/>
          </w:divBdr>
        </w:div>
        <w:div w:id="1669282536">
          <w:marLeft w:val="640"/>
          <w:marRight w:val="0"/>
          <w:marTop w:val="0"/>
          <w:marBottom w:val="0"/>
          <w:divBdr>
            <w:top w:val="none" w:sz="0" w:space="0" w:color="auto"/>
            <w:left w:val="none" w:sz="0" w:space="0" w:color="auto"/>
            <w:bottom w:val="none" w:sz="0" w:space="0" w:color="auto"/>
            <w:right w:val="none" w:sz="0" w:space="0" w:color="auto"/>
          </w:divBdr>
        </w:div>
        <w:div w:id="1929197052">
          <w:marLeft w:val="640"/>
          <w:marRight w:val="0"/>
          <w:marTop w:val="0"/>
          <w:marBottom w:val="0"/>
          <w:divBdr>
            <w:top w:val="none" w:sz="0" w:space="0" w:color="auto"/>
            <w:left w:val="none" w:sz="0" w:space="0" w:color="auto"/>
            <w:bottom w:val="none" w:sz="0" w:space="0" w:color="auto"/>
            <w:right w:val="none" w:sz="0" w:space="0" w:color="auto"/>
          </w:divBdr>
        </w:div>
        <w:div w:id="189340926">
          <w:marLeft w:val="640"/>
          <w:marRight w:val="0"/>
          <w:marTop w:val="0"/>
          <w:marBottom w:val="0"/>
          <w:divBdr>
            <w:top w:val="none" w:sz="0" w:space="0" w:color="auto"/>
            <w:left w:val="none" w:sz="0" w:space="0" w:color="auto"/>
            <w:bottom w:val="none" w:sz="0" w:space="0" w:color="auto"/>
            <w:right w:val="none" w:sz="0" w:space="0" w:color="auto"/>
          </w:divBdr>
        </w:div>
      </w:divsChild>
    </w:div>
    <w:div w:id="1144539696">
      <w:bodyDiv w:val="1"/>
      <w:marLeft w:val="0"/>
      <w:marRight w:val="0"/>
      <w:marTop w:val="0"/>
      <w:marBottom w:val="0"/>
      <w:divBdr>
        <w:top w:val="none" w:sz="0" w:space="0" w:color="auto"/>
        <w:left w:val="none" w:sz="0" w:space="0" w:color="auto"/>
        <w:bottom w:val="none" w:sz="0" w:space="0" w:color="auto"/>
        <w:right w:val="none" w:sz="0" w:space="0" w:color="auto"/>
      </w:divBdr>
    </w:div>
    <w:div w:id="1168515511">
      <w:bodyDiv w:val="1"/>
      <w:marLeft w:val="0"/>
      <w:marRight w:val="0"/>
      <w:marTop w:val="0"/>
      <w:marBottom w:val="0"/>
      <w:divBdr>
        <w:top w:val="none" w:sz="0" w:space="0" w:color="auto"/>
        <w:left w:val="none" w:sz="0" w:space="0" w:color="auto"/>
        <w:bottom w:val="none" w:sz="0" w:space="0" w:color="auto"/>
        <w:right w:val="none" w:sz="0" w:space="0" w:color="auto"/>
      </w:divBdr>
    </w:div>
    <w:div w:id="1348483761">
      <w:bodyDiv w:val="1"/>
      <w:marLeft w:val="0"/>
      <w:marRight w:val="0"/>
      <w:marTop w:val="0"/>
      <w:marBottom w:val="0"/>
      <w:divBdr>
        <w:top w:val="none" w:sz="0" w:space="0" w:color="auto"/>
        <w:left w:val="none" w:sz="0" w:space="0" w:color="auto"/>
        <w:bottom w:val="none" w:sz="0" w:space="0" w:color="auto"/>
        <w:right w:val="none" w:sz="0" w:space="0" w:color="auto"/>
      </w:divBdr>
    </w:div>
    <w:div w:id="1459226076">
      <w:bodyDiv w:val="1"/>
      <w:marLeft w:val="0"/>
      <w:marRight w:val="0"/>
      <w:marTop w:val="0"/>
      <w:marBottom w:val="0"/>
      <w:divBdr>
        <w:top w:val="none" w:sz="0" w:space="0" w:color="auto"/>
        <w:left w:val="none" w:sz="0" w:space="0" w:color="auto"/>
        <w:bottom w:val="none" w:sz="0" w:space="0" w:color="auto"/>
        <w:right w:val="none" w:sz="0" w:space="0" w:color="auto"/>
      </w:divBdr>
    </w:div>
    <w:div w:id="1462532267">
      <w:bodyDiv w:val="1"/>
      <w:marLeft w:val="0"/>
      <w:marRight w:val="0"/>
      <w:marTop w:val="0"/>
      <w:marBottom w:val="0"/>
      <w:divBdr>
        <w:top w:val="none" w:sz="0" w:space="0" w:color="auto"/>
        <w:left w:val="none" w:sz="0" w:space="0" w:color="auto"/>
        <w:bottom w:val="none" w:sz="0" w:space="0" w:color="auto"/>
        <w:right w:val="none" w:sz="0" w:space="0" w:color="auto"/>
      </w:divBdr>
      <w:divsChild>
        <w:div w:id="2113544613">
          <w:marLeft w:val="640"/>
          <w:marRight w:val="0"/>
          <w:marTop w:val="0"/>
          <w:marBottom w:val="0"/>
          <w:divBdr>
            <w:top w:val="none" w:sz="0" w:space="0" w:color="auto"/>
            <w:left w:val="none" w:sz="0" w:space="0" w:color="auto"/>
            <w:bottom w:val="none" w:sz="0" w:space="0" w:color="auto"/>
            <w:right w:val="none" w:sz="0" w:space="0" w:color="auto"/>
          </w:divBdr>
        </w:div>
        <w:div w:id="1380744501">
          <w:marLeft w:val="640"/>
          <w:marRight w:val="0"/>
          <w:marTop w:val="0"/>
          <w:marBottom w:val="0"/>
          <w:divBdr>
            <w:top w:val="none" w:sz="0" w:space="0" w:color="auto"/>
            <w:left w:val="none" w:sz="0" w:space="0" w:color="auto"/>
            <w:bottom w:val="none" w:sz="0" w:space="0" w:color="auto"/>
            <w:right w:val="none" w:sz="0" w:space="0" w:color="auto"/>
          </w:divBdr>
        </w:div>
        <w:div w:id="2045905716">
          <w:marLeft w:val="640"/>
          <w:marRight w:val="0"/>
          <w:marTop w:val="0"/>
          <w:marBottom w:val="0"/>
          <w:divBdr>
            <w:top w:val="none" w:sz="0" w:space="0" w:color="auto"/>
            <w:left w:val="none" w:sz="0" w:space="0" w:color="auto"/>
            <w:bottom w:val="none" w:sz="0" w:space="0" w:color="auto"/>
            <w:right w:val="none" w:sz="0" w:space="0" w:color="auto"/>
          </w:divBdr>
        </w:div>
        <w:div w:id="1626232121">
          <w:marLeft w:val="640"/>
          <w:marRight w:val="0"/>
          <w:marTop w:val="0"/>
          <w:marBottom w:val="0"/>
          <w:divBdr>
            <w:top w:val="none" w:sz="0" w:space="0" w:color="auto"/>
            <w:left w:val="none" w:sz="0" w:space="0" w:color="auto"/>
            <w:bottom w:val="none" w:sz="0" w:space="0" w:color="auto"/>
            <w:right w:val="none" w:sz="0" w:space="0" w:color="auto"/>
          </w:divBdr>
        </w:div>
        <w:div w:id="315110979">
          <w:marLeft w:val="640"/>
          <w:marRight w:val="0"/>
          <w:marTop w:val="0"/>
          <w:marBottom w:val="0"/>
          <w:divBdr>
            <w:top w:val="none" w:sz="0" w:space="0" w:color="auto"/>
            <w:left w:val="none" w:sz="0" w:space="0" w:color="auto"/>
            <w:bottom w:val="none" w:sz="0" w:space="0" w:color="auto"/>
            <w:right w:val="none" w:sz="0" w:space="0" w:color="auto"/>
          </w:divBdr>
        </w:div>
        <w:div w:id="1062751544">
          <w:marLeft w:val="640"/>
          <w:marRight w:val="0"/>
          <w:marTop w:val="0"/>
          <w:marBottom w:val="0"/>
          <w:divBdr>
            <w:top w:val="none" w:sz="0" w:space="0" w:color="auto"/>
            <w:left w:val="none" w:sz="0" w:space="0" w:color="auto"/>
            <w:bottom w:val="none" w:sz="0" w:space="0" w:color="auto"/>
            <w:right w:val="none" w:sz="0" w:space="0" w:color="auto"/>
          </w:divBdr>
        </w:div>
        <w:div w:id="2077969860">
          <w:marLeft w:val="640"/>
          <w:marRight w:val="0"/>
          <w:marTop w:val="0"/>
          <w:marBottom w:val="0"/>
          <w:divBdr>
            <w:top w:val="none" w:sz="0" w:space="0" w:color="auto"/>
            <w:left w:val="none" w:sz="0" w:space="0" w:color="auto"/>
            <w:bottom w:val="none" w:sz="0" w:space="0" w:color="auto"/>
            <w:right w:val="none" w:sz="0" w:space="0" w:color="auto"/>
          </w:divBdr>
        </w:div>
        <w:div w:id="1691880232">
          <w:marLeft w:val="640"/>
          <w:marRight w:val="0"/>
          <w:marTop w:val="0"/>
          <w:marBottom w:val="0"/>
          <w:divBdr>
            <w:top w:val="none" w:sz="0" w:space="0" w:color="auto"/>
            <w:left w:val="none" w:sz="0" w:space="0" w:color="auto"/>
            <w:bottom w:val="none" w:sz="0" w:space="0" w:color="auto"/>
            <w:right w:val="none" w:sz="0" w:space="0" w:color="auto"/>
          </w:divBdr>
        </w:div>
        <w:div w:id="435906531">
          <w:marLeft w:val="640"/>
          <w:marRight w:val="0"/>
          <w:marTop w:val="0"/>
          <w:marBottom w:val="0"/>
          <w:divBdr>
            <w:top w:val="none" w:sz="0" w:space="0" w:color="auto"/>
            <w:left w:val="none" w:sz="0" w:space="0" w:color="auto"/>
            <w:bottom w:val="none" w:sz="0" w:space="0" w:color="auto"/>
            <w:right w:val="none" w:sz="0" w:space="0" w:color="auto"/>
          </w:divBdr>
        </w:div>
        <w:div w:id="342056538">
          <w:marLeft w:val="640"/>
          <w:marRight w:val="0"/>
          <w:marTop w:val="0"/>
          <w:marBottom w:val="0"/>
          <w:divBdr>
            <w:top w:val="none" w:sz="0" w:space="0" w:color="auto"/>
            <w:left w:val="none" w:sz="0" w:space="0" w:color="auto"/>
            <w:bottom w:val="none" w:sz="0" w:space="0" w:color="auto"/>
            <w:right w:val="none" w:sz="0" w:space="0" w:color="auto"/>
          </w:divBdr>
        </w:div>
      </w:divsChild>
    </w:div>
    <w:div w:id="1495991697">
      <w:bodyDiv w:val="1"/>
      <w:marLeft w:val="0"/>
      <w:marRight w:val="0"/>
      <w:marTop w:val="0"/>
      <w:marBottom w:val="0"/>
      <w:divBdr>
        <w:top w:val="none" w:sz="0" w:space="0" w:color="auto"/>
        <w:left w:val="none" w:sz="0" w:space="0" w:color="auto"/>
        <w:bottom w:val="none" w:sz="0" w:space="0" w:color="auto"/>
        <w:right w:val="none" w:sz="0" w:space="0" w:color="auto"/>
      </w:divBdr>
    </w:div>
    <w:div w:id="1582256567">
      <w:bodyDiv w:val="1"/>
      <w:marLeft w:val="0"/>
      <w:marRight w:val="0"/>
      <w:marTop w:val="0"/>
      <w:marBottom w:val="0"/>
      <w:divBdr>
        <w:top w:val="none" w:sz="0" w:space="0" w:color="auto"/>
        <w:left w:val="none" w:sz="0" w:space="0" w:color="auto"/>
        <w:bottom w:val="none" w:sz="0" w:space="0" w:color="auto"/>
        <w:right w:val="none" w:sz="0" w:space="0" w:color="auto"/>
      </w:divBdr>
      <w:divsChild>
        <w:div w:id="1137604101">
          <w:marLeft w:val="640"/>
          <w:marRight w:val="0"/>
          <w:marTop w:val="0"/>
          <w:marBottom w:val="0"/>
          <w:divBdr>
            <w:top w:val="none" w:sz="0" w:space="0" w:color="auto"/>
            <w:left w:val="none" w:sz="0" w:space="0" w:color="auto"/>
            <w:bottom w:val="none" w:sz="0" w:space="0" w:color="auto"/>
            <w:right w:val="none" w:sz="0" w:space="0" w:color="auto"/>
          </w:divBdr>
        </w:div>
        <w:div w:id="1278754585">
          <w:marLeft w:val="640"/>
          <w:marRight w:val="0"/>
          <w:marTop w:val="0"/>
          <w:marBottom w:val="0"/>
          <w:divBdr>
            <w:top w:val="none" w:sz="0" w:space="0" w:color="auto"/>
            <w:left w:val="none" w:sz="0" w:space="0" w:color="auto"/>
            <w:bottom w:val="none" w:sz="0" w:space="0" w:color="auto"/>
            <w:right w:val="none" w:sz="0" w:space="0" w:color="auto"/>
          </w:divBdr>
        </w:div>
        <w:div w:id="736900631">
          <w:marLeft w:val="640"/>
          <w:marRight w:val="0"/>
          <w:marTop w:val="0"/>
          <w:marBottom w:val="0"/>
          <w:divBdr>
            <w:top w:val="none" w:sz="0" w:space="0" w:color="auto"/>
            <w:left w:val="none" w:sz="0" w:space="0" w:color="auto"/>
            <w:bottom w:val="none" w:sz="0" w:space="0" w:color="auto"/>
            <w:right w:val="none" w:sz="0" w:space="0" w:color="auto"/>
          </w:divBdr>
        </w:div>
        <w:div w:id="477113618">
          <w:marLeft w:val="640"/>
          <w:marRight w:val="0"/>
          <w:marTop w:val="0"/>
          <w:marBottom w:val="0"/>
          <w:divBdr>
            <w:top w:val="none" w:sz="0" w:space="0" w:color="auto"/>
            <w:left w:val="none" w:sz="0" w:space="0" w:color="auto"/>
            <w:bottom w:val="none" w:sz="0" w:space="0" w:color="auto"/>
            <w:right w:val="none" w:sz="0" w:space="0" w:color="auto"/>
          </w:divBdr>
        </w:div>
        <w:div w:id="442892979">
          <w:marLeft w:val="640"/>
          <w:marRight w:val="0"/>
          <w:marTop w:val="0"/>
          <w:marBottom w:val="0"/>
          <w:divBdr>
            <w:top w:val="none" w:sz="0" w:space="0" w:color="auto"/>
            <w:left w:val="none" w:sz="0" w:space="0" w:color="auto"/>
            <w:bottom w:val="none" w:sz="0" w:space="0" w:color="auto"/>
            <w:right w:val="none" w:sz="0" w:space="0" w:color="auto"/>
          </w:divBdr>
        </w:div>
        <w:div w:id="391121978">
          <w:marLeft w:val="640"/>
          <w:marRight w:val="0"/>
          <w:marTop w:val="0"/>
          <w:marBottom w:val="0"/>
          <w:divBdr>
            <w:top w:val="none" w:sz="0" w:space="0" w:color="auto"/>
            <w:left w:val="none" w:sz="0" w:space="0" w:color="auto"/>
            <w:bottom w:val="none" w:sz="0" w:space="0" w:color="auto"/>
            <w:right w:val="none" w:sz="0" w:space="0" w:color="auto"/>
          </w:divBdr>
        </w:div>
        <w:div w:id="241912478">
          <w:marLeft w:val="640"/>
          <w:marRight w:val="0"/>
          <w:marTop w:val="0"/>
          <w:marBottom w:val="0"/>
          <w:divBdr>
            <w:top w:val="none" w:sz="0" w:space="0" w:color="auto"/>
            <w:left w:val="none" w:sz="0" w:space="0" w:color="auto"/>
            <w:bottom w:val="none" w:sz="0" w:space="0" w:color="auto"/>
            <w:right w:val="none" w:sz="0" w:space="0" w:color="auto"/>
          </w:divBdr>
        </w:div>
        <w:div w:id="815688335">
          <w:marLeft w:val="640"/>
          <w:marRight w:val="0"/>
          <w:marTop w:val="0"/>
          <w:marBottom w:val="0"/>
          <w:divBdr>
            <w:top w:val="none" w:sz="0" w:space="0" w:color="auto"/>
            <w:left w:val="none" w:sz="0" w:space="0" w:color="auto"/>
            <w:bottom w:val="none" w:sz="0" w:space="0" w:color="auto"/>
            <w:right w:val="none" w:sz="0" w:space="0" w:color="auto"/>
          </w:divBdr>
        </w:div>
        <w:div w:id="192152046">
          <w:marLeft w:val="640"/>
          <w:marRight w:val="0"/>
          <w:marTop w:val="0"/>
          <w:marBottom w:val="0"/>
          <w:divBdr>
            <w:top w:val="none" w:sz="0" w:space="0" w:color="auto"/>
            <w:left w:val="none" w:sz="0" w:space="0" w:color="auto"/>
            <w:bottom w:val="none" w:sz="0" w:space="0" w:color="auto"/>
            <w:right w:val="none" w:sz="0" w:space="0" w:color="auto"/>
          </w:divBdr>
        </w:div>
        <w:div w:id="507717103">
          <w:marLeft w:val="640"/>
          <w:marRight w:val="0"/>
          <w:marTop w:val="0"/>
          <w:marBottom w:val="0"/>
          <w:divBdr>
            <w:top w:val="none" w:sz="0" w:space="0" w:color="auto"/>
            <w:left w:val="none" w:sz="0" w:space="0" w:color="auto"/>
            <w:bottom w:val="none" w:sz="0" w:space="0" w:color="auto"/>
            <w:right w:val="none" w:sz="0" w:space="0" w:color="auto"/>
          </w:divBdr>
        </w:div>
        <w:div w:id="1430466043">
          <w:marLeft w:val="640"/>
          <w:marRight w:val="0"/>
          <w:marTop w:val="0"/>
          <w:marBottom w:val="0"/>
          <w:divBdr>
            <w:top w:val="none" w:sz="0" w:space="0" w:color="auto"/>
            <w:left w:val="none" w:sz="0" w:space="0" w:color="auto"/>
            <w:bottom w:val="none" w:sz="0" w:space="0" w:color="auto"/>
            <w:right w:val="none" w:sz="0" w:space="0" w:color="auto"/>
          </w:divBdr>
        </w:div>
        <w:div w:id="77792409">
          <w:marLeft w:val="640"/>
          <w:marRight w:val="0"/>
          <w:marTop w:val="0"/>
          <w:marBottom w:val="0"/>
          <w:divBdr>
            <w:top w:val="none" w:sz="0" w:space="0" w:color="auto"/>
            <w:left w:val="none" w:sz="0" w:space="0" w:color="auto"/>
            <w:bottom w:val="none" w:sz="0" w:space="0" w:color="auto"/>
            <w:right w:val="none" w:sz="0" w:space="0" w:color="auto"/>
          </w:divBdr>
        </w:div>
        <w:div w:id="1574776918">
          <w:marLeft w:val="640"/>
          <w:marRight w:val="0"/>
          <w:marTop w:val="0"/>
          <w:marBottom w:val="0"/>
          <w:divBdr>
            <w:top w:val="none" w:sz="0" w:space="0" w:color="auto"/>
            <w:left w:val="none" w:sz="0" w:space="0" w:color="auto"/>
            <w:bottom w:val="none" w:sz="0" w:space="0" w:color="auto"/>
            <w:right w:val="none" w:sz="0" w:space="0" w:color="auto"/>
          </w:divBdr>
        </w:div>
      </w:divsChild>
    </w:div>
    <w:div w:id="1606377401">
      <w:bodyDiv w:val="1"/>
      <w:marLeft w:val="0"/>
      <w:marRight w:val="0"/>
      <w:marTop w:val="0"/>
      <w:marBottom w:val="0"/>
      <w:divBdr>
        <w:top w:val="none" w:sz="0" w:space="0" w:color="auto"/>
        <w:left w:val="none" w:sz="0" w:space="0" w:color="auto"/>
        <w:bottom w:val="none" w:sz="0" w:space="0" w:color="auto"/>
        <w:right w:val="none" w:sz="0" w:space="0" w:color="auto"/>
      </w:divBdr>
    </w:div>
    <w:div w:id="1759905665">
      <w:bodyDiv w:val="1"/>
      <w:marLeft w:val="0"/>
      <w:marRight w:val="0"/>
      <w:marTop w:val="0"/>
      <w:marBottom w:val="0"/>
      <w:divBdr>
        <w:top w:val="none" w:sz="0" w:space="0" w:color="auto"/>
        <w:left w:val="none" w:sz="0" w:space="0" w:color="auto"/>
        <w:bottom w:val="none" w:sz="0" w:space="0" w:color="auto"/>
        <w:right w:val="none" w:sz="0" w:space="0" w:color="auto"/>
      </w:divBdr>
    </w:div>
    <w:div w:id="1796366371">
      <w:bodyDiv w:val="1"/>
      <w:marLeft w:val="0"/>
      <w:marRight w:val="0"/>
      <w:marTop w:val="0"/>
      <w:marBottom w:val="0"/>
      <w:divBdr>
        <w:top w:val="none" w:sz="0" w:space="0" w:color="auto"/>
        <w:left w:val="none" w:sz="0" w:space="0" w:color="auto"/>
        <w:bottom w:val="none" w:sz="0" w:space="0" w:color="auto"/>
        <w:right w:val="none" w:sz="0" w:space="0" w:color="auto"/>
      </w:divBdr>
    </w:div>
    <w:div w:id="1825704967">
      <w:bodyDiv w:val="1"/>
      <w:marLeft w:val="0"/>
      <w:marRight w:val="0"/>
      <w:marTop w:val="0"/>
      <w:marBottom w:val="0"/>
      <w:divBdr>
        <w:top w:val="none" w:sz="0" w:space="0" w:color="auto"/>
        <w:left w:val="none" w:sz="0" w:space="0" w:color="auto"/>
        <w:bottom w:val="none" w:sz="0" w:space="0" w:color="auto"/>
        <w:right w:val="none" w:sz="0" w:space="0" w:color="auto"/>
      </w:divBdr>
    </w:div>
    <w:div w:id="1838230242">
      <w:bodyDiv w:val="1"/>
      <w:marLeft w:val="0"/>
      <w:marRight w:val="0"/>
      <w:marTop w:val="0"/>
      <w:marBottom w:val="0"/>
      <w:divBdr>
        <w:top w:val="none" w:sz="0" w:space="0" w:color="auto"/>
        <w:left w:val="none" w:sz="0" w:space="0" w:color="auto"/>
        <w:bottom w:val="none" w:sz="0" w:space="0" w:color="auto"/>
        <w:right w:val="none" w:sz="0" w:space="0" w:color="auto"/>
      </w:divBdr>
    </w:div>
    <w:div w:id="1901014158">
      <w:bodyDiv w:val="1"/>
      <w:marLeft w:val="0"/>
      <w:marRight w:val="0"/>
      <w:marTop w:val="0"/>
      <w:marBottom w:val="0"/>
      <w:divBdr>
        <w:top w:val="none" w:sz="0" w:space="0" w:color="auto"/>
        <w:left w:val="none" w:sz="0" w:space="0" w:color="auto"/>
        <w:bottom w:val="none" w:sz="0" w:space="0" w:color="auto"/>
        <w:right w:val="none" w:sz="0" w:space="0" w:color="auto"/>
      </w:divBdr>
    </w:div>
    <w:div w:id="1927033548">
      <w:bodyDiv w:val="1"/>
      <w:marLeft w:val="0"/>
      <w:marRight w:val="0"/>
      <w:marTop w:val="0"/>
      <w:marBottom w:val="0"/>
      <w:divBdr>
        <w:top w:val="none" w:sz="0" w:space="0" w:color="auto"/>
        <w:left w:val="none" w:sz="0" w:space="0" w:color="auto"/>
        <w:bottom w:val="none" w:sz="0" w:space="0" w:color="auto"/>
        <w:right w:val="none" w:sz="0" w:space="0" w:color="auto"/>
      </w:divBdr>
      <w:divsChild>
        <w:div w:id="1762679299">
          <w:marLeft w:val="640"/>
          <w:marRight w:val="0"/>
          <w:marTop w:val="0"/>
          <w:marBottom w:val="0"/>
          <w:divBdr>
            <w:top w:val="none" w:sz="0" w:space="0" w:color="auto"/>
            <w:left w:val="none" w:sz="0" w:space="0" w:color="auto"/>
            <w:bottom w:val="none" w:sz="0" w:space="0" w:color="auto"/>
            <w:right w:val="none" w:sz="0" w:space="0" w:color="auto"/>
          </w:divBdr>
        </w:div>
        <w:div w:id="1323007389">
          <w:marLeft w:val="640"/>
          <w:marRight w:val="0"/>
          <w:marTop w:val="0"/>
          <w:marBottom w:val="0"/>
          <w:divBdr>
            <w:top w:val="none" w:sz="0" w:space="0" w:color="auto"/>
            <w:left w:val="none" w:sz="0" w:space="0" w:color="auto"/>
            <w:bottom w:val="none" w:sz="0" w:space="0" w:color="auto"/>
            <w:right w:val="none" w:sz="0" w:space="0" w:color="auto"/>
          </w:divBdr>
        </w:div>
        <w:div w:id="754715801">
          <w:marLeft w:val="640"/>
          <w:marRight w:val="0"/>
          <w:marTop w:val="0"/>
          <w:marBottom w:val="0"/>
          <w:divBdr>
            <w:top w:val="none" w:sz="0" w:space="0" w:color="auto"/>
            <w:left w:val="none" w:sz="0" w:space="0" w:color="auto"/>
            <w:bottom w:val="none" w:sz="0" w:space="0" w:color="auto"/>
            <w:right w:val="none" w:sz="0" w:space="0" w:color="auto"/>
          </w:divBdr>
        </w:div>
        <w:div w:id="1479958933">
          <w:marLeft w:val="640"/>
          <w:marRight w:val="0"/>
          <w:marTop w:val="0"/>
          <w:marBottom w:val="0"/>
          <w:divBdr>
            <w:top w:val="none" w:sz="0" w:space="0" w:color="auto"/>
            <w:left w:val="none" w:sz="0" w:space="0" w:color="auto"/>
            <w:bottom w:val="none" w:sz="0" w:space="0" w:color="auto"/>
            <w:right w:val="none" w:sz="0" w:space="0" w:color="auto"/>
          </w:divBdr>
        </w:div>
        <w:div w:id="1019426287">
          <w:marLeft w:val="640"/>
          <w:marRight w:val="0"/>
          <w:marTop w:val="0"/>
          <w:marBottom w:val="0"/>
          <w:divBdr>
            <w:top w:val="none" w:sz="0" w:space="0" w:color="auto"/>
            <w:left w:val="none" w:sz="0" w:space="0" w:color="auto"/>
            <w:bottom w:val="none" w:sz="0" w:space="0" w:color="auto"/>
            <w:right w:val="none" w:sz="0" w:space="0" w:color="auto"/>
          </w:divBdr>
        </w:div>
        <w:div w:id="846794760">
          <w:marLeft w:val="640"/>
          <w:marRight w:val="0"/>
          <w:marTop w:val="0"/>
          <w:marBottom w:val="0"/>
          <w:divBdr>
            <w:top w:val="none" w:sz="0" w:space="0" w:color="auto"/>
            <w:left w:val="none" w:sz="0" w:space="0" w:color="auto"/>
            <w:bottom w:val="none" w:sz="0" w:space="0" w:color="auto"/>
            <w:right w:val="none" w:sz="0" w:space="0" w:color="auto"/>
          </w:divBdr>
        </w:div>
        <w:div w:id="207181584">
          <w:marLeft w:val="640"/>
          <w:marRight w:val="0"/>
          <w:marTop w:val="0"/>
          <w:marBottom w:val="0"/>
          <w:divBdr>
            <w:top w:val="none" w:sz="0" w:space="0" w:color="auto"/>
            <w:left w:val="none" w:sz="0" w:space="0" w:color="auto"/>
            <w:bottom w:val="none" w:sz="0" w:space="0" w:color="auto"/>
            <w:right w:val="none" w:sz="0" w:space="0" w:color="auto"/>
          </w:divBdr>
        </w:div>
        <w:div w:id="363989565">
          <w:marLeft w:val="640"/>
          <w:marRight w:val="0"/>
          <w:marTop w:val="0"/>
          <w:marBottom w:val="0"/>
          <w:divBdr>
            <w:top w:val="none" w:sz="0" w:space="0" w:color="auto"/>
            <w:left w:val="none" w:sz="0" w:space="0" w:color="auto"/>
            <w:bottom w:val="none" w:sz="0" w:space="0" w:color="auto"/>
            <w:right w:val="none" w:sz="0" w:space="0" w:color="auto"/>
          </w:divBdr>
        </w:div>
        <w:div w:id="1679893446">
          <w:marLeft w:val="640"/>
          <w:marRight w:val="0"/>
          <w:marTop w:val="0"/>
          <w:marBottom w:val="0"/>
          <w:divBdr>
            <w:top w:val="none" w:sz="0" w:space="0" w:color="auto"/>
            <w:left w:val="none" w:sz="0" w:space="0" w:color="auto"/>
            <w:bottom w:val="none" w:sz="0" w:space="0" w:color="auto"/>
            <w:right w:val="none" w:sz="0" w:space="0" w:color="auto"/>
          </w:divBdr>
        </w:div>
        <w:div w:id="1899172097">
          <w:marLeft w:val="640"/>
          <w:marRight w:val="0"/>
          <w:marTop w:val="0"/>
          <w:marBottom w:val="0"/>
          <w:divBdr>
            <w:top w:val="none" w:sz="0" w:space="0" w:color="auto"/>
            <w:left w:val="none" w:sz="0" w:space="0" w:color="auto"/>
            <w:bottom w:val="none" w:sz="0" w:space="0" w:color="auto"/>
            <w:right w:val="none" w:sz="0" w:space="0" w:color="auto"/>
          </w:divBdr>
        </w:div>
      </w:divsChild>
    </w:div>
    <w:div w:id="2024935049">
      <w:bodyDiv w:val="1"/>
      <w:marLeft w:val="0"/>
      <w:marRight w:val="0"/>
      <w:marTop w:val="0"/>
      <w:marBottom w:val="0"/>
      <w:divBdr>
        <w:top w:val="none" w:sz="0" w:space="0" w:color="auto"/>
        <w:left w:val="none" w:sz="0" w:space="0" w:color="auto"/>
        <w:bottom w:val="none" w:sz="0" w:space="0" w:color="auto"/>
        <w:right w:val="none" w:sz="0" w:space="0" w:color="auto"/>
      </w:divBdr>
    </w:div>
    <w:div w:id="2026052493">
      <w:bodyDiv w:val="1"/>
      <w:marLeft w:val="0"/>
      <w:marRight w:val="0"/>
      <w:marTop w:val="0"/>
      <w:marBottom w:val="0"/>
      <w:divBdr>
        <w:top w:val="none" w:sz="0" w:space="0" w:color="auto"/>
        <w:left w:val="none" w:sz="0" w:space="0" w:color="auto"/>
        <w:bottom w:val="none" w:sz="0" w:space="0" w:color="auto"/>
        <w:right w:val="none" w:sz="0" w:space="0" w:color="auto"/>
      </w:divBdr>
    </w:div>
    <w:div w:id="2045397847">
      <w:bodyDiv w:val="1"/>
      <w:marLeft w:val="0"/>
      <w:marRight w:val="0"/>
      <w:marTop w:val="0"/>
      <w:marBottom w:val="0"/>
      <w:divBdr>
        <w:top w:val="none" w:sz="0" w:space="0" w:color="auto"/>
        <w:left w:val="none" w:sz="0" w:space="0" w:color="auto"/>
        <w:bottom w:val="none" w:sz="0" w:space="0" w:color="auto"/>
        <w:right w:val="none" w:sz="0" w:space="0" w:color="auto"/>
      </w:divBdr>
    </w:div>
    <w:div w:id="213806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www.phius.org/standards" TargetMode="External"/><Relationship Id="rId39" Type="http://schemas.openxmlformats.org/officeDocument/2006/relationships/hyperlink" Target="https://www.sciencedirect.com/science/article/pii/S0038092X06001897" TargetMode="External"/><Relationship Id="rId21" Type="http://schemas.openxmlformats.org/officeDocument/2006/relationships/hyperlink" Target="https://www.usgbc.org/leed" TargetMode="External"/><Relationship Id="rId34" Type="http://schemas.openxmlformats.org/officeDocument/2006/relationships/hyperlink" Target="https://doi.org/10.1016/j.rser.2025.115837" TargetMode="External"/><Relationship Id="rId42" Type="http://schemas.openxmlformats.org/officeDocument/2006/relationships/hyperlink" Target="https://doi.org/10.1016/j.rser.2024.114873"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www.livingdaylights.nl/wp-content/uploads/2016/12/Heschong-2002.-Daylighting-and-Human-performanc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ashrae.org/technical-resources/bookstore/standard-90-1" TargetMode="External"/><Relationship Id="rId32" Type="http://schemas.openxmlformats.org/officeDocument/2006/relationships/hyperlink" Target="https://doi.org/10.1007/978-3-031-93926-6_19" TargetMode="External"/><Relationship Id="rId37" Type="http://schemas.openxmlformats.org/officeDocument/2006/relationships/hyperlink" Target="https://doi.org/10.1080/01998590809509383" TargetMode="External"/><Relationship Id="rId40" Type="http://schemas.openxmlformats.org/officeDocument/2006/relationships/hyperlink" Target="https://doi.org/10.1007/s12273-014-0203-6" TargetMode="External"/><Relationship Id="rId45" Type="http://schemas.openxmlformats.org/officeDocument/2006/relationships/hyperlink" Target="https://doi.org/10.1016/j.apenergy.2024.123205"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energystar.gov/buildings/benchmark/understand-metrics/score-updates" TargetMode="External"/><Relationship Id="rId28" Type="http://schemas.openxmlformats.org/officeDocument/2006/relationships/hyperlink" Target="https://living-future.org/wp-content/uploads/2022/08/LBC-4_0_v14_2_compressed.pdf" TargetMode="External"/><Relationship Id="rId36" Type="http://schemas.openxmlformats.org/officeDocument/2006/relationships/hyperlink" Target="https://evo-world.org/en/products-services-mainmenu-en/protocols/ipmvp" TargetMode="Externa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doi.org/10.1016/j.enbuild.2024.114293" TargetMode="External"/><Relationship Id="rId44" Type="http://schemas.openxmlformats.org/officeDocument/2006/relationships/hyperlink" Target="https://www.wbdg.org/hom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v2.wellcertified.com/" TargetMode="External"/><Relationship Id="rId27" Type="http://schemas.openxmlformats.org/officeDocument/2006/relationships/hyperlink" Target="https://thegbi.org/assessment-certification/green-globes-certification/green-globes-for-new-construction/" TargetMode="External"/><Relationship Id="rId30" Type="http://schemas.openxmlformats.org/officeDocument/2006/relationships/hyperlink" Target="https://doi.org/10.1016/j.buildenv.2019.04.051" TargetMode="External"/><Relationship Id="rId35" Type="http://schemas.openxmlformats.org/officeDocument/2006/relationships/hyperlink" Target="https://doi.org/10.1016/j.rser.2016.01.130" TargetMode="External"/><Relationship Id="rId43" Type="http://schemas.openxmlformats.org/officeDocument/2006/relationships/hyperlink" Target="https://doi.org/10.2172/1886333"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codes.iccsafe.org/content/IECC2021P1" TargetMode="External"/><Relationship Id="rId33" Type="http://schemas.openxmlformats.org/officeDocument/2006/relationships/hyperlink" Target="https://doi.org/10.1016/j.rser.2015.03.062" TargetMode="External"/><Relationship Id="rId38" Type="http://schemas.openxmlformats.org/officeDocument/2006/relationships/hyperlink" Target="https://www.gsa.gov/governmentwide-initiatives/federal-highperformance-buildings/highperformance-building-clearinghouse/energy/building-energy-security-and-efficiency" TargetMode="External"/><Relationship Id="rId46" Type="http://schemas.openxmlformats.org/officeDocument/2006/relationships/fontTable" Target="fontTable.xml"/><Relationship Id="rId20" Type="http://schemas.openxmlformats.org/officeDocument/2006/relationships/image" Target="media/image7.png"/><Relationship Id="rId41" Type="http://schemas.openxmlformats.org/officeDocument/2006/relationships/hyperlink" Target="https://books.google.com/books?hl=en&amp;lr=&amp;id=L6geBAAAQBAJ&amp;oi=fnd&amp;pg=PP1&amp;dq=%5B21%5D%09D.+Robinson,+Ed.,+Computer+Modelling+for+Sustainable+Urban+Design:+Physical+Principles,+Methods+and+Applications.+London,+U.K.:+Earthscan,+2011.&amp;ots=YDEj5QiQEx&amp;sig=_Qf08IJBOy0eMk_qGjP9teDSc2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CFF853F-D911-4FD3-873C-965CE8937D72}">
  <we:reference id="wa104382081" version="1.55.1.0" store="en-US" storeType="OMEX"/>
  <we:alternateReferences>
    <we:reference id="WA104382081" version="1.55.1.0" store="" storeType="OMEX"/>
  </we:alternateReferences>
  <we:properties>
    <we:property name="MENDELEY_CITATIONS" value="[{&quot;citationID&quot;:&quot;MENDELEY_CITATION_1297a1ea-90fd-4eee-b867-b4554163c587&quot;,&quot;properties&quot;:{&quot;noteIndex&quot;:0},&quot;isEdited&quot;:false,&quot;manualOverride&quot;:{&quot;isManuallyOverridden&quot;:false,&quot;citeprocText&quot;:&quot;[1]&quot;,&quot;manualOverrideText&quot;:&quot;&quot;},&quot;citationTag&quot;:&quot;MENDELEY_CITATION_v3_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&quot;,&quot;citationItems&quot;:[{&quot;id&quot;:&quot;cb764f06-1fa5-3133-9bb8-dee8cb02f5e3&quot;,&quot;itemData&quot;:{&quot;type&quot;:&quot;article-journal&quot;,&quot;id&quot;:&quot;cb764f06-1fa5-3133-9bb8-dee8cb02f5e3&quot;,&quot;title&quot;:&quot;Optimized Performance and Economic Assessment for Hybrid Island Microgrid System Considering Uncertainties&quot;,&quot;author&quot;:[{&quot;family&quot;:&quot;Shufian&quot;,&quot;given&quot;:&quot;Abu&quot;,&quot;parse-names&quot;:false,&quot;dropping-particle&quot;:&quot;&quot;,&quot;non-dropping-particle&quot;:&quot;&quot;},{&quot;family&quot;:&quot;Hoque&quot;,&quot;given&quot;:&quot;Md Jawad Al Mursalin&quot;,&quot;parse-names&quot;:false,&quot;dropping-particle&quot;:&quot;&quot;,&quot;non-dropping-particle&quot;:&quot;&quot;},{&quot;family&quot;:&quot;Kabir&quot;,&quot;given&quot;:&quot;Shaharier&quot;,&quot;parse-names&quot;:false,&quot;dropping-particle&quot;:&quot;&quot;,&quot;non-dropping-particle&quot;:&quot;&quot;},{&quot;family&quot;:&quot;Mohammad&quot;,&quot;given&quot;:&quot;Nur&quot;,&quot;parse-names&quot;:false,&quot;dropping-particle&quot;:&quot;&quot;,&quot;non-dropping-particle&quot;:&quot;&quot;}],&quot;container-title&quot;:&quot;Technology and Economics of Smart Grids and Sustainable Energy&quot;,&quot;accessed&quot;:{&quot;date-parts&quot;:[[2023,10,24]]},&quot;DOI&quot;:&quot;10.1007/S40866-022-00156-9/TABLES/6&quot;,&quot;ISSN&quot;:&quot;21994706&quot;,&quot;URL&quot;:&quot;https://link.springer.com/article/10.1007/s40866-022-00156-9&quot;,&quot;issued&quot;:{&quot;date-parts&quot;:[[2022,12,1]]},&quot;page&quot;:&quot;1-20&quot;,&quot;abstract&quot;:&quot;Distributed energy resources (DER) based microgrid system integration over conventional grids at remote or isolated locations has many potential benefits in minimizing the effects of global warming. However, this emerging microgrid technology brings challenges such as high capital costs, stable performance, uncertainties, operation, maintenance, and management issues. This research introduces an island microgrid system with a correlation of PV/wind/biomass/electrolyzer/hydrogen storage/fuel cell/diesel generator. The suggested hybrid system is assessed based on the different natural uncertainties of the DER, considering the availability of wind speed, solar irradiation, and biomass fuels. Optimized electricity production and possible economic interpretation of the microgrid system are revealed. Day-ahead forecast generation and load demand dispatch analysis related to various uncertainties are estimated and calculated by the net load demand forecasting approach. With the help of optimal power dispatch scheduling, the day-ahead generation and load demand uncertainties are effectively handled. A few plausible case studies bespeak the suitability of the suggested island microgrid system in different environmental situations where the national grid is unavailable. The real-time simulation of the proposed model amplifies the feasibility of generation synchronization with load demand.&quot;,&quot;publisher&quot;:&quot;Springer&quot;,&quot;issue&quot;:&quot;1&quot;,&quot;volume&quot;:&quot;7&quot;,&quot;container-title-short&quot;:&quot;&quot;},&quot;isTemporary&quot;:false}]},{&quot;citationID&quot;:&quot;MENDELEY_CITATION_3343345a-69e6-480c-b7a3-68dc1a1bcc01&quot;,&quot;properties&quot;:{&quot;noteIndex&quot;:0},&quot;isEdited&quot;:false,&quot;manualOverride&quot;:{&quot;isManuallyOverridden&quot;:false,&quot;citeprocText&quot;:&quot;[2]&quot;,&quot;manualOverrideText&quot;:&quot;&quot;},&quot;citationTag&quot;:&quot;MENDELEY_CITATION_v3_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&quot;,&quot;citationItems&quot;:[{&quot;id&quot;:&quot;08402cbc-b40e-3e13-9d9e-03811a11a344&quot;,&quot;itemData&quot;:{&quot;type&quot;:&quot;article-journal&quot;,&quot;id&quot;:&quot;08402cbc-b40e-3e13-9d9e-03811a11a344&quot;,&quot;title&quot;:&quot;Isolation Forest Based Anomaly Detection and Fault Localization for Solar PV System&quot;,&quot;author&quot;:[{&quot;family&quot;:&quot;Kabir&quot;,&quot;given&quot;:&quot;Shaharier&quot;,&quot;parse-names&quot;:false,&quot;dropping-particle&quot;:&quot;&quot;,&quot;non-dropping-particle&quot;:&quot;&quot;},{&quot;family&quot;:&quot;Shufian&quot;,&quot;given&quot;:&quot;Abu&quot;,&quot;parse-names&quot;:false,&quot;dropping-particle&quot;:&quot;&quot;,&quot;non-dropping-particle&quot;:&quot;&quot;},{&quot;family&quot;:&quot;Zishan&quot;,&quot;given&quot;:&quot;Md Saniat Rahman&quot;,&quot;parse-names&quot;:false,&quot;dropping-particle&quot;:&quot;&quot;,&quot;non-dropping-particle&quot;:&quot;&quot;}],&quot;container-title&quot;:&quot;International Conference on Robotics, Electrical and Signal Processing Techniques&quot;,&quot;accessed&quot;:{&quot;date-parts&quot;:[[2024,3,28]]},&quot;DOI&quot;:&quot;10.1109/ICREST57604.2023.10070033&quot;,&quot;ISBN&quot;:&quot;9798350346435&quot;,&quot;issued&quot;:{&quot;date-parts&quot;:[[2023]]},&quot;page&quot;:&quot;341-345&quot;,&quot;abstract&quot;:&quot;The decrease in fossil fuel reserves has prompted a global move toward distributed energy resources. For this reason, solar PV power generation has recently gained much attention as a feasible renewable energy source. However, large-scale generation is challenging if there are anomalies in individual solar PV panels. This will reduce the efficiency of the PV system and create a potential fire hazard. In this perspective, the anomaly detection technique discloses system anomalies accurately and effectively. Identified anomalies will localize the event for an improved generation. This paper addresses the performance analysis of using the isolation forest technique to identify anomalies in the PV system and the rule-based fault localization technique to identify defective panel events. In the developed model, the isolation forest technique found around 453 anomalies in 45,740 observations, and approximately six panels indicated a fault in the system. The accuracy score is found to be approximately 0.9886. The proposed fault detection method will help detect the faults in solar power systems.&quot;,&quot;publisher&quot;:&quot;Institute of Electrical and Electronics Engineers Inc.&quot;,&quot;volume&quot;:&quot;2023-January&quot;,&quot;container-title-short&quot;:&quot;&quot;},&quot;isTemporary&quot;:false}]},{&quot;citationID&quot;:&quot;MENDELEY_CITATION_8bc1d0b1-283d-4b2d-8b2e-d3ebb370da3b&quot;,&quot;properties&quot;:{&quot;noteIndex&quot;:0},&quot;isEdited&quot;:false,&quot;manualOverride&quot;:{&quot;isManuallyOverridden&quot;:false,&quot;citeprocText&quot;:&quot;[3]&quot;,&quot;manualOverrideText&quot;:&quot;&quot;},&quot;citationTag&quot;:&quot;MENDELEY_CITATION_v3_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&quot;,&quot;citationItems&quot;:[{&quot;id&quot;:&quot;0f4e3f8b-4221-308e-a6da-b57887001184&quot;,&quot;itemData&quot;:{&quot;type&quot;:&quot;article-journal&quot;,&quot;id&quot;:&quot;0f4e3f8b-4221-308e-a6da-b57887001184&quot;,&quot;title&quot;:&quot;Prospects and Economic Feasibility Analysis of Solar PV/Hydrogen Fuel-based Power System for Green City&quot;,&quot;author&quot;:[{&quot;family&quot;:&quot;Kabir&quot;,&quot;given&quot;:&quot;Shaharier&quot;,&quot;parse-names&quot;:false,&quot;dropping-particle&quot;:&quot;&quot;,&quot;non-dropping-particle&quot;:&quot;&quot;},{&quot;family&quot;:&quot;Hoque&quot;,&quot;given&quot;:&quot;Md Jawad Al Mursalin&quot;,&quot;parse-names&quot;:false,&quot;dropping-particle&quot;:&quot;&quot;,&quot;non-dropping-particle&quot;:&quot;&quot;},{&quot;family&quot;:&quot;Adnan&quot;,&quot;given&quot;:&quot;Md Asif&quot;,&quot;parse-names&quot;:false,&quot;dropping-particle&quot;:&quot;&quot;,&quot;non-dropping-particle&quot;:&quot;&quot;},{&quot;family&quot;:&quot;Islam&quot;,&quot;given&quot;:&quot;Md Ashikul&quot;,&quot;parse-names&quot;:false,&quot;dropping-particle&quot;:&quot;&quot;,&quot;non-dropping-particle&quot;:&quot;&quot;},{&quot;family&quot;:&quot;Shufian&quot;,&quot;given&quot;:&quot;Abu&quot;,&quot;parse-names&quot;:false,&quot;dropping-particle&quot;:&quot;&quot;,&quot;non-dropping-particle&quot;:&quot;&quot;}],&quot;container-title&quot;:&quot;2023 International Conference on Next-Generation Computing, IoT and Machine Learning, NCIM 2023&quot;,&quot;accessed&quot;:{&quot;date-parts&quot;:[[2024,3,28]]},&quot;DOI&quot;:&quot;10.1109/NCIM59001.2023.10212750&quot;,&quot;ISBN&quot;:&quot;9798350316001&quot;,&quot;issued&quot;:{&quot;date-parts&quot;:[[2023]]},&quot;abstract&quot;:&quot;Meeting the energy demands of self-sustaining off-grid systems, especially in regions with extreme solar intermittency and energy consumption patterns like northern climates, requires effective short-term and seasonal energy storage solutions. This research investigates the feasibility and economic viability of a solar PV/hydrogen fuel-based power system for a green city. Employing the Hybrid Optimization of Multiple Energy Resources (HOMER) software, an extensive analysis is conducted to optimize and simulate the proposed system. And a comprehensive assessment is performed to evaluate the technical and economic feasibility of implementing this system in a green city context. Key factors such as potential energy generation capacity, system efficiency, and economic viability are thoroughly analyzed. The findings reveal that the proposed system offers a reliable and sustainable energy source for a green city. By significantly reducing greenhouse gas emissions and providing a cost-effective solution to meet the city's energy requirements, this system showcases its potential in addressing environmental concerns.&quot;,&quot;publisher&quot;:&quot;Institute of Electrical and Electronics Engineers Inc.&quot;,&quot;container-title-short&quot;:&quot;&quot;},&quot;isTemporary&quot;:false}]},{&quot;citationID&quot;:&quot;MENDELEY_CITATION_497fd23f-4aa0-4af6-96d6-5c07b795e6e0&quot;,&quot;properties&quot;:{&quot;noteIndex&quot;:0},&quot;isEdited&quot;:false,&quot;manualOverride&quot;:{&quot;isManuallyOverridden&quot;:false,&quot;citeprocText&quot;:&quot;[4]&quot;,&quot;manualOverrideText&quot;:&quot;&quot;},&quot;citationTag&quot;:&quot;MENDELEY_CITATION_v3_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&quot;,&quot;citationItems&quot;:[{&quot;id&quot;:&quot;2e37117e-e5d7-3333-bf96-13a48da01c8b&quot;,&quot;itemData&quot;:{&quot;type&quot;:&quot;article-journal&quot;,&quot;id&quot;:&quot;2e37117e-e5d7-3333-bf96-13a48da01c8b&quot;,&quot;title&quot;:&quot;Design and Implementation of Efficient Electric Vehicle with Clean Energy&quot;,&quot;author&quot;:[{&quot;family&quot;:&quot;Alam&quot;,&quot;given&quot;:&quot;Md Nazmul&quot;,&quot;parse-names&quot;:false,&quot;dropping-particle&quot;:&quot;&quot;,&quot;non-dropping-particle&quot;:&quot;&quot;},{&quot;family&quot;:&quot;Shufian&quot;,&quot;given&quot;:&quot;Abu&quot;,&quot;parse-names&quot;:false,&quot;dropping-particle&quot;:&quot;&quot;,&quot;non-dropping-particle&quot;:&quot;&quot;},{&quot;family&quot;:&quot;Islam&quot;,&quot;given&quot;:&quot;Riadul&quot;,&quot;parse-names&quot;:false,&quot;dropping-particle&quot;:&quot;&quot;,&quot;non-dropping-particle&quot;:&quot;&quot;},{&quot;family&quot;:&quot;Islam&quot;,&quot;given&quot;:&quot;Md Asraful&quot;,&quot;parse-names&quot;:false,&quot;dropping-particle&quot;:&quot;&quot;,&quot;non-dropping-particle&quot;:&quot;&quot;},{&quot;family&quot;:&quot;Rahman&quot;,&quot;given&quot;:&quot;S. M.Minhazur&quot;,&quot;parse-names&quot;:false,&quot;dropping-particle&quot;:&quot;&quot;,&quot;non-dropping-particle&quot;:&quot;&quot;},{&quot;family&quot;:&quot;Rahat&quot;,&quot;given&quot;:&quot;Minul Khan&quot;,&quot;parse-names&quot;:false,&quot;dropping-particle&quot;:&quot;&quot;,&quot;non-dropping-particle&quot;:&quot;&quot;}],&quot;container-title&quot;:&quot;2021 International Conference on Information Technology, ICIT 2021 - Proceedings&quot;,&quot;accessed&quot;:{&quot;date-parts&quot;:[[2024,8,25]]},&quot;DOI&quot;:&quot;10.1109/ICIT52682.2021.9491628&quot;,&quot;ISBN&quot;:&quot;9781665428705&quot;,&quot;issued&quot;:{&quot;date-parts&quot;:[[2021,7,14]]},&quot;page&quot;:&quot;302-307&quot;,&quot;abstract&quot;:&quot;Electric power will be used in this proposed vehicle and electricity from a natural source of energy. The energy source outperforms a traditional solar panel in terms of high efficiency. Instead of batteries, the supercapacitor has been used as a battery that has a limited life cycle, although the battery is used in the real world and its regenerative energy will be used for short periods. Also, it is very quickly charged. Either wirelessly or with a wire can charge the car on run. A solar panel was used as the vehicle's power supply. The car performs well with high efficiency, which is the main goal is this research work. Day by day, battery-driven cars are very popular in Bangladesh. But to get charged takes a long time. It is also a costly source of power. So, the main purpose of this research work is to replace supercapacitor with battery because of its huge advantage, which technology makes a new era in the automotive industry. Supercapacitors based on graphemes improve daily. There is not much time when condensers compete with batteries. It has been said that this research work is a perfect model of an efficient electric car with clean energy with many significant improvements still to be made.&quot;,&quot;publisher&quot;:&quot;Institute of Electrical and Electronics Engineers Inc.&quot;,&quot;container-title-short&quot;:&quot;&quot;},&quot;isTemporary&quot;:false}]},{&quot;citationID&quot;:&quot;MENDELEY_CITATION_ea29cde6-f1fd-4a26-a321-757e7f3b1568&quot;,&quot;properties&quot;:{&quot;noteIndex&quot;:0},&quot;isEdited&quot;:false,&quot;manualOverride&quot;:{&quot;isManuallyOverridden&quot;:false,&quot;citeprocText&quot;:&quot;[5]&quot;,&quot;manualOverrideText&quot;:&quot;&quot;},&quot;citationTag&quot;:&quot;MENDELEY_CITATION_v3_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&quot;,&quot;citationItems&quot;:[{&quot;id&quot;:&quot;112f9324-a563-3824-a9cc-17f1baa44be2&quot;,&quot;itemData&quot;:{&quot;type&quot;:&quot;article-journal&quot;,&quot;id&quot;:&quot;112f9324-a563-3824-a9cc-17f1baa44be2&quot;,&quot;title&quot;:&quot;Advanced Forecasting of Wind Energy Generation Through Integration of AE-CLSTM&quot;,&quot;author&quot;:[{&quot;family&quot;:&quot;Rashid Mahin&quot;,&quot;given&quot;:&quot;Md Saidur&quot;,&quot;parse-names&quot;:false,&quot;dropping-particle&quot;:&quot;&quot;,&quot;non-dropping-particle&quot;:&quot;&quot;},{&quot;family&quot;:&quot;Kabir&quot;,&quot;given&quot;:&quot;Shaharier&quot;,&quot;parse-names&quot;:false,&quot;dropping-particle&quot;:&quot;&quot;,&quot;non-dropping-particle&quot;:&quot;&quot;},{&quot;family&quot;:&quot;Islam&quot;,&quot;given&quot;:&quot;Md Ashikul&quot;,&quot;parse-names&quot;:false,&quot;dropping-particle&quot;:&quot;&quot;,&quot;non-dropping-particle&quot;:&quot;&quot;},{&quot;family&quot;:&quot;Shufian&quot;,&quot;given&quot;:&quot;Abu&quot;,&quot;parse-names&quot;:false,&quot;dropping-particle&quot;:&quot;&quot;,&quot;non-dropping-particle&quot;:&quot;&quot;}],&quot;container-title&quot;:&quot;2024 International Conference on Green Energy, Computing and Sustainable Technology (GECOST)&quot;,&quot;accessed&quot;:{&quot;date-parts&quot;:[[2024,3,28]]},&quot;DOI&quot;:&quot;10.1109/GECOST60902.2024.10474818&quot;,&quot;ISBN&quot;:&quot;979-8-3503-5790-5&quot;,&quot;URL&quot;:&quot;https://ieeexplore.ieee.org/document/10474818/&quot;,&quot;issued&quot;:{&quot;date-parts&quot;:[[2024,1,17]]},&quot;page&quot;:&quot;305-310&quot;,&quot;publisher&quot;:&quot;IEEE&quot;,&quot;container-title-short&quot;:&quot;&quot;},&quot;isTemporary&quot;:false}]},{&quot;citationID&quot;:&quot;MENDELEY_CITATION_267f2cc0-33dc-4bff-bbeb-62558f0937cc&quot;,&quot;properties&quot;:{&quot;noteIndex&quot;:0},&quot;isEdited&quot;:false,&quot;manualOverride&quot;:{&quot;isManuallyOverridden&quot;:false,&quot;citeprocText&quot;:&quot;[6]&quot;,&quot;manualOverrideText&quot;:&quot;&quot;},&quot;citationTag&quot;:&quot;MENDELEY_CITATION_v3_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&quot;,&quot;citationItems&quot;:[{&quot;id&quot;:&quot;7eebf3de-be07-3693-ba1f-55490c95cec3&quot;,&quot;itemData&quot;:{&quot;type&quot;:&quot;article-journal&quot;,&quot;id&quot;:&quot;7eebf3de-be07-3693-ba1f-55490c95cec3&quot;,&quot;title&quot;:&quot;Enhancement of SmartGrid Stability by Optimal Energy Management System (EMS) through Deep Learning&quot;,&quot;author&quot;:[{&quot;family&quot;:&quot;Shufian&quot;,&quot;given&quot;:&quot;Abu&quot;,&quot;parse-names&quot;:false,&quot;dropping-particle&quot;:&quot;&quot;,&quot;non-dropping-particle&quot;:&quot;&quot;},{&quot;family&quot;:&quot;Kabir&quot;,&quot;given&quot;:&quot;Shaharier&quot;,&quot;parse-names&quot;:false,&quot;dropping-particle&quot;:&quot;&quot;,&quot;non-dropping-particle&quot;:&quot;&quot;},{&quot;family&quot;:&quot;Mahmood&quot;,&quot;given&quot;:&quot;Mohammad Sakib&quot;,&quot;parse-names&quot;:false,&quot;dropping-particle&quot;:&quot;&quot;,&quot;non-dropping-particle&quot;:&quot;&quot;},{&quot;family&quot;:&quot;Fattah&quot;,&quot;given&quot;:&quot;Shaikh Anowarul&quot;,&quot;parse-names&quot;:false,&quot;dropping-particle&quot;:&quot;&quot;,&quot;non-dropping-particle&quot;:&quot;&quot;}],&quot;container-title&quot;:&quot;2023 10th IEEE International Conference on Power Systems, ICPS 2023&quot;,&quot;accessed&quot;:{&quot;date-parts&quot;:[[2024,3,28]]},&quot;DOI&quot;:&quot;10.1109/ICPS60393.2023.10428776&quot;,&quot;ISBN&quot;:&quot;9798350318739&quot;,&quot;issued&quot;:{&quot;date-parts&quot;:[[2023]]},&quot;abstract&quot;:&quot;Electrical power networks depend on power system stability to provide dependable and continuous operation. It speaks to a power system's capacity to continue operating in a balanced and steady manner after minor and major disruptions. The stability of the electricity system is necessary to avoid large-scale blackouts and guarantee that customers will always have access to energy. The most momentous obstacle to generating a steady flow of electricity at a low cost is the fluctuating pattern of generation, load, and demand. To address this problem, a day-ahead energy management system (EMS) based on deep learning has been proposed; it offers the necessary functionality to guarantee that the energy production systems balance stability levels at the lowest possible operational costs. A Convolutional Neural Network (CNN) and CNN-Multilayer Perceptron (CNN-MLP) approach has been created for forecasting the accuracy level of electricity balance stability with the use of demand-side management (DSM). To improve outcomes, the dataset has been subjected to data analysis and feature scaling. The customer response time regarding the electricity production dataset, established statistical parameters, and minimum price elasticity coefficients (0.05-1) were examined in addition to the time-domain simulation findings to verify the stability of the power network. A score of 93.75% accuracy is offered by the proposed CNN-MLP model, whereas CNN delivers 93.55% accuracy. The outcome of this suggested optimized deep learning CNN-MLP predictive model, which uses the Adam optimizer, indicates that it is much more beneficial than the CNN predictive model in terms of properly monitoring the balance of power and providing it to clients at a reasonable price.&quot;,&quot;publisher&quot;:&quot;Institute of Electrical and Electronics Engineers Inc.&quot;,&quot;container-title-short&quot;:&quot;&quot;},&quot;isTemporary&quot;:false}]},{&quot;citationID&quot;:&quot;MENDELEY_CITATION_714c6ace-3e87-4ef1-af5f-9044bc3339d5&quot;,&quot;properties&quot;:{&quot;noteIndex&quot;:0},&quot;isEdited&quot;:false,&quot;manualOverride&quot;:{&quot;isManuallyOverridden&quot;:false,&quot;citeprocText&quot;:&quot;[7]&quot;,&quot;manualOverrideText&quot;:&quot;&quot;},&quot;citationTag&quot;:&quot;MENDELEY_CITATION_v3_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&quot;,&quot;citationItems&quot;:[{&quot;id&quot;:&quot;5dce7a3c-969d-396e-a70c-09fffaee1125&quot;,&quot;itemData&quot;:{&quot;type&quot;:&quot;article-journal&quot;,&quot;id&quot;:&quot;5dce7a3c-969d-396e-a70c-09fffaee1125&quot;,&quot;title&quot;:&quot;Design and Development of a Time Scheduled Automatic Cleaning System of Dust Accumulation for Optimizing Solar Power Efficiency&quot;,&quot;author&quot;:[{&quot;family&quot;:&quot;Islam Mim&quot;,&quot;given&quot;:&quot;Md Tanvir&quot;,&quot;parse-names&quot;:false,&quot;dropping-particle&quot;:&quot;&quot;,&quot;non-dropping-particle&quot;:&quot;&quot;},{&quot;family&quot;:&quot;Imtiaz Anik&quot;,&quot;given&quot;:&quot;Md Asif&quot;,&quot;parse-names&quot;:false,&quot;dropping-particle&quot;:&quot;&quot;,&quot;non-dropping-particle&quot;:&quot;&quot;},{&quot;family&quot;:&quot;Islam&quot;,&quot;given&quot;:&quot;Riadul&quot;,&quot;parse-names&quot;:false,&quot;dropping-particle&quot;:&quot;&quot;,&quot;non-dropping-particle&quot;:&quot;&quot;},{&quot;family&quot;:&quot;Kabir&quot;,&quot;given&quot;:&quot;Shaharier&quot;,&quot;parse-names&quot;:false,&quot;dropping-particle&quot;:&quot;&quot;,&quot;non-dropping-particle&quot;:&quot;&quot;},{&quot;family&quot;:&quot;Islam&quot;,&quot;given&quot;:&quot;Md Ashikul&quot;,&quot;parse-names&quot;:false,&quot;dropping-particle&quot;:&quot;&quot;,&quot;non-dropping-particle&quot;:&quot;&quot;},{&quot;family&quot;:&quot;Shufian&quot;,&quot;given&quot;:&quot;Abu&quot;,&quot;parse-names&quot;:false,&quot;dropping-particle&quot;:&quot;&quot;,&quot;non-dropping-particle&quot;:&quot;&quot;}],&quot;container-title&quot;:&quot;2023 10th IEEE International Conference on Power Systems, ICPS 2023&quot;,&quot;accessed&quot;:{&quot;date-parts&quot;:[[2024,8,25]]},&quot;DOI&quot;:&quot;10.1109/ICPS60393.2023.10428706&quot;,&quot;ISBN&quot;:&quot;9798350318739&quot;,&quot;issued&quot;:{&quot;date-parts&quot;:[[2023]]},&quot;abstract&quot;:&quot;Photovoltaic (PV) systems have emerged as a dependable and commercially accepted source of renewable energy since 1995. However, several factors significantly affect the efficiency of PV modules in harnessing solar energy. Among these factors, dust accumulation stands out as a primary element that diminishes efficiency and increases deterioration rates over time. To maximize the output power of PV systems, this research introduces an innovative automatic solar PV cleaning system. This system employs an Aluminum alloy-based mechanical design and integrates a time-scheduled controlling unit. Through experimental implementation, the developed prototype has demonstrated the potential to enhance the generated output power by approximately 10-15%. This remarkable increase in efficiency represents a significant step towards optimizing solar power production and ensures a cleaner and more sustainable energy source for the future.&quot;,&quot;publisher&quot;:&quot;Institute of Electrical and Electronics Engineers Inc.&quot;,&quot;container-title-short&quot;:&quot;&quot;},&quot;isTemporary&quot;:false}]},{&quot;citationID&quot;:&quot;MENDELEY_CITATION_01709e55-e3fe-40a8-88a2-57daba0d27ed&quot;,&quot;properties&quot;:{&quot;noteIndex&quot;:0},&quot;isEdited&quot;:false,&quot;manualOverride&quot;:{&quot;isManuallyOverridden&quot;:false,&quot;citeprocText&quot;:&quot;[8]&quot;,&quot;manualOverrideText&quot;:&quot;&quot;},&quot;citationTag&quot;:&quot;MENDELEY_CITATION_v3_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&quot;,&quot;citationItems&quot;:[{&quot;id&quot;:&quot;7d785ad0-63b1-32ae-8bc5-bdd1127f53d4&quot;,&quot;itemData&quot;:{&quot;type&quot;:&quot;article-journal&quot;,&quot;id&quot;:&quot;7d785ad0-63b1-32ae-8bc5-bdd1127f53d4&quot;,&quot;title&quot;:&quot;Advancing Droop Control Dynamics for Equilibrium in Decentralized Microgrids: A Strategy for Enhanced Power Distribution&quot;,&quot;author&quot;:[{&quot;family&quot;:&quot;Islam&quot;,&quot;given&quot;:&quot;Riadul&quot;,&quot;parse-names&quot;:false,&quot;dropping-particle&quot;:&quot;&quot;,&quot;non-dropping-particle&quot;:&quot;&quot;},{&quot;family&quot;:&quot;Kabir&quot;,&quot;given&quot;:&quot;Shaharier&quot;,&quot;parse-names&quot;:false,&quot;dropping-particle&quot;:&quot;&quot;,&quot;non-dropping-particle&quot;:&quot;&quot;},{&quot;family&quot;:&quot;Hossain&quot;,&quot;given&quot;:&quot;Md Imran&quot;,&quot;parse-names&quot;:false,&quot;dropping-particle&quot;:&quot;&quot;,&quot;non-dropping-particle&quot;:&quot;&quot;},{&quot;family&quot;:&quot;Hannan&quot;,&quot;given&quot;:&quot;Nasif&quot;,&quot;parse-names&quot;:false,&quot;dropping-particle&quot;:&quot;&quot;,&quot;non-dropping-particle&quot;:&quot;&quot;},{&quot;family&quot;:&quot;Islam&quot;,&quot;given&quot;:&quot;Md Ashikul&quot;,&quot;parse-names&quot;:false,&quot;dropping-particle&quot;:&quot;&quot;,&quot;non-dropping-particle&quot;:&quot;&quot;},{&quot;family&quot;:&quot;Shufian&quot;,&quot;given&quot;:&quot;Abu&quot;,&quot;parse-names&quot;:false,&quot;dropping-particle&quot;:&quot;&quot;,&quot;non-dropping-particle&quot;:&quot;&quot;}],&quot;container-title&quot;:&quot;2024 International Conference on Advances in Computing, Communication, Electrical, and Smart Systems: Innovation for Sustainability, iCACCESS 2024&quot;,&quot;accessed&quot;:{&quot;date-parts&quot;:[[2024,8,25]]},&quot;DOI&quot;:&quot;10.1109/ICACCESS61735.2024.10499507&quot;,&quot;ISBN&quot;:&quot;9798350350289&quot;,&quot;issued&quot;:{&quot;date-parts&quot;:[[2024]]},&quot;abstract&quot;:&quot;Variations in feeder impedances among Distributed Generators (DGs) within a microgrid lead to inaccuracies in reactive power distribution. Additionally, significant fluctuations in load and diverse droop characteristics among DGs cause fluctuations in the inverter's voltage and frequency, thereby impacting both reactive and active power sharing. The generalized droop control strategy struggles to efficiently distribute both reactive and active power loads among the distributed generators. This paper introduces a decentralized enhanced droop-based control method aimed at improving the equitable distribution of both active and reactive power within an isolated micro grid utilizing inverters. The research then proceeds into enhancing droop control to achieve better optimization and incorporating additional mechanisms to distribute voltage, power, and frequency more effectively among different energy sources. A microgrid consisting of three DGs and three loads is simulated using the MATLAB/Simulink environment, and the proposed control strategy is validated through this simulation. The outcomes offer valuable understanding on addressing challenges related to voltage, power, and frequency imbalances, thereby improving the stability of Microgrids (MGs), and ensuring dependable operation of decentralized energy systems.&quot;,&quot;publisher&quot;:&quot;Institute of Electrical and Electronics Engineers Inc.&quot;,&quot;container-title-short&quot;:&quot;&quot;},&quot;isTemporary&quot;:false}]},{&quot;citationID&quot;:&quot;MENDELEY_CITATION_377a292d-f3db-454d-844e-3a2c54b50bde&quot;,&quot;properties&quot;:{&quot;noteIndex&quot;:0},&quot;isEdited&quot;:false,&quot;manualOverride&quot;:{&quot;isManuallyOverridden&quot;:false,&quot;citeprocText&quot;:&quot;[9]&quot;,&quot;manualOverrideText&quot;:&quot;&quot;},&quot;citationTag&quot;:&quot;MENDELEY_CITATION_v3_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&quot;,&quot;citationItems&quot;:[{&quot;id&quot;:&quot;afa0ab70-8b1a-3ecc-b391-390068585215&quot;,&quot;itemData&quot;:{&quot;type&quot;:&quot;article-journal&quot;,&quot;id&quot;:&quot;afa0ab70-8b1a-3ecc-b391-390068585215&quot;,&quot;title&quot;:&quot;Impact of Grid-tied Battery to Grid (B2G) Technology for Electric Vehicles Battery Swapping Station&quot;,&quot;author&quot;:[{&quot;family&quot;:&quot;Kabir&quot;,&quot;given&quot;:&quot;Shaharier&quot;,&quot;parse-names&quot;:false,&quot;dropping-particle&quot;:&quot;&quot;,&quot;non-dropping-particle&quot;:&quot;&quot;},{&quot;family&quot;:&quot;Shufian&quot;,&quot;given&quot;:&quot;Abu&quot;,&quot;parse-names&quot;:false,&quot;dropping-particle&quot;:&quot;&quot;,&quot;non-dropping-particle&quot;:&quot;&quot;},{&quot;family&quot;:&quot;Islam&quot;,&quot;given&quot;:&quot;Riadul&quot;,&quot;parse-names&quot;:false,&quot;dropping-particle&quot;:&quot;&quot;,&quot;non-dropping-particle&quot;:&quot;&quot;},{&quot;family&quot;:&quot;Islam&quot;,&quot;given&quot;:&quot;Md Mahafuzul&quot;,&quot;parse-names&quot;:false,&quot;dropping-particle&quot;:&quot;&quot;,&quot;non-dropping-particle&quot;:&quot;&quot;},{&quot;family&quot;:&quot;Islam&quot;,&quot;given&quot;:&quot;Md Ashikul&quot;,&quot;parse-names&quot;:false,&quot;dropping-particle&quot;:&quot;&quot;,&quot;non-dropping-particle&quot;:&quot;&quot;},{&quot;family&quot;:&quot;Mahin&quot;,&quot;given&quot;:&quot;Md Saidur Rashid&quot;,&quot;parse-names&quot;:false,&quot;dropping-particle&quot;:&quot;&quot;,&quot;non-dropping-particle&quot;:&quot;&quot;}],&quot;container-title&quot;:&quot;2023 10th IEEE International Conference on Power Systems, ICPS 2023&quot;,&quot;accessed&quot;:{&quot;date-parts&quot;:[[2024,8,25]]},&quot;DOI&quot;:&quot;10.1109/ICPS60393.2023.10428696&quot;,&quot;ISBN&quot;:&quot;9798350318739&quot;,&quot;issued&quot;:{&quot;date-parts&quot;:[[2023]]},&quot;abstract&quot;:&quot;The increasing adoption of electric vehicles strains the grid. Implementing Battery Swapping Station (BSS) technology with distributed energy resources is a possible approach to alleviating this strain. Conventional grid-powered BSS confronts difficulties such as high electricity costs, grid instability, carbon emissions, etc., and BSS integrated with a microgrid may emerge as a promising solution for addressing these challenges. This technology will enable BSS to recharge batteries by utilizing distributed energy resources (DER), reduce the charging time for electric vehicles, and act as a microgrid power source for emergencies. This will assist in demand balancing and grid stability within the grid network. This paper assesses the effects of microgrid-based Battery to Grid (B2G) technology with BSS battery storage. The objective is to evaluate the advantages and disadvantages of B2G between microgrids and BSS, as well as its impact on the overall grid's stability and performance, along with the optimization of the power flow analysis. The result demonstrates that the integration of BSS with microgrids has the potential to provide substantial benefits for both Electric Vehicles (EVs) and the grid. BSS can play a crucial role in the future of transportation and energy with appropriate planning and implementation.&quot;,&quot;publisher&quot;:&quot;Institute of Electrical and Electronics Engineers Inc.&quot;,&quot;container-title-short&quot;:&quot;&quot;},&quot;isTemporary&quot;:false}]},{&quot;citationID&quot;:&quot;MENDELEY_CITATION_7633bea0-1651-4191-a11b-49901d330ea7&quot;,&quot;properties&quot;:{&quot;noteIndex&quot;:0},&quot;isEdited&quot;:false,&quot;manualOverride&quot;:{&quot;isManuallyOverridden&quot;:false,&quot;citeprocText&quot;:&quot;[8]&quot;,&quot;manualOverrideText&quot;:&quot;&quot;},&quot;citationTag&quot;:&quot;MENDELEY_CITATION_v3_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&quot;,&quot;citationItems&quot;:[{&quot;id&quot;:&quot;7d785ad0-63b1-32ae-8bc5-bdd1127f53d4&quot;,&quot;itemData&quot;:{&quot;type&quot;:&quot;article-journal&quot;,&quot;id&quot;:&quot;7d785ad0-63b1-32ae-8bc5-bdd1127f53d4&quot;,&quot;title&quot;:&quot;Advancing Droop Control Dynamics for Equilibrium in Decentralized Microgrids: A Strategy for Enhanced Power Distribution&quot;,&quot;author&quot;:[{&quot;family&quot;:&quot;Islam&quot;,&quot;given&quot;:&quot;Riadul&quot;,&quot;parse-names&quot;:false,&quot;dropping-particle&quot;:&quot;&quot;,&quot;non-dropping-particle&quot;:&quot;&quot;},{&quot;family&quot;:&quot;Kabir&quot;,&quot;given&quot;:&quot;Shaharier&quot;,&quot;parse-names&quot;:false,&quot;dropping-particle&quot;:&quot;&quot;,&quot;non-dropping-particle&quot;:&quot;&quot;},{&quot;family&quot;:&quot;Hossain&quot;,&quot;given&quot;:&quot;Md Imran&quot;,&quot;parse-names&quot;:false,&quot;dropping-particle&quot;:&quot;&quot;,&quot;non-dropping-particle&quot;:&quot;&quot;},{&quot;family&quot;:&quot;Hannan&quot;,&quot;given&quot;:&quot;Nasif&quot;,&quot;parse-names&quot;:false,&quot;dropping-particle&quot;:&quot;&quot;,&quot;non-dropping-particle&quot;:&quot;&quot;},{&quot;family&quot;:&quot;Islam&quot;,&quot;given&quot;:&quot;Md Ashikul&quot;,&quot;parse-names&quot;:false,&quot;dropping-particle&quot;:&quot;&quot;,&quot;non-dropping-particle&quot;:&quot;&quot;},{&quot;family&quot;:&quot;Shufian&quot;,&quot;given&quot;:&quot;Abu&quot;,&quot;parse-names&quot;:false,&quot;dropping-particle&quot;:&quot;&quot;,&quot;non-dropping-particle&quot;:&quot;&quot;}],&quot;container-title&quot;:&quot;2024 International Conference on Advances in Computing, Communication, Electrical, and Smart Systems: Innovation for Sustainability, iCACCESS 2024&quot;,&quot;accessed&quot;:{&quot;date-parts&quot;:[[2024,8,25]]},&quot;DOI&quot;:&quot;10.1109/ICACCESS61735.2024.10499507&quot;,&quot;ISBN&quot;:&quot;9798350350289&quot;,&quot;issued&quot;:{&quot;date-parts&quot;:[[2024]]},&quot;abstract&quot;:&quot;Variations in feeder impedances among Distributed Generators (DGs) within a microgrid lead to inaccuracies in reactive power distribution. Additionally, significant fluctuations in load and diverse droop characteristics among DGs cause fluctuations in the inverter's voltage and frequency, thereby impacting both reactive and active power sharing. The generalized droop control strategy struggles to efficiently distribute both reactive and active power loads among the distributed generators. This paper introduces a decentralized enhanced droop-based control method aimed at improving the equitable distribution of both active and reactive power within an isolated micro grid utilizing inverters. The research then proceeds into enhancing droop control to achieve better optimization and incorporating additional mechanisms to distribute voltage, power, and frequency more effectively among different energy sources. A microgrid consisting of three DGs and three loads is simulated using the MATLAB/Simulink environment, and the proposed control strategy is validated through this simulation. The outcomes offer valuable understanding on addressing challenges related to voltage, power, and frequency imbalances, thereby improving the stability of Microgrids (MGs), and ensuring dependable operation of decentralized energy systems.&quot;,&quot;publisher&quot;:&quot;Institute of Electrical and Electronics Engineers Inc.&quot;,&quot;container-title-short&quot;:&quot;&quot;},&quot;isTemporary&quot;:false}]},{&quot;citationID&quot;:&quot;MENDELEY_CITATION_b27ac2f9-60a3-4381-98c6-af60edecc1c0&quot;,&quot;properties&quot;:{&quot;noteIndex&quot;:0},&quot;isEdited&quot;:false,&quot;manualOverride&quot;:{&quot;isManuallyOverridden&quot;:false,&quot;citeprocText&quot;:&quot;[10]&quot;,&quot;manualOverrideText&quot;:&quot;&quot;},&quot;citationTag&quot;:&quot;MENDELEY_CITATION_v3_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&quot;,&quot;citationItems&quot;:[{&quot;id&quot;:&quot;88a7959d-1613-3377-a448-41b5851fc080&quot;,&quot;itemData&quot;:{&quot;type&quot;:&quot;article-journal&quot;,&quot;id&quot;:&quot;88a7959d-1613-3377-a448-41b5851fc080&quot;,&quot;title&quot;:&quot;Grid-tied Smart Microgrid with Heuristic Optimized Energy Management System (EMS)&quot;,&quot;author&quot;:[{&quot;family&quot;:&quot;Shufian&quot;,&quot;given&quot;:&quot;Abu&quot;,&quot;parse-names&quot;:false,&quot;dropping-particle&quot;:&quot;&quot;,&quot;non-dropping-particle&quot;:&quot;&quot;},{&quot;family&quot;:&quot;Kabir&quot;,&quot;given&quot;:&quot;Shaharier&quot;,&quot;parse-names&quot;:false,&quot;dropping-particle&quot;:&quot;&quot;,&quot;non-dropping-particle&quot;:&quot;&quot;},{&quot;family&quot;:&quot;Islam&quot;,&quot;given&quot;:&quot;Md Ashikul&quot;,&quot;parse-names&quot;:false,&quot;dropping-particle&quot;:&quot;&quot;,&quot;non-dropping-particle&quot;:&quot;&quot;},{&quot;family&quot;:&quot;Hoque&quot;,&quot;given&quot;:&quot;Md Jawad Al Mursalin&quot;,&quot;parse-names&quot;:false,&quot;dropping-particle&quot;:&quot;&quot;,&quot;non-dropping-particle&quot;:&quot;&quot;},{&quot;family&quot;:&quot;Adnan&quot;,&quot;given&quot;:&quot;Md Asif&quot;,&quot;parse-names&quot;:false,&quot;dropping-particle&quot;:&quot;&quot;,&quot;non-dropping-particle&quot;:&quot;&quot;},{&quot;family&quot;:&quot;Mohammad&quot;,&quot;given&quot;:&quot;Nur&quot;,&quot;parse-names&quot;:false,&quot;dropping-particle&quot;:&quot;&quot;,&quot;non-dropping-particle&quot;:&quot;&quot;}],&quot;container-title&quot;:&quot;2023 International Conference on Next-Generation Computing, IoT and Machine Learning, NCIM 2023&quot;,&quot;accessed&quot;:{&quot;date-parts&quot;:[[2024,3,28]]},&quot;DOI&quot;:&quot;10.1109/NCIM59001.2023.10212528&quot;,&quot;ISBN&quot;:&quot;9798350316001&quot;,&quot;issued&quot;:{&quot;date-parts&quot;:[[2023]]},&quot;abstract&quot;:&quot;There is a global shift towards integrating renewable energy sources into existing power systems to address the increasing energy demand while minimizing environmental impact. One popular approach is the utilization of solar/battery-based grid-connected microgrid systems, which have gained significant popularity. However, the intermittent nature of solar power poses a challenge in ensuring a steady energy supply. To overcome this challenge, this research proposes an optimized microgrid EMS that efficiently manages energy consumption, generation, and distribution, aiming to minimize operational costs. A cost-effective solution for microgrid operation, monitoring, and administration has been developed by incorporating demand side management (DSM) techniques and employing a heuristic optimization approach. The results demonstrate a remarkable 33.6% reduction in operational costs compared to systems without an EMS. These findings highlight the effectiveness of the proposed optimized EMS in generating and delivering electricity to consumers at affordable prices. This research contributes to the advancement of microgrid systems and provides valuable insights for policymakers, industry stakeholders, and researchers, supporting the adoption of renewable energy and enhancing microgrid performance.&quot;,&quot;publisher&quot;:&quot;Institute of Electrical and Electronics Engineers Inc.&quot;,&quot;container-title-short&quot;:&quot;&quot;},&quot;isTemporary&quot;:false}]},{&quot;citationID&quot;:&quot;MENDELEY_CITATION_00f4cc71-4fe3-417b-83f4-76f178c96551&quot;,&quot;properties&quot;:{&quot;noteIndex&quot;:0},&quot;isEdited&quot;:false,&quot;manualOverride&quot;:{&quot;isManuallyOverridden&quot;:false,&quot;citeprocText&quot;:&quot;[11]&quot;,&quot;manualOverrideText&quot;:&quot;&quot;},&quot;citationTag&quot;:&quot;MENDELEY_CITATION_v3_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&quot;,&quot;citationItems&quot;:[{&quot;id&quot;:&quot;9b367fb2-ddc2-3ecd-8e9e-f7458ba2cc6f&quot;,&quot;itemData&quot;:{&quot;type&quot;:&quot;article-journal&quot;,&quot;id&quot;:&quot;9b367fb2-ddc2-3ecd-8e9e-f7458ba2cc6f&quot;,&quot;title&quot;:&quot;A multiple environment dispatch problem solution using ant colony optimization for micro-grids&quot;,&quot;author&quot;:[{&quot;family&quot;:&quot;Trivedi&quot;,&quot;given&quot;:&quot;Indrajit N.&quot;,&quot;parse-names&quot;:false,&quot;dropping-particle&quot;:&quot;&quot;,&quot;non-dropping-particle&quot;:&quot;&quot;},{&quot;family&quot;:&quot;Thesiya&quot;,&quot;given&quot;:&quot;Dhaval K.&quot;,&quot;parse-names&quot;:false,&quot;dropping-particle&quot;:&quot;&quot;,&quot;non-dropping-particle&quot;:&quot;&quot;},{&quot;family&quot;:&quot;Esmat&quot;,&quot;given&quot;:&quot;Ayman&quot;,&quot;parse-names&quot;:false,&quot;dropping-particle&quot;:&quot;&quot;,&quot;non-dropping-particle&quot;:&quot;&quot;},{&quot;family&quot;:&quot;Jangir&quot;,&quot;given&quot;:&quot;Pradeep&quot;,&quot;parse-names&quot;:false,&quot;dropping-particle&quot;:&quot;&quot;,&quot;non-dropping-particle&quot;:&quot;&quot;}],&quot;container-title&quot;:&quot;Proceedings of the 2015 IEEE International Conference on Power and Advanced Control Engineering, ICPACE 2015&quot;,&quot;accessed&quot;:{&quot;date-parts&quot;:[[2024,8,8]]},&quot;DOI&quot;:&quot;10.1109/ICPACE.2015.7274927&quot;,&quot;ISBN&quot;:&quot;9781479983704&quot;,&quot;issued&quot;:{&quot;date-parts&quot;:[[2015,9,23]]},&quot;page&quot;:&quot;109-115&quot;,&quot;abstract&quot;:&quot;Micro-grids have spread in many distribution systems worldwide. They offer safe and reliable operation for their consumers by managing the micro-grids' power generation and trading with the main grid. Furthermore, micro-grids can help in integrating and promoting for Renewable Energy Sources (RES) and reducing the environmental impacts of traditional centralized generation. This paper proposes multiple environment dispatch problem solution in micro-grids using Ant Colony Optimization (ACO) technique to solve the generation dispatch problem. A combined cost optimization scheme is investigated to minimize both operational cost and emission levels while satisfying the micro-grid's load demand. Furthermore, the proposed multiple environment dispatch problem solution is used to evaluate promoting RES implementation in micro-grids despite of their high capital cost using the combined economic emission dispatch problem. The proposed multiple environment dispatch solution was implemented using MatLab and tested on two case studies with and without RES-Wind Turbine-Solar (WT-PV). The obtained results from the proposed technique are compared with those calculated using other Techniques; Gradient to evaluate the proposed method. The outcomes are evaluated and discussed. Finally, conclusions are reported.&quot;,&quot;publisher&quot;:&quot;Institute of Electrical and Electronics Engineers Inc.&quot;,&quot;container-title-short&quot;:&quot;&quot;},&quot;isTemporary&quot;:false}]},{&quot;citationID&quot;:&quot;MENDELEY_CITATION_dd7080a1-13f4-4041-a856-fc10ddc6fb83&quot;,&quot;properties&quot;:{&quot;noteIndex&quot;:0},&quot;isEdited&quot;:false,&quot;manualOverride&quot;:{&quot;isManuallyOverridden&quot;:false,&quot;citeprocText&quot;:&quot;[12]&quot;,&quot;manualOverrideText&quot;:&quot;&quot;},&quot;citationTag&quot;:&quot;MENDELEY_CITATION_v3_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&quot;,&quot;citationItems&quot;:[{&quot;id&quot;:&quot;76a821e2-f66c-3241-b034-741b65a19c40&quot;,&quot;itemData&quot;:{&quot;type&quot;:&quot;article-journal&quot;,&quot;id&quot;:&quot;76a821e2-f66c-3241-b034-741b65a19c40&quot;,&quot;title&quot;:&quot;Real time experimental implementation of optimum energy management system in standalone Microgrid by using multi-layer ant colony optimization&quot;,&quot;author&quot;:[{&quot;family&quot;:&quot;Marzband&quot;,&quot;given&quot;:&quot;Mousa&quot;,&quot;parse-names&quot;:false,&quot;dropping-particle&quot;:&quot;&quot;,&quot;non-dropping-particle&quot;:&quot;&quot;},{&quot;family&quot;:&quot;Yousefnejad&quot;,&quot;given&quot;:&quot;Ebrahim&quot;,&quot;parse-names&quot;:false,&quot;dropping-particle&quot;:&quot;&quot;,&quot;non-dropping-particle&quot;:&quot;&quot;},{&quot;family&quot;:&quot;Sumper&quot;,&quot;given&quot;:&quot;Andreas&quot;,&quot;parse-names&quot;:false,&quot;dropping-particle&quot;:&quot;&quot;,&quot;non-dropping-particle&quot;:&quot;&quot;},{&quot;family&quot;:&quot;Domínguez-García&quot;,&quot;given&quot;:&quot;José Luis&quot;,&quot;parse-names&quot;:false,&quot;dropping-particle&quot;:&quot;&quot;,&quot;non-dropping-particle&quot;:&quot;&quot;}],&quot;container-title&quot;:&quot;International Journal of Electrical Power &amp; Energy Systems&quot;,&quot;accessed&quot;:{&quot;date-parts&quot;:[[2024,8,8]]},&quot;DOI&quot;:&quot;10.1016/J.IJEPES.2015.09.010&quot;,&quot;ISSN&quot;:&quot;0142-0615&quot;,&quot;issued&quot;:{&quot;date-parts&quot;:[[2016,2,1]]},&quot;page&quot;:&quot;265-274&quot;,&quot;abstract&quot;:&quot;In this paper, an algorithm for energy management system (EMS) based on multi-layer ant colony optimization (EMS-MACO) is presented to find energy scheduling in Microgrid (MG). The aim of study is to figure out the optimum operation of micro-sources for decreasing the electricity production cost by hourly day-ahead and real time scheduling. The proposed algorithm is based on ant colony optimization (ACO) method and is able to analyze the technical and economic time dependent constraints. This algorithm attempts to meet the required load demand with minimum energy cost in a local energy market (LEM) structure. Performance of MACO is compared with modified conventional EMS (MCEMS) and particle swarm optimization (PSO) based EMS. Analysis of obtained results demonstrates that the system performance is improved also the energy cost is reduced about 20% and 5% by applying MACO in comparison with MCEMS and PSO, respectively. Furthermore, the plug and play capability in real time applications is investigated by using different scenarios and the system adequate performance is validated experimentally too.&quot;,&quot;publisher&quot;:&quot;Elsevier&quot;,&quot;volume&quot;:&quot;75&quot;,&quot;container-title-short&quot;:&quot;&quot;},&quot;isTemporary&quot;:false}]},{&quot;citationID&quot;:&quot;MENDELEY_CITATION_c2556bea-7940-4c5f-b8b0-7d035cc35373&quot;,&quot;properties&quot;:{&quot;noteIndex&quot;:0},&quot;isEdited&quot;:false,&quot;manualOverride&quot;:{&quot;isManuallyOverridden&quot;:false,&quot;citeprocText&quot;:&quot;[13]&quot;,&quot;manualOverrideText&quot;:&quot;&quot;},&quot;citationTag&quot;:&quot;MENDELEY_CITATION_v3_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&quot;,&quot;citationItems&quot;:[{&quot;id&quot;:&quot;65e1ee4b-818d-3317-83c9-8e9650483d14&quot;,&quot;itemData&quot;:{&quot;type&quot;:&quot;article-journal&quot;,&quot;id&quot;:&quot;65e1ee4b-818d-3317-83c9-8e9650483d14&quot;,&quot;title&quot;:&quot;Bi-objective economic feasibility of hybrid micro-grid systems with multiple fuel options for islanded areas in Egypt&quot;,&quot;author&quot;:[{&quot;family&quot;:&quot;Abo-Elyousr&quot;,&quot;given&quot;:&quot;Farag K.&quot;,&quot;parse-names&quot;:false,&quot;dropping-particle&quot;:&quot;&quot;,&quot;non-dropping-particle&quot;:&quot;&quot;},{&quot;family&quot;:&quot;Elnozahy&quot;,&quot;given&quot;:&quot;Ahmed&quot;,&quot;parse-names&quot;:false,&quot;dropping-particle&quot;:&quot;&quot;,&quot;non-dropping-particle&quot;:&quot;&quot;}],&quot;container-title&quot;:&quot;Renewable Energy&quot;,&quot;container-title-short&quot;:&quot;Renew Energy&quot;,&quot;accessed&quot;:{&quot;date-parts&quot;:[[2024,8,8]]},&quot;DOI&quot;:&quot;10.1016/J.RENENE.2018.05.066&quot;,&quot;ISSN&quot;:&quot;0960-1481&quot;,&quot;issued&quot;:{&quot;date-parts&quot;:[[2018,12,1]]},&quot;page&quot;:&quot;37-56&quot;,&quot;abstract&quot;:&quot;The main target of this research is to allow modern distributed energy resources (DERs) to contribute effectively in the economic feasibility of hybrid renewable power generation system. There are several factors such as the net present cost (NPC), levelized cost of energy (COE), amount of greenhouse gases (GHG) emissions, and the ability of the hybrid system to meet the load at different meteorological conditions to consider when evaluating the effectiveness of hybrid generation system within microgrids. A multi-objective based optimization algorithm to reduce cost, emissions, and a combined solution between cost and emissions is investigated in this research. This research presents an approach to optimize a hybrid microgrid (HMG) system with different fuel options. The power management approach determines the optimal sizing of DERs based on ant colony optimization (ACO) algorithm. In order to find the best configuration, the obtained results are compared with genetic algorithm (GA), particle swarm optimization (PSO), and HOMER. Three isolated areas in Egypt with different metrological conditions are selected for optimization of HMG system, namely: Kharga, Saint Katherine, and Qussair. The results show that the combined optimal configuration of HMG system is better in satisfying load demands without violating any restraints.&quot;,&quot;publisher&quot;:&quot;Pergamon&quot;,&quot;volume&quot;:&quot;128&quot;},&quot;isTemporary&quot;:false}]},{&quot;citationID&quot;:&quot;MENDELEY_CITATION_54b99999-d9c3-41c2-9d28-eeaecaf32963&quot;,&quot;properties&quot;:{&quot;noteIndex&quot;:0},&quot;isEdited&quot;:false,&quot;manualOverride&quot;:{&quot;isManuallyOverridden&quot;:false,&quot;citeprocText&quot;:&quot;[14]&quot;,&quot;manualOverrideText&quot;:&quot;&quot;},&quot;citationTag&quot;:&quot;MENDELEY_CITATION_v3_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&quot;,&quot;citationItems&quot;:[{&quot;id&quot;:&quot;6518f06c-3253-3c28-b5ac-a7cd63c4b309&quot;,&quot;itemData&quot;:{&quot;type&quot;:&quot;article-journal&quot;,&quot;id&quot;:&quot;6518f06c-3253-3c28-b5ac-a7cd63c4b309&quot;,&quot;title&quot;:&quot;A real-time evaluation of energy management systems for smart hybrid home Microgrids&quot;,&quot;author&quot;:[{&quot;family&quot;:&quot;Marzband&quot;,&quot;given&quot;:&quot;Mousa&quot;,&quot;parse-names&quot;:false,&quot;dropping-particle&quot;:&quot;&quot;,&quot;non-dropping-particle&quot;:&quot;&quot;},{&quot;family&quot;:&quot;Ghazimirsaeid&quot;,&quot;given&quot;:&quot;Seyedeh Samaneh&quot;,&quot;parse-names&quot;:false,&quot;dropping-particle&quot;:&quot;&quot;,&quot;non-dropping-particle&quot;:&quot;&quot;},{&quot;family&quot;:&quot;Uppal&quot;,&quot;given&quot;:&quot;Hasan&quot;,&quot;parse-names&quot;:false,&quot;dropping-particle&quot;:&quot;&quot;,&quot;non-dropping-particle&quot;:&quot;&quot;},{&quot;family&quot;:&quot;Fernando&quot;,&quot;given&quot;:&quot;Terrence&quot;,&quot;parse-names&quot;:false,&quot;dropping-particle&quot;:&quot;&quot;,&quot;non-dropping-particle&quot;:&quot;&quot;}],&quot;container-title&quot;:&quot;Electric Power Systems Research&quot;,&quot;accessed&quot;:{&quot;date-parts&quot;:[[2024,8,8]]},&quot;DOI&quot;:&quot;10.1016/J.EPSR.2016.10.054&quot;,&quot;ISSN&quot;:&quot;0378-7796&quot;,&quot;issued&quot;:{&quot;date-parts&quot;:[[2017,2,1]]},&quot;page&quot;:&quot;624-633&quot;,&quot;abstract&quot;:&quot;Real-time energy management within the concepts of home Microgrids (H-MG) systems is crucial for H-MG operational reliability and safe functionality, regardless of simultaneously emanated variations in generation and load demand transients. In this paper, an experimental design and validation of a real-time mutli-period artificial bee colony (MABC) topology type central energy management system (CEMS) for H-MGs in islanding mode is proposed to maximize operational efficiency and minimize operational cost of the H-MG with full degree of freedom in automatically adapt the management problem under variations in the generation and storage resources in real-time as well, suitable for different size and types of generation resources and storage devices with plug-and-play structure, is presented. A self-adapting CEMS offers a control box capability of adapting and optimally operating with any H-MGs structure and integrated types of generation and storage technologies, using a two-way communication between each asset, being a unique inherent feature. This CEMS framework utilizes feature like day-ahead scheduling (DAS) integrated with real-time scheduling (RTS) units, and local energy market (LEM) structure based on Single Side Auction (SSA) to regulate the price of energy in real-time. The proposed system operates based on the data parameterization such as: the available power from renewable energy resources, the amount of non-responsive load demand, and the wholesale offers from generation units and time-wise scheduling for a range of integrated generation and demand units. Experimental validation shows the effectiveness of our proposed EMS with minimum cost margins and plug-and-play capabilities for a H-MG in real-time islanding mode that can be envisioned for hybrid multi-functional smart grid supply chain energy systems with a revolutionary architectures. The better performance of the proposed algorithm is shown in comparison with the mixed integer non-linear programming (MINLP) algorithm, and its effectiveness is experimentally validated over a microgrid test bed. The obtained results show convergence speed increase and the remarkable improvement of efficiency and accuracy under different condition.&quot;,&quot;publisher&quot;:&quot;Elsevier&quot;,&quot;volume&quot;:&quot;143&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0CC1D-F9FF-41BE-A38A-6610049B4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9</Pages>
  <Words>6994</Words>
  <Characters>39872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Editor-11</cp:lastModifiedBy>
  <cp:revision>77</cp:revision>
  <cp:lastPrinted>2025-10-19T15:28:00Z</cp:lastPrinted>
  <dcterms:created xsi:type="dcterms:W3CDTF">2025-09-21T16:01:00Z</dcterms:created>
  <dcterms:modified xsi:type="dcterms:W3CDTF">2025-10-21T08:45:00Z</dcterms:modified>
</cp:coreProperties>
</file>