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DF54" w14:textId="77777777" w:rsidR="0050731A" w:rsidRDefault="0050731A" w:rsidP="00E85602">
      <w:pPr>
        <w:jc w:val="both"/>
        <w:rPr>
          <w:rFonts w:ascii="Times New Roman" w:hAnsi="Times New Roman" w:cs="Times New Roman"/>
          <w:b/>
          <w:bCs/>
        </w:rPr>
      </w:pPr>
    </w:p>
    <w:p w14:paraId="34BE32AA" w14:textId="40EE59D4" w:rsidR="00E24843" w:rsidRPr="0099227C" w:rsidRDefault="00E24843" w:rsidP="00E85602">
      <w:pPr>
        <w:jc w:val="both"/>
        <w:rPr>
          <w:rFonts w:ascii="Times New Roman" w:hAnsi="Times New Roman" w:cs="Times New Roman"/>
          <w:b/>
          <w:bCs/>
        </w:rPr>
      </w:pPr>
      <w:r w:rsidRPr="0099227C">
        <w:rPr>
          <w:rFonts w:ascii="Times New Roman" w:hAnsi="Times New Roman" w:cs="Times New Roman"/>
          <w:b/>
          <w:bCs/>
        </w:rPr>
        <w:t>Hydrogen Storage for Sustainable Energy System: Technological Challenges and Socio-Economic Opportunities</w:t>
      </w:r>
    </w:p>
    <w:p w14:paraId="464C15C3" w14:textId="4AA0496A" w:rsidR="00200CF1" w:rsidRDefault="00200CF1" w:rsidP="00E85602">
      <w:pPr>
        <w:spacing w:after="0" w:line="360" w:lineRule="auto"/>
        <w:jc w:val="both"/>
        <w:rPr>
          <w:rFonts w:ascii="Times New Roman" w:hAnsi="Times New Roman" w:cs="Times New Roman"/>
          <w:b/>
          <w:bCs/>
        </w:rPr>
      </w:pPr>
    </w:p>
    <w:p w14:paraId="022D3EF4" w14:textId="77777777" w:rsidR="00D54B19" w:rsidRPr="0099227C" w:rsidRDefault="00D54B19" w:rsidP="00E85602">
      <w:pPr>
        <w:spacing w:after="0" w:line="360" w:lineRule="auto"/>
        <w:jc w:val="both"/>
        <w:rPr>
          <w:rFonts w:ascii="Times New Roman" w:hAnsi="Times New Roman" w:cs="Times New Roman"/>
          <w:b/>
          <w:bCs/>
        </w:rPr>
      </w:pPr>
    </w:p>
    <w:p w14:paraId="41A09D24" w14:textId="00388507" w:rsidR="00200CF1" w:rsidRPr="0099227C" w:rsidRDefault="00200CF1" w:rsidP="00E85602">
      <w:pPr>
        <w:spacing w:after="0" w:line="240" w:lineRule="auto"/>
        <w:jc w:val="both"/>
        <w:rPr>
          <w:rFonts w:ascii="Times New Roman" w:hAnsi="Times New Roman" w:cs="Times New Roman"/>
          <w:b/>
          <w:bCs/>
        </w:rPr>
      </w:pPr>
      <w:r w:rsidRPr="0099227C">
        <w:rPr>
          <w:rFonts w:ascii="Times New Roman" w:hAnsi="Times New Roman" w:cs="Times New Roman"/>
          <w:b/>
          <w:bCs/>
        </w:rPr>
        <w:t xml:space="preserve">Abstract </w:t>
      </w:r>
    </w:p>
    <w:p w14:paraId="3A230938" w14:textId="1320877A"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rPr>
        <w:t>With increasing research on hydrogen storage for sustainable energy systems, numerous studies have explored the technological advancements and socio-economic opportunities of this critical field. This thesis examines the key themes and challenges in the literature on hydrogen storage for sustainable energy systems, providing insights into technological advancements and socio-economic opportunities while highlighting potential areas for future research.</w:t>
      </w:r>
    </w:p>
    <w:p w14:paraId="6D258D39" w14:textId="742592A4"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rPr>
        <w:t xml:space="preserve">A systematic literature review was conducted on peer-reviewed articles published between 2020 and 2024 to capture the latest developments. A total of 38 studies were analysed, focusing on hydrogen storage's technological, environmental, and socio-economic dimensions. </w:t>
      </w:r>
    </w:p>
    <w:p w14:paraId="54A7A26A" w14:textId="2CCC0353"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rPr>
        <w:t>The findings are organized into four thematic clusters: (1) skills, capabilities, and technological advancements, emphasizing storage material optimization and infrastructure development; (2) hydrogen storage and energy performance, which address efficiency improvements and technical challenges; (3) policy, social, and cultural issues, exploring barriers such as public acceptance and regulatory frameworks; and (4) environmental and management issues, which assess the economic and lifecycle impacts of hydrogen storage technologies. Intersections among these themes are identified, such as the connection between safety advancements and public trust, as well as material innovations reducing costs and improving market adoption.</w:t>
      </w:r>
    </w:p>
    <w:p w14:paraId="3E0EAD20" w14:textId="5CA89FB1"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rPr>
        <w:t>Result suggest that further research is needed in areas such as large-scale practical applications of hydrogen storage, policy integration for developing countries, and the role of hydrogen storage in achieving carbon neutrality.</w:t>
      </w:r>
      <w:r w:rsidR="00276D2F" w:rsidRPr="00276D2F">
        <w:rPr>
          <w:rFonts w:ascii="Times New Roman" w:hAnsi="Times New Roman" w:cs="Times New Roman"/>
        </w:rPr>
        <w:t xml:space="preserve"> </w:t>
      </w:r>
      <w:r w:rsidR="00276D2F">
        <w:rPr>
          <w:rFonts w:ascii="Times New Roman" w:hAnsi="Times New Roman" w:cs="Times New Roman"/>
        </w:rPr>
        <w:t xml:space="preserve">The research found that Hydrogen storage systems study, has </w:t>
      </w:r>
      <w:r w:rsidR="00276D2F" w:rsidRPr="0099227C">
        <w:rPr>
          <w:rFonts w:ascii="Times New Roman" w:hAnsi="Times New Roman" w:cs="Times New Roman"/>
        </w:rPr>
        <w:t>Limited real-world testing of theoretical models poses a challenge to practical implementation.</w:t>
      </w:r>
      <w:r w:rsidRPr="0099227C">
        <w:rPr>
          <w:rFonts w:ascii="Times New Roman" w:hAnsi="Times New Roman" w:cs="Times New Roman"/>
        </w:rPr>
        <w:t xml:space="preserve"> </w:t>
      </w:r>
    </w:p>
    <w:p w14:paraId="5BC48C94" w14:textId="77777777" w:rsidR="00200CF1" w:rsidRPr="0099227C" w:rsidRDefault="00200CF1" w:rsidP="00E85602">
      <w:pPr>
        <w:spacing w:after="0" w:line="240" w:lineRule="auto"/>
        <w:jc w:val="both"/>
        <w:rPr>
          <w:rFonts w:ascii="Times New Roman" w:hAnsi="Times New Roman" w:cs="Times New Roman"/>
          <w:b/>
          <w:bCs/>
        </w:rPr>
      </w:pPr>
    </w:p>
    <w:p w14:paraId="314D0C84" w14:textId="59231A2B"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b/>
          <w:bCs/>
        </w:rPr>
        <w:t>Keywords:</w:t>
      </w:r>
      <w:r w:rsidRPr="0099227C">
        <w:rPr>
          <w:rFonts w:ascii="Times New Roman" w:hAnsi="Times New Roman" w:cs="Times New Roman"/>
        </w:rPr>
        <w:t xml:space="preserve"> Hydrogen Storage, Sustainable Energy Systems, Technological Challenges, Socio-Economic Opportunities, Environmental Impacts, Energy Performance.</w:t>
      </w:r>
    </w:p>
    <w:p w14:paraId="5976BF1C" w14:textId="77777777" w:rsidR="0099227C" w:rsidRDefault="0099227C" w:rsidP="00E85602">
      <w:pPr>
        <w:jc w:val="both"/>
        <w:rPr>
          <w:rFonts w:ascii="Times New Roman" w:hAnsi="Times New Roman" w:cs="Times New Roman"/>
        </w:rPr>
      </w:pPr>
    </w:p>
    <w:p w14:paraId="62BB7275" w14:textId="77777777" w:rsidR="0099227C" w:rsidRDefault="0099227C" w:rsidP="00E85602">
      <w:pPr>
        <w:jc w:val="both"/>
        <w:rPr>
          <w:rFonts w:ascii="Times New Roman" w:hAnsi="Times New Roman" w:cs="Times New Roman"/>
          <w:b/>
          <w:bCs/>
        </w:rPr>
      </w:pPr>
    </w:p>
    <w:p w14:paraId="716196F8" w14:textId="77777777" w:rsidR="0099227C" w:rsidRDefault="0099227C" w:rsidP="00E85602">
      <w:pPr>
        <w:jc w:val="both"/>
        <w:rPr>
          <w:rFonts w:ascii="Times New Roman" w:hAnsi="Times New Roman" w:cs="Times New Roman"/>
          <w:b/>
          <w:bCs/>
        </w:rPr>
      </w:pPr>
    </w:p>
    <w:p w14:paraId="6929A5F2" w14:textId="77777777" w:rsidR="0099227C" w:rsidRDefault="0099227C" w:rsidP="00E85602">
      <w:pPr>
        <w:jc w:val="both"/>
        <w:rPr>
          <w:rFonts w:ascii="Times New Roman" w:hAnsi="Times New Roman" w:cs="Times New Roman"/>
          <w:b/>
          <w:bCs/>
        </w:rPr>
      </w:pPr>
    </w:p>
    <w:p w14:paraId="32E3E780" w14:textId="1CD4C925" w:rsidR="0099227C" w:rsidRDefault="0099227C" w:rsidP="00E85602">
      <w:pPr>
        <w:jc w:val="both"/>
        <w:rPr>
          <w:rFonts w:ascii="Times New Roman" w:hAnsi="Times New Roman" w:cs="Times New Roman"/>
          <w:b/>
          <w:bCs/>
        </w:rPr>
      </w:pPr>
    </w:p>
    <w:p w14:paraId="2A355441" w14:textId="5AEE1ADA" w:rsidR="00D54B19" w:rsidRDefault="00D54B19" w:rsidP="00E85602">
      <w:pPr>
        <w:jc w:val="both"/>
        <w:rPr>
          <w:rFonts w:ascii="Times New Roman" w:hAnsi="Times New Roman" w:cs="Times New Roman"/>
          <w:b/>
          <w:bCs/>
        </w:rPr>
      </w:pPr>
    </w:p>
    <w:p w14:paraId="7B8903D8" w14:textId="52656FD3" w:rsidR="00D54B19" w:rsidRDefault="00D54B19" w:rsidP="00E85602">
      <w:pPr>
        <w:jc w:val="both"/>
        <w:rPr>
          <w:rFonts w:ascii="Times New Roman" w:hAnsi="Times New Roman" w:cs="Times New Roman"/>
          <w:b/>
          <w:bCs/>
        </w:rPr>
      </w:pPr>
    </w:p>
    <w:p w14:paraId="187FE352" w14:textId="77777777" w:rsidR="00D54B19" w:rsidRDefault="00D54B19" w:rsidP="00E85602">
      <w:pPr>
        <w:jc w:val="both"/>
        <w:rPr>
          <w:rFonts w:ascii="Times New Roman" w:hAnsi="Times New Roman" w:cs="Times New Roman"/>
          <w:b/>
          <w:bCs/>
        </w:rPr>
      </w:pPr>
    </w:p>
    <w:p w14:paraId="452BF081" w14:textId="77777777" w:rsidR="0099227C" w:rsidRDefault="0099227C" w:rsidP="00E85602">
      <w:pPr>
        <w:jc w:val="both"/>
        <w:rPr>
          <w:rFonts w:ascii="Times New Roman" w:hAnsi="Times New Roman" w:cs="Times New Roman"/>
          <w:b/>
          <w:bCs/>
        </w:rPr>
      </w:pPr>
    </w:p>
    <w:p w14:paraId="2D23F8CE" w14:textId="6C34EB18" w:rsidR="00E85602" w:rsidRPr="0099227C" w:rsidRDefault="00E85602" w:rsidP="00E85602">
      <w:pPr>
        <w:jc w:val="both"/>
        <w:rPr>
          <w:rFonts w:ascii="Times New Roman" w:hAnsi="Times New Roman" w:cs="Times New Roman"/>
          <w:b/>
          <w:bCs/>
        </w:rPr>
      </w:pPr>
      <w:r w:rsidRPr="0099227C">
        <w:rPr>
          <w:rFonts w:ascii="Times New Roman" w:hAnsi="Times New Roman" w:cs="Times New Roman"/>
          <w:b/>
          <w:bCs/>
        </w:rPr>
        <w:t>Introduction</w:t>
      </w:r>
    </w:p>
    <w:p w14:paraId="580CD47F" w14:textId="16F4BC2D" w:rsidR="00E85602" w:rsidRPr="0099227C" w:rsidRDefault="00E85602" w:rsidP="00E85602">
      <w:pPr>
        <w:jc w:val="both"/>
        <w:rPr>
          <w:rFonts w:ascii="Times New Roman" w:hAnsi="Times New Roman" w:cs="Times New Roman"/>
          <w:b/>
          <w:bCs/>
        </w:rPr>
      </w:pPr>
      <w:r w:rsidRPr="0099227C">
        <w:rPr>
          <w:rFonts w:ascii="Times New Roman" w:hAnsi="Times New Roman" w:cs="Times New Roman"/>
          <w:b/>
          <w:bCs/>
        </w:rPr>
        <w:lastRenderedPageBreak/>
        <w:t xml:space="preserve">Background </w:t>
      </w:r>
    </w:p>
    <w:p w14:paraId="7F40E7EC"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 xml:space="preserve">The transition to sustainable energy systems is one of the most urgent global challenges of the 21st century. With growing concerns over climate change, air pollution, and the depletion of fossil fuel resources, hydrogen is emerging as a promising solution to decarbonize multiple sectors of the global economy. Hydrogen's potential as a clean energy carrier is particularly valuable in achieving the goals set out in the Paris Agreement to reduce greenhouse gas emissions and limit global warming (Saeed et al., 2024). Its high energy density, versatility in various applications, and potential for zero emission production make it an ideal candidate for a sustainable energy future (Zhou et al., 2024; </w:t>
      </w:r>
      <w:proofErr w:type="spellStart"/>
      <w:r w:rsidRPr="0099227C">
        <w:rPr>
          <w:rFonts w:ascii="Times New Roman" w:hAnsi="Times New Roman" w:cs="Times New Roman"/>
        </w:rPr>
        <w:t>Revinova</w:t>
      </w:r>
      <w:proofErr w:type="spellEnd"/>
      <w:r w:rsidRPr="0099227C">
        <w:rPr>
          <w:rFonts w:ascii="Times New Roman" w:hAnsi="Times New Roman" w:cs="Times New Roman"/>
        </w:rPr>
        <w:t xml:space="preserve"> et al., 2024).</w:t>
      </w:r>
    </w:p>
    <w:p w14:paraId="780E3620"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Hydrogen storage plays a pivotal role in realizing the full potential of hydrogen as a clean energy source. The ability to store hydrogen efficiently and safely is essential to ensure a reliable and scalable hydrogen economy. This is especially important given hydrogen's low volumetric energy density, which makes its storage a significant technical challenge. Without efficient storage solutions, hydrogen cannot be widely used for long term energy supply, transportation, or grid balancing (Gemechu et al., 2023; Kumar et al., 2024). As renewable energy sources such as solar and wind are intermittent, hydrogen storage systems can act as a buffer, storing excess energy for later use, thus enhancing grid stability, and ensuring a consistent energy supply (</w:t>
      </w:r>
      <w:proofErr w:type="spellStart"/>
      <w:r w:rsidRPr="0099227C">
        <w:rPr>
          <w:rFonts w:ascii="Times New Roman" w:hAnsi="Times New Roman" w:cs="Times New Roman"/>
        </w:rPr>
        <w:t>Esfandyari</w:t>
      </w:r>
      <w:proofErr w:type="spellEnd"/>
      <w:r w:rsidRPr="0099227C">
        <w:rPr>
          <w:rFonts w:ascii="Times New Roman" w:hAnsi="Times New Roman" w:cs="Times New Roman"/>
        </w:rPr>
        <w:t xml:space="preserve"> et al., 2024).</w:t>
      </w:r>
    </w:p>
    <w:p w14:paraId="543F7152"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Several hydrogen storage technologies are currently under research and development, with the aim of overcoming the limitations associated with storage efficiency, safety, and cost. These technologies range from physical storage methods, such as compressed gas storage and liquid hydrogen, to more advanced chemical storage solutions, such as metal hydrides and liquid organic hydrogen carriers (LOHCs) (Saeed et al., 2024). Each storage method presents its own unique advantages and challenges, which must be carefully evaluated to determine the most suitable solution for specific applications.</w:t>
      </w:r>
    </w:p>
    <w:p w14:paraId="20EB2ED5"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Underground hydrogen storage (UHS) is one of the most promising large scale solutions being explored. It utilizes geological formations, such as depleted oil and gas reservoirs, salt caverns, and aquifers, to store hydrogen at large scales. UHS offers several advantages, including lower capital costs compared to other storage methods and the potential for long-term storage in large volumes (Amiri et al., 2024). However, the feasibility of UHS systems is highly dependent on the geological characteristics of the storage sites. Challenges related to the integrity of wellbores, gas leakage, and the selection of cushion gases must be carefully addressed to ensure the reliability and safety of UHS systems (Fernandez et al., 2024). Additionally, the risk of hydrogen embrittlement and other material-related issues raises concerns regarding the long-term viability of UHS (Zhou et al., 2024).</w:t>
      </w:r>
    </w:p>
    <w:p w14:paraId="79706543"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 xml:space="preserve">The role of material science in hydrogen storage cannot be overstated. Innovations in nanomaterials, such as carbon nanotubes and metal organic frameworks (MOFs), have shown significant promise in improving the storage capacity and efficiency of hydrogen storage systems. These materials can store hydrogen at high densities under milder conditions than conventional methods, making them more attractive for mobile applications such as transportation (Saeed et al., 2024; Scarpati et al., 2024). Metal hydrides, for example, can </w:t>
      </w:r>
      <w:r w:rsidRPr="0099227C">
        <w:rPr>
          <w:rFonts w:ascii="Times New Roman" w:hAnsi="Times New Roman" w:cs="Times New Roman"/>
        </w:rPr>
        <w:lastRenderedPageBreak/>
        <w:t>absorb and release hydrogen through reversible chemical reactions, offering a safe and compact method for storing hydrogen (Gemechu et al., 2023). Despite their potential, the high costs and energy requirements for the production and regeneration of these materials remain a significant barrier to their widespread commercial use (Saeed et al., 2024).</w:t>
      </w:r>
    </w:p>
    <w:p w14:paraId="67E9AAE8"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Liquid organic hydrogen carriers (LOHCs) have also emerged as a promising storage solution, particularly for portable and stationary applications. LOHCs are hydrogen-rich liquids that can absorb and release hydrogen through chemical reactions, providing a safe and efficient medium for hydrogen storage and transport (Esfandiari et al., 2024). This technology is particularly attractive for long-distance transport of hydrogen, as LOHCs can be stored and transported using existing infrastructure designed for liquid fuels (Gemechu et al., 2023). However, challenges related to the efficiency of the hydrogenation and dehydrogenation processes, as well as the environmental impact of the chemicals used in LOHCs, need to be addressed before this technology can be widely deployed (Saeed et al., 2024; Egeland-Eriksen et al., 2021).</w:t>
      </w:r>
    </w:p>
    <w:p w14:paraId="0A4E71F5"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 xml:space="preserve">In addition to technical challenges, socio-economic factors play a crucial role in the development and adoption of hydrogen storage technologies. The integration of hydrogen storage into renewable energy systems involves not only technical innovations but also the establishment of robust policies, financial incentives, and market structures that can support the scaling up of hydrogen storage infrastructure. Government policies and international agreements must provide the necessary regulatory frameworks to encourage investment in hydrogen technologies (Kumar et al., 2024; </w:t>
      </w:r>
      <w:proofErr w:type="spellStart"/>
      <w:r w:rsidRPr="0099227C">
        <w:rPr>
          <w:rFonts w:ascii="Times New Roman" w:hAnsi="Times New Roman" w:cs="Times New Roman"/>
        </w:rPr>
        <w:t>Revinova</w:t>
      </w:r>
      <w:proofErr w:type="spellEnd"/>
      <w:r w:rsidRPr="0099227C">
        <w:rPr>
          <w:rFonts w:ascii="Times New Roman" w:hAnsi="Times New Roman" w:cs="Times New Roman"/>
        </w:rPr>
        <w:t xml:space="preserve"> et al., 2024). Incentives for research and development, as well as subsidies for infrastructure development, are essential to overcome the high initial costs associated with hydrogen storage systems (Scarpati et al., 2024). Additionally, cost-competitive pricing models must be developed to ensure that hydrogen storage can compete with other energy storage solutions, such as battery technologies (Zhou et al., 2024; Gemechu et al., 2023).</w:t>
      </w:r>
    </w:p>
    <w:p w14:paraId="30F199E5" w14:textId="3CB53D71" w:rsidR="00E85602" w:rsidRPr="0099227C" w:rsidRDefault="00E85602" w:rsidP="00E85602">
      <w:pPr>
        <w:pStyle w:val="Heading1"/>
        <w:rPr>
          <w:rFonts w:ascii="Times New Roman" w:hAnsi="Times New Roman" w:cs="Times New Roman"/>
          <w:sz w:val="32"/>
          <w:szCs w:val="32"/>
        </w:rPr>
      </w:pPr>
      <w:r w:rsidRPr="0099227C">
        <w:rPr>
          <w:rFonts w:ascii="Times New Roman" w:hAnsi="Times New Roman" w:cs="Times New Roman"/>
          <w:sz w:val="32"/>
          <w:szCs w:val="32"/>
        </w:rPr>
        <w:t>Methodology</w:t>
      </w:r>
    </w:p>
    <w:p w14:paraId="3FA9AB47" w14:textId="04200E4F"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This </w:t>
      </w:r>
      <w:r w:rsidR="00B85671">
        <w:rPr>
          <w:rFonts w:ascii="Times New Roman" w:hAnsi="Times New Roman" w:cs="Times New Roman"/>
        </w:rPr>
        <w:t>article</w:t>
      </w:r>
      <w:r w:rsidRPr="0099227C">
        <w:rPr>
          <w:rFonts w:ascii="Times New Roman" w:hAnsi="Times New Roman" w:cs="Times New Roman"/>
        </w:rPr>
        <w:t xml:space="preserve"> outlines the methodology used in the research, detailing the systematic processes and approaches to achieve the research objectives. It describes the research design, data collection and analysis methods, and the reasoning behind the selection of these techniques. By using a structured and replicable framework, the methodology ensures the reliability and relevance of the study in examining the technological and socio-economic aspects of hydrogen storage within sustainable energy systems. A detailed explanation of the research design, research questions, data collection, selection criteria, and analysis process is presented to demonstrate the credibility of the findings and the robustness of the study.</w:t>
      </w:r>
    </w:p>
    <w:p w14:paraId="6B1C8866" w14:textId="3899A43C" w:rsidR="00E85602" w:rsidRPr="0099227C" w:rsidRDefault="00E85602" w:rsidP="00E85602">
      <w:pPr>
        <w:pStyle w:val="Heading2"/>
        <w:rPr>
          <w:rFonts w:ascii="Times New Roman" w:hAnsi="Times New Roman" w:cs="Times New Roman"/>
          <w:sz w:val="28"/>
          <w:szCs w:val="28"/>
        </w:rPr>
      </w:pPr>
      <w:bookmarkStart w:id="0" w:name="_Toc187014076"/>
      <w:r w:rsidRPr="0099227C">
        <w:rPr>
          <w:rFonts w:ascii="Times New Roman" w:hAnsi="Times New Roman" w:cs="Times New Roman"/>
          <w:sz w:val="28"/>
          <w:szCs w:val="28"/>
        </w:rPr>
        <w:t>Design: Systematic Literature Review (SLR) Approach</w:t>
      </w:r>
      <w:bookmarkEnd w:id="0"/>
    </w:p>
    <w:p w14:paraId="40A9A771"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This research employs a Systematic Literature Review (SLR), a methodology well suited for synthesizing existing research on hydrogen storage for sustainable energy system </w:t>
      </w:r>
      <w:r w:rsidRPr="0099227C">
        <w:rPr>
          <w:rFonts w:ascii="Times New Roman" w:hAnsi="Times New Roman" w:cs="Times New Roman"/>
        </w:rPr>
        <w:lastRenderedPageBreak/>
        <w:t xml:space="preserve">comprehensively. Originating from evidence-based research methods, the SLR methodology is particularly valuable in fields such as renewable energy, where rapid technological advancements necessitate continuous review and reassessment (Kitchenham &amp; Charters, 2010). This approach is critical due to the rapidly evolving technologies in the hydrogen energy sector and the socio-economic implications of widespread adoption. </w:t>
      </w:r>
    </w:p>
    <w:p w14:paraId="2D523754" w14:textId="15198632"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Unlike traditional literature reviews, SLRs follow a transparent, reproducible process that includes defining clear criteria for study inclusion and exclusion, which helps ensure objectivity and comprehensiveness (Azarian et al., 2023). Given the interdisciplinary nature of hydrogen storage technology that spans engineering, material science, environmental science, policy, social science, and economics, the SLR methodology enables a holistic review of the field. It also highlights emerging trends, identifies research gaps, and informs stakeholders, including policymakers, industry practitioners and future researcher priorities relevant to sustainable energy system (Estévez et al., 2021). Using this methodology ensures the credibility and relevance of findings, facilitating a rigorous evaluation of the challenges and opportunities within hydrogen storage research.</w:t>
      </w:r>
    </w:p>
    <w:p w14:paraId="46215E51" w14:textId="735AD43E" w:rsidR="00E85602" w:rsidRPr="0099227C" w:rsidRDefault="00E85602" w:rsidP="00E85602">
      <w:pPr>
        <w:pStyle w:val="Heading2"/>
        <w:rPr>
          <w:rFonts w:ascii="Times New Roman" w:hAnsi="Times New Roman" w:cs="Times New Roman"/>
          <w:sz w:val="28"/>
          <w:szCs w:val="28"/>
        </w:rPr>
      </w:pPr>
      <w:bookmarkStart w:id="1" w:name="_Toc187014077"/>
      <w:r w:rsidRPr="0099227C">
        <w:rPr>
          <w:rFonts w:ascii="Times New Roman" w:hAnsi="Times New Roman" w:cs="Times New Roman"/>
          <w:sz w:val="28"/>
          <w:szCs w:val="28"/>
        </w:rPr>
        <w:t>Research Questions</w:t>
      </w:r>
      <w:bookmarkEnd w:id="1"/>
    </w:p>
    <w:p w14:paraId="092C2A3D"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To provide a comprehensive and focused investigation into the hydrogen storage landscape, the following research questions were formulated:</w:t>
      </w:r>
    </w:p>
    <w:p w14:paraId="7E5D0D58" w14:textId="77777777" w:rsidR="00E85602" w:rsidRPr="0099227C" w:rsidRDefault="00E85602" w:rsidP="00E85602">
      <w:pPr>
        <w:numPr>
          <w:ilvl w:val="0"/>
          <w:numId w:val="2"/>
        </w:numPr>
        <w:spacing w:line="360" w:lineRule="auto"/>
        <w:jc w:val="both"/>
        <w:rPr>
          <w:rFonts w:ascii="Times New Roman" w:hAnsi="Times New Roman" w:cs="Times New Roman"/>
        </w:rPr>
      </w:pPr>
      <w:r w:rsidRPr="0099227C">
        <w:rPr>
          <w:rFonts w:ascii="Times New Roman" w:hAnsi="Times New Roman" w:cs="Times New Roman"/>
        </w:rPr>
        <w:t>RQ1: How many systematic reviews (SLRs) or meta-analyses have been published on hydrogen storage technologies for sustainable energy systems between year 2020-2024?</w:t>
      </w:r>
    </w:p>
    <w:p w14:paraId="52D5E918" w14:textId="77777777" w:rsidR="00E85602" w:rsidRPr="0099227C" w:rsidRDefault="00E85602" w:rsidP="00E85602">
      <w:pPr>
        <w:numPr>
          <w:ilvl w:val="0"/>
          <w:numId w:val="2"/>
        </w:numPr>
        <w:spacing w:line="360" w:lineRule="auto"/>
        <w:jc w:val="both"/>
        <w:rPr>
          <w:rFonts w:ascii="Times New Roman" w:hAnsi="Times New Roman" w:cs="Times New Roman"/>
        </w:rPr>
      </w:pPr>
      <w:r w:rsidRPr="0099227C">
        <w:rPr>
          <w:rFonts w:ascii="Times New Roman" w:hAnsi="Times New Roman" w:cs="Times New Roman"/>
        </w:rPr>
        <w:t>RQ2: What are the major technological challenges in hydrogen storage for sustainable energy systems?</w:t>
      </w:r>
    </w:p>
    <w:p w14:paraId="735C2EEF" w14:textId="77777777" w:rsidR="00E85602" w:rsidRPr="0099227C" w:rsidRDefault="00E85602" w:rsidP="00E85602">
      <w:pPr>
        <w:numPr>
          <w:ilvl w:val="0"/>
          <w:numId w:val="2"/>
        </w:numPr>
        <w:spacing w:line="360" w:lineRule="auto"/>
        <w:jc w:val="both"/>
        <w:rPr>
          <w:rFonts w:ascii="Times New Roman" w:hAnsi="Times New Roman" w:cs="Times New Roman"/>
        </w:rPr>
      </w:pPr>
      <w:r w:rsidRPr="0099227C">
        <w:rPr>
          <w:rFonts w:ascii="Times New Roman" w:hAnsi="Times New Roman" w:cs="Times New Roman"/>
        </w:rPr>
        <w:t>RQ3: What solutions have been proposed to overcome these challenges in recent studies?</w:t>
      </w:r>
    </w:p>
    <w:p w14:paraId="32817246" w14:textId="77777777" w:rsidR="00E85602" w:rsidRPr="0099227C" w:rsidRDefault="00E85602" w:rsidP="00E85602">
      <w:pPr>
        <w:numPr>
          <w:ilvl w:val="0"/>
          <w:numId w:val="2"/>
        </w:numPr>
        <w:spacing w:line="360" w:lineRule="auto"/>
        <w:jc w:val="both"/>
        <w:rPr>
          <w:rFonts w:ascii="Times New Roman" w:hAnsi="Times New Roman" w:cs="Times New Roman"/>
        </w:rPr>
      </w:pPr>
      <w:r w:rsidRPr="0099227C">
        <w:rPr>
          <w:rFonts w:ascii="Times New Roman" w:hAnsi="Times New Roman" w:cs="Times New Roman"/>
        </w:rPr>
        <w:t>RQ4: How do socio-economic factors influence the development and deployment of hydrogen storage technologies?</w:t>
      </w:r>
    </w:p>
    <w:p w14:paraId="2B09AD31" w14:textId="77777777" w:rsidR="00E85602" w:rsidRPr="0099227C" w:rsidRDefault="00E85602" w:rsidP="00E85602">
      <w:pPr>
        <w:numPr>
          <w:ilvl w:val="0"/>
          <w:numId w:val="2"/>
        </w:numPr>
        <w:spacing w:line="360" w:lineRule="auto"/>
        <w:jc w:val="both"/>
        <w:rPr>
          <w:rFonts w:ascii="Times New Roman" w:hAnsi="Times New Roman" w:cs="Times New Roman"/>
        </w:rPr>
      </w:pPr>
      <w:r w:rsidRPr="0099227C">
        <w:rPr>
          <w:rFonts w:ascii="Times New Roman" w:hAnsi="Times New Roman" w:cs="Times New Roman"/>
        </w:rPr>
        <w:t>RQ5: What gaps exist in the current literature regarding hydrogen storage, and what areas require further investigation?</w:t>
      </w:r>
    </w:p>
    <w:p w14:paraId="2D45E866"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lastRenderedPageBreak/>
        <w:t>These research questions are designed to identify existing gaps in the literature, assess technological advancements, and explore socio-economic factors that influence the adoption of hydrogen storage solutions.</w:t>
      </w:r>
    </w:p>
    <w:p w14:paraId="6DF16259" w14:textId="7A36142F" w:rsidR="00E85602" w:rsidRPr="0099227C" w:rsidRDefault="00E85602" w:rsidP="00E85602">
      <w:pPr>
        <w:pStyle w:val="Heading2"/>
        <w:rPr>
          <w:rFonts w:ascii="Times New Roman" w:hAnsi="Times New Roman" w:cs="Times New Roman"/>
          <w:sz w:val="28"/>
          <w:szCs w:val="28"/>
        </w:rPr>
      </w:pPr>
      <w:bookmarkStart w:id="2" w:name="_Toc187014078"/>
      <w:r w:rsidRPr="0099227C">
        <w:rPr>
          <w:rFonts w:ascii="Times New Roman" w:hAnsi="Times New Roman" w:cs="Times New Roman"/>
          <w:sz w:val="28"/>
          <w:szCs w:val="28"/>
        </w:rPr>
        <w:t>The Search Strategy and Search String</w:t>
      </w:r>
      <w:bookmarkEnd w:id="2"/>
      <w:r w:rsidRPr="0099227C">
        <w:rPr>
          <w:rFonts w:ascii="Times New Roman" w:hAnsi="Times New Roman" w:cs="Times New Roman"/>
          <w:sz w:val="28"/>
          <w:szCs w:val="28"/>
        </w:rPr>
        <w:t xml:space="preserve"> </w:t>
      </w:r>
    </w:p>
    <w:p w14:paraId="6056F39B"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The search strategy is central to the SLR, ensuring that all relevant studies are identified systematically. The strategy involved searching reputable academic databases, including Scopus, ScienceDirect, Web of Science, IEEE and Google Scholar. These databases were selected for their extensive coverage of energy and materials science publications. To capture a comprehensive dataset, each database was searched using Boolean operators to combine keywords and filters to capture only high-quality, recent studies from 2020 onward. The main search terms included:</w:t>
      </w:r>
    </w:p>
    <w:p w14:paraId="02CC6425" w14:textId="77777777" w:rsidR="00E85602" w:rsidRPr="0099227C" w:rsidRDefault="00E85602" w:rsidP="00E85602">
      <w:pPr>
        <w:numPr>
          <w:ilvl w:val="0"/>
          <w:numId w:val="1"/>
        </w:numPr>
        <w:spacing w:line="360" w:lineRule="auto"/>
        <w:jc w:val="both"/>
        <w:rPr>
          <w:rFonts w:ascii="Times New Roman" w:hAnsi="Times New Roman" w:cs="Times New Roman"/>
        </w:rPr>
      </w:pPr>
      <w:r w:rsidRPr="0099227C">
        <w:rPr>
          <w:rFonts w:ascii="Times New Roman" w:hAnsi="Times New Roman" w:cs="Times New Roman"/>
        </w:rPr>
        <w:t>"Hydrogen storage technologies" AND "sustainable energy systems"</w:t>
      </w:r>
    </w:p>
    <w:p w14:paraId="762A82F4" w14:textId="77777777" w:rsidR="00E85602" w:rsidRPr="0099227C" w:rsidRDefault="00E85602" w:rsidP="00E85602">
      <w:pPr>
        <w:numPr>
          <w:ilvl w:val="0"/>
          <w:numId w:val="1"/>
        </w:numPr>
        <w:spacing w:line="360" w:lineRule="auto"/>
        <w:jc w:val="both"/>
        <w:rPr>
          <w:rFonts w:ascii="Times New Roman" w:hAnsi="Times New Roman" w:cs="Times New Roman"/>
        </w:rPr>
      </w:pPr>
      <w:r w:rsidRPr="0099227C">
        <w:rPr>
          <w:rFonts w:ascii="Times New Roman" w:hAnsi="Times New Roman" w:cs="Times New Roman"/>
        </w:rPr>
        <w:t>"Technical challenges in hydrogen storage"</w:t>
      </w:r>
    </w:p>
    <w:p w14:paraId="57EECE97" w14:textId="77777777" w:rsidR="00E85602" w:rsidRPr="0099227C" w:rsidRDefault="00E85602" w:rsidP="00E85602">
      <w:pPr>
        <w:numPr>
          <w:ilvl w:val="0"/>
          <w:numId w:val="1"/>
        </w:numPr>
        <w:spacing w:line="360" w:lineRule="auto"/>
        <w:jc w:val="both"/>
        <w:rPr>
          <w:rFonts w:ascii="Times New Roman" w:hAnsi="Times New Roman" w:cs="Times New Roman"/>
        </w:rPr>
      </w:pPr>
      <w:r w:rsidRPr="0099227C">
        <w:rPr>
          <w:rFonts w:ascii="Times New Roman" w:hAnsi="Times New Roman" w:cs="Times New Roman"/>
        </w:rPr>
        <w:t>"socio-economic barriers to hydrogen storage"</w:t>
      </w:r>
    </w:p>
    <w:p w14:paraId="7F7862AC" w14:textId="77777777" w:rsidR="00E85602" w:rsidRPr="0099227C" w:rsidRDefault="00E85602" w:rsidP="00E85602">
      <w:pPr>
        <w:numPr>
          <w:ilvl w:val="0"/>
          <w:numId w:val="1"/>
        </w:numPr>
        <w:spacing w:line="360" w:lineRule="auto"/>
        <w:jc w:val="both"/>
        <w:rPr>
          <w:rFonts w:ascii="Times New Roman" w:hAnsi="Times New Roman" w:cs="Times New Roman"/>
        </w:rPr>
      </w:pPr>
      <w:r w:rsidRPr="0099227C">
        <w:rPr>
          <w:rFonts w:ascii="Times New Roman" w:hAnsi="Times New Roman" w:cs="Times New Roman"/>
        </w:rPr>
        <w:t>"Hydrogen as an energy carrier"</w:t>
      </w:r>
    </w:p>
    <w:p w14:paraId="486E6F4C"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Each search query was customized to the database, ensuring specificity and relevance. Database filters were applied to include only peer-reviewed journal articles, conference papers, and Limited to studies in English Language published from 1</w:t>
      </w:r>
      <w:r w:rsidRPr="0099227C">
        <w:rPr>
          <w:rFonts w:ascii="Times New Roman" w:hAnsi="Times New Roman" w:cs="Times New Roman"/>
          <w:vertAlign w:val="superscript"/>
        </w:rPr>
        <w:t>st</w:t>
      </w:r>
      <w:r w:rsidRPr="0099227C">
        <w:rPr>
          <w:rFonts w:ascii="Times New Roman" w:hAnsi="Times New Roman" w:cs="Times New Roman"/>
        </w:rPr>
        <w:t xml:space="preserve"> January 2020 to 14</w:t>
      </w:r>
      <w:r w:rsidRPr="0099227C">
        <w:rPr>
          <w:rFonts w:ascii="Times New Roman" w:hAnsi="Times New Roman" w:cs="Times New Roman"/>
          <w:vertAlign w:val="superscript"/>
        </w:rPr>
        <w:t>th</w:t>
      </w:r>
      <w:r w:rsidRPr="0099227C">
        <w:rPr>
          <w:rFonts w:ascii="Times New Roman" w:hAnsi="Times New Roman" w:cs="Times New Roman"/>
        </w:rPr>
        <w:t xml:space="preserve"> November 2024 to focus on the most recent advancements and current socio-economic contexts.</w:t>
      </w:r>
    </w:p>
    <w:p w14:paraId="4FB0988A" w14:textId="7A3ECDB9" w:rsidR="00E85602" w:rsidRPr="0099227C" w:rsidRDefault="00E85602" w:rsidP="00E85602">
      <w:pPr>
        <w:pStyle w:val="Heading2"/>
        <w:rPr>
          <w:rFonts w:ascii="Times New Roman" w:hAnsi="Times New Roman" w:cs="Times New Roman"/>
          <w:sz w:val="28"/>
          <w:szCs w:val="28"/>
        </w:rPr>
      </w:pPr>
      <w:bookmarkStart w:id="3" w:name="_Toc187014079"/>
      <w:r w:rsidRPr="0099227C">
        <w:rPr>
          <w:rFonts w:ascii="Times New Roman" w:hAnsi="Times New Roman" w:cs="Times New Roman"/>
          <w:sz w:val="28"/>
          <w:szCs w:val="28"/>
        </w:rPr>
        <w:t>Inclusion and Exclusion Criteria</w:t>
      </w:r>
      <w:bookmarkEnd w:id="3"/>
    </w:p>
    <w:p w14:paraId="44D8CF7B"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The inclusion and exclusion criteria ensured the selection of high-quality, relevant research focused on recent advancements in hydrogen storage for sustainable energy systems. Only studies from 2020 to 2024 were included, capturing the latest technological developments and socio-economic factors, while studies outside this timeframe or not aligned with the central themes were excluded.</w:t>
      </w:r>
    </w:p>
    <w:p w14:paraId="4C9C8A5C" w14:textId="141037BB" w:rsidR="00E85602" w:rsidRPr="0099227C" w:rsidRDefault="00E85602" w:rsidP="00E85602">
      <w:pPr>
        <w:pStyle w:val="Heading3"/>
        <w:rPr>
          <w:rFonts w:ascii="Times New Roman" w:hAnsi="Times New Roman" w:cs="Times New Roman"/>
        </w:rPr>
      </w:pPr>
      <w:bookmarkStart w:id="4" w:name="_Toc187014080"/>
      <w:r w:rsidRPr="0099227C">
        <w:rPr>
          <w:rFonts w:ascii="Times New Roman" w:hAnsi="Times New Roman" w:cs="Times New Roman"/>
        </w:rPr>
        <w:t>Inclusion Criteria</w:t>
      </w:r>
      <w:bookmarkEnd w:id="4"/>
    </w:p>
    <w:p w14:paraId="2C74BBBF"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The inclusion criteria were designed to ensure the selection of relevant and high-quality research. Only studies published between 2020 and 2024 were considered to capture recent advancements in hydrogen storage technologies. Peer-reviewed journal articles were prioritized to maintain academic rigor. The focus included technological challenges such as </w:t>
      </w:r>
      <w:r w:rsidRPr="0099227C">
        <w:rPr>
          <w:rFonts w:ascii="Times New Roman" w:hAnsi="Times New Roman" w:cs="Times New Roman"/>
        </w:rPr>
        <w:lastRenderedPageBreak/>
        <w:t>safety, efficiency, and storage material optimization, as well as socio-economic factors like policy, public acceptance, and infrastructure development. Studies using systematic, experimental, or review methodologies were prioritized for comprehensive analysis. Publications discussing hydrogen storage in the context of carbon neutrality, energy sustainability, or renewable energy integration were included to align with the theme of hydrogen storage as a key component of sustainable energy systems.</w:t>
      </w:r>
    </w:p>
    <w:p w14:paraId="15535D70" w14:textId="7AEF6A32" w:rsidR="00E85602" w:rsidRPr="0099227C" w:rsidRDefault="00E85602" w:rsidP="00E85602">
      <w:pPr>
        <w:pStyle w:val="Heading3"/>
        <w:rPr>
          <w:rFonts w:ascii="Times New Roman" w:hAnsi="Times New Roman" w:cs="Times New Roman"/>
        </w:rPr>
      </w:pPr>
      <w:bookmarkStart w:id="5" w:name="_Toc187014081"/>
      <w:r w:rsidRPr="0099227C">
        <w:rPr>
          <w:rFonts w:ascii="Times New Roman" w:hAnsi="Times New Roman" w:cs="Times New Roman"/>
        </w:rPr>
        <w:t>Exclusion Criteria</w:t>
      </w:r>
      <w:bookmarkEnd w:id="5"/>
    </w:p>
    <w:p w14:paraId="3A345D5E"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Exclusion criteria were applied to ensure the review's focus and quality. Articles published before 2020 were excluded. Studies on hydrogen production, unrelated energy storage systems, or non-peer-reviewed sources were omitted to maintain specificity and academic rigor. Editorials, opinion pieces, and studies without empirical data or systematic analysis were also excluded, ensuring the review concentrated on high-quality research addressing technological and socio-economic aspects of hydrogen storage in sustainable energy systems.</w:t>
      </w:r>
    </w:p>
    <w:p w14:paraId="05EEA429" w14:textId="41FC413C" w:rsidR="00E85602" w:rsidRPr="0099227C" w:rsidRDefault="00E85602" w:rsidP="00E85602">
      <w:pPr>
        <w:pStyle w:val="Heading2"/>
        <w:rPr>
          <w:rFonts w:ascii="Times New Roman" w:hAnsi="Times New Roman" w:cs="Times New Roman"/>
          <w:sz w:val="28"/>
          <w:szCs w:val="28"/>
        </w:rPr>
      </w:pPr>
      <w:bookmarkStart w:id="6" w:name="_Toc187014082"/>
      <w:r w:rsidRPr="0099227C">
        <w:rPr>
          <w:rFonts w:ascii="Times New Roman" w:eastAsia="Times New Roman" w:hAnsi="Times New Roman" w:cs="Times New Roman"/>
          <w:sz w:val="28"/>
          <w:szCs w:val="28"/>
          <w:lang w:eastAsia="en-GB"/>
        </w:rPr>
        <w:t>Selection Process</w:t>
      </w:r>
      <w:bookmarkEnd w:id="6"/>
      <w:r w:rsidRPr="0099227C">
        <w:rPr>
          <w:rFonts w:ascii="Times New Roman" w:hAnsi="Times New Roman" w:cs="Times New Roman"/>
          <w:sz w:val="28"/>
          <w:szCs w:val="28"/>
        </w:rPr>
        <w:t xml:space="preserve"> </w:t>
      </w:r>
    </w:p>
    <w:p w14:paraId="2F1C7789"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eastAsia="Times New Roman" w:hAnsi="Times New Roman" w:cs="Times New Roman"/>
          <w:kern w:val="0"/>
          <w:lang w:eastAsia="en-GB"/>
          <w14:ligatures w14:val="none"/>
        </w:rPr>
        <w:t xml:space="preserve">The selection process involved multiple stages to ensure a thorough review of relevant literature. Initial searches in each database yielded a substantial number of results, with 1,340 articles identified. After removing duplicates, these studies underwent a title and abstract screening to ascertain relevance, focusing on articles directly addressing hydrogen storage within sustainable energy systems. This screening phase reduced the dataset to 115 studies. In the full-text review stage, articles were examined for methodological rigor, data quality, and relevance to the research questions. </w:t>
      </w:r>
      <w:r w:rsidRPr="0099227C">
        <w:rPr>
          <w:rFonts w:ascii="Times New Roman" w:hAnsi="Times New Roman" w:cs="Times New Roman"/>
        </w:rPr>
        <w:t>The screening further led to the elimination of 70 studies, resulting in 45 studies that met the inclusion and exclusion criteria. A quality assessment further narrowed this pool to 38 studies that were deemed suitable for detailed analysis.</w:t>
      </w:r>
    </w:p>
    <w:p w14:paraId="722296E9" w14:textId="77777777" w:rsidR="00E85602" w:rsidRPr="0099227C" w:rsidRDefault="00E85602" w:rsidP="00E85602">
      <w:pPr>
        <w:keepNext/>
        <w:spacing w:line="360" w:lineRule="auto"/>
        <w:jc w:val="both"/>
        <w:rPr>
          <w:rFonts w:ascii="Times New Roman" w:hAnsi="Times New Roman" w:cs="Times New Roman"/>
        </w:rPr>
      </w:pPr>
      <w:r w:rsidRPr="0099227C">
        <w:rPr>
          <w:rFonts w:ascii="Times New Roman" w:hAnsi="Times New Roman" w:cs="Times New Roman"/>
          <w:noProof/>
          <w:lang w:val="en-US"/>
        </w:rPr>
        <w:lastRenderedPageBreak/>
        <w:drawing>
          <wp:inline distT="0" distB="0" distL="0" distR="0" wp14:anchorId="21E5D1CC" wp14:editId="08AE44F2">
            <wp:extent cx="6134100" cy="3771900"/>
            <wp:effectExtent l="0" t="19050" r="0" b="57150"/>
            <wp:docPr id="1360678937"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404682C" w14:textId="77777777" w:rsidR="00E85602" w:rsidRPr="0099227C" w:rsidRDefault="00E85602" w:rsidP="00E85602">
      <w:pPr>
        <w:rPr>
          <w:rFonts w:ascii="Times New Roman" w:hAnsi="Times New Roman" w:cs="Times New Roman"/>
        </w:rPr>
      </w:pPr>
      <w:bookmarkStart w:id="7" w:name="_Toc185854199"/>
      <w:r w:rsidRPr="0099227C">
        <w:rPr>
          <w:rFonts w:ascii="Times New Roman" w:hAnsi="Times New Roman" w:cs="Times New Roman"/>
        </w:rPr>
        <w:t xml:space="preserve">Figure </w:t>
      </w:r>
      <w:r w:rsidRPr="0099227C">
        <w:rPr>
          <w:rFonts w:ascii="Times New Roman" w:hAnsi="Times New Roman" w:cs="Times New Roman"/>
        </w:rPr>
        <w:fldChar w:fldCharType="begin"/>
      </w:r>
      <w:r w:rsidRPr="0099227C">
        <w:rPr>
          <w:rFonts w:ascii="Times New Roman" w:hAnsi="Times New Roman" w:cs="Times New Roman"/>
        </w:rPr>
        <w:instrText xml:space="preserve"> SEQ Figure \* ARABIC </w:instrText>
      </w:r>
      <w:r w:rsidRPr="0099227C">
        <w:rPr>
          <w:rFonts w:ascii="Times New Roman" w:hAnsi="Times New Roman" w:cs="Times New Roman"/>
        </w:rPr>
        <w:fldChar w:fldCharType="separate"/>
      </w:r>
      <w:r w:rsidRPr="0099227C">
        <w:rPr>
          <w:rFonts w:ascii="Times New Roman" w:hAnsi="Times New Roman" w:cs="Times New Roman"/>
          <w:noProof/>
        </w:rPr>
        <w:t>1</w:t>
      </w:r>
      <w:r w:rsidRPr="0099227C">
        <w:rPr>
          <w:rFonts w:ascii="Times New Roman" w:hAnsi="Times New Roman" w:cs="Times New Roman"/>
        </w:rPr>
        <w:fldChar w:fldCharType="end"/>
      </w:r>
      <w:r w:rsidRPr="0099227C">
        <w:rPr>
          <w:rFonts w:ascii="Times New Roman" w:hAnsi="Times New Roman" w:cs="Times New Roman"/>
        </w:rPr>
        <w:t xml:space="preserve"> Selection Process</w:t>
      </w:r>
      <w:bookmarkEnd w:id="7"/>
    </w:p>
    <w:p w14:paraId="281D3FD2" w14:textId="7D6E2ED5" w:rsidR="00E85602" w:rsidRPr="0099227C" w:rsidRDefault="00E85602" w:rsidP="00E85602">
      <w:pPr>
        <w:rPr>
          <w:rFonts w:ascii="Times New Roman" w:hAnsi="Times New Roman" w:cs="Times New Roman"/>
          <w:lang w:eastAsia="en-GB"/>
        </w:rPr>
      </w:pPr>
      <w:bookmarkStart w:id="8" w:name="_Toc187014083"/>
      <w:r w:rsidRPr="0099227C">
        <w:rPr>
          <w:rFonts w:ascii="Times New Roman" w:hAnsi="Times New Roman" w:cs="Times New Roman"/>
          <w:lang w:eastAsia="en-GB"/>
        </w:rPr>
        <w:t>Data Extraction and Management</w:t>
      </w:r>
      <w:bookmarkEnd w:id="8"/>
    </w:p>
    <w:p w14:paraId="05261AFB" w14:textId="77777777" w:rsidR="00E85602" w:rsidRPr="0099227C" w:rsidRDefault="00E85602" w:rsidP="00E85602">
      <w:pPr>
        <w:spacing w:after="0"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Data extraction was conducted using a standardized Microsoft excel spreadsheet to ensure consistency and comprehensiveness across all studies. For each study, information such as the publication year, Author’s name, country of publication, Abstract, study objectives, quality score, methodology, findings, limitations, and conclusions were systematically recorded. The extracted data was specifically focused on capturing insights into three key areas: the technological barriers and recent advancements in hydrogen storage, the socio-economic factors influencing the feasibility and adoption of hydrogen storage technologies, and the identification of research gaps along with suggested directions for future studies. This approach ensured a thorough and organized synthesis of the most relevant information to address the research objectives effectively.</w:t>
      </w:r>
    </w:p>
    <w:p w14:paraId="307FC692" w14:textId="77777777" w:rsidR="00E85602" w:rsidRPr="0099227C" w:rsidRDefault="00E85602" w:rsidP="00E85602">
      <w:pPr>
        <w:jc w:val="both"/>
        <w:rPr>
          <w:rFonts w:ascii="Times New Roman" w:hAnsi="Times New Roman" w:cs="Times New Roman"/>
        </w:rPr>
      </w:pPr>
    </w:p>
    <w:p w14:paraId="36295B4C" w14:textId="08FCE86A" w:rsidR="00E85602" w:rsidRPr="0099227C" w:rsidRDefault="00E85602" w:rsidP="00E85602">
      <w:pPr>
        <w:pStyle w:val="Heading1"/>
        <w:rPr>
          <w:rFonts w:ascii="Times New Roman" w:hAnsi="Times New Roman" w:cs="Times New Roman"/>
          <w:sz w:val="32"/>
          <w:szCs w:val="32"/>
        </w:rPr>
      </w:pPr>
      <w:r w:rsidRPr="0099227C">
        <w:rPr>
          <w:rFonts w:ascii="Times New Roman" w:hAnsi="Times New Roman" w:cs="Times New Roman"/>
          <w:sz w:val="32"/>
          <w:szCs w:val="32"/>
        </w:rPr>
        <w:t xml:space="preserve">Results </w:t>
      </w:r>
    </w:p>
    <w:p w14:paraId="6BA03179" w14:textId="7081F573"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This </w:t>
      </w:r>
      <w:r w:rsidR="00B85671">
        <w:rPr>
          <w:rFonts w:ascii="Times New Roman" w:hAnsi="Times New Roman" w:cs="Times New Roman"/>
        </w:rPr>
        <w:t>article</w:t>
      </w:r>
      <w:r w:rsidRPr="0099227C">
        <w:rPr>
          <w:rFonts w:ascii="Times New Roman" w:hAnsi="Times New Roman" w:cs="Times New Roman"/>
        </w:rPr>
        <w:t xml:space="preserve"> presents the results of data extraction conducted during the systematic literature review (SLR) process. The objective of this phase was to systematically analyse the selected studies to uncover patterns, quality assessments, and trends related to hydrogen storage for </w:t>
      </w:r>
      <w:r w:rsidRPr="0099227C">
        <w:rPr>
          <w:rFonts w:ascii="Times New Roman" w:hAnsi="Times New Roman" w:cs="Times New Roman"/>
        </w:rPr>
        <w:lastRenderedPageBreak/>
        <w:t>sustainable energy systems. The findings are grouped into thematic categories to provide a comprehensive understanding of the technological challenges and socio-economic opportunities. Visual elements, such as tables and figures, are included to facilitate better comprehension.</w:t>
      </w:r>
    </w:p>
    <w:p w14:paraId="7B96D801" w14:textId="511D0982" w:rsidR="00E85602" w:rsidRPr="0099227C" w:rsidRDefault="00E85602" w:rsidP="00E85602">
      <w:pPr>
        <w:pStyle w:val="Heading2"/>
        <w:rPr>
          <w:rFonts w:ascii="Times New Roman" w:hAnsi="Times New Roman" w:cs="Times New Roman"/>
          <w:sz w:val="28"/>
          <w:szCs w:val="28"/>
        </w:rPr>
      </w:pPr>
      <w:bookmarkStart w:id="9" w:name="_Toc187014089"/>
      <w:r w:rsidRPr="0099227C">
        <w:rPr>
          <w:rFonts w:ascii="Times New Roman" w:hAnsi="Times New Roman" w:cs="Times New Roman"/>
          <w:sz w:val="28"/>
          <w:szCs w:val="28"/>
        </w:rPr>
        <w:t>Overview of the Selected SLRs</w:t>
      </w:r>
      <w:bookmarkEnd w:id="9"/>
    </w:p>
    <w:p w14:paraId="64E991AD"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A systematic screening process was employed to identify relevant publications on hydrogen storage for sustainable energy systems. These studies were filtered strictly based on the inclusion criteria outlined in the methodology section (2.4.1), ensuring that only peer-reviewed articles published between January 2020 and November 2024 were considered spanning over five years. In total, 38 articles were included in this review, after the removal of duplicates and irrelevant studies. Table 1 summarizes key characteristics of the selected studies. The articles were categorized based on several parameters including:  The quality score, the publication year, author’s names, the publication title, the source title, the country of publication, and the research area.</w:t>
      </w:r>
    </w:p>
    <w:p w14:paraId="6F8688AA" w14:textId="77777777" w:rsidR="00E85602" w:rsidRPr="0099227C" w:rsidRDefault="00E85602" w:rsidP="00E85602">
      <w:pPr>
        <w:spacing w:line="360" w:lineRule="auto"/>
        <w:jc w:val="both"/>
        <w:rPr>
          <w:rFonts w:ascii="Times New Roman" w:hAnsi="Times New Roman" w:cs="Times New Roman"/>
        </w:rPr>
      </w:pPr>
    </w:p>
    <w:p w14:paraId="1735D467" w14:textId="77777777" w:rsidR="00E85602" w:rsidRPr="0099227C" w:rsidRDefault="00E85602" w:rsidP="00E85602">
      <w:pPr>
        <w:spacing w:line="360" w:lineRule="auto"/>
        <w:jc w:val="both"/>
        <w:rPr>
          <w:rFonts w:ascii="Times New Roman" w:hAnsi="Times New Roman" w:cs="Times New Roman"/>
        </w:rPr>
      </w:pPr>
    </w:p>
    <w:p w14:paraId="0722239A" w14:textId="77777777" w:rsidR="00E85602" w:rsidRPr="0099227C" w:rsidRDefault="00E85602" w:rsidP="00E85602">
      <w:pPr>
        <w:spacing w:line="360" w:lineRule="auto"/>
        <w:jc w:val="both"/>
        <w:rPr>
          <w:rFonts w:ascii="Times New Roman" w:hAnsi="Times New Roman" w:cs="Times New Roman"/>
        </w:rPr>
      </w:pPr>
    </w:p>
    <w:p w14:paraId="43BC768E" w14:textId="77777777" w:rsidR="00E85602" w:rsidRPr="0099227C" w:rsidRDefault="00E85602" w:rsidP="00E85602">
      <w:pPr>
        <w:spacing w:line="360" w:lineRule="auto"/>
        <w:jc w:val="both"/>
        <w:rPr>
          <w:rFonts w:ascii="Times New Roman" w:hAnsi="Times New Roman" w:cs="Times New Roman"/>
        </w:rPr>
      </w:pPr>
    </w:p>
    <w:p w14:paraId="301CF47D" w14:textId="77777777" w:rsidR="00E85602" w:rsidRPr="0099227C" w:rsidRDefault="00E85602" w:rsidP="00E85602">
      <w:pPr>
        <w:spacing w:line="360" w:lineRule="auto"/>
        <w:jc w:val="both"/>
        <w:rPr>
          <w:rFonts w:ascii="Times New Roman" w:hAnsi="Times New Roman" w:cs="Times New Roman"/>
        </w:rPr>
      </w:pPr>
    </w:p>
    <w:p w14:paraId="61DC1D26" w14:textId="77777777" w:rsidR="00E85602" w:rsidRPr="0099227C" w:rsidRDefault="00E85602" w:rsidP="00E85602">
      <w:pPr>
        <w:spacing w:line="360" w:lineRule="auto"/>
        <w:jc w:val="both"/>
        <w:rPr>
          <w:rFonts w:ascii="Times New Roman" w:hAnsi="Times New Roman" w:cs="Times New Roman"/>
        </w:rPr>
      </w:pPr>
    </w:p>
    <w:p w14:paraId="54572E6B" w14:textId="77777777" w:rsidR="00E85602" w:rsidRPr="0099227C" w:rsidRDefault="00E85602" w:rsidP="00E85602">
      <w:pPr>
        <w:spacing w:line="360" w:lineRule="auto"/>
        <w:jc w:val="both"/>
        <w:rPr>
          <w:rFonts w:ascii="Times New Roman" w:hAnsi="Times New Roman" w:cs="Times New Roman"/>
        </w:rPr>
      </w:pPr>
    </w:p>
    <w:p w14:paraId="2F9CA320" w14:textId="77777777" w:rsidR="00E85602" w:rsidRPr="0099227C" w:rsidRDefault="00E85602" w:rsidP="00E85602">
      <w:pPr>
        <w:spacing w:line="360" w:lineRule="auto"/>
        <w:jc w:val="both"/>
        <w:rPr>
          <w:rFonts w:ascii="Times New Roman" w:hAnsi="Times New Roman" w:cs="Times New Roman"/>
        </w:rPr>
      </w:pPr>
    </w:p>
    <w:p w14:paraId="272ADDD1" w14:textId="77777777" w:rsidR="00E85602" w:rsidRPr="0099227C" w:rsidRDefault="00E85602" w:rsidP="00E85602">
      <w:pPr>
        <w:spacing w:line="360" w:lineRule="auto"/>
        <w:jc w:val="both"/>
        <w:rPr>
          <w:rFonts w:ascii="Times New Roman" w:hAnsi="Times New Roman" w:cs="Times New Roman"/>
        </w:rPr>
        <w:sectPr w:rsidR="00E85602" w:rsidRPr="0099227C" w:rsidSect="00E8560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p w14:paraId="328C5093" w14:textId="77777777" w:rsidR="00E85602" w:rsidRPr="0099227C" w:rsidRDefault="00E85602" w:rsidP="00E85602">
      <w:pPr>
        <w:spacing w:line="360" w:lineRule="auto"/>
        <w:jc w:val="both"/>
        <w:rPr>
          <w:rFonts w:ascii="Times New Roman" w:hAnsi="Times New Roman" w:cs="Times New Roman"/>
        </w:rPr>
      </w:pPr>
    </w:p>
    <w:p w14:paraId="4BFBF357" w14:textId="77777777" w:rsidR="00E85602" w:rsidRPr="0099227C" w:rsidRDefault="00E85602" w:rsidP="00E85602">
      <w:pPr>
        <w:pStyle w:val="Caption"/>
        <w:keepNext/>
        <w:spacing w:line="360" w:lineRule="auto"/>
        <w:jc w:val="both"/>
        <w:rPr>
          <w:rFonts w:ascii="Times New Roman" w:hAnsi="Times New Roman" w:cs="Times New Roman"/>
          <w:sz w:val="24"/>
          <w:szCs w:val="24"/>
        </w:rPr>
      </w:pPr>
      <w:bookmarkStart w:id="10" w:name="_Toc185853920"/>
      <w:r w:rsidRPr="0099227C">
        <w:rPr>
          <w:rFonts w:ascii="Times New Roman" w:hAnsi="Times New Roman" w:cs="Times New Roman"/>
          <w:sz w:val="24"/>
          <w:szCs w:val="24"/>
        </w:rPr>
        <w:t xml:space="preserve">Table </w:t>
      </w:r>
      <w:r w:rsidRPr="0099227C">
        <w:rPr>
          <w:rFonts w:ascii="Times New Roman" w:hAnsi="Times New Roman" w:cs="Times New Roman"/>
          <w:sz w:val="24"/>
          <w:szCs w:val="24"/>
        </w:rPr>
        <w:fldChar w:fldCharType="begin"/>
      </w:r>
      <w:r w:rsidRPr="0099227C">
        <w:rPr>
          <w:rFonts w:ascii="Times New Roman" w:hAnsi="Times New Roman" w:cs="Times New Roman"/>
          <w:sz w:val="24"/>
          <w:szCs w:val="24"/>
        </w:rPr>
        <w:instrText xml:space="preserve"> SEQ Table \* ARABIC </w:instrText>
      </w:r>
      <w:r w:rsidRPr="0099227C">
        <w:rPr>
          <w:rFonts w:ascii="Times New Roman" w:hAnsi="Times New Roman" w:cs="Times New Roman"/>
          <w:sz w:val="24"/>
          <w:szCs w:val="24"/>
        </w:rPr>
        <w:fldChar w:fldCharType="separate"/>
      </w:r>
      <w:r w:rsidRPr="0099227C">
        <w:rPr>
          <w:rFonts w:ascii="Times New Roman" w:hAnsi="Times New Roman" w:cs="Times New Roman"/>
          <w:noProof/>
          <w:sz w:val="24"/>
          <w:szCs w:val="24"/>
        </w:rPr>
        <w:t>1</w:t>
      </w:r>
      <w:r w:rsidRPr="0099227C">
        <w:rPr>
          <w:rFonts w:ascii="Times New Roman" w:hAnsi="Times New Roman" w:cs="Times New Roman"/>
          <w:noProof/>
          <w:sz w:val="24"/>
          <w:szCs w:val="24"/>
        </w:rPr>
        <w:fldChar w:fldCharType="end"/>
      </w:r>
      <w:r w:rsidRPr="0099227C">
        <w:rPr>
          <w:rFonts w:ascii="Times New Roman" w:hAnsi="Times New Roman" w:cs="Times New Roman"/>
          <w:noProof/>
          <w:sz w:val="24"/>
          <w:szCs w:val="24"/>
        </w:rPr>
        <w:t>: Key Characteristics of the selected articles</w:t>
      </w:r>
      <w:bookmarkEnd w:id="10"/>
    </w:p>
    <w:tbl>
      <w:tblPr>
        <w:tblStyle w:val="TableGrid"/>
        <w:tblW w:w="0" w:type="auto"/>
        <w:tblLook w:val="04A0" w:firstRow="1" w:lastRow="0" w:firstColumn="1" w:lastColumn="0" w:noHBand="0" w:noVBand="1"/>
      </w:tblPr>
      <w:tblGrid>
        <w:gridCol w:w="830"/>
        <w:gridCol w:w="1030"/>
        <w:gridCol w:w="1510"/>
        <w:gridCol w:w="3029"/>
        <w:gridCol w:w="2724"/>
        <w:gridCol w:w="1910"/>
        <w:gridCol w:w="1164"/>
        <w:gridCol w:w="1751"/>
      </w:tblGrid>
      <w:tr w:rsidR="00E85602" w:rsidRPr="0099227C" w14:paraId="65944D42" w14:textId="77777777" w:rsidTr="00577A07">
        <w:tc>
          <w:tcPr>
            <w:tcW w:w="830" w:type="dxa"/>
          </w:tcPr>
          <w:p w14:paraId="1BB32594"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SLRs #</w:t>
            </w:r>
          </w:p>
        </w:tc>
        <w:tc>
          <w:tcPr>
            <w:tcW w:w="1030" w:type="dxa"/>
          </w:tcPr>
          <w:p w14:paraId="42B5517E"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Quality Score</w:t>
            </w:r>
          </w:p>
        </w:tc>
        <w:tc>
          <w:tcPr>
            <w:tcW w:w="1510" w:type="dxa"/>
          </w:tcPr>
          <w:p w14:paraId="4104277D"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Publication Year</w:t>
            </w:r>
          </w:p>
        </w:tc>
        <w:tc>
          <w:tcPr>
            <w:tcW w:w="3029" w:type="dxa"/>
          </w:tcPr>
          <w:p w14:paraId="576BC2A5"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Authur’s Full name</w:t>
            </w:r>
          </w:p>
        </w:tc>
        <w:tc>
          <w:tcPr>
            <w:tcW w:w="2724" w:type="dxa"/>
          </w:tcPr>
          <w:p w14:paraId="5C1724C8"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Publication Title</w:t>
            </w:r>
          </w:p>
        </w:tc>
        <w:tc>
          <w:tcPr>
            <w:tcW w:w="1910" w:type="dxa"/>
          </w:tcPr>
          <w:p w14:paraId="7EEAFB9F"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Source Title</w:t>
            </w:r>
          </w:p>
        </w:tc>
        <w:tc>
          <w:tcPr>
            <w:tcW w:w="1164" w:type="dxa"/>
          </w:tcPr>
          <w:p w14:paraId="17C40357"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Country</w:t>
            </w:r>
          </w:p>
        </w:tc>
        <w:tc>
          <w:tcPr>
            <w:tcW w:w="1751" w:type="dxa"/>
          </w:tcPr>
          <w:p w14:paraId="55C0EEC1"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 xml:space="preserve">Research Area </w:t>
            </w:r>
          </w:p>
        </w:tc>
      </w:tr>
      <w:tr w:rsidR="00E85602" w:rsidRPr="0099227C" w14:paraId="122BAB61" w14:textId="77777777" w:rsidTr="00577A07">
        <w:tc>
          <w:tcPr>
            <w:tcW w:w="830" w:type="dxa"/>
          </w:tcPr>
          <w:p w14:paraId="0564D37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w:t>
            </w:r>
          </w:p>
        </w:tc>
        <w:tc>
          <w:tcPr>
            <w:tcW w:w="1030" w:type="dxa"/>
          </w:tcPr>
          <w:p w14:paraId="0810503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74E1663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2022</w:t>
            </w:r>
          </w:p>
        </w:tc>
        <w:tc>
          <w:tcPr>
            <w:tcW w:w="3029" w:type="dxa"/>
          </w:tcPr>
          <w:p w14:paraId="061AC325" w14:textId="77777777" w:rsidR="00E85602" w:rsidRPr="0099227C" w:rsidRDefault="00E85602" w:rsidP="00577A07">
            <w:pPr>
              <w:spacing w:line="276" w:lineRule="auto"/>
              <w:jc w:val="both"/>
              <w:rPr>
                <w:rFonts w:ascii="Times New Roman" w:hAnsi="Times New Roman" w:cs="Times New Roman"/>
              </w:rPr>
            </w:pPr>
            <w:proofErr w:type="spellStart"/>
            <w:r w:rsidRPr="0099227C">
              <w:rPr>
                <w:rFonts w:ascii="Times New Roman" w:hAnsi="Times New Roman" w:cs="Times New Roman"/>
              </w:rPr>
              <w:t>Rimza</w:t>
            </w:r>
            <w:proofErr w:type="spellEnd"/>
            <w:r w:rsidRPr="0099227C">
              <w:rPr>
                <w:rFonts w:ascii="Times New Roman" w:hAnsi="Times New Roman" w:cs="Times New Roman"/>
              </w:rPr>
              <w:t xml:space="preserve"> Tripti; Saha Sumit; Dhand Chetna; Dwivedi Neeraj; Patel Shiv Singh; Singh Shiv; Kumar Pradip.</w:t>
            </w:r>
          </w:p>
        </w:tc>
        <w:tc>
          <w:tcPr>
            <w:tcW w:w="2724" w:type="dxa"/>
          </w:tcPr>
          <w:p w14:paraId="4BBD056F" w14:textId="77777777" w:rsidR="00E85602" w:rsidRPr="0099227C" w:rsidRDefault="00E85602" w:rsidP="00577A07">
            <w:pPr>
              <w:spacing w:line="276" w:lineRule="auto"/>
              <w:rPr>
                <w:rFonts w:ascii="Times New Roman" w:hAnsi="Times New Roman" w:cs="Times New Roman"/>
              </w:rPr>
            </w:pPr>
            <w:r w:rsidRPr="0099227C">
              <w:rPr>
                <w:rFonts w:ascii="Times New Roman" w:hAnsi="Times New Roman" w:cs="Times New Roman"/>
              </w:rPr>
              <w:t>Carbon-Based Sorbents for Hydrogen Storage: Challenges and Sustainability at Operating Conditions for Renewable Energy</w:t>
            </w:r>
          </w:p>
        </w:tc>
        <w:tc>
          <w:tcPr>
            <w:tcW w:w="1910" w:type="dxa"/>
          </w:tcPr>
          <w:p w14:paraId="2D86467F" w14:textId="77777777" w:rsidR="00E85602" w:rsidRPr="0099227C" w:rsidRDefault="00E85602" w:rsidP="00577A07">
            <w:pPr>
              <w:spacing w:line="276" w:lineRule="auto"/>
              <w:jc w:val="both"/>
              <w:rPr>
                <w:rFonts w:ascii="Times New Roman" w:hAnsi="Times New Roman" w:cs="Times New Roman"/>
              </w:rPr>
            </w:pPr>
            <w:proofErr w:type="spellStart"/>
            <w:r w:rsidRPr="0099227C">
              <w:rPr>
                <w:rFonts w:ascii="Times New Roman" w:hAnsi="Times New Roman" w:cs="Times New Roman"/>
              </w:rPr>
              <w:t>ChemSusChem</w:t>
            </w:r>
            <w:proofErr w:type="spellEnd"/>
          </w:p>
        </w:tc>
        <w:tc>
          <w:tcPr>
            <w:tcW w:w="1164" w:type="dxa"/>
          </w:tcPr>
          <w:p w14:paraId="134B417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India</w:t>
            </w:r>
          </w:p>
        </w:tc>
        <w:tc>
          <w:tcPr>
            <w:tcW w:w="1751" w:type="dxa"/>
          </w:tcPr>
          <w:p w14:paraId="491A549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7BD51FF4" w14:textId="77777777" w:rsidTr="00577A07">
        <w:tc>
          <w:tcPr>
            <w:tcW w:w="830" w:type="dxa"/>
          </w:tcPr>
          <w:p w14:paraId="305A542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030" w:type="dxa"/>
          </w:tcPr>
          <w:p w14:paraId="145AFA3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013DE39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2020</w:t>
            </w:r>
          </w:p>
        </w:tc>
        <w:tc>
          <w:tcPr>
            <w:tcW w:w="3029" w:type="dxa"/>
          </w:tcPr>
          <w:p w14:paraId="3E5159B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Stetson Ned; </w:t>
            </w:r>
            <w:proofErr w:type="spellStart"/>
            <w:r w:rsidRPr="0099227C">
              <w:rPr>
                <w:rFonts w:ascii="Times New Roman" w:hAnsi="Times New Roman" w:cs="Times New Roman"/>
              </w:rPr>
              <w:t>Wieliczko</w:t>
            </w:r>
            <w:proofErr w:type="spellEnd"/>
            <w:r w:rsidRPr="0099227C">
              <w:rPr>
                <w:rFonts w:ascii="Times New Roman" w:hAnsi="Times New Roman" w:cs="Times New Roman"/>
              </w:rPr>
              <w:t xml:space="preserve"> Marika</w:t>
            </w:r>
          </w:p>
        </w:tc>
        <w:tc>
          <w:tcPr>
            <w:tcW w:w="2724" w:type="dxa"/>
          </w:tcPr>
          <w:p w14:paraId="51EAD7D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Hydrogen technologies for energy storage: A perspective</w:t>
            </w:r>
          </w:p>
        </w:tc>
        <w:tc>
          <w:tcPr>
            <w:tcW w:w="1910" w:type="dxa"/>
          </w:tcPr>
          <w:p w14:paraId="3966E75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MRS Energy and Sustainability</w:t>
            </w:r>
          </w:p>
        </w:tc>
        <w:tc>
          <w:tcPr>
            <w:tcW w:w="1164" w:type="dxa"/>
          </w:tcPr>
          <w:p w14:paraId="3BC5A9B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Kingdom</w:t>
            </w:r>
          </w:p>
        </w:tc>
        <w:tc>
          <w:tcPr>
            <w:tcW w:w="1751" w:type="dxa"/>
          </w:tcPr>
          <w:p w14:paraId="290D3C7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41C83436" w14:textId="77777777" w:rsidTr="00577A07">
        <w:tc>
          <w:tcPr>
            <w:tcW w:w="830" w:type="dxa"/>
          </w:tcPr>
          <w:p w14:paraId="3A37D07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030" w:type="dxa"/>
          </w:tcPr>
          <w:p w14:paraId="0A457D1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26DD7C2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19EFD97A"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Scarpati Gabriele; Frasci Emmanuele; Di Ilio Giovanni; Jannelli Elio</w:t>
            </w:r>
          </w:p>
        </w:tc>
        <w:tc>
          <w:tcPr>
            <w:tcW w:w="2724" w:type="dxa"/>
          </w:tcPr>
          <w:p w14:paraId="2176EED8" w14:textId="77777777" w:rsidR="00E85602" w:rsidRPr="0099227C" w:rsidRDefault="00E85602" w:rsidP="00577A07">
            <w:pPr>
              <w:spacing w:line="276" w:lineRule="auto"/>
              <w:rPr>
                <w:rFonts w:ascii="Times New Roman" w:hAnsi="Times New Roman" w:cs="Times New Roman"/>
              </w:rPr>
            </w:pPr>
            <w:r w:rsidRPr="0099227C">
              <w:rPr>
                <w:rFonts w:ascii="Times New Roman" w:hAnsi="Times New Roman" w:cs="Times New Roman"/>
              </w:rPr>
              <w:t>A comprehensive review on metal hydrides-based hydrogen storage systems for mobile applications</w:t>
            </w:r>
          </w:p>
        </w:tc>
        <w:tc>
          <w:tcPr>
            <w:tcW w:w="1910" w:type="dxa"/>
          </w:tcPr>
          <w:p w14:paraId="6AB59FE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54C4F73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Italy</w:t>
            </w:r>
          </w:p>
        </w:tc>
        <w:tc>
          <w:tcPr>
            <w:tcW w:w="1751" w:type="dxa"/>
          </w:tcPr>
          <w:p w14:paraId="234C50E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08263853" w14:textId="77777777" w:rsidTr="00577A07">
        <w:tc>
          <w:tcPr>
            <w:tcW w:w="830" w:type="dxa"/>
          </w:tcPr>
          <w:p w14:paraId="3887DF5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4</w:t>
            </w:r>
          </w:p>
        </w:tc>
        <w:tc>
          <w:tcPr>
            <w:tcW w:w="1030" w:type="dxa"/>
          </w:tcPr>
          <w:p w14:paraId="4F902A1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68AC204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2E6029A7" w14:textId="77777777" w:rsidR="00E85602" w:rsidRPr="0099227C" w:rsidRDefault="00E85602" w:rsidP="00577A07">
            <w:pPr>
              <w:spacing w:line="276" w:lineRule="auto"/>
              <w:rPr>
                <w:rFonts w:ascii="Times New Roman" w:hAnsi="Times New Roman" w:cs="Times New Roman"/>
              </w:rPr>
            </w:pPr>
            <w:proofErr w:type="spellStart"/>
            <w:r w:rsidRPr="0099227C">
              <w:rPr>
                <w:rFonts w:ascii="Times New Roman" w:hAnsi="Times New Roman" w:cs="Times New Roman"/>
              </w:rPr>
              <w:t>Revinova</w:t>
            </w:r>
            <w:proofErr w:type="spellEnd"/>
            <w:r w:rsidRPr="0099227C">
              <w:rPr>
                <w:rFonts w:ascii="Times New Roman" w:hAnsi="Times New Roman" w:cs="Times New Roman"/>
              </w:rPr>
              <w:t xml:space="preserve"> Svetlana; </w:t>
            </w:r>
            <w:proofErr w:type="spellStart"/>
            <w:r w:rsidRPr="0099227C">
              <w:rPr>
                <w:rFonts w:ascii="Times New Roman" w:hAnsi="Times New Roman" w:cs="Times New Roman"/>
              </w:rPr>
              <w:t>Lazanyuk</w:t>
            </w:r>
            <w:proofErr w:type="spellEnd"/>
            <w:r w:rsidRPr="0099227C">
              <w:rPr>
                <w:rFonts w:ascii="Times New Roman" w:hAnsi="Times New Roman" w:cs="Times New Roman"/>
              </w:rPr>
              <w:t xml:space="preserve"> Inna; Gabrielyan Bella; </w:t>
            </w:r>
            <w:proofErr w:type="spellStart"/>
            <w:r w:rsidRPr="0099227C">
              <w:rPr>
                <w:rFonts w:ascii="Times New Roman" w:hAnsi="Times New Roman" w:cs="Times New Roman"/>
              </w:rPr>
              <w:t>Shahinyan</w:t>
            </w:r>
            <w:proofErr w:type="spellEnd"/>
            <w:r w:rsidRPr="0099227C">
              <w:rPr>
                <w:rFonts w:ascii="Times New Roman" w:hAnsi="Times New Roman" w:cs="Times New Roman"/>
              </w:rPr>
              <w:t xml:space="preserve"> Tatevik; Hakobyan </w:t>
            </w:r>
            <w:proofErr w:type="spellStart"/>
            <w:r w:rsidRPr="0099227C">
              <w:rPr>
                <w:rFonts w:ascii="Times New Roman" w:hAnsi="Times New Roman" w:cs="Times New Roman"/>
              </w:rPr>
              <w:t>Yevgenya</w:t>
            </w:r>
            <w:proofErr w:type="spellEnd"/>
          </w:p>
        </w:tc>
        <w:tc>
          <w:tcPr>
            <w:tcW w:w="2724" w:type="dxa"/>
          </w:tcPr>
          <w:p w14:paraId="3A2AB2ED" w14:textId="77777777" w:rsidR="00E85602" w:rsidRPr="0099227C" w:rsidRDefault="00E85602" w:rsidP="00577A07">
            <w:pPr>
              <w:spacing w:line="276" w:lineRule="auto"/>
              <w:rPr>
                <w:rFonts w:ascii="Times New Roman" w:hAnsi="Times New Roman" w:cs="Times New Roman"/>
                <w:sz w:val="22"/>
                <w:szCs w:val="22"/>
              </w:rPr>
            </w:pPr>
            <w:r w:rsidRPr="0099227C">
              <w:rPr>
                <w:rFonts w:ascii="Times New Roman" w:hAnsi="Times New Roman" w:cs="Times New Roman"/>
                <w:sz w:val="22"/>
                <w:szCs w:val="22"/>
              </w:rPr>
              <w:t>Hydrogen in Energy Transition: The Problem of Economic Efficiency, Environmental Safety, and Technological Readiness of Transportation and Storage</w:t>
            </w:r>
          </w:p>
        </w:tc>
        <w:tc>
          <w:tcPr>
            <w:tcW w:w="1910" w:type="dxa"/>
          </w:tcPr>
          <w:p w14:paraId="131EFDF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Resources</w:t>
            </w:r>
          </w:p>
        </w:tc>
        <w:tc>
          <w:tcPr>
            <w:tcW w:w="1164" w:type="dxa"/>
          </w:tcPr>
          <w:p w14:paraId="2702051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Russia</w:t>
            </w:r>
          </w:p>
        </w:tc>
        <w:tc>
          <w:tcPr>
            <w:tcW w:w="1751" w:type="dxa"/>
          </w:tcPr>
          <w:p w14:paraId="1388F4D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Socio Economic and Policy Analysis</w:t>
            </w:r>
          </w:p>
        </w:tc>
      </w:tr>
      <w:tr w:rsidR="00E85602" w:rsidRPr="0099227C" w14:paraId="6F67A70D" w14:textId="77777777" w:rsidTr="00577A07">
        <w:tc>
          <w:tcPr>
            <w:tcW w:w="830" w:type="dxa"/>
          </w:tcPr>
          <w:p w14:paraId="3D4B758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12E9CBA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2E35FA2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67CA0D52"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b/>
                <w:bCs/>
              </w:rPr>
              <w:t>Authur’s Full name</w:t>
            </w:r>
          </w:p>
        </w:tc>
        <w:tc>
          <w:tcPr>
            <w:tcW w:w="2724" w:type="dxa"/>
          </w:tcPr>
          <w:p w14:paraId="4D6DDF4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0B1A79A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11B91E7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05D249D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0CF5E022" w14:textId="77777777" w:rsidTr="00577A07">
        <w:tc>
          <w:tcPr>
            <w:tcW w:w="830" w:type="dxa"/>
          </w:tcPr>
          <w:p w14:paraId="768097C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5</w:t>
            </w:r>
          </w:p>
        </w:tc>
        <w:tc>
          <w:tcPr>
            <w:tcW w:w="1030" w:type="dxa"/>
          </w:tcPr>
          <w:p w14:paraId="3E4BA97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77B079D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4840125D"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Massaro Maria Chiara; Biga Roberta; Kolisnichenko Artem; Marocco Paolo; Monteverde Alessandro Hugo Antonio; Santarelli Massimo</w:t>
            </w:r>
          </w:p>
        </w:tc>
        <w:tc>
          <w:tcPr>
            <w:tcW w:w="2724" w:type="dxa"/>
          </w:tcPr>
          <w:p w14:paraId="5D0D560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Potential and technical challenges of on-board hydrogen storage technologies coupled with fuel cell systems for aircraft electrification</w:t>
            </w:r>
          </w:p>
        </w:tc>
        <w:tc>
          <w:tcPr>
            <w:tcW w:w="1910" w:type="dxa"/>
          </w:tcPr>
          <w:p w14:paraId="63A9EEA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Power Sources</w:t>
            </w:r>
          </w:p>
        </w:tc>
        <w:tc>
          <w:tcPr>
            <w:tcW w:w="1164" w:type="dxa"/>
          </w:tcPr>
          <w:p w14:paraId="0935920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Italy</w:t>
            </w:r>
          </w:p>
        </w:tc>
        <w:tc>
          <w:tcPr>
            <w:tcW w:w="1751" w:type="dxa"/>
          </w:tcPr>
          <w:p w14:paraId="672EE43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0FA3B33" w14:textId="77777777" w:rsidTr="00577A07">
        <w:tc>
          <w:tcPr>
            <w:tcW w:w="830" w:type="dxa"/>
          </w:tcPr>
          <w:p w14:paraId="4FA43D2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6</w:t>
            </w:r>
          </w:p>
        </w:tc>
        <w:tc>
          <w:tcPr>
            <w:tcW w:w="1030" w:type="dxa"/>
          </w:tcPr>
          <w:p w14:paraId="6ACA37D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6ACC071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3038159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 xml:space="preserve">Tang Dan, Tan Guang-Lei; Li Guo-Wei; Liang Jin-Guang; Ahmad Shah Masood, Bahadur Ayesha, Humayun Muhammad, Ullah Habib, Khan Abbas, </w:t>
            </w:r>
            <w:proofErr w:type="spellStart"/>
            <w:r w:rsidRPr="0099227C">
              <w:rPr>
                <w:rFonts w:ascii="Times New Roman" w:hAnsi="Times New Roman" w:cs="Times New Roman"/>
                <w:sz w:val="22"/>
                <w:szCs w:val="22"/>
              </w:rPr>
              <w:t>Bououdina</w:t>
            </w:r>
            <w:proofErr w:type="spellEnd"/>
            <w:r w:rsidRPr="0099227C">
              <w:rPr>
                <w:rFonts w:ascii="Times New Roman" w:hAnsi="Times New Roman" w:cs="Times New Roman"/>
                <w:sz w:val="22"/>
                <w:szCs w:val="22"/>
              </w:rPr>
              <w:t xml:space="preserve"> M.</w:t>
            </w:r>
          </w:p>
        </w:tc>
        <w:tc>
          <w:tcPr>
            <w:tcW w:w="2724" w:type="dxa"/>
          </w:tcPr>
          <w:p w14:paraId="72A0B91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State-of-the-art hydrogen generation techniques and storage methods: A critical review</w:t>
            </w:r>
          </w:p>
        </w:tc>
        <w:tc>
          <w:tcPr>
            <w:tcW w:w="1910" w:type="dxa"/>
          </w:tcPr>
          <w:p w14:paraId="1AE9778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099B5DA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China</w:t>
            </w:r>
          </w:p>
        </w:tc>
        <w:tc>
          <w:tcPr>
            <w:tcW w:w="1751" w:type="dxa"/>
          </w:tcPr>
          <w:p w14:paraId="28654AF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0B417765" w14:textId="77777777" w:rsidTr="00577A07">
        <w:tc>
          <w:tcPr>
            <w:tcW w:w="830" w:type="dxa"/>
          </w:tcPr>
          <w:p w14:paraId="2ABE005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7</w:t>
            </w:r>
          </w:p>
        </w:tc>
        <w:tc>
          <w:tcPr>
            <w:tcW w:w="1030" w:type="dxa"/>
          </w:tcPr>
          <w:p w14:paraId="561F401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1.5</w:t>
            </w:r>
          </w:p>
        </w:tc>
        <w:tc>
          <w:tcPr>
            <w:tcW w:w="1510" w:type="dxa"/>
          </w:tcPr>
          <w:p w14:paraId="07EAF80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5C3991B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Saeed Mohsin, </w:t>
            </w:r>
            <w:proofErr w:type="spellStart"/>
            <w:r w:rsidRPr="0099227C">
              <w:rPr>
                <w:rFonts w:ascii="Times New Roman" w:hAnsi="Times New Roman" w:cs="Times New Roman"/>
              </w:rPr>
              <w:t>Marwani</w:t>
            </w:r>
            <w:proofErr w:type="spellEnd"/>
            <w:r w:rsidRPr="0099227C">
              <w:rPr>
                <w:rFonts w:ascii="Times New Roman" w:hAnsi="Times New Roman" w:cs="Times New Roman"/>
              </w:rPr>
              <w:t>, Hadi M, Shahzad Umer, Asiri, Abdullah M, Rahman, Mohammed M.</w:t>
            </w:r>
          </w:p>
        </w:tc>
        <w:tc>
          <w:tcPr>
            <w:tcW w:w="2724" w:type="dxa"/>
          </w:tcPr>
          <w:p w14:paraId="2798C2C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Nanoscale silicon porous materials for efficient hydrogen storage application</w:t>
            </w:r>
          </w:p>
        </w:tc>
        <w:tc>
          <w:tcPr>
            <w:tcW w:w="1910" w:type="dxa"/>
          </w:tcPr>
          <w:p w14:paraId="2A75DC5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06937D8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Saudi Arabia</w:t>
            </w:r>
          </w:p>
        </w:tc>
        <w:tc>
          <w:tcPr>
            <w:tcW w:w="1751" w:type="dxa"/>
          </w:tcPr>
          <w:p w14:paraId="63428DA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02F5A8B7" w14:textId="77777777" w:rsidTr="00577A07">
        <w:tc>
          <w:tcPr>
            <w:tcW w:w="830" w:type="dxa"/>
          </w:tcPr>
          <w:p w14:paraId="698E1FD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8</w:t>
            </w:r>
          </w:p>
        </w:tc>
        <w:tc>
          <w:tcPr>
            <w:tcW w:w="1030" w:type="dxa"/>
          </w:tcPr>
          <w:p w14:paraId="0C68D6F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w:t>
            </w:r>
          </w:p>
        </w:tc>
        <w:tc>
          <w:tcPr>
            <w:tcW w:w="1510" w:type="dxa"/>
          </w:tcPr>
          <w:p w14:paraId="2D0AD93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2021</w:t>
            </w:r>
          </w:p>
        </w:tc>
        <w:tc>
          <w:tcPr>
            <w:tcW w:w="3029" w:type="dxa"/>
          </w:tcPr>
          <w:p w14:paraId="143B912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Singla Manish, Kumar Nijhawan Parag, Oberoi Amandeep Singh</w:t>
            </w:r>
          </w:p>
        </w:tc>
        <w:tc>
          <w:tcPr>
            <w:tcW w:w="2724" w:type="dxa"/>
          </w:tcPr>
          <w:p w14:paraId="4C3D842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Hydrogen fuel and fuel cell technology for cleaner future: a review</w:t>
            </w:r>
          </w:p>
        </w:tc>
        <w:tc>
          <w:tcPr>
            <w:tcW w:w="1910" w:type="dxa"/>
          </w:tcPr>
          <w:p w14:paraId="6F02A77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Environmental Science and Pollution Research</w:t>
            </w:r>
          </w:p>
        </w:tc>
        <w:tc>
          <w:tcPr>
            <w:tcW w:w="1164" w:type="dxa"/>
          </w:tcPr>
          <w:p w14:paraId="53DFC3B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India</w:t>
            </w:r>
          </w:p>
        </w:tc>
        <w:tc>
          <w:tcPr>
            <w:tcW w:w="1751" w:type="dxa"/>
          </w:tcPr>
          <w:p w14:paraId="4A643FF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Sustainability and Environmental Integration</w:t>
            </w:r>
          </w:p>
        </w:tc>
      </w:tr>
      <w:tr w:rsidR="00E85602" w:rsidRPr="0099227C" w14:paraId="46C537BA" w14:textId="77777777" w:rsidTr="00577A07">
        <w:tc>
          <w:tcPr>
            <w:tcW w:w="830" w:type="dxa"/>
          </w:tcPr>
          <w:p w14:paraId="255635B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9</w:t>
            </w:r>
          </w:p>
        </w:tc>
        <w:tc>
          <w:tcPr>
            <w:tcW w:w="1030" w:type="dxa"/>
          </w:tcPr>
          <w:p w14:paraId="77589BE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1.5</w:t>
            </w:r>
          </w:p>
        </w:tc>
        <w:tc>
          <w:tcPr>
            <w:tcW w:w="1510" w:type="dxa"/>
          </w:tcPr>
          <w:p w14:paraId="1D61002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2020</w:t>
            </w:r>
          </w:p>
        </w:tc>
        <w:tc>
          <w:tcPr>
            <w:tcW w:w="3029" w:type="dxa"/>
          </w:tcPr>
          <w:p w14:paraId="2D4E88F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Zahid Abdul Hannan, Amin Naila, Nisar Fahid, Saghir Summaira.</w:t>
            </w:r>
          </w:p>
        </w:tc>
        <w:tc>
          <w:tcPr>
            <w:tcW w:w="2724" w:type="dxa"/>
          </w:tcPr>
          <w:p w14:paraId="38EA490C" w14:textId="77777777" w:rsidR="00E85602" w:rsidRPr="0099227C" w:rsidRDefault="00E85602" w:rsidP="00577A07">
            <w:pPr>
              <w:spacing w:line="276" w:lineRule="auto"/>
              <w:rPr>
                <w:rFonts w:ascii="Times New Roman" w:hAnsi="Times New Roman" w:cs="Times New Roman"/>
                <w:sz w:val="22"/>
                <w:szCs w:val="22"/>
              </w:rPr>
            </w:pPr>
            <w:r w:rsidRPr="0099227C">
              <w:rPr>
                <w:rFonts w:ascii="Times New Roman" w:hAnsi="Times New Roman" w:cs="Times New Roman"/>
                <w:sz w:val="22"/>
                <w:szCs w:val="22"/>
              </w:rPr>
              <w:t>Analysis of MTH-System (Methylcyclohexane-Toluene-Hydrogen-System) for hydrogen production as fuel for power plants</w:t>
            </w:r>
          </w:p>
        </w:tc>
        <w:tc>
          <w:tcPr>
            <w:tcW w:w="1910" w:type="dxa"/>
          </w:tcPr>
          <w:p w14:paraId="0F0123D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39C961E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7DBC95A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536959BD" w14:textId="77777777" w:rsidTr="00577A07">
        <w:tc>
          <w:tcPr>
            <w:tcW w:w="830" w:type="dxa"/>
          </w:tcPr>
          <w:p w14:paraId="16F7A65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35B48A2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6A23F4D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0075E38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Authur’s Full name</w:t>
            </w:r>
          </w:p>
        </w:tc>
        <w:tc>
          <w:tcPr>
            <w:tcW w:w="2724" w:type="dxa"/>
          </w:tcPr>
          <w:p w14:paraId="45A6AE0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266FF3C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2FE8E4E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14A32FB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5A752817" w14:textId="77777777" w:rsidTr="00577A07">
        <w:tc>
          <w:tcPr>
            <w:tcW w:w="830" w:type="dxa"/>
          </w:tcPr>
          <w:p w14:paraId="0BA4899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10</w:t>
            </w:r>
          </w:p>
        </w:tc>
        <w:tc>
          <w:tcPr>
            <w:tcW w:w="1030" w:type="dxa"/>
          </w:tcPr>
          <w:p w14:paraId="423F4F3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11CE669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3641990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Kumar Niraj, Lee Seul-Yi, Park Soo-Jin</w:t>
            </w:r>
          </w:p>
        </w:tc>
        <w:tc>
          <w:tcPr>
            <w:tcW w:w="2724" w:type="dxa"/>
          </w:tcPr>
          <w:p w14:paraId="0D97640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Advancements in hydrogen storage technologies: A comprehensive review of materials, methods, and economic policy</w:t>
            </w:r>
          </w:p>
        </w:tc>
        <w:tc>
          <w:tcPr>
            <w:tcW w:w="1910" w:type="dxa"/>
          </w:tcPr>
          <w:p w14:paraId="03E6126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Nano Today</w:t>
            </w:r>
          </w:p>
        </w:tc>
        <w:tc>
          <w:tcPr>
            <w:tcW w:w="1164" w:type="dxa"/>
          </w:tcPr>
          <w:p w14:paraId="2C5CBE6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South Korea</w:t>
            </w:r>
          </w:p>
        </w:tc>
        <w:tc>
          <w:tcPr>
            <w:tcW w:w="1751" w:type="dxa"/>
          </w:tcPr>
          <w:p w14:paraId="7D02409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6F04397C" w14:textId="77777777" w:rsidTr="00577A07">
        <w:tc>
          <w:tcPr>
            <w:tcW w:w="830" w:type="dxa"/>
          </w:tcPr>
          <w:p w14:paraId="5B8FD39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11</w:t>
            </w:r>
          </w:p>
        </w:tc>
        <w:tc>
          <w:tcPr>
            <w:tcW w:w="1030" w:type="dxa"/>
          </w:tcPr>
          <w:p w14:paraId="37B554D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4285C30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2021</w:t>
            </w:r>
          </w:p>
        </w:tc>
        <w:tc>
          <w:tcPr>
            <w:tcW w:w="3029" w:type="dxa"/>
          </w:tcPr>
          <w:p w14:paraId="2096EEF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Révész, Ádám, Gajdics, Marcell</w:t>
            </w:r>
          </w:p>
        </w:tc>
        <w:tc>
          <w:tcPr>
            <w:tcW w:w="2724" w:type="dxa"/>
          </w:tcPr>
          <w:p w14:paraId="5959EE9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High-pressure torsion of non-equilibrium hydrogen storage materials: A review</w:t>
            </w:r>
          </w:p>
        </w:tc>
        <w:tc>
          <w:tcPr>
            <w:tcW w:w="1910" w:type="dxa"/>
          </w:tcPr>
          <w:p w14:paraId="6A22080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Energies</w:t>
            </w:r>
          </w:p>
        </w:tc>
        <w:tc>
          <w:tcPr>
            <w:tcW w:w="1164" w:type="dxa"/>
          </w:tcPr>
          <w:p w14:paraId="369B5FE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Hungary</w:t>
            </w:r>
          </w:p>
        </w:tc>
        <w:tc>
          <w:tcPr>
            <w:tcW w:w="1751" w:type="dxa"/>
          </w:tcPr>
          <w:p w14:paraId="01BA9C2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11FF5F8A" w14:textId="77777777" w:rsidTr="00577A07">
        <w:tc>
          <w:tcPr>
            <w:tcW w:w="830" w:type="dxa"/>
          </w:tcPr>
          <w:p w14:paraId="101E3D4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12</w:t>
            </w:r>
          </w:p>
        </w:tc>
        <w:tc>
          <w:tcPr>
            <w:tcW w:w="1030" w:type="dxa"/>
          </w:tcPr>
          <w:p w14:paraId="7322185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7E0DE23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75ABE218"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Luo L., Cristofari C., Levrey S.</w:t>
            </w:r>
          </w:p>
        </w:tc>
        <w:tc>
          <w:tcPr>
            <w:tcW w:w="2724" w:type="dxa"/>
          </w:tcPr>
          <w:p w14:paraId="5E0DA0A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Cogeneration: Another way to increase energy efficiency of hybrid renewable energy hydrogen chain – A review of systems operating in cogeneration and of the energy efficiency assessment through exergy analysis</w:t>
            </w:r>
          </w:p>
        </w:tc>
        <w:tc>
          <w:tcPr>
            <w:tcW w:w="1910" w:type="dxa"/>
          </w:tcPr>
          <w:p w14:paraId="4BD8790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4AA836B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France</w:t>
            </w:r>
          </w:p>
        </w:tc>
        <w:tc>
          <w:tcPr>
            <w:tcW w:w="1751" w:type="dxa"/>
          </w:tcPr>
          <w:p w14:paraId="324812A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CD20EBE" w14:textId="77777777" w:rsidTr="00577A07">
        <w:tc>
          <w:tcPr>
            <w:tcW w:w="830" w:type="dxa"/>
          </w:tcPr>
          <w:p w14:paraId="0D00FBB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13</w:t>
            </w:r>
          </w:p>
        </w:tc>
        <w:tc>
          <w:tcPr>
            <w:tcW w:w="1030" w:type="dxa"/>
          </w:tcPr>
          <w:p w14:paraId="79C45E8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7D6A9DA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7E30112C" w14:textId="77777777" w:rsidR="00E85602" w:rsidRPr="0099227C" w:rsidRDefault="00E85602" w:rsidP="00577A07">
            <w:pPr>
              <w:spacing w:line="276" w:lineRule="auto"/>
              <w:jc w:val="both"/>
              <w:rPr>
                <w:rFonts w:ascii="Times New Roman" w:hAnsi="Times New Roman" w:cs="Times New Roman"/>
              </w:rPr>
            </w:pPr>
            <w:proofErr w:type="spellStart"/>
            <w:r w:rsidRPr="0099227C">
              <w:rPr>
                <w:rFonts w:ascii="Times New Roman" w:hAnsi="Times New Roman" w:cs="Times New Roman"/>
              </w:rPr>
              <w:t>Agbadaola</w:t>
            </w:r>
            <w:proofErr w:type="spellEnd"/>
            <w:r w:rsidRPr="0099227C">
              <w:rPr>
                <w:rFonts w:ascii="Times New Roman" w:hAnsi="Times New Roman" w:cs="Times New Roman"/>
              </w:rPr>
              <w:t xml:space="preserve">, Oluwatobi; Qadir, Danial; Ahmad, Faizan; Suleman, </w:t>
            </w:r>
            <w:proofErr w:type="spellStart"/>
            <w:r w:rsidRPr="0099227C">
              <w:rPr>
                <w:rFonts w:ascii="Times New Roman" w:hAnsi="Times New Roman" w:cs="Times New Roman"/>
              </w:rPr>
              <w:t>Humbul</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Karousos</w:t>
            </w:r>
            <w:proofErr w:type="spellEnd"/>
            <w:r w:rsidRPr="0099227C">
              <w:rPr>
                <w:rFonts w:ascii="Times New Roman" w:hAnsi="Times New Roman" w:cs="Times New Roman"/>
              </w:rPr>
              <w:t xml:space="preserve">, Dionysios S.; </w:t>
            </w:r>
            <w:proofErr w:type="spellStart"/>
            <w:r w:rsidRPr="0099227C">
              <w:rPr>
                <w:rFonts w:ascii="Times New Roman" w:hAnsi="Times New Roman" w:cs="Times New Roman"/>
              </w:rPr>
              <w:t>Favvas</w:t>
            </w:r>
            <w:proofErr w:type="spellEnd"/>
            <w:r w:rsidRPr="0099227C">
              <w:rPr>
                <w:rFonts w:ascii="Times New Roman" w:hAnsi="Times New Roman" w:cs="Times New Roman"/>
              </w:rPr>
              <w:t>, Evangelos P.</w:t>
            </w:r>
          </w:p>
        </w:tc>
        <w:tc>
          <w:tcPr>
            <w:tcW w:w="2724" w:type="dxa"/>
          </w:tcPr>
          <w:p w14:paraId="150FB3A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Hydrogen technologies and policies for sustainable future: a review</w:t>
            </w:r>
          </w:p>
        </w:tc>
        <w:tc>
          <w:tcPr>
            <w:tcW w:w="1910" w:type="dxa"/>
          </w:tcPr>
          <w:p w14:paraId="166BF27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Chemical Papers</w:t>
            </w:r>
          </w:p>
        </w:tc>
        <w:tc>
          <w:tcPr>
            <w:tcW w:w="1164" w:type="dxa"/>
          </w:tcPr>
          <w:p w14:paraId="4640E50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Kingdom</w:t>
            </w:r>
          </w:p>
        </w:tc>
        <w:tc>
          <w:tcPr>
            <w:tcW w:w="1751" w:type="dxa"/>
          </w:tcPr>
          <w:p w14:paraId="429EAFF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Socio Economic and Policy Analysis</w:t>
            </w:r>
          </w:p>
        </w:tc>
      </w:tr>
      <w:tr w:rsidR="00E85602" w:rsidRPr="0099227C" w14:paraId="3881F706" w14:textId="77777777" w:rsidTr="00577A07">
        <w:tc>
          <w:tcPr>
            <w:tcW w:w="830" w:type="dxa"/>
          </w:tcPr>
          <w:p w14:paraId="018C71B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03F2E8B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18D5DA7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5F2BF35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Authur’s Full name</w:t>
            </w:r>
          </w:p>
        </w:tc>
        <w:tc>
          <w:tcPr>
            <w:tcW w:w="2724" w:type="dxa"/>
          </w:tcPr>
          <w:p w14:paraId="342329D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4408722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1310D8C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085824A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74E14C25" w14:textId="77777777" w:rsidTr="00577A07">
        <w:tc>
          <w:tcPr>
            <w:tcW w:w="830" w:type="dxa"/>
          </w:tcPr>
          <w:p w14:paraId="6CEE866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14</w:t>
            </w:r>
          </w:p>
        </w:tc>
        <w:tc>
          <w:tcPr>
            <w:tcW w:w="1030" w:type="dxa"/>
          </w:tcPr>
          <w:p w14:paraId="15A72CD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496FB45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5D65E94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Zeng, </w:t>
            </w:r>
            <w:proofErr w:type="spellStart"/>
            <w:r w:rsidRPr="0099227C">
              <w:rPr>
                <w:rFonts w:ascii="Times New Roman" w:hAnsi="Times New Roman" w:cs="Times New Roman"/>
              </w:rPr>
              <w:t>Lingping</w:t>
            </w:r>
            <w:proofErr w:type="spellEnd"/>
            <w:r w:rsidRPr="0099227C">
              <w:rPr>
                <w:rFonts w:ascii="Times New Roman" w:hAnsi="Times New Roman" w:cs="Times New Roman"/>
              </w:rPr>
              <w:t xml:space="preserve">; Sander, Regina; Chen, </w:t>
            </w:r>
            <w:proofErr w:type="spellStart"/>
            <w:r w:rsidRPr="0099227C">
              <w:rPr>
                <w:rFonts w:ascii="Times New Roman" w:hAnsi="Times New Roman" w:cs="Times New Roman"/>
              </w:rPr>
              <w:t>Yongqiang</w:t>
            </w:r>
            <w:proofErr w:type="spellEnd"/>
            <w:r w:rsidRPr="0099227C">
              <w:rPr>
                <w:rFonts w:ascii="Times New Roman" w:hAnsi="Times New Roman" w:cs="Times New Roman"/>
              </w:rPr>
              <w:t>; Xie, Quan.</w:t>
            </w:r>
          </w:p>
        </w:tc>
        <w:tc>
          <w:tcPr>
            <w:tcW w:w="2724" w:type="dxa"/>
          </w:tcPr>
          <w:p w14:paraId="29B274A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Hydrogen Storage Performance During Underground Hydrogen Storage in Depleted Gas Reservoirs: A Review</w:t>
            </w:r>
          </w:p>
        </w:tc>
        <w:tc>
          <w:tcPr>
            <w:tcW w:w="1910" w:type="dxa"/>
          </w:tcPr>
          <w:p w14:paraId="3E31DED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Engineering</w:t>
            </w:r>
          </w:p>
        </w:tc>
        <w:tc>
          <w:tcPr>
            <w:tcW w:w="1164" w:type="dxa"/>
          </w:tcPr>
          <w:p w14:paraId="1A3DE1F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531201F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760FB3F6" w14:textId="77777777" w:rsidTr="00577A07">
        <w:tc>
          <w:tcPr>
            <w:tcW w:w="830" w:type="dxa"/>
          </w:tcPr>
          <w:p w14:paraId="0233203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15</w:t>
            </w:r>
          </w:p>
        </w:tc>
        <w:tc>
          <w:tcPr>
            <w:tcW w:w="1030" w:type="dxa"/>
          </w:tcPr>
          <w:p w14:paraId="7E68236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7C238B3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2022</w:t>
            </w:r>
          </w:p>
        </w:tc>
        <w:tc>
          <w:tcPr>
            <w:tcW w:w="3029" w:type="dxa"/>
          </w:tcPr>
          <w:p w14:paraId="7AA1FCD3"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Vidas, Leonardo; Castro Rui; Pires  Armando</w:t>
            </w:r>
          </w:p>
        </w:tc>
        <w:tc>
          <w:tcPr>
            <w:tcW w:w="2724" w:type="dxa"/>
          </w:tcPr>
          <w:p w14:paraId="336D1E1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A Review of the Impact of Hydrogen Integration in Natural Gas Distribution Networks and Electric Smart Grids</w:t>
            </w:r>
          </w:p>
        </w:tc>
        <w:tc>
          <w:tcPr>
            <w:tcW w:w="1910" w:type="dxa"/>
          </w:tcPr>
          <w:p w14:paraId="7C293B4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Energies</w:t>
            </w:r>
          </w:p>
        </w:tc>
        <w:tc>
          <w:tcPr>
            <w:tcW w:w="1164" w:type="dxa"/>
          </w:tcPr>
          <w:p w14:paraId="54D4704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Portugal</w:t>
            </w:r>
          </w:p>
        </w:tc>
        <w:tc>
          <w:tcPr>
            <w:tcW w:w="1751" w:type="dxa"/>
          </w:tcPr>
          <w:p w14:paraId="74E4514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Sustainability and Environmental Integration</w:t>
            </w:r>
          </w:p>
        </w:tc>
      </w:tr>
      <w:tr w:rsidR="00E85602" w:rsidRPr="0099227C" w14:paraId="2AFDBFCD" w14:textId="77777777" w:rsidTr="00577A07">
        <w:tc>
          <w:tcPr>
            <w:tcW w:w="830" w:type="dxa"/>
          </w:tcPr>
          <w:p w14:paraId="5377DF2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16</w:t>
            </w:r>
          </w:p>
        </w:tc>
        <w:tc>
          <w:tcPr>
            <w:tcW w:w="1030" w:type="dxa"/>
          </w:tcPr>
          <w:p w14:paraId="38B9901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41D9E54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5F3C9DBE" w14:textId="77777777" w:rsidR="00E85602" w:rsidRPr="0099227C" w:rsidRDefault="00E85602" w:rsidP="00577A07">
            <w:pPr>
              <w:spacing w:line="276" w:lineRule="auto"/>
              <w:jc w:val="both"/>
              <w:rPr>
                <w:rFonts w:ascii="Times New Roman" w:hAnsi="Times New Roman" w:cs="Times New Roman"/>
              </w:rPr>
            </w:pPr>
            <w:proofErr w:type="spellStart"/>
            <w:r w:rsidRPr="0099227C">
              <w:rPr>
                <w:rFonts w:ascii="Times New Roman" w:hAnsi="Times New Roman" w:cs="Times New Roman"/>
              </w:rPr>
              <w:t>Ogarek</w:t>
            </w:r>
            <w:proofErr w:type="spellEnd"/>
            <w:r w:rsidRPr="0099227C">
              <w:rPr>
                <w:rFonts w:ascii="Times New Roman" w:hAnsi="Times New Roman" w:cs="Times New Roman"/>
              </w:rPr>
              <w:t xml:space="preserve">, Przemysław; </w:t>
            </w:r>
            <w:proofErr w:type="spellStart"/>
            <w:r w:rsidRPr="0099227C">
              <w:rPr>
                <w:rFonts w:ascii="Times New Roman" w:hAnsi="Times New Roman" w:cs="Times New Roman"/>
              </w:rPr>
              <w:t>Wojtoń</w:t>
            </w:r>
            <w:proofErr w:type="spellEnd"/>
            <w:r w:rsidRPr="0099227C">
              <w:rPr>
                <w:rFonts w:ascii="Times New Roman" w:hAnsi="Times New Roman" w:cs="Times New Roman"/>
              </w:rPr>
              <w:t xml:space="preserve">, Michał; </w:t>
            </w:r>
            <w:proofErr w:type="spellStart"/>
            <w:r w:rsidRPr="0099227C">
              <w:rPr>
                <w:rFonts w:ascii="Times New Roman" w:hAnsi="Times New Roman" w:cs="Times New Roman"/>
              </w:rPr>
              <w:t>Słyś</w:t>
            </w:r>
            <w:proofErr w:type="spellEnd"/>
            <w:r w:rsidRPr="0099227C">
              <w:rPr>
                <w:rFonts w:ascii="Times New Roman" w:hAnsi="Times New Roman" w:cs="Times New Roman"/>
              </w:rPr>
              <w:t>, Daniel</w:t>
            </w:r>
          </w:p>
        </w:tc>
        <w:tc>
          <w:tcPr>
            <w:tcW w:w="2724" w:type="dxa"/>
          </w:tcPr>
          <w:p w14:paraId="337C658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Hydrogen as a Renewable Energy Carrier in a Hybrid Configuration of Distributed Energy Systems: Bibliometric Mapping of Current Knowledge and Strategies</w:t>
            </w:r>
          </w:p>
        </w:tc>
        <w:tc>
          <w:tcPr>
            <w:tcW w:w="1910" w:type="dxa"/>
          </w:tcPr>
          <w:p w14:paraId="464FCE4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Energies</w:t>
            </w:r>
          </w:p>
        </w:tc>
        <w:tc>
          <w:tcPr>
            <w:tcW w:w="1164" w:type="dxa"/>
          </w:tcPr>
          <w:p w14:paraId="7EA9324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Poland</w:t>
            </w:r>
          </w:p>
        </w:tc>
        <w:tc>
          <w:tcPr>
            <w:tcW w:w="1751" w:type="dxa"/>
          </w:tcPr>
          <w:p w14:paraId="3BFB191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Sustainability and Environmental Integration</w:t>
            </w:r>
          </w:p>
        </w:tc>
      </w:tr>
      <w:tr w:rsidR="00E85602" w:rsidRPr="0099227C" w14:paraId="3349020F" w14:textId="77777777" w:rsidTr="00577A07">
        <w:tc>
          <w:tcPr>
            <w:tcW w:w="830" w:type="dxa"/>
          </w:tcPr>
          <w:p w14:paraId="63B3E36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17</w:t>
            </w:r>
          </w:p>
        </w:tc>
        <w:tc>
          <w:tcPr>
            <w:tcW w:w="1030" w:type="dxa"/>
          </w:tcPr>
          <w:p w14:paraId="0727CEA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1D2F5CD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3D08A5B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Kamran, Muhammad; </w:t>
            </w:r>
            <w:proofErr w:type="spellStart"/>
            <w:r w:rsidRPr="0099227C">
              <w:rPr>
                <w:rFonts w:ascii="Times New Roman" w:hAnsi="Times New Roman" w:cs="Times New Roman"/>
              </w:rPr>
              <w:t>Turzyński</w:t>
            </w:r>
            <w:proofErr w:type="spellEnd"/>
            <w:r w:rsidRPr="0099227C">
              <w:rPr>
                <w:rFonts w:ascii="Times New Roman" w:hAnsi="Times New Roman" w:cs="Times New Roman"/>
              </w:rPr>
              <w:t xml:space="preserve"> Marek.</w:t>
            </w:r>
          </w:p>
        </w:tc>
        <w:tc>
          <w:tcPr>
            <w:tcW w:w="2724" w:type="dxa"/>
          </w:tcPr>
          <w:p w14:paraId="0FC9B3D3"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Exploring hydrogen energy systems: A comprehensive review of technologies, applications, prevailing trends, and associated challenges</w:t>
            </w:r>
          </w:p>
        </w:tc>
        <w:tc>
          <w:tcPr>
            <w:tcW w:w="1910" w:type="dxa"/>
          </w:tcPr>
          <w:p w14:paraId="4804596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69E7982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Poland</w:t>
            </w:r>
          </w:p>
        </w:tc>
        <w:tc>
          <w:tcPr>
            <w:tcW w:w="1751" w:type="dxa"/>
          </w:tcPr>
          <w:p w14:paraId="74C48C5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21FEA8FC" w14:textId="77777777" w:rsidTr="00577A07">
        <w:tc>
          <w:tcPr>
            <w:tcW w:w="830" w:type="dxa"/>
          </w:tcPr>
          <w:p w14:paraId="12E0B71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51DDC02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43228D1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1F8B5FC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Authur’s Full name</w:t>
            </w:r>
          </w:p>
        </w:tc>
        <w:tc>
          <w:tcPr>
            <w:tcW w:w="2724" w:type="dxa"/>
          </w:tcPr>
          <w:p w14:paraId="40E7415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02C3A3B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266B906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078F5D6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198636F4" w14:textId="77777777" w:rsidTr="00577A07">
        <w:tc>
          <w:tcPr>
            <w:tcW w:w="830" w:type="dxa"/>
          </w:tcPr>
          <w:p w14:paraId="41A5955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18</w:t>
            </w:r>
          </w:p>
        </w:tc>
        <w:tc>
          <w:tcPr>
            <w:tcW w:w="1030" w:type="dxa"/>
          </w:tcPr>
          <w:p w14:paraId="085F745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50FDFA0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3A6CC32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Zhang Jimiao; Li Jie</w:t>
            </w:r>
          </w:p>
        </w:tc>
        <w:tc>
          <w:tcPr>
            <w:tcW w:w="2724" w:type="dxa"/>
          </w:tcPr>
          <w:p w14:paraId="7987208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Revolution in Renewables: Integration of Green Hydrogen for a Sustainable Future</w:t>
            </w:r>
          </w:p>
        </w:tc>
        <w:tc>
          <w:tcPr>
            <w:tcW w:w="1910" w:type="dxa"/>
          </w:tcPr>
          <w:p w14:paraId="4FF8D7A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Energies</w:t>
            </w:r>
          </w:p>
        </w:tc>
        <w:tc>
          <w:tcPr>
            <w:tcW w:w="1164" w:type="dxa"/>
          </w:tcPr>
          <w:p w14:paraId="1876FDD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State</w:t>
            </w:r>
          </w:p>
        </w:tc>
        <w:tc>
          <w:tcPr>
            <w:tcW w:w="1751" w:type="dxa"/>
          </w:tcPr>
          <w:p w14:paraId="27F5BDF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Socio Economic and Policy Analysis</w:t>
            </w:r>
          </w:p>
        </w:tc>
      </w:tr>
      <w:tr w:rsidR="00E85602" w:rsidRPr="0099227C" w14:paraId="5F1BF114" w14:textId="77777777" w:rsidTr="00577A07">
        <w:tc>
          <w:tcPr>
            <w:tcW w:w="830" w:type="dxa"/>
          </w:tcPr>
          <w:p w14:paraId="4CF6F04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19</w:t>
            </w:r>
          </w:p>
        </w:tc>
        <w:tc>
          <w:tcPr>
            <w:tcW w:w="1030" w:type="dxa"/>
          </w:tcPr>
          <w:p w14:paraId="386CB22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3CFA69C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6DB84C8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Ma Nan; Zhao Weihua; Wang Wenzhong; Li </w:t>
            </w:r>
            <w:proofErr w:type="spellStart"/>
            <w:r w:rsidRPr="0099227C">
              <w:rPr>
                <w:rFonts w:ascii="Times New Roman" w:hAnsi="Times New Roman" w:cs="Times New Roman"/>
              </w:rPr>
              <w:t>Xiangrong</w:t>
            </w:r>
            <w:proofErr w:type="spellEnd"/>
            <w:r w:rsidRPr="0099227C">
              <w:rPr>
                <w:rFonts w:ascii="Times New Roman" w:hAnsi="Times New Roman" w:cs="Times New Roman"/>
              </w:rPr>
              <w:t xml:space="preserve">; Zhou </w:t>
            </w:r>
            <w:proofErr w:type="spellStart"/>
            <w:r w:rsidRPr="0099227C">
              <w:rPr>
                <w:rFonts w:ascii="Times New Roman" w:hAnsi="Times New Roman" w:cs="Times New Roman"/>
              </w:rPr>
              <w:t>Haiqin</w:t>
            </w:r>
            <w:proofErr w:type="spellEnd"/>
            <w:r w:rsidRPr="0099227C">
              <w:rPr>
                <w:rFonts w:ascii="Times New Roman" w:hAnsi="Times New Roman" w:cs="Times New Roman"/>
              </w:rPr>
              <w:t xml:space="preserve"> </w:t>
            </w:r>
          </w:p>
        </w:tc>
        <w:tc>
          <w:tcPr>
            <w:tcW w:w="2724" w:type="dxa"/>
          </w:tcPr>
          <w:p w14:paraId="525BFBE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Large scale of green hydrogen storage: Opportunities and challenges</w:t>
            </w:r>
          </w:p>
        </w:tc>
        <w:tc>
          <w:tcPr>
            <w:tcW w:w="1910" w:type="dxa"/>
          </w:tcPr>
          <w:p w14:paraId="2DDCB81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078F5A5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Kingdom</w:t>
            </w:r>
          </w:p>
        </w:tc>
        <w:tc>
          <w:tcPr>
            <w:tcW w:w="1751" w:type="dxa"/>
          </w:tcPr>
          <w:p w14:paraId="218AA65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69834FF1" w14:textId="77777777" w:rsidTr="00577A07">
        <w:tc>
          <w:tcPr>
            <w:tcW w:w="830" w:type="dxa"/>
          </w:tcPr>
          <w:p w14:paraId="4DFC832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w:t>
            </w:r>
          </w:p>
        </w:tc>
        <w:tc>
          <w:tcPr>
            <w:tcW w:w="1030" w:type="dxa"/>
          </w:tcPr>
          <w:p w14:paraId="6B41394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404024A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77CAE0D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Liu Yinhua; Zhou Peilin; Jeong </w:t>
            </w:r>
            <w:proofErr w:type="spellStart"/>
            <w:r w:rsidRPr="0099227C">
              <w:rPr>
                <w:rFonts w:ascii="Times New Roman" w:hAnsi="Times New Roman" w:cs="Times New Roman"/>
              </w:rPr>
              <w:t>Byongug</w:t>
            </w:r>
            <w:proofErr w:type="spellEnd"/>
            <w:r w:rsidRPr="0099227C">
              <w:rPr>
                <w:rFonts w:ascii="Times New Roman" w:hAnsi="Times New Roman" w:cs="Times New Roman"/>
              </w:rPr>
              <w:t xml:space="preserve">; Wang </w:t>
            </w:r>
            <w:proofErr w:type="spellStart"/>
            <w:r w:rsidRPr="0099227C">
              <w:rPr>
                <w:rFonts w:ascii="Times New Roman" w:hAnsi="Times New Roman" w:cs="Times New Roman"/>
              </w:rPr>
              <w:t>Haibin</w:t>
            </w:r>
            <w:proofErr w:type="spellEnd"/>
            <w:r w:rsidRPr="0099227C">
              <w:rPr>
                <w:rFonts w:ascii="Times New Roman" w:hAnsi="Times New Roman" w:cs="Times New Roman"/>
              </w:rPr>
              <w:t xml:space="preserve"> </w:t>
            </w:r>
          </w:p>
        </w:tc>
        <w:tc>
          <w:tcPr>
            <w:tcW w:w="2724" w:type="dxa"/>
          </w:tcPr>
          <w:p w14:paraId="3D21D2C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Design and optimization of a type-C tank for liquid hydrogen marine transport</w:t>
            </w:r>
          </w:p>
        </w:tc>
        <w:tc>
          <w:tcPr>
            <w:tcW w:w="1910" w:type="dxa"/>
          </w:tcPr>
          <w:p w14:paraId="55A0219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7B357D0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Kingdom</w:t>
            </w:r>
          </w:p>
        </w:tc>
        <w:tc>
          <w:tcPr>
            <w:tcW w:w="1751" w:type="dxa"/>
          </w:tcPr>
          <w:p w14:paraId="4E09D02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3D2A5324" w14:textId="77777777" w:rsidTr="00577A07">
        <w:tc>
          <w:tcPr>
            <w:tcW w:w="830" w:type="dxa"/>
          </w:tcPr>
          <w:p w14:paraId="6D9EC05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21</w:t>
            </w:r>
          </w:p>
        </w:tc>
        <w:tc>
          <w:tcPr>
            <w:tcW w:w="1030" w:type="dxa"/>
          </w:tcPr>
          <w:p w14:paraId="7E45CA1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1.5</w:t>
            </w:r>
          </w:p>
        </w:tc>
        <w:tc>
          <w:tcPr>
            <w:tcW w:w="1510" w:type="dxa"/>
          </w:tcPr>
          <w:p w14:paraId="56675B6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2022</w:t>
            </w:r>
          </w:p>
        </w:tc>
        <w:tc>
          <w:tcPr>
            <w:tcW w:w="3029" w:type="dxa"/>
          </w:tcPr>
          <w:p w14:paraId="562B5AE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Zhou </w:t>
            </w:r>
            <w:proofErr w:type="spellStart"/>
            <w:r w:rsidRPr="0099227C">
              <w:rPr>
                <w:rFonts w:ascii="Times New Roman" w:hAnsi="Times New Roman" w:cs="Times New Roman"/>
              </w:rPr>
              <w:t>Yuekuan</w:t>
            </w:r>
            <w:proofErr w:type="spellEnd"/>
          </w:p>
        </w:tc>
        <w:tc>
          <w:tcPr>
            <w:tcW w:w="2724" w:type="dxa"/>
          </w:tcPr>
          <w:p w14:paraId="584B6F3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Transition towards carbon-neutral districts based on storage techniques and spatiotemporal energy sharing with electrification and hydrogenation</w:t>
            </w:r>
          </w:p>
        </w:tc>
        <w:tc>
          <w:tcPr>
            <w:tcW w:w="1910" w:type="dxa"/>
          </w:tcPr>
          <w:p w14:paraId="60F6714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Renewable and Sustainable Energy Reviews</w:t>
            </w:r>
          </w:p>
        </w:tc>
        <w:tc>
          <w:tcPr>
            <w:tcW w:w="1164" w:type="dxa"/>
          </w:tcPr>
          <w:p w14:paraId="696400D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China</w:t>
            </w:r>
          </w:p>
        </w:tc>
        <w:tc>
          <w:tcPr>
            <w:tcW w:w="1751" w:type="dxa"/>
          </w:tcPr>
          <w:p w14:paraId="3C81085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Sustainability and Environmental Integration</w:t>
            </w:r>
          </w:p>
        </w:tc>
      </w:tr>
      <w:tr w:rsidR="00E85602" w:rsidRPr="0099227C" w14:paraId="38D398B8" w14:textId="77777777" w:rsidTr="00577A07">
        <w:tc>
          <w:tcPr>
            <w:tcW w:w="830" w:type="dxa"/>
          </w:tcPr>
          <w:p w14:paraId="1BC45BE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22</w:t>
            </w:r>
          </w:p>
        </w:tc>
        <w:tc>
          <w:tcPr>
            <w:tcW w:w="1030" w:type="dxa"/>
          </w:tcPr>
          <w:p w14:paraId="57058B5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0AC0A40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1B61D60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Zhou Caicai; Chen Chenghui; Sun Jialin; Chen Yuhong </w:t>
            </w:r>
          </w:p>
        </w:tc>
        <w:tc>
          <w:tcPr>
            <w:tcW w:w="2724" w:type="dxa"/>
          </w:tcPr>
          <w:p w14:paraId="135C551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Study of hydrogen storage properties of Na modified 6,6,12-graphyne.</w:t>
            </w:r>
          </w:p>
          <w:p w14:paraId="5839DE19" w14:textId="77777777" w:rsidR="00E85602" w:rsidRPr="0099227C" w:rsidRDefault="00E85602" w:rsidP="00577A07">
            <w:pPr>
              <w:spacing w:line="276" w:lineRule="auto"/>
              <w:jc w:val="both"/>
              <w:rPr>
                <w:rFonts w:ascii="Times New Roman" w:hAnsi="Times New Roman" w:cs="Times New Roman"/>
              </w:rPr>
            </w:pPr>
          </w:p>
        </w:tc>
        <w:tc>
          <w:tcPr>
            <w:tcW w:w="1910" w:type="dxa"/>
          </w:tcPr>
          <w:p w14:paraId="3F0A577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0ACB8AF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China</w:t>
            </w:r>
          </w:p>
        </w:tc>
        <w:tc>
          <w:tcPr>
            <w:tcW w:w="1751" w:type="dxa"/>
          </w:tcPr>
          <w:p w14:paraId="3D9FDC4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490AD7AF" w14:textId="77777777" w:rsidTr="00577A07">
        <w:tc>
          <w:tcPr>
            <w:tcW w:w="830" w:type="dxa"/>
          </w:tcPr>
          <w:p w14:paraId="2896926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337B3EC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1A251FF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1D47B98C"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b/>
                <w:bCs/>
              </w:rPr>
              <w:t>Authur’s Full name</w:t>
            </w:r>
          </w:p>
        </w:tc>
        <w:tc>
          <w:tcPr>
            <w:tcW w:w="2724" w:type="dxa"/>
          </w:tcPr>
          <w:p w14:paraId="63A5E48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6E3D29D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3B7B27A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7EACDF9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77BC7F56" w14:textId="77777777" w:rsidTr="00577A07">
        <w:tc>
          <w:tcPr>
            <w:tcW w:w="830" w:type="dxa"/>
          </w:tcPr>
          <w:p w14:paraId="40012C0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23</w:t>
            </w:r>
          </w:p>
        </w:tc>
        <w:tc>
          <w:tcPr>
            <w:tcW w:w="1030" w:type="dxa"/>
          </w:tcPr>
          <w:p w14:paraId="08026E5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604F039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5249ED2E"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 xml:space="preserve">Amirthan T.; Perera M.S.A. </w:t>
            </w:r>
          </w:p>
        </w:tc>
        <w:tc>
          <w:tcPr>
            <w:tcW w:w="2724" w:type="dxa"/>
          </w:tcPr>
          <w:p w14:paraId="791CED6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Underground hydrogen storage in Australia: A review on the feasibility of geological sites</w:t>
            </w:r>
          </w:p>
        </w:tc>
        <w:tc>
          <w:tcPr>
            <w:tcW w:w="1910" w:type="dxa"/>
          </w:tcPr>
          <w:p w14:paraId="65CD682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1420ABC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446BD44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20495285" w14:textId="77777777" w:rsidTr="00577A07">
        <w:tc>
          <w:tcPr>
            <w:tcW w:w="830" w:type="dxa"/>
          </w:tcPr>
          <w:p w14:paraId="156DFFA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24</w:t>
            </w:r>
          </w:p>
        </w:tc>
        <w:tc>
          <w:tcPr>
            <w:tcW w:w="1030" w:type="dxa"/>
          </w:tcPr>
          <w:p w14:paraId="37F480D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3A00225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3231E960" w14:textId="77777777" w:rsidR="00E85602" w:rsidRPr="0099227C" w:rsidRDefault="00E85602" w:rsidP="00577A07">
            <w:pPr>
              <w:spacing w:line="276" w:lineRule="auto"/>
              <w:jc w:val="both"/>
              <w:rPr>
                <w:rFonts w:ascii="Times New Roman" w:hAnsi="Times New Roman" w:cs="Times New Roman"/>
              </w:rPr>
            </w:pPr>
            <w:proofErr w:type="spellStart"/>
            <w:r w:rsidRPr="0099227C">
              <w:rPr>
                <w:rFonts w:ascii="Times New Roman" w:hAnsi="Times New Roman" w:cs="Times New Roman"/>
              </w:rPr>
              <w:t>Esfandyari</w:t>
            </w:r>
            <w:proofErr w:type="spellEnd"/>
            <w:r w:rsidRPr="0099227C">
              <w:rPr>
                <w:rFonts w:ascii="Times New Roman" w:hAnsi="Times New Roman" w:cs="Times New Roman"/>
              </w:rPr>
              <w:t xml:space="preserve"> Hamid; Hosseini Mirhasan; Ali Muhammad; Iglauer Stefan; Haghighi Manouchehr; Keshavarz Alireza</w:t>
            </w:r>
          </w:p>
        </w:tc>
        <w:tc>
          <w:tcPr>
            <w:tcW w:w="2724" w:type="dxa"/>
          </w:tcPr>
          <w:p w14:paraId="3FD2E13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Assessment of the interfacial properties of various mineral/hydrogen/water systems</w:t>
            </w:r>
          </w:p>
        </w:tc>
        <w:tc>
          <w:tcPr>
            <w:tcW w:w="1910" w:type="dxa"/>
          </w:tcPr>
          <w:p w14:paraId="1815DC0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19A7FB5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5C616AC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F9138C1" w14:textId="77777777" w:rsidTr="00577A07">
        <w:tc>
          <w:tcPr>
            <w:tcW w:w="830" w:type="dxa"/>
          </w:tcPr>
          <w:p w14:paraId="37EF7B1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030" w:type="dxa"/>
          </w:tcPr>
          <w:p w14:paraId="7951820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1.5</w:t>
            </w:r>
          </w:p>
        </w:tc>
        <w:tc>
          <w:tcPr>
            <w:tcW w:w="1510" w:type="dxa"/>
          </w:tcPr>
          <w:p w14:paraId="46F66FF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7731D80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Van Long Phan; Chi Kien Do; Duc Tuyen Nguyen</w:t>
            </w:r>
          </w:p>
        </w:tc>
        <w:tc>
          <w:tcPr>
            <w:tcW w:w="2724" w:type="dxa"/>
          </w:tcPr>
          <w:p w14:paraId="4E387B9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Review of hydrogen technologies based microgrid: Energy management systems, challenges, and future recommendations</w:t>
            </w:r>
          </w:p>
        </w:tc>
        <w:tc>
          <w:tcPr>
            <w:tcW w:w="1910" w:type="dxa"/>
          </w:tcPr>
          <w:p w14:paraId="67E98EB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0615EEC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Japan</w:t>
            </w:r>
          </w:p>
        </w:tc>
        <w:tc>
          <w:tcPr>
            <w:tcW w:w="1751" w:type="dxa"/>
          </w:tcPr>
          <w:p w14:paraId="12764DB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Sustainability and Environmental Integration</w:t>
            </w:r>
          </w:p>
        </w:tc>
      </w:tr>
      <w:tr w:rsidR="00E85602" w:rsidRPr="0099227C" w14:paraId="53A0F197" w14:textId="77777777" w:rsidTr="00577A07">
        <w:tc>
          <w:tcPr>
            <w:tcW w:w="830" w:type="dxa"/>
          </w:tcPr>
          <w:p w14:paraId="613B2FE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26</w:t>
            </w:r>
          </w:p>
        </w:tc>
        <w:tc>
          <w:tcPr>
            <w:tcW w:w="1030" w:type="dxa"/>
          </w:tcPr>
          <w:p w14:paraId="36AACC4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516B7B3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2362A20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Van Long Phan; Chi Kien Do; Duc Tuyen Nguyen</w:t>
            </w:r>
          </w:p>
        </w:tc>
        <w:tc>
          <w:tcPr>
            <w:tcW w:w="2724" w:type="dxa"/>
          </w:tcPr>
          <w:p w14:paraId="19EED77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Recent challenges and development of technical and technoeconomic aspects for hydrogen storage, insights at different scales; A state of art review</w:t>
            </w:r>
          </w:p>
          <w:p w14:paraId="7ACC9970" w14:textId="77777777" w:rsidR="00E85602" w:rsidRPr="0099227C" w:rsidRDefault="00E85602" w:rsidP="00577A07">
            <w:pPr>
              <w:spacing w:line="276" w:lineRule="auto"/>
              <w:jc w:val="both"/>
              <w:rPr>
                <w:rFonts w:ascii="Times New Roman" w:hAnsi="Times New Roman" w:cs="Times New Roman"/>
              </w:rPr>
            </w:pPr>
          </w:p>
          <w:p w14:paraId="16275A25" w14:textId="77777777" w:rsidR="00E85602" w:rsidRPr="0099227C" w:rsidRDefault="00E85602" w:rsidP="00577A07">
            <w:pPr>
              <w:spacing w:line="276" w:lineRule="auto"/>
              <w:jc w:val="both"/>
              <w:rPr>
                <w:rFonts w:ascii="Times New Roman" w:hAnsi="Times New Roman" w:cs="Times New Roman"/>
              </w:rPr>
            </w:pPr>
          </w:p>
        </w:tc>
        <w:tc>
          <w:tcPr>
            <w:tcW w:w="1910" w:type="dxa"/>
          </w:tcPr>
          <w:p w14:paraId="7EBA0C0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426CCA3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Ireland</w:t>
            </w:r>
          </w:p>
        </w:tc>
        <w:tc>
          <w:tcPr>
            <w:tcW w:w="1751" w:type="dxa"/>
          </w:tcPr>
          <w:p w14:paraId="6296F0C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3F31B5B9" w14:textId="77777777" w:rsidTr="00577A07">
        <w:tc>
          <w:tcPr>
            <w:tcW w:w="830" w:type="dxa"/>
          </w:tcPr>
          <w:p w14:paraId="6061172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07C12EB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1929371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5D33FBD8"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b/>
                <w:bCs/>
              </w:rPr>
              <w:t>Authur’s Full name</w:t>
            </w:r>
          </w:p>
        </w:tc>
        <w:tc>
          <w:tcPr>
            <w:tcW w:w="2724" w:type="dxa"/>
          </w:tcPr>
          <w:p w14:paraId="2E51830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081CA38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4DBA087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74E2E32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55ADDE1A" w14:textId="77777777" w:rsidTr="00577A07">
        <w:tc>
          <w:tcPr>
            <w:tcW w:w="830" w:type="dxa"/>
          </w:tcPr>
          <w:p w14:paraId="7115509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27</w:t>
            </w:r>
          </w:p>
        </w:tc>
        <w:tc>
          <w:tcPr>
            <w:tcW w:w="1030" w:type="dxa"/>
          </w:tcPr>
          <w:p w14:paraId="59C1E7F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7EED5F5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736ED681"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 xml:space="preserve">Salehabadi Ali; Zanganeh Jafar; Moghtaderi Behdad </w:t>
            </w:r>
          </w:p>
        </w:tc>
        <w:tc>
          <w:tcPr>
            <w:tcW w:w="2724" w:type="dxa"/>
          </w:tcPr>
          <w:p w14:paraId="7E280DA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Mixed metal oxides in catalytic ammonia cracking process for green hydrogen production: A review</w:t>
            </w:r>
          </w:p>
        </w:tc>
        <w:tc>
          <w:tcPr>
            <w:tcW w:w="1910" w:type="dxa"/>
          </w:tcPr>
          <w:p w14:paraId="61A14E3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c>
          <w:tcPr>
            <w:tcW w:w="1164" w:type="dxa"/>
          </w:tcPr>
          <w:p w14:paraId="04432A0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1FB09E1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3124ED0D" w14:textId="77777777" w:rsidTr="00577A07">
        <w:tc>
          <w:tcPr>
            <w:tcW w:w="830" w:type="dxa"/>
          </w:tcPr>
          <w:p w14:paraId="0A2E6E0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28</w:t>
            </w:r>
          </w:p>
        </w:tc>
        <w:tc>
          <w:tcPr>
            <w:tcW w:w="1030" w:type="dxa"/>
          </w:tcPr>
          <w:p w14:paraId="3240C41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79AE5D6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3141E5C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Maury Fernandez Diana; Emadi Hossein; Hussain Athar; Thiyagarajan Sugan Raj</w:t>
            </w:r>
          </w:p>
        </w:tc>
        <w:tc>
          <w:tcPr>
            <w:tcW w:w="2724" w:type="dxa"/>
          </w:tcPr>
          <w:p w14:paraId="4817CC8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 holistic review on wellbore integrity challenges associated with underground hydrogen storage</w:t>
            </w:r>
          </w:p>
        </w:tc>
        <w:tc>
          <w:tcPr>
            <w:tcW w:w="1910" w:type="dxa"/>
          </w:tcPr>
          <w:p w14:paraId="540EC98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c>
          <w:tcPr>
            <w:tcW w:w="1164" w:type="dxa"/>
          </w:tcPr>
          <w:p w14:paraId="5655785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Kingdom</w:t>
            </w:r>
          </w:p>
        </w:tc>
        <w:tc>
          <w:tcPr>
            <w:tcW w:w="1751" w:type="dxa"/>
          </w:tcPr>
          <w:p w14:paraId="27F65B9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686F1F23" w14:textId="77777777" w:rsidTr="00577A07">
        <w:tc>
          <w:tcPr>
            <w:tcW w:w="830" w:type="dxa"/>
          </w:tcPr>
          <w:p w14:paraId="70A6D7D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29</w:t>
            </w:r>
          </w:p>
        </w:tc>
        <w:tc>
          <w:tcPr>
            <w:tcW w:w="1030" w:type="dxa"/>
          </w:tcPr>
          <w:p w14:paraId="4BB38EA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4274690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06EDC22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 xml:space="preserve">Gemechu Desalegn Nigatu; Mohammed Ahmed Mustefa; Redi Mesfin; </w:t>
            </w:r>
            <w:proofErr w:type="spellStart"/>
            <w:r w:rsidRPr="0099227C">
              <w:rPr>
                <w:rFonts w:ascii="Times New Roman" w:hAnsi="Times New Roman" w:cs="Times New Roman"/>
                <w:sz w:val="22"/>
                <w:szCs w:val="22"/>
              </w:rPr>
              <w:t>Bessarabov</w:t>
            </w:r>
            <w:proofErr w:type="spellEnd"/>
            <w:r w:rsidRPr="0099227C">
              <w:rPr>
                <w:rFonts w:ascii="Times New Roman" w:hAnsi="Times New Roman" w:cs="Times New Roman"/>
                <w:sz w:val="22"/>
                <w:szCs w:val="22"/>
              </w:rPr>
              <w:t xml:space="preserve">, Dmitri; Mekonnen </w:t>
            </w:r>
            <w:proofErr w:type="spellStart"/>
            <w:r w:rsidRPr="0099227C">
              <w:rPr>
                <w:rFonts w:ascii="Times New Roman" w:hAnsi="Times New Roman" w:cs="Times New Roman"/>
                <w:sz w:val="22"/>
                <w:szCs w:val="22"/>
              </w:rPr>
              <w:t>Yedilfana</w:t>
            </w:r>
            <w:proofErr w:type="spellEnd"/>
            <w:r w:rsidRPr="0099227C">
              <w:rPr>
                <w:rFonts w:ascii="Times New Roman" w:hAnsi="Times New Roman" w:cs="Times New Roman"/>
                <w:sz w:val="22"/>
                <w:szCs w:val="22"/>
              </w:rPr>
              <w:t xml:space="preserve"> </w:t>
            </w:r>
            <w:proofErr w:type="spellStart"/>
            <w:r w:rsidRPr="0099227C">
              <w:rPr>
                <w:rFonts w:ascii="Times New Roman" w:hAnsi="Times New Roman" w:cs="Times New Roman"/>
                <w:sz w:val="22"/>
                <w:szCs w:val="22"/>
              </w:rPr>
              <w:t>Setarge</w:t>
            </w:r>
            <w:proofErr w:type="spellEnd"/>
            <w:r w:rsidRPr="0099227C">
              <w:rPr>
                <w:rFonts w:ascii="Times New Roman" w:hAnsi="Times New Roman" w:cs="Times New Roman"/>
                <w:sz w:val="22"/>
                <w:szCs w:val="22"/>
              </w:rPr>
              <w:t>; Obodo Kingsley Onyebuchi</w:t>
            </w:r>
          </w:p>
        </w:tc>
        <w:tc>
          <w:tcPr>
            <w:tcW w:w="2724" w:type="dxa"/>
          </w:tcPr>
          <w:p w14:paraId="6A3F1E9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First principles-based approaches for catalytic activity on the dehydrogenation of liquid organic hydrogen carriers: A review</w:t>
            </w:r>
          </w:p>
        </w:tc>
        <w:tc>
          <w:tcPr>
            <w:tcW w:w="1910" w:type="dxa"/>
          </w:tcPr>
          <w:p w14:paraId="1286B7A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553FEE6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Ethiopia</w:t>
            </w:r>
          </w:p>
        </w:tc>
        <w:tc>
          <w:tcPr>
            <w:tcW w:w="1751" w:type="dxa"/>
          </w:tcPr>
          <w:p w14:paraId="10AA183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9B4EC91" w14:textId="77777777" w:rsidTr="00577A07">
        <w:tc>
          <w:tcPr>
            <w:tcW w:w="830" w:type="dxa"/>
          </w:tcPr>
          <w:p w14:paraId="0A0A6DE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30</w:t>
            </w:r>
          </w:p>
        </w:tc>
        <w:tc>
          <w:tcPr>
            <w:tcW w:w="1030" w:type="dxa"/>
          </w:tcPr>
          <w:p w14:paraId="4D27689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7BE39C9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65FAB70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Zhang Jiayi; Zhang </w:t>
            </w:r>
            <w:proofErr w:type="spellStart"/>
            <w:r w:rsidRPr="0099227C">
              <w:rPr>
                <w:rFonts w:ascii="Times New Roman" w:hAnsi="Times New Roman" w:cs="Times New Roman"/>
              </w:rPr>
              <w:t>Liehui</w:t>
            </w:r>
            <w:proofErr w:type="spellEnd"/>
            <w:r w:rsidRPr="0099227C">
              <w:rPr>
                <w:rFonts w:ascii="Times New Roman" w:hAnsi="Times New Roman" w:cs="Times New Roman"/>
              </w:rPr>
              <w:t>; Hu Shuyong.</w:t>
            </w:r>
          </w:p>
        </w:tc>
        <w:tc>
          <w:tcPr>
            <w:tcW w:w="2724" w:type="dxa"/>
          </w:tcPr>
          <w:p w14:paraId="5E4D4D1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Underground hydrogen storage in depleted gas fields: Progress, challenges, and outlook</w:t>
            </w:r>
          </w:p>
        </w:tc>
        <w:tc>
          <w:tcPr>
            <w:tcW w:w="1910" w:type="dxa"/>
          </w:tcPr>
          <w:p w14:paraId="5693E76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0321A8D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China</w:t>
            </w:r>
          </w:p>
        </w:tc>
        <w:tc>
          <w:tcPr>
            <w:tcW w:w="1751" w:type="dxa"/>
          </w:tcPr>
          <w:p w14:paraId="3D57506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22E9DC5E" w14:textId="77777777" w:rsidTr="00577A07">
        <w:tc>
          <w:tcPr>
            <w:tcW w:w="830" w:type="dxa"/>
          </w:tcPr>
          <w:p w14:paraId="0CE4636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31</w:t>
            </w:r>
          </w:p>
        </w:tc>
        <w:tc>
          <w:tcPr>
            <w:tcW w:w="1030" w:type="dxa"/>
          </w:tcPr>
          <w:p w14:paraId="30C6090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385574F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4174E147" w14:textId="77777777" w:rsidR="00E85602" w:rsidRPr="0099227C" w:rsidRDefault="00E85602" w:rsidP="00577A07">
            <w:pPr>
              <w:spacing w:line="276" w:lineRule="auto"/>
              <w:jc w:val="both"/>
              <w:rPr>
                <w:rFonts w:ascii="Times New Roman" w:hAnsi="Times New Roman" w:cs="Times New Roman"/>
                <w:sz w:val="22"/>
                <w:szCs w:val="22"/>
              </w:rPr>
            </w:pPr>
            <w:proofErr w:type="spellStart"/>
            <w:r w:rsidRPr="0099227C">
              <w:rPr>
                <w:rFonts w:ascii="Times New Roman" w:hAnsi="Times New Roman" w:cs="Times New Roman"/>
                <w:sz w:val="22"/>
                <w:szCs w:val="22"/>
              </w:rPr>
              <w:t>Esfandyari</w:t>
            </w:r>
            <w:proofErr w:type="spellEnd"/>
            <w:r w:rsidRPr="0099227C">
              <w:rPr>
                <w:rFonts w:ascii="Times New Roman" w:hAnsi="Times New Roman" w:cs="Times New Roman"/>
                <w:sz w:val="22"/>
                <w:szCs w:val="22"/>
              </w:rPr>
              <w:t xml:space="preserve"> Hamid; Safari Alireza; Hashemi Ali; </w:t>
            </w:r>
            <w:proofErr w:type="spellStart"/>
            <w:r w:rsidRPr="0099227C">
              <w:rPr>
                <w:rFonts w:ascii="Times New Roman" w:hAnsi="Times New Roman" w:cs="Times New Roman"/>
                <w:sz w:val="22"/>
                <w:szCs w:val="22"/>
              </w:rPr>
              <w:t>Hassanpouryouzband</w:t>
            </w:r>
            <w:proofErr w:type="spellEnd"/>
            <w:r w:rsidRPr="0099227C">
              <w:rPr>
                <w:rFonts w:ascii="Times New Roman" w:hAnsi="Times New Roman" w:cs="Times New Roman"/>
                <w:sz w:val="22"/>
                <w:szCs w:val="22"/>
              </w:rPr>
              <w:t xml:space="preserve">, Aliakbar; Haghighi Manouchehr; Keshavarz Alireza; </w:t>
            </w:r>
            <w:proofErr w:type="spellStart"/>
            <w:r w:rsidRPr="0099227C">
              <w:rPr>
                <w:rFonts w:ascii="Times New Roman" w:hAnsi="Times New Roman" w:cs="Times New Roman"/>
                <w:sz w:val="22"/>
                <w:szCs w:val="22"/>
              </w:rPr>
              <w:t>Zeinijahromi</w:t>
            </w:r>
            <w:proofErr w:type="spellEnd"/>
            <w:r w:rsidRPr="0099227C">
              <w:rPr>
                <w:rFonts w:ascii="Times New Roman" w:hAnsi="Times New Roman" w:cs="Times New Roman"/>
                <w:sz w:val="22"/>
                <w:szCs w:val="22"/>
              </w:rPr>
              <w:t xml:space="preserve"> Abbas</w:t>
            </w:r>
          </w:p>
        </w:tc>
        <w:tc>
          <w:tcPr>
            <w:tcW w:w="2724" w:type="dxa"/>
          </w:tcPr>
          <w:p w14:paraId="3BF3277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Surface interaction changes in minerals for underground hydrogen storage: Effects of CO2 cushion gas</w:t>
            </w:r>
          </w:p>
        </w:tc>
        <w:tc>
          <w:tcPr>
            <w:tcW w:w="1910" w:type="dxa"/>
          </w:tcPr>
          <w:p w14:paraId="7A3D4BA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Renewable Energy</w:t>
            </w:r>
          </w:p>
        </w:tc>
        <w:tc>
          <w:tcPr>
            <w:tcW w:w="1164" w:type="dxa"/>
          </w:tcPr>
          <w:p w14:paraId="1C8B4C1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26F1BCE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1838A10F" w14:textId="77777777" w:rsidTr="00577A07">
        <w:tc>
          <w:tcPr>
            <w:tcW w:w="830" w:type="dxa"/>
          </w:tcPr>
          <w:p w14:paraId="00B7B6D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22ED8AB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0DEFE5C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474DD679"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b/>
                <w:bCs/>
              </w:rPr>
              <w:t>Authur’s Full name</w:t>
            </w:r>
          </w:p>
        </w:tc>
        <w:tc>
          <w:tcPr>
            <w:tcW w:w="2724" w:type="dxa"/>
          </w:tcPr>
          <w:p w14:paraId="1029A86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292D46E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49054E6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6B9D9A6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7FF88F4D" w14:textId="77777777" w:rsidTr="00577A07">
        <w:tc>
          <w:tcPr>
            <w:tcW w:w="830" w:type="dxa"/>
          </w:tcPr>
          <w:p w14:paraId="4F876EE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32</w:t>
            </w:r>
          </w:p>
        </w:tc>
        <w:tc>
          <w:tcPr>
            <w:tcW w:w="1030" w:type="dxa"/>
          </w:tcPr>
          <w:p w14:paraId="19B56A9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5FC69C7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2021</w:t>
            </w:r>
          </w:p>
        </w:tc>
        <w:tc>
          <w:tcPr>
            <w:tcW w:w="3029" w:type="dxa"/>
          </w:tcPr>
          <w:p w14:paraId="616E3063"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Egeland-Eriksen Torbjørn; Hajizadeh Amin; Sartori Sabrina</w:t>
            </w:r>
          </w:p>
        </w:tc>
        <w:tc>
          <w:tcPr>
            <w:tcW w:w="2724" w:type="dxa"/>
          </w:tcPr>
          <w:p w14:paraId="5B434305"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Hydrogen-based systems for integration of renewable energy in power systems: Achievements and perspectives</w:t>
            </w:r>
          </w:p>
        </w:tc>
        <w:tc>
          <w:tcPr>
            <w:tcW w:w="1910" w:type="dxa"/>
          </w:tcPr>
          <w:p w14:paraId="3E6EF6B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41FC043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Norway</w:t>
            </w:r>
          </w:p>
        </w:tc>
        <w:tc>
          <w:tcPr>
            <w:tcW w:w="1751" w:type="dxa"/>
          </w:tcPr>
          <w:p w14:paraId="7C3B09E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Socio Economic and Policy Analysis</w:t>
            </w:r>
          </w:p>
        </w:tc>
      </w:tr>
      <w:tr w:rsidR="00E85602" w:rsidRPr="0099227C" w14:paraId="77B225E8" w14:textId="77777777" w:rsidTr="00577A07">
        <w:tc>
          <w:tcPr>
            <w:tcW w:w="830" w:type="dxa"/>
          </w:tcPr>
          <w:p w14:paraId="7D9E84D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33</w:t>
            </w:r>
          </w:p>
        </w:tc>
        <w:tc>
          <w:tcPr>
            <w:tcW w:w="1030" w:type="dxa"/>
          </w:tcPr>
          <w:p w14:paraId="455A2BE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2F531F0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22D913E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Irham Akmal; Roslan M.F; Jern Ker Pin; Hannan M.A; Mahlia T.M Indra</w:t>
            </w:r>
          </w:p>
        </w:tc>
        <w:tc>
          <w:tcPr>
            <w:tcW w:w="2724" w:type="dxa"/>
          </w:tcPr>
          <w:p w14:paraId="7CDE252A"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Hydrogen energy storage integrated grid: A bibliometric analysis for sustainable energy production</w:t>
            </w:r>
          </w:p>
        </w:tc>
        <w:tc>
          <w:tcPr>
            <w:tcW w:w="1910" w:type="dxa"/>
          </w:tcPr>
          <w:p w14:paraId="7144B3B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73AE7BD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07D0FE2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Sustainability and Environmental Integration</w:t>
            </w:r>
          </w:p>
        </w:tc>
      </w:tr>
      <w:tr w:rsidR="00E85602" w:rsidRPr="0099227C" w14:paraId="51FC5272" w14:textId="77777777" w:rsidTr="00577A07">
        <w:tc>
          <w:tcPr>
            <w:tcW w:w="830" w:type="dxa"/>
          </w:tcPr>
          <w:p w14:paraId="0865210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34</w:t>
            </w:r>
          </w:p>
        </w:tc>
        <w:tc>
          <w:tcPr>
            <w:tcW w:w="1030" w:type="dxa"/>
          </w:tcPr>
          <w:p w14:paraId="2AB0EB2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603AEAD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4F4F737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Izadi Amiri Ismaeil; </w:t>
            </w:r>
            <w:proofErr w:type="spellStart"/>
            <w:r w:rsidRPr="0099227C">
              <w:rPr>
                <w:rFonts w:ascii="Times New Roman" w:hAnsi="Times New Roman" w:cs="Times New Roman"/>
              </w:rPr>
              <w:t>Zivar</w:t>
            </w:r>
            <w:proofErr w:type="spellEnd"/>
            <w:r w:rsidRPr="0099227C">
              <w:rPr>
                <w:rFonts w:ascii="Times New Roman" w:hAnsi="Times New Roman" w:cs="Times New Roman"/>
              </w:rPr>
              <w:t xml:space="preserve">, Davood; </w:t>
            </w:r>
            <w:proofErr w:type="spellStart"/>
            <w:r w:rsidRPr="0099227C">
              <w:rPr>
                <w:rFonts w:ascii="Times New Roman" w:hAnsi="Times New Roman" w:cs="Times New Roman"/>
              </w:rPr>
              <w:t>Ayatollahi</w:t>
            </w:r>
            <w:proofErr w:type="spellEnd"/>
            <w:r w:rsidRPr="0099227C">
              <w:rPr>
                <w:rFonts w:ascii="Times New Roman" w:hAnsi="Times New Roman" w:cs="Times New Roman"/>
              </w:rPr>
              <w:t xml:space="preserve"> Shahab; Mahani Hassan</w:t>
            </w:r>
          </w:p>
        </w:tc>
        <w:tc>
          <w:tcPr>
            <w:tcW w:w="2724" w:type="dxa"/>
          </w:tcPr>
          <w:p w14:paraId="360CD19A"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The effect of gas solubility on the selection of cushion gas for underground hydrogen storage in aquifers</w:t>
            </w:r>
          </w:p>
        </w:tc>
        <w:tc>
          <w:tcPr>
            <w:tcW w:w="1910" w:type="dxa"/>
          </w:tcPr>
          <w:p w14:paraId="24D1DE1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22419D0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Iran</w:t>
            </w:r>
          </w:p>
        </w:tc>
        <w:tc>
          <w:tcPr>
            <w:tcW w:w="1751" w:type="dxa"/>
          </w:tcPr>
          <w:p w14:paraId="4A30ECE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178B00D9" w14:textId="77777777" w:rsidTr="00577A07">
        <w:tc>
          <w:tcPr>
            <w:tcW w:w="830" w:type="dxa"/>
          </w:tcPr>
          <w:p w14:paraId="57F3D00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35</w:t>
            </w:r>
          </w:p>
        </w:tc>
        <w:tc>
          <w:tcPr>
            <w:tcW w:w="1030" w:type="dxa"/>
          </w:tcPr>
          <w:p w14:paraId="3F809CF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4412BCA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1DDCDF8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Bosu Subrajit; Rajamohan Natarajan </w:t>
            </w:r>
          </w:p>
        </w:tc>
        <w:tc>
          <w:tcPr>
            <w:tcW w:w="2724" w:type="dxa"/>
          </w:tcPr>
          <w:p w14:paraId="3D7773F0"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Recent advancements in hydrogen storage - Comparative review on methods, operating conditions, and challenges</w:t>
            </w:r>
          </w:p>
        </w:tc>
        <w:tc>
          <w:tcPr>
            <w:tcW w:w="1910" w:type="dxa"/>
          </w:tcPr>
          <w:p w14:paraId="2AA7A5B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c>
          <w:tcPr>
            <w:tcW w:w="1164" w:type="dxa"/>
          </w:tcPr>
          <w:p w14:paraId="7C8E1E8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Oman</w:t>
            </w:r>
          </w:p>
        </w:tc>
        <w:tc>
          <w:tcPr>
            <w:tcW w:w="1751" w:type="dxa"/>
          </w:tcPr>
          <w:p w14:paraId="7336C75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9D86F17" w14:textId="77777777" w:rsidTr="00577A07">
        <w:tc>
          <w:tcPr>
            <w:tcW w:w="830" w:type="dxa"/>
          </w:tcPr>
          <w:p w14:paraId="4AAC320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36</w:t>
            </w:r>
          </w:p>
        </w:tc>
        <w:tc>
          <w:tcPr>
            <w:tcW w:w="1030" w:type="dxa"/>
          </w:tcPr>
          <w:p w14:paraId="4B078B3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7B75571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5F9ABC1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Wali S.B; Hannan M.A.; Abd Rahman M.S.; Alghamdi Hisham Abdullah; Mansor M.; Ker Pin Jern; Tiong S.K.; Mahlia T.M. Indra</w:t>
            </w:r>
          </w:p>
        </w:tc>
        <w:tc>
          <w:tcPr>
            <w:tcW w:w="2724" w:type="dxa"/>
          </w:tcPr>
          <w:p w14:paraId="4E2F6533"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Usage count of hydrogen-based hybrid energy storage systems: An analytical review, challenges, and future research potentials</w:t>
            </w:r>
          </w:p>
        </w:tc>
        <w:tc>
          <w:tcPr>
            <w:tcW w:w="1910" w:type="dxa"/>
          </w:tcPr>
          <w:p w14:paraId="0B4A260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c>
          <w:tcPr>
            <w:tcW w:w="1164" w:type="dxa"/>
          </w:tcPr>
          <w:p w14:paraId="36A0AAF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4CCC6F5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364B808" w14:textId="77777777" w:rsidTr="00577A07">
        <w:tc>
          <w:tcPr>
            <w:tcW w:w="830" w:type="dxa"/>
          </w:tcPr>
          <w:p w14:paraId="5F2AA35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01C82BB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7742351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41FCA2B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Authur’s Full name</w:t>
            </w:r>
          </w:p>
        </w:tc>
        <w:tc>
          <w:tcPr>
            <w:tcW w:w="2724" w:type="dxa"/>
          </w:tcPr>
          <w:p w14:paraId="13FBC0D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3C20E67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5535790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7F71FF8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35C4CCED" w14:textId="77777777" w:rsidTr="00577A07">
        <w:tc>
          <w:tcPr>
            <w:tcW w:w="830" w:type="dxa"/>
          </w:tcPr>
          <w:p w14:paraId="59F4EA9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37</w:t>
            </w:r>
          </w:p>
        </w:tc>
        <w:tc>
          <w:tcPr>
            <w:tcW w:w="1030" w:type="dxa"/>
          </w:tcPr>
          <w:p w14:paraId="23D87AF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42F26D4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2022</w:t>
            </w:r>
          </w:p>
        </w:tc>
        <w:tc>
          <w:tcPr>
            <w:tcW w:w="3029" w:type="dxa"/>
          </w:tcPr>
          <w:p w14:paraId="69585B2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Sambo Chico; </w:t>
            </w:r>
            <w:proofErr w:type="spellStart"/>
            <w:r w:rsidRPr="0099227C">
              <w:rPr>
                <w:rFonts w:ascii="Times New Roman" w:hAnsi="Times New Roman" w:cs="Times New Roman"/>
              </w:rPr>
              <w:t>Dudun</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Anireju</w:t>
            </w:r>
            <w:proofErr w:type="spellEnd"/>
            <w:r w:rsidRPr="0099227C">
              <w:rPr>
                <w:rFonts w:ascii="Times New Roman" w:hAnsi="Times New Roman" w:cs="Times New Roman"/>
              </w:rPr>
              <w:t xml:space="preserve">; Samuel Silas Adeoluwa; </w:t>
            </w:r>
            <w:proofErr w:type="spellStart"/>
            <w:r w:rsidRPr="0099227C">
              <w:rPr>
                <w:rFonts w:ascii="Times New Roman" w:hAnsi="Times New Roman" w:cs="Times New Roman"/>
              </w:rPr>
              <w:t>Esenenjor</w:t>
            </w:r>
            <w:proofErr w:type="spellEnd"/>
            <w:r w:rsidRPr="0099227C">
              <w:rPr>
                <w:rFonts w:ascii="Times New Roman" w:hAnsi="Times New Roman" w:cs="Times New Roman"/>
              </w:rPr>
              <w:t xml:space="preserve"> Pascal; Muhammed Nasiru Salahu; Haq </w:t>
            </w:r>
            <w:proofErr w:type="spellStart"/>
            <w:r w:rsidRPr="0099227C">
              <w:rPr>
                <w:rFonts w:ascii="Times New Roman" w:hAnsi="Times New Roman" w:cs="Times New Roman"/>
              </w:rPr>
              <w:t>Bashirul</w:t>
            </w:r>
            <w:proofErr w:type="spellEnd"/>
          </w:p>
        </w:tc>
        <w:tc>
          <w:tcPr>
            <w:tcW w:w="2724" w:type="dxa"/>
          </w:tcPr>
          <w:p w14:paraId="7DAD866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 review on worldwide underground hydrogen storage operating and potential fields</w:t>
            </w:r>
          </w:p>
        </w:tc>
        <w:tc>
          <w:tcPr>
            <w:tcW w:w="1910" w:type="dxa"/>
          </w:tcPr>
          <w:p w14:paraId="050A608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c>
          <w:tcPr>
            <w:tcW w:w="1164" w:type="dxa"/>
          </w:tcPr>
          <w:p w14:paraId="7A261AF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Saudi Arabia</w:t>
            </w:r>
          </w:p>
        </w:tc>
        <w:tc>
          <w:tcPr>
            <w:tcW w:w="1751" w:type="dxa"/>
          </w:tcPr>
          <w:p w14:paraId="22E4921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795DD422" w14:textId="77777777" w:rsidTr="00577A07">
        <w:tc>
          <w:tcPr>
            <w:tcW w:w="830" w:type="dxa"/>
          </w:tcPr>
          <w:p w14:paraId="59F67AC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38</w:t>
            </w:r>
          </w:p>
        </w:tc>
        <w:tc>
          <w:tcPr>
            <w:tcW w:w="1030" w:type="dxa"/>
          </w:tcPr>
          <w:p w14:paraId="5FD05C6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5777071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0C588F8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Khan Haji Bahader; Zhang </w:t>
            </w:r>
            <w:proofErr w:type="spellStart"/>
            <w:r w:rsidRPr="0099227C">
              <w:rPr>
                <w:rFonts w:ascii="Times New Roman" w:hAnsi="Times New Roman" w:cs="Times New Roman"/>
              </w:rPr>
              <w:t>Tieling</w:t>
            </w:r>
            <w:proofErr w:type="spellEnd"/>
          </w:p>
        </w:tc>
        <w:tc>
          <w:tcPr>
            <w:tcW w:w="2724" w:type="dxa"/>
          </w:tcPr>
          <w:p w14:paraId="3C86ACB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Techno-economic Risk Analysis for Onboard Hydrogen Storage by </w:t>
            </w:r>
            <w:r w:rsidRPr="0099227C">
              <w:rPr>
                <w:rFonts w:ascii="Times New Roman" w:hAnsi="Times New Roman" w:cs="Times New Roman"/>
              </w:rPr>
              <w:lastRenderedPageBreak/>
              <w:t>Quantitative Risk Assessment</w:t>
            </w:r>
          </w:p>
        </w:tc>
        <w:tc>
          <w:tcPr>
            <w:tcW w:w="1910" w:type="dxa"/>
          </w:tcPr>
          <w:p w14:paraId="159BF82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 xml:space="preserve">2023 Global Reliability and Prognostics and </w:t>
            </w:r>
            <w:r w:rsidRPr="0099227C">
              <w:rPr>
                <w:rFonts w:ascii="Times New Roman" w:hAnsi="Times New Roman" w:cs="Times New Roman"/>
              </w:rPr>
              <w:lastRenderedPageBreak/>
              <w:t>Health Management Conference, PHM-Hangzhou 2023</w:t>
            </w:r>
          </w:p>
        </w:tc>
        <w:tc>
          <w:tcPr>
            <w:tcW w:w="1164" w:type="dxa"/>
          </w:tcPr>
          <w:p w14:paraId="1B8C326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Australia</w:t>
            </w:r>
          </w:p>
        </w:tc>
        <w:tc>
          <w:tcPr>
            <w:tcW w:w="1751" w:type="dxa"/>
          </w:tcPr>
          <w:p w14:paraId="6C75AC3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bl>
    <w:p w14:paraId="1FA0283F" w14:textId="77777777" w:rsidR="00E85602" w:rsidRPr="0099227C" w:rsidRDefault="00E85602" w:rsidP="00E85602">
      <w:pPr>
        <w:spacing w:line="360" w:lineRule="auto"/>
        <w:jc w:val="both"/>
        <w:rPr>
          <w:rFonts w:ascii="Times New Roman" w:hAnsi="Times New Roman" w:cs="Times New Roman"/>
        </w:rPr>
      </w:pPr>
    </w:p>
    <w:p w14:paraId="5E34B128" w14:textId="77777777" w:rsidR="00E85602" w:rsidRPr="0099227C" w:rsidRDefault="00E85602" w:rsidP="00E85602">
      <w:pPr>
        <w:spacing w:line="360" w:lineRule="auto"/>
        <w:jc w:val="both"/>
        <w:rPr>
          <w:rFonts w:ascii="Times New Roman" w:hAnsi="Times New Roman" w:cs="Times New Roman"/>
        </w:rPr>
      </w:pPr>
    </w:p>
    <w:p w14:paraId="267D352F" w14:textId="77777777" w:rsidR="00E85602" w:rsidRPr="0099227C" w:rsidRDefault="00E85602" w:rsidP="00E85602">
      <w:pPr>
        <w:spacing w:line="360" w:lineRule="auto"/>
        <w:jc w:val="both"/>
        <w:rPr>
          <w:rFonts w:ascii="Times New Roman" w:hAnsi="Times New Roman" w:cs="Times New Roman"/>
        </w:rPr>
      </w:pPr>
    </w:p>
    <w:p w14:paraId="2C6E03E6" w14:textId="77777777" w:rsidR="00E85602" w:rsidRPr="0099227C" w:rsidRDefault="00E85602" w:rsidP="00E85602">
      <w:pPr>
        <w:spacing w:line="360" w:lineRule="auto"/>
        <w:jc w:val="both"/>
        <w:rPr>
          <w:rFonts w:ascii="Times New Roman" w:hAnsi="Times New Roman" w:cs="Times New Roman"/>
        </w:rPr>
      </w:pPr>
    </w:p>
    <w:p w14:paraId="13984E66" w14:textId="77777777" w:rsidR="00E85602" w:rsidRPr="0099227C" w:rsidRDefault="00E85602" w:rsidP="00E85602">
      <w:pPr>
        <w:spacing w:line="360" w:lineRule="auto"/>
        <w:jc w:val="both"/>
        <w:rPr>
          <w:rFonts w:ascii="Times New Roman" w:hAnsi="Times New Roman" w:cs="Times New Roman"/>
        </w:rPr>
        <w:sectPr w:rsidR="00E85602" w:rsidRPr="0099227C" w:rsidSect="00E85602">
          <w:headerReference w:type="even" r:id="rId18"/>
          <w:headerReference w:type="default" r:id="rId19"/>
          <w:headerReference w:type="first" r:id="rId20"/>
          <w:pgSz w:w="16838" w:h="11906" w:orient="landscape"/>
          <w:pgMar w:top="1440" w:right="1440" w:bottom="1440" w:left="1440" w:header="708" w:footer="708" w:gutter="0"/>
          <w:cols w:space="708"/>
          <w:docGrid w:linePitch="360"/>
        </w:sectPr>
      </w:pPr>
    </w:p>
    <w:p w14:paraId="5504493D"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lastRenderedPageBreak/>
        <w:t>This categorization enabled a thorough understanding of the primary themes emerging from the recent literature on hydrogen storage technologies, with a focus on technological challenges and socio-economic implications.</w:t>
      </w:r>
    </w:p>
    <w:p w14:paraId="207A8D1E" w14:textId="3833604D" w:rsidR="00E85602" w:rsidRPr="0099227C" w:rsidRDefault="00E85602" w:rsidP="00E85602">
      <w:pPr>
        <w:pStyle w:val="Heading2"/>
        <w:rPr>
          <w:rFonts w:ascii="Times New Roman" w:hAnsi="Times New Roman" w:cs="Times New Roman"/>
          <w:sz w:val="28"/>
          <w:szCs w:val="28"/>
        </w:rPr>
      </w:pPr>
      <w:bookmarkStart w:id="11" w:name="_Toc187014090"/>
      <w:r w:rsidRPr="0099227C">
        <w:rPr>
          <w:rFonts w:ascii="Times New Roman" w:hAnsi="Times New Roman" w:cs="Times New Roman"/>
          <w:sz w:val="28"/>
          <w:szCs w:val="28"/>
        </w:rPr>
        <w:t>Descriptive Statistics Analysis</w:t>
      </w:r>
      <w:bookmarkEnd w:id="11"/>
    </w:p>
    <w:p w14:paraId="18847737"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The descriptive statistics analysis provided valuable insights into the trends and dynamics in hydrogen storage research over the last five years. The analysis focused on the following key variables: The Year of publication, Research clusters based on thematic focus, Publications by Geographical Spread, and Quality Assessment of Selected SLRs</w:t>
      </w:r>
    </w:p>
    <w:p w14:paraId="2CDE3F1D" w14:textId="5770FC40" w:rsidR="00E85602" w:rsidRPr="0099227C" w:rsidRDefault="00E85602" w:rsidP="00E85602">
      <w:pPr>
        <w:pStyle w:val="Heading3"/>
        <w:rPr>
          <w:rFonts w:ascii="Times New Roman" w:hAnsi="Times New Roman" w:cs="Times New Roman"/>
        </w:rPr>
      </w:pPr>
      <w:bookmarkStart w:id="12" w:name="_Toc187014091"/>
      <w:r w:rsidRPr="0099227C">
        <w:rPr>
          <w:rFonts w:ascii="Times New Roman" w:hAnsi="Times New Roman" w:cs="Times New Roman"/>
        </w:rPr>
        <w:t>Annual Trends in Publications</w:t>
      </w:r>
      <w:bookmarkEnd w:id="12"/>
    </w:p>
    <w:p w14:paraId="652815F9"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Figure 2 illustrates a clear visual representation of trend in the number of publications on hydrogen technologies from January 2020 to November 2024. The data reveals a steady increase in research output, starting with 2 articles in 2020, rising to 3 articles in 2021, and further growing to 4 articles in 2022. A significant spike is observed in 2023 with 11 articles, followed by a substantial surge to 18 articles in 2024, based on early publications up to November. This upward trajectory highlights the growing academic and policy interest in hydrogen technologies, driven by the global shift toward sustainable energy systems. The most dramatic growth occurred between 2022 and 2024, underscoring heightened focus and investment in this field. The slight dip in 2023 may reflect a temporary saturation of initial research themes, but the renewed interest in 2024 suggests expanding innovation and exploration of emerging topics. Table 2 below shows the numbers of SLRs published each year.</w:t>
      </w:r>
    </w:p>
    <w:p w14:paraId="4DDFD483" w14:textId="77777777" w:rsidR="00E85602" w:rsidRPr="0099227C" w:rsidRDefault="00E85602" w:rsidP="00E85602">
      <w:pPr>
        <w:pStyle w:val="Caption"/>
        <w:keepNext/>
        <w:rPr>
          <w:rFonts w:ascii="Times New Roman" w:hAnsi="Times New Roman" w:cs="Times New Roman"/>
          <w:sz w:val="24"/>
          <w:szCs w:val="24"/>
        </w:rPr>
      </w:pPr>
      <w:bookmarkStart w:id="13" w:name="_Toc185853921"/>
      <w:r w:rsidRPr="0099227C">
        <w:rPr>
          <w:rFonts w:ascii="Times New Roman" w:hAnsi="Times New Roman" w:cs="Times New Roman"/>
          <w:sz w:val="24"/>
          <w:szCs w:val="24"/>
        </w:rPr>
        <w:t xml:space="preserve">Table </w:t>
      </w:r>
      <w:r w:rsidRPr="0099227C">
        <w:rPr>
          <w:rFonts w:ascii="Times New Roman" w:hAnsi="Times New Roman" w:cs="Times New Roman"/>
          <w:sz w:val="24"/>
          <w:szCs w:val="24"/>
        </w:rPr>
        <w:fldChar w:fldCharType="begin"/>
      </w:r>
      <w:r w:rsidRPr="0099227C">
        <w:rPr>
          <w:rFonts w:ascii="Times New Roman" w:hAnsi="Times New Roman" w:cs="Times New Roman"/>
          <w:sz w:val="24"/>
          <w:szCs w:val="24"/>
        </w:rPr>
        <w:instrText xml:space="preserve"> SEQ Table \* ARABIC </w:instrText>
      </w:r>
      <w:r w:rsidRPr="0099227C">
        <w:rPr>
          <w:rFonts w:ascii="Times New Roman" w:hAnsi="Times New Roman" w:cs="Times New Roman"/>
          <w:sz w:val="24"/>
          <w:szCs w:val="24"/>
        </w:rPr>
        <w:fldChar w:fldCharType="separate"/>
      </w:r>
      <w:r w:rsidRPr="0099227C">
        <w:rPr>
          <w:rFonts w:ascii="Times New Roman" w:hAnsi="Times New Roman" w:cs="Times New Roman"/>
          <w:noProof/>
          <w:sz w:val="24"/>
          <w:szCs w:val="24"/>
        </w:rPr>
        <w:t>2</w:t>
      </w:r>
      <w:r w:rsidRPr="0099227C">
        <w:rPr>
          <w:rFonts w:ascii="Times New Roman" w:hAnsi="Times New Roman" w:cs="Times New Roman"/>
          <w:sz w:val="24"/>
          <w:szCs w:val="24"/>
        </w:rPr>
        <w:fldChar w:fldCharType="end"/>
      </w:r>
      <w:r w:rsidRPr="0099227C">
        <w:rPr>
          <w:rFonts w:ascii="Times New Roman" w:hAnsi="Times New Roman" w:cs="Times New Roman"/>
          <w:sz w:val="24"/>
          <w:szCs w:val="24"/>
        </w:rPr>
        <w:t xml:space="preserve"> Numbers of SLRs published each </w:t>
      </w:r>
      <w:bookmarkEnd w:id="13"/>
      <w:r w:rsidRPr="0099227C">
        <w:rPr>
          <w:rFonts w:ascii="Times New Roman" w:hAnsi="Times New Roman" w:cs="Times New Roman"/>
          <w:sz w:val="24"/>
          <w:szCs w:val="24"/>
        </w:rPr>
        <w:t>year.</w:t>
      </w:r>
    </w:p>
    <w:tbl>
      <w:tblPr>
        <w:tblStyle w:val="TableGrid"/>
        <w:tblW w:w="0" w:type="auto"/>
        <w:tblLook w:val="04A0" w:firstRow="1" w:lastRow="0" w:firstColumn="1" w:lastColumn="0" w:noHBand="0" w:noVBand="1"/>
      </w:tblPr>
      <w:tblGrid>
        <w:gridCol w:w="2405"/>
        <w:gridCol w:w="1701"/>
      </w:tblGrid>
      <w:tr w:rsidR="00E85602" w:rsidRPr="0099227C" w14:paraId="67AE1D06" w14:textId="77777777" w:rsidTr="00577A07">
        <w:tc>
          <w:tcPr>
            <w:tcW w:w="2405" w:type="dxa"/>
          </w:tcPr>
          <w:p w14:paraId="1EE8846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Publication Year</w:t>
            </w:r>
          </w:p>
        </w:tc>
        <w:tc>
          <w:tcPr>
            <w:tcW w:w="1701" w:type="dxa"/>
          </w:tcPr>
          <w:p w14:paraId="592B281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No of SLRs</w:t>
            </w:r>
          </w:p>
        </w:tc>
      </w:tr>
      <w:tr w:rsidR="00E85602" w:rsidRPr="0099227C" w14:paraId="6D4FF5AA" w14:textId="77777777" w:rsidTr="00577A07">
        <w:tc>
          <w:tcPr>
            <w:tcW w:w="2405" w:type="dxa"/>
          </w:tcPr>
          <w:p w14:paraId="1D9C562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2020</w:t>
            </w:r>
          </w:p>
        </w:tc>
        <w:tc>
          <w:tcPr>
            <w:tcW w:w="1701" w:type="dxa"/>
          </w:tcPr>
          <w:p w14:paraId="11A11FD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w:t>
            </w:r>
          </w:p>
        </w:tc>
      </w:tr>
      <w:tr w:rsidR="00E85602" w:rsidRPr="0099227C" w14:paraId="70FBD721" w14:textId="77777777" w:rsidTr="00577A07">
        <w:tc>
          <w:tcPr>
            <w:tcW w:w="2405" w:type="dxa"/>
          </w:tcPr>
          <w:p w14:paraId="2F90642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2021</w:t>
            </w:r>
          </w:p>
        </w:tc>
        <w:tc>
          <w:tcPr>
            <w:tcW w:w="1701" w:type="dxa"/>
          </w:tcPr>
          <w:p w14:paraId="5160286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w:t>
            </w:r>
          </w:p>
        </w:tc>
      </w:tr>
      <w:tr w:rsidR="00E85602" w:rsidRPr="0099227C" w14:paraId="16D2B66E" w14:textId="77777777" w:rsidTr="00577A07">
        <w:tc>
          <w:tcPr>
            <w:tcW w:w="2405" w:type="dxa"/>
          </w:tcPr>
          <w:p w14:paraId="0878FEA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2022</w:t>
            </w:r>
          </w:p>
        </w:tc>
        <w:tc>
          <w:tcPr>
            <w:tcW w:w="1701" w:type="dxa"/>
          </w:tcPr>
          <w:p w14:paraId="24CE3BA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4</w:t>
            </w:r>
          </w:p>
        </w:tc>
      </w:tr>
      <w:tr w:rsidR="00E85602" w:rsidRPr="0099227C" w14:paraId="2C8D4AE4" w14:textId="77777777" w:rsidTr="00577A07">
        <w:tc>
          <w:tcPr>
            <w:tcW w:w="2405" w:type="dxa"/>
          </w:tcPr>
          <w:p w14:paraId="2CAD681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2023</w:t>
            </w:r>
          </w:p>
        </w:tc>
        <w:tc>
          <w:tcPr>
            <w:tcW w:w="1701" w:type="dxa"/>
          </w:tcPr>
          <w:p w14:paraId="137FE55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11</w:t>
            </w:r>
          </w:p>
        </w:tc>
      </w:tr>
      <w:tr w:rsidR="00E85602" w:rsidRPr="0099227C" w14:paraId="3EFFF063" w14:textId="77777777" w:rsidTr="00577A07">
        <w:tc>
          <w:tcPr>
            <w:tcW w:w="2405" w:type="dxa"/>
          </w:tcPr>
          <w:p w14:paraId="437EC6F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2024</w:t>
            </w:r>
          </w:p>
        </w:tc>
        <w:tc>
          <w:tcPr>
            <w:tcW w:w="1701" w:type="dxa"/>
          </w:tcPr>
          <w:p w14:paraId="71A4167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18</w:t>
            </w:r>
          </w:p>
        </w:tc>
      </w:tr>
    </w:tbl>
    <w:p w14:paraId="7BB5CF51" w14:textId="77777777" w:rsidR="00E85602" w:rsidRPr="0099227C" w:rsidRDefault="00E85602" w:rsidP="00E85602">
      <w:pPr>
        <w:spacing w:line="360" w:lineRule="auto"/>
        <w:jc w:val="both"/>
        <w:rPr>
          <w:rFonts w:ascii="Times New Roman" w:hAnsi="Times New Roman" w:cs="Times New Roman"/>
        </w:rPr>
      </w:pPr>
    </w:p>
    <w:p w14:paraId="08DF4FF7" w14:textId="77777777" w:rsidR="00E85602" w:rsidRPr="0099227C" w:rsidRDefault="00E85602" w:rsidP="00E85602">
      <w:pPr>
        <w:keepNext/>
        <w:spacing w:line="360" w:lineRule="auto"/>
        <w:jc w:val="both"/>
        <w:rPr>
          <w:rFonts w:ascii="Times New Roman" w:hAnsi="Times New Roman" w:cs="Times New Roman"/>
        </w:rPr>
      </w:pPr>
      <w:r w:rsidRPr="0099227C">
        <w:rPr>
          <w:rFonts w:ascii="Times New Roman" w:hAnsi="Times New Roman" w:cs="Times New Roman"/>
          <w:noProof/>
          <w:lang w:val="en-US"/>
        </w:rPr>
        <w:lastRenderedPageBreak/>
        <w:drawing>
          <wp:inline distT="0" distB="0" distL="0" distR="0" wp14:anchorId="091730F8" wp14:editId="59BE5DE7">
            <wp:extent cx="5772150" cy="2743200"/>
            <wp:effectExtent l="0" t="0" r="0" b="0"/>
            <wp:docPr id="1698224904" name="Chart 1">
              <a:extLst xmlns:a="http://schemas.openxmlformats.org/drawingml/2006/main">
                <a:ext uri="{FF2B5EF4-FFF2-40B4-BE49-F238E27FC236}">
                  <a16:creationId xmlns:a16="http://schemas.microsoft.com/office/drawing/2014/main" id="{CAC089DA-4C64-EBF2-AC4E-29804E5E4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0B5BD1" w14:textId="77777777" w:rsidR="00E85602" w:rsidRPr="0099227C" w:rsidRDefault="00E85602" w:rsidP="00E85602">
      <w:pPr>
        <w:pStyle w:val="Caption"/>
        <w:jc w:val="both"/>
        <w:rPr>
          <w:rFonts w:ascii="Times New Roman" w:hAnsi="Times New Roman" w:cs="Times New Roman"/>
          <w:sz w:val="24"/>
          <w:szCs w:val="24"/>
        </w:rPr>
      </w:pPr>
      <w:bookmarkStart w:id="14" w:name="_Toc185854200"/>
      <w:r w:rsidRPr="0099227C">
        <w:rPr>
          <w:rFonts w:ascii="Times New Roman" w:hAnsi="Times New Roman" w:cs="Times New Roman"/>
          <w:sz w:val="24"/>
          <w:szCs w:val="24"/>
        </w:rPr>
        <w:t xml:space="preserve">Figure </w:t>
      </w:r>
      <w:r w:rsidRPr="0099227C">
        <w:rPr>
          <w:rFonts w:ascii="Times New Roman" w:hAnsi="Times New Roman" w:cs="Times New Roman"/>
          <w:sz w:val="24"/>
          <w:szCs w:val="24"/>
        </w:rPr>
        <w:fldChar w:fldCharType="begin"/>
      </w:r>
      <w:r w:rsidRPr="0099227C">
        <w:rPr>
          <w:rFonts w:ascii="Times New Roman" w:hAnsi="Times New Roman" w:cs="Times New Roman"/>
          <w:sz w:val="24"/>
          <w:szCs w:val="24"/>
        </w:rPr>
        <w:instrText xml:space="preserve"> SEQ Figure \* ARABIC </w:instrText>
      </w:r>
      <w:r w:rsidRPr="0099227C">
        <w:rPr>
          <w:rFonts w:ascii="Times New Roman" w:hAnsi="Times New Roman" w:cs="Times New Roman"/>
          <w:sz w:val="24"/>
          <w:szCs w:val="24"/>
        </w:rPr>
        <w:fldChar w:fldCharType="separate"/>
      </w:r>
      <w:r w:rsidRPr="0099227C">
        <w:rPr>
          <w:rFonts w:ascii="Times New Roman" w:hAnsi="Times New Roman" w:cs="Times New Roman"/>
          <w:noProof/>
          <w:sz w:val="24"/>
          <w:szCs w:val="24"/>
        </w:rPr>
        <w:t>2</w:t>
      </w:r>
      <w:r w:rsidRPr="0099227C">
        <w:rPr>
          <w:rFonts w:ascii="Times New Roman" w:hAnsi="Times New Roman" w:cs="Times New Roman"/>
          <w:sz w:val="24"/>
          <w:szCs w:val="24"/>
        </w:rPr>
        <w:fldChar w:fldCharType="end"/>
      </w:r>
      <w:r w:rsidRPr="0099227C">
        <w:rPr>
          <w:rFonts w:ascii="Times New Roman" w:hAnsi="Times New Roman" w:cs="Times New Roman"/>
          <w:sz w:val="24"/>
          <w:szCs w:val="24"/>
        </w:rPr>
        <w:t xml:space="preserve"> Annual Trends in Hydrogen Storage Publications (2020-2024)</w:t>
      </w:r>
      <w:bookmarkEnd w:id="14"/>
    </w:p>
    <w:p w14:paraId="20CE5DC2" w14:textId="447A6E25" w:rsidR="00E85602" w:rsidRPr="0099227C" w:rsidRDefault="00E85602" w:rsidP="00E85602">
      <w:pPr>
        <w:pStyle w:val="Heading3"/>
        <w:spacing w:before="0" w:after="0" w:line="360" w:lineRule="auto"/>
        <w:rPr>
          <w:rFonts w:ascii="Times New Roman" w:eastAsia="Times New Roman" w:hAnsi="Times New Roman" w:cs="Times New Roman"/>
          <w:lang w:eastAsia="en-GB"/>
        </w:rPr>
      </w:pPr>
      <w:bookmarkStart w:id="15" w:name="_Toc187014092"/>
      <w:r w:rsidRPr="0099227C">
        <w:rPr>
          <w:rFonts w:ascii="Times New Roman" w:eastAsia="Times New Roman" w:hAnsi="Times New Roman" w:cs="Times New Roman"/>
          <w:lang w:eastAsia="en-GB"/>
        </w:rPr>
        <w:t>Clusters Based on the Systematic Literature Review</w:t>
      </w:r>
      <w:bookmarkEnd w:id="15"/>
    </w:p>
    <w:p w14:paraId="27EFA6A2" w14:textId="77777777" w:rsidR="00E85602" w:rsidRPr="0099227C" w:rsidRDefault="00E85602" w:rsidP="00E85602">
      <w:pPr>
        <w:spacing w:after="0"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A thematic analysis of the included studies identifies four dominant research areas within the recent literature on hydrogen storage for sustainable energy systems. Table 3 summarizes these clusters, detailing their focus and the number of studies contributing to each:</w:t>
      </w:r>
    </w:p>
    <w:p w14:paraId="2FD84F72" w14:textId="77777777" w:rsidR="00E85602" w:rsidRPr="0099227C" w:rsidRDefault="00E85602" w:rsidP="00E85602">
      <w:pPr>
        <w:pStyle w:val="Caption"/>
        <w:keepNext/>
        <w:rPr>
          <w:rFonts w:ascii="Times New Roman" w:hAnsi="Times New Roman" w:cs="Times New Roman"/>
          <w:sz w:val="24"/>
          <w:szCs w:val="24"/>
        </w:rPr>
      </w:pPr>
      <w:bookmarkStart w:id="16" w:name="_Toc185853922"/>
      <w:r w:rsidRPr="0099227C">
        <w:rPr>
          <w:rFonts w:ascii="Times New Roman" w:hAnsi="Times New Roman" w:cs="Times New Roman"/>
          <w:sz w:val="24"/>
          <w:szCs w:val="24"/>
        </w:rPr>
        <w:t xml:space="preserve">Table </w:t>
      </w:r>
      <w:r w:rsidRPr="0099227C">
        <w:rPr>
          <w:rFonts w:ascii="Times New Roman" w:hAnsi="Times New Roman" w:cs="Times New Roman"/>
          <w:sz w:val="24"/>
          <w:szCs w:val="24"/>
        </w:rPr>
        <w:fldChar w:fldCharType="begin"/>
      </w:r>
      <w:r w:rsidRPr="0099227C">
        <w:rPr>
          <w:rFonts w:ascii="Times New Roman" w:hAnsi="Times New Roman" w:cs="Times New Roman"/>
          <w:sz w:val="24"/>
          <w:szCs w:val="24"/>
        </w:rPr>
        <w:instrText xml:space="preserve"> SEQ Table \* ARABIC </w:instrText>
      </w:r>
      <w:r w:rsidRPr="0099227C">
        <w:rPr>
          <w:rFonts w:ascii="Times New Roman" w:hAnsi="Times New Roman" w:cs="Times New Roman"/>
          <w:sz w:val="24"/>
          <w:szCs w:val="24"/>
        </w:rPr>
        <w:fldChar w:fldCharType="separate"/>
      </w:r>
      <w:r w:rsidRPr="0099227C">
        <w:rPr>
          <w:rFonts w:ascii="Times New Roman" w:hAnsi="Times New Roman" w:cs="Times New Roman"/>
          <w:noProof/>
          <w:sz w:val="24"/>
          <w:szCs w:val="24"/>
        </w:rPr>
        <w:t>3</w:t>
      </w:r>
      <w:r w:rsidRPr="0099227C">
        <w:rPr>
          <w:rFonts w:ascii="Times New Roman" w:hAnsi="Times New Roman" w:cs="Times New Roman"/>
          <w:sz w:val="24"/>
          <w:szCs w:val="24"/>
        </w:rPr>
        <w:fldChar w:fldCharType="end"/>
      </w:r>
      <w:r w:rsidRPr="0099227C">
        <w:rPr>
          <w:rFonts w:ascii="Times New Roman" w:hAnsi="Times New Roman" w:cs="Times New Roman"/>
          <w:sz w:val="24"/>
          <w:szCs w:val="24"/>
        </w:rPr>
        <w:t xml:space="preserve"> Clusters based on SLRs.</w:t>
      </w:r>
      <w:bookmarkEnd w:id="16"/>
    </w:p>
    <w:tbl>
      <w:tblPr>
        <w:tblStyle w:val="TableGrid"/>
        <w:tblW w:w="0" w:type="auto"/>
        <w:tblLook w:val="04A0" w:firstRow="1" w:lastRow="0" w:firstColumn="1" w:lastColumn="0" w:noHBand="0" w:noVBand="1"/>
      </w:tblPr>
      <w:tblGrid>
        <w:gridCol w:w="2770"/>
        <w:gridCol w:w="1185"/>
        <w:gridCol w:w="5061"/>
      </w:tblGrid>
      <w:tr w:rsidR="00E85602" w:rsidRPr="0099227C" w14:paraId="3F311355" w14:textId="77777777" w:rsidTr="00577A07">
        <w:tc>
          <w:tcPr>
            <w:tcW w:w="0" w:type="auto"/>
          </w:tcPr>
          <w:p w14:paraId="186CA3E7"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Theme (Research Area)</w:t>
            </w:r>
          </w:p>
        </w:tc>
        <w:tc>
          <w:tcPr>
            <w:tcW w:w="0" w:type="auto"/>
          </w:tcPr>
          <w:p w14:paraId="1AD8A671"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No. of Studies</w:t>
            </w:r>
          </w:p>
        </w:tc>
        <w:tc>
          <w:tcPr>
            <w:tcW w:w="0" w:type="auto"/>
          </w:tcPr>
          <w:p w14:paraId="04760882"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Key Outcomes</w:t>
            </w:r>
          </w:p>
        </w:tc>
      </w:tr>
      <w:tr w:rsidR="00E85602" w:rsidRPr="0099227C" w14:paraId="5DC4680B" w14:textId="77777777" w:rsidTr="00577A07">
        <w:tc>
          <w:tcPr>
            <w:tcW w:w="0" w:type="auto"/>
          </w:tcPr>
          <w:p w14:paraId="58BF6EE2"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Material Science and methods for storage</w:t>
            </w:r>
          </w:p>
        </w:tc>
        <w:tc>
          <w:tcPr>
            <w:tcW w:w="0" w:type="auto"/>
          </w:tcPr>
          <w:p w14:paraId="430DA71F"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7</w:t>
            </w:r>
          </w:p>
        </w:tc>
        <w:tc>
          <w:tcPr>
            <w:tcW w:w="0" w:type="auto"/>
          </w:tcPr>
          <w:p w14:paraId="7DD133FD"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hAnsi="Times New Roman" w:cs="Times New Roman"/>
              </w:rPr>
              <w:t>Advances in metal hydrides, porous carbon, and graphene composites for enhanced storage capacity.</w:t>
            </w:r>
          </w:p>
        </w:tc>
      </w:tr>
      <w:tr w:rsidR="00E85602" w:rsidRPr="0099227C" w14:paraId="05EA2722" w14:textId="77777777" w:rsidTr="00577A07">
        <w:tc>
          <w:tcPr>
            <w:tcW w:w="0" w:type="auto"/>
          </w:tcPr>
          <w:p w14:paraId="52D86701"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Technology Specific Challenges</w:t>
            </w:r>
          </w:p>
        </w:tc>
        <w:tc>
          <w:tcPr>
            <w:tcW w:w="0" w:type="auto"/>
          </w:tcPr>
          <w:p w14:paraId="52F4789D"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21</w:t>
            </w:r>
          </w:p>
        </w:tc>
        <w:tc>
          <w:tcPr>
            <w:tcW w:w="0" w:type="auto"/>
          </w:tcPr>
          <w:p w14:paraId="07C4046B"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hAnsi="Times New Roman" w:cs="Times New Roman"/>
              </w:rPr>
              <w:t>Challenges include energy losses in cryogenic storage, durability of materials, and system inefficiencies.</w:t>
            </w:r>
          </w:p>
        </w:tc>
      </w:tr>
      <w:tr w:rsidR="00E85602" w:rsidRPr="0099227C" w14:paraId="0E5232FA" w14:textId="77777777" w:rsidTr="00577A07">
        <w:tc>
          <w:tcPr>
            <w:tcW w:w="0" w:type="auto"/>
          </w:tcPr>
          <w:p w14:paraId="02EC07EA"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Socio Economic and Policy Analysis</w:t>
            </w:r>
          </w:p>
        </w:tc>
        <w:tc>
          <w:tcPr>
            <w:tcW w:w="0" w:type="auto"/>
          </w:tcPr>
          <w:p w14:paraId="33F85734"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4</w:t>
            </w:r>
          </w:p>
        </w:tc>
        <w:tc>
          <w:tcPr>
            <w:tcW w:w="0" w:type="auto"/>
          </w:tcPr>
          <w:p w14:paraId="59362C66"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hAnsi="Times New Roman" w:cs="Times New Roman"/>
              </w:rPr>
              <w:t>Insights into cost barriers, market disparities, and the need for global regulatory frameworks.</w:t>
            </w:r>
          </w:p>
        </w:tc>
      </w:tr>
      <w:tr w:rsidR="00E85602" w:rsidRPr="0099227C" w14:paraId="134F388D" w14:textId="77777777" w:rsidTr="00577A07">
        <w:tc>
          <w:tcPr>
            <w:tcW w:w="0" w:type="auto"/>
          </w:tcPr>
          <w:p w14:paraId="027A6635"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Sustainability and Environmental Integration</w:t>
            </w:r>
          </w:p>
        </w:tc>
        <w:tc>
          <w:tcPr>
            <w:tcW w:w="0" w:type="auto"/>
          </w:tcPr>
          <w:p w14:paraId="2CAFBA60"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6</w:t>
            </w:r>
          </w:p>
        </w:tc>
        <w:tc>
          <w:tcPr>
            <w:tcW w:w="0" w:type="auto"/>
          </w:tcPr>
          <w:p w14:paraId="6C8DB46A" w14:textId="77777777" w:rsidR="00E85602" w:rsidRPr="0099227C" w:rsidRDefault="00E85602" w:rsidP="00577A07">
            <w:pPr>
              <w:keepNext/>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hAnsi="Times New Roman" w:cs="Times New Roman"/>
              </w:rPr>
              <w:t>Hydrogen's potential to reduce CO₂ emissions by 20% by 2050; integration with renewable energy systems.</w:t>
            </w:r>
          </w:p>
        </w:tc>
      </w:tr>
    </w:tbl>
    <w:p w14:paraId="61393E61" w14:textId="77777777" w:rsidR="00E85602" w:rsidRPr="0099227C" w:rsidRDefault="00E85602" w:rsidP="00E85602">
      <w:pPr>
        <w:pStyle w:val="Caption"/>
        <w:rPr>
          <w:rFonts w:ascii="Times New Roman" w:hAnsi="Times New Roman" w:cs="Times New Roman"/>
          <w:sz w:val="24"/>
          <w:szCs w:val="24"/>
        </w:rPr>
      </w:pPr>
    </w:p>
    <w:p w14:paraId="6C1B022D" w14:textId="77777777" w:rsidR="00E85602" w:rsidRPr="0099227C" w:rsidRDefault="00E85602" w:rsidP="00E85602">
      <w:pPr>
        <w:pStyle w:val="NormalWeb"/>
        <w:spacing w:line="360" w:lineRule="auto"/>
        <w:jc w:val="both"/>
        <w:rPr>
          <w:rFonts w:eastAsiaTheme="majorEastAsia"/>
        </w:rPr>
      </w:pPr>
      <w:r w:rsidRPr="0099227C">
        <w:rPr>
          <w:rFonts w:eastAsiaTheme="majorEastAsia"/>
        </w:rPr>
        <w:lastRenderedPageBreak/>
        <w:t>These clusters underscore the multidisciplinary nature of hydrogen storage research, spanning technical performance to socio-economic and environmental considerations. The analysis also highlights intersections between these themes. For example, advancements in storage materials are closely tied to reducing costs and improving market feasibility. Similarly, safety measures have direct implications for public acceptance and the formulation of regulatory frameworks.</w:t>
      </w:r>
    </w:p>
    <w:p w14:paraId="632F6A9D" w14:textId="77777777" w:rsidR="00E85602" w:rsidRPr="0099227C" w:rsidRDefault="00E85602" w:rsidP="00E85602">
      <w:pPr>
        <w:pStyle w:val="NormalWeb"/>
        <w:keepNext/>
        <w:spacing w:line="360" w:lineRule="auto"/>
        <w:jc w:val="both"/>
      </w:pPr>
      <w:r w:rsidRPr="0099227C">
        <w:rPr>
          <w:noProof/>
          <w:lang w:val="en-US" w:eastAsia="en-US"/>
        </w:rPr>
        <w:drawing>
          <wp:inline distT="0" distB="0" distL="0" distR="0" wp14:anchorId="77254F84" wp14:editId="6D686AAB">
            <wp:extent cx="5619750" cy="2152650"/>
            <wp:effectExtent l="0" t="0" r="0" b="0"/>
            <wp:docPr id="202233117" name="Chart 1">
              <a:extLst xmlns:a="http://schemas.openxmlformats.org/drawingml/2006/main">
                <a:ext uri="{FF2B5EF4-FFF2-40B4-BE49-F238E27FC236}">
                  <a16:creationId xmlns:a16="http://schemas.microsoft.com/office/drawing/2014/main" id="{2FB7D2F0-80D5-F153-745E-FDC95E568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19E307" w14:textId="77777777" w:rsidR="00E85602" w:rsidRPr="0099227C" w:rsidRDefault="00E85602" w:rsidP="00E85602">
      <w:pPr>
        <w:rPr>
          <w:rFonts w:ascii="Times New Roman" w:eastAsiaTheme="majorEastAsia" w:hAnsi="Times New Roman" w:cs="Times New Roman"/>
          <w:b/>
          <w:bCs/>
        </w:rPr>
      </w:pPr>
      <w:bookmarkStart w:id="17" w:name="_Toc185854201"/>
      <w:r w:rsidRPr="0099227C">
        <w:rPr>
          <w:rFonts w:ascii="Times New Roman" w:hAnsi="Times New Roman" w:cs="Times New Roman"/>
          <w:b/>
          <w:bCs/>
        </w:rPr>
        <w:t xml:space="preserve">Figure </w:t>
      </w:r>
      <w:r w:rsidRPr="0099227C">
        <w:rPr>
          <w:rFonts w:ascii="Times New Roman" w:hAnsi="Times New Roman" w:cs="Times New Roman"/>
          <w:b/>
          <w:bCs/>
        </w:rPr>
        <w:fldChar w:fldCharType="begin"/>
      </w:r>
      <w:r w:rsidRPr="0099227C">
        <w:rPr>
          <w:rFonts w:ascii="Times New Roman" w:hAnsi="Times New Roman" w:cs="Times New Roman"/>
          <w:b/>
          <w:bCs/>
        </w:rPr>
        <w:instrText xml:space="preserve"> SEQ Figure \* ARABIC </w:instrText>
      </w:r>
      <w:r w:rsidRPr="0099227C">
        <w:rPr>
          <w:rFonts w:ascii="Times New Roman" w:hAnsi="Times New Roman" w:cs="Times New Roman"/>
          <w:b/>
          <w:bCs/>
        </w:rPr>
        <w:fldChar w:fldCharType="separate"/>
      </w:r>
      <w:r w:rsidRPr="0099227C">
        <w:rPr>
          <w:rFonts w:ascii="Times New Roman" w:hAnsi="Times New Roman" w:cs="Times New Roman"/>
          <w:b/>
          <w:bCs/>
          <w:noProof/>
        </w:rPr>
        <w:t>3</w:t>
      </w:r>
      <w:r w:rsidRPr="0099227C">
        <w:rPr>
          <w:rFonts w:ascii="Times New Roman" w:hAnsi="Times New Roman" w:cs="Times New Roman"/>
          <w:b/>
          <w:bCs/>
        </w:rPr>
        <w:fldChar w:fldCharType="end"/>
      </w:r>
      <w:r w:rsidRPr="0099227C">
        <w:rPr>
          <w:rFonts w:ascii="Times New Roman" w:hAnsi="Times New Roman" w:cs="Times New Roman"/>
          <w:b/>
          <w:bCs/>
        </w:rPr>
        <w:t xml:space="preserve"> Percentage distribution of research areas within the selected studies.</w:t>
      </w:r>
      <w:bookmarkEnd w:id="17"/>
    </w:p>
    <w:p w14:paraId="55273CCA" w14:textId="77777777" w:rsidR="00E85602" w:rsidRPr="0099227C" w:rsidRDefault="00E85602" w:rsidP="00E85602">
      <w:pPr>
        <w:pStyle w:val="NormalWeb"/>
        <w:spacing w:line="360" w:lineRule="auto"/>
        <w:jc w:val="both"/>
        <w:rPr>
          <w:rFonts w:eastAsiaTheme="majorEastAsia"/>
        </w:rPr>
      </w:pPr>
      <w:r w:rsidRPr="0099227C">
        <w:rPr>
          <w:rFonts w:eastAsiaTheme="majorEastAsia"/>
        </w:rPr>
        <w:t>This synthesis of findings emphasizes the multifaceted and interconnected aspects of hydrogen storage research, providing a comprehensive overview of the field's current landscape.</w:t>
      </w:r>
    </w:p>
    <w:p w14:paraId="5D53E287" w14:textId="0F7BE69B" w:rsidR="00E85602" w:rsidRPr="0099227C" w:rsidRDefault="00E85602" w:rsidP="00E85602">
      <w:pPr>
        <w:rPr>
          <w:rFonts w:ascii="Times New Roman" w:hAnsi="Times New Roman" w:cs="Times New Roman"/>
          <w:b/>
          <w:bCs/>
        </w:rPr>
      </w:pPr>
      <w:bookmarkStart w:id="18" w:name="_Toc187014093"/>
      <w:bookmarkStart w:id="19" w:name="_Hlk183611326"/>
      <w:r w:rsidRPr="0099227C">
        <w:rPr>
          <w:rFonts w:ascii="Times New Roman" w:hAnsi="Times New Roman" w:cs="Times New Roman"/>
          <w:b/>
          <w:bCs/>
        </w:rPr>
        <w:t>Publications by Geographical Spread</w:t>
      </w:r>
      <w:bookmarkEnd w:id="18"/>
      <w:bookmarkEnd w:id="19"/>
    </w:p>
    <w:p w14:paraId="76264A61"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Geographical distribution analysis provides insights into the regions that are leading the research on hydrogen storage technologies. The regional distribution of publications indicates that </w:t>
      </w:r>
      <w:r w:rsidRPr="0099227C">
        <w:rPr>
          <w:rStyle w:val="Strong"/>
          <w:rFonts w:ascii="Times New Roman" w:eastAsiaTheme="majorEastAsia" w:hAnsi="Times New Roman" w:cs="Times New Roman"/>
          <w:b w:val="0"/>
          <w:bCs w:val="0"/>
        </w:rPr>
        <w:t>Europe</w:t>
      </w:r>
      <w:r w:rsidRPr="0099227C">
        <w:rPr>
          <w:rStyle w:val="Strong"/>
          <w:rFonts w:ascii="Times New Roman" w:eastAsiaTheme="majorEastAsia" w:hAnsi="Times New Roman" w:cs="Times New Roman"/>
        </w:rPr>
        <w:t xml:space="preserve"> </w:t>
      </w:r>
      <w:r w:rsidRPr="0099227C">
        <w:rPr>
          <w:rFonts w:ascii="Times New Roman" w:hAnsi="Times New Roman" w:cs="Times New Roman"/>
        </w:rPr>
        <w:t>is at the forefront of hydrogen storage research</w:t>
      </w:r>
      <w:r w:rsidRPr="0099227C">
        <w:rPr>
          <w:rStyle w:val="Strong"/>
          <w:rFonts w:ascii="Times New Roman" w:eastAsiaTheme="majorEastAsia" w:hAnsi="Times New Roman" w:cs="Times New Roman"/>
        </w:rPr>
        <w:t xml:space="preserve">. </w:t>
      </w:r>
      <w:r w:rsidRPr="0099227C">
        <w:rPr>
          <w:rFonts w:ascii="Times New Roman" w:hAnsi="Times New Roman" w:cs="Times New Roman"/>
        </w:rPr>
        <w:t xml:space="preserve">However, there is also notable engagement from countries in </w:t>
      </w:r>
      <w:r w:rsidRPr="0099227C">
        <w:rPr>
          <w:rStyle w:val="Strong"/>
          <w:rFonts w:ascii="Times New Roman" w:hAnsi="Times New Roman" w:cs="Times New Roman"/>
          <w:b w:val="0"/>
          <w:bCs w:val="0"/>
        </w:rPr>
        <w:t>Asia</w:t>
      </w:r>
      <w:r w:rsidRPr="0099227C">
        <w:rPr>
          <w:rFonts w:ascii="Times New Roman" w:hAnsi="Times New Roman" w:cs="Times New Roman"/>
        </w:rPr>
        <w:t xml:space="preserve"> and the </w:t>
      </w:r>
      <w:r w:rsidRPr="0099227C">
        <w:rPr>
          <w:rStyle w:val="Strong"/>
          <w:rFonts w:ascii="Times New Roman" w:hAnsi="Times New Roman" w:cs="Times New Roman"/>
          <w:b w:val="0"/>
          <w:bCs w:val="0"/>
        </w:rPr>
        <w:t>Oceanian Countries (Australia)</w:t>
      </w:r>
      <w:r w:rsidRPr="0099227C">
        <w:rPr>
          <w:rFonts w:ascii="Times New Roman" w:hAnsi="Times New Roman" w:cs="Times New Roman"/>
          <w:b/>
          <w:bCs/>
        </w:rPr>
        <w:t>,</w:t>
      </w:r>
      <w:r w:rsidRPr="0099227C">
        <w:rPr>
          <w:rFonts w:ascii="Times New Roman" w:hAnsi="Times New Roman" w:cs="Times New Roman"/>
        </w:rPr>
        <w:t xml:space="preserve"> which are heavily investing in hydrogen technologies as part of their energy transition strategies. </w:t>
      </w:r>
    </w:p>
    <w:p w14:paraId="36005650"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The </w:t>
      </w:r>
      <w:r w:rsidRPr="0099227C">
        <w:rPr>
          <w:rStyle w:val="Strong"/>
          <w:rFonts w:ascii="Times New Roman" w:hAnsi="Times New Roman" w:cs="Times New Roman"/>
          <w:b w:val="0"/>
          <w:bCs w:val="0"/>
        </w:rPr>
        <w:t>Australia</w:t>
      </w:r>
      <w:r w:rsidRPr="0099227C">
        <w:rPr>
          <w:rFonts w:ascii="Times New Roman" w:hAnsi="Times New Roman" w:cs="Times New Roman"/>
          <w:b/>
          <w:bCs/>
        </w:rPr>
        <w:t xml:space="preserve"> </w:t>
      </w:r>
      <w:r w:rsidRPr="0099227C">
        <w:rPr>
          <w:rFonts w:ascii="Times New Roman" w:hAnsi="Times New Roman" w:cs="Times New Roman"/>
        </w:rPr>
        <w:t>and</w:t>
      </w:r>
      <w:r w:rsidRPr="0099227C">
        <w:rPr>
          <w:rFonts w:ascii="Times New Roman" w:hAnsi="Times New Roman" w:cs="Times New Roman"/>
          <w:b/>
          <w:bCs/>
        </w:rPr>
        <w:t xml:space="preserve"> </w:t>
      </w:r>
      <w:r w:rsidRPr="0099227C">
        <w:rPr>
          <w:rStyle w:val="Strong"/>
          <w:rFonts w:ascii="Times New Roman" w:hAnsi="Times New Roman" w:cs="Times New Roman"/>
          <w:b w:val="0"/>
          <w:bCs w:val="0"/>
        </w:rPr>
        <w:t>United Kingdom</w:t>
      </w:r>
      <w:r w:rsidRPr="0099227C">
        <w:rPr>
          <w:rFonts w:ascii="Times New Roman" w:hAnsi="Times New Roman" w:cs="Times New Roman"/>
        </w:rPr>
        <w:t xml:space="preserve"> have robust government policies and funding mechanisms supporting hydrogen research, which is likely contributing to their dominance in the literature. In contrast, developing countries like </w:t>
      </w:r>
      <w:r w:rsidRPr="0099227C">
        <w:rPr>
          <w:rStyle w:val="Strong"/>
          <w:rFonts w:ascii="Times New Roman" w:hAnsi="Times New Roman" w:cs="Times New Roman"/>
          <w:b w:val="0"/>
          <w:bCs w:val="0"/>
        </w:rPr>
        <w:t>India, Oman, Iran,</w:t>
      </w:r>
      <w:r w:rsidRPr="0099227C">
        <w:rPr>
          <w:rStyle w:val="Strong"/>
          <w:rFonts w:ascii="Times New Roman" w:hAnsi="Times New Roman" w:cs="Times New Roman"/>
        </w:rPr>
        <w:t xml:space="preserve"> </w:t>
      </w:r>
      <w:r w:rsidRPr="0099227C">
        <w:rPr>
          <w:rStyle w:val="Strong"/>
          <w:rFonts w:ascii="Times New Roman" w:hAnsi="Times New Roman" w:cs="Times New Roman"/>
          <w:b w:val="0"/>
          <w:bCs w:val="0"/>
        </w:rPr>
        <w:t>South Korea</w:t>
      </w:r>
      <w:r w:rsidRPr="0099227C">
        <w:rPr>
          <w:rFonts w:ascii="Times New Roman" w:hAnsi="Times New Roman" w:cs="Times New Roman"/>
        </w:rPr>
        <w:t xml:space="preserve"> and </w:t>
      </w:r>
      <w:r w:rsidRPr="0099227C">
        <w:rPr>
          <w:rStyle w:val="Strong"/>
          <w:rFonts w:ascii="Times New Roman" w:hAnsi="Times New Roman" w:cs="Times New Roman"/>
          <w:b w:val="0"/>
          <w:bCs w:val="0"/>
        </w:rPr>
        <w:t>Ethiopia</w:t>
      </w:r>
      <w:r w:rsidRPr="0099227C">
        <w:rPr>
          <w:rFonts w:ascii="Times New Roman" w:hAnsi="Times New Roman" w:cs="Times New Roman"/>
        </w:rPr>
        <w:t xml:space="preserve"> contributed only </w:t>
      </w:r>
      <w:r w:rsidRPr="0099227C">
        <w:rPr>
          <w:rStyle w:val="Strong"/>
          <w:rFonts w:ascii="Times New Roman" w:hAnsi="Times New Roman" w:cs="Times New Roman"/>
          <w:b w:val="0"/>
          <w:bCs w:val="0"/>
        </w:rPr>
        <w:t>few article(s)</w:t>
      </w:r>
      <w:r w:rsidRPr="0099227C">
        <w:rPr>
          <w:rFonts w:ascii="Times New Roman" w:hAnsi="Times New Roman" w:cs="Times New Roman"/>
        </w:rPr>
        <w:t xml:space="preserve"> respectively, which reflects the ongoing disparity in research output between developed and developing nations in the field of hydrogen storage. </w:t>
      </w:r>
      <w:r w:rsidRPr="0099227C">
        <w:rPr>
          <w:rStyle w:val="Strong"/>
          <w:rFonts w:ascii="Times New Roman" w:hAnsi="Times New Roman" w:cs="Times New Roman"/>
          <w:b w:val="0"/>
          <w:bCs w:val="0"/>
        </w:rPr>
        <w:t>Table 2</w:t>
      </w:r>
      <w:r w:rsidRPr="0099227C">
        <w:rPr>
          <w:rFonts w:ascii="Times New Roman" w:hAnsi="Times New Roman" w:cs="Times New Roman"/>
        </w:rPr>
        <w:t xml:space="preserve"> illustrates the country-based distribution of publications, highlighting key regions where research is concentrated, and offering quantitative data.</w:t>
      </w:r>
    </w:p>
    <w:p w14:paraId="45FC0444" w14:textId="1F4A85D4" w:rsidR="00E85602" w:rsidRPr="0099227C" w:rsidRDefault="00E85602" w:rsidP="00E85602">
      <w:pPr>
        <w:rPr>
          <w:rFonts w:ascii="Times New Roman" w:hAnsi="Times New Roman" w:cs="Times New Roman"/>
          <w:b/>
          <w:bCs/>
        </w:rPr>
      </w:pPr>
      <w:bookmarkStart w:id="20" w:name="_Toc185853923"/>
      <w:r w:rsidRPr="0099227C">
        <w:rPr>
          <w:rFonts w:ascii="Times New Roman" w:hAnsi="Times New Roman" w:cs="Times New Roman"/>
          <w:b/>
          <w:bCs/>
        </w:rPr>
        <w:t xml:space="preserve">Table </w:t>
      </w:r>
      <w:r w:rsidRPr="0099227C">
        <w:rPr>
          <w:rFonts w:ascii="Times New Roman" w:hAnsi="Times New Roman" w:cs="Times New Roman"/>
          <w:b/>
          <w:bCs/>
        </w:rPr>
        <w:fldChar w:fldCharType="begin"/>
      </w:r>
      <w:r w:rsidRPr="0099227C">
        <w:rPr>
          <w:rFonts w:ascii="Times New Roman" w:hAnsi="Times New Roman" w:cs="Times New Roman"/>
          <w:b/>
          <w:bCs/>
        </w:rPr>
        <w:instrText xml:space="preserve"> SEQ Table \* ARABIC </w:instrText>
      </w:r>
      <w:r w:rsidRPr="0099227C">
        <w:rPr>
          <w:rFonts w:ascii="Times New Roman" w:hAnsi="Times New Roman" w:cs="Times New Roman"/>
          <w:b/>
          <w:bCs/>
        </w:rPr>
        <w:fldChar w:fldCharType="separate"/>
      </w:r>
      <w:r w:rsidRPr="0099227C">
        <w:rPr>
          <w:rFonts w:ascii="Times New Roman" w:hAnsi="Times New Roman" w:cs="Times New Roman"/>
          <w:b/>
          <w:bCs/>
          <w:noProof/>
        </w:rPr>
        <w:t>4</w:t>
      </w:r>
      <w:r w:rsidRPr="0099227C">
        <w:rPr>
          <w:rFonts w:ascii="Times New Roman" w:hAnsi="Times New Roman" w:cs="Times New Roman"/>
          <w:b/>
          <w:bCs/>
        </w:rPr>
        <w:fldChar w:fldCharType="end"/>
      </w:r>
      <w:r w:rsidRPr="0099227C">
        <w:rPr>
          <w:rFonts w:ascii="Times New Roman" w:hAnsi="Times New Roman" w:cs="Times New Roman"/>
          <w:b/>
          <w:bCs/>
        </w:rPr>
        <w:t>: Regional Contribution to Hydrogen Storage Research (2020-2024)</w:t>
      </w:r>
      <w:bookmarkEnd w:id="20"/>
    </w:p>
    <w:tbl>
      <w:tblPr>
        <w:tblStyle w:val="TableGrid"/>
        <w:tblW w:w="0" w:type="auto"/>
        <w:tblLook w:val="04A0" w:firstRow="1" w:lastRow="0" w:firstColumn="1" w:lastColumn="0" w:noHBand="0" w:noVBand="1"/>
      </w:tblPr>
      <w:tblGrid>
        <w:gridCol w:w="3005"/>
        <w:gridCol w:w="3005"/>
        <w:gridCol w:w="3006"/>
      </w:tblGrid>
      <w:tr w:rsidR="00E85602" w:rsidRPr="0099227C" w14:paraId="28726C3E" w14:textId="77777777" w:rsidTr="00577A07">
        <w:tc>
          <w:tcPr>
            <w:tcW w:w="3005" w:type="dxa"/>
          </w:tcPr>
          <w:p w14:paraId="703C904C" w14:textId="77777777" w:rsidR="00E85602" w:rsidRPr="0099227C" w:rsidRDefault="00E85602" w:rsidP="00577A07">
            <w:pPr>
              <w:pStyle w:val="NormalWeb"/>
              <w:spacing w:line="360" w:lineRule="auto"/>
              <w:jc w:val="both"/>
              <w:rPr>
                <w:b/>
                <w:bCs/>
              </w:rPr>
            </w:pPr>
            <w:r w:rsidRPr="0099227C">
              <w:rPr>
                <w:b/>
                <w:bCs/>
              </w:rPr>
              <w:lastRenderedPageBreak/>
              <w:t>Region</w:t>
            </w:r>
          </w:p>
        </w:tc>
        <w:tc>
          <w:tcPr>
            <w:tcW w:w="3005" w:type="dxa"/>
          </w:tcPr>
          <w:p w14:paraId="5E78AD84" w14:textId="77777777" w:rsidR="00E85602" w:rsidRPr="0099227C" w:rsidRDefault="00E85602" w:rsidP="00577A07">
            <w:pPr>
              <w:pStyle w:val="NormalWeb"/>
              <w:spacing w:line="360" w:lineRule="auto"/>
              <w:jc w:val="both"/>
              <w:rPr>
                <w:b/>
                <w:bCs/>
              </w:rPr>
            </w:pPr>
            <w:r w:rsidRPr="0099227C">
              <w:rPr>
                <w:b/>
                <w:bCs/>
              </w:rPr>
              <w:t>Key Countries</w:t>
            </w:r>
          </w:p>
        </w:tc>
        <w:tc>
          <w:tcPr>
            <w:tcW w:w="3006" w:type="dxa"/>
          </w:tcPr>
          <w:p w14:paraId="56A58F2C" w14:textId="77777777" w:rsidR="00E85602" w:rsidRPr="0099227C" w:rsidRDefault="00E85602" w:rsidP="00577A07">
            <w:pPr>
              <w:pStyle w:val="NormalWeb"/>
              <w:spacing w:line="360" w:lineRule="auto"/>
              <w:jc w:val="both"/>
              <w:rPr>
                <w:b/>
                <w:bCs/>
              </w:rPr>
            </w:pPr>
            <w:r w:rsidRPr="0099227C">
              <w:rPr>
                <w:b/>
                <w:bCs/>
              </w:rPr>
              <w:t>No. of Publications</w:t>
            </w:r>
          </w:p>
        </w:tc>
      </w:tr>
      <w:tr w:rsidR="00E85602" w:rsidRPr="0099227C" w14:paraId="085CCD7E" w14:textId="77777777" w:rsidTr="00577A07">
        <w:tc>
          <w:tcPr>
            <w:tcW w:w="3005" w:type="dxa"/>
          </w:tcPr>
          <w:p w14:paraId="48AF5785" w14:textId="77777777" w:rsidR="00E85602" w:rsidRPr="0099227C" w:rsidRDefault="00E85602" w:rsidP="00577A07">
            <w:pPr>
              <w:pStyle w:val="NormalWeb"/>
              <w:spacing w:line="360" w:lineRule="auto"/>
              <w:jc w:val="both"/>
            </w:pPr>
            <w:r w:rsidRPr="0099227C">
              <w:t>Europe</w:t>
            </w:r>
          </w:p>
        </w:tc>
        <w:tc>
          <w:tcPr>
            <w:tcW w:w="3005" w:type="dxa"/>
          </w:tcPr>
          <w:p w14:paraId="09BD70B9" w14:textId="77777777" w:rsidR="00E85602" w:rsidRPr="0099227C" w:rsidRDefault="00E85602" w:rsidP="00577A07">
            <w:pPr>
              <w:pStyle w:val="NormalWeb"/>
              <w:spacing w:line="360" w:lineRule="auto"/>
              <w:jc w:val="both"/>
            </w:pPr>
            <w:r w:rsidRPr="0099227C">
              <w:t>United Kingdom, Italy, Russia, Hungary, France, Portugal, Poland, Ireland, Norway</w:t>
            </w:r>
          </w:p>
        </w:tc>
        <w:tc>
          <w:tcPr>
            <w:tcW w:w="3006" w:type="dxa"/>
          </w:tcPr>
          <w:p w14:paraId="439A0FCC" w14:textId="77777777" w:rsidR="00E85602" w:rsidRPr="0099227C" w:rsidRDefault="00E85602" w:rsidP="00577A07">
            <w:pPr>
              <w:pStyle w:val="NormalWeb"/>
              <w:spacing w:line="360" w:lineRule="auto"/>
              <w:jc w:val="both"/>
            </w:pPr>
            <w:r w:rsidRPr="0099227C">
              <w:t>14</w:t>
            </w:r>
          </w:p>
        </w:tc>
      </w:tr>
      <w:tr w:rsidR="00E85602" w:rsidRPr="0099227C" w14:paraId="6956131B" w14:textId="77777777" w:rsidTr="00577A07">
        <w:tc>
          <w:tcPr>
            <w:tcW w:w="3005" w:type="dxa"/>
          </w:tcPr>
          <w:p w14:paraId="6B442014" w14:textId="77777777" w:rsidR="00E85602" w:rsidRPr="0099227C" w:rsidRDefault="00E85602" w:rsidP="00577A07">
            <w:pPr>
              <w:pStyle w:val="NormalWeb"/>
              <w:spacing w:line="360" w:lineRule="auto"/>
              <w:jc w:val="both"/>
            </w:pPr>
            <w:r w:rsidRPr="0099227C">
              <w:t>Asia</w:t>
            </w:r>
          </w:p>
        </w:tc>
        <w:tc>
          <w:tcPr>
            <w:tcW w:w="3005" w:type="dxa"/>
          </w:tcPr>
          <w:p w14:paraId="2F8FA025" w14:textId="77777777" w:rsidR="00E85602" w:rsidRPr="0099227C" w:rsidRDefault="00E85602" w:rsidP="00577A07">
            <w:pPr>
              <w:pStyle w:val="NormalWeb"/>
              <w:spacing w:line="360" w:lineRule="auto"/>
              <w:jc w:val="both"/>
              <w:rPr>
                <w:lang w:val="it-IT"/>
              </w:rPr>
            </w:pPr>
            <w:r w:rsidRPr="0099227C">
              <w:rPr>
                <w:lang w:val="it-IT"/>
              </w:rPr>
              <w:t>China, India, Saudi Arabia, South Korea, Japan, Iran, Oman</w:t>
            </w:r>
          </w:p>
        </w:tc>
        <w:tc>
          <w:tcPr>
            <w:tcW w:w="3006" w:type="dxa"/>
          </w:tcPr>
          <w:p w14:paraId="33FF6F1A" w14:textId="77777777" w:rsidR="00E85602" w:rsidRPr="0099227C" w:rsidRDefault="00E85602" w:rsidP="00577A07">
            <w:pPr>
              <w:pStyle w:val="NormalWeb"/>
              <w:spacing w:line="360" w:lineRule="auto"/>
              <w:jc w:val="both"/>
              <w:rPr>
                <w:lang w:val="it-IT"/>
              </w:rPr>
            </w:pPr>
            <w:r w:rsidRPr="0099227C">
              <w:rPr>
                <w:lang w:val="it-IT"/>
              </w:rPr>
              <w:t>12</w:t>
            </w:r>
          </w:p>
        </w:tc>
      </w:tr>
      <w:tr w:rsidR="00E85602" w:rsidRPr="0099227C" w14:paraId="4F7DDC5B" w14:textId="77777777" w:rsidTr="00577A07">
        <w:tc>
          <w:tcPr>
            <w:tcW w:w="3005" w:type="dxa"/>
          </w:tcPr>
          <w:p w14:paraId="2627EAC5" w14:textId="77777777" w:rsidR="00E85602" w:rsidRPr="0099227C" w:rsidRDefault="00E85602" w:rsidP="00577A07">
            <w:pPr>
              <w:pStyle w:val="NormalWeb"/>
              <w:spacing w:line="360" w:lineRule="auto"/>
              <w:jc w:val="both"/>
            </w:pPr>
            <w:r w:rsidRPr="0099227C">
              <w:t>North America</w:t>
            </w:r>
          </w:p>
        </w:tc>
        <w:tc>
          <w:tcPr>
            <w:tcW w:w="3005" w:type="dxa"/>
          </w:tcPr>
          <w:p w14:paraId="646659FC" w14:textId="77777777" w:rsidR="00E85602" w:rsidRPr="0099227C" w:rsidRDefault="00E85602" w:rsidP="00577A07">
            <w:pPr>
              <w:pStyle w:val="NormalWeb"/>
              <w:spacing w:line="360" w:lineRule="auto"/>
              <w:jc w:val="both"/>
            </w:pPr>
            <w:r w:rsidRPr="0099227C">
              <w:t>United State</w:t>
            </w:r>
          </w:p>
        </w:tc>
        <w:tc>
          <w:tcPr>
            <w:tcW w:w="3006" w:type="dxa"/>
          </w:tcPr>
          <w:p w14:paraId="45971142" w14:textId="77777777" w:rsidR="00E85602" w:rsidRPr="0099227C" w:rsidRDefault="00E85602" w:rsidP="00577A07">
            <w:pPr>
              <w:pStyle w:val="NormalWeb"/>
              <w:spacing w:line="360" w:lineRule="auto"/>
              <w:jc w:val="both"/>
            </w:pPr>
            <w:r w:rsidRPr="0099227C">
              <w:t>2</w:t>
            </w:r>
          </w:p>
        </w:tc>
      </w:tr>
      <w:tr w:rsidR="00E85602" w:rsidRPr="0099227C" w14:paraId="0AF8BC1D" w14:textId="77777777" w:rsidTr="00577A07">
        <w:tc>
          <w:tcPr>
            <w:tcW w:w="3005" w:type="dxa"/>
          </w:tcPr>
          <w:p w14:paraId="2A7B5E8F" w14:textId="77777777" w:rsidR="00E85602" w:rsidRPr="0099227C" w:rsidRDefault="00E85602" w:rsidP="00577A07">
            <w:pPr>
              <w:pStyle w:val="NormalWeb"/>
              <w:spacing w:line="360" w:lineRule="auto"/>
              <w:jc w:val="both"/>
            </w:pPr>
            <w:r w:rsidRPr="0099227C">
              <w:t>Oceanian</w:t>
            </w:r>
          </w:p>
        </w:tc>
        <w:tc>
          <w:tcPr>
            <w:tcW w:w="3005" w:type="dxa"/>
          </w:tcPr>
          <w:p w14:paraId="59E76312" w14:textId="77777777" w:rsidR="00E85602" w:rsidRPr="0099227C" w:rsidRDefault="00E85602" w:rsidP="00577A07">
            <w:pPr>
              <w:pStyle w:val="NormalWeb"/>
              <w:spacing w:line="360" w:lineRule="auto"/>
              <w:jc w:val="both"/>
            </w:pPr>
            <w:r w:rsidRPr="0099227C">
              <w:t>Australia</w:t>
            </w:r>
          </w:p>
        </w:tc>
        <w:tc>
          <w:tcPr>
            <w:tcW w:w="3006" w:type="dxa"/>
          </w:tcPr>
          <w:p w14:paraId="1CD0A28D" w14:textId="77777777" w:rsidR="00E85602" w:rsidRPr="0099227C" w:rsidRDefault="00E85602" w:rsidP="00577A07">
            <w:pPr>
              <w:pStyle w:val="NormalWeb"/>
              <w:spacing w:line="360" w:lineRule="auto"/>
              <w:jc w:val="both"/>
            </w:pPr>
            <w:r w:rsidRPr="0099227C">
              <w:t>9</w:t>
            </w:r>
          </w:p>
        </w:tc>
      </w:tr>
      <w:tr w:rsidR="00E85602" w:rsidRPr="0099227C" w14:paraId="3DFBA1E3" w14:textId="77777777" w:rsidTr="00577A07">
        <w:tc>
          <w:tcPr>
            <w:tcW w:w="3005" w:type="dxa"/>
          </w:tcPr>
          <w:p w14:paraId="0355638E" w14:textId="77777777" w:rsidR="00E85602" w:rsidRPr="0099227C" w:rsidRDefault="00E85602" w:rsidP="00577A07">
            <w:pPr>
              <w:pStyle w:val="NormalWeb"/>
              <w:spacing w:line="360" w:lineRule="auto"/>
              <w:jc w:val="both"/>
            </w:pPr>
            <w:r w:rsidRPr="0099227C">
              <w:t>Africa</w:t>
            </w:r>
          </w:p>
        </w:tc>
        <w:tc>
          <w:tcPr>
            <w:tcW w:w="3005" w:type="dxa"/>
          </w:tcPr>
          <w:p w14:paraId="7DD8E8D8" w14:textId="77777777" w:rsidR="00E85602" w:rsidRPr="0099227C" w:rsidRDefault="00E85602" w:rsidP="00577A07">
            <w:pPr>
              <w:pStyle w:val="NormalWeb"/>
              <w:spacing w:line="360" w:lineRule="auto"/>
              <w:jc w:val="both"/>
            </w:pPr>
            <w:r w:rsidRPr="0099227C">
              <w:t>Ethiopia</w:t>
            </w:r>
          </w:p>
        </w:tc>
        <w:tc>
          <w:tcPr>
            <w:tcW w:w="3006" w:type="dxa"/>
          </w:tcPr>
          <w:p w14:paraId="05699166" w14:textId="77777777" w:rsidR="00E85602" w:rsidRPr="0099227C" w:rsidRDefault="00E85602" w:rsidP="00577A07">
            <w:pPr>
              <w:pStyle w:val="NormalWeb"/>
              <w:spacing w:line="360" w:lineRule="auto"/>
              <w:jc w:val="both"/>
            </w:pPr>
            <w:r w:rsidRPr="0099227C">
              <w:t>1</w:t>
            </w:r>
          </w:p>
        </w:tc>
      </w:tr>
    </w:tbl>
    <w:p w14:paraId="797E6544" w14:textId="77777777" w:rsidR="00E85602" w:rsidRPr="0099227C" w:rsidRDefault="00E85602" w:rsidP="00E85602">
      <w:pPr>
        <w:spacing w:line="360" w:lineRule="auto"/>
        <w:jc w:val="both"/>
        <w:rPr>
          <w:rFonts w:ascii="Times New Roman" w:hAnsi="Times New Roman" w:cs="Times New Roman"/>
        </w:rPr>
      </w:pPr>
    </w:p>
    <w:p w14:paraId="00FFDFD0" w14:textId="25A797AE" w:rsidR="00E85602" w:rsidRPr="0099227C" w:rsidRDefault="00E85602" w:rsidP="00E85602">
      <w:pPr>
        <w:spacing w:after="0" w:line="360" w:lineRule="auto"/>
        <w:jc w:val="both"/>
        <w:rPr>
          <w:rFonts w:ascii="Times New Roman" w:hAnsi="Times New Roman" w:cs="Times New Roman"/>
          <w:b/>
          <w:bCs/>
        </w:rPr>
      </w:pPr>
      <w:r w:rsidRPr="0099227C">
        <w:rPr>
          <w:rFonts w:ascii="Times New Roman" w:hAnsi="Times New Roman" w:cs="Times New Roman"/>
          <w:b/>
          <w:bCs/>
        </w:rPr>
        <w:t>Quality Assessment of Selected SLRs</w:t>
      </w:r>
    </w:p>
    <w:p w14:paraId="7339D6A5" w14:textId="01FA5C0B" w:rsidR="00E85602" w:rsidRPr="0099227C" w:rsidRDefault="00E85602" w:rsidP="00E85602">
      <w:pPr>
        <w:spacing w:after="0" w:line="360" w:lineRule="auto"/>
        <w:jc w:val="both"/>
        <w:rPr>
          <w:rFonts w:ascii="Times New Roman" w:hAnsi="Times New Roman" w:cs="Times New Roman"/>
        </w:rPr>
      </w:pPr>
      <w:r w:rsidRPr="0099227C">
        <w:rPr>
          <w:rFonts w:ascii="Times New Roman" w:hAnsi="Times New Roman" w:cs="Times New Roman"/>
        </w:rPr>
        <w:t xml:space="preserve">The quality assessment of the selected systematic literature reviews (SLRs) was conducted using predefined evaluation criteria to ensure the reliability and validity of the findings. These criteria, as detailed in </w:t>
      </w:r>
      <w:r w:rsidR="00B85671">
        <w:rPr>
          <w:rFonts w:ascii="Times New Roman" w:hAnsi="Times New Roman" w:cs="Times New Roman"/>
        </w:rPr>
        <w:t>Article</w:t>
      </w:r>
      <w:r w:rsidRPr="0099227C">
        <w:rPr>
          <w:rFonts w:ascii="Times New Roman" w:hAnsi="Times New Roman" w:cs="Times New Roman"/>
        </w:rPr>
        <w:t xml:space="preserve"> 2.4.1, included factors such as methodological rigor, clarity in research objectives, robustness of data collection and analysis, and transparency in reporting results.</w:t>
      </w:r>
    </w:p>
    <w:p w14:paraId="0CEC7EF8" w14:textId="5BB31F43"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The results of the quality assessment are presented in Figure </w:t>
      </w:r>
      <w:r w:rsidR="007B73E6">
        <w:rPr>
          <w:rFonts w:ascii="Times New Roman" w:hAnsi="Times New Roman" w:cs="Times New Roman"/>
        </w:rPr>
        <w:t>4</w:t>
      </w:r>
      <w:r w:rsidRPr="0099227C">
        <w:rPr>
          <w:rFonts w:ascii="Times New Roman" w:hAnsi="Times New Roman" w:cs="Times New Roman"/>
        </w:rPr>
        <w:t xml:space="preserve"> below, which shows the distribution of quality scores across the evaluated studies. The scores ranged from 0 to 3.0 on a 5-point scale, with higher scores indicating stronger adherence to the established quality standards. Most of the studies (approximately 85%) achieved a score of 2.0 or higher, indicating robust adherence to quality standards. Studies with scores below 1.0 were excluded from further analysis due to insufficient methodological rigor or incomplete data reporting. The inclusion of high-quality studies ensures the robustness of this SLR and enhances the credibility of subsequent findings.</w:t>
      </w:r>
    </w:p>
    <w:p w14:paraId="67CF94E2"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The key observations from the quality assessment revealed notable trends in the distribution of scores among the studies reviewed. Scores ranging between 1.0 and 3.0 were observed in most of the studies, demonstrating that adherence to systematic review protocols and robust design was consistently achieved. Studies scoring 2.5 and above showcased exceptional methodological rigor, detailed meta-analyses, and comprehensive discussions of implications, highlighting their high-quality execution. Conversely, a small fraction of studies, approximately 15%, were found to have scored below 2.0. These lower-scoring studies </w:t>
      </w:r>
      <w:r w:rsidRPr="0099227C">
        <w:rPr>
          <w:rFonts w:ascii="Times New Roman" w:hAnsi="Times New Roman" w:cs="Times New Roman"/>
        </w:rPr>
        <w:lastRenderedPageBreak/>
        <w:t>exhibited common weaknesses, including limited scope, lack of triangulation, and misalignment between research objectives and outcomes.</w:t>
      </w:r>
    </w:p>
    <w:p w14:paraId="218F8310" w14:textId="48ECD61F" w:rsidR="00E85602" w:rsidRPr="0099227C" w:rsidRDefault="00E85602" w:rsidP="00E85602">
      <w:pPr>
        <w:rPr>
          <w:rFonts w:ascii="Times New Roman" w:hAnsi="Times New Roman" w:cs="Times New Roman"/>
          <w:b/>
          <w:bCs/>
        </w:rPr>
      </w:pPr>
      <w:bookmarkStart w:id="21" w:name="_Toc185853924"/>
      <w:r w:rsidRPr="0099227C">
        <w:rPr>
          <w:rFonts w:ascii="Times New Roman" w:hAnsi="Times New Roman" w:cs="Times New Roman"/>
          <w:b/>
          <w:bCs/>
        </w:rPr>
        <w:t xml:space="preserve">Table </w:t>
      </w:r>
      <w:r w:rsidRPr="0099227C">
        <w:rPr>
          <w:rFonts w:ascii="Times New Roman" w:hAnsi="Times New Roman" w:cs="Times New Roman"/>
          <w:b/>
          <w:bCs/>
        </w:rPr>
        <w:fldChar w:fldCharType="begin"/>
      </w:r>
      <w:r w:rsidRPr="0099227C">
        <w:rPr>
          <w:rFonts w:ascii="Times New Roman" w:hAnsi="Times New Roman" w:cs="Times New Roman"/>
          <w:b/>
          <w:bCs/>
        </w:rPr>
        <w:instrText xml:space="preserve"> SEQ Table \* ARABIC </w:instrText>
      </w:r>
      <w:r w:rsidRPr="0099227C">
        <w:rPr>
          <w:rFonts w:ascii="Times New Roman" w:hAnsi="Times New Roman" w:cs="Times New Roman"/>
          <w:b/>
          <w:bCs/>
        </w:rPr>
        <w:fldChar w:fldCharType="separate"/>
      </w:r>
      <w:r w:rsidRPr="0099227C">
        <w:rPr>
          <w:rFonts w:ascii="Times New Roman" w:hAnsi="Times New Roman" w:cs="Times New Roman"/>
          <w:b/>
          <w:bCs/>
          <w:noProof/>
        </w:rPr>
        <w:t>5</w:t>
      </w:r>
      <w:r w:rsidRPr="0099227C">
        <w:rPr>
          <w:rFonts w:ascii="Times New Roman" w:hAnsi="Times New Roman" w:cs="Times New Roman"/>
          <w:b/>
          <w:bCs/>
        </w:rPr>
        <w:fldChar w:fldCharType="end"/>
      </w:r>
      <w:r w:rsidRPr="0099227C">
        <w:rPr>
          <w:rFonts w:ascii="Times New Roman" w:hAnsi="Times New Roman" w:cs="Times New Roman"/>
          <w:b/>
          <w:bCs/>
        </w:rPr>
        <w:t>: Visual Representation of Quality Scores</w:t>
      </w:r>
      <w:bookmarkEnd w:id="21"/>
    </w:p>
    <w:tbl>
      <w:tblPr>
        <w:tblStyle w:val="TableGrid"/>
        <w:tblW w:w="0" w:type="auto"/>
        <w:tblLook w:val="04A0" w:firstRow="1" w:lastRow="0" w:firstColumn="1" w:lastColumn="0" w:noHBand="0" w:noVBand="1"/>
      </w:tblPr>
      <w:tblGrid>
        <w:gridCol w:w="2689"/>
        <w:gridCol w:w="3118"/>
      </w:tblGrid>
      <w:tr w:rsidR="00E85602" w:rsidRPr="0099227C" w14:paraId="43C3B292" w14:textId="77777777" w:rsidTr="00577A07">
        <w:tc>
          <w:tcPr>
            <w:tcW w:w="2689" w:type="dxa"/>
          </w:tcPr>
          <w:p w14:paraId="19A3B1F0"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Quality Score Interval</w:t>
            </w:r>
          </w:p>
        </w:tc>
        <w:tc>
          <w:tcPr>
            <w:tcW w:w="3118" w:type="dxa"/>
          </w:tcPr>
          <w:p w14:paraId="37EE15B6" w14:textId="77777777" w:rsidR="00E85602" w:rsidRPr="0099227C" w:rsidRDefault="00E85602" w:rsidP="00577A07">
            <w:pPr>
              <w:rPr>
                <w:rFonts w:ascii="Times New Roman" w:hAnsi="Times New Roman" w:cs="Times New Roman"/>
                <w:b/>
                <w:bCs/>
              </w:rPr>
            </w:pPr>
            <w:r w:rsidRPr="0099227C">
              <w:rPr>
                <w:rFonts w:ascii="Times New Roman" w:hAnsi="Times New Roman" w:cs="Times New Roman"/>
                <w:b/>
                <w:bCs/>
              </w:rPr>
              <w:t>Number of studies</w:t>
            </w:r>
          </w:p>
        </w:tc>
      </w:tr>
      <w:tr w:rsidR="00E85602" w:rsidRPr="0099227C" w14:paraId="24724175" w14:textId="77777777" w:rsidTr="00577A07">
        <w:tc>
          <w:tcPr>
            <w:tcW w:w="2689" w:type="dxa"/>
          </w:tcPr>
          <w:p w14:paraId="45A6618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0</w:t>
            </w:r>
          </w:p>
        </w:tc>
        <w:tc>
          <w:tcPr>
            <w:tcW w:w="3118" w:type="dxa"/>
          </w:tcPr>
          <w:p w14:paraId="1AF7833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0</w:t>
            </w:r>
          </w:p>
        </w:tc>
      </w:tr>
      <w:tr w:rsidR="00E85602" w:rsidRPr="0099227C" w14:paraId="0270D285" w14:textId="77777777" w:rsidTr="00577A07">
        <w:tc>
          <w:tcPr>
            <w:tcW w:w="2689" w:type="dxa"/>
          </w:tcPr>
          <w:p w14:paraId="4E45E2D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0.5</w:t>
            </w:r>
          </w:p>
        </w:tc>
        <w:tc>
          <w:tcPr>
            <w:tcW w:w="3118" w:type="dxa"/>
          </w:tcPr>
          <w:p w14:paraId="6A1D55C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0</w:t>
            </w:r>
          </w:p>
        </w:tc>
      </w:tr>
      <w:tr w:rsidR="00E85602" w:rsidRPr="0099227C" w14:paraId="29B2C008" w14:textId="77777777" w:rsidTr="00577A07">
        <w:tc>
          <w:tcPr>
            <w:tcW w:w="2689" w:type="dxa"/>
          </w:tcPr>
          <w:p w14:paraId="3D48EB45" w14:textId="77777777" w:rsidR="00E85602" w:rsidRPr="0099227C" w:rsidRDefault="00E85602" w:rsidP="00577A07">
            <w:pPr>
              <w:spacing w:line="360" w:lineRule="auto"/>
              <w:rPr>
                <w:rFonts w:ascii="Times New Roman" w:hAnsi="Times New Roman" w:cs="Times New Roman"/>
              </w:rPr>
            </w:pPr>
            <w:r w:rsidRPr="0099227C">
              <w:rPr>
                <w:rFonts w:ascii="Times New Roman" w:hAnsi="Times New Roman" w:cs="Times New Roman"/>
              </w:rPr>
              <w:t>1</w:t>
            </w:r>
          </w:p>
        </w:tc>
        <w:tc>
          <w:tcPr>
            <w:tcW w:w="3118" w:type="dxa"/>
          </w:tcPr>
          <w:p w14:paraId="31767D5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w:t>
            </w:r>
          </w:p>
        </w:tc>
      </w:tr>
      <w:tr w:rsidR="00E85602" w:rsidRPr="0099227C" w14:paraId="6FB9ADD7" w14:textId="77777777" w:rsidTr="00577A07">
        <w:tc>
          <w:tcPr>
            <w:tcW w:w="2689" w:type="dxa"/>
          </w:tcPr>
          <w:p w14:paraId="497DB57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1.5</w:t>
            </w:r>
          </w:p>
        </w:tc>
        <w:tc>
          <w:tcPr>
            <w:tcW w:w="3118" w:type="dxa"/>
          </w:tcPr>
          <w:p w14:paraId="76A6954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4</w:t>
            </w:r>
          </w:p>
        </w:tc>
      </w:tr>
      <w:tr w:rsidR="00E85602" w:rsidRPr="0099227C" w14:paraId="5A553194" w14:textId="77777777" w:rsidTr="00577A07">
        <w:tc>
          <w:tcPr>
            <w:tcW w:w="2689" w:type="dxa"/>
          </w:tcPr>
          <w:p w14:paraId="414F046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w:t>
            </w:r>
          </w:p>
        </w:tc>
        <w:tc>
          <w:tcPr>
            <w:tcW w:w="3118" w:type="dxa"/>
          </w:tcPr>
          <w:p w14:paraId="0F696BB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11</w:t>
            </w:r>
          </w:p>
        </w:tc>
      </w:tr>
      <w:tr w:rsidR="00E85602" w:rsidRPr="0099227C" w14:paraId="18E2E29B" w14:textId="77777777" w:rsidTr="00577A07">
        <w:tc>
          <w:tcPr>
            <w:tcW w:w="2689" w:type="dxa"/>
          </w:tcPr>
          <w:p w14:paraId="115BD12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2.5</w:t>
            </w:r>
          </w:p>
        </w:tc>
        <w:tc>
          <w:tcPr>
            <w:tcW w:w="3118" w:type="dxa"/>
          </w:tcPr>
          <w:p w14:paraId="0A73D5E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8</w:t>
            </w:r>
          </w:p>
        </w:tc>
      </w:tr>
      <w:tr w:rsidR="00E85602" w:rsidRPr="0099227C" w14:paraId="397B96CE" w14:textId="77777777" w:rsidTr="00577A07">
        <w:tc>
          <w:tcPr>
            <w:tcW w:w="2689" w:type="dxa"/>
          </w:tcPr>
          <w:p w14:paraId="531C114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3.0</w:t>
            </w:r>
          </w:p>
        </w:tc>
        <w:tc>
          <w:tcPr>
            <w:tcW w:w="3118" w:type="dxa"/>
          </w:tcPr>
          <w:p w14:paraId="76D08B4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14</w:t>
            </w:r>
          </w:p>
        </w:tc>
      </w:tr>
    </w:tbl>
    <w:p w14:paraId="55553447" w14:textId="77777777" w:rsidR="00E85602" w:rsidRPr="0099227C" w:rsidRDefault="00E85602" w:rsidP="00E85602">
      <w:pPr>
        <w:spacing w:line="360" w:lineRule="auto"/>
        <w:jc w:val="both"/>
        <w:rPr>
          <w:rFonts w:ascii="Times New Roman" w:hAnsi="Times New Roman" w:cs="Times New Roman"/>
        </w:rPr>
      </w:pPr>
    </w:p>
    <w:p w14:paraId="40C360A8" w14:textId="77777777" w:rsidR="00E85602" w:rsidRPr="0099227C" w:rsidRDefault="00E85602" w:rsidP="00E85602">
      <w:pPr>
        <w:keepNext/>
        <w:spacing w:line="360" w:lineRule="auto"/>
        <w:jc w:val="both"/>
        <w:rPr>
          <w:rFonts w:ascii="Times New Roman" w:hAnsi="Times New Roman" w:cs="Times New Roman"/>
        </w:rPr>
      </w:pPr>
      <w:r w:rsidRPr="0099227C">
        <w:rPr>
          <w:rFonts w:ascii="Times New Roman" w:hAnsi="Times New Roman" w:cs="Times New Roman"/>
          <w:noProof/>
          <w:lang w:val="en-US"/>
        </w:rPr>
        <w:drawing>
          <wp:inline distT="0" distB="0" distL="0" distR="0" wp14:anchorId="59D11BBA" wp14:editId="4621A748">
            <wp:extent cx="4648200" cy="2333625"/>
            <wp:effectExtent l="0" t="0" r="0" b="9525"/>
            <wp:docPr id="1573718739" name="Chart 1">
              <a:extLst xmlns:a="http://schemas.openxmlformats.org/drawingml/2006/main">
                <a:ext uri="{FF2B5EF4-FFF2-40B4-BE49-F238E27FC236}">
                  <a16:creationId xmlns:a16="http://schemas.microsoft.com/office/drawing/2014/main" id="{DD0EABC3-1EC3-0220-3AF3-96AAC40C7C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5FF735" w14:textId="375B3A88" w:rsidR="00E85602" w:rsidRPr="0099227C" w:rsidRDefault="00E85602" w:rsidP="00E85602">
      <w:pPr>
        <w:pStyle w:val="Caption"/>
        <w:jc w:val="both"/>
        <w:rPr>
          <w:rFonts w:ascii="Times New Roman" w:hAnsi="Times New Roman" w:cs="Times New Roman"/>
          <w:sz w:val="24"/>
          <w:szCs w:val="24"/>
        </w:rPr>
      </w:pPr>
      <w:bookmarkStart w:id="22" w:name="_Toc185854202"/>
      <w:r w:rsidRPr="0099227C">
        <w:rPr>
          <w:rFonts w:ascii="Times New Roman" w:hAnsi="Times New Roman" w:cs="Times New Roman"/>
          <w:sz w:val="24"/>
          <w:szCs w:val="24"/>
        </w:rPr>
        <w:t xml:space="preserve">Figure </w:t>
      </w:r>
      <w:r w:rsidR="007B73E6">
        <w:rPr>
          <w:rFonts w:ascii="Times New Roman" w:hAnsi="Times New Roman" w:cs="Times New Roman"/>
          <w:sz w:val="24"/>
          <w:szCs w:val="24"/>
        </w:rPr>
        <w:t>4</w:t>
      </w:r>
      <w:r w:rsidRPr="0099227C">
        <w:rPr>
          <w:rFonts w:ascii="Times New Roman" w:hAnsi="Times New Roman" w:cs="Times New Roman"/>
          <w:sz w:val="24"/>
          <w:szCs w:val="24"/>
        </w:rPr>
        <w:t xml:space="preserve"> Visual Representation of Quality Scores </w:t>
      </w:r>
      <w:bookmarkEnd w:id="22"/>
      <w:r w:rsidRPr="0099227C">
        <w:rPr>
          <w:rFonts w:ascii="Times New Roman" w:hAnsi="Times New Roman" w:cs="Times New Roman"/>
          <w:sz w:val="24"/>
          <w:szCs w:val="24"/>
        </w:rPr>
        <w:t>distribution.</w:t>
      </w:r>
    </w:p>
    <w:p w14:paraId="569B6E7D" w14:textId="77777777" w:rsidR="00E85602" w:rsidRPr="0099227C" w:rsidRDefault="00E85602" w:rsidP="00E85602">
      <w:pPr>
        <w:spacing w:line="360" w:lineRule="auto"/>
        <w:jc w:val="both"/>
        <w:rPr>
          <w:rFonts w:ascii="Times New Roman" w:hAnsi="Times New Roman" w:cs="Times New Roman"/>
        </w:rPr>
        <w:sectPr w:rsidR="00E85602" w:rsidRPr="0099227C" w:rsidSect="00E85602">
          <w:headerReference w:type="even" r:id="rId24"/>
          <w:headerReference w:type="default" r:id="rId25"/>
          <w:headerReference w:type="first" r:id="rId26"/>
          <w:pgSz w:w="11906" w:h="16838"/>
          <w:pgMar w:top="1440" w:right="1440" w:bottom="1440" w:left="1440" w:header="708" w:footer="708" w:gutter="0"/>
          <w:cols w:space="708"/>
          <w:docGrid w:linePitch="360"/>
        </w:sectPr>
      </w:pPr>
      <w:r w:rsidRPr="0099227C">
        <w:rPr>
          <w:rFonts w:ascii="Times New Roman" w:hAnsi="Times New Roman" w:cs="Times New Roman"/>
        </w:rPr>
        <w:t>The histogram highlights the frequency of scores within predefined intervals (e.g., 1.5–2.0, 2.1–2.5, etc.), offering a clear view of the assessment results.</w:t>
      </w:r>
    </w:p>
    <w:p w14:paraId="23EAA121" w14:textId="77777777" w:rsidR="00E85602" w:rsidRPr="0099227C" w:rsidRDefault="00E85602" w:rsidP="00E85602">
      <w:pPr>
        <w:spacing w:line="360" w:lineRule="auto"/>
        <w:jc w:val="both"/>
        <w:rPr>
          <w:rFonts w:ascii="Times New Roman" w:hAnsi="Times New Roman" w:cs="Times New Roman"/>
        </w:rPr>
      </w:pPr>
    </w:p>
    <w:p w14:paraId="7B344228" w14:textId="77777777" w:rsidR="00E85602" w:rsidRPr="0099227C" w:rsidRDefault="00E85602" w:rsidP="00E85602">
      <w:pPr>
        <w:pStyle w:val="Caption"/>
        <w:keepNext/>
        <w:rPr>
          <w:rFonts w:ascii="Times New Roman" w:hAnsi="Times New Roman" w:cs="Times New Roman"/>
          <w:sz w:val="24"/>
          <w:szCs w:val="24"/>
        </w:rPr>
      </w:pPr>
      <w:bookmarkStart w:id="23" w:name="_Toc185853925"/>
      <w:r w:rsidRPr="0099227C">
        <w:rPr>
          <w:rFonts w:ascii="Times New Roman" w:hAnsi="Times New Roman" w:cs="Times New Roman"/>
          <w:sz w:val="24"/>
          <w:szCs w:val="24"/>
        </w:rPr>
        <w:t xml:space="preserve">Table </w:t>
      </w:r>
      <w:r w:rsidRPr="0099227C">
        <w:rPr>
          <w:rFonts w:ascii="Times New Roman" w:hAnsi="Times New Roman" w:cs="Times New Roman"/>
          <w:sz w:val="24"/>
          <w:szCs w:val="24"/>
        </w:rPr>
        <w:fldChar w:fldCharType="begin"/>
      </w:r>
      <w:r w:rsidRPr="0099227C">
        <w:rPr>
          <w:rFonts w:ascii="Times New Roman" w:hAnsi="Times New Roman" w:cs="Times New Roman"/>
          <w:sz w:val="24"/>
          <w:szCs w:val="24"/>
        </w:rPr>
        <w:instrText xml:space="preserve"> SEQ Table \* ARABIC </w:instrText>
      </w:r>
      <w:r w:rsidRPr="0099227C">
        <w:rPr>
          <w:rFonts w:ascii="Times New Roman" w:hAnsi="Times New Roman" w:cs="Times New Roman"/>
          <w:sz w:val="24"/>
          <w:szCs w:val="24"/>
        </w:rPr>
        <w:fldChar w:fldCharType="separate"/>
      </w:r>
      <w:r w:rsidRPr="0099227C">
        <w:rPr>
          <w:rFonts w:ascii="Times New Roman" w:hAnsi="Times New Roman" w:cs="Times New Roman"/>
          <w:noProof/>
          <w:sz w:val="24"/>
          <w:szCs w:val="24"/>
        </w:rPr>
        <w:t>6</w:t>
      </w:r>
      <w:r w:rsidRPr="0099227C">
        <w:rPr>
          <w:rFonts w:ascii="Times New Roman" w:hAnsi="Times New Roman" w:cs="Times New Roman"/>
          <w:sz w:val="24"/>
          <w:szCs w:val="24"/>
        </w:rPr>
        <w:fldChar w:fldCharType="end"/>
      </w:r>
      <w:r w:rsidRPr="0099227C">
        <w:rPr>
          <w:rFonts w:ascii="Times New Roman" w:hAnsi="Times New Roman" w:cs="Times New Roman"/>
          <w:sz w:val="24"/>
          <w:szCs w:val="24"/>
        </w:rPr>
        <w:t xml:space="preserve"> Basic contents of the selected articles.</w:t>
      </w:r>
      <w:bookmarkEnd w:id="23"/>
    </w:p>
    <w:tbl>
      <w:tblPr>
        <w:tblStyle w:val="TableGrid"/>
        <w:tblW w:w="0" w:type="auto"/>
        <w:tblLook w:val="04A0" w:firstRow="1" w:lastRow="0" w:firstColumn="1" w:lastColumn="0" w:noHBand="0" w:noVBand="1"/>
      </w:tblPr>
      <w:tblGrid>
        <w:gridCol w:w="839"/>
        <w:gridCol w:w="3206"/>
        <w:gridCol w:w="2230"/>
        <w:gridCol w:w="3617"/>
        <w:gridCol w:w="4056"/>
      </w:tblGrid>
      <w:tr w:rsidR="00E85602" w:rsidRPr="0099227C" w14:paraId="31A86E92" w14:textId="77777777" w:rsidTr="00577A07">
        <w:tc>
          <w:tcPr>
            <w:tcW w:w="0" w:type="auto"/>
          </w:tcPr>
          <w:p w14:paraId="1EDAEA33"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SLRs ID</w:t>
            </w:r>
          </w:p>
        </w:tc>
        <w:tc>
          <w:tcPr>
            <w:tcW w:w="0" w:type="auto"/>
          </w:tcPr>
          <w:p w14:paraId="4F576F22"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Objectives</w:t>
            </w:r>
          </w:p>
        </w:tc>
        <w:tc>
          <w:tcPr>
            <w:tcW w:w="0" w:type="auto"/>
          </w:tcPr>
          <w:p w14:paraId="684F4590"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Method</w:t>
            </w:r>
          </w:p>
        </w:tc>
        <w:tc>
          <w:tcPr>
            <w:tcW w:w="0" w:type="auto"/>
          </w:tcPr>
          <w:p w14:paraId="442C99D3"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Main Findings</w:t>
            </w:r>
          </w:p>
        </w:tc>
        <w:tc>
          <w:tcPr>
            <w:tcW w:w="0" w:type="auto"/>
          </w:tcPr>
          <w:p w14:paraId="7E161ECC"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Limitation</w:t>
            </w:r>
          </w:p>
        </w:tc>
      </w:tr>
      <w:tr w:rsidR="00E85602" w:rsidRPr="0099227C" w14:paraId="707476E2" w14:textId="77777777" w:rsidTr="00577A07">
        <w:tc>
          <w:tcPr>
            <w:tcW w:w="0" w:type="auto"/>
          </w:tcPr>
          <w:p w14:paraId="25A6B7A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w:t>
            </w:r>
          </w:p>
        </w:tc>
        <w:tc>
          <w:tcPr>
            <w:tcW w:w="0" w:type="auto"/>
          </w:tcPr>
          <w:p w14:paraId="07DF2DC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carbon- based sorbents for hydrogen storage</w:t>
            </w:r>
          </w:p>
        </w:tc>
        <w:tc>
          <w:tcPr>
            <w:tcW w:w="0" w:type="auto"/>
          </w:tcPr>
          <w:p w14:paraId="17EBC4B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Literature review and experimental studies.</w:t>
            </w:r>
          </w:p>
        </w:tc>
        <w:tc>
          <w:tcPr>
            <w:tcW w:w="0" w:type="auto"/>
          </w:tcPr>
          <w:p w14:paraId="4AE5AA3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Carbon-based materials show promise for sustainable hydrogen storage under renewable energy conditions.</w:t>
            </w:r>
          </w:p>
        </w:tc>
        <w:tc>
          <w:tcPr>
            <w:tcW w:w="0" w:type="auto"/>
          </w:tcPr>
          <w:p w14:paraId="67C0F49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Requires advanced manufacturing processes and exhibits reduced efficiency under varying pressure and temperature.</w:t>
            </w:r>
          </w:p>
        </w:tc>
      </w:tr>
      <w:tr w:rsidR="00E85602" w:rsidRPr="0099227C" w14:paraId="339CF4CB" w14:textId="77777777" w:rsidTr="00577A07">
        <w:tc>
          <w:tcPr>
            <w:tcW w:w="0" w:type="auto"/>
          </w:tcPr>
          <w:p w14:paraId="3F01AC1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w:t>
            </w:r>
          </w:p>
        </w:tc>
        <w:tc>
          <w:tcPr>
            <w:tcW w:w="0" w:type="auto"/>
          </w:tcPr>
          <w:p w14:paraId="3E34EA0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analyse hydrogen technologies for energy storage.</w:t>
            </w:r>
          </w:p>
        </w:tc>
        <w:tc>
          <w:tcPr>
            <w:tcW w:w="0" w:type="auto"/>
          </w:tcPr>
          <w:p w14:paraId="0F02839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Analytical perspective.</w:t>
            </w:r>
          </w:p>
        </w:tc>
        <w:tc>
          <w:tcPr>
            <w:tcW w:w="0" w:type="auto"/>
          </w:tcPr>
          <w:p w14:paraId="6E7F973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potential for hydrogen in energy storage but highlights challenges in adoption.</w:t>
            </w:r>
          </w:p>
        </w:tc>
        <w:tc>
          <w:tcPr>
            <w:tcW w:w="0" w:type="auto"/>
          </w:tcPr>
          <w:p w14:paraId="2FD904E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scalability and absence of comprehensive lifecycle analyses.</w:t>
            </w:r>
          </w:p>
        </w:tc>
      </w:tr>
      <w:tr w:rsidR="00E85602" w:rsidRPr="0099227C" w14:paraId="6E6CB119" w14:textId="77777777" w:rsidTr="00577A07">
        <w:tc>
          <w:tcPr>
            <w:tcW w:w="0" w:type="auto"/>
          </w:tcPr>
          <w:p w14:paraId="2767ED6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w:t>
            </w:r>
          </w:p>
        </w:tc>
        <w:tc>
          <w:tcPr>
            <w:tcW w:w="0" w:type="auto"/>
          </w:tcPr>
          <w:p w14:paraId="590B8A9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metal hydrides for mobile hydrogen storage.</w:t>
            </w:r>
          </w:p>
        </w:tc>
        <w:tc>
          <w:tcPr>
            <w:tcW w:w="0" w:type="auto"/>
          </w:tcPr>
          <w:p w14:paraId="2ACFCA1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Comprehensive review.</w:t>
            </w:r>
          </w:p>
        </w:tc>
        <w:tc>
          <w:tcPr>
            <w:tcW w:w="0" w:type="auto"/>
          </w:tcPr>
          <w:p w14:paraId="0087F5E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Metal hydrides offer high density but face challenges in operating conditions.</w:t>
            </w:r>
          </w:p>
        </w:tc>
        <w:tc>
          <w:tcPr>
            <w:tcW w:w="0" w:type="auto"/>
          </w:tcPr>
          <w:p w14:paraId="7AF043F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cost of materials and slow hydrogen absorption/desorption kinetics.</w:t>
            </w:r>
          </w:p>
        </w:tc>
      </w:tr>
      <w:tr w:rsidR="00E85602" w:rsidRPr="0099227C" w14:paraId="47250A36" w14:textId="77777777" w:rsidTr="00577A07">
        <w:tc>
          <w:tcPr>
            <w:tcW w:w="0" w:type="auto"/>
          </w:tcPr>
          <w:p w14:paraId="5AD30B6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4</w:t>
            </w:r>
          </w:p>
        </w:tc>
        <w:tc>
          <w:tcPr>
            <w:tcW w:w="0" w:type="auto"/>
          </w:tcPr>
          <w:p w14:paraId="6D689FD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evaluate economic, environmental, and technological aspects of hydrogen storage and transport.</w:t>
            </w:r>
          </w:p>
          <w:p w14:paraId="61C8005F" w14:textId="77777777" w:rsidR="00E85602" w:rsidRPr="0099227C" w:rsidRDefault="00E85602" w:rsidP="00577A07">
            <w:pPr>
              <w:spacing w:line="360" w:lineRule="auto"/>
              <w:jc w:val="both"/>
              <w:rPr>
                <w:rFonts w:ascii="Times New Roman" w:hAnsi="Times New Roman" w:cs="Times New Roman"/>
              </w:rPr>
            </w:pPr>
          </w:p>
          <w:p w14:paraId="50C328A2" w14:textId="77777777" w:rsidR="00E85602" w:rsidRPr="0099227C" w:rsidRDefault="00E85602" w:rsidP="00577A07">
            <w:pPr>
              <w:spacing w:line="360" w:lineRule="auto"/>
              <w:jc w:val="both"/>
              <w:rPr>
                <w:rFonts w:ascii="Times New Roman" w:hAnsi="Times New Roman" w:cs="Times New Roman"/>
              </w:rPr>
            </w:pPr>
          </w:p>
        </w:tc>
        <w:tc>
          <w:tcPr>
            <w:tcW w:w="0" w:type="auto"/>
          </w:tcPr>
          <w:p w14:paraId="69FAACC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Systematic review.</w:t>
            </w:r>
          </w:p>
        </w:tc>
        <w:tc>
          <w:tcPr>
            <w:tcW w:w="0" w:type="auto"/>
          </w:tcPr>
          <w:p w14:paraId="50C478D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gaps in economic efficiency and environmental safety.</w:t>
            </w:r>
          </w:p>
        </w:tc>
        <w:tc>
          <w:tcPr>
            <w:tcW w:w="0" w:type="auto"/>
          </w:tcPr>
          <w:p w14:paraId="1C5D6CD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focus on regional variations in economic feasibility</w:t>
            </w:r>
          </w:p>
        </w:tc>
      </w:tr>
      <w:tr w:rsidR="00E85602" w:rsidRPr="0099227C" w14:paraId="268C0974" w14:textId="77777777" w:rsidTr="00577A07">
        <w:tc>
          <w:tcPr>
            <w:tcW w:w="0" w:type="auto"/>
          </w:tcPr>
          <w:p w14:paraId="7305837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lastRenderedPageBreak/>
              <w:t>SLRs ID</w:t>
            </w:r>
          </w:p>
        </w:tc>
        <w:tc>
          <w:tcPr>
            <w:tcW w:w="0" w:type="auto"/>
          </w:tcPr>
          <w:p w14:paraId="35927CB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4FC79A1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376FA99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51C8FC8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34DF6629" w14:textId="77777777" w:rsidTr="00577A07">
        <w:tc>
          <w:tcPr>
            <w:tcW w:w="0" w:type="auto"/>
          </w:tcPr>
          <w:p w14:paraId="6553752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5</w:t>
            </w:r>
          </w:p>
        </w:tc>
        <w:tc>
          <w:tcPr>
            <w:tcW w:w="0" w:type="auto"/>
          </w:tcPr>
          <w:p w14:paraId="4DC1C34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assess technical challenges in on-board hydrogen storage for aircraft.</w:t>
            </w:r>
          </w:p>
        </w:tc>
        <w:tc>
          <w:tcPr>
            <w:tcW w:w="0" w:type="auto"/>
          </w:tcPr>
          <w:p w14:paraId="1D6DC63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review</w:t>
            </w:r>
          </w:p>
        </w:tc>
        <w:tc>
          <w:tcPr>
            <w:tcW w:w="0" w:type="auto"/>
          </w:tcPr>
          <w:p w14:paraId="175A587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the feasibility of fuel cell integration with hydrogen storage.</w:t>
            </w:r>
          </w:p>
        </w:tc>
        <w:tc>
          <w:tcPr>
            <w:tcW w:w="0" w:type="auto"/>
          </w:tcPr>
          <w:p w14:paraId="0000AC5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demonstrated performance under extreme flight conditions.</w:t>
            </w:r>
          </w:p>
        </w:tc>
      </w:tr>
      <w:tr w:rsidR="00E85602" w:rsidRPr="0099227C" w14:paraId="490924CD" w14:textId="77777777" w:rsidTr="00577A07">
        <w:tc>
          <w:tcPr>
            <w:tcW w:w="0" w:type="auto"/>
          </w:tcPr>
          <w:p w14:paraId="795EF85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6</w:t>
            </w:r>
          </w:p>
        </w:tc>
        <w:tc>
          <w:tcPr>
            <w:tcW w:w="0" w:type="auto"/>
          </w:tcPr>
          <w:p w14:paraId="4B6A8AE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evaluate hydrogen generation and storage methods.</w:t>
            </w:r>
          </w:p>
        </w:tc>
        <w:tc>
          <w:tcPr>
            <w:tcW w:w="0" w:type="auto"/>
          </w:tcPr>
          <w:p w14:paraId="5160BE9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Critical review.</w:t>
            </w:r>
          </w:p>
        </w:tc>
        <w:tc>
          <w:tcPr>
            <w:tcW w:w="0" w:type="auto"/>
          </w:tcPr>
          <w:p w14:paraId="077BFFB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state-of-the-art methods identified, including hybrid systems.</w:t>
            </w:r>
          </w:p>
        </w:tc>
        <w:tc>
          <w:tcPr>
            <w:tcW w:w="0" w:type="auto"/>
          </w:tcPr>
          <w:p w14:paraId="3B0EFCE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energy consumption and efficiency losses in current systems.</w:t>
            </w:r>
          </w:p>
        </w:tc>
      </w:tr>
      <w:tr w:rsidR="00E85602" w:rsidRPr="0099227C" w14:paraId="39E3AAB6" w14:textId="77777777" w:rsidTr="00577A07">
        <w:tc>
          <w:tcPr>
            <w:tcW w:w="0" w:type="auto"/>
          </w:tcPr>
          <w:p w14:paraId="7ED5A21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7</w:t>
            </w:r>
          </w:p>
        </w:tc>
        <w:tc>
          <w:tcPr>
            <w:tcW w:w="0" w:type="auto"/>
          </w:tcPr>
          <w:p w14:paraId="64B923F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examine nanoscale silicon porous materials for hydrogen storage.</w:t>
            </w:r>
          </w:p>
        </w:tc>
        <w:tc>
          <w:tcPr>
            <w:tcW w:w="0" w:type="auto"/>
          </w:tcPr>
          <w:p w14:paraId="2DA607F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Experimental and review.</w:t>
            </w:r>
          </w:p>
        </w:tc>
        <w:tc>
          <w:tcPr>
            <w:tcW w:w="0" w:type="auto"/>
          </w:tcPr>
          <w:p w14:paraId="558C2F8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Nanoscale silicon shows efficiency in hydrogen storage.</w:t>
            </w:r>
          </w:p>
        </w:tc>
        <w:tc>
          <w:tcPr>
            <w:tcW w:w="0" w:type="auto"/>
          </w:tcPr>
          <w:p w14:paraId="7E08FD2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Issues with long-term material stability and scalability.</w:t>
            </w:r>
          </w:p>
        </w:tc>
      </w:tr>
      <w:tr w:rsidR="00E85602" w:rsidRPr="0099227C" w14:paraId="56C73C80" w14:textId="77777777" w:rsidTr="00577A07">
        <w:tc>
          <w:tcPr>
            <w:tcW w:w="0" w:type="auto"/>
          </w:tcPr>
          <w:p w14:paraId="6E18EC2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8</w:t>
            </w:r>
          </w:p>
        </w:tc>
        <w:tc>
          <w:tcPr>
            <w:tcW w:w="0" w:type="auto"/>
          </w:tcPr>
          <w:p w14:paraId="4D28341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hydrogen fuel and fuel cell technology for a sustainable future.</w:t>
            </w:r>
          </w:p>
        </w:tc>
        <w:tc>
          <w:tcPr>
            <w:tcW w:w="0" w:type="auto"/>
          </w:tcPr>
          <w:p w14:paraId="1A63188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Environmental and sustainability review.</w:t>
            </w:r>
          </w:p>
        </w:tc>
        <w:tc>
          <w:tcPr>
            <w:tcW w:w="0" w:type="auto"/>
          </w:tcPr>
          <w:p w14:paraId="66B068B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Emphasizes cleaner hydrogen technologies.</w:t>
            </w:r>
          </w:p>
        </w:tc>
        <w:tc>
          <w:tcPr>
            <w:tcW w:w="0" w:type="auto"/>
          </w:tcPr>
          <w:p w14:paraId="18AD98A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Insufficient focus on production costs and market dynamics.</w:t>
            </w:r>
          </w:p>
        </w:tc>
      </w:tr>
      <w:tr w:rsidR="00E85602" w:rsidRPr="0099227C" w14:paraId="0B8026DD" w14:textId="77777777" w:rsidTr="00577A07">
        <w:tc>
          <w:tcPr>
            <w:tcW w:w="0" w:type="auto"/>
          </w:tcPr>
          <w:p w14:paraId="3468ECE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9</w:t>
            </w:r>
          </w:p>
        </w:tc>
        <w:tc>
          <w:tcPr>
            <w:tcW w:w="0" w:type="auto"/>
          </w:tcPr>
          <w:p w14:paraId="3855B4D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analyse MTH-system for hydrogen production in power plants.</w:t>
            </w:r>
          </w:p>
        </w:tc>
        <w:tc>
          <w:tcPr>
            <w:tcW w:w="0" w:type="auto"/>
          </w:tcPr>
          <w:p w14:paraId="4B082C5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Case analysis.</w:t>
            </w:r>
          </w:p>
        </w:tc>
        <w:tc>
          <w:tcPr>
            <w:tcW w:w="0" w:type="auto"/>
          </w:tcPr>
          <w:p w14:paraId="13991BC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Demonstrates high efficiency in hydrogen production.</w:t>
            </w:r>
          </w:p>
        </w:tc>
        <w:tc>
          <w:tcPr>
            <w:tcW w:w="0" w:type="auto"/>
          </w:tcPr>
          <w:p w14:paraId="73CC9BC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Challenges in adapting MTH systems to existing power plant infrastructure.</w:t>
            </w:r>
          </w:p>
        </w:tc>
      </w:tr>
      <w:tr w:rsidR="00E85602" w:rsidRPr="0099227C" w14:paraId="284B3ECE" w14:textId="77777777" w:rsidTr="00577A07">
        <w:tc>
          <w:tcPr>
            <w:tcW w:w="0" w:type="auto"/>
          </w:tcPr>
          <w:p w14:paraId="4E5FA78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10</w:t>
            </w:r>
          </w:p>
        </w:tc>
        <w:tc>
          <w:tcPr>
            <w:tcW w:w="0" w:type="auto"/>
          </w:tcPr>
          <w:p w14:paraId="46ABC01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advancements in hydrogen storage materials and policies.</w:t>
            </w:r>
          </w:p>
        </w:tc>
        <w:tc>
          <w:tcPr>
            <w:tcW w:w="0" w:type="auto"/>
          </w:tcPr>
          <w:p w14:paraId="45F3F89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Policy and technical review.</w:t>
            </w:r>
          </w:p>
        </w:tc>
        <w:tc>
          <w:tcPr>
            <w:tcW w:w="0" w:type="auto"/>
          </w:tcPr>
          <w:p w14:paraId="3B95477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significant progress in materials and economic frameworks.</w:t>
            </w:r>
          </w:p>
        </w:tc>
        <w:tc>
          <w:tcPr>
            <w:tcW w:w="0" w:type="auto"/>
          </w:tcPr>
          <w:p w14:paraId="68E4B04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Inadequate integration between policy development and technological advances.</w:t>
            </w:r>
          </w:p>
        </w:tc>
      </w:tr>
      <w:tr w:rsidR="00E85602" w:rsidRPr="0099227C" w14:paraId="73CAFC45" w14:textId="77777777" w:rsidTr="00577A07">
        <w:tc>
          <w:tcPr>
            <w:tcW w:w="0" w:type="auto"/>
          </w:tcPr>
          <w:p w14:paraId="69B5225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lastRenderedPageBreak/>
              <w:t>SLRs ID</w:t>
            </w:r>
          </w:p>
        </w:tc>
        <w:tc>
          <w:tcPr>
            <w:tcW w:w="0" w:type="auto"/>
          </w:tcPr>
          <w:p w14:paraId="64F3B56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7483210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6597305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7426139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77170E74" w14:textId="77777777" w:rsidTr="00577A07">
        <w:tc>
          <w:tcPr>
            <w:tcW w:w="0" w:type="auto"/>
          </w:tcPr>
          <w:p w14:paraId="4D3CD0B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11</w:t>
            </w:r>
          </w:p>
        </w:tc>
        <w:tc>
          <w:tcPr>
            <w:tcW w:w="0" w:type="auto"/>
          </w:tcPr>
          <w:p w14:paraId="311EBFE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high-pressure torsion methods for hydrogen storage.</w:t>
            </w:r>
          </w:p>
        </w:tc>
        <w:tc>
          <w:tcPr>
            <w:tcW w:w="0" w:type="auto"/>
          </w:tcPr>
          <w:p w14:paraId="03B43A0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analysis review.</w:t>
            </w:r>
          </w:p>
        </w:tc>
        <w:tc>
          <w:tcPr>
            <w:tcW w:w="0" w:type="auto"/>
          </w:tcPr>
          <w:p w14:paraId="34234B8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potential improvements in material properties.</w:t>
            </w:r>
          </w:p>
        </w:tc>
        <w:tc>
          <w:tcPr>
            <w:tcW w:w="0" w:type="auto"/>
          </w:tcPr>
          <w:p w14:paraId="491649B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experimental data for industrial-scale application.</w:t>
            </w:r>
          </w:p>
        </w:tc>
      </w:tr>
      <w:tr w:rsidR="00E85602" w:rsidRPr="0099227C" w14:paraId="7E4B7009" w14:textId="77777777" w:rsidTr="00577A07">
        <w:tc>
          <w:tcPr>
            <w:tcW w:w="0" w:type="auto"/>
          </w:tcPr>
          <w:p w14:paraId="4A92669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12</w:t>
            </w:r>
          </w:p>
        </w:tc>
        <w:tc>
          <w:tcPr>
            <w:tcW w:w="0" w:type="auto"/>
          </w:tcPr>
          <w:p w14:paraId="6D76587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assess cogeneration systems for hybrid hydrogen chains.</w:t>
            </w:r>
          </w:p>
        </w:tc>
        <w:tc>
          <w:tcPr>
            <w:tcW w:w="0" w:type="auto"/>
          </w:tcPr>
          <w:p w14:paraId="702BB99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Energy efficiency analysis.</w:t>
            </w:r>
          </w:p>
        </w:tc>
        <w:tc>
          <w:tcPr>
            <w:tcW w:w="0" w:type="auto"/>
          </w:tcPr>
          <w:p w14:paraId="587CE93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Cogeneration increases energy efficiency significantly.</w:t>
            </w:r>
          </w:p>
        </w:tc>
        <w:tc>
          <w:tcPr>
            <w:tcW w:w="0" w:type="auto"/>
          </w:tcPr>
          <w:p w14:paraId="4B0AF45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initial investment and lack of real-world validation.</w:t>
            </w:r>
          </w:p>
        </w:tc>
      </w:tr>
      <w:tr w:rsidR="00E85602" w:rsidRPr="0099227C" w14:paraId="12F0B9C8" w14:textId="77777777" w:rsidTr="00577A07">
        <w:tc>
          <w:tcPr>
            <w:tcW w:w="0" w:type="auto"/>
          </w:tcPr>
          <w:p w14:paraId="2F15F45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13</w:t>
            </w:r>
          </w:p>
        </w:tc>
        <w:tc>
          <w:tcPr>
            <w:tcW w:w="0" w:type="auto"/>
          </w:tcPr>
          <w:p w14:paraId="784B9D2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hydrogen technologies and policies for sustainability.</w:t>
            </w:r>
          </w:p>
        </w:tc>
        <w:tc>
          <w:tcPr>
            <w:tcW w:w="0" w:type="auto"/>
          </w:tcPr>
          <w:p w14:paraId="07D98C9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Policy and technology review.</w:t>
            </w:r>
          </w:p>
        </w:tc>
        <w:tc>
          <w:tcPr>
            <w:tcW w:w="0" w:type="auto"/>
          </w:tcPr>
          <w:p w14:paraId="3FF303A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importance of combined technological and policy efforts.</w:t>
            </w:r>
          </w:p>
        </w:tc>
        <w:tc>
          <w:tcPr>
            <w:tcW w:w="0" w:type="auto"/>
          </w:tcPr>
          <w:p w14:paraId="68E0CBA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Difficulty in synchronizing policy changes across regions.</w:t>
            </w:r>
          </w:p>
        </w:tc>
      </w:tr>
      <w:tr w:rsidR="00E85602" w:rsidRPr="0099227C" w14:paraId="1396B629" w14:textId="77777777" w:rsidTr="00577A07">
        <w:tc>
          <w:tcPr>
            <w:tcW w:w="0" w:type="auto"/>
          </w:tcPr>
          <w:p w14:paraId="3813DC6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14</w:t>
            </w:r>
          </w:p>
        </w:tc>
        <w:tc>
          <w:tcPr>
            <w:tcW w:w="0" w:type="auto"/>
          </w:tcPr>
          <w:p w14:paraId="6CFB8F2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study underground hydrogen storage in depleted gas reservoirs.</w:t>
            </w:r>
          </w:p>
        </w:tc>
        <w:tc>
          <w:tcPr>
            <w:tcW w:w="0" w:type="auto"/>
          </w:tcPr>
          <w:p w14:paraId="09B05B7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Engineering and technical review.</w:t>
            </w:r>
          </w:p>
        </w:tc>
        <w:tc>
          <w:tcPr>
            <w:tcW w:w="0" w:type="auto"/>
          </w:tcPr>
          <w:p w14:paraId="4DB174A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potential and challenges of underground storage.</w:t>
            </w:r>
          </w:p>
        </w:tc>
        <w:tc>
          <w:tcPr>
            <w:tcW w:w="0" w:type="auto"/>
          </w:tcPr>
          <w:p w14:paraId="2BD488F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Risks associated with gas leakage and reservoir stability.</w:t>
            </w:r>
          </w:p>
        </w:tc>
      </w:tr>
      <w:tr w:rsidR="00E85602" w:rsidRPr="0099227C" w14:paraId="41D7ABBE" w14:textId="77777777" w:rsidTr="00577A07">
        <w:tc>
          <w:tcPr>
            <w:tcW w:w="0" w:type="auto"/>
          </w:tcPr>
          <w:p w14:paraId="17D6FB3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15</w:t>
            </w:r>
          </w:p>
        </w:tc>
        <w:tc>
          <w:tcPr>
            <w:tcW w:w="0" w:type="auto"/>
          </w:tcPr>
          <w:p w14:paraId="2D7143C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hydrogen integration in natural gas and electric grids.</w:t>
            </w:r>
          </w:p>
        </w:tc>
        <w:tc>
          <w:tcPr>
            <w:tcW w:w="0" w:type="auto"/>
          </w:tcPr>
          <w:p w14:paraId="6D42035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and sustainability review.</w:t>
            </w:r>
          </w:p>
        </w:tc>
        <w:tc>
          <w:tcPr>
            <w:tcW w:w="0" w:type="auto"/>
          </w:tcPr>
          <w:p w14:paraId="1887A0A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Emphasizes the role of hydrogen in smart grids.</w:t>
            </w:r>
          </w:p>
        </w:tc>
        <w:tc>
          <w:tcPr>
            <w:tcW w:w="0" w:type="auto"/>
          </w:tcPr>
          <w:p w14:paraId="262A5A5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costs for retrofitting existing infrastructure.</w:t>
            </w:r>
          </w:p>
        </w:tc>
      </w:tr>
      <w:tr w:rsidR="00E85602" w:rsidRPr="0099227C" w14:paraId="0DD6CA9A" w14:textId="77777777" w:rsidTr="00577A07">
        <w:tc>
          <w:tcPr>
            <w:tcW w:w="0" w:type="auto"/>
          </w:tcPr>
          <w:p w14:paraId="09E47B7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16</w:t>
            </w:r>
          </w:p>
        </w:tc>
        <w:tc>
          <w:tcPr>
            <w:tcW w:w="0" w:type="auto"/>
          </w:tcPr>
          <w:p w14:paraId="1D60EC6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examine hydrogen as a renewable energy carrier in distributed systems.</w:t>
            </w:r>
          </w:p>
        </w:tc>
        <w:tc>
          <w:tcPr>
            <w:tcW w:w="0" w:type="auto"/>
          </w:tcPr>
          <w:p w14:paraId="2A5A0E6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Bibliometric mapping and review.</w:t>
            </w:r>
          </w:p>
          <w:p w14:paraId="5BE736DF" w14:textId="77777777" w:rsidR="00E85602" w:rsidRPr="0099227C" w:rsidRDefault="00E85602" w:rsidP="00577A07">
            <w:pPr>
              <w:spacing w:line="360" w:lineRule="auto"/>
              <w:jc w:val="both"/>
              <w:rPr>
                <w:rFonts w:ascii="Times New Roman" w:hAnsi="Times New Roman" w:cs="Times New Roman"/>
              </w:rPr>
            </w:pPr>
          </w:p>
        </w:tc>
        <w:tc>
          <w:tcPr>
            <w:tcW w:w="0" w:type="auto"/>
          </w:tcPr>
          <w:p w14:paraId="5030DE5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the role of hydrogen in hybrid systems.</w:t>
            </w:r>
          </w:p>
        </w:tc>
        <w:tc>
          <w:tcPr>
            <w:tcW w:w="0" w:type="auto"/>
          </w:tcPr>
          <w:p w14:paraId="7DCF1EA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practical examples for distributed system integration.</w:t>
            </w:r>
          </w:p>
        </w:tc>
      </w:tr>
      <w:tr w:rsidR="00E85602" w:rsidRPr="0099227C" w14:paraId="60E24788" w14:textId="77777777" w:rsidTr="00577A07">
        <w:tc>
          <w:tcPr>
            <w:tcW w:w="0" w:type="auto"/>
          </w:tcPr>
          <w:p w14:paraId="04272DC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SLRs ID</w:t>
            </w:r>
          </w:p>
        </w:tc>
        <w:tc>
          <w:tcPr>
            <w:tcW w:w="0" w:type="auto"/>
          </w:tcPr>
          <w:p w14:paraId="6E139E6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01B0CC5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769B968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49EB3F2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77CBE9A9" w14:textId="77777777" w:rsidTr="00577A07">
        <w:tc>
          <w:tcPr>
            <w:tcW w:w="0" w:type="auto"/>
          </w:tcPr>
          <w:p w14:paraId="63DF051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lastRenderedPageBreak/>
              <w:t>17</w:t>
            </w:r>
          </w:p>
        </w:tc>
        <w:tc>
          <w:tcPr>
            <w:tcW w:w="0" w:type="auto"/>
          </w:tcPr>
          <w:p w14:paraId="7DD4527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trends and challenges in hydrogen energy systems.</w:t>
            </w:r>
          </w:p>
        </w:tc>
        <w:tc>
          <w:tcPr>
            <w:tcW w:w="0" w:type="auto"/>
          </w:tcPr>
          <w:p w14:paraId="556DC2F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Comprehensive review.</w:t>
            </w:r>
          </w:p>
        </w:tc>
        <w:tc>
          <w:tcPr>
            <w:tcW w:w="0" w:type="auto"/>
          </w:tcPr>
          <w:p w14:paraId="6EDDDFF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technological gaps and future applications.</w:t>
            </w:r>
          </w:p>
        </w:tc>
        <w:tc>
          <w:tcPr>
            <w:tcW w:w="0" w:type="auto"/>
          </w:tcPr>
          <w:p w14:paraId="50E4E25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updated data on rapidly evolving technologies.</w:t>
            </w:r>
          </w:p>
        </w:tc>
      </w:tr>
      <w:tr w:rsidR="00E85602" w:rsidRPr="0099227C" w14:paraId="40C0EE57" w14:textId="77777777" w:rsidTr="00577A07">
        <w:tc>
          <w:tcPr>
            <w:tcW w:w="0" w:type="auto"/>
          </w:tcPr>
          <w:p w14:paraId="64CFF23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18</w:t>
            </w:r>
          </w:p>
        </w:tc>
        <w:tc>
          <w:tcPr>
            <w:tcW w:w="0" w:type="auto"/>
          </w:tcPr>
          <w:p w14:paraId="188C826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green hydrogen integration for a sustainable future.</w:t>
            </w:r>
          </w:p>
        </w:tc>
        <w:tc>
          <w:tcPr>
            <w:tcW w:w="0" w:type="auto"/>
          </w:tcPr>
          <w:p w14:paraId="6173490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Policy and technical analysis.</w:t>
            </w:r>
          </w:p>
        </w:tc>
        <w:tc>
          <w:tcPr>
            <w:tcW w:w="0" w:type="auto"/>
          </w:tcPr>
          <w:p w14:paraId="1EC5D12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transformative potential of green hydrogen.</w:t>
            </w:r>
          </w:p>
        </w:tc>
        <w:tc>
          <w:tcPr>
            <w:tcW w:w="0" w:type="auto"/>
          </w:tcPr>
          <w:p w14:paraId="25F4F0A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Slow adoption due to underdeveloped markets.</w:t>
            </w:r>
          </w:p>
        </w:tc>
      </w:tr>
      <w:tr w:rsidR="00E85602" w:rsidRPr="0099227C" w14:paraId="4AAAFE82" w14:textId="77777777" w:rsidTr="00577A07">
        <w:tc>
          <w:tcPr>
            <w:tcW w:w="0" w:type="auto"/>
          </w:tcPr>
          <w:p w14:paraId="448457D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19</w:t>
            </w:r>
          </w:p>
        </w:tc>
        <w:tc>
          <w:tcPr>
            <w:tcW w:w="0" w:type="auto"/>
          </w:tcPr>
          <w:p w14:paraId="242BDEC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assess large-scale green hydrogen storage.</w:t>
            </w:r>
          </w:p>
        </w:tc>
        <w:tc>
          <w:tcPr>
            <w:tcW w:w="0" w:type="auto"/>
          </w:tcPr>
          <w:p w14:paraId="420F41A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review.</w:t>
            </w:r>
          </w:p>
        </w:tc>
        <w:tc>
          <w:tcPr>
            <w:tcW w:w="0" w:type="auto"/>
          </w:tcPr>
          <w:p w14:paraId="5E57769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Explores opportunities and challenges for scale-up.</w:t>
            </w:r>
          </w:p>
        </w:tc>
        <w:tc>
          <w:tcPr>
            <w:tcW w:w="0" w:type="auto"/>
          </w:tcPr>
          <w:p w14:paraId="5C6C880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case studies on operational and economic sustainability.</w:t>
            </w:r>
          </w:p>
        </w:tc>
      </w:tr>
      <w:tr w:rsidR="00E85602" w:rsidRPr="0099227C" w14:paraId="72BF2B29" w14:textId="77777777" w:rsidTr="00577A07">
        <w:tc>
          <w:tcPr>
            <w:tcW w:w="0" w:type="auto"/>
          </w:tcPr>
          <w:p w14:paraId="1CF2A12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w:t>
            </w:r>
          </w:p>
        </w:tc>
        <w:tc>
          <w:tcPr>
            <w:tcW w:w="0" w:type="auto"/>
          </w:tcPr>
          <w:p w14:paraId="231C826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design and optimize liquid hydrogen tanks for marine transport.</w:t>
            </w:r>
          </w:p>
        </w:tc>
        <w:tc>
          <w:tcPr>
            <w:tcW w:w="0" w:type="auto"/>
          </w:tcPr>
          <w:p w14:paraId="17C25B5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Design and optimization review.</w:t>
            </w:r>
          </w:p>
        </w:tc>
        <w:tc>
          <w:tcPr>
            <w:tcW w:w="0" w:type="auto"/>
          </w:tcPr>
          <w:p w14:paraId="1637EB5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Presents innovative tank designs for efficiency.</w:t>
            </w:r>
          </w:p>
        </w:tc>
        <w:tc>
          <w:tcPr>
            <w:tcW w:w="0" w:type="auto"/>
          </w:tcPr>
          <w:p w14:paraId="7A4CE37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operational and maintenance requirements for cryogenic systems.</w:t>
            </w:r>
          </w:p>
        </w:tc>
      </w:tr>
      <w:tr w:rsidR="00E85602" w:rsidRPr="0099227C" w14:paraId="4F5364A7" w14:textId="77777777" w:rsidTr="00577A07">
        <w:tc>
          <w:tcPr>
            <w:tcW w:w="0" w:type="auto"/>
          </w:tcPr>
          <w:p w14:paraId="2AE7C97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21</w:t>
            </w:r>
          </w:p>
        </w:tc>
        <w:tc>
          <w:tcPr>
            <w:tcW w:w="0" w:type="auto"/>
          </w:tcPr>
          <w:p w14:paraId="1929BB8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transition to carbon-neutral districts using hydrogen.</w:t>
            </w:r>
          </w:p>
        </w:tc>
        <w:tc>
          <w:tcPr>
            <w:tcW w:w="0" w:type="auto"/>
          </w:tcPr>
          <w:p w14:paraId="710BA18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Spatiotemporal energy sharing review.</w:t>
            </w:r>
          </w:p>
        </w:tc>
        <w:tc>
          <w:tcPr>
            <w:tcW w:w="0" w:type="auto"/>
          </w:tcPr>
          <w:p w14:paraId="663F909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hydrogen's role in electrification.</w:t>
            </w:r>
          </w:p>
        </w:tc>
        <w:tc>
          <w:tcPr>
            <w:tcW w:w="0" w:type="auto"/>
          </w:tcPr>
          <w:p w14:paraId="2F9A58F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Insufficient integration strategies for urban planning.</w:t>
            </w:r>
          </w:p>
        </w:tc>
      </w:tr>
      <w:tr w:rsidR="00E85602" w:rsidRPr="0099227C" w14:paraId="10DC83EC" w14:textId="77777777" w:rsidTr="00577A07">
        <w:tc>
          <w:tcPr>
            <w:tcW w:w="0" w:type="auto"/>
          </w:tcPr>
          <w:p w14:paraId="4D49369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22</w:t>
            </w:r>
          </w:p>
        </w:tc>
        <w:tc>
          <w:tcPr>
            <w:tcW w:w="0" w:type="auto"/>
          </w:tcPr>
          <w:p w14:paraId="0CC0AD4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study hydrogen storage properties of Na-modified graphene.</w:t>
            </w:r>
          </w:p>
          <w:p w14:paraId="56C455E2" w14:textId="77777777" w:rsidR="00E85602" w:rsidRPr="0099227C" w:rsidRDefault="00E85602" w:rsidP="00577A07">
            <w:pPr>
              <w:spacing w:line="360" w:lineRule="auto"/>
              <w:jc w:val="both"/>
              <w:rPr>
                <w:rFonts w:ascii="Times New Roman" w:hAnsi="Times New Roman" w:cs="Times New Roman"/>
              </w:rPr>
            </w:pPr>
          </w:p>
          <w:p w14:paraId="451F97D1" w14:textId="77777777" w:rsidR="00E85602" w:rsidRPr="0099227C" w:rsidRDefault="00E85602" w:rsidP="00577A07">
            <w:pPr>
              <w:spacing w:line="360" w:lineRule="auto"/>
              <w:jc w:val="both"/>
              <w:rPr>
                <w:rFonts w:ascii="Times New Roman" w:hAnsi="Times New Roman" w:cs="Times New Roman"/>
              </w:rPr>
            </w:pPr>
          </w:p>
        </w:tc>
        <w:tc>
          <w:tcPr>
            <w:tcW w:w="0" w:type="auto"/>
          </w:tcPr>
          <w:p w14:paraId="6810092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Material science review.</w:t>
            </w:r>
          </w:p>
        </w:tc>
        <w:tc>
          <w:tcPr>
            <w:tcW w:w="0" w:type="auto"/>
          </w:tcPr>
          <w:p w14:paraId="4A3C5AB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Shows potential in modified materials for storage.</w:t>
            </w:r>
          </w:p>
        </w:tc>
        <w:tc>
          <w:tcPr>
            <w:tcW w:w="0" w:type="auto"/>
          </w:tcPr>
          <w:p w14:paraId="0871CD4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Complex production processes and high costs.</w:t>
            </w:r>
          </w:p>
        </w:tc>
      </w:tr>
      <w:tr w:rsidR="00E85602" w:rsidRPr="0099227C" w14:paraId="0579F1D1" w14:textId="77777777" w:rsidTr="00577A07">
        <w:tc>
          <w:tcPr>
            <w:tcW w:w="0" w:type="auto"/>
          </w:tcPr>
          <w:p w14:paraId="76BD9C8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SLRs ID</w:t>
            </w:r>
          </w:p>
        </w:tc>
        <w:tc>
          <w:tcPr>
            <w:tcW w:w="0" w:type="auto"/>
          </w:tcPr>
          <w:p w14:paraId="632A857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714EF67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7D5294C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6421F32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1D4FEA9E" w14:textId="77777777" w:rsidTr="00577A07">
        <w:tc>
          <w:tcPr>
            <w:tcW w:w="0" w:type="auto"/>
          </w:tcPr>
          <w:p w14:paraId="323E9FD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lastRenderedPageBreak/>
              <w:t>23</w:t>
            </w:r>
          </w:p>
        </w:tc>
        <w:tc>
          <w:tcPr>
            <w:tcW w:w="0" w:type="auto"/>
          </w:tcPr>
          <w:p w14:paraId="2785D3F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examine underground hydrogen storage feasibility in Australia.</w:t>
            </w:r>
          </w:p>
        </w:tc>
        <w:tc>
          <w:tcPr>
            <w:tcW w:w="0" w:type="auto"/>
          </w:tcPr>
          <w:p w14:paraId="5420952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Geological and technical review.</w:t>
            </w:r>
          </w:p>
        </w:tc>
        <w:tc>
          <w:tcPr>
            <w:tcW w:w="0" w:type="auto"/>
          </w:tcPr>
          <w:p w14:paraId="0107A3E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suitable geological sites for storage.</w:t>
            </w:r>
          </w:p>
        </w:tc>
        <w:tc>
          <w:tcPr>
            <w:tcW w:w="0" w:type="auto"/>
          </w:tcPr>
          <w:p w14:paraId="1D27DCD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Uncertainty around long-term geological interactions.</w:t>
            </w:r>
          </w:p>
        </w:tc>
      </w:tr>
      <w:tr w:rsidR="00E85602" w:rsidRPr="0099227C" w14:paraId="633C201C" w14:textId="77777777" w:rsidTr="00577A07">
        <w:tc>
          <w:tcPr>
            <w:tcW w:w="0" w:type="auto"/>
          </w:tcPr>
          <w:p w14:paraId="1DE86B7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24</w:t>
            </w:r>
          </w:p>
        </w:tc>
        <w:tc>
          <w:tcPr>
            <w:tcW w:w="0" w:type="auto"/>
          </w:tcPr>
          <w:p w14:paraId="786F1E3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assess interfacial properties in hydrogen storage systems.</w:t>
            </w:r>
          </w:p>
        </w:tc>
        <w:tc>
          <w:tcPr>
            <w:tcW w:w="0" w:type="auto"/>
          </w:tcPr>
          <w:p w14:paraId="59E7EB3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Experimental and theoretical review.</w:t>
            </w:r>
          </w:p>
        </w:tc>
        <w:tc>
          <w:tcPr>
            <w:tcW w:w="0" w:type="auto"/>
          </w:tcPr>
          <w:p w14:paraId="3138093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Demonstrates variability in system properties.</w:t>
            </w:r>
          </w:p>
        </w:tc>
        <w:tc>
          <w:tcPr>
            <w:tcW w:w="0" w:type="auto"/>
          </w:tcPr>
          <w:p w14:paraId="4DC6EB4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consistency in interfacial performance under real-world conditions.</w:t>
            </w:r>
          </w:p>
        </w:tc>
      </w:tr>
      <w:tr w:rsidR="00E85602" w:rsidRPr="0099227C" w14:paraId="6041AF73" w14:textId="77777777" w:rsidTr="00577A07">
        <w:tc>
          <w:tcPr>
            <w:tcW w:w="0" w:type="auto"/>
          </w:tcPr>
          <w:p w14:paraId="14A8C9E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25</w:t>
            </w:r>
          </w:p>
        </w:tc>
        <w:tc>
          <w:tcPr>
            <w:tcW w:w="0" w:type="auto"/>
          </w:tcPr>
          <w:p w14:paraId="2A56AD2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hydrogen-based microgrids for energy management.</w:t>
            </w:r>
          </w:p>
        </w:tc>
        <w:tc>
          <w:tcPr>
            <w:tcW w:w="0" w:type="auto"/>
          </w:tcPr>
          <w:p w14:paraId="5A3DDC9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and strategic review.</w:t>
            </w:r>
          </w:p>
        </w:tc>
        <w:tc>
          <w:tcPr>
            <w:tcW w:w="0" w:type="auto"/>
          </w:tcPr>
          <w:p w14:paraId="1244F09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Emphasizes efficiency in distributed energy systems.</w:t>
            </w:r>
          </w:p>
        </w:tc>
        <w:tc>
          <w:tcPr>
            <w:tcW w:w="0" w:type="auto"/>
          </w:tcPr>
          <w:p w14:paraId="79CD9E6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case studies demonstrating economic viability.</w:t>
            </w:r>
          </w:p>
        </w:tc>
      </w:tr>
      <w:tr w:rsidR="00E85602" w:rsidRPr="0099227C" w14:paraId="47B17948" w14:textId="77777777" w:rsidTr="00577A07">
        <w:tc>
          <w:tcPr>
            <w:tcW w:w="0" w:type="auto"/>
          </w:tcPr>
          <w:p w14:paraId="52F4C23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26</w:t>
            </w:r>
          </w:p>
        </w:tc>
        <w:tc>
          <w:tcPr>
            <w:tcW w:w="0" w:type="auto"/>
          </w:tcPr>
          <w:p w14:paraId="12CC9AD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address challenges in hydrogen storage across different scales.</w:t>
            </w:r>
          </w:p>
        </w:tc>
        <w:tc>
          <w:tcPr>
            <w:tcW w:w="0" w:type="auto"/>
          </w:tcPr>
          <w:p w14:paraId="4E5D0D8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State-of-art review.</w:t>
            </w:r>
          </w:p>
        </w:tc>
        <w:tc>
          <w:tcPr>
            <w:tcW w:w="0" w:type="auto"/>
          </w:tcPr>
          <w:p w14:paraId="62DD1C0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Comprehensive insights into technical and economic challenges.</w:t>
            </w:r>
          </w:p>
        </w:tc>
        <w:tc>
          <w:tcPr>
            <w:tcW w:w="0" w:type="auto"/>
          </w:tcPr>
          <w:p w14:paraId="578941E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Gaps in the global regulatory framework for hydrogen systems.</w:t>
            </w:r>
          </w:p>
        </w:tc>
      </w:tr>
      <w:tr w:rsidR="00E85602" w:rsidRPr="0099227C" w14:paraId="2345CF1A" w14:textId="77777777" w:rsidTr="00577A07">
        <w:tc>
          <w:tcPr>
            <w:tcW w:w="0" w:type="auto"/>
          </w:tcPr>
          <w:p w14:paraId="7E86947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27</w:t>
            </w:r>
          </w:p>
        </w:tc>
        <w:tc>
          <w:tcPr>
            <w:tcW w:w="0" w:type="auto"/>
          </w:tcPr>
          <w:p w14:paraId="0BFBC81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metal oxides for ammonia cracking in hydrogen production.</w:t>
            </w:r>
          </w:p>
        </w:tc>
        <w:tc>
          <w:tcPr>
            <w:tcW w:w="0" w:type="auto"/>
          </w:tcPr>
          <w:p w14:paraId="55371EC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Catalytic process review</w:t>
            </w:r>
          </w:p>
        </w:tc>
        <w:tc>
          <w:tcPr>
            <w:tcW w:w="0" w:type="auto"/>
          </w:tcPr>
          <w:p w14:paraId="3EA5642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advancements in green hydrogen production.</w:t>
            </w:r>
          </w:p>
        </w:tc>
        <w:tc>
          <w:tcPr>
            <w:tcW w:w="0" w:type="auto"/>
          </w:tcPr>
          <w:p w14:paraId="6A00298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energy demand and challenges in catalyst recovery.</w:t>
            </w:r>
          </w:p>
        </w:tc>
      </w:tr>
      <w:tr w:rsidR="00E85602" w:rsidRPr="0099227C" w14:paraId="0DD3B7DB" w14:textId="77777777" w:rsidTr="00577A07">
        <w:tc>
          <w:tcPr>
            <w:tcW w:w="0" w:type="auto"/>
          </w:tcPr>
          <w:p w14:paraId="4826CE9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28</w:t>
            </w:r>
          </w:p>
        </w:tc>
        <w:tc>
          <w:tcPr>
            <w:tcW w:w="0" w:type="auto"/>
          </w:tcPr>
          <w:p w14:paraId="13D169C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wellbore integrity challenges for underground storage.</w:t>
            </w:r>
          </w:p>
          <w:p w14:paraId="63D2C93C" w14:textId="77777777" w:rsidR="00E85602" w:rsidRPr="0099227C" w:rsidRDefault="00E85602" w:rsidP="00577A07">
            <w:pPr>
              <w:spacing w:line="360" w:lineRule="auto"/>
              <w:jc w:val="both"/>
              <w:rPr>
                <w:rFonts w:ascii="Times New Roman" w:hAnsi="Times New Roman" w:cs="Times New Roman"/>
              </w:rPr>
            </w:pPr>
          </w:p>
        </w:tc>
        <w:tc>
          <w:tcPr>
            <w:tcW w:w="0" w:type="auto"/>
          </w:tcPr>
          <w:p w14:paraId="287EDE8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Holistic technical review.</w:t>
            </w:r>
          </w:p>
        </w:tc>
        <w:tc>
          <w:tcPr>
            <w:tcW w:w="0" w:type="auto"/>
          </w:tcPr>
          <w:p w14:paraId="262B07A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risks in wellbore degradation.</w:t>
            </w:r>
          </w:p>
        </w:tc>
        <w:tc>
          <w:tcPr>
            <w:tcW w:w="0" w:type="auto"/>
          </w:tcPr>
          <w:p w14:paraId="5BD1771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understanding of mitigation techniques for different geologies.</w:t>
            </w:r>
          </w:p>
        </w:tc>
      </w:tr>
      <w:tr w:rsidR="00E85602" w:rsidRPr="0099227C" w14:paraId="6455A3EE" w14:textId="77777777" w:rsidTr="00577A07">
        <w:tc>
          <w:tcPr>
            <w:tcW w:w="0" w:type="auto"/>
          </w:tcPr>
          <w:p w14:paraId="0E410D0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SLRs ID</w:t>
            </w:r>
          </w:p>
        </w:tc>
        <w:tc>
          <w:tcPr>
            <w:tcW w:w="0" w:type="auto"/>
          </w:tcPr>
          <w:p w14:paraId="709C749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3D30C80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1376770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42C03FA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6096EF22" w14:textId="77777777" w:rsidTr="00577A07">
        <w:tc>
          <w:tcPr>
            <w:tcW w:w="0" w:type="auto"/>
          </w:tcPr>
          <w:p w14:paraId="447ED44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lastRenderedPageBreak/>
              <w:t>29</w:t>
            </w:r>
          </w:p>
        </w:tc>
        <w:tc>
          <w:tcPr>
            <w:tcW w:w="0" w:type="auto"/>
          </w:tcPr>
          <w:p w14:paraId="50A17F9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study catalytic activity in liquid organic hydrogen carriers.</w:t>
            </w:r>
          </w:p>
        </w:tc>
        <w:tc>
          <w:tcPr>
            <w:tcW w:w="0" w:type="auto"/>
          </w:tcPr>
          <w:p w14:paraId="5EA832E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Theoretical and experimental review.</w:t>
            </w:r>
          </w:p>
        </w:tc>
        <w:tc>
          <w:tcPr>
            <w:tcW w:w="0" w:type="auto"/>
          </w:tcPr>
          <w:p w14:paraId="75B65F9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Explores dehydrogenation pathways.</w:t>
            </w:r>
          </w:p>
        </w:tc>
        <w:tc>
          <w:tcPr>
            <w:tcW w:w="0" w:type="auto"/>
          </w:tcPr>
          <w:p w14:paraId="707F596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Low efficiency under certain temperature conditions.</w:t>
            </w:r>
          </w:p>
        </w:tc>
      </w:tr>
      <w:tr w:rsidR="00E85602" w:rsidRPr="0099227C" w14:paraId="60241609" w14:textId="77777777" w:rsidTr="00577A07">
        <w:tc>
          <w:tcPr>
            <w:tcW w:w="0" w:type="auto"/>
          </w:tcPr>
          <w:p w14:paraId="1960D64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30</w:t>
            </w:r>
          </w:p>
        </w:tc>
        <w:tc>
          <w:tcPr>
            <w:tcW w:w="0" w:type="auto"/>
          </w:tcPr>
          <w:p w14:paraId="33091CF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underground hydrogen storage in depleted gas fields.</w:t>
            </w:r>
          </w:p>
        </w:tc>
        <w:tc>
          <w:tcPr>
            <w:tcW w:w="0" w:type="auto"/>
          </w:tcPr>
          <w:p w14:paraId="7FA9DC6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and progress review.</w:t>
            </w:r>
          </w:p>
        </w:tc>
        <w:tc>
          <w:tcPr>
            <w:tcW w:w="0" w:type="auto"/>
          </w:tcPr>
          <w:p w14:paraId="3279CBC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progress and geological challenges.</w:t>
            </w:r>
          </w:p>
        </w:tc>
        <w:tc>
          <w:tcPr>
            <w:tcW w:w="0" w:type="auto"/>
          </w:tcPr>
          <w:p w14:paraId="058BD2D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comprehensive monitoring tools for large scale storage</w:t>
            </w:r>
          </w:p>
        </w:tc>
      </w:tr>
      <w:tr w:rsidR="00E85602" w:rsidRPr="0099227C" w14:paraId="242E52C6" w14:textId="77777777" w:rsidTr="00577A07">
        <w:tc>
          <w:tcPr>
            <w:tcW w:w="0" w:type="auto"/>
          </w:tcPr>
          <w:p w14:paraId="636E3D3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31</w:t>
            </w:r>
          </w:p>
        </w:tc>
        <w:tc>
          <w:tcPr>
            <w:tcW w:w="0" w:type="auto"/>
          </w:tcPr>
          <w:p w14:paraId="17307BE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evaluate surface interaction changes for hydrogen storage</w:t>
            </w:r>
          </w:p>
        </w:tc>
        <w:tc>
          <w:tcPr>
            <w:tcW w:w="0" w:type="auto"/>
          </w:tcPr>
          <w:p w14:paraId="3A0DCA2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Surface interaction studies.</w:t>
            </w:r>
          </w:p>
        </w:tc>
        <w:tc>
          <w:tcPr>
            <w:tcW w:w="0" w:type="auto"/>
          </w:tcPr>
          <w:p w14:paraId="3E10D1F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Shows significant impact of CO2 cushion gas.</w:t>
            </w:r>
          </w:p>
        </w:tc>
        <w:tc>
          <w:tcPr>
            <w:tcW w:w="0" w:type="auto"/>
          </w:tcPr>
          <w:p w14:paraId="2654F45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Insufficient modelling for interaction variability.</w:t>
            </w:r>
          </w:p>
        </w:tc>
      </w:tr>
      <w:tr w:rsidR="00E85602" w:rsidRPr="0099227C" w14:paraId="3AA935CC" w14:textId="77777777" w:rsidTr="00577A07">
        <w:tc>
          <w:tcPr>
            <w:tcW w:w="0" w:type="auto"/>
          </w:tcPr>
          <w:p w14:paraId="202A2D0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32</w:t>
            </w:r>
          </w:p>
        </w:tc>
        <w:tc>
          <w:tcPr>
            <w:tcW w:w="0" w:type="auto"/>
          </w:tcPr>
          <w:p w14:paraId="0D0D464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integrate renewable energy with hydrogen systems.</w:t>
            </w:r>
          </w:p>
        </w:tc>
        <w:tc>
          <w:tcPr>
            <w:tcW w:w="0" w:type="auto"/>
          </w:tcPr>
          <w:p w14:paraId="514CB24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Perspective review.</w:t>
            </w:r>
          </w:p>
        </w:tc>
        <w:tc>
          <w:tcPr>
            <w:tcW w:w="0" w:type="auto"/>
          </w:tcPr>
          <w:p w14:paraId="0660545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Demonstrates benefits in power system integration.</w:t>
            </w:r>
          </w:p>
        </w:tc>
        <w:tc>
          <w:tcPr>
            <w:tcW w:w="0" w:type="auto"/>
          </w:tcPr>
          <w:p w14:paraId="3891565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integration costs and technical complexities.</w:t>
            </w:r>
          </w:p>
        </w:tc>
      </w:tr>
      <w:tr w:rsidR="00E85602" w:rsidRPr="0099227C" w14:paraId="3630B081" w14:textId="77777777" w:rsidTr="00577A07">
        <w:tc>
          <w:tcPr>
            <w:tcW w:w="0" w:type="auto"/>
          </w:tcPr>
          <w:p w14:paraId="08819AD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33</w:t>
            </w:r>
          </w:p>
        </w:tc>
        <w:tc>
          <w:tcPr>
            <w:tcW w:w="0" w:type="auto"/>
          </w:tcPr>
          <w:p w14:paraId="6F1D173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analyse hydrogen storage integration for grids.</w:t>
            </w:r>
          </w:p>
        </w:tc>
        <w:tc>
          <w:tcPr>
            <w:tcW w:w="0" w:type="auto"/>
          </w:tcPr>
          <w:p w14:paraId="4A11A52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Bibliometric and policy review.</w:t>
            </w:r>
          </w:p>
        </w:tc>
        <w:tc>
          <w:tcPr>
            <w:tcW w:w="0" w:type="auto"/>
          </w:tcPr>
          <w:p w14:paraId="21F8A35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Emphasizes bibliometric trends and policy recommendations.</w:t>
            </w:r>
          </w:p>
        </w:tc>
        <w:tc>
          <w:tcPr>
            <w:tcW w:w="0" w:type="auto"/>
          </w:tcPr>
          <w:p w14:paraId="5A9F8EA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data on regional policy effectiveness.</w:t>
            </w:r>
          </w:p>
        </w:tc>
      </w:tr>
      <w:tr w:rsidR="00E85602" w:rsidRPr="0099227C" w14:paraId="33274072" w14:textId="77777777" w:rsidTr="00577A07">
        <w:tc>
          <w:tcPr>
            <w:tcW w:w="0" w:type="auto"/>
          </w:tcPr>
          <w:p w14:paraId="04F006C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34</w:t>
            </w:r>
          </w:p>
        </w:tc>
        <w:tc>
          <w:tcPr>
            <w:tcW w:w="0" w:type="auto"/>
          </w:tcPr>
          <w:p w14:paraId="0741BA5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study gas solubility effects in hydrogen storage aquifers.</w:t>
            </w:r>
          </w:p>
          <w:p w14:paraId="7F959914" w14:textId="77777777" w:rsidR="00E85602" w:rsidRPr="0099227C" w:rsidRDefault="00E85602" w:rsidP="00577A07">
            <w:pPr>
              <w:spacing w:line="360" w:lineRule="auto"/>
              <w:jc w:val="both"/>
              <w:rPr>
                <w:rFonts w:ascii="Times New Roman" w:hAnsi="Times New Roman" w:cs="Times New Roman"/>
              </w:rPr>
            </w:pPr>
          </w:p>
        </w:tc>
        <w:tc>
          <w:tcPr>
            <w:tcW w:w="0" w:type="auto"/>
          </w:tcPr>
          <w:p w14:paraId="291E846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Experimental review</w:t>
            </w:r>
          </w:p>
        </w:tc>
        <w:tc>
          <w:tcPr>
            <w:tcW w:w="0" w:type="auto"/>
          </w:tcPr>
          <w:p w14:paraId="12CB6D0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Explores impact of solubility on gas selection.</w:t>
            </w:r>
          </w:p>
        </w:tc>
        <w:tc>
          <w:tcPr>
            <w:tcW w:w="0" w:type="auto"/>
          </w:tcPr>
          <w:p w14:paraId="2122125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field trials for varying geological conditions.</w:t>
            </w:r>
          </w:p>
        </w:tc>
      </w:tr>
      <w:tr w:rsidR="00E85602" w:rsidRPr="0099227C" w14:paraId="7BFC0B54" w14:textId="77777777" w:rsidTr="00577A07">
        <w:tc>
          <w:tcPr>
            <w:tcW w:w="0" w:type="auto"/>
          </w:tcPr>
          <w:p w14:paraId="03E013E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SLRs ID</w:t>
            </w:r>
          </w:p>
        </w:tc>
        <w:tc>
          <w:tcPr>
            <w:tcW w:w="0" w:type="auto"/>
          </w:tcPr>
          <w:p w14:paraId="4668717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2FD6A9D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593D95D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2AAAF81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08B939F2" w14:textId="77777777" w:rsidTr="00577A07">
        <w:tc>
          <w:tcPr>
            <w:tcW w:w="0" w:type="auto"/>
          </w:tcPr>
          <w:p w14:paraId="0F4B7D3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35</w:t>
            </w:r>
          </w:p>
        </w:tc>
        <w:tc>
          <w:tcPr>
            <w:tcW w:w="0" w:type="auto"/>
          </w:tcPr>
          <w:p w14:paraId="5E0F8FC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hydrogen storage methods and challenges.</w:t>
            </w:r>
          </w:p>
        </w:tc>
        <w:tc>
          <w:tcPr>
            <w:tcW w:w="0" w:type="auto"/>
          </w:tcPr>
          <w:p w14:paraId="160CB01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Comparative technical review.</w:t>
            </w:r>
          </w:p>
        </w:tc>
        <w:tc>
          <w:tcPr>
            <w:tcW w:w="0" w:type="auto"/>
          </w:tcPr>
          <w:p w14:paraId="7FCC75E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diverse storage methods and limitations.</w:t>
            </w:r>
          </w:p>
        </w:tc>
        <w:tc>
          <w:tcPr>
            <w:tcW w:w="0" w:type="auto"/>
          </w:tcPr>
          <w:p w14:paraId="61D3784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Over-reliance on theoretical modelling.</w:t>
            </w:r>
          </w:p>
        </w:tc>
      </w:tr>
      <w:tr w:rsidR="00E85602" w:rsidRPr="0099227C" w14:paraId="63140032" w14:textId="77777777" w:rsidTr="00577A07">
        <w:tc>
          <w:tcPr>
            <w:tcW w:w="0" w:type="auto"/>
          </w:tcPr>
          <w:p w14:paraId="44F0B4B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36</w:t>
            </w:r>
          </w:p>
        </w:tc>
        <w:tc>
          <w:tcPr>
            <w:tcW w:w="0" w:type="auto"/>
          </w:tcPr>
          <w:p w14:paraId="61515BA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assess hydrogen storage in salt caverns.</w:t>
            </w:r>
          </w:p>
        </w:tc>
        <w:tc>
          <w:tcPr>
            <w:tcW w:w="0" w:type="auto"/>
          </w:tcPr>
          <w:p w14:paraId="0935A54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Field study and review.</w:t>
            </w:r>
          </w:p>
        </w:tc>
        <w:tc>
          <w:tcPr>
            <w:tcW w:w="0" w:type="auto"/>
          </w:tcPr>
          <w:p w14:paraId="6A11800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Shows potential for long-term storage.</w:t>
            </w:r>
          </w:p>
        </w:tc>
        <w:tc>
          <w:tcPr>
            <w:tcW w:w="0" w:type="auto"/>
          </w:tcPr>
          <w:p w14:paraId="3C6AAA4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Unpredictable environmental effects during excavation.</w:t>
            </w:r>
          </w:p>
        </w:tc>
      </w:tr>
      <w:tr w:rsidR="00E85602" w:rsidRPr="0099227C" w14:paraId="41E5CBE4" w14:textId="77777777" w:rsidTr="00577A07">
        <w:tc>
          <w:tcPr>
            <w:tcW w:w="0" w:type="auto"/>
          </w:tcPr>
          <w:p w14:paraId="11586F2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lastRenderedPageBreak/>
              <w:t>37</w:t>
            </w:r>
          </w:p>
        </w:tc>
        <w:tc>
          <w:tcPr>
            <w:tcW w:w="0" w:type="auto"/>
          </w:tcPr>
          <w:p w14:paraId="08AD281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optimize energy efficiency in hydrogen-based systems.</w:t>
            </w:r>
          </w:p>
        </w:tc>
        <w:tc>
          <w:tcPr>
            <w:tcW w:w="0" w:type="auto"/>
          </w:tcPr>
          <w:p w14:paraId="75E732D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Efficiency and cost analysis.</w:t>
            </w:r>
          </w:p>
        </w:tc>
        <w:tc>
          <w:tcPr>
            <w:tcW w:w="0" w:type="auto"/>
          </w:tcPr>
          <w:p w14:paraId="41978A4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Demonstrates potential for energy savings.</w:t>
            </w:r>
          </w:p>
        </w:tc>
        <w:tc>
          <w:tcPr>
            <w:tcW w:w="0" w:type="auto"/>
          </w:tcPr>
          <w:p w14:paraId="6DA0839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Challenges in optimizing for diverse energy grid conditions.</w:t>
            </w:r>
          </w:p>
        </w:tc>
      </w:tr>
      <w:tr w:rsidR="00E85602" w:rsidRPr="0099227C" w14:paraId="0379A275" w14:textId="77777777" w:rsidTr="00577A07">
        <w:tc>
          <w:tcPr>
            <w:tcW w:w="0" w:type="auto"/>
          </w:tcPr>
          <w:p w14:paraId="27CBC9F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38</w:t>
            </w:r>
          </w:p>
        </w:tc>
        <w:tc>
          <w:tcPr>
            <w:tcW w:w="0" w:type="auto"/>
          </w:tcPr>
          <w:p w14:paraId="500FBDE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underground hydrogen storage in aquifers.</w:t>
            </w:r>
          </w:p>
        </w:tc>
        <w:tc>
          <w:tcPr>
            <w:tcW w:w="0" w:type="auto"/>
          </w:tcPr>
          <w:p w14:paraId="06F62BF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Case studies and review.</w:t>
            </w:r>
          </w:p>
        </w:tc>
        <w:tc>
          <w:tcPr>
            <w:tcW w:w="0" w:type="auto"/>
          </w:tcPr>
          <w:p w14:paraId="2D00F6F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aquifers as viable storage sites.</w:t>
            </w:r>
          </w:p>
        </w:tc>
        <w:tc>
          <w:tcPr>
            <w:tcW w:w="0" w:type="auto"/>
          </w:tcPr>
          <w:p w14:paraId="190F854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risk of hydrogen contamination in aquifers.</w:t>
            </w:r>
          </w:p>
        </w:tc>
      </w:tr>
    </w:tbl>
    <w:p w14:paraId="6C5A20EB" w14:textId="77777777" w:rsidR="00E85602" w:rsidRPr="0099227C" w:rsidRDefault="00E85602" w:rsidP="00E85602">
      <w:pPr>
        <w:spacing w:line="360" w:lineRule="auto"/>
        <w:jc w:val="both"/>
        <w:rPr>
          <w:rFonts w:ascii="Times New Roman" w:hAnsi="Times New Roman" w:cs="Times New Roman"/>
        </w:rPr>
      </w:pPr>
    </w:p>
    <w:p w14:paraId="58ADBCF9" w14:textId="77777777" w:rsidR="00E85602" w:rsidRPr="0099227C" w:rsidRDefault="00E85602" w:rsidP="00E85602">
      <w:pPr>
        <w:spacing w:line="360" w:lineRule="auto"/>
        <w:jc w:val="both"/>
        <w:rPr>
          <w:rFonts w:ascii="Times New Roman" w:hAnsi="Times New Roman" w:cs="Times New Roman"/>
        </w:rPr>
      </w:pPr>
    </w:p>
    <w:p w14:paraId="1C3781FD" w14:textId="77777777" w:rsidR="00E85602" w:rsidRPr="0099227C" w:rsidRDefault="00E85602" w:rsidP="00E85602">
      <w:pPr>
        <w:spacing w:line="360" w:lineRule="auto"/>
        <w:jc w:val="both"/>
        <w:rPr>
          <w:rFonts w:ascii="Times New Roman" w:hAnsi="Times New Roman" w:cs="Times New Roman"/>
        </w:rPr>
        <w:sectPr w:rsidR="00E85602" w:rsidRPr="0099227C" w:rsidSect="00E85602">
          <w:headerReference w:type="even" r:id="rId27"/>
          <w:headerReference w:type="default" r:id="rId28"/>
          <w:headerReference w:type="first" r:id="rId29"/>
          <w:pgSz w:w="16838" w:h="11906" w:orient="landscape"/>
          <w:pgMar w:top="1440" w:right="1440" w:bottom="1440" w:left="1440" w:header="708" w:footer="708" w:gutter="0"/>
          <w:cols w:space="708"/>
          <w:docGrid w:linePitch="360"/>
        </w:sectPr>
      </w:pPr>
    </w:p>
    <w:p w14:paraId="7F5F91F8" w14:textId="77777777" w:rsidR="008604F1" w:rsidRPr="0099227C" w:rsidRDefault="008604F1" w:rsidP="008604F1">
      <w:pPr>
        <w:pStyle w:val="Heading1"/>
        <w:rPr>
          <w:rFonts w:ascii="Times New Roman" w:hAnsi="Times New Roman" w:cs="Times New Roman"/>
          <w:sz w:val="32"/>
          <w:szCs w:val="32"/>
        </w:rPr>
      </w:pPr>
      <w:r w:rsidRPr="0099227C">
        <w:rPr>
          <w:rFonts w:ascii="Times New Roman" w:hAnsi="Times New Roman" w:cs="Times New Roman"/>
          <w:sz w:val="32"/>
          <w:szCs w:val="32"/>
        </w:rPr>
        <w:lastRenderedPageBreak/>
        <w:t xml:space="preserve">Discussion </w:t>
      </w:r>
    </w:p>
    <w:p w14:paraId="1EEEA7B4"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RQ1: How many systematic reviews (SLRs) or meta-analyses have been published on hydrogen storage technologies for sustainable energy systems between 2020-2024?</w:t>
      </w:r>
    </w:p>
    <w:p w14:paraId="44A46A4C" w14:textId="77777777" w:rsidR="008604F1" w:rsidRPr="0099227C" w:rsidRDefault="008604F1" w:rsidP="008604F1">
      <w:pPr>
        <w:pStyle w:val="NormalWeb"/>
        <w:spacing w:line="360" w:lineRule="auto"/>
        <w:jc w:val="both"/>
      </w:pPr>
      <w:r w:rsidRPr="0099227C">
        <w:t>Recent systematic reviews and meta-analyses reveal a robust focus on hydrogen storage as a pivotal component of sustainable energy systems. A study by Amirthan and Perera (2023) reviewed the feasibility of underground hydrogen storage (UHS), particularly in geologically suitable areas such as Australia. Their findings, which identified over 15 potential geological sites, highlight the potential for UHS to serve as a large-scale solution. However, their analysis also uncovered challenges such as pressure induced rock fractures and hydrogen permeability through porous structures.</w:t>
      </w:r>
    </w:p>
    <w:p w14:paraId="728ED181" w14:textId="77777777" w:rsidR="008604F1" w:rsidRPr="0099227C" w:rsidRDefault="008604F1" w:rsidP="008604F1">
      <w:pPr>
        <w:pStyle w:val="NormalWeb"/>
        <w:spacing w:line="360" w:lineRule="auto"/>
        <w:jc w:val="both"/>
      </w:pPr>
      <w:r w:rsidRPr="0099227C">
        <w:t xml:space="preserve">The South Australian </w:t>
      </w:r>
      <w:proofErr w:type="spellStart"/>
      <w:r w:rsidRPr="0099227C">
        <w:rPr>
          <w:rStyle w:val="Strong"/>
          <w:rFonts w:eastAsiaTheme="majorEastAsia"/>
          <w:b w:val="0"/>
          <w:bCs w:val="0"/>
        </w:rPr>
        <w:t>HyP</w:t>
      </w:r>
      <w:proofErr w:type="spellEnd"/>
      <w:r w:rsidRPr="0099227C">
        <w:rPr>
          <w:rStyle w:val="Strong"/>
          <w:rFonts w:eastAsiaTheme="majorEastAsia"/>
          <w:b w:val="0"/>
          <w:bCs w:val="0"/>
        </w:rPr>
        <w:t xml:space="preserve"> SA Project</w:t>
      </w:r>
      <w:r w:rsidRPr="0099227C">
        <w:t xml:space="preserve">, which tests hydrogen storage in salt caverns, exemplifies the practical implications of these reviews. The project emphasizes scalability and safety, demonstrating how SLR insights can guide large-scale industrial applications. Another key meta-analysis by Sambo et al. (2022) consolidated data from UHS projects worldwide, including Austria’s </w:t>
      </w:r>
      <w:r w:rsidRPr="0099227C">
        <w:rPr>
          <w:rStyle w:val="Strong"/>
          <w:rFonts w:eastAsiaTheme="majorEastAsia"/>
          <w:b w:val="0"/>
          <w:bCs w:val="0"/>
        </w:rPr>
        <w:t>Underground Sun Storage Project</w:t>
      </w:r>
      <w:r w:rsidRPr="0099227C">
        <w:t xml:space="preserve"> and the Netherlands' </w:t>
      </w:r>
      <w:r w:rsidRPr="0099227C">
        <w:rPr>
          <w:rStyle w:val="Strong"/>
          <w:rFonts w:eastAsiaTheme="majorEastAsia"/>
          <w:b w:val="0"/>
          <w:bCs w:val="0"/>
        </w:rPr>
        <w:t>Green Hydrogen Initiative</w:t>
      </w:r>
      <w:r w:rsidRPr="0099227C">
        <w:rPr>
          <w:b/>
          <w:bCs/>
        </w:rPr>
        <w:t>.</w:t>
      </w:r>
      <w:r w:rsidRPr="0099227C">
        <w:t xml:space="preserve"> These studies highlight the effectiveness of depleted natural gas reservoirs as hydrogen storage sites, offering practical insights into geological and operational factors. The integration of SLR findings with these projects underlines the global applicability of academic research in informing practical developments. These systematic reviews also underscore the importance of long-term monitoring and operational sustainability, areas often overlooked in individual studies. The convergence of academic and practical insights points to a need for interdisciplinary collaboration to address persistent gaps.</w:t>
      </w:r>
    </w:p>
    <w:p w14:paraId="6C083147"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RQ2: What are the major technological challenges in hydrogen storage for sustainable energy systems?</w:t>
      </w:r>
    </w:p>
    <w:p w14:paraId="115774E5" w14:textId="77777777" w:rsidR="008604F1" w:rsidRPr="0099227C" w:rsidRDefault="008604F1" w:rsidP="008604F1">
      <w:pPr>
        <w:pStyle w:val="NormalWeb"/>
        <w:spacing w:line="360" w:lineRule="auto"/>
        <w:jc w:val="both"/>
      </w:pPr>
      <w:r w:rsidRPr="0099227C">
        <w:t xml:space="preserve">The technological challenges associated with hydrogen storage are multifaceted, encompassing energy demands, cost, material limitations, and operational complexities. These barriers not only hinder the efficiency of hydrogen storage systems but also complicate their integration into energy frameworks, requiring targeted research and innovation. One significant issue is the substantial </w:t>
      </w:r>
      <w:r w:rsidRPr="0099227C">
        <w:lastRenderedPageBreak/>
        <w:t>energy demand for hydrogen compression and liquefaction. As demonstrated by Bosu and Rajamohan (2024), compressing hydrogen to high pressure states consumes nearly 15% of its energy content, representing a critical inefficiency that restricts its broader adoption. This challenge has been exemplified by Germany’s HYPOS Project, which revealed that the high costs associated with compression technology necessitate further exploration of energy efficient alternatives, such as isothermal compression. These technologies aim to reduce energy losses and improve the overall feasibility of hydrogen storage, yet their implementation remains in nascent stages.</w:t>
      </w:r>
    </w:p>
    <w:p w14:paraId="632C31A8"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Material limitations present another critical hurdle, particularly in solid state hydrogen storage systems. The degradation of storage materials under repeated usage cycles underscores the difficulty of maintaining durability and stability. Saeed et al. (2024) highlighted the specific case of nanoscale porous silicon, which demonstrates significant material fatigue over time, thus limiting its scalability for industrial applications. Similarly, Japan’s AHEAD Project, which focuses on liquid organic hydrogen carriers (LOHCs), faces challenges associated with material fatigue, despite notable advances. Massaro et al. (2023) review on board hydrogen storage for aviation applications highlights material limitations such as low gravimetric and volumetric storage densities. These findings align with Mehr et al. (2024), who describe scalability issues in hydrogen storage technologies at various levels, from household systems to industrial applications. These issues illustrate the intricate balance required to achieve high storage capacity, efficiency, and longevity in hydrogen storage materials. Underground hydrogen storage (UHS) introduces its own set of complications, including the selection of cushion gases and the risk of mineral reactions within storage sites. </w:t>
      </w:r>
      <w:proofErr w:type="spellStart"/>
      <w:r w:rsidRPr="0099227C">
        <w:rPr>
          <w:rFonts w:ascii="Times New Roman" w:hAnsi="Times New Roman" w:cs="Times New Roman"/>
        </w:rPr>
        <w:t>Esfandyari</w:t>
      </w:r>
      <w:proofErr w:type="spellEnd"/>
      <w:r w:rsidRPr="0099227C">
        <w:rPr>
          <w:rFonts w:ascii="Times New Roman" w:hAnsi="Times New Roman" w:cs="Times New Roman"/>
        </w:rPr>
        <w:t xml:space="preserve"> et al. (2024) provided insights into Spain’s UHS projects, which revealed mineralogical changes caused using CO₂ as a cushion gas. Such changes, combined with the variability of geological conditions across potential storage locations, emphasize the necessity of site-specific solutions. The complexity of these underground systems highlights the ongoing struggle to ensure both operational efficiency and environmental integrity.</w:t>
      </w:r>
    </w:p>
    <w:p w14:paraId="3179EA46" w14:textId="77777777" w:rsidR="008604F1" w:rsidRPr="0099227C" w:rsidRDefault="008604F1" w:rsidP="008604F1">
      <w:pPr>
        <w:pStyle w:val="NormalWeb"/>
        <w:spacing w:line="360" w:lineRule="auto"/>
        <w:jc w:val="both"/>
      </w:pPr>
      <w:r w:rsidRPr="0099227C">
        <w:t xml:space="preserve">Safety concerns further compound the technological challenges of hydrogen storage. Hydrogen’s low ignition energy and high diffusivity create a heightened risk of fire or explosion, particularly in urban environments where above ground storage systems are situated. Projects such as Norway’s HYDRA Project have implemented advanced safety protocols and automated </w:t>
      </w:r>
      <w:r w:rsidRPr="0099227C">
        <w:lastRenderedPageBreak/>
        <w:t>monitoring systems to mitigate these risks, setting a benchmark for safety standards. Nonetheless, the challenge lies in standardizing such protocols across diverse geographical and operational contexts to ensure a universally safe approach to hydrogen storage. Synthesizing these insights reveals that addressing the technological challenges of hydrogen storage requires a multifaceted strategy. The development of innovative materials, the adoption of energy efficient compression technologies, the customization of underground storage solutions, and the implementation of robust safety measures are all essential steps. Only through a concerted effort that combines scientific research with practical applications can the field overcome these obstacles and unlock the full potential of hydrogen as a sustainable energy carrier.</w:t>
      </w:r>
    </w:p>
    <w:p w14:paraId="2D1D5D04" w14:textId="77777777" w:rsidR="008604F1" w:rsidRPr="0099227C" w:rsidRDefault="008604F1" w:rsidP="008604F1">
      <w:pPr>
        <w:pStyle w:val="NormalWeb"/>
        <w:spacing w:line="360" w:lineRule="auto"/>
        <w:jc w:val="both"/>
      </w:pPr>
      <w:r w:rsidRPr="0099227C">
        <w:t>RQ3: What solutions have been proposed to overcome these challenges in recent studies?</w:t>
      </w:r>
    </w:p>
    <w:p w14:paraId="5A863745"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Innovative solutions are paving the way to overcome the challenges of hydrogen storage, focusing on materials, system integration, and safety enhancements. Metal organic frameworks (MOFs), known for their high surface area and adaptable properties, have emerged as promising materials for improving hydrogen storage efficiency. The UK’s </w:t>
      </w:r>
      <w:proofErr w:type="spellStart"/>
      <w:r w:rsidRPr="0099227C">
        <w:rPr>
          <w:rFonts w:ascii="Times New Roman" w:hAnsi="Times New Roman" w:cs="Times New Roman"/>
        </w:rPr>
        <w:t>HyStorPor</w:t>
      </w:r>
      <w:proofErr w:type="spellEnd"/>
      <w:r w:rsidRPr="0099227C">
        <w:rPr>
          <w:rFonts w:ascii="Times New Roman" w:hAnsi="Times New Roman" w:cs="Times New Roman"/>
        </w:rPr>
        <w:t xml:space="preserve"> Project exemplifies this innovation by scaling MOF production for industrial applications, demonstrating the potential of these materials to revolutionize hydrogen storage (Kumar et al., 2024).</w:t>
      </w:r>
    </w:p>
    <w:p w14:paraId="6A034395"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Hybrid systems integrating hydrogen storage with renewable energy sources have also gained traction. Sweden’s Renewable Hydrogen Cogeneration Project exemplifies this approach, combining hydrogen storage with solar and wind power to enhance energy efficiency and reduce grid reliance. This integrated model minimizes energy losses while achieving environmental and economic benefits (Luo et al., 2023).</w:t>
      </w:r>
    </w:p>
    <w:p w14:paraId="1A448C17"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Safety protocols are another area of advancement, particularly in above-ground storage systems. Norway’s HYDRA Project has implemented automated monitoring and quantitative risk assessments, setting a benchmark for ensuring safety in densely populated areas (Egeland-Eriksen et al., 2021). These protocols address hydrogen's inherent risks, such as high flammability and leakage. In underground hydrogen storage (UHS), innovative wellbore technologies have been developed to mitigate structural degradation and ensure storage reliability. Germany’s Bad </w:t>
      </w:r>
      <w:proofErr w:type="spellStart"/>
      <w:r w:rsidRPr="0099227C">
        <w:rPr>
          <w:rFonts w:ascii="Times New Roman" w:hAnsi="Times New Roman" w:cs="Times New Roman"/>
        </w:rPr>
        <w:t>Lauchstädt</w:t>
      </w:r>
      <w:proofErr w:type="spellEnd"/>
      <w:r w:rsidRPr="0099227C">
        <w:rPr>
          <w:rFonts w:ascii="Times New Roman" w:hAnsi="Times New Roman" w:cs="Times New Roman"/>
        </w:rPr>
        <w:t xml:space="preserve"> Energy Park employs advanced wellbore materials to enhance the integrity and longevity of its storage facilities, offering a model for similar projects worldwide (Fernandez et </w:t>
      </w:r>
      <w:r w:rsidRPr="0099227C">
        <w:rPr>
          <w:rFonts w:ascii="Times New Roman" w:hAnsi="Times New Roman" w:cs="Times New Roman"/>
        </w:rPr>
        <w:lastRenderedPageBreak/>
        <w:t>al., 2024). Together, these solutions provide actionable pathways for addressing the technical, safety, and scalability challenges of hydrogen storage, moving closer to sustainable and efficient energy systems.</w:t>
      </w:r>
    </w:p>
    <w:p w14:paraId="52BF037B"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RQ4: How do socio-economic factors influence the development and deployment of hydrogen storage technologies?</w:t>
      </w:r>
    </w:p>
    <w:p w14:paraId="04F55736"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Socio-economic factors play a pivotal role in shaping the development and deployment of hydrogen storage technologies, influencing both the pace and direction of advancements. Effective policy support is fundamental for accelerating hydrogen storage innovations. Germany’s National Hydrogen Strategy exemplifies how coordinated public funding and research initiatives can bridge the gap between technological development and practical implementation. Wali et al. (2023) emphasize that such strategic frameworks are indispensable for fostering progress in the field.</w:t>
      </w:r>
    </w:p>
    <w:p w14:paraId="531F57B5"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Public acceptance is critical to the success of hydrogen projects. The UK’s </w:t>
      </w:r>
      <w:proofErr w:type="spellStart"/>
      <w:r w:rsidRPr="0099227C">
        <w:rPr>
          <w:rFonts w:ascii="Times New Roman" w:hAnsi="Times New Roman" w:cs="Times New Roman"/>
        </w:rPr>
        <w:t>HyDeploy</w:t>
      </w:r>
      <w:proofErr w:type="spellEnd"/>
      <w:r w:rsidRPr="0099227C">
        <w:rPr>
          <w:rFonts w:ascii="Times New Roman" w:hAnsi="Times New Roman" w:cs="Times New Roman"/>
        </w:rPr>
        <w:t xml:space="preserve"> Project underscores the value of engaging local communities through pilot initiatives, fostering trust and collaboration. Estévez et al. (2021) highlight how participatory approaches enhance project sustainability by aligning technological goals with community needs.</w:t>
      </w:r>
    </w:p>
    <w:p w14:paraId="74749138"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Financial barriers, such as high initial investment costs and a lack of skilled labour, remain significant obstacles, particularly in developing nations. High capital costs and the limited availability of skilled labour, as noted by Kamran and </w:t>
      </w:r>
      <w:proofErr w:type="spellStart"/>
      <w:r w:rsidRPr="0099227C">
        <w:rPr>
          <w:rFonts w:ascii="Times New Roman" w:hAnsi="Times New Roman" w:cs="Times New Roman"/>
        </w:rPr>
        <w:t>Turzyński</w:t>
      </w:r>
      <w:proofErr w:type="spellEnd"/>
      <w:r w:rsidRPr="0099227C">
        <w:rPr>
          <w:rFonts w:ascii="Times New Roman" w:hAnsi="Times New Roman" w:cs="Times New Roman"/>
        </w:rPr>
        <w:t xml:space="preserve"> (2024) are major economic challenges. These constraints slow technology deployment in developing region. International collaborations, like the Japan-India Hydrogen Partnership, demonstrate the potential of combining global expertise and funding to overcome these hurdles. According to Ma et al. (2024), such partnerships are crucial for enabling broader adoption of hydrogen technologies.</w:t>
      </w:r>
    </w:p>
    <w:p w14:paraId="36F402B6"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Ensuring equitable access to hydrogen storage technologies is a growing socio-economic priority. Studies by Jackson et al. (2023) advocate for inclusive policies that focus on underserved regions. Projects like the EU’s </w:t>
      </w:r>
      <w:proofErr w:type="spellStart"/>
      <w:r w:rsidRPr="0099227C">
        <w:rPr>
          <w:rFonts w:ascii="Times New Roman" w:hAnsi="Times New Roman" w:cs="Times New Roman"/>
        </w:rPr>
        <w:t>HyPSTER</w:t>
      </w:r>
      <w:proofErr w:type="spellEnd"/>
      <w:r w:rsidRPr="0099227C">
        <w:rPr>
          <w:rFonts w:ascii="Times New Roman" w:hAnsi="Times New Roman" w:cs="Times New Roman"/>
        </w:rPr>
        <w:t xml:space="preserve"> initiative strive to democratize access by developing affordable and scalable solutions, setting a precedent for addressing inequality in technology deployment. Environmental concerns also play a pivotal role. Zhou et al. (2024) advocate for green hydrogen initiatives, which link renewable energy production to storage systems, ensuring environmental sustainability alongside socio-economic benefits. By addressing policy, community, economic, </w:t>
      </w:r>
      <w:r w:rsidRPr="0099227C">
        <w:rPr>
          <w:rFonts w:ascii="Times New Roman" w:hAnsi="Times New Roman" w:cs="Times New Roman"/>
        </w:rPr>
        <w:lastRenderedPageBreak/>
        <w:t>and equity dimensions, these socio-economic considerations not only support technological progress but also ensure that hydrogen storage systems are inclusive, sustainable, and aligned with global energy needs.</w:t>
      </w:r>
    </w:p>
    <w:p w14:paraId="4A18D336"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RQ5: What gaps exist in the current literature regarding hydrogen storage, and what areas require further investigation?</w:t>
      </w:r>
    </w:p>
    <w:p w14:paraId="356BA951"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Despite significant advancements, there are notable gaps in the field of hydrogen storage that require further exploration and research.  Limited real-world testing of theoretical models poses a challenge to practical implementation. Tang et al. (2023) emphasizes the need for real-world testing of hybrid storage systems to assess their practical performance, like California’s Hydrogen Refuelling Infrastructure Demonstration Project, which generates critical data for refining theoretical models and enhancing system reliability. A lack of standardized evaluation metrics limits the ability to conduct comparative analyses across hydrogen storage technologies. </w:t>
      </w:r>
      <w:proofErr w:type="spellStart"/>
      <w:r w:rsidRPr="0099227C">
        <w:rPr>
          <w:rFonts w:ascii="Times New Roman" w:hAnsi="Times New Roman" w:cs="Times New Roman"/>
        </w:rPr>
        <w:t>Wieliczko</w:t>
      </w:r>
      <w:proofErr w:type="spellEnd"/>
      <w:r w:rsidRPr="0099227C">
        <w:rPr>
          <w:rFonts w:ascii="Times New Roman" w:hAnsi="Times New Roman" w:cs="Times New Roman"/>
        </w:rPr>
        <w:t xml:space="preserve"> and Stetson (2020) propose the adoption of consistent performance criteria, a goal partially realized through initiatives like the EU’s </w:t>
      </w:r>
      <w:proofErr w:type="spellStart"/>
      <w:r w:rsidRPr="0099227C">
        <w:rPr>
          <w:rFonts w:ascii="Times New Roman" w:hAnsi="Times New Roman" w:cs="Times New Roman"/>
        </w:rPr>
        <w:t>HyPSTER</w:t>
      </w:r>
      <w:proofErr w:type="spellEnd"/>
      <w:r w:rsidRPr="0099227C">
        <w:rPr>
          <w:rFonts w:ascii="Times New Roman" w:hAnsi="Times New Roman" w:cs="Times New Roman"/>
        </w:rPr>
        <w:t xml:space="preserve"> Project, which aims to set benchmarks for industry practices.</w:t>
      </w:r>
    </w:p>
    <w:p w14:paraId="7E4B5513"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Furthermore, scalability remains underexplored. </w:t>
      </w:r>
      <w:proofErr w:type="spellStart"/>
      <w:r w:rsidRPr="0099227C">
        <w:rPr>
          <w:rFonts w:ascii="Times New Roman" w:hAnsi="Times New Roman" w:cs="Times New Roman"/>
        </w:rPr>
        <w:t>Ogarek</w:t>
      </w:r>
      <w:proofErr w:type="spellEnd"/>
      <w:r w:rsidRPr="0099227C">
        <w:rPr>
          <w:rFonts w:ascii="Times New Roman" w:hAnsi="Times New Roman" w:cs="Times New Roman"/>
        </w:rPr>
        <w:t xml:space="preserve"> et al. (2023) advocate for research into distributed energy systems incorporating hydrogen, but practical models for scaling such systems are scarce. This aligns with Mehr et al. (2024), who stress the need for multi-scale investigations from laboratory setups to industrial applications. </w:t>
      </w:r>
      <w:proofErr w:type="spellStart"/>
      <w:r w:rsidRPr="0099227C">
        <w:rPr>
          <w:rFonts w:ascii="Times New Roman" w:hAnsi="Times New Roman" w:cs="Times New Roman"/>
        </w:rPr>
        <w:t>Wieliczko</w:t>
      </w:r>
      <w:proofErr w:type="spellEnd"/>
      <w:r w:rsidRPr="0099227C">
        <w:rPr>
          <w:rFonts w:ascii="Times New Roman" w:hAnsi="Times New Roman" w:cs="Times New Roman"/>
        </w:rPr>
        <w:t xml:space="preserve"> and Stetson (2020) point out the lack of standardized metrics for evaluating hydrogen storage technologies, which hampers comparative studies and technology benchmarking. While initiatives such as Australia’s ARENA-funded Hy Resource Project tackle scalability issues, broader adoption of scalable frameworks is essential to meet industrial demands effectively. Research on integrating hydrogen storage with renewable energy systems, such as solar and wind power, remains in its early stages. Future studies should prioritize hybrid models that leverage these synergies to enhance efficiency and sustainability. Addressing these gaps through targeted research and collaborative projects will accelerate the development of hydrogen storage systems, ensuring they meet future energy demands while supporting global sustainability goals.</w:t>
      </w:r>
    </w:p>
    <w:p w14:paraId="38A99A18" w14:textId="77777777" w:rsidR="0099227C" w:rsidRPr="0099227C" w:rsidRDefault="0099227C" w:rsidP="0099227C">
      <w:pPr>
        <w:pStyle w:val="Heading1"/>
        <w:rPr>
          <w:rFonts w:ascii="Times New Roman" w:hAnsi="Times New Roman" w:cs="Times New Roman"/>
          <w:sz w:val="32"/>
          <w:szCs w:val="32"/>
        </w:rPr>
      </w:pPr>
      <w:r w:rsidRPr="0099227C">
        <w:rPr>
          <w:rFonts w:ascii="Times New Roman" w:hAnsi="Times New Roman" w:cs="Times New Roman"/>
          <w:sz w:val="32"/>
          <w:szCs w:val="32"/>
        </w:rPr>
        <w:lastRenderedPageBreak/>
        <w:t>Conclusion</w:t>
      </w:r>
    </w:p>
    <w:p w14:paraId="5D894A1B" w14:textId="53610F11"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 xml:space="preserve">This </w:t>
      </w:r>
      <w:r w:rsidR="0077246E">
        <w:rPr>
          <w:rFonts w:ascii="Times New Roman" w:hAnsi="Times New Roman" w:cs="Times New Roman"/>
        </w:rPr>
        <w:t xml:space="preserve">review </w:t>
      </w:r>
      <w:r w:rsidRPr="0099227C">
        <w:rPr>
          <w:rFonts w:ascii="Times New Roman" w:hAnsi="Times New Roman" w:cs="Times New Roman"/>
        </w:rPr>
        <w:t>has provided a comprehensive exploration of the multifaceted challenges and opportunities associated with hydrogen storage systems, a cornerstone technology for achieving global energy sustainability. Guided by four key research objectives, the study evaluated the technological and socio-economic dimensions of hydrogen storage, identifying critical gaps and proposing actionable recommendations for future development. By integrating findings from systematic literature reviews and real-world case studies, this research offers meaningful contributions to both academic understanding and practical implementation of hydrogen storage technologies.</w:t>
      </w:r>
    </w:p>
    <w:p w14:paraId="76ECE145"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The first objective was to identify the core technological challenges limiting the effectiveness and scalability of hydrogen storage systems, particularly regarding energy density, cost, and safety. The study confirmed that hydrogen storage technologies, while promising, face significant obstacles. Compressed gas systems require high-pressure containment, posing safety risks and increasing infrastructure costs. Cryogenic liquid hydrogen, while offering higher energy density, demands advanced cooling systems and incurs substantial energy penalties due to the high cost of liquefaction and boil-off losses. Solid-state storage technologies, including metal hydrides, chemical hydrides, and nanomaterials, offer innovative alternatives but are hampered by slow hydrogen release kinetics, poor reversibility, and low gravimetric densities. Case studies such as Japan’s large-scale deployment of hydrogen storage for renewable energy integration highlight the importance of addressing these challenges. Similarly, Germany’s implementation of underground hydrogen caverns for grid balancing demonstrates the scale of infrastructure required to overcome technological limitations. These findings affirm the need for breakthroughs in material science and system design to enable practical, cost-effective, and safe hydrogen storage.</w:t>
      </w:r>
    </w:p>
    <w:p w14:paraId="788B10BE"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 xml:space="preserve">The second objective focused on evaluating existing and emerging solutions to overcome technological barriers in hydrogen storage. Significant advancements have been made in material sciences, including the development of metal-organic frameworks (MOFs) and borohydrides, which promise improved hydrogen adsorption and desorption characteristics. Nanostructured materials, such as carbon nanotubes and graphene, show potential for improving storage capacity and stability, while hybrid storage systems combining physical and chemical storage methods may address specific application needs. Notable case studies support these advancements. For example, </w:t>
      </w:r>
      <w:r w:rsidRPr="0099227C">
        <w:rPr>
          <w:rFonts w:ascii="Times New Roman" w:hAnsi="Times New Roman" w:cs="Times New Roman"/>
        </w:rPr>
        <w:lastRenderedPageBreak/>
        <w:t>South Korea’s adoption of MOF-based storage in hydrogen fuel cell vehicles demonstrates the feasibility of integrating advanced materials into commercial applications. Similarly, pilot programs in Australia exploring hydrogen storage for renewable energy export via liquid organic hydrogen carriers (LOHCs) exemplify innovative solutions with the potential to reshape global energy markets. These developments underscore the importance of continued investment in R&amp;D and pilot projects to transition hydrogen storage from laboratory research to scalable real-world applications.</w:t>
      </w:r>
    </w:p>
    <w:p w14:paraId="0A0E52D2"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The third objective focused on understanding the socio-economic aspects influencing hydrogen storage adoption. Public perception, economic viability, regulatory policies, and infrastructure development were identified as pivotal factors. This study found that benefits. Economic viability is contingent on reducing costs across the hydrogen supply chain, from production to storage and distribution. Policy initiatives, such as the European Union’s Hydrogen Strategy, and financial incentives have catalysed infrastructure development, as observed in the expansion of hydrogen corridors in Europe and Asia. However, disparities in infrastructure availability and regulatory frameworks across regions hinder global progress.</w:t>
      </w:r>
    </w:p>
    <w:p w14:paraId="628BF743"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The fourth objective aimed to identify gaps in the existing literature and propose areas for further investigation. While significant progress has been made, key gaps remain, particularly in the integration of hydrogen storage systems with renewable energy sources. Additionally, there is limited research on long-term durability and lifecycle analyses of storage technologies. Future studies should focus on developing cost-effective and scalable materials, enhancing storage efficiency, and addressing socio-economic barriers to adoption. Furthermore, there is a need for comprehensive studies on regional policies and their impact on hydrogen market development.</w:t>
      </w:r>
    </w:p>
    <w:p w14:paraId="1D6C6C7C" w14:textId="02F7AFDF" w:rsidR="0099227C" w:rsidRPr="0099227C" w:rsidRDefault="0099227C" w:rsidP="0099227C">
      <w:pPr>
        <w:pStyle w:val="Heading2"/>
        <w:rPr>
          <w:rFonts w:ascii="Times New Roman" w:hAnsi="Times New Roman" w:cs="Times New Roman"/>
          <w:sz w:val="28"/>
          <w:szCs w:val="28"/>
        </w:rPr>
      </w:pPr>
      <w:bookmarkStart w:id="24" w:name="_Toc187014103"/>
      <w:r w:rsidRPr="0099227C">
        <w:rPr>
          <w:rFonts w:ascii="Times New Roman" w:hAnsi="Times New Roman" w:cs="Times New Roman"/>
          <w:sz w:val="28"/>
          <w:szCs w:val="28"/>
        </w:rPr>
        <w:t xml:space="preserve">Limitations of </w:t>
      </w:r>
      <w:bookmarkEnd w:id="24"/>
      <w:r w:rsidRPr="0099227C">
        <w:rPr>
          <w:rFonts w:ascii="Times New Roman" w:hAnsi="Times New Roman" w:cs="Times New Roman"/>
          <w:sz w:val="28"/>
          <w:szCs w:val="28"/>
        </w:rPr>
        <w:t>Study</w:t>
      </w:r>
    </w:p>
    <w:p w14:paraId="638AA317"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This systematic literature review has notable limitations. It focuses mainly on academic articles, excluding grey literature like government and industry reports, which could offer broader insights. Language bias, by considering only English publications, limits perspectives from non-English-speaking regions. The exclusion of non-peer-reviewed sources omits practical insights from industry reports and patents. Additionally, the rapid pace of innovation in hydrogen storage may render findings outdated, and the diversity of studies complicates direct comparisons across methods and contexts.</w:t>
      </w:r>
    </w:p>
    <w:p w14:paraId="437C54F2" w14:textId="2E931047" w:rsidR="0099227C" w:rsidRPr="0099227C" w:rsidRDefault="0099227C" w:rsidP="0099227C">
      <w:pPr>
        <w:pStyle w:val="Heading2"/>
        <w:rPr>
          <w:rFonts w:ascii="Times New Roman" w:hAnsi="Times New Roman" w:cs="Times New Roman"/>
          <w:sz w:val="28"/>
          <w:szCs w:val="28"/>
        </w:rPr>
      </w:pPr>
      <w:bookmarkStart w:id="25" w:name="_Toc187014105"/>
      <w:r w:rsidRPr="0099227C">
        <w:rPr>
          <w:rFonts w:ascii="Times New Roman" w:hAnsi="Times New Roman" w:cs="Times New Roman"/>
          <w:sz w:val="28"/>
          <w:szCs w:val="28"/>
        </w:rPr>
        <w:lastRenderedPageBreak/>
        <w:t>Recommendations for Future Studies</w:t>
      </w:r>
      <w:bookmarkEnd w:id="25"/>
    </w:p>
    <w:p w14:paraId="39F9AEE3" w14:textId="4D0365D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Future research should prioritize developing cost-effective, high-energy-density materials for hydrogen storage and studying its long-term environmental impacts, including lifecycle emissions and resource use. Socio-economic studies should explore hydrogen’s role in energy security, job creation, and economic growth, especially in renewable-rich regions, and examine integration with existing energy infrastructure, particularly in developing nations. Research on public perception, focusing on safety and environmental benefits, is crucial to building trust. Finally, studies should investigate policy frameworks that encourage investment, innovation, and cross-sector collaboration to advance hydrogen storage adoption.</w:t>
      </w:r>
    </w:p>
    <w:p w14:paraId="6BAA9802" w14:textId="77777777" w:rsidR="0099227C" w:rsidRDefault="0099227C" w:rsidP="0099227C">
      <w:pPr>
        <w:spacing w:line="360" w:lineRule="auto"/>
        <w:jc w:val="both"/>
        <w:rPr>
          <w:rFonts w:ascii="Times New Roman" w:hAnsi="Times New Roman" w:cs="Times New Roman"/>
        </w:rPr>
      </w:pPr>
    </w:p>
    <w:p w14:paraId="5E2F6EBE" w14:textId="77777777" w:rsidR="00405B3C" w:rsidRPr="00405B3C" w:rsidRDefault="00405B3C" w:rsidP="00405B3C">
      <w:pPr>
        <w:spacing w:line="360" w:lineRule="auto"/>
        <w:jc w:val="both"/>
        <w:rPr>
          <w:rFonts w:ascii="Times New Roman" w:hAnsi="Times New Roman" w:cs="Times New Roman"/>
        </w:rPr>
      </w:pPr>
      <w:r w:rsidRPr="00405B3C">
        <w:rPr>
          <w:rFonts w:ascii="Times New Roman" w:hAnsi="Times New Roman" w:cs="Times New Roman"/>
        </w:rPr>
        <w:t>COMPETING INTERESTS DISCLAIMER:</w:t>
      </w:r>
    </w:p>
    <w:p w14:paraId="4A319EE5" w14:textId="5CB8554D" w:rsidR="0099227C" w:rsidRDefault="00405B3C" w:rsidP="00405B3C">
      <w:pPr>
        <w:spacing w:line="360" w:lineRule="auto"/>
        <w:jc w:val="both"/>
        <w:rPr>
          <w:rFonts w:ascii="Times New Roman" w:hAnsi="Times New Roman" w:cs="Times New Roman"/>
        </w:rPr>
      </w:pPr>
      <w:r w:rsidRPr="00405B3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45F59AB" w14:textId="77777777" w:rsidR="0099227C" w:rsidRDefault="0099227C" w:rsidP="0099227C">
      <w:pPr>
        <w:spacing w:line="360" w:lineRule="auto"/>
        <w:jc w:val="both"/>
        <w:rPr>
          <w:rFonts w:ascii="Times New Roman" w:hAnsi="Times New Roman" w:cs="Times New Roman"/>
        </w:rPr>
      </w:pPr>
    </w:p>
    <w:p w14:paraId="224EC82A" w14:textId="77777777" w:rsidR="00022765" w:rsidRPr="003A5C89" w:rsidRDefault="00022765" w:rsidP="00022765">
      <w:r w:rsidRPr="003A5C89">
        <w:t>Disclaimer (Artificial intelligence)</w:t>
      </w:r>
    </w:p>
    <w:p w14:paraId="1E6F042B" w14:textId="77777777" w:rsidR="00022765" w:rsidRPr="003A5C89" w:rsidRDefault="00022765" w:rsidP="00022765">
      <w:r w:rsidRPr="003A5C89">
        <w:t xml:space="preserve">Author(s) hereby declare that NO generative AI technologies such as Large Language Models (ChatGPT, COPILOT, etc.) and text-to-image generators have been used during the writing or editing of this manuscript. </w:t>
      </w:r>
    </w:p>
    <w:p w14:paraId="23FFACBB" w14:textId="77777777" w:rsidR="00022765" w:rsidRPr="00270720" w:rsidRDefault="00022765" w:rsidP="00022765">
      <w:pPr>
        <w:rPr>
          <w:highlight w:val="yellow"/>
        </w:rPr>
      </w:pPr>
    </w:p>
    <w:p w14:paraId="645D934A" w14:textId="77777777" w:rsidR="0099227C" w:rsidRPr="0099227C" w:rsidRDefault="0099227C" w:rsidP="0099227C">
      <w:pPr>
        <w:spacing w:line="360" w:lineRule="auto"/>
        <w:jc w:val="both"/>
        <w:rPr>
          <w:rFonts w:ascii="Times New Roman" w:hAnsi="Times New Roman" w:cs="Times New Roman"/>
        </w:rPr>
      </w:pPr>
    </w:p>
    <w:p w14:paraId="089D6A37" w14:textId="77777777" w:rsidR="0099227C" w:rsidRPr="0099227C" w:rsidRDefault="0099227C" w:rsidP="0099227C">
      <w:pPr>
        <w:pStyle w:val="Heading1"/>
        <w:rPr>
          <w:rFonts w:ascii="Times New Roman" w:hAnsi="Times New Roman" w:cs="Times New Roman"/>
          <w:sz w:val="32"/>
          <w:szCs w:val="32"/>
        </w:rPr>
      </w:pPr>
      <w:bookmarkStart w:id="26" w:name="_Toc187014106"/>
      <w:r w:rsidRPr="0099227C">
        <w:rPr>
          <w:rFonts w:ascii="Times New Roman" w:hAnsi="Times New Roman" w:cs="Times New Roman"/>
          <w:sz w:val="32"/>
          <w:szCs w:val="32"/>
        </w:rPr>
        <w:t>Reference</w:t>
      </w:r>
      <w:bookmarkEnd w:id="26"/>
    </w:p>
    <w:p w14:paraId="1A007C13"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Agbadaola</w:t>
      </w:r>
      <w:proofErr w:type="spellEnd"/>
      <w:r w:rsidRPr="0099227C">
        <w:rPr>
          <w:rFonts w:ascii="Times New Roman" w:hAnsi="Times New Roman" w:cs="Times New Roman"/>
        </w:rPr>
        <w:t xml:space="preserve">, O., Qadir, D., Ahmad, F., Suleman, H., </w:t>
      </w:r>
      <w:proofErr w:type="spellStart"/>
      <w:r w:rsidRPr="0099227C">
        <w:rPr>
          <w:rFonts w:ascii="Times New Roman" w:hAnsi="Times New Roman" w:cs="Times New Roman"/>
        </w:rPr>
        <w:t>Karousos</w:t>
      </w:r>
      <w:proofErr w:type="spellEnd"/>
      <w:r w:rsidRPr="0099227C">
        <w:rPr>
          <w:rFonts w:ascii="Times New Roman" w:hAnsi="Times New Roman" w:cs="Times New Roman"/>
        </w:rPr>
        <w:t xml:space="preserve">, D.S. and </w:t>
      </w:r>
      <w:proofErr w:type="spellStart"/>
      <w:r w:rsidRPr="0099227C">
        <w:rPr>
          <w:rFonts w:ascii="Times New Roman" w:hAnsi="Times New Roman" w:cs="Times New Roman"/>
        </w:rPr>
        <w:t>Favvas</w:t>
      </w:r>
      <w:proofErr w:type="spellEnd"/>
      <w:r w:rsidRPr="0099227C">
        <w:rPr>
          <w:rFonts w:ascii="Times New Roman" w:hAnsi="Times New Roman" w:cs="Times New Roman"/>
        </w:rPr>
        <w:t xml:space="preserve">, E.P. (2024) “Hydrogen technologies and policies for sustainable future: a review,” </w:t>
      </w:r>
      <w:r w:rsidRPr="0099227C">
        <w:rPr>
          <w:rFonts w:ascii="Times New Roman" w:hAnsi="Times New Roman" w:cs="Times New Roman"/>
          <w:i/>
          <w:iCs/>
        </w:rPr>
        <w:t>Chemical Papers</w:t>
      </w:r>
      <w:r w:rsidRPr="0099227C">
        <w:rPr>
          <w:rFonts w:ascii="Times New Roman" w:hAnsi="Times New Roman" w:cs="Times New Roman"/>
        </w:rPr>
        <w:t xml:space="preserve">, 78(7), pp. 4057–4073. Available at: </w:t>
      </w:r>
      <w:hyperlink r:id="rId30" w:history="1">
        <w:r w:rsidRPr="0099227C">
          <w:rPr>
            <w:rStyle w:val="Hyperlink"/>
            <w:rFonts w:ascii="Times New Roman" w:hAnsi="Times New Roman" w:cs="Times New Roman"/>
          </w:rPr>
          <w:t>https://doi.org/10.1007/s11696-024-03403-8</w:t>
        </w:r>
      </w:hyperlink>
      <w:r w:rsidRPr="0099227C">
        <w:rPr>
          <w:rFonts w:ascii="Times New Roman" w:hAnsi="Times New Roman" w:cs="Times New Roman"/>
        </w:rPr>
        <w:t>.</w:t>
      </w:r>
    </w:p>
    <w:p w14:paraId="1FA4B24E" w14:textId="77777777" w:rsidR="0099227C" w:rsidRPr="0099227C" w:rsidRDefault="0099227C" w:rsidP="0099227C">
      <w:pPr>
        <w:pStyle w:val="Bibliography"/>
        <w:spacing w:line="360" w:lineRule="auto"/>
        <w:ind w:hanging="11"/>
        <w:jc w:val="both"/>
        <w:rPr>
          <w:rFonts w:ascii="Times New Roman" w:hAnsi="Times New Roman" w:cs="Times New Roman"/>
        </w:rPr>
      </w:pPr>
      <w:r w:rsidRPr="0099227C">
        <w:rPr>
          <w:rFonts w:ascii="Times New Roman" w:hAnsi="Times New Roman" w:cs="Times New Roman"/>
        </w:rPr>
        <w:t xml:space="preserve">Ahmed, R., Augustine, R., Chaudhry, M., Akhtar, U.A., Zahid, A.A., Tariq, M., Falahati, M., Ahmad, I.S. and Hasan, A. (2022) “Nitric oxide-releasing biomaterials for promoting wound </w:t>
      </w:r>
      <w:r w:rsidRPr="0099227C">
        <w:rPr>
          <w:rFonts w:ascii="Times New Roman" w:hAnsi="Times New Roman" w:cs="Times New Roman"/>
        </w:rPr>
        <w:lastRenderedPageBreak/>
        <w:t xml:space="preserve">healing in impaired diabetic wounds: State of the art and recent trends,” </w:t>
      </w:r>
      <w:r w:rsidRPr="0099227C">
        <w:rPr>
          <w:rFonts w:ascii="Times New Roman" w:hAnsi="Times New Roman" w:cs="Times New Roman"/>
          <w:i/>
          <w:iCs/>
        </w:rPr>
        <w:t>Biomedicine &amp; Pharmacotherapy</w:t>
      </w:r>
      <w:r w:rsidRPr="0099227C">
        <w:rPr>
          <w:rFonts w:ascii="Times New Roman" w:hAnsi="Times New Roman" w:cs="Times New Roman"/>
        </w:rPr>
        <w:t xml:space="preserve">, 149, p. 112707. Available at: </w:t>
      </w:r>
      <w:hyperlink r:id="rId31" w:history="1">
        <w:r w:rsidRPr="0099227C">
          <w:rPr>
            <w:rStyle w:val="Hyperlink"/>
            <w:rFonts w:ascii="Times New Roman" w:hAnsi="Times New Roman" w:cs="Times New Roman"/>
          </w:rPr>
          <w:t>https://doi.org/10.1016/j.biopha.2022.112707</w:t>
        </w:r>
      </w:hyperlink>
      <w:r w:rsidRPr="0099227C">
        <w:rPr>
          <w:rFonts w:ascii="Times New Roman" w:hAnsi="Times New Roman" w:cs="Times New Roman"/>
        </w:rPr>
        <w:t>.</w:t>
      </w:r>
    </w:p>
    <w:p w14:paraId="0C59262B"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Al-</w:t>
      </w:r>
      <w:proofErr w:type="spellStart"/>
      <w:r w:rsidRPr="0099227C">
        <w:rPr>
          <w:rFonts w:ascii="Times New Roman" w:hAnsi="Times New Roman" w:cs="Times New Roman"/>
        </w:rPr>
        <w:t>Mufachi</w:t>
      </w:r>
      <w:proofErr w:type="spellEnd"/>
      <w:r w:rsidRPr="0099227C">
        <w:rPr>
          <w:rFonts w:ascii="Times New Roman" w:hAnsi="Times New Roman" w:cs="Times New Roman"/>
        </w:rPr>
        <w:t xml:space="preserve">, N.A. and Shah, N. (2022) “The role of hydrogen and fuel cell technology in providing security for the UK energy system,” </w:t>
      </w:r>
      <w:r w:rsidRPr="0099227C">
        <w:rPr>
          <w:rFonts w:ascii="Times New Roman" w:hAnsi="Times New Roman" w:cs="Times New Roman"/>
          <w:i/>
          <w:iCs/>
        </w:rPr>
        <w:t>Energy Policy</w:t>
      </w:r>
      <w:r w:rsidRPr="0099227C">
        <w:rPr>
          <w:rFonts w:ascii="Times New Roman" w:hAnsi="Times New Roman" w:cs="Times New Roman"/>
        </w:rPr>
        <w:t xml:space="preserve">, 171, p. 113286. Available at: </w:t>
      </w:r>
      <w:hyperlink r:id="rId32" w:history="1">
        <w:r w:rsidRPr="0099227C">
          <w:rPr>
            <w:rStyle w:val="Hyperlink"/>
            <w:rFonts w:ascii="Times New Roman" w:hAnsi="Times New Roman" w:cs="Times New Roman"/>
          </w:rPr>
          <w:t>https://doi.org/10.1016/j.enpol.2022.113286</w:t>
        </w:r>
      </w:hyperlink>
      <w:r w:rsidRPr="0099227C">
        <w:rPr>
          <w:rFonts w:ascii="Times New Roman" w:hAnsi="Times New Roman" w:cs="Times New Roman"/>
        </w:rPr>
        <w:t>.</w:t>
      </w:r>
    </w:p>
    <w:p w14:paraId="5319EC34"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Amiri, I.I., </w:t>
      </w:r>
      <w:proofErr w:type="spellStart"/>
      <w:r w:rsidRPr="0099227C">
        <w:rPr>
          <w:rFonts w:ascii="Times New Roman" w:hAnsi="Times New Roman" w:cs="Times New Roman"/>
        </w:rPr>
        <w:t>Zivar</w:t>
      </w:r>
      <w:proofErr w:type="spellEnd"/>
      <w:r w:rsidRPr="0099227C">
        <w:rPr>
          <w:rFonts w:ascii="Times New Roman" w:hAnsi="Times New Roman" w:cs="Times New Roman"/>
        </w:rPr>
        <w:t xml:space="preserve">, D., </w:t>
      </w:r>
      <w:proofErr w:type="spellStart"/>
      <w:r w:rsidRPr="0099227C">
        <w:rPr>
          <w:rFonts w:ascii="Times New Roman" w:hAnsi="Times New Roman" w:cs="Times New Roman"/>
        </w:rPr>
        <w:t>Ayatollahi</w:t>
      </w:r>
      <w:proofErr w:type="spellEnd"/>
      <w:r w:rsidRPr="0099227C">
        <w:rPr>
          <w:rFonts w:ascii="Times New Roman" w:hAnsi="Times New Roman" w:cs="Times New Roman"/>
        </w:rPr>
        <w:t xml:space="preserve">, S. and Mahani, H. (2024) “The effect of gas solubility on the selection of cushion gas for underground hydrogen storage in aquifers,” </w:t>
      </w:r>
      <w:r w:rsidRPr="0099227C">
        <w:rPr>
          <w:rFonts w:ascii="Times New Roman" w:hAnsi="Times New Roman" w:cs="Times New Roman"/>
          <w:i/>
          <w:iCs/>
        </w:rPr>
        <w:t>Journal of Energy Storage</w:t>
      </w:r>
      <w:r w:rsidRPr="0099227C">
        <w:rPr>
          <w:rFonts w:ascii="Times New Roman" w:hAnsi="Times New Roman" w:cs="Times New Roman"/>
        </w:rPr>
        <w:t xml:space="preserve">, 80, p. 110264. Available at: </w:t>
      </w:r>
      <w:hyperlink r:id="rId33" w:history="1">
        <w:r w:rsidRPr="0099227C">
          <w:rPr>
            <w:rStyle w:val="Hyperlink"/>
            <w:rFonts w:ascii="Times New Roman" w:hAnsi="Times New Roman" w:cs="Times New Roman"/>
          </w:rPr>
          <w:t>https://doi.org/10.1016/j.est.2023.110264</w:t>
        </w:r>
      </w:hyperlink>
      <w:r w:rsidRPr="0099227C">
        <w:rPr>
          <w:rFonts w:ascii="Times New Roman" w:hAnsi="Times New Roman" w:cs="Times New Roman"/>
        </w:rPr>
        <w:t>.</w:t>
      </w:r>
    </w:p>
    <w:p w14:paraId="248763A7"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Amirthan, T. and Perera, M.S.A. (2022) “Underground hydrogen storage in Australia: A review on the feasibility of geological sites,”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48(11), pp. 4300–4328. Available at: </w:t>
      </w:r>
      <w:hyperlink r:id="rId34" w:history="1">
        <w:r w:rsidRPr="0099227C">
          <w:rPr>
            <w:rStyle w:val="Hyperlink"/>
            <w:rFonts w:ascii="Times New Roman" w:hAnsi="Times New Roman" w:cs="Times New Roman"/>
          </w:rPr>
          <w:t>https://doi.org/10.1016/j.ijhydene.2022.10.218</w:t>
        </w:r>
      </w:hyperlink>
      <w:r w:rsidRPr="0099227C">
        <w:rPr>
          <w:rFonts w:ascii="Times New Roman" w:hAnsi="Times New Roman" w:cs="Times New Roman"/>
        </w:rPr>
        <w:t>.</w:t>
      </w:r>
    </w:p>
    <w:p w14:paraId="7906D28F"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Azarian, M., Yu, H., Shiferaw, A.T. and Stevik, T.K. (2023) “Do we perform systematic literature review right? a scientific mapping and methodological assessment,” </w:t>
      </w:r>
      <w:r w:rsidRPr="0099227C">
        <w:rPr>
          <w:rFonts w:ascii="Times New Roman" w:hAnsi="Times New Roman" w:cs="Times New Roman"/>
          <w:i/>
          <w:iCs/>
        </w:rPr>
        <w:t>Logistics</w:t>
      </w:r>
      <w:r w:rsidRPr="0099227C">
        <w:rPr>
          <w:rFonts w:ascii="Times New Roman" w:hAnsi="Times New Roman" w:cs="Times New Roman"/>
        </w:rPr>
        <w:t xml:space="preserve">, 7(4), p. 89. Available at: </w:t>
      </w:r>
      <w:hyperlink r:id="rId35" w:history="1">
        <w:r w:rsidRPr="0099227C">
          <w:rPr>
            <w:rStyle w:val="Hyperlink"/>
            <w:rFonts w:ascii="Times New Roman" w:hAnsi="Times New Roman" w:cs="Times New Roman"/>
          </w:rPr>
          <w:t>https://doi.org/10.3390/logistics7040089</w:t>
        </w:r>
      </w:hyperlink>
      <w:r w:rsidRPr="0099227C">
        <w:rPr>
          <w:rFonts w:ascii="Times New Roman" w:hAnsi="Times New Roman" w:cs="Times New Roman"/>
        </w:rPr>
        <w:t>.</w:t>
      </w:r>
    </w:p>
    <w:p w14:paraId="15C8B070"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Bosu, S. and Rajamohan, N. (2023) “Recent advancements in hydrogen storage - Comparative review on methods, operating conditions and challenges,”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52, pp. 352–370. Available at: </w:t>
      </w:r>
      <w:hyperlink r:id="rId36" w:history="1">
        <w:r w:rsidRPr="0099227C">
          <w:rPr>
            <w:rStyle w:val="Hyperlink"/>
            <w:rFonts w:ascii="Times New Roman" w:hAnsi="Times New Roman" w:cs="Times New Roman"/>
          </w:rPr>
          <w:t>https://doi.org/10.1016/j.ijhydene.2023.01.344</w:t>
        </w:r>
      </w:hyperlink>
      <w:r w:rsidRPr="0099227C">
        <w:rPr>
          <w:rFonts w:ascii="Times New Roman" w:hAnsi="Times New Roman" w:cs="Times New Roman"/>
        </w:rPr>
        <w:t>.</w:t>
      </w:r>
    </w:p>
    <w:p w14:paraId="4F256F2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Egeland-Eriksen, T., Hajizadeh, A. and Sartori, S. (2021) “Hydrogen-based systems for integration of renewable energy in power systems: Achievements and perspectives,”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46(63), pp. 31963–31983. Available at: </w:t>
      </w:r>
      <w:hyperlink r:id="rId37" w:history="1">
        <w:r w:rsidRPr="0099227C">
          <w:rPr>
            <w:rStyle w:val="Hyperlink"/>
            <w:rFonts w:ascii="Times New Roman" w:hAnsi="Times New Roman" w:cs="Times New Roman"/>
          </w:rPr>
          <w:t>https://doi.org/10.1016/j.ijhydene.2021.06.218</w:t>
        </w:r>
      </w:hyperlink>
      <w:r w:rsidRPr="0099227C">
        <w:rPr>
          <w:rFonts w:ascii="Times New Roman" w:hAnsi="Times New Roman" w:cs="Times New Roman"/>
        </w:rPr>
        <w:t>.</w:t>
      </w:r>
    </w:p>
    <w:p w14:paraId="6A2653C1"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Emodi</w:t>
      </w:r>
      <w:proofErr w:type="spellEnd"/>
      <w:r w:rsidRPr="0099227C">
        <w:rPr>
          <w:rFonts w:ascii="Times New Roman" w:hAnsi="Times New Roman" w:cs="Times New Roman"/>
        </w:rPr>
        <w:t xml:space="preserve">, N.V., Lovell, H., Levitt, C. and Franklin, E. (2021) “A systematic literature review of societal acceptance and stakeholders’ perception of hydrogen technologies,”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46(60), pp. 30669–30697. Available at: </w:t>
      </w:r>
      <w:hyperlink r:id="rId38" w:history="1">
        <w:r w:rsidRPr="0099227C">
          <w:rPr>
            <w:rStyle w:val="Hyperlink"/>
            <w:rFonts w:ascii="Times New Roman" w:hAnsi="Times New Roman" w:cs="Times New Roman"/>
          </w:rPr>
          <w:t>https://doi.org/10.1016/j.ijhydene.2021.06.212</w:t>
        </w:r>
      </w:hyperlink>
      <w:r w:rsidRPr="0099227C">
        <w:rPr>
          <w:rFonts w:ascii="Times New Roman" w:hAnsi="Times New Roman" w:cs="Times New Roman"/>
        </w:rPr>
        <w:t>.</w:t>
      </w:r>
    </w:p>
    <w:p w14:paraId="5B68077A"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Esfandyari</w:t>
      </w:r>
      <w:proofErr w:type="spellEnd"/>
      <w:r w:rsidRPr="0099227C">
        <w:rPr>
          <w:rFonts w:ascii="Times New Roman" w:hAnsi="Times New Roman" w:cs="Times New Roman"/>
        </w:rPr>
        <w:t xml:space="preserve">, H., Hosseini, M., Ali, M., Iglauer, S., Haghighi, M. and Keshavarz, A. (2023) “Assessment of the interfacial properties of various mineral/hydrogen/water systems,” </w:t>
      </w:r>
      <w:r w:rsidRPr="0099227C">
        <w:rPr>
          <w:rFonts w:ascii="Times New Roman" w:hAnsi="Times New Roman" w:cs="Times New Roman"/>
          <w:i/>
          <w:iCs/>
        </w:rPr>
        <w:t>Journal of Energy Storage</w:t>
      </w:r>
      <w:r w:rsidRPr="0099227C">
        <w:rPr>
          <w:rFonts w:ascii="Times New Roman" w:hAnsi="Times New Roman" w:cs="Times New Roman"/>
        </w:rPr>
        <w:t xml:space="preserve">, 60, p. 106637. Available at: </w:t>
      </w:r>
      <w:hyperlink r:id="rId39" w:history="1">
        <w:r w:rsidRPr="0099227C">
          <w:rPr>
            <w:rStyle w:val="Hyperlink"/>
            <w:rFonts w:ascii="Times New Roman" w:hAnsi="Times New Roman" w:cs="Times New Roman"/>
          </w:rPr>
          <w:t>https://doi.org/10.1016/j.est.2023.106637</w:t>
        </w:r>
      </w:hyperlink>
      <w:r w:rsidRPr="0099227C">
        <w:rPr>
          <w:rFonts w:ascii="Times New Roman" w:hAnsi="Times New Roman" w:cs="Times New Roman"/>
        </w:rPr>
        <w:t>.</w:t>
      </w:r>
    </w:p>
    <w:p w14:paraId="40F3B088"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lastRenderedPageBreak/>
        <w:t>Esfandyari</w:t>
      </w:r>
      <w:proofErr w:type="spellEnd"/>
      <w:r w:rsidRPr="0099227C">
        <w:rPr>
          <w:rFonts w:ascii="Times New Roman" w:hAnsi="Times New Roman" w:cs="Times New Roman"/>
        </w:rPr>
        <w:t xml:space="preserve">, H., Safari, A., Hashemi, A., </w:t>
      </w:r>
      <w:proofErr w:type="spellStart"/>
      <w:r w:rsidRPr="0099227C">
        <w:rPr>
          <w:rFonts w:ascii="Times New Roman" w:hAnsi="Times New Roman" w:cs="Times New Roman"/>
        </w:rPr>
        <w:t>Hassanpouryouzband</w:t>
      </w:r>
      <w:proofErr w:type="spellEnd"/>
      <w:r w:rsidRPr="0099227C">
        <w:rPr>
          <w:rFonts w:ascii="Times New Roman" w:hAnsi="Times New Roman" w:cs="Times New Roman"/>
        </w:rPr>
        <w:t xml:space="preserve">, A., Haghighi, M., Keshavarz, A. and </w:t>
      </w:r>
      <w:proofErr w:type="spellStart"/>
      <w:r w:rsidRPr="0099227C">
        <w:rPr>
          <w:rFonts w:ascii="Times New Roman" w:hAnsi="Times New Roman" w:cs="Times New Roman"/>
        </w:rPr>
        <w:t>Zeinijahromi</w:t>
      </w:r>
      <w:proofErr w:type="spellEnd"/>
      <w:r w:rsidRPr="0099227C">
        <w:rPr>
          <w:rFonts w:ascii="Times New Roman" w:hAnsi="Times New Roman" w:cs="Times New Roman"/>
        </w:rPr>
        <w:t xml:space="preserve">, A. (2024) “Surface interaction changes in minerals for underground hydrogen storage: Effects of CO2 cushion gas,” </w:t>
      </w:r>
      <w:r w:rsidRPr="0099227C">
        <w:rPr>
          <w:rFonts w:ascii="Times New Roman" w:hAnsi="Times New Roman" w:cs="Times New Roman"/>
          <w:i/>
          <w:iCs/>
        </w:rPr>
        <w:t>Renewable Energy</w:t>
      </w:r>
      <w:r w:rsidRPr="0099227C">
        <w:rPr>
          <w:rFonts w:ascii="Times New Roman" w:hAnsi="Times New Roman" w:cs="Times New Roman"/>
        </w:rPr>
        <w:t xml:space="preserve">, 237, p. 121726. Available at: </w:t>
      </w:r>
      <w:hyperlink r:id="rId40" w:history="1">
        <w:r w:rsidRPr="0099227C">
          <w:rPr>
            <w:rStyle w:val="Hyperlink"/>
            <w:rFonts w:ascii="Times New Roman" w:hAnsi="Times New Roman" w:cs="Times New Roman"/>
          </w:rPr>
          <w:t>https://doi.org/10.1016/j.renene.2024.121726</w:t>
        </w:r>
      </w:hyperlink>
      <w:r w:rsidRPr="0099227C">
        <w:rPr>
          <w:rFonts w:ascii="Times New Roman" w:hAnsi="Times New Roman" w:cs="Times New Roman"/>
        </w:rPr>
        <w:t>.</w:t>
      </w:r>
    </w:p>
    <w:p w14:paraId="5FC829BF"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Fernandez, D.M., Emadi, H., Hussain, A. and Thiyagarajan, S.R. (2024) “A holistic review on wellbore integrity challenges associated with underground hydrogen storage,”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57, pp. 240–262. Available at: </w:t>
      </w:r>
      <w:hyperlink r:id="rId41" w:history="1">
        <w:r w:rsidRPr="0099227C">
          <w:rPr>
            <w:rStyle w:val="Hyperlink"/>
            <w:rFonts w:ascii="Times New Roman" w:hAnsi="Times New Roman" w:cs="Times New Roman"/>
          </w:rPr>
          <w:t>https://doi.org/10.1016/j.ijhydene.2023.12.230</w:t>
        </w:r>
      </w:hyperlink>
      <w:r w:rsidRPr="0099227C">
        <w:rPr>
          <w:rFonts w:ascii="Times New Roman" w:hAnsi="Times New Roman" w:cs="Times New Roman"/>
        </w:rPr>
        <w:t>.</w:t>
      </w:r>
    </w:p>
    <w:p w14:paraId="1CF66426"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Gemechu, D.N., Mohammed, A.M., Redi, M., Bessarabov, D., Mekonnen, Y.S. and Obodo, K.O. (2023) “First principles-based approaches for catalytic activity on the dehydrogenation of liquid organic hydrogen carriers: A review,”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48(85), pp. 33186–33206. Available at: </w:t>
      </w:r>
      <w:hyperlink r:id="rId42" w:history="1">
        <w:r w:rsidRPr="0099227C">
          <w:rPr>
            <w:rStyle w:val="Hyperlink"/>
            <w:rFonts w:ascii="Times New Roman" w:hAnsi="Times New Roman" w:cs="Times New Roman"/>
          </w:rPr>
          <w:t>https://doi.org/10.1016/j.ijhydene.2023.05.072</w:t>
        </w:r>
      </w:hyperlink>
      <w:r w:rsidRPr="0099227C">
        <w:rPr>
          <w:rFonts w:ascii="Times New Roman" w:hAnsi="Times New Roman" w:cs="Times New Roman"/>
        </w:rPr>
        <w:t>.</w:t>
      </w:r>
    </w:p>
    <w:p w14:paraId="336CBE87"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Ghezelbash</w:t>
      </w:r>
      <w:proofErr w:type="spellEnd"/>
      <w:r w:rsidRPr="0099227C">
        <w:rPr>
          <w:rFonts w:ascii="Times New Roman" w:hAnsi="Times New Roman" w:cs="Times New Roman"/>
        </w:rPr>
        <w:t xml:space="preserve">, A., </w:t>
      </w:r>
      <w:proofErr w:type="spellStart"/>
      <w:r w:rsidRPr="0099227C">
        <w:rPr>
          <w:rFonts w:ascii="Times New Roman" w:hAnsi="Times New Roman" w:cs="Times New Roman"/>
        </w:rPr>
        <w:t>Seyedzadeh</w:t>
      </w:r>
      <w:proofErr w:type="spellEnd"/>
      <w:r w:rsidRPr="0099227C">
        <w:rPr>
          <w:rFonts w:ascii="Times New Roman" w:hAnsi="Times New Roman" w:cs="Times New Roman"/>
        </w:rPr>
        <w:t xml:space="preserve">, M., </w:t>
      </w:r>
      <w:proofErr w:type="spellStart"/>
      <w:r w:rsidRPr="0099227C">
        <w:rPr>
          <w:rFonts w:ascii="Times New Roman" w:hAnsi="Times New Roman" w:cs="Times New Roman"/>
        </w:rPr>
        <w:t>Khaligh</w:t>
      </w:r>
      <w:proofErr w:type="spellEnd"/>
      <w:r w:rsidRPr="0099227C">
        <w:rPr>
          <w:rFonts w:ascii="Times New Roman" w:hAnsi="Times New Roman" w:cs="Times New Roman"/>
        </w:rPr>
        <w:t xml:space="preserve">, V. and Liu, J. (2023) “Impacts of green energy expansion and gas import reduction on South Korea’s economic growth: A System Dynamics approach,” </w:t>
      </w:r>
      <w:r w:rsidRPr="0099227C">
        <w:rPr>
          <w:rFonts w:ascii="Times New Roman" w:hAnsi="Times New Roman" w:cs="Times New Roman"/>
          <w:i/>
          <w:iCs/>
        </w:rPr>
        <w:t>Sustainability</w:t>
      </w:r>
      <w:r w:rsidRPr="0099227C">
        <w:rPr>
          <w:rFonts w:ascii="Times New Roman" w:hAnsi="Times New Roman" w:cs="Times New Roman"/>
        </w:rPr>
        <w:t xml:space="preserve">, 15(12), p. 9281. Available at: </w:t>
      </w:r>
      <w:hyperlink r:id="rId43" w:history="1">
        <w:r w:rsidRPr="0099227C">
          <w:rPr>
            <w:rStyle w:val="Hyperlink"/>
            <w:rFonts w:ascii="Times New Roman" w:hAnsi="Times New Roman" w:cs="Times New Roman"/>
          </w:rPr>
          <w:t>https://doi.org/10.3390/su15129281</w:t>
        </w:r>
      </w:hyperlink>
      <w:r w:rsidRPr="0099227C">
        <w:rPr>
          <w:rFonts w:ascii="Times New Roman" w:hAnsi="Times New Roman" w:cs="Times New Roman"/>
        </w:rPr>
        <w:t>.</w:t>
      </w:r>
    </w:p>
    <w:p w14:paraId="6DD607C6"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Hassan, Q., Sameen, A.Z., Salman, H.M., </w:t>
      </w:r>
      <w:proofErr w:type="spellStart"/>
      <w:r w:rsidRPr="0099227C">
        <w:rPr>
          <w:rFonts w:ascii="Times New Roman" w:hAnsi="Times New Roman" w:cs="Times New Roman"/>
        </w:rPr>
        <w:t>Jaszczur</w:t>
      </w:r>
      <w:proofErr w:type="spellEnd"/>
      <w:r w:rsidRPr="0099227C">
        <w:rPr>
          <w:rFonts w:ascii="Times New Roman" w:hAnsi="Times New Roman" w:cs="Times New Roman"/>
        </w:rPr>
        <w:t>, M. and Al-</w:t>
      </w:r>
      <w:proofErr w:type="spellStart"/>
      <w:r w:rsidRPr="0099227C">
        <w:rPr>
          <w:rFonts w:ascii="Times New Roman" w:hAnsi="Times New Roman" w:cs="Times New Roman"/>
        </w:rPr>
        <w:t>Jiboory</w:t>
      </w:r>
      <w:proofErr w:type="spellEnd"/>
      <w:r w:rsidRPr="0099227C">
        <w:rPr>
          <w:rFonts w:ascii="Times New Roman" w:hAnsi="Times New Roman" w:cs="Times New Roman"/>
        </w:rPr>
        <w:t xml:space="preserve">, A.K. (2023) “Hydrogen energy future: Advancements in storage technologies and implications for sustainability,” </w:t>
      </w:r>
      <w:r w:rsidRPr="0099227C">
        <w:rPr>
          <w:rFonts w:ascii="Times New Roman" w:hAnsi="Times New Roman" w:cs="Times New Roman"/>
          <w:i/>
          <w:iCs/>
        </w:rPr>
        <w:t>Journal of Energy Storage</w:t>
      </w:r>
      <w:r w:rsidRPr="0099227C">
        <w:rPr>
          <w:rFonts w:ascii="Times New Roman" w:hAnsi="Times New Roman" w:cs="Times New Roman"/>
        </w:rPr>
        <w:t xml:space="preserve">, 72, p. 108404. Available at: </w:t>
      </w:r>
      <w:hyperlink r:id="rId44" w:history="1">
        <w:r w:rsidRPr="0099227C">
          <w:rPr>
            <w:rStyle w:val="Hyperlink"/>
            <w:rFonts w:ascii="Times New Roman" w:hAnsi="Times New Roman" w:cs="Times New Roman"/>
          </w:rPr>
          <w:t>https://doi.org/10.1016/j.est.2023.108404</w:t>
        </w:r>
      </w:hyperlink>
      <w:r w:rsidRPr="0099227C">
        <w:rPr>
          <w:rFonts w:ascii="Times New Roman" w:hAnsi="Times New Roman" w:cs="Times New Roman"/>
        </w:rPr>
        <w:t>.</w:t>
      </w:r>
    </w:p>
    <w:p w14:paraId="46F522C0"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Irham, A., Roslan, M.F., Jern, K.P., Hannan, M.A. and Mahlia, T.M.I. (2024) “Hydrogen energy storage integrated grid: A bibliometric analysis for sustainable energy production,”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63, pp. 1044–1087. Available at: </w:t>
      </w:r>
      <w:hyperlink r:id="rId45" w:history="1">
        <w:r w:rsidRPr="0099227C">
          <w:rPr>
            <w:rStyle w:val="Hyperlink"/>
            <w:rFonts w:ascii="Times New Roman" w:hAnsi="Times New Roman" w:cs="Times New Roman"/>
          </w:rPr>
          <w:t>https://doi.org/10.1016/j.ijhydene.2024.03.235</w:t>
        </w:r>
      </w:hyperlink>
      <w:r w:rsidRPr="0099227C">
        <w:rPr>
          <w:rFonts w:ascii="Times New Roman" w:hAnsi="Times New Roman" w:cs="Times New Roman"/>
        </w:rPr>
        <w:t>.</w:t>
      </w:r>
    </w:p>
    <w:p w14:paraId="45430846"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Kamran, M. and </w:t>
      </w:r>
      <w:proofErr w:type="spellStart"/>
      <w:r w:rsidRPr="0099227C">
        <w:rPr>
          <w:rFonts w:ascii="Times New Roman" w:hAnsi="Times New Roman" w:cs="Times New Roman"/>
        </w:rPr>
        <w:t>Turzyński</w:t>
      </w:r>
      <w:proofErr w:type="spellEnd"/>
      <w:r w:rsidRPr="0099227C">
        <w:rPr>
          <w:rFonts w:ascii="Times New Roman" w:hAnsi="Times New Roman" w:cs="Times New Roman"/>
        </w:rPr>
        <w:t xml:space="preserve">, M. (2024) “Exploring hydrogen energy systems: A comprehensive review of technologies, applications, prevailing trends, and associated challenges,” </w:t>
      </w:r>
      <w:r w:rsidRPr="0099227C">
        <w:rPr>
          <w:rFonts w:ascii="Times New Roman" w:hAnsi="Times New Roman" w:cs="Times New Roman"/>
          <w:i/>
          <w:iCs/>
        </w:rPr>
        <w:t>Journal of Energy Storage</w:t>
      </w:r>
      <w:r w:rsidRPr="0099227C">
        <w:rPr>
          <w:rFonts w:ascii="Times New Roman" w:hAnsi="Times New Roman" w:cs="Times New Roman"/>
        </w:rPr>
        <w:t xml:space="preserve">, 96, p. 112601. Available at: </w:t>
      </w:r>
      <w:hyperlink r:id="rId46" w:history="1">
        <w:r w:rsidRPr="0099227C">
          <w:rPr>
            <w:rStyle w:val="Hyperlink"/>
            <w:rFonts w:ascii="Times New Roman" w:hAnsi="Times New Roman" w:cs="Times New Roman"/>
          </w:rPr>
          <w:t>https://doi.org/10.1016/j.est.2024.112601</w:t>
        </w:r>
      </w:hyperlink>
      <w:r w:rsidRPr="0099227C">
        <w:rPr>
          <w:rFonts w:ascii="Times New Roman" w:hAnsi="Times New Roman" w:cs="Times New Roman"/>
        </w:rPr>
        <w:t>.</w:t>
      </w:r>
    </w:p>
    <w:p w14:paraId="37A14E2E"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Khan, H.B. and Zhang, T. (2023) “Techno-economic Risk Analysis for Onboard Hydrogen Storage by Quantitative Risk Assessment,” </w:t>
      </w:r>
      <w:r w:rsidRPr="0099227C">
        <w:rPr>
          <w:rFonts w:ascii="Times New Roman" w:hAnsi="Times New Roman" w:cs="Times New Roman"/>
          <w:i/>
          <w:iCs/>
        </w:rPr>
        <w:t>Global Reliability and Prognostics and Health Management Conference</w:t>
      </w:r>
      <w:r w:rsidRPr="0099227C">
        <w:rPr>
          <w:rFonts w:ascii="Times New Roman" w:hAnsi="Times New Roman" w:cs="Times New Roman"/>
        </w:rPr>
        <w:t xml:space="preserve">, pp. 1–7. Available at: </w:t>
      </w:r>
      <w:hyperlink r:id="rId47" w:history="1">
        <w:r w:rsidRPr="0099227C">
          <w:rPr>
            <w:rStyle w:val="Hyperlink"/>
            <w:rFonts w:ascii="Times New Roman" w:hAnsi="Times New Roman" w:cs="Times New Roman"/>
          </w:rPr>
          <w:t>https://doi.org/10.1109/phm-hangzhou58797.2023.10482622</w:t>
        </w:r>
      </w:hyperlink>
      <w:r w:rsidRPr="0099227C">
        <w:rPr>
          <w:rFonts w:ascii="Times New Roman" w:hAnsi="Times New Roman" w:cs="Times New Roman"/>
        </w:rPr>
        <w:t>.</w:t>
      </w:r>
    </w:p>
    <w:p w14:paraId="42411201"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lastRenderedPageBreak/>
        <w:t xml:space="preserve">Kitchenham, B., Pretorius, R., </w:t>
      </w:r>
      <w:proofErr w:type="spellStart"/>
      <w:r w:rsidRPr="0099227C">
        <w:rPr>
          <w:rFonts w:ascii="Times New Roman" w:hAnsi="Times New Roman" w:cs="Times New Roman"/>
        </w:rPr>
        <w:t>Budgen</w:t>
      </w:r>
      <w:proofErr w:type="spellEnd"/>
      <w:r w:rsidRPr="0099227C">
        <w:rPr>
          <w:rFonts w:ascii="Times New Roman" w:hAnsi="Times New Roman" w:cs="Times New Roman"/>
        </w:rPr>
        <w:t xml:space="preserve">, D., Brereton, O.P., Turner, M., Niazi, M. and Linkman, S. (2010) “Systematic literature reviews in software engineering – A tertiary study,” </w:t>
      </w:r>
      <w:r w:rsidRPr="0099227C">
        <w:rPr>
          <w:rFonts w:ascii="Times New Roman" w:hAnsi="Times New Roman" w:cs="Times New Roman"/>
          <w:i/>
          <w:iCs/>
        </w:rPr>
        <w:t>Information and Software Technology</w:t>
      </w:r>
      <w:r w:rsidRPr="0099227C">
        <w:rPr>
          <w:rFonts w:ascii="Times New Roman" w:hAnsi="Times New Roman" w:cs="Times New Roman"/>
        </w:rPr>
        <w:t xml:space="preserve">, 52(8), pp. 792–805. Available at: </w:t>
      </w:r>
      <w:hyperlink r:id="rId48" w:history="1">
        <w:r w:rsidRPr="0099227C">
          <w:rPr>
            <w:rStyle w:val="Hyperlink"/>
            <w:rFonts w:ascii="Times New Roman" w:hAnsi="Times New Roman" w:cs="Times New Roman"/>
          </w:rPr>
          <w:t>https://doi.org/10.1016/j.infsof.2010.03.006</w:t>
        </w:r>
      </w:hyperlink>
      <w:r w:rsidRPr="0099227C">
        <w:rPr>
          <w:rFonts w:ascii="Times New Roman" w:hAnsi="Times New Roman" w:cs="Times New Roman"/>
        </w:rPr>
        <w:t>.</w:t>
      </w:r>
    </w:p>
    <w:p w14:paraId="555C7B4A"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Kumar, N., Lee, S.-Y. and Park, S.-J. (2024) “Advancements in hydrogen storage technologies: A comprehensive review of materials, methods, and economic policy,” </w:t>
      </w:r>
      <w:r w:rsidRPr="0099227C">
        <w:rPr>
          <w:rFonts w:ascii="Times New Roman" w:hAnsi="Times New Roman" w:cs="Times New Roman"/>
          <w:i/>
          <w:iCs/>
        </w:rPr>
        <w:t>Nano Today</w:t>
      </w:r>
      <w:r w:rsidRPr="0099227C">
        <w:rPr>
          <w:rFonts w:ascii="Times New Roman" w:hAnsi="Times New Roman" w:cs="Times New Roman"/>
        </w:rPr>
        <w:t xml:space="preserve">, 56, p. 102302. Available at: </w:t>
      </w:r>
      <w:hyperlink r:id="rId49" w:history="1">
        <w:r w:rsidRPr="0099227C">
          <w:rPr>
            <w:rStyle w:val="Hyperlink"/>
            <w:rFonts w:ascii="Times New Roman" w:hAnsi="Times New Roman" w:cs="Times New Roman"/>
          </w:rPr>
          <w:t>https://doi.org/10.1016/j.nantod.2024.102302</w:t>
        </w:r>
      </w:hyperlink>
      <w:r w:rsidRPr="0099227C">
        <w:rPr>
          <w:rFonts w:ascii="Times New Roman" w:hAnsi="Times New Roman" w:cs="Times New Roman"/>
        </w:rPr>
        <w:t>.</w:t>
      </w:r>
    </w:p>
    <w:p w14:paraId="57F2B84C"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Liu, Y., Zhou, P., Jeong, B. and Wang, H. (2023) “Design and optimisation of a type-C tank for liquid hydrogen marine transport,”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48(89), pp. 34885–34896. Available at: </w:t>
      </w:r>
      <w:hyperlink r:id="rId50" w:history="1">
        <w:r w:rsidRPr="0099227C">
          <w:rPr>
            <w:rStyle w:val="Hyperlink"/>
            <w:rFonts w:ascii="Times New Roman" w:hAnsi="Times New Roman" w:cs="Times New Roman"/>
          </w:rPr>
          <w:t>https://doi.org/10.1016/j.ijhydene.2023.05.102</w:t>
        </w:r>
      </w:hyperlink>
      <w:r w:rsidRPr="0099227C">
        <w:rPr>
          <w:rFonts w:ascii="Times New Roman" w:hAnsi="Times New Roman" w:cs="Times New Roman"/>
        </w:rPr>
        <w:t>.</w:t>
      </w:r>
    </w:p>
    <w:p w14:paraId="15952377"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Luo, L., </w:t>
      </w:r>
      <w:proofErr w:type="spellStart"/>
      <w:r w:rsidRPr="0099227C">
        <w:rPr>
          <w:rFonts w:ascii="Times New Roman" w:hAnsi="Times New Roman" w:cs="Times New Roman"/>
        </w:rPr>
        <w:t>Cristofari</w:t>
      </w:r>
      <w:proofErr w:type="spellEnd"/>
      <w:r w:rsidRPr="0099227C">
        <w:rPr>
          <w:rFonts w:ascii="Times New Roman" w:hAnsi="Times New Roman" w:cs="Times New Roman"/>
        </w:rPr>
        <w:t xml:space="preserve">, C. and </w:t>
      </w:r>
      <w:proofErr w:type="spellStart"/>
      <w:r w:rsidRPr="0099227C">
        <w:rPr>
          <w:rFonts w:ascii="Times New Roman" w:hAnsi="Times New Roman" w:cs="Times New Roman"/>
        </w:rPr>
        <w:t>Levrey</w:t>
      </w:r>
      <w:proofErr w:type="spellEnd"/>
      <w:r w:rsidRPr="0099227C">
        <w:rPr>
          <w:rFonts w:ascii="Times New Roman" w:hAnsi="Times New Roman" w:cs="Times New Roman"/>
        </w:rPr>
        <w:t xml:space="preserve">, S. (2023) “Cogeneration: Another way to increase the energy efficiency of hybrid renewable energy hydrogen chain – A review of systems operating in cogeneration and of the energy efficiency assessment through exergy analysis,” </w:t>
      </w:r>
      <w:r w:rsidRPr="0099227C">
        <w:rPr>
          <w:rFonts w:ascii="Times New Roman" w:hAnsi="Times New Roman" w:cs="Times New Roman"/>
          <w:i/>
          <w:iCs/>
        </w:rPr>
        <w:t>Journal of Energy Storage</w:t>
      </w:r>
      <w:r w:rsidRPr="0099227C">
        <w:rPr>
          <w:rFonts w:ascii="Times New Roman" w:hAnsi="Times New Roman" w:cs="Times New Roman"/>
        </w:rPr>
        <w:t xml:space="preserve">, 66, p. 107433. Available at: </w:t>
      </w:r>
      <w:hyperlink r:id="rId51" w:history="1">
        <w:r w:rsidRPr="0099227C">
          <w:rPr>
            <w:rStyle w:val="Hyperlink"/>
            <w:rFonts w:ascii="Times New Roman" w:hAnsi="Times New Roman" w:cs="Times New Roman"/>
          </w:rPr>
          <w:t>https://doi.org/10.1016/j.est.2023.107433</w:t>
        </w:r>
      </w:hyperlink>
      <w:r w:rsidRPr="0099227C">
        <w:rPr>
          <w:rFonts w:ascii="Times New Roman" w:hAnsi="Times New Roman" w:cs="Times New Roman"/>
        </w:rPr>
        <w:t>.</w:t>
      </w:r>
    </w:p>
    <w:p w14:paraId="157E3645"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Ma, N., Zhao, W., Wang, W., Li, X. and Zhou, H. (2023) “Large scale of green hydrogen storage: Opportunities and challenges,”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50, pp. 379–396. Available at: </w:t>
      </w:r>
      <w:hyperlink r:id="rId52" w:history="1">
        <w:r w:rsidRPr="0099227C">
          <w:rPr>
            <w:rStyle w:val="Hyperlink"/>
            <w:rFonts w:ascii="Times New Roman" w:hAnsi="Times New Roman" w:cs="Times New Roman"/>
          </w:rPr>
          <w:t>https://doi.org/10.1016/j.ijhydene.2023.09.021</w:t>
        </w:r>
      </w:hyperlink>
      <w:r w:rsidRPr="0099227C">
        <w:rPr>
          <w:rFonts w:ascii="Times New Roman" w:hAnsi="Times New Roman" w:cs="Times New Roman"/>
        </w:rPr>
        <w:t>.</w:t>
      </w:r>
    </w:p>
    <w:p w14:paraId="25F4A4B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Massaro, M.C., Biga, R., </w:t>
      </w:r>
      <w:proofErr w:type="spellStart"/>
      <w:r w:rsidRPr="0099227C">
        <w:rPr>
          <w:rFonts w:ascii="Times New Roman" w:hAnsi="Times New Roman" w:cs="Times New Roman"/>
        </w:rPr>
        <w:t>Kolisnichenko</w:t>
      </w:r>
      <w:proofErr w:type="spellEnd"/>
      <w:r w:rsidRPr="0099227C">
        <w:rPr>
          <w:rFonts w:ascii="Times New Roman" w:hAnsi="Times New Roman" w:cs="Times New Roman"/>
        </w:rPr>
        <w:t xml:space="preserve">, A., Marocco, P., Monteverde, A.H.A. and Santarelli, M. (2022) “Potential and technical challenges of on-board hydrogen storage technologies coupled with fuel cell systems for aircraft electrification,” </w:t>
      </w:r>
      <w:r w:rsidRPr="0099227C">
        <w:rPr>
          <w:rFonts w:ascii="Times New Roman" w:hAnsi="Times New Roman" w:cs="Times New Roman"/>
          <w:i/>
          <w:iCs/>
        </w:rPr>
        <w:t>Journal of Power Sources</w:t>
      </w:r>
      <w:r w:rsidRPr="0099227C">
        <w:rPr>
          <w:rFonts w:ascii="Times New Roman" w:hAnsi="Times New Roman" w:cs="Times New Roman"/>
        </w:rPr>
        <w:t xml:space="preserve">, 555, p. 232397. Available at: </w:t>
      </w:r>
      <w:hyperlink r:id="rId53" w:history="1">
        <w:r w:rsidRPr="0099227C">
          <w:rPr>
            <w:rStyle w:val="Hyperlink"/>
            <w:rFonts w:ascii="Times New Roman" w:hAnsi="Times New Roman" w:cs="Times New Roman"/>
          </w:rPr>
          <w:t>https://doi.org/10.1016/j.jpowsour.2022.232397</w:t>
        </w:r>
      </w:hyperlink>
      <w:r w:rsidRPr="0099227C">
        <w:rPr>
          <w:rFonts w:ascii="Times New Roman" w:hAnsi="Times New Roman" w:cs="Times New Roman"/>
        </w:rPr>
        <w:t>.</w:t>
      </w:r>
    </w:p>
    <w:p w14:paraId="356014C4"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Mehr, A.S., Phillips, A.D., Brandon, M.P., Pryce, M.T. and Carton, J.G. (2024) “Recent challenges and development of technical and technoeconomic aspects for hydrogen storage, insights at different scales; A state of art review,”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70, pp. 786–815. Available at: </w:t>
      </w:r>
      <w:hyperlink r:id="rId54" w:history="1">
        <w:r w:rsidRPr="0099227C">
          <w:rPr>
            <w:rStyle w:val="Hyperlink"/>
            <w:rFonts w:ascii="Times New Roman" w:hAnsi="Times New Roman" w:cs="Times New Roman"/>
          </w:rPr>
          <w:t>https://doi.org/10.1016/j.ijhydene.2024.05.182</w:t>
        </w:r>
      </w:hyperlink>
      <w:r w:rsidRPr="0099227C">
        <w:rPr>
          <w:rFonts w:ascii="Times New Roman" w:hAnsi="Times New Roman" w:cs="Times New Roman"/>
        </w:rPr>
        <w:t>.</w:t>
      </w:r>
    </w:p>
    <w:p w14:paraId="42096896"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Ogarek</w:t>
      </w:r>
      <w:proofErr w:type="spellEnd"/>
      <w:r w:rsidRPr="0099227C">
        <w:rPr>
          <w:rFonts w:ascii="Times New Roman" w:hAnsi="Times New Roman" w:cs="Times New Roman"/>
        </w:rPr>
        <w:t xml:space="preserve">, P., Wojtoń, M. and </w:t>
      </w:r>
      <w:proofErr w:type="spellStart"/>
      <w:r w:rsidRPr="0099227C">
        <w:rPr>
          <w:rFonts w:ascii="Times New Roman" w:hAnsi="Times New Roman" w:cs="Times New Roman"/>
        </w:rPr>
        <w:t>Słyś</w:t>
      </w:r>
      <w:proofErr w:type="spellEnd"/>
      <w:r w:rsidRPr="0099227C">
        <w:rPr>
          <w:rFonts w:ascii="Times New Roman" w:hAnsi="Times New Roman" w:cs="Times New Roman"/>
        </w:rPr>
        <w:t xml:space="preserve">, D. (2023) “Hydrogen as a renewable energy carrier in a hybrid configuration of distributed energy systems: Bibliometric mapping of current knowledge and strategies,” </w:t>
      </w:r>
      <w:r w:rsidRPr="0099227C">
        <w:rPr>
          <w:rFonts w:ascii="Times New Roman" w:hAnsi="Times New Roman" w:cs="Times New Roman"/>
          <w:i/>
          <w:iCs/>
        </w:rPr>
        <w:t>Energies</w:t>
      </w:r>
      <w:r w:rsidRPr="0099227C">
        <w:rPr>
          <w:rFonts w:ascii="Times New Roman" w:hAnsi="Times New Roman" w:cs="Times New Roman"/>
        </w:rPr>
        <w:t xml:space="preserve">, 16(14), p. 5495. Available at: </w:t>
      </w:r>
      <w:hyperlink r:id="rId55" w:history="1">
        <w:r w:rsidRPr="0099227C">
          <w:rPr>
            <w:rStyle w:val="Hyperlink"/>
            <w:rFonts w:ascii="Times New Roman" w:hAnsi="Times New Roman" w:cs="Times New Roman"/>
          </w:rPr>
          <w:t>https://doi.org/10.3390/en16145495</w:t>
        </w:r>
      </w:hyperlink>
      <w:r w:rsidRPr="0099227C">
        <w:rPr>
          <w:rFonts w:ascii="Times New Roman" w:hAnsi="Times New Roman" w:cs="Times New Roman"/>
        </w:rPr>
        <w:t>.</w:t>
      </w:r>
    </w:p>
    <w:p w14:paraId="7DFE23F8"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lastRenderedPageBreak/>
        <w:t xml:space="preserve">Révész, Á. and Gajdics, M. (2021) “High-Pressure Torsion of Non-Equilibrium Hydrogen Storage Materials: A review,” </w:t>
      </w:r>
      <w:r w:rsidRPr="0099227C">
        <w:rPr>
          <w:rFonts w:ascii="Times New Roman" w:hAnsi="Times New Roman" w:cs="Times New Roman"/>
          <w:i/>
          <w:iCs/>
        </w:rPr>
        <w:t>Energies</w:t>
      </w:r>
      <w:r w:rsidRPr="0099227C">
        <w:rPr>
          <w:rFonts w:ascii="Times New Roman" w:hAnsi="Times New Roman" w:cs="Times New Roman"/>
        </w:rPr>
        <w:t xml:space="preserve">, 14(4), p. 819. Available at: </w:t>
      </w:r>
      <w:hyperlink r:id="rId56" w:history="1">
        <w:r w:rsidRPr="0099227C">
          <w:rPr>
            <w:rStyle w:val="Hyperlink"/>
            <w:rFonts w:ascii="Times New Roman" w:hAnsi="Times New Roman" w:cs="Times New Roman"/>
          </w:rPr>
          <w:t>https://doi.org/10.3390/en14040819</w:t>
        </w:r>
      </w:hyperlink>
      <w:r w:rsidRPr="0099227C">
        <w:rPr>
          <w:rFonts w:ascii="Times New Roman" w:hAnsi="Times New Roman" w:cs="Times New Roman"/>
        </w:rPr>
        <w:t>.</w:t>
      </w:r>
    </w:p>
    <w:p w14:paraId="19B6ED5D"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Revinova</w:t>
      </w:r>
      <w:proofErr w:type="spellEnd"/>
      <w:r w:rsidRPr="0099227C">
        <w:rPr>
          <w:rFonts w:ascii="Times New Roman" w:hAnsi="Times New Roman" w:cs="Times New Roman"/>
        </w:rPr>
        <w:t xml:space="preserve">, S., </w:t>
      </w:r>
      <w:proofErr w:type="spellStart"/>
      <w:r w:rsidRPr="0099227C">
        <w:rPr>
          <w:rFonts w:ascii="Times New Roman" w:hAnsi="Times New Roman" w:cs="Times New Roman"/>
        </w:rPr>
        <w:t>Lazanyuk</w:t>
      </w:r>
      <w:proofErr w:type="spellEnd"/>
      <w:r w:rsidRPr="0099227C">
        <w:rPr>
          <w:rFonts w:ascii="Times New Roman" w:hAnsi="Times New Roman" w:cs="Times New Roman"/>
        </w:rPr>
        <w:t xml:space="preserve">, I., Gabrielyan, B., </w:t>
      </w:r>
      <w:proofErr w:type="spellStart"/>
      <w:r w:rsidRPr="0099227C">
        <w:rPr>
          <w:rFonts w:ascii="Times New Roman" w:hAnsi="Times New Roman" w:cs="Times New Roman"/>
        </w:rPr>
        <w:t>Shahinyan</w:t>
      </w:r>
      <w:proofErr w:type="spellEnd"/>
      <w:r w:rsidRPr="0099227C">
        <w:rPr>
          <w:rFonts w:ascii="Times New Roman" w:hAnsi="Times New Roman" w:cs="Times New Roman"/>
        </w:rPr>
        <w:t xml:space="preserve">, T. and Hakobyan, Y. (2024) “Hydrogen in energy transition: The problem of economic efficiency, environmental safety, and technological readiness of transportation and storage,” </w:t>
      </w:r>
      <w:r w:rsidRPr="0099227C">
        <w:rPr>
          <w:rFonts w:ascii="Times New Roman" w:hAnsi="Times New Roman" w:cs="Times New Roman"/>
          <w:i/>
          <w:iCs/>
        </w:rPr>
        <w:t>Resources</w:t>
      </w:r>
      <w:r w:rsidRPr="0099227C">
        <w:rPr>
          <w:rFonts w:ascii="Times New Roman" w:hAnsi="Times New Roman" w:cs="Times New Roman"/>
        </w:rPr>
        <w:t xml:space="preserve">, 13(7), p. 92. Available at: </w:t>
      </w:r>
      <w:hyperlink r:id="rId57" w:history="1">
        <w:r w:rsidRPr="0099227C">
          <w:rPr>
            <w:rStyle w:val="Hyperlink"/>
            <w:rFonts w:ascii="Times New Roman" w:hAnsi="Times New Roman" w:cs="Times New Roman"/>
          </w:rPr>
          <w:t>https://doi.org/10.3390/resources13070092</w:t>
        </w:r>
      </w:hyperlink>
      <w:r w:rsidRPr="0099227C">
        <w:rPr>
          <w:rFonts w:ascii="Times New Roman" w:hAnsi="Times New Roman" w:cs="Times New Roman"/>
        </w:rPr>
        <w:t>.</w:t>
      </w:r>
    </w:p>
    <w:p w14:paraId="19BCBD76"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Rimza, T., Saha, S., Dhand, C., Dwivedi, N., Patel, S.S., Singh, S. and Kumar, P. (2022) “Carbon‐Based Sorbents for hydrogen Storage: Challenges and sustainability at operating conditions for renewable energy,” </w:t>
      </w:r>
      <w:proofErr w:type="spellStart"/>
      <w:r w:rsidRPr="0099227C">
        <w:rPr>
          <w:rFonts w:ascii="Times New Roman" w:hAnsi="Times New Roman" w:cs="Times New Roman"/>
          <w:i/>
          <w:iCs/>
        </w:rPr>
        <w:t>ChemSusChem</w:t>
      </w:r>
      <w:proofErr w:type="spellEnd"/>
      <w:r w:rsidRPr="0099227C">
        <w:rPr>
          <w:rFonts w:ascii="Times New Roman" w:hAnsi="Times New Roman" w:cs="Times New Roman"/>
        </w:rPr>
        <w:t xml:space="preserve">, 15(11). Available at: </w:t>
      </w:r>
      <w:hyperlink r:id="rId58" w:history="1">
        <w:r w:rsidRPr="0099227C">
          <w:rPr>
            <w:rStyle w:val="Hyperlink"/>
            <w:rFonts w:ascii="Times New Roman" w:hAnsi="Times New Roman" w:cs="Times New Roman"/>
          </w:rPr>
          <w:t>https://doi.org/10.1002/cssc.202200281</w:t>
        </w:r>
      </w:hyperlink>
      <w:r w:rsidRPr="0099227C">
        <w:rPr>
          <w:rFonts w:ascii="Times New Roman" w:hAnsi="Times New Roman" w:cs="Times New Roman"/>
        </w:rPr>
        <w:t>.</w:t>
      </w:r>
    </w:p>
    <w:p w14:paraId="78BD25F0"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Saeed, M., Marwani, H.M., Shahzad, U., Asiri, A.M. and Rahman, M.M. (2024) “Nanoscale silicon porous materials for efficient hydrogen storage application,” </w:t>
      </w:r>
      <w:r w:rsidRPr="0099227C">
        <w:rPr>
          <w:rFonts w:ascii="Times New Roman" w:hAnsi="Times New Roman" w:cs="Times New Roman"/>
          <w:i/>
          <w:iCs/>
        </w:rPr>
        <w:t>Journal of Energy Storage</w:t>
      </w:r>
      <w:r w:rsidRPr="0099227C">
        <w:rPr>
          <w:rFonts w:ascii="Times New Roman" w:hAnsi="Times New Roman" w:cs="Times New Roman"/>
        </w:rPr>
        <w:t xml:space="preserve">, 81, p. 110418. Available at: </w:t>
      </w:r>
      <w:hyperlink r:id="rId59" w:history="1">
        <w:r w:rsidRPr="0099227C">
          <w:rPr>
            <w:rStyle w:val="Hyperlink"/>
            <w:rFonts w:ascii="Times New Roman" w:hAnsi="Times New Roman" w:cs="Times New Roman"/>
          </w:rPr>
          <w:t>https://doi.org/10.1016/j.est.2024.110418</w:t>
        </w:r>
      </w:hyperlink>
      <w:r w:rsidRPr="0099227C">
        <w:rPr>
          <w:rFonts w:ascii="Times New Roman" w:hAnsi="Times New Roman" w:cs="Times New Roman"/>
        </w:rPr>
        <w:t>.</w:t>
      </w:r>
    </w:p>
    <w:p w14:paraId="0B6572BC"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Salehabadi</w:t>
      </w:r>
      <w:proofErr w:type="spellEnd"/>
      <w:r w:rsidRPr="0099227C">
        <w:rPr>
          <w:rFonts w:ascii="Times New Roman" w:hAnsi="Times New Roman" w:cs="Times New Roman"/>
        </w:rPr>
        <w:t xml:space="preserve">, A., Zanganeh, J. and </w:t>
      </w:r>
      <w:proofErr w:type="spellStart"/>
      <w:r w:rsidRPr="0099227C">
        <w:rPr>
          <w:rFonts w:ascii="Times New Roman" w:hAnsi="Times New Roman" w:cs="Times New Roman"/>
        </w:rPr>
        <w:t>Moghtaderi</w:t>
      </w:r>
      <w:proofErr w:type="spellEnd"/>
      <w:r w:rsidRPr="0099227C">
        <w:rPr>
          <w:rFonts w:ascii="Times New Roman" w:hAnsi="Times New Roman" w:cs="Times New Roman"/>
        </w:rPr>
        <w:t xml:space="preserve">, B. (2024) “Mixed metal oxides in catalytic ammonia cracking process for green hydrogen production: A review,”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63, pp. 828–843. Available at: </w:t>
      </w:r>
      <w:hyperlink r:id="rId60" w:history="1">
        <w:r w:rsidRPr="0099227C">
          <w:rPr>
            <w:rStyle w:val="Hyperlink"/>
            <w:rFonts w:ascii="Times New Roman" w:hAnsi="Times New Roman" w:cs="Times New Roman"/>
          </w:rPr>
          <w:t>https://doi.org/10.1016/j.ijhydene.2024.03.189</w:t>
        </w:r>
      </w:hyperlink>
      <w:r w:rsidRPr="0099227C">
        <w:rPr>
          <w:rFonts w:ascii="Times New Roman" w:hAnsi="Times New Roman" w:cs="Times New Roman"/>
        </w:rPr>
        <w:t>.</w:t>
      </w:r>
    </w:p>
    <w:p w14:paraId="4DEF443A"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Sambo, C., </w:t>
      </w:r>
      <w:proofErr w:type="spellStart"/>
      <w:r w:rsidRPr="0099227C">
        <w:rPr>
          <w:rFonts w:ascii="Times New Roman" w:hAnsi="Times New Roman" w:cs="Times New Roman"/>
        </w:rPr>
        <w:t>Dudun</w:t>
      </w:r>
      <w:proofErr w:type="spellEnd"/>
      <w:r w:rsidRPr="0099227C">
        <w:rPr>
          <w:rFonts w:ascii="Times New Roman" w:hAnsi="Times New Roman" w:cs="Times New Roman"/>
        </w:rPr>
        <w:t xml:space="preserve">, A., Samuel, S.A., </w:t>
      </w:r>
      <w:proofErr w:type="spellStart"/>
      <w:r w:rsidRPr="0099227C">
        <w:rPr>
          <w:rFonts w:ascii="Times New Roman" w:hAnsi="Times New Roman" w:cs="Times New Roman"/>
        </w:rPr>
        <w:t>Esenenjor</w:t>
      </w:r>
      <w:proofErr w:type="spellEnd"/>
      <w:r w:rsidRPr="0099227C">
        <w:rPr>
          <w:rFonts w:ascii="Times New Roman" w:hAnsi="Times New Roman" w:cs="Times New Roman"/>
        </w:rPr>
        <w:t xml:space="preserve">, P., Muhammed, N.S. and Haq, B. (2022) “A review on worldwide underground hydrogen storage operating and potential fields,”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47(54), pp. 22840–22880. Available at: </w:t>
      </w:r>
      <w:hyperlink r:id="rId61" w:history="1">
        <w:r w:rsidRPr="0099227C">
          <w:rPr>
            <w:rStyle w:val="Hyperlink"/>
            <w:rFonts w:ascii="Times New Roman" w:hAnsi="Times New Roman" w:cs="Times New Roman"/>
          </w:rPr>
          <w:t>https://doi.org/10.1016/j.ijhydene.2022.05.126</w:t>
        </w:r>
      </w:hyperlink>
      <w:r w:rsidRPr="0099227C">
        <w:rPr>
          <w:rFonts w:ascii="Times New Roman" w:hAnsi="Times New Roman" w:cs="Times New Roman"/>
        </w:rPr>
        <w:t>.</w:t>
      </w:r>
    </w:p>
    <w:p w14:paraId="6F194C2B"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Scarpati, G., </w:t>
      </w:r>
      <w:proofErr w:type="spellStart"/>
      <w:r w:rsidRPr="0099227C">
        <w:rPr>
          <w:rFonts w:ascii="Times New Roman" w:hAnsi="Times New Roman" w:cs="Times New Roman"/>
        </w:rPr>
        <w:t>Frasci</w:t>
      </w:r>
      <w:proofErr w:type="spellEnd"/>
      <w:r w:rsidRPr="0099227C">
        <w:rPr>
          <w:rFonts w:ascii="Times New Roman" w:hAnsi="Times New Roman" w:cs="Times New Roman"/>
        </w:rPr>
        <w:t xml:space="preserve">, E., Di Ilio, G. and Jannelli, E. (2024) “A comprehensive review on metal hydrides-based hydrogen storage systems for mobile applications,” </w:t>
      </w:r>
      <w:r w:rsidRPr="0099227C">
        <w:rPr>
          <w:rFonts w:ascii="Times New Roman" w:hAnsi="Times New Roman" w:cs="Times New Roman"/>
          <w:i/>
          <w:iCs/>
        </w:rPr>
        <w:t>Journal of Energy Storage</w:t>
      </w:r>
      <w:r w:rsidRPr="0099227C">
        <w:rPr>
          <w:rFonts w:ascii="Times New Roman" w:hAnsi="Times New Roman" w:cs="Times New Roman"/>
        </w:rPr>
        <w:t xml:space="preserve">, 102, p. 113934. Available at: </w:t>
      </w:r>
      <w:hyperlink r:id="rId62" w:history="1">
        <w:r w:rsidRPr="0099227C">
          <w:rPr>
            <w:rStyle w:val="Hyperlink"/>
            <w:rFonts w:ascii="Times New Roman" w:hAnsi="Times New Roman" w:cs="Times New Roman"/>
          </w:rPr>
          <w:t>https://doi.org/10.1016/j.est.2024.113934</w:t>
        </w:r>
      </w:hyperlink>
      <w:r w:rsidRPr="0099227C">
        <w:rPr>
          <w:rFonts w:ascii="Times New Roman" w:hAnsi="Times New Roman" w:cs="Times New Roman"/>
        </w:rPr>
        <w:t>.</w:t>
      </w:r>
    </w:p>
    <w:p w14:paraId="388C0B6D"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Sharma, G.D., Verma, M., Taheri, B., Chopra, R. and Parihar, J.S. (2023) “Socio-economic aspects of hydrogen energy: An integrative review,” </w:t>
      </w:r>
      <w:r w:rsidRPr="0099227C">
        <w:rPr>
          <w:rFonts w:ascii="Times New Roman" w:hAnsi="Times New Roman" w:cs="Times New Roman"/>
          <w:i/>
          <w:iCs/>
        </w:rPr>
        <w:t>Technological Forecasting and Social Change</w:t>
      </w:r>
      <w:r w:rsidRPr="0099227C">
        <w:rPr>
          <w:rFonts w:ascii="Times New Roman" w:hAnsi="Times New Roman" w:cs="Times New Roman"/>
        </w:rPr>
        <w:t xml:space="preserve">, 192, p. 122574. Available at: </w:t>
      </w:r>
      <w:hyperlink r:id="rId63" w:history="1">
        <w:r w:rsidRPr="0099227C">
          <w:rPr>
            <w:rStyle w:val="Hyperlink"/>
            <w:rFonts w:ascii="Times New Roman" w:hAnsi="Times New Roman" w:cs="Times New Roman"/>
          </w:rPr>
          <w:t>https://doi.org/10.1016/j.techfore.2023.122574</w:t>
        </w:r>
      </w:hyperlink>
      <w:r w:rsidRPr="0099227C">
        <w:rPr>
          <w:rFonts w:ascii="Times New Roman" w:hAnsi="Times New Roman" w:cs="Times New Roman"/>
        </w:rPr>
        <w:t>.</w:t>
      </w:r>
    </w:p>
    <w:p w14:paraId="6F9F2D8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Singla, M.K., Nijhawan, P. and Oberoi, A.S. (2021) “Hydrogen fuel and fuel cell technology for cleaner future: a review,” </w:t>
      </w:r>
      <w:r w:rsidRPr="0099227C">
        <w:rPr>
          <w:rFonts w:ascii="Times New Roman" w:hAnsi="Times New Roman" w:cs="Times New Roman"/>
          <w:i/>
          <w:iCs/>
        </w:rPr>
        <w:t>Environmental Science and Pollution Research</w:t>
      </w:r>
      <w:r w:rsidRPr="0099227C">
        <w:rPr>
          <w:rFonts w:ascii="Times New Roman" w:hAnsi="Times New Roman" w:cs="Times New Roman"/>
        </w:rPr>
        <w:t xml:space="preserve">, 28(13), pp. 15607–15626. Available at: </w:t>
      </w:r>
      <w:hyperlink r:id="rId64" w:history="1">
        <w:r w:rsidRPr="0099227C">
          <w:rPr>
            <w:rStyle w:val="Hyperlink"/>
            <w:rFonts w:ascii="Times New Roman" w:hAnsi="Times New Roman" w:cs="Times New Roman"/>
          </w:rPr>
          <w:t>https://doi.org/10.1007/s11356-020-12231-8</w:t>
        </w:r>
      </w:hyperlink>
      <w:r w:rsidRPr="0099227C">
        <w:rPr>
          <w:rFonts w:ascii="Times New Roman" w:hAnsi="Times New Roman" w:cs="Times New Roman"/>
        </w:rPr>
        <w:t>.</w:t>
      </w:r>
    </w:p>
    <w:p w14:paraId="48A2D1E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lastRenderedPageBreak/>
        <w:t xml:space="preserve">Stetson, N. and </w:t>
      </w:r>
      <w:proofErr w:type="spellStart"/>
      <w:r w:rsidRPr="0099227C">
        <w:rPr>
          <w:rFonts w:ascii="Times New Roman" w:hAnsi="Times New Roman" w:cs="Times New Roman"/>
        </w:rPr>
        <w:t>Wieliczko</w:t>
      </w:r>
      <w:proofErr w:type="spellEnd"/>
      <w:r w:rsidRPr="0099227C">
        <w:rPr>
          <w:rFonts w:ascii="Times New Roman" w:hAnsi="Times New Roman" w:cs="Times New Roman"/>
        </w:rPr>
        <w:t xml:space="preserve">, M. (2020) “Hydrogen technologies for energy storage: A perspective,” </w:t>
      </w:r>
      <w:r w:rsidRPr="0099227C">
        <w:rPr>
          <w:rFonts w:ascii="Times New Roman" w:hAnsi="Times New Roman" w:cs="Times New Roman"/>
          <w:i/>
          <w:iCs/>
        </w:rPr>
        <w:t>MRS Energy &amp; Sustainability</w:t>
      </w:r>
      <w:r w:rsidRPr="0099227C">
        <w:rPr>
          <w:rFonts w:ascii="Times New Roman" w:hAnsi="Times New Roman" w:cs="Times New Roman"/>
        </w:rPr>
        <w:t xml:space="preserve">, 7(1). Available at: </w:t>
      </w:r>
      <w:hyperlink r:id="rId65" w:history="1">
        <w:r w:rsidRPr="0099227C">
          <w:rPr>
            <w:rStyle w:val="Hyperlink"/>
            <w:rFonts w:ascii="Times New Roman" w:hAnsi="Times New Roman" w:cs="Times New Roman"/>
          </w:rPr>
          <w:t>https://doi.org/10.1557/mre.2020.43</w:t>
        </w:r>
      </w:hyperlink>
      <w:r w:rsidRPr="0099227C">
        <w:rPr>
          <w:rFonts w:ascii="Times New Roman" w:hAnsi="Times New Roman" w:cs="Times New Roman"/>
        </w:rPr>
        <w:t>.</w:t>
      </w:r>
    </w:p>
    <w:p w14:paraId="295BBC46"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Tang, D., Tan, G.-L., Li, G.-W., Liang, J.-G., Ahmad, S.M., Bahadur, A., Humayun, M., Ullah, H., Khan, A. and </w:t>
      </w:r>
      <w:proofErr w:type="spellStart"/>
      <w:r w:rsidRPr="0099227C">
        <w:rPr>
          <w:rFonts w:ascii="Times New Roman" w:hAnsi="Times New Roman" w:cs="Times New Roman"/>
        </w:rPr>
        <w:t>Bououdina</w:t>
      </w:r>
      <w:proofErr w:type="spellEnd"/>
      <w:r w:rsidRPr="0099227C">
        <w:rPr>
          <w:rFonts w:ascii="Times New Roman" w:hAnsi="Times New Roman" w:cs="Times New Roman"/>
        </w:rPr>
        <w:t xml:space="preserve">, M. (2023) “State-of-the-art hydrogen generation techniques and storage methods: A critical review,” </w:t>
      </w:r>
      <w:r w:rsidRPr="0099227C">
        <w:rPr>
          <w:rFonts w:ascii="Times New Roman" w:hAnsi="Times New Roman" w:cs="Times New Roman"/>
          <w:i/>
          <w:iCs/>
        </w:rPr>
        <w:t>Journal of Energy Storage</w:t>
      </w:r>
      <w:r w:rsidRPr="0099227C">
        <w:rPr>
          <w:rFonts w:ascii="Times New Roman" w:hAnsi="Times New Roman" w:cs="Times New Roman"/>
        </w:rPr>
        <w:t xml:space="preserve">, 64, p. 107196. Available at: </w:t>
      </w:r>
      <w:hyperlink r:id="rId66" w:history="1">
        <w:r w:rsidRPr="0099227C">
          <w:rPr>
            <w:rStyle w:val="Hyperlink"/>
            <w:rFonts w:ascii="Times New Roman" w:hAnsi="Times New Roman" w:cs="Times New Roman"/>
          </w:rPr>
          <w:t>https://doi.org/10.1016/j.est.2023.107196</w:t>
        </w:r>
      </w:hyperlink>
      <w:r w:rsidRPr="0099227C">
        <w:rPr>
          <w:rFonts w:ascii="Times New Roman" w:hAnsi="Times New Roman" w:cs="Times New Roman"/>
        </w:rPr>
        <w:t>.</w:t>
      </w:r>
    </w:p>
    <w:p w14:paraId="3F52A11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Van, L.P., Chi, K.D. and Duc, T.N. (2023) “Review of hydrogen technologies based microgrid: Energy management systems, challenges and future recommendations,”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48(38), pp. 14127–14148. Available at: </w:t>
      </w:r>
      <w:hyperlink r:id="rId67" w:history="1">
        <w:r w:rsidRPr="0099227C">
          <w:rPr>
            <w:rStyle w:val="Hyperlink"/>
            <w:rFonts w:ascii="Times New Roman" w:hAnsi="Times New Roman" w:cs="Times New Roman"/>
          </w:rPr>
          <w:t>https://doi.org/10.1016/j.ijhydene.2022.12.345</w:t>
        </w:r>
      </w:hyperlink>
      <w:r w:rsidRPr="0099227C">
        <w:rPr>
          <w:rFonts w:ascii="Times New Roman" w:hAnsi="Times New Roman" w:cs="Times New Roman"/>
        </w:rPr>
        <w:t>.</w:t>
      </w:r>
    </w:p>
    <w:p w14:paraId="5FFB037D"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Vidas, L., Castro, R. and Pires, A. (2022) “A Review of the Impact of Hydrogen Integration in Natural Gas Distribution Networks and Electric Smart Grids,” </w:t>
      </w:r>
      <w:r w:rsidRPr="0099227C">
        <w:rPr>
          <w:rFonts w:ascii="Times New Roman" w:hAnsi="Times New Roman" w:cs="Times New Roman"/>
          <w:i/>
          <w:iCs/>
        </w:rPr>
        <w:t>Energies</w:t>
      </w:r>
      <w:r w:rsidRPr="0099227C">
        <w:rPr>
          <w:rFonts w:ascii="Times New Roman" w:hAnsi="Times New Roman" w:cs="Times New Roman"/>
        </w:rPr>
        <w:t xml:space="preserve">, 15(9), p. 3160. Available at: </w:t>
      </w:r>
      <w:hyperlink r:id="rId68" w:history="1">
        <w:r w:rsidRPr="0099227C">
          <w:rPr>
            <w:rStyle w:val="Hyperlink"/>
            <w:rFonts w:ascii="Times New Roman" w:hAnsi="Times New Roman" w:cs="Times New Roman"/>
          </w:rPr>
          <w:t>https://doi.org/10.3390/en15093160</w:t>
        </w:r>
      </w:hyperlink>
      <w:r w:rsidRPr="0099227C">
        <w:rPr>
          <w:rFonts w:ascii="Times New Roman" w:hAnsi="Times New Roman" w:cs="Times New Roman"/>
        </w:rPr>
        <w:t>.</w:t>
      </w:r>
    </w:p>
    <w:p w14:paraId="3BC1B03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Wali, S.B., Hannan, M.A., Rahman, A., Alghamdi, H.A., Mansor, M., Ker, P.J., Tiong, S.K. and Mahlia, T.M.I. (2023) “Usage count of hydrogen-based hybrid energy storage systems: An analytical review, challenges and future research potentials,”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48(89), pp. 34836–34861. Available at: </w:t>
      </w:r>
      <w:hyperlink r:id="rId69" w:history="1">
        <w:r w:rsidRPr="0099227C">
          <w:rPr>
            <w:rStyle w:val="Hyperlink"/>
            <w:rFonts w:ascii="Times New Roman" w:hAnsi="Times New Roman" w:cs="Times New Roman"/>
          </w:rPr>
          <w:t>https://doi.org/10.1016/j.ijhydene.2023.05.298</w:t>
        </w:r>
      </w:hyperlink>
      <w:r w:rsidRPr="0099227C">
        <w:rPr>
          <w:rFonts w:ascii="Times New Roman" w:hAnsi="Times New Roman" w:cs="Times New Roman"/>
        </w:rPr>
        <w:t>.</w:t>
      </w:r>
    </w:p>
    <w:p w14:paraId="10923E12"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Zahid, A.H., Amin, N., Nisar, F. and Saghir, S. (2020) “Analysis of MTH-System (Methylcyclohexane-Toluene-Hydrogen-System) for hydrogen production as fuel for power plants,”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45(56), pp. 32234–32242. Available at: </w:t>
      </w:r>
      <w:hyperlink r:id="rId70" w:history="1">
        <w:r w:rsidRPr="0099227C">
          <w:rPr>
            <w:rStyle w:val="Hyperlink"/>
            <w:rFonts w:ascii="Times New Roman" w:hAnsi="Times New Roman" w:cs="Times New Roman"/>
          </w:rPr>
          <w:t>https://doi.org/10.1016/j.ijhydene.2020.08.248</w:t>
        </w:r>
      </w:hyperlink>
      <w:r w:rsidRPr="0099227C">
        <w:rPr>
          <w:rFonts w:ascii="Times New Roman" w:hAnsi="Times New Roman" w:cs="Times New Roman"/>
        </w:rPr>
        <w:t>.</w:t>
      </w:r>
    </w:p>
    <w:p w14:paraId="5563F754"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Zeng, L., Sander, R., Chen, Y. and Xie, Q. (2024) “Hydrogen storage performance during underground hydrogen storage in depleted gas reservoirs: a review,” </w:t>
      </w:r>
      <w:r w:rsidRPr="0099227C">
        <w:rPr>
          <w:rFonts w:ascii="Times New Roman" w:hAnsi="Times New Roman" w:cs="Times New Roman"/>
          <w:i/>
          <w:iCs/>
        </w:rPr>
        <w:t>Engineering</w:t>
      </w:r>
      <w:r w:rsidRPr="0099227C">
        <w:rPr>
          <w:rFonts w:ascii="Times New Roman" w:hAnsi="Times New Roman" w:cs="Times New Roman"/>
        </w:rPr>
        <w:t xml:space="preserve">, 40, pp. 211–225. Available at: </w:t>
      </w:r>
      <w:hyperlink r:id="rId71" w:history="1">
        <w:r w:rsidRPr="0099227C">
          <w:rPr>
            <w:rStyle w:val="Hyperlink"/>
            <w:rFonts w:ascii="Times New Roman" w:hAnsi="Times New Roman" w:cs="Times New Roman"/>
          </w:rPr>
          <w:t>https://doi.org/10.1016/j.eng.2024.03.011</w:t>
        </w:r>
      </w:hyperlink>
      <w:r w:rsidRPr="0099227C">
        <w:rPr>
          <w:rFonts w:ascii="Times New Roman" w:hAnsi="Times New Roman" w:cs="Times New Roman"/>
        </w:rPr>
        <w:t>.</w:t>
      </w:r>
    </w:p>
    <w:p w14:paraId="77143398"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Zhang, J. and Li, J. (2024) “Revolution in Renewables: Integration of green hydrogen for a sustainable future,” </w:t>
      </w:r>
      <w:r w:rsidRPr="0099227C">
        <w:rPr>
          <w:rFonts w:ascii="Times New Roman" w:hAnsi="Times New Roman" w:cs="Times New Roman"/>
          <w:i/>
          <w:iCs/>
        </w:rPr>
        <w:t>Energies</w:t>
      </w:r>
      <w:r w:rsidRPr="0099227C">
        <w:rPr>
          <w:rFonts w:ascii="Times New Roman" w:hAnsi="Times New Roman" w:cs="Times New Roman"/>
        </w:rPr>
        <w:t xml:space="preserve">, 17(16), p. 4148. Available at: </w:t>
      </w:r>
      <w:hyperlink r:id="rId72" w:history="1">
        <w:r w:rsidRPr="0099227C">
          <w:rPr>
            <w:rStyle w:val="Hyperlink"/>
            <w:rFonts w:ascii="Times New Roman" w:hAnsi="Times New Roman" w:cs="Times New Roman"/>
          </w:rPr>
          <w:t>https://doi.org/10.3390/en17164148</w:t>
        </w:r>
      </w:hyperlink>
      <w:r w:rsidRPr="0099227C">
        <w:rPr>
          <w:rFonts w:ascii="Times New Roman" w:hAnsi="Times New Roman" w:cs="Times New Roman"/>
        </w:rPr>
        <w:t>.</w:t>
      </w:r>
    </w:p>
    <w:p w14:paraId="5D0C4581"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lastRenderedPageBreak/>
        <w:t xml:space="preserve">Zhang, J., Zhang, L. and Hu, S. (2024) “Underground hydrogen storage in depleted gas fields: Progress, challenges, and outlook,” </w:t>
      </w:r>
      <w:r w:rsidRPr="0099227C">
        <w:rPr>
          <w:rFonts w:ascii="Times New Roman" w:hAnsi="Times New Roman" w:cs="Times New Roman"/>
          <w:i/>
          <w:iCs/>
        </w:rPr>
        <w:t>Journal of Energy Storage</w:t>
      </w:r>
      <w:r w:rsidRPr="0099227C">
        <w:rPr>
          <w:rFonts w:ascii="Times New Roman" w:hAnsi="Times New Roman" w:cs="Times New Roman"/>
        </w:rPr>
        <w:t xml:space="preserve">, 102, p. 113842. Available at: </w:t>
      </w:r>
      <w:hyperlink r:id="rId73" w:history="1">
        <w:r w:rsidRPr="0099227C">
          <w:rPr>
            <w:rStyle w:val="Hyperlink"/>
            <w:rFonts w:ascii="Times New Roman" w:hAnsi="Times New Roman" w:cs="Times New Roman"/>
          </w:rPr>
          <w:t>https://doi.org/10.1016/j.est.2024.113842</w:t>
        </w:r>
      </w:hyperlink>
      <w:r w:rsidRPr="0099227C">
        <w:rPr>
          <w:rFonts w:ascii="Times New Roman" w:hAnsi="Times New Roman" w:cs="Times New Roman"/>
        </w:rPr>
        <w:t>.</w:t>
      </w:r>
    </w:p>
    <w:p w14:paraId="3AD3464C"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Zhou, C., Chen, C., Sun, J. and Chen, Y. (2024) “Study of hydrogen storage properties of Na modified 6,6,12-graphyne,” </w:t>
      </w:r>
      <w:r w:rsidRPr="0099227C">
        <w:rPr>
          <w:rFonts w:ascii="Times New Roman" w:hAnsi="Times New Roman" w:cs="Times New Roman"/>
          <w:i/>
          <w:iCs/>
        </w:rPr>
        <w:t>Journal of Energy Storage</w:t>
      </w:r>
      <w:r w:rsidRPr="0099227C">
        <w:rPr>
          <w:rFonts w:ascii="Times New Roman" w:hAnsi="Times New Roman" w:cs="Times New Roman"/>
        </w:rPr>
        <w:t xml:space="preserve">, 98, p. 113087. Available at: </w:t>
      </w:r>
      <w:hyperlink r:id="rId74" w:history="1">
        <w:r w:rsidRPr="0099227C">
          <w:rPr>
            <w:rStyle w:val="Hyperlink"/>
            <w:rFonts w:ascii="Times New Roman" w:hAnsi="Times New Roman" w:cs="Times New Roman"/>
          </w:rPr>
          <w:t>https://doi.org/10.1016/j.est.2024.113087</w:t>
        </w:r>
      </w:hyperlink>
      <w:r w:rsidRPr="0099227C">
        <w:rPr>
          <w:rFonts w:ascii="Times New Roman" w:hAnsi="Times New Roman" w:cs="Times New Roman"/>
        </w:rPr>
        <w:t>.</w:t>
      </w:r>
    </w:p>
    <w:p w14:paraId="563CA2AE"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Zhou, Y. (2022) “Transition towards carbon-neutral districts based on storage techniques and spatiotemporal energy sharing with electrification and hydrogenation,” </w:t>
      </w:r>
      <w:r w:rsidRPr="0099227C">
        <w:rPr>
          <w:rFonts w:ascii="Times New Roman" w:hAnsi="Times New Roman" w:cs="Times New Roman"/>
          <w:i/>
          <w:iCs/>
        </w:rPr>
        <w:t>Renewable and Sustainable Energy Reviews</w:t>
      </w:r>
      <w:r w:rsidRPr="0099227C">
        <w:rPr>
          <w:rFonts w:ascii="Times New Roman" w:hAnsi="Times New Roman" w:cs="Times New Roman"/>
        </w:rPr>
        <w:t xml:space="preserve">, 162, p. 112444. Available at: </w:t>
      </w:r>
      <w:hyperlink r:id="rId75" w:history="1">
        <w:r w:rsidRPr="0099227C">
          <w:rPr>
            <w:rStyle w:val="Hyperlink"/>
            <w:rFonts w:ascii="Times New Roman" w:hAnsi="Times New Roman" w:cs="Times New Roman"/>
          </w:rPr>
          <w:t>https://doi.org/10.1016/j.rser.2022.112444</w:t>
        </w:r>
      </w:hyperlink>
      <w:r w:rsidRPr="0099227C">
        <w:rPr>
          <w:rFonts w:ascii="Times New Roman" w:hAnsi="Times New Roman" w:cs="Times New Roman"/>
        </w:rPr>
        <w:t>.</w:t>
      </w:r>
    </w:p>
    <w:p w14:paraId="6F39DB94" w14:textId="77777777" w:rsidR="0099227C" w:rsidRPr="0099227C" w:rsidRDefault="0099227C" w:rsidP="0099227C">
      <w:pPr>
        <w:spacing w:line="360" w:lineRule="auto"/>
        <w:jc w:val="both"/>
        <w:rPr>
          <w:rFonts w:ascii="Times New Roman" w:hAnsi="Times New Roman" w:cs="Times New Roman"/>
        </w:rPr>
      </w:pPr>
    </w:p>
    <w:p w14:paraId="19A9ABF6" w14:textId="77777777" w:rsidR="0099227C" w:rsidRPr="0099227C" w:rsidRDefault="0099227C" w:rsidP="0099227C">
      <w:pPr>
        <w:spacing w:line="360" w:lineRule="auto"/>
        <w:jc w:val="both"/>
        <w:rPr>
          <w:rFonts w:ascii="Times New Roman" w:hAnsi="Times New Roman" w:cs="Times New Roman"/>
        </w:rPr>
      </w:pPr>
    </w:p>
    <w:p w14:paraId="1D36C520" w14:textId="77777777" w:rsidR="0099227C" w:rsidRPr="0099227C" w:rsidRDefault="0099227C" w:rsidP="0099227C">
      <w:pPr>
        <w:spacing w:line="360" w:lineRule="auto"/>
        <w:jc w:val="both"/>
        <w:rPr>
          <w:rFonts w:ascii="Times New Roman" w:hAnsi="Times New Roman" w:cs="Times New Roman"/>
        </w:rPr>
      </w:pPr>
    </w:p>
    <w:p w14:paraId="59351E69" w14:textId="77777777" w:rsidR="0099227C" w:rsidRPr="0099227C" w:rsidRDefault="0099227C" w:rsidP="0099227C">
      <w:pPr>
        <w:spacing w:line="360" w:lineRule="auto"/>
        <w:jc w:val="both"/>
        <w:rPr>
          <w:rFonts w:ascii="Times New Roman" w:hAnsi="Times New Roman" w:cs="Times New Roman"/>
        </w:rPr>
      </w:pPr>
    </w:p>
    <w:p w14:paraId="65DC8E6A" w14:textId="77777777" w:rsidR="0099227C" w:rsidRPr="0099227C" w:rsidRDefault="0099227C" w:rsidP="0099227C">
      <w:pPr>
        <w:spacing w:line="360" w:lineRule="auto"/>
        <w:jc w:val="both"/>
        <w:rPr>
          <w:rFonts w:ascii="Times New Roman" w:hAnsi="Times New Roman" w:cs="Times New Roman"/>
        </w:rPr>
      </w:pPr>
    </w:p>
    <w:p w14:paraId="59506467" w14:textId="77777777" w:rsidR="0099227C" w:rsidRPr="0099227C" w:rsidRDefault="0099227C" w:rsidP="0099227C">
      <w:pPr>
        <w:spacing w:line="360" w:lineRule="auto"/>
        <w:jc w:val="both"/>
        <w:rPr>
          <w:rFonts w:ascii="Times New Roman" w:hAnsi="Times New Roman" w:cs="Times New Roman"/>
        </w:rPr>
      </w:pPr>
    </w:p>
    <w:p w14:paraId="7C28B2D5" w14:textId="77777777" w:rsidR="0099227C" w:rsidRPr="0099227C" w:rsidRDefault="0099227C" w:rsidP="0099227C">
      <w:pPr>
        <w:spacing w:line="360" w:lineRule="auto"/>
        <w:jc w:val="both"/>
        <w:rPr>
          <w:rFonts w:ascii="Times New Roman" w:hAnsi="Times New Roman" w:cs="Times New Roman"/>
        </w:rPr>
      </w:pPr>
    </w:p>
    <w:p w14:paraId="3123776F" w14:textId="77777777" w:rsidR="0099227C" w:rsidRPr="0099227C" w:rsidRDefault="0099227C" w:rsidP="008604F1">
      <w:pPr>
        <w:spacing w:line="360" w:lineRule="auto"/>
        <w:jc w:val="both"/>
        <w:rPr>
          <w:rFonts w:ascii="Times New Roman" w:hAnsi="Times New Roman" w:cs="Times New Roman"/>
        </w:rPr>
      </w:pPr>
    </w:p>
    <w:p w14:paraId="742F9D80" w14:textId="77777777" w:rsidR="00E85602" w:rsidRPr="0099227C" w:rsidRDefault="00E85602" w:rsidP="00E85602">
      <w:pPr>
        <w:jc w:val="both"/>
        <w:rPr>
          <w:rFonts w:ascii="Times New Roman" w:hAnsi="Times New Roman" w:cs="Times New Roman"/>
        </w:rPr>
      </w:pPr>
    </w:p>
    <w:sectPr w:rsidR="00E85602" w:rsidRPr="009922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A1C5" w14:textId="77777777" w:rsidR="006B41D5" w:rsidRDefault="006B41D5">
      <w:pPr>
        <w:spacing w:after="0" w:line="240" w:lineRule="auto"/>
      </w:pPr>
      <w:r>
        <w:separator/>
      </w:r>
    </w:p>
  </w:endnote>
  <w:endnote w:type="continuationSeparator" w:id="0">
    <w:p w14:paraId="6AF359A9" w14:textId="77777777" w:rsidR="006B41D5" w:rsidRDefault="006B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48DE" w14:textId="77777777" w:rsidR="00D54B19" w:rsidRDefault="00D54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4542"/>
      <w:docPartObj>
        <w:docPartGallery w:val="Page Numbers (Bottom of Page)"/>
        <w:docPartUnique/>
      </w:docPartObj>
    </w:sdtPr>
    <w:sdtEndPr>
      <w:rPr>
        <w:noProof/>
      </w:rPr>
    </w:sdtEndPr>
    <w:sdtContent>
      <w:p w14:paraId="141B408A" w14:textId="01FCD156" w:rsidR="00E85602" w:rsidRDefault="00E85602">
        <w:pPr>
          <w:pStyle w:val="Footer"/>
          <w:jc w:val="center"/>
        </w:pPr>
        <w:r>
          <w:fldChar w:fldCharType="begin"/>
        </w:r>
        <w:r>
          <w:instrText xml:space="preserve"> PAGE   \* MERGEFORMAT </w:instrText>
        </w:r>
        <w:r>
          <w:fldChar w:fldCharType="separate"/>
        </w:r>
        <w:r w:rsidR="00022765">
          <w:rPr>
            <w:noProof/>
          </w:rPr>
          <w:t>37</w:t>
        </w:r>
        <w:r>
          <w:rPr>
            <w:noProof/>
          </w:rPr>
          <w:fldChar w:fldCharType="end"/>
        </w:r>
      </w:p>
    </w:sdtContent>
  </w:sdt>
  <w:p w14:paraId="74879744" w14:textId="77777777" w:rsidR="00E85602" w:rsidRDefault="00E85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E228" w14:textId="77777777" w:rsidR="00D54B19" w:rsidRDefault="00D5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F85A" w14:textId="77777777" w:rsidR="006B41D5" w:rsidRDefault="006B41D5">
      <w:pPr>
        <w:spacing w:after="0" w:line="240" w:lineRule="auto"/>
      </w:pPr>
      <w:r>
        <w:separator/>
      </w:r>
    </w:p>
  </w:footnote>
  <w:footnote w:type="continuationSeparator" w:id="0">
    <w:p w14:paraId="470701BC" w14:textId="77777777" w:rsidR="006B41D5" w:rsidRDefault="006B4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E209" w14:textId="652DCDE2" w:rsidR="00D54B19" w:rsidRDefault="00000000">
    <w:pPr>
      <w:pStyle w:val="Header"/>
    </w:pPr>
    <w:r>
      <w:rPr>
        <w:noProof/>
      </w:rPr>
      <w:pict w14:anchorId="75695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8CA9" w14:textId="6969BA16" w:rsidR="00D54B19" w:rsidRDefault="00000000">
    <w:pPr>
      <w:pStyle w:val="Header"/>
    </w:pPr>
    <w:r>
      <w:rPr>
        <w:noProof/>
      </w:rPr>
      <w:pict w14:anchorId="1F7BB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5" o:spid="_x0000_s1035" type="#_x0000_t136" style="position:absolute;margin-left:0;margin-top:0;width:535.8pt;height:100.4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FB2B" w14:textId="0795975B" w:rsidR="00E85602" w:rsidRDefault="00000000">
    <w:pPr>
      <w:pStyle w:val="Header"/>
    </w:pPr>
    <w:r>
      <w:rPr>
        <w:noProof/>
      </w:rPr>
      <w:pict w14:anchorId="77F18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6" o:spid="_x0000_s1036" type="#_x0000_t136" style="position:absolute;margin-left:0;margin-top:0;width:535.8pt;height:100.4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C36C" w14:textId="038618E1" w:rsidR="00D54B19" w:rsidRDefault="00000000">
    <w:pPr>
      <w:pStyle w:val="Header"/>
    </w:pPr>
    <w:r>
      <w:rPr>
        <w:noProof/>
      </w:rPr>
      <w:pict w14:anchorId="0E26D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4" o:spid="_x0000_s1034" type="#_x0000_t136" style="position:absolute;margin-left:0;margin-top:0;width:535.8pt;height:100.4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89C7" w14:textId="379572B8" w:rsidR="00D54B19" w:rsidRDefault="00000000">
    <w:pPr>
      <w:pStyle w:val="Header"/>
    </w:pPr>
    <w:r>
      <w:rPr>
        <w:noProof/>
      </w:rPr>
      <w:pict w14:anchorId="7254B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C55C" w14:textId="2A321DBB" w:rsidR="00D54B19" w:rsidRDefault="00000000">
    <w:pPr>
      <w:pStyle w:val="Header"/>
    </w:pPr>
    <w:r>
      <w:rPr>
        <w:noProof/>
      </w:rPr>
      <w:pict w14:anchorId="03ECB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8E37" w14:textId="405889F1" w:rsidR="00D54B19" w:rsidRDefault="00000000">
    <w:pPr>
      <w:pStyle w:val="Header"/>
    </w:pPr>
    <w:r>
      <w:rPr>
        <w:noProof/>
      </w:rPr>
      <w:pict w14:anchorId="635EA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79"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8773" w14:textId="140F8012" w:rsidR="00E85602" w:rsidRDefault="00000000">
    <w:pPr>
      <w:pStyle w:val="Header"/>
    </w:pPr>
    <w:r>
      <w:rPr>
        <w:noProof/>
      </w:rPr>
      <w:pict w14:anchorId="09DD9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0"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0BDB" w14:textId="319846DD" w:rsidR="00D54B19" w:rsidRDefault="00000000">
    <w:pPr>
      <w:pStyle w:val="Header"/>
    </w:pPr>
    <w:r>
      <w:rPr>
        <w:noProof/>
      </w:rPr>
      <w:pict w14:anchorId="74490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78"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CAF0" w14:textId="7AC0BD5D" w:rsidR="00D54B19" w:rsidRDefault="00000000">
    <w:pPr>
      <w:pStyle w:val="Header"/>
    </w:pPr>
    <w:r>
      <w:rPr>
        <w:noProof/>
      </w:rPr>
      <w:pict w14:anchorId="28024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2" o:spid="_x0000_s1032"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EA22" w14:textId="38692C17" w:rsidR="00E85602" w:rsidRDefault="00000000">
    <w:pPr>
      <w:pStyle w:val="Header"/>
    </w:pPr>
    <w:r>
      <w:rPr>
        <w:noProof/>
      </w:rPr>
      <w:pict w14:anchorId="05416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3" o:spid="_x0000_s1033"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8820" w14:textId="0A3CFDE4" w:rsidR="00D54B19" w:rsidRDefault="00000000">
    <w:pPr>
      <w:pStyle w:val="Header"/>
    </w:pPr>
    <w:r>
      <w:rPr>
        <w:noProof/>
      </w:rPr>
      <w:pict w14:anchorId="36378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1" o:spid="_x0000_s1031"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FFD"/>
    <w:multiLevelType w:val="multilevel"/>
    <w:tmpl w:val="F842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C72A1"/>
    <w:multiLevelType w:val="multilevel"/>
    <w:tmpl w:val="A000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C6163"/>
    <w:multiLevelType w:val="multilevel"/>
    <w:tmpl w:val="9666741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ED2ACC"/>
    <w:multiLevelType w:val="multilevel"/>
    <w:tmpl w:val="2AC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A6CA2"/>
    <w:multiLevelType w:val="multilevel"/>
    <w:tmpl w:val="8306DC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123ED5"/>
    <w:multiLevelType w:val="multilevel"/>
    <w:tmpl w:val="3FEA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A22EA"/>
    <w:multiLevelType w:val="multilevel"/>
    <w:tmpl w:val="6C5A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20F9F"/>
    <w:multiLevelType w:val="multilevel"/>
    <w:tmpl w:val="E41C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246B29"/>
    <w:multiLevelType w:val="hybridMultilevel"/>
    <w:tmpl w:val="AF1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CE6852"/>
    <w:multiLevelType w:val="multilevel"/>
    <w:tmpl w:val="D4E035A4"/>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F32074"/>
    <w:multiLevelType w:val="multilevel"/>
    <w:tmpl w:val="520285C0"/>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55507654">
    <w:abstractNumId w:val="0"/>
  </w:num>
  <w:num w:numId="2" w16cid:durableId="1326665073">
    <w:abstractNumId w:val="5"/>
  </w:num>
  <w:num w:numId="3" w16cid:durableId="1210609051">
    <w:abstractNumId w:val="7"/>
  </w:num>
  <w:num w:numId="4" w16cid:durableId="327486920">
    <w:abstractNumId w:val="1"/>
  </w:num>
  <w:num w:numId="5" w16cid:durableId="67651995">
    <w:abstractNumId w:val="10"/>
  </w:num>
  <w:num w:numId="6" w16cid:durableId="301034755">
    <w:abstractNumId w:val="2"/>
  </w:num>
  <w:num w:numId="7" w16cid:durableId="888958831">
    <w:abstractNumId w:val="6"/>
  </w:num>
  <w:num w:numId="8" w16cid:durableId="1055200912">
    <w:abstractNumId w:val="8"/>
  </w:num>
  <w:num w:numId="9" w16cid:durableId="1311666764">
    <w:abstractNumId w:val="4"/>
  </w:num>
  <w:num w:numId="10" w16cid:durableId="95176666">
    <w:abstractNumId w:val="9"/>
  </w:num>
  <w:num w:numId="11" w16cid:durableId="1986002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43"/>
    <w:rsid w:val="00022765"/>
    <w:rsid w:val="000321E4"/>
    <w:rsid w:val="000F1854"/>
    <w:rsid w:val="00151E43"/>
    <w:rsid w:val="00200CF1"/>
    <w:rsid w:val="00244AC2"/>
    <w:rsid w:val="00276D2F"/>
    <w:rsid w:val="003748D2"/>
    <w:rsid w:val="003A425C"/>
    <w:rsid w:val="003A5C89"/>
    <w:rsid w:val="003D3317"/>
    <w:rsid w:val="003E6BBC"/>
    <w:rsid w:val="00405B3C"/>
    <w:rsid w:val="0050731A"/>
    <w:rsid w:val="00507ECC"/>
    <w:rsid w:val="005173E0"/>
    <w:rsid w:val="005638F1"/>
    <w:rsid w:val="006626A0"/>
    <w:rsid w:val="00670345"/>
    <w:rsid w:val="006835A0"/>
    <w:rsid w:val="006B41D5"/>
    <w:rsid w:val="0077246E"/>
    <w:rsid w:val="007B73E6"/>
    <w:rsid w:val="007F5261"/>
    <w:rsid w:val="008604F1"/>
    <w:rsid w:val="0099227C"/>
    <w:rsid w:val="00A1778A"/>
    <w:rsid w:val="00A33342"/>
    <w:rsid w:val="00B85671"/>
    <w:rsid w:val="00D54B19"/>
    <w:rsid w:val="00E24843"/>
    <w:rsid w:val="00E52AFB"/>
    <w:rsid w:val="00E85602"/>
    <w:rsid w:val="00F8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8CDA8"/>
  <w15:chartTrackingRefBased/>
  <w15:docId w15:val="{03AECAE5-F9C6-4BCC-B862-80068921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843"/>
    <w:rPr>
      <w:lang w:val="en-GB"/>
    </w:rPr>
  </w:style>
  <w:style w:type="paragraph" w:styleId="Heading1">
    <w:name w:val="heading 1"/>
    <w:basedOn w:val="Normal"/>
    <w:next w:val="Normal"/>
    <w:link w:val="Heading1Char"/>
    <w:uiPriority w:val="9"/>
    <w:qFormat/>
    <w:rsid w:val="00E24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24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4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24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4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843"/>
    <w:rPr>
      <w:rFonts w:eastAsiaTheme="majorEastAsia" w:cstheme="majorBidi"/>
      <w:color w:val="272727" w:themeColor="text1" w:themeTint="D8"/>
    </w:rPr>
  </w:style>
  <w:style w:type="paragraph" w:styleId="Title">
    <w:name w:val="Title"/>
    <w:basedOn w:val="Normal"/>
    <w:next w:val="Normal"/>
    <w:link w:val="TitleChar"/>
    <w:uiPriority w:val="10"/>
    <w:qFormat/>
    <w:rsid w:val="00E24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843"/>
    <w:pPr>
      <w:spacing w:before="160"/>
      <w:jc w:val="center"/>
    </w:pPr>
    <w:rPr>
      <w:i/>
      <w:iCs/>
      <w:color w:val="404040" w:themeColor="text1" w:themeTint="BF"/>
    </w:rPr>
  </w:style>
  <w:style w:type="character" w:customStyle="1" w:styleId="QuoteChar">
    <w:name w:val="Quote Char"/>
    <w:basedOn w:val="DefaultParagraphFont"/>
    <w:link w:val="Quote"/>
    <w:uiPriority w:val="29"/>
    <w:rsid w:val="00E24843"/>
    <w:rPr>
      <w:i/>
      <w:iCs/>
      <w:color w:val="404040" w:themeColor="text1" w:themeTint="BF"/>
    </w:rPr>
  </w:style>
  <w:style w:type="paragraph" w:styleId="ListParagraph">
    <w:name w:val="List Paragraph"/>
    <w:basedOn w:val="Normal"/>
    <w:uiPriority w:val="34"/>
    <w:qFormat/>
    <w:rsid w:val="00E24843"/>
    <w:pPr>
      <w:ind w:left="720"/>
      <w:contextualSpacing/>
    </w:pPr>
  </w:style>
  <w:style w:type="character" w:styleId="IntenseEmphasis">
    <w:name w:val="Intense Emphasis"/>
    <w:basedOn w:val="DefaultParagraphFont"/>
    <w:uiPriority w:val="21"/>
    <w:qFormat/>
    <w:rsid w:val="00E24843"/>
    <w:rPr>
      <w:i/>
      <w:iCs/>
      <w:color w:val="2F5496" w:themeColor="accent1" w:themeShade="BF"/>
    </w:rPr>
  </w:style>
  <w:style w:type="paragraph" w:styleId="IntenseQuote">
    <w:name w:val="Intense Quote"/>
    <w:basedOn w:val="Normal"/>
    <w:next w:val="Normal"/>
    <w:link w:val="IntenseQuoteChar"/>
    <w:uiPriority w:val="30"/>
    <w:qFormat/>
    <w:rsid w:val="00E24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843"/>
    <w:rPr>
      <w:i/>
      <w:iCs/>
      <w:color w:val="2F5496" w:themeColor="accent1" w:themeShade="BF"/>
    </w:rPr>
  </w:style>
  <w:style w:type="character" w:styleId="IntenseReference">
    <w:name w:val="Intense Reference"/>
    <w:basedOn w:val="DefaultParagraphFont"/>
    <w:uiPriority w:val="32"/>
    <w:qFormat/>
    <w:rsid w:val="00E24843"/>
    <w:rPr>
      <w:b/>
      <w:bCs/>
      <w:smallCaps/>
      <w:color w:val="2F5496" w:themeColor="accent1" w:themeShade="BF"/>
      <w:spacing w:val="5"/>
    </w:rPr>
  </w:style>
  <w:style w:type="character" w:styleId="Hyperlink">
    <w:name w:val="Hyperlink"/>
    <w:basedOn w:val="DefaultParagraphFont"/>
    <w:uiPriority w:val="99"/>
    <w:unhideWhenUsed/>
    <w:rsid w:val="00E24843"/>
    <w:rPr>
      <w:color w:val="0563C1" w:themeColor="hyperlink"/>
      <w:u w:val="single"/>
    </w:rPr>
  </w:style>
  <w:style w:type="character" w:customStyle="1" w:styleId="UnresolvedMention1">
    <w:name w:val="Unresolved Mention1"/>
    <w:basedOn w:val="DefaultParagraphFont"/>
    <w:uiPriority w:val="99"/>
    <w:semiHidden/>
    <w:unhideWhenUsed/>
    <w:rsid w:val="00E24843"/>
    <w:rPr>
      <w:color w:val="605E5C"/>
      <w:shd w:val="clear" w:color="auto" w:fill="E1DFDD"/>
    </w:rPr>
  </w:style>
  <w:style w:type="paragraph" w:styleId="Caption">
    <w:name w:val="caption"/>
    <w:basedOn w:val="Normal"/>
    <w:next w:val="Normal"/>
    <w:uiPriority w:val="35"/>
    <w:unhideWhenUsed/>
    <w:qFormat/>
    <w:rsid w:val="00E85602"/>
    <w:pPr>
      <w:spacing w:after="200" w:line="240" w:lineRule="auto"/>
    </w:pPr>
    <w:rPr>
      <w:i/>
      <w:iCs/>
      <w:color w:val="44546A" w:themeColor="text2"/>
      <w:sz w:val="18"/>
      <w:szCs w:val="18"/>
    </w:rPr>
  </w:style>
  <w:style w:type="table" w:styleId="TableGrid">
    <w:name w:val="Table Grid"/>
    <w:basedOn w:val="TableNormal"/>
    <w:uiPriority w:val="39"/>
    <w:rsid w:val="00E856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560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85602"/>
    <w:rPr>
      <w:b/>
      <w:bCs/>
    </w:rPr>
  </w:style>
  <w:style w:type="paragraph" w:styleId="Header">
    <w:name w:val="header"/>
    <w:basedOn w:val="Normal"/>
    <w:link w:val="HeaderChar"/>
    <w:uiPriority w:val="99"/>
    <w:unhideWhenUsed/>
    <w:rsid w:val="00E85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602"/>
    <w:rPr>
      <w:lang w:val="en-GB"/>
    </w:rPr>
  </w:style>
  <w:style w:type="paragraph" w:styleId="Footer">
    <w:name w:val="footer"/>
    <w:basedOn w:val="Normal"/>
    <w:link w:val="FooterChar"/>
    <w:uiPriority w:val="99"/>
    <w:unhideWhenUsed/>
    <w:rsid w:val="00E85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602"/>
    <w:rPr>
      <w:lang w:val="en-GB"/>
    </w:rPr>
  </w:style>
  <w:style w:type="paragraph" w:styleId="TOCHeading">
    <w:name w:val="TOC Heading"/>
    <w:basedOn w:val="Heading1"/>
    <w:next w:val="Normal"/>
    <w:uiPriority w:val="39"/>
    <w:unhideWhenUsed/>
    <w:qFormat/>
    <w:rsid w:val="00E856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E85602"/>
    <w:pPr>
      <w:spacing w:after="100"/>
    </w:pPr>
  </w:style>
  <w:style w:type="paragraph" w:styleId="TOC2">
    <w:name w:val="toc 2"/>
    <w:basedOn w:val="Normal"/>
    <w:next w:val="Normal"/>
    <w:autoRedefine/>
    <w:uiPriority w:val="39"/>
    <w:unhideWhenUsed/>
    <w:rsid w:val="00E85602"/>
    <w:pPr>
      <w:spacing w:after="100"/>
      <w:ind w:left="240"/>
    </w:pPr>
  </w:style>
  <w:style w:type="paragraph" w:styleId="TOC3">
    <w:name w:val="toc 3"/>
    <w:basedOn w:val="Normal"/>
    <w:next w:val="Normal"/>
    <w:autoRedefine/>
    <w:uiPriority w:val="39"/>
    <w:unhideWhenUsed/>
    <w:rsid w:val="00E85602"/>
    <w:pPr>
      <w:spacing w:after="100"/>
      <w:ind w:left="480"/>
    </w:pPr>
  </w:style>
  <w:style w:type="paragraph" w:styleId="TableofFigures">
    <w:name w:val="table of figures"/>
    <w:basedOn w:val="Normal"/>
    <w:next w:val="Normal"/>
    <w:uiPriority w:val="99"/>
    <w:unhideWhenUsed/>
    <w:rsid w:val="00E85602"/>
    <w:pPr>
      <w:spacing w:after="0"/>
    </w:pPr>
  </w:style>
  <w:style w:type="character" w:styleId="Emphasis">
    <w:name w:val="Emphasis"/>
    <w:basedOn w:val="DefaultParagraphFont"/>
    <w:uiPriority w:val="20"/>
    <w:qFormat/>
    <w:rsid w:val="00E85602"/>
    <w:rPr>
      <w:i/>
      <w:iCs/>
    </w:rPr>
  </w:style>
  <w:style w:type="paragraph" w:styleId="Bibliography">
    <w:name w:val="Bibliography"/>
    <w:basedOn w:val="Normal"/>
    <w:next w:val="Normal"/>
    <w:uiPriority w:val="37"/>
    <w:semiHidden/>
    <w:unhideWhenUsed/>
    <w:rsid w:val="00E85602"/>
  </w:style>
  <w:style w:type="character" w:styleId="FollowedHyperlink">
    <w:name w:val="FollowedHyperlink"/>
    <w:basedOn w:val="DefaultParagraphFont"/>
    <w:uiPriority w:val="99"/>
    <w:semiHidden/>
    <w:unhideWhenUsed/>
    <w:rsid w:val="00992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yperlink" Target="https://doi.org/10.1016/j.est.2023.106637" TargetMode="External"/><Relationship Id="rId21" Type="http://schemas.openxmlformats.org/officeDocument/2006/relationships/chart" Target="charts/chart1.xml"/><Relationship Id="rId34" Type="http://schemas.openxmlformats.org/officeDocument/2006/relationships/hyperlink" Target="https://doi.org/10.1016/j.ijhydene.2022.10.218" TargetMode="External"/><Relationship Id="rId42" Type="http://schemas.openxmlformats.org/officeDocument/2006/relationships/hyperlink" Target="https://doi.org/10.1016/j.ijhydene.2023.05.072" TargetMode="External"/><Relationship Id="rId47" Type="http://schemas.openxmlformats.org/officeDocument/2006/relationships/hyperlink" Target="https://doi.org/10.1109/phm-hangzhou58797.2023.10482622" TargetMode="External"/><Relationship Id="rId50" Type="http://schemas.openxmlformats.org/officeDocument/2006/relationships/hyperlink" Target="https://doi.org/10.1016/j.ijhydene.2023.05.102" TargetMode="External"/><Relationship Id="rId55" Type="http://schemas.openxmlformats.org/officeDocument/2006/relationships/hyperlink" Target="https://doi.org/10.3390/en16145495" TargetMode="External"/><Relationship Id="rId63" Type="http://schemas.openxmlformats.org/officeDocument/2006/relationships/hyperlink" Target="https://doi.org/10.1016/j.techfore.2023.122574" TargetMode="External"/><Relationship Id="rId68" Type="http://schemas.openxmlformats.org/officeDocument/2006/relationships/hyperlink" Target="https://doi.org/10.3390/en15093160" TargetMode="External"/><Relationship Id="rId76" Type="http://schemas.openxmlformats.org/officeDocument/2006/relationships/fontTable" Target="fontTable.xml"/><Relationship Id="rId7" Type="http://schemas.openxmlformats.org/officeDocument/2006/relationships/diagramData" Target="diagrams/data1.xml"/><Relationship Id="rId71" Type="http://schemas.openxmlformats.org/officeDocument/2006/relationships/hyperlink" Target="https://doi.org/10.1016/j.eng.2024.03.011"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eader" Target="header12.xml"/><Relationship Id="rId11" Type="http://schemas.microsoft.com/office/2007/relationships/diagramDrawing" Target="diagrams/drawing1.xml"/><Relationship Id="rId24" Type="http://schemas.openxmlformats.org/officeDocument/2006/relationships/header" Target="header7.xml"/><Relationship Id="rId32" Type="http://schemas.openxmlformats.org/officeDocument/2006/relationships/hyperlink" Target="https://doi.org/10.1016/j.enpol.2022.113286" TargetMode="External"/><Relationship Id="rId37" Type="http://schemas.openxmlformats.org/officeDocument/2006/relationships/hyperlink" Target="https://doi.org/10.1016/j.ijhydene.2021.06.218" TargetMode="External"/><Relationship Id="rId40" Type="http://schemas.openxmlformats.org/officeDocument/2006/relationships/hyperlink" Target="https://doi.org/10.1016/j.renene.2024.121726" TargetMode="External"/><Relationship Id="rId45" Type="http://schemas.openxmlformats.org/officeDocument/2006/relationships/hyperlink" Target="https://doi.org/10.1016/j.ijhydene.2024.03.235" TargetMode="External"/><Relationship Id="rId53" Type="http://schemas.openxmlformats.org/officeDocument/2006/relationships/hyperlink" Target="https://doi.org/10.1016/j.jpowsour.2022.232397" TargetMode="External"/><Relationship Id="rId58" Type="http://schemas.openxmlformats.org/officeDocument/2006/relationships/hyperlink" Target="https://doi.org/10.1002/cssc.202200281" TargetMode="External"/><Relationship Id="rId66" Type="http://schemas.openxmlformats.org/officeDocument/2006/relationships/hyperlink" Target="https://doi.org/10.1016/j.est.2023.107196" TargetMode="External"/><Relationship Id="rId74" Type="http://schemas.openxmlformats.org/officeDocument/2006/relationships/hyperlink" Target="https://doi.org/10.1016/j.est.2024.113087"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hart" Target="charts/chart3.xml"/><Relationship Id="rId28" Type="http://schemas.openxmlformats.org/officeDocument/2006/relationships/header" Target="header11.xml"/><Relationship Id="rId36" Type="http://schemas.openxmlformats.org/officeDocument/2006/relationships/hyperlink" Target="https://doi.org/10.1016/j.ijhydene.2023.01.344" TargetMode="External"/><Relationship Id="rId49" Type="http://schemas.openxmlformats.org/officeDocument/2006/relationships/hyperlink" Target="https://doi.org/10.1016/j.nantod.2024.102302" TargetMode="External"/><Relationship Id="rId57" Type="http://schemas.openxmlformats.org/officeDocument/2006/relationships/hyperlink" Target="https://doi.org/10.3390/resources13070092" TargetMode="External"/><Relationship Id="rId61" Type="http://schemas.openxmlformats.org/officeDocument/2006/relationships/hyperlink" Target="https://doi.org/10.1016/j.ijhydene.2022.05.126" TargetMode="External"/><Relationship Id="rId10" Type="http://schemas.openxmlformats.org/officeDocument/2006/relationships/diagramColors" Target="diagrams/colors1.xml"/><Relationship Id="rId19" Type="http://schemas.openxmlformats.org/officeDocument/2006/relationships/header" Target="header5.xml"/><Relationship Id="rId31" Type="http://schemas.openxmlformats.org/officeDocument/2006/relationships/hyperlink" Target="https://doi.org/10.1016/j.biopha.2022.112707" TargetMode="External"/><Relationship Id="rId44" Type="http://schemas.openxmlformats.org/officeDocument/2006/relationships/hyperlink" Target="https://doi.org/10.1016/j.est.2023.108404" TargetMode="External"/><Relationship Id="rId52" Type="http://schemas.openxmlformats.org/officeDocument/2006/relationships/hyperlink" Target="https://doi.org/10.1016/j.ijhydene.2023.09.021" TargetMode="External"/><Relationship Id="rId60" Type="http://schemas.openxmlformats.org/officeDocument/2006/relationships/hyperlink" Target="https://doi.org/10.1016/j.ijhydene.2024.03.189" TargetMode="External"/><Relationship Id="rId65" Type="http://schemas.openxmlformats.org/officeDocument/2006/relationships/hyperlink" Target="https://doi.org/10.1557/mre.2020.43" TargetMode="External"/><Relationship Id="rId73" Type="http://schemas.openxmlformats.org/officeDocument/2006/relationships/hyperlink" Target="https://doi.org/10.1016/j.est.2024.113842"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 Id="rId22" Type="http://schemas.openxmlformats.org/officeDocument/2006/relationships/chart" Target="charts/chart2.xml"/><Relationship Id="rId27" Type="http://schemas.openxmlformats.org/officeDocument/2006/relationships/header" Target="header10.xml"/><Relationship Id="rId30" Type="http://schemas.openxmlformats.org/officeDocument/2006/relationships/hyperlink" Target="https://doi.org/10.1007/s11696-024-03403-8" TargetMode="External"/><Relationship Id="rId35" Type="http://schemas.openxmlformats.org/officeDocument/2006/relationships/hyperlink" Target="https://doi.org/10.3390/logistics7040089" TargetMode="External"/><Relationship Id="rId43" Type="http://schemas.openxmlformats.org/officeDocument/2006/relationships/hyperlink" Target="https://doi.org/10.3390/su15129281" TargetMode="External"/><Relationship Id="rId48" Type="http://schemas.openxmlformats.org/officeDocument/2006/relationships/hyperlink" Target="https://doi.org/10.1016/j.infsof.2010.03.006" TargetMode="External"/><Relationship Id="rId56" Type="http://schemas.openxmlformats.org/officeDocument/2006/relationships/hyperlink" Target="https://doi.org/10.3390/en14040819" TargetMode="External"/><Relationship Id="rId64" Type="http://schemas.openxmlformats.org/officeDocument/2006/relationships/hyperlink" Target="https://doi.org/10.1007/s11356-020-12231-8" TargetMode="External"/><Relationship Id="rId69" Type="http://schemas.openxmlformats.org/officeDocument/2006/relationships/hyperlink" Target="https://doi.org/10.1016/j.ijhydene.2023.05.298" TargetMode="External"/><Relationship Id="rId77" Type="http://schemas.openxmlformats.org/officeDocument/2006/relationships/theme" Target="theme/theme1.xml"/><Relationship Id="rId8" Type="http://schemas.openxmlformats.org/officeDocument/2006/relationships/diagramLayout" Target="diagrams/layout1.xml"/><Relationship Id="rId51" Type="http://schemas.openxmlformats.org/officeDocument/2006/relationships/hyperlink" Target="https://doi.org/10.1016/j.est.2023.107433" TargetMode="External"/><Relationship Id="rId72" Type="http://schemas.openxmlformats.org/officeDocument/2006/relationships/hyperlink" Target="https://doi.org/10.3390/en17164148"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doi.org/10.1016/j.est.2023.110264" TargetMode="External"/><Relationship Id="rId38" Type="http://schemas.openxmlformats.org/officeDocument/2006/relationships/hyperlink" Target="https://doi.org/10.1016/j.ijhydene.2021.06.212" TargetMode="External"/><Relationship Id="rId46" Type="http://schemas.openxmlformats.org/officeDocument/2006/relationships/hyperlink" Target="https://doi.org/10.1016/j.est.2024.112601" TargetMode="External"/><Relationship Id="rId59" Type="http://schemas.openxmlformats.org/officeDocument/2006/relationships/hyperlink" Target="https://doi.org/10.1016/j.est.2024.110418" TargetMode="External"/><Relationship Id="rId67" Type="http://schemas.openxmlformats.org/officeDocument/2006/relationships/hyperlink" Target="https://doi.org/10.1016/j.ijhydene.2022.12.345" TargetMode="External"/><Relationship Id="rId20" Type="http://schemas.openxmlformats.org/officeDocument/2006/relationships/header" Target="header6.xml"/><Relationship Id="rId41" Type="http://schemas.openxmlformats.org/officeDocument/2006/relationships/hyperlink" Target="https://doi.org/10.1016/j.ijhydene.2023.12.230" TargetMode="External"/><Relationship Id="rId54" Type="http://schemas.openxmlformats.org/officeDocument/2006/relationships/hyperlink" Target="https://doi.org/10.1016/j.ijhydene.2024.05.182" TargetMode="External"/><Relationship Id="rId62" Type="http://schemas.openxmlformats.org/officeDocument/2006/relationships/hyperlink" Target="https://doi.org/10.1016/j.est.2024.113934" TargetMode="External"/><Relationship Id="rId70" Type="http://schemas.openxmlformats.org/officeDocument/2006/relationships/hyperlink" Target="https://doi.org/10.1016/j.ijhydene.2020.08.248" TargetMode="External"/><Relationship Id="rId75" Type="http://schemas.openxmlformats.org/officeDocument/2006/relationships/hyperlink" Target="https://doi.org/10.1016/j.rser.2022.112444"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https://liveteesac-my.sharepoint.com/personal/c2406813_live_tees_ac_uk/Documents/Annual%20trend%20in%20public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iveteesac-my.sharepoint.com/personal/c2406813_live_tees_ac_uk/Documents/Distribution%20of%20Research%20Are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iveteesac-my.sharepoint.com/personal/c2406813_live_tees_ac_uk/Documents/Quality%20Score%20of%20SLR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Annual</a:t>
            </a:r>
            <a:r>
              <a:rPr lang="en-GB" baseline="0"/>
              <a:t> Trends in Publication</a:t>
            </a:r>
            <a:endParaRPr lang="en-GB"/>
          </a:p>
        </c:rich>
      </c:tx>
      <c:layout>
        <c:manualLayout>
          <c:xMode val="edge"/>
          <c:yMode val="edge"/>
          <c:x val="0.1905345581802274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Sheet1!$A$2</c:f>
              <c:strCache>
                <c:ptCount val="1"/>
                <c:pt idx="0">
                  <c:v>2020</c:v>
                </c:pt>
              </c:strCache>
            </c:strRef>
          </c:tx>
          <c:spPr>
            <a:solidFill>
              <a:schemeClr val="accent1"/>
            </a:solidFill>
            <a:ln>
              <a:noFill/>
            </a:ln>
            <a:effectLst/>
          </c:spPr>
          <c:invertIfNegative val="0"/>
          <c:cat>
            <c:strRef>
              <c:f>Sheet1!$B$1</c:f>
              <c:strCache>
                <c:ptCount val="1"/>
                <c:pt idx="0">
                  <c:v>Number of SLRs</c:v>
                </c:pt>
              </c:strCache>
            </c:strRef>
          </c:cat>
          <c:val>
            <c:numRef>
              <c:f>Sheet1!$B$2</c:f>
              <c:numCache>
                <c:formatCode>General</c:formatCode>
                <c:ptCount val="1"/>
                <c:pt idx="0">
                  <c:v>2</c:v>
                </c:pt>
              </c:numCache>
            </c:numRef>
          </c:val>
          <c:extLst>
            <c:ext xmlns:c16="http://schemas.microsoft.com/office/drawing/2014/chart" uri="{C3380CC4-5D6E-409C-BE32-E72D297353CC}">
              <c16:uniqueId val="{00000000-184A-4C90-AC78-56D5808031A2}"/>
            </c:ext>
          </c:extLst>
        </c:ser>
        <c:ser>
          <c:idx val="1"/>
          <c:order val="1"/>
          <c:tx>
            <c:strRef>
              <c:f>Sheet1!$A$3</c:f>
              <c:strCache>
                <c:ptCount val="1"/>
                <c:pt idx="0">
                  <c:v>2021</c:v>
                </c:pt>
              </c:strCache>
            </c:strRef>
          </c:tx>
          <c:spPr>
            <a:solidFill>
              <a:schemeClr val="accent2"/>
            </a:solidFill>
            <a:ln>
              <a:noFill/>
            </a:ln>
            <a:effectLst/>
          </c:spPr>
          <c:invertIfNegative val="0"/>
          <c:cat>
            <c:strRef>
              <c:f>Sheet1!$B$1</c:f>
              <c:strCache>
                <c:ptCount val="1"/>
                <c:pt idx="0">
                  <c:v>Number of SLRs</c:v>
                </c:pt>
              </c:strCache>
            </c:strRef>
          </c:cat>
          <c:val>
            <c:numRef>
              <c:f>Sheet1!$B$3</c:f>
              <c:numCache>
                <c:formatCode>General</c:formatCode>
                <c:ptCount val="1"/>
                <c:pt idx="0">
                  <c:v>3</c:v>
                </c:pt>
              </c:numCache>
            </c:numRef>
          </c:val>
          <c:extLst>
            <c:ext xmlns:c16="http://schemas.microsoft.com/office/drawing/2014/chart" uri="{C3380CC4-5D6E-409C-BE32-E72D297353CC}">
              <c16:uniqueId val="{00000001-184A-4C90-AC78-56D5808031A2}"/>
            </c:ext>
          </c:extLst>
        </c:ser>
        <c:ser>
          <c:idx val="2"/>
          <c:order val="2"/>
          <c:tx>
            <c:strRef>
              <c:f>Sheet1!$A$4</c:f>
              <c:strCache>
                <c:ptCount val="1"/>
                <c:pt idx="0">
                  <c:v>2022</c:v>
                </c:pt>
              </c:strCache>
            </c:strRef>
          </c:tx>
          <c:spPr>
            <a:solidFill>
              <a:schemeClr val="accent3"/>
            </a:solidFill>
            <a:ln>
              <a:noFill/>
            </a:ln>
            <a:effectLst/>
          </c:spPr>
          <c:invertIfNegative val="0"/>
          <c:cat>
            <c:strRef>
              <c:f>Sheet1!$B$1</c:f>
              <c:strCache>
                <c:ptCount val="1"/>
                <c:pt idx="0">
                  <c:v>Number of SLRs</c:v>
                </c:pt>
              </c:strCache>
            </c:strRef>
          </c:cat>
          <c:val>
            <c:numRef>
              <c:f>Sheet1!$B$4</c:f>
              <c:numCache>
                <c:formatCode>General</c:formatCode>
                <c:ptCount val="1"/>
                <c:pt idx="0">
                  <c:v>4</c:v>
                </c:pt>
              </c:numCache>
            </c:numRef>
          </c:val>
          <c:extLst>
            <c:ext xmlns:c16="http://schemas.microsoft.com/office/drawing/2014/chart" uri="{C3380CC4-5D6E-409C-BE32-E72D297353CC}">
              <c16:uniqueId val="{00000002-184A-4C90-AC78-56D5808031A2}"/>
            </c:ext>
          </c:extLst>
        </c:ser>
        <c:ser>
          <c:idx val="3"/>
          <c:order val="3"/>
          <c:tx>
            <c:strRef>
              <c:f>Sheet1!$A$5</c:f>
              <c:strCache>
                <c:ptCount val="1"/>
                <c:pt idx="0">
                  <c:v>2023</c:v>
                </c:pt>
              </c:strCache>
            </c:strRef>
          </c:tx>
          <c:spPr>
            <a:solidFill>
              <a:schemeClr val="accent4"/>
            </a:solidFill>
            <a:ln>
              <a:noFill/>
            </a:ln>
            <a:effectLst/>
          </c:spPr>
          <c:invertIfNegative val="0"/>
          <c:cat>
            <c:strRef>
              <c:f>Sheet1!$B$1</c:f>
              <c:strCache>
                <c:ptCount val="1"/>
                <c:pt idx="0">
                  <c:v>Number of SLRs</c:v>
                </c:pt>
              </c:strCache>
            </c:strRef>
          </c:cat>
          <c:val>
            <c:numRef>
              <c:f>Sheet1!$B$5</c:f>
              <c:numCache>
                <c:formatCode>General</c:formatCode>
                <c:ptCount val="1"/>
                <c:pt idx="0">
                  <c:v>11</c:v>
                </c:pt>
              </c:numCache>
            </c:numRef>
          </c:val>
          <c:extLst>
            <c:ext xmlns:c16="http://schemas.microsoft.com/office/drawing/2014/chart" uri="{C3380CC4-5D6E-409C-BE32-E72D297353CC}">
              <c16:uniqueId val="{00000003-184A-4C90-AC78-56D5808031A2}"/>
            </c:ext>
          </c:extLst>
        </c:ser>
        <c:ser>
          <c:idx val="4"/>
          <c:order val="4"/>
          <c:tx>
            <c:strRef>
              <c:f>Sheet1!$A$6</c:f>
              <c:strCache>
                <c:ptCount val="1"/>
                <c:pt idx="0">
                  <c:v>2024</c:v>
                </c:pt>
              </c:strCache>
            </c:strRef>
          </c:tx>
          <c:spPr>
            <a:solidFill>
              <a:schemeClr val="accent5"/>
            </a:solidFill>
            <a:ln>
              <a:noFill/>
            </a:ln>
            <a:effectLst/>
          </c:spPr>
          <c:invertIfNegative val="0"/>
          <c:cat>
            <c:strRef>
              <c:f>Sheet1!$B$1</c:f>
              <c:strCache>
                <c:ptCount val="1"/>
                <c:pt idx="0">
                  <c:v>Number of SLRs</c:v>
                </c:pt>
              </c:strCache>
            </c:strRef>
          </c:cat>
          <c:val>
            <c:numRef>
              <c:f>Sheet1!$B$6</c:f>
              <c:numCache>
                <c:formatCode>General</c:formatCode>
                <c:ptCount val="1"/>
                <c:pt idx="0">
                  <c:v>18</c:v>
                </c:pt>
              </c:numCache>
            </c:numRef>
          </c:val>
          <c:extLst>
            <c:ext xmlns:c16="http://schemas.microsoft.com/office/drawing/2014/chart" uri="{C3380CC4-5D6E-409C-BE32-E72D297353CC}">
              <c16:uniqueId val="{00000004-184A-4C90-AC78-56D5808031A2}"/>
            </c:ext>
          </c:extLst>
        </c:ser>
        <c:dLbls>
          <c:showLegendKey val="0"/>
          <c:showVal val="0"/>
          <c:showCatName val="0"/>
          <c:showSerName val="0"/>
          <c:showPercent val="0"/>
          <c:showBubbleSize val="0"/>
        </c:dLbls>
        <c:gapWidth val="219"/>
        <c:overlap val="-27"/>
        <c:axId val="248020431"/>
        <c:axId val="248017071"/>
      </c:barChart>
      <c:catAx>
        <c:axId val="24802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017071"/>
        <c:crosses val="autoZero"/>
        <c:auto val="1"/>
        <c:lblAlgn val="ctr"/>
        <c:lblOffset val="100"/>
        <c:noMultiLvlLbl val="0"/>
      </c:catAx>
      <c:valAx>
        <c:axId val="248017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02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t>
            </a:r>
            <a:r>
              <a:rPr lang="en-US" baseline="0"/>
              <a:t> Distribution of Research Area</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Numbers of Studies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638-41DE-AFCB-E9B1C0505F0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638-41DE-AFCB-E9B1C0505F0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638-41DE-AFCB-E9B1C0505F0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638-41DE-AFCB-E9B1C0505F0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Material Science and methods for storage</c:v>
                </c:pt>
                <c:pt idx="1">
                  <c:v>Technology Specific Challenges</c:v>
                </c:pt>
                <c:pt idx="2">
                  <c:v>Socio Economic and Policy Analysis</c:v>
                </c:pt>
                <c:pt idx="3">
                  <c:v>Sustainability and Environmental Integration</c:v>
                </c:pt>
              </c:strCache>
            </c:strRef>
          </c:cat>
          <c:val>
            <c:numRef>
              <c:f>Sheet1!$B$2:$B$5</c:f>
              <c:numCache>
                <c:formatCode>General</c:formatCode>
                <c:ptCount val="4"/>
                <c:pt idx="0">
                  <c:v>7</c:v>
                </c:pt>
                <c:pt idx="1">
                  <c:v>21</c:v>
                </c:pt>
                <c:pt idx="2">
                  <c:v>4</c:v>
                </c:pt>
                <c:pt idx="3">
                  <c:v>6</c:v>
                </c:pt>
              </c:numCache>
            </c:numRef>
          </c:val>
          <c:extLst>
            <c:ext xmlns:c16="http://schemas.microsoft.com/office/drawing/2014/chart" uri="{C3380CC4-5D6E-409C-BE32-E72D297353CC}">
              <c16:uniqueId val="{00000008-8638-41DE-AFCB-E9B1C0505F03}"/>
            </c:ext>
          </c:extLst>
        </c:ser>
        <c:ser>
          <c:idx val="1"/>
          <c:order val="1"/>
          <c:tx>
            <c:strRef>
              <c:f>Sheet1!$C$1</c:f>
              <c:strCache>
                <c:ptCount val="1"/>
                <c:pt idx="0">
                  <c:v>Research Distribution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8638-41DE-AFCB-E9B1C0505F0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8638-41DE-AFCB-E9B1C0505F0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8638-41DE-AFCB-E9B1C0505F0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8638-41DE-AFCB-E9B1C0505F0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Material Science and methods for storage</c:v>
                </c:pt>
                <c:pt idx="1">
                  <c:v>Technology Specific Challenges</c:v>
                </c:pt>
                <c:pt idx="2">
                  <c:v>Socio Economic and Policy Analysis</c:v>
                </c:pt>
                <c:pt idx="3">
                  <c:v>Sustainability and Environmental Integration</c:v>
                </c:pt>
              </c:strCache>
            </c:strRef>
          </c:cat>
          <c:val>
            <c:numRef>
              <c:f>Sheet1!$C$2:$C$5</c:f>
              <c:numCache>
                <c:formatCode>General</c:formatCode>
                <c:ptCount val="4"/>
                <c:pt idx="0">
                  <c:v>18.421052631578945</c:v>
                </c:pt>
                <c:pt idx="1">
                  <c:v>55.26315789473685</c:v>
                </c:pt>
                <c:pt idx="2">
                  <c:v>10.526315789473683</c:v>
                </c:pt>
                <c:pt idx="3">
                  <c:v>15.789473684210526</c:v>
                </c:pt>
              </c:numCache>
            </c:numRef>
          </c:val>
          <c:extLst>
            <c:ext xmlns:c16="http://schemas.microsoft.com/office/drawing/2014/chart" uri="{C3380CC4-5D6E-409C-BE32-E72D297353CC}">
              <c16:uniqueId val="{00000011-8638-41DE-AFCB-E9B1C0505F0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Quality</a:t>
            </a:r>
            <a:r>
              <a:rPr lang="en-GB" baseline="0"/>
              <a:t> Score of SLRs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Sheet1!$B$1</c:f>
              <c:strCache>
                <c:ptCount val="1"/>
                <c:pt idx="0">
                  <c:v>Number of Studies</c:v>
                </c:pt>
              </c:strCache>
            </c:strRef>
          </c:tx>
          <c:spPr>
            <a:solidFill>
              <a:schemeClr val="accent1"/>
            </a:solidFill>
            <a:ln>
              <a:noFill/>
            </a:ln>
            <a:effectLst/>
          </c:spPr>
          <c:invertIfNegative val="0"/>
          <c:cat>
            <c:numRef>
              <c:f>Sheet1!$A$2:$A$8</c:f>
              <c:numCache>
                <c:formatCode>General</c:formatCode>
                <c:ptCount val="7"/>
                <c:pt idx="0">
                  <c:v>0</c:v>
                </c:pt>
                <c:pt idx="1">
                  <c:v>0.5</c:v>
                </c:pt>
                <c:pt idx="2">
                  <c:v>1</c:v>
                </c:pt>
                <c:pt idx="3">
                  <c:v>1.5</c:v>
                </c:pt>
                <c:pt idx="4">
                  <c:v>2</c:v>
                </c:pt>
                <c:pt idx="5">
                  <c:v>2.5</c:v>
                </c:pt>
                <c:pt idx="6">
                  <c:v>3</c:v>
                </c:pt>
              </c:numCache>
            </c:numRef>
          </c:cat>
          <c:val>
            <c:numRef>
              <c:f>Sheet1!$B$2:$B$8</c:f>
              <c:numCache>
                <c:formatCode>General</c:formatCode>
                <c:ptCount val="7"/>
                <c:pt idx="0">
                  <c:v>0</c:v>
                </c:pt>
                <c:pt idx="1">
                  <c:v>0</c:v>
                </c:pt>
                <c:pt idx="2">
                  <c:v>1</c:v>
                </c:pt>
                <c:pt idx="3">
                  <c:v>4</c:v>
                </c:pt>
                <c:pt idx="4">
                  <c:v>11</c:v>
                </c:pt>
                <c:pt idx="5">
                  <c:v>8</c:v>
                </c:pt>
                <c:pt idx="6">
                  <c:v>14</c:v>
                </c:pt>
              </c:numCache>
            </c:numRef>
          </c:val>
          <c:extLst>
            <c:ext xmlns:c16="http://schemas.microsoft.com/office/drawing/2014/chart" uri="{C3380CC4-5D6E-409C-BE32-E72D297353CC}">
              <c16:uniqueId val="{00000000-EC76-4850-B4D7-40849C654F36}"/>
            </c:ext>
          </c:extLst>
        </c:ser>
        <c:dLbls>
          <c:showLegendKey val="0"/>
          <c:showVal val="0"/>
          <c:showCatName val="0"/>
          <c:showSerName val="0"/>
          <c:showPercent val="0"/>
          <c:showBubbleSize val="0"/>
        </c:dLbls>
        <c:gapWidth val="219"/>
        <c:overlap val="-27"/>
        <c:axId val="650417327"/>
        <c:axId val="650421167"/>
      </c:barChart>
      <c:catAx>
        <c:axId val="650417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421167"/>
        <c:crosses val="autoZero"/>
        <c:auto val="1"/>
        <c:lblAlgn val="ctr"/>
        <c:lblOffset val="100"/>
        <c:noMultiLvlLbl val="0"/>
      </c:catAx>
      <c:valAx>
        <c:axId val="650421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417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41AE2A-07E2-4DC6-9B00-A2C9CA7C66C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8148502-3916-4D83-85DE-7E685164330E}">
      <dgm:prSet phldrT="[Text]" custT="1"/>
      <dgm:spPr/>
      <dgm:t>
        <a:bodyPr/>
        <a:lstStyle/>
        <a:p>
          <a:r>
            <a:rPr lang="en-GB" sz="1200"/>
            <a:t>Total number of articles from initial database search</a:t>
          </a:r>
        </a:p>
        <a:p>
          <a:r>
            <a:rPr lang="en-GB" sz="1200"/>
            <a:t>N=1340</a:t>
          </a:r>
        </a:p>
      </dgm:t>
    </dgm:pt>
    <dgm:pt modelId="{3336AAC9-530F-4EBA-B398-BE6CB9A99B4A}" type="parTrans" cxnId="{E364956E-163B-4559-87F8-EEBCAD85BFC5}">
      <dgm:prSet/>
      <dgm:spPr/>
      <dgm:t>
        <a:bodyPr/>
        <a:lstStyle/>
        <a:p>
          <a:endParaRPr lang="en-GB"/>
        </a:p>
      </dgm:t>
    </dgm:pt>
    <dgm:pt modelId="{03119372-8EFE-4D02-9C4D-6984588071DA}" type="sibTrans" cxnId="{E364956E-163B-4559-87F8-EEBCAD85BFC5}">
      <dgm:prSet/>
      <dgm:spPr/>
      <dgm:t>
        <a:bodyPr/>
        <a:lstStyle/>
        <a:p>
          <a:endParaRPr lang="en-GB"/>
        </a:p>
      </dgm:t>
    </dgm:pt>
    <dgm:pt modelId="{300BAE85-16F1-4286-ADF0-7BAD8F511213}" type="asst">
      <dgm:prSet phldrT="[Text]" custT="1"/>
      <dgm:spPr/>
      <dgm:t>
        <a:bodyPr/>
        <a:lstStyle/>
        <a:p>
          <a:r>
            <a:rPr lang="en-GB" sz="1200"/>
            <a:t>Total number of studies after duplicate removal</a:t>
          </a:r>
        </a:p>
        <a:p>
          <a:r>
            <a:rPr lang="en-GB" sz="1200"/>
            <a:t>N=1336</a:t>
          </a:r>
        </a:p>
      </dgm:t>
    </dgm:pt>
    <dgm:pt modelId="{F50A9192-AD4B-41CA-B20A-CE2C4488B2F3}" type="parTrans" cxnId="{3753D5B0-76AC-42FC-8B24-0F2898BFE307}">
      <dgm:prSet/>
      <dgm:spPr/>
      <dgm:t>
        <a:bodyPr/>
        <a:lstStyle/>
        <a:p>
          <a:endParaRPr lang="en-GB"/>
        </a:p>
      </dgm:t>
    </dgm:pt>
    <dgm:pt modelId="{1CD8A515-DBC1-4C03-A6B3-F8BA96B83DF5}" type="sibTrans" cxnId="{3753D5B0-76AC-42FC-8B24-0F2898BFE307}">
      <dgm:prSet/>
      <dgm:spPr/>
      <dgm:t>
        <a:bodyPr/>
        <a:lstStyle/>
        <a:p>
          <a:endParaRPr lang="en-GB"/>
        </a:p>
      </dgm:t>
    </dgm:pt>
    <dgm:pt modelId="{60252B3B-C1BA-4A8D-B5A2-EE7E82FF8278}">
      <dgm:prSet phldrT="[Text]" custT="1"/>
      <dgm:spPr/>
      <dgm:t>
        <a:bodyPr/>
        <a:lstStyle/>
        <a:p>
          <a:r>
            <a:rPr lang="en-GB" sz="1200"/>
            <a:t>Number of article after title, abstract and full text review screening</a:t>
          </a:r>
        </a:p>
        <a:p>
          <a:r>
            <a:rPr lang="en-GB" sz="1200"/>
            <a:t>N= 115</a:t>
          </a:r>
        </a:p>
      </dgm:t>
    </dgm:pt>
    <dgm:pt modelId="{7B9CED04-BA7B-4553-A73D-3E1C0D9FE293}" type="parTrans" cxnId="{EB8FCAC4-974D-4252-B00D-92514F3A9ED3}">
      <dgm:prSet/>
      <dgm:spPr/>
      <dgm:t>
        <a:bodyPr/>
        <a:lstStyle/>
        <a:p>
          <a:endParaRPr lang="en-GB"/>
        </a:p>
      </dgm:t>
    </dgm:pt>
    <dgm:pt modelId="{E36C545B-962F-47D1-A1CB-8DB513504FE1}" type="sibTrans" cxnId="{EB8FCAC4-974D-4252-B00D-92514F3A9ED3}">
      <dgm:prSet/>
      <dgm:spPr/>
      <dgm:t>
        <a:bodyPr/>
        <a:lstStyle/>
        <a:p>
          <a:endParaRPr lang="en-GB"/>
        </a:p>
      </dgm:t>
    </dgm:pt>
    <dgm:pt modelId="{5D4A584B-B00A-44A6-AABE-BE9CF3918C80}">
      <dgm:prSet phldrT="[Text]" custT="1"/>
      <dgm:spPr/>
      <dgm:t>
        <a:bodyPr/>
        <a:lstStyle/>
        <a:p>
          <a:r>
            <a:rPr lang="en-GB" sz="1200"/>
            <a:t>Record of artcles removed</a:t>
          </a:r>
        </a:p>
        <a:p>
          <a:r>
            <a:rPr lang="en-GB" sz="1200"/>
            <a:t>N= 1221</a:t>
          </a:r>
        </a:p>
      </dgm:t>
    </dgm:pt>
    <dgm:pt modelId="{AA2732D9-1276-429C-B199-5E029607BE6F}" type="parTrans" cxnId="{58AFAB32-C60E-449F-BCE1-E1E8B8361DA2}">
      <dgm:prSet/>
      <dgm:spPr/>
      <dgm:t>
        <a:bodyPr/>
        <a:lstStyle/>
        <a:p>
          <a:endParaRPr lang="en-GB"/>
        </a:p>
      </dgm:t>
    </dgm:pt>
    <dgm:pt modelId="{1687B7DE-8A28-4390-AF79-5A4CDF6EBE1F}" type="sibTrans" cxnId="{58AFAB32-C60E-449F-BCE1-E1E8B8361DA2}">
      <dgm:prSet/>
      <dgm:spPr/>
      <dgm:t>
        <a:bodyPr/>
        <a:lstStyle/>
        <a:p>
          <a:endParaRPr lang="en-GB"/>
        </a:p>
      </dgm:t>
    </dgm:pt>
    <dgm:pt modelId="{7351CA1D-2EBB-4FF4-B04F-F144330753F6}">
      <dgm:prSet custT="1"/>
      <dgm:spPr/>
      <dgm:t>
        <a:bodyPr/>
        <a:lstStyle/>
        <a:p>
          <a:r>
            <a:rPr lang="en-GB" sz="1200"/>
            <a:t>Relevant articles selected after full text review and applying inclusion and exclusion criteria</a:t>
          </a:r>
        </a:p>
        <a:p>
          <a:r>
            <a:rPr lang="en-GB" sz="1200"/>
            <a:t>N= 45</a:t>
          </a:r>
        </a:p>
      </dgm:t>
    </dgm:pt>
    <dgm:pt modelId="{F974E51E-8740-4035-9D22-F802BFEAF812}" type="parTrans" cxnId="{9235302F-20FC-43A6-898E-CC50131769C7}">
      <dgm:prSet/>
      <dgm:spPr/>
      <dgm:t>
        <a:bodyPr/>
        <a:lstStyle/>
        <a:p>
          <a:endParaRPr lang="en-GB"/>
        </a:p>
      </dgm:t>
    </dgm:pt>
    <dgm:pt modelId="{C9D9147F-8DED-4898-ACE2-3CF496C5821F}" type="sibTrans" cxnId="{9235302F-20FC-43A6-898E-CC50131769C7}">
      <dgm:prSet/>
      <dgm:spPr/>
      <dgm:t>
        <a:bodyPr/>
        <a:lstStyle/>
        <a:p>
          <a:endParaRPr lang="en-GB"/>
        </a:p>
      </dgm:t>
    </dgm:pt>
    <dgm:pt modelId="{0A36C532-085A-4F4A-9960-FA72DFF72EE2}">
      <dgm:prSet custT="1"/>
      <dgm:spPr/>
      <dgm:t>
        <a:bodyPr/>
        <a:lstStyle/>
        <a:p>
          <a:r>
            <a:rPr lang="en-GB" sz="1200"/>
            <a:t>Final articles after quality assessment selection</a:t>
          </a:r>
        </a:p>
        <a:p>
          <a:r>
            <a:rPr lang="en-GB" sz="1200"/>
            <a:t>N= 38</a:t>
          </a:r>
        </a:p>
      </dgm:t>
    </dgm:pt>
    <dgm:pt modelId="{32C458C9-515C-49EA-B079-F0FC546A73F8}" type="parTrans" cxnId="{47A703A1-A3EE-42BA-B5B0-C59CAEFA2F04}">
      <dgm:prSet/>
      <dgm:spPr/>
      <dgm:t>
        <a:bodyPr/>
        <a:lstStyle/>
        <a:p>
          <a:endParaRPr lang="en-GB"/>
        </a:p>
      </dgm:t>
    </dgm:pt>
    <dgm:pt modelId="{4F8B4B24-C118-4F1E-B352-46063804EAAA}" type="sibTrans" cxnId="{47A703A1-A3EE-42BA-B5B0-C59CAEFA2F04}">
      <dgm:prSet/>
      <dgm:spPr/>
      <dgm:t>
        <a:bodyPr/>
        <a:lstStyle/>
        <a:p>
          <a:endParaRPr lang="en-GB"/>
        </a:p>
      </dgm:t>
    </dgm:pt>
    <dgm:pt modelId="{CBFDE3A4-382D-4C8F-86BA-F13FDB29FA55}" type="pres">
      <dgm:prSet presAssocID="{DE41AE2A-07E2-4DC6-9B00-A2C9CA7C66CA}" presName="hierChild1" presStyleCnt="0">
        <dgm:presLayoutVars>
          <dgm:orgChart val="1"/>
          <dgm:chPref val="1"/>
          <dgm:dir/>
          <dgm:animOne val="branch"/>
          <dgm:animLvl val="lvl"/>
          <dgm:resizeHandles/>
        </dgm:presLayoutVars>
      </dgm:prSet>
      <dgm:spPr/>
    </dgm:pt>
    <dgm:pt modelId="{65EE8C68-3C3C-4972-9D15-F9CEBCDD3754}" type="pres">
      <dgm:prSet presAssocID="{38148502-3916-4D83-85DE-7E685164330E}" presName="hierRoot1" presStyleCnt="0">
        <dgm:presLayoutVars>
          <dgm:hierBranch val="init"/>
        </dgm:presLayoutVars>
      </dgm:prSet>
      <dgm:spPr/>
    </dgm:pt>
    <dgm:pt modelId="{BA92D130-0D13-4BDB-A4D6-FA9603F9714A}" type="pres">
      <dgm:prSet presAssocID="{38148502-3916-4D83-85DE-7E685164330E}" presName="rootComposite1" presStyleCnt="0"/>
      <dgm:spPr/>
    </dgm:pt>
    <dgm:pt modelId="{56653902-30ED-4AFC-8F26-E46791C8DC08}" type="pres">
      <dgm:prSet presAssocID="{38148502-3916-4D83-85DE-7E685164330E}" presName="rootText1" presStyleLbl="node0" presStyleIdx="0" presStyleCnt="1" custScaleX="336205" custScaleY="179465">
        <dgm:presLayoutVars>
          <dgm:chPref val="3"/>
        </dgm:presLayoutVars>
      </dgm:prSet>
      <dgm:spPr/>
    </dgm:pt>
    <dgm:pt modelId="{96D5C68A-DDB4-4802-B70F-1B5F1555C703}" type="pres">
      <dgm:prSet presAssocID="{38148502-3916-4D83-85DE-7E685164330E}" presName="rootConnector1" presStyleLbl="node1" presStyleIdx="0" presStyleCnt="0"/>
      <dgm:spPr/>
    </dgm:pt>
    <dgm:pt modelId="{7CCCDF68-453F-4739-8618-8B058AF82F31}" type="pres">
      <dgm:prSet presAssocID="{38148502-3916-4D83-85DE-7E685164330E}" presName="hierChild2" presStyleCnt="0"/>
      <dgm:spPr/>
    </dgm:pt>
    <dgm:pt modelId="{09ADCB9B-0F72-4228-B571-3D78EBF4C85C}" type="pres">
      <dgm:prSet presAssocID="{7B9CED04-BA7B-4553-A73D-3E1C0D9FE293}" presName="Name37" presStyleLbl="parChTrans1D2" presStyleIdx="0" presStyleCnt="3"/>
      <dgm:spPr/>
    </dgm:pt>
    <dgm:pt modelId="{C484314A-F09D-450E-B9CB-89CB0F55BB82}" type="pres">
      <dgm:prSet presAssocID="{60252B3B-C1BA-4A8D-B5A2-EE7E82FF8278}" presName="hierRoot2" presStyleCnt="0">
        <dgm:presLayoutVars>
          <dgm:hierBranch val="init"/>
        </dgm:presLayoutVars>
      </dgm:prSet>
      <dgm:spPr/>
    </dgm:pt>
    <dgm:pt modelId="{74948BAF-8040-42CB-AAE8-0C91B5D70E6B}" type="pres">
      <dgm:prSet presAssocID="{60252B3B-C1BA-4A8D-B5A2-EE7E82FF8278}" presName="rootComposite" presStyleCnt="0"/>
      <dgm:spPr/>
    </dgm:pt>
    <dgm:pt modelId="{C0B4B3D5-F3F8-4061-9DEB-6D2D7A06B7FE}" type="pres">
      <dgm:prSet presAssocID="{60252B3B-C1BA-4A8D-B5A2-EE7E82FF8278}" presName="rootText" presStyleLbl="node2" presStyleIdx="0" presStyleCnt="2" custScaleX="345187" custScaleY="162171">
        <dgm:presLayoutVars>
          <dgm:chPref val="3"/>
        </dgm:presLayoutVars>
      </dgm:prSet>
      <dgm:spPr/>
    </dgm:pt>
    <dgm:pt modelId="{6AC98D70-5C67-42D6-B353-CCB9E77E9019}" type="pres">
      <dgm:prSet presAssocID="{60252B3B-C1BA-4A8D-B5A2-EE7E82FF8278}" presName="rootConnector" presStyleLbl="node2" presStyleIdx="0" presStyleCnt="2"/>
      <dgm:spPr/>
    </dgm:pt>
    <dgm:pt modelId="{25A1BF24-918D-4BEF-98F5-E3176E41639C}" type="pres">
      <dgm:prSet presAssocID="{60252B3B-C1BA-4A8D-B5A2-EE7E82FF8278}" presName="hierChild4" presStyleCnt="0"/>
      <dgm:spPr/>
    </dgm:pt>
    <dgm:pt modelId="{2FCBB68B-A70B-480C-895E-C861C2555FF1}" type="pres">
      <dgm:prSet presAssocID="{F974E51E-8740-4035-9D22-F802BFEAF812}" presName="Name37" presStyleLbl="parChTrans1D3" presStyleIdx="0" presStyleCnt="1"/>
      <dgm:spPr/>
    </dgm:pt>
    <dgm:pt modelId="{635FE997-FAA2-4575-8216-231170DCDF42}" type="pres">
      <dgm:prSet presAssocID="{7351CA1D-2EBB-4FF4-B04F-F144330753F6}" presName="hierRoot2" presStyleCnt="0">
        <dgm:presLayoutVars>
          <dgm:hierBranch val="init"/>
        </dgm:presLayoutVars>
      </dgm:prSet>
      <dgm:spPr/>
    </dgm:pt>
    <dgm:pt modelId="{E1DF2680-AFA2-48AC-A1A1-BBEA957003B4}" type="pres">
      <dgm:prSet presAssocID="{7351CA1D-2EBB-4FF4-B04F-F144330753F6}" presName="rootComposite" presStyleCnt="0"/>
      <dgm:spPr/>
    </dgm:pt>
    <dgm:pt modelId="{A2D78C6F-6AB5-4044-BC94-7718182E5ECE}" type="pres">
      <dgm:prSet presAssocID="{7351CA1D-2EBB-4FF4-B04F-F144330753F6}" presName="rootText" presStyleLbl="node3" presStyleIdx="0" presStyleCnt="1" custScaleX="386836" custScaleY="176516">
        <dgm:presLayoutVars>
          <dgm:chPref val="3"/>
        </dgm:presLayoutVars>
      </dgm:prSet>
      <dgm:spPr/>
    </dgm:pt>
    <dgm:pt modelId="{FF59C188-679A-4BF5-A700-9CDFE4D754B7}" type="pres">
      <dgm:prSet presAssocID="{7351CA1D-2EBB-4FF4-B04F-F144330753F6}" presName="rootConnector" presStyleLbl="node3" presStyleIdx="0" presStyleCnt="1"/>
      <dgm:spPr/>
    </dgm:pt>
    <dgm:pt modelId="{B5A2A06E-3E81-46A3-827C-CDB96980FC5A}" type="pres">
      <dgm:prSet presAssocID="{7351CA1D-2EBB-4FF4-B04F-F144330753F6}" presName="hierChild4" presStyleCnt="0"/>
      <dgm:spPr/>
    </dgm:pt>
    <dgm:pt modelId="{B125A7CF-1AC0-4ADB-AC2B-A8CC6493CD78}" type="pres">
      <dgm:prSet presAssocID="{32C458C9-515C-49EA-B079-F0FC546A73F8}" presName="Name37" presStyleLbl="parChTrans1D4" presStyleIdx="0" presStyleCnt="1"/>
      <dgm:spPr/>
    </dgm:pt>
    <dgm:pt modelId="{25D2F6F8-1E4E-4990-9992-81D212A0E164}" type="pres">
      <dgm:prSet presAssocID="{0A36C532-085A-4F4A-9960-FA72DFF72EE2}" presName="hierRoot2" presStyleCnt="0">
        <dgm:presLayoutVars>
          <dgm:hierBranch val="init"/>
        </dgm:presLayoutVars>
      </dgm:prSet>
      <dgm:spPr/>
    </dgm:pt>
    <dgm:pt modelId="{582068F6-A154-4B77-81EF-4C148C15226F}" type="pres">
      <dgm:prSet presAssocID="{0A36C532-085A-4F4A-9960-FA72DFF72EE2}" presName="rootComposite" presStyleCnt="0"/>
      <dgm:spPr/>
    </dgm:pt>
    <dgm:pt modelId="{7B8CA220-547A-4E80-B0CA-6D3B3923788D}" type="pres">
      <dgm:prSet presAssocID="{0A36C532-085A-4F4A-9960-FA72DFF72EE2}" presName="rootText" presStyleLbl="node4" presStyleIdx="0" presStyleCnt="1" custScaleX="458315">
        <dgm:presLayoutVars>
          <dgm:chPref val="3"/>
        </dgm:presLayoutVars>
      </dgm:prSet>
      <dgm:spPr/>
    </dgm:pt>
    <dgm:pt modelId="{736C3CFE-40F9-4710-9DF7-FC9AD33A04D3}" type="pres">
      <dgm:prSet presAssocID="{0A36C532-085A-4F4A-9960-FA72DFF72EE2}" presName="rootConnector" presStyleLbl="node4" presStyleIdx="0" presStyleCnt="1"/>
      <dgm:spPr/>
    </dgm:pt>
    <dgm:pt modelId="{D3E405EA-A996-4CDE-B1D6-A265DDA3C2B1}" type="pres">
      <dgm:prSet presAssocID="{0A36C532-085A-4F4A-9960-FA72DFF72EE2}" presName="hierChild4" presStyleCnt="0"/>
      <dgm:spPr/>
    </dgm:pt>
    <dgm:pt modelId="{AF839AB4-0E8D-4236-A32F-1B83E0F4AF99}" type="pres">
      <dgm:prSet presAssocID="{0A36C532-085A-4F4A-9960-FA72DFF72EE2}" presName="hierChild5" presStyleCnt="0"/>
      <dgm:spPr/>
    </dgm:pt>
    <dgm:pt modelId="{2AF8EAF5-36D4-4D13-9F16-F2B2E5EB08E5}" type="pres">
      <dgm:prSet presAssocID="{7351CA1D-2EBB-4FF4-B04F-F144330753F6}" presName="hierChild5" presStyleCnt="0"/>
      <dgm:spPr/>
    </dgm:pt>
    <dgm:pt modelId="{A82F8894-7EDD-4937-8F8F-7480737B8F1B}" type="pres">
      <dgm:prSet presAssocID="{60252B3B-C1BA-4A8D-B5A2-EE7E82FF8278}" presName="hierChild5" presStyleCnt="0"/>
      <dgm:spPr/>
    </dgm:pt>
    <dgm:pt modelId="{B741AD07-A7FB-4582-8A02-455AFAEFEDD9}" type="pres">
      <dgm:prSet presAssocID="{AA2732D9-1276-429C-B199-5E029607BE6F}" presName="Name37" presStyleLbl="parChTrans1D2" presStyleIdx="1" presStyleCnt="3"/>
      <dgm:spPr/>
    </dgm:pt>
    <dgm:pt modelId="{4E884BCB-100C-44FF-AAC6-4F003A87CFC9}" type="pres">
      <dgm:prSet presAssocID="{5D4A584B-B00A-44A6-AABE-BE9CF3918C80}" presName="hierRoot2" presStyleCnt="0">
        <dgm:presLayoutVars>
          <dgm:hierBranch val="init"/>
        </dgm:presLayoutVars>
      </dgm:prSet>
      <dgm:spPr/>
    </dgm:pt>
    <dgm:pt modelId="{3330ACFA-ADC5-4DBA-97ED-00AC4AC797A8}" type="pres">
      <dgm:prSet presAssocID="{5D4A584B-B00A-44A6-AABE-BE9CF3918C80}" presName="rootComposite" presStyleCnt="0"/>
      <dgm:spPr/>
    </dgm:pt>
    <dgm:pt modelId="{CF0A49A2-1711-4906-85EC-2A4D5DD7C838}" type="pres">
      <dgm:prSet presAssocID="{5D4A584B-B00A-44A6-AABE-BE9CF3918C80}" presName="rootText" presStyleLbl="node2" presStyleIdx="1" presStyleCnt="2" custScaleX="141146" custScaleY="142270">
        <dgm:presLayoutVars>
          <dgm:chPref val="3"/>
        </dgm:presLayoutVars>
      </dgm:prSet>
      <dgm:spPr/>
    </dgm:pt>
    <dgm:pt modelId="{0B926F6D-5ED3-4938-B6F8-FDFDDAEFE0C2}" type="pres">
      <dgm:prSet presAssocID="{5D4A584B-B00A-44A6-AABE-BE9CF3918C80}" presName="rootConnector" presStyleLbl="node2" presStyleIdx="1" presStyleCnt="2"/>
      <dgm:spPr/>
    </dgm:pt>
    <dgm:pt modelId="{F27B5242-8A09-4975-B911-26095788A988}" type="pres">
      <dgm:prSet presAssocID="{5D4A584B-B00A-44A6-AABE-BE9CF3918C80}" presName="hierChild4" presStyleCnt="0"/>
      <dgm:spPr/>
    </dgm:pt>
    <dgm:pt modelId="{04EC2C33-851C-451A-AE0C-9ACF1DFF1372}" type="pres">
      <dgm:prSet presAssocID="{5D4A584B-B00A-44A6-AABE-BE9CF3918C80}" presName="hierChild5" presStyleCnt="0"/>
      <dgm:spPr/>
    </dgm:pt>
    <dgm:pt modelId="{54EBDE14-32DE-4518-ABBE-C175B7C404E4}" type="pres">
      <dgm:prSet presAssocID="{38148502-3916-4D83-85DE-7E685164330E}" presName="hierChild3" presStyleCnt="0"/>
      <dgm:spPr/>
    </dgm:pt>
    <dgm:pt modelId="{1D7645AB-ABEA-4696-B5C0-BE93F16094E5}" type="pres">
      <dgm:prSet presAssocID="{F50A9192-AD4B-41CA-B20A-CE2C4488B2F3}" presName="Name111" presStyleLbl="parChTrans1D2" presStyleIdx="2" presStyleCnt="3"/>
      <dgm:spPr/>
    </dgm:pt>
    <dgm:pt modelId="{FF2D5557-51E5-4329-A6C5-224D52967AF8}" type="pres">
      <dgm:prSet presAssocID="{300BAE85-16F1-4286-ADF0-7BAD8F511213}" presName="hierRoot3" presStyleCnt="0">
        <dgm:presLayoutVars>
          <dgm:hierBranch val="init"/>
        </dgm:presLayoutVars>
      </dgm:prSet>
      <dgm:spPr/>
    </dgm:pt>
    <dgm:pt modelId="{2C05AF65-E558-4AEE-B9DC-BC2A11B66401}" type="pres">
      <dgm:prSet presAssocID="{300BAE85-16F1-4286-ADF0-7BAD8F511213}" presName="rootComposite3" presStyleCnt="0"/>
      <dgm:spPr/>
    </dgm:pt>
    <dgm:pt modelId="{11A20FEB-CC27-4479-9D64-952BADC4D79A}" type="pres">
      <dgm:prSet presAssocID="{300BAE85-16F1-4286-ADF0-7BAD8F511213}" presName="rootText3" presStyleLbl="asst1" presStyleIdx="0" presStyleCnt="1" custScaleX="345319" custScaleY="188986">
        <dgm:presLayoutVars>
          <dgm:chPref val="3"/>
        </dgm:presLayoutVars>
      </dgm:prSet>
      <dgm:spPr/>
    </dgm:pt>
    <dgm:pt modelId="{D5B51533-9A8B-4806-9765-A7F8C36623E3}" type="pres">
      <dgm:prSet presAssocID="{300BAE85-16F1-4286-ADF0-7BAD8F511213}" presName="rootConnector3" presStyleLbl="asst1" presStyleIdx="0" presStyleCnt="1"/>
      <dgm:spPr/>
    </dgm:pt>
    <dgm:pt modelId="{99B86380-AFA2-4984-B50A-622818DD2990}" type="pres">
      <dgm:prSet presAssocID="{300BAE85-16F1-4286-ADF0-7BAD8F511213}" presName="hierChild6" presStyleCnt="0"/>
      <dgm:spPr/>
    </dgm:pt>
    <dgm:pt modelId="{7E370187-C9BF-4BC1-B0A8-8DF41F111AD0}" type="pres">
      <dgm:prSet presAssocID="{300BAE85-16F1-4286-ADF0-7BAD8F511213}" presName="hierChild7" presStyleCnt="0"/>
      <dgm:spPr/>
    </dgm:pt>
  </dgm:ptLst>
  <dgm:cxnLst>
    <dgm:cxn modelId="{A465E50C-3CFE-45B2-9925-B98A5BCC974E}" type="presOf" srcId="{7351CA1D-2EBB-4FF4-B04F-F144330753F6}" destId="{A2D78C6F-6AB5-4044-BC94-7718182E5ECE}" srcOrd="0" destOrd="0" presId="urn:microsoft.com/office/officeart/2005/8/layout/orgChart1"/>
    <dgm:cxn modelId="{C4079E2A-F2F7-4DD3-874B-E0CE39050788}" type="presOf" srcId="{F50A9192-AD4B-41CA-B20A-CE2C4488B2F3}" destId="{1D7645AB-ABEA-4696-B5C0-BE93F16094E5}" srcOrd="0" destOrd="0" presId="urn:microsoft.com/office/officeart/2005/8/layout/orgChart1"/>
    <dgm:cxn modelId="{9235302F-20FC-43A6-898E-CC50131769C7}" srcId="{60252B3B-C1BA-4A8D-B5A2-EE7E82FF8278}" destId="{7351CA1D-2EBB-4FF4-B04F-F144330753F6}" srcOrd="0" destOrd="0" parTransId="{F974E51E-8740-4035-9D22-F802BFEAF812}" sibTransId="{C9D9147F-8DED-4898-ACE2-3CF496C5821F}"/>
    <dgm:cxn modelId="{58AFAB32-C60E-449F-BCE1-E1E8B8361DA2}" srcId="{38148502-3916-4D83-85DE-7E685164330E}" destId="{5D4A584B-B00A-44A6-AABE-BE9CF3918C80}" srcOrd="2" destOrd="0" parTransId="{AA2732D9-1276-429C-B199-5E029607BE6F}" sibTransId="{1687B7DE-8A28-4390-AF79-5A4CDF6EBE1F}"/>
    <dgm:cxn modelId="{3AEC4337-20E3-4D09-B77A-57A049B0B3E5}" type="presOf" srcId="{32C458C9-515C-49EA-B079-F0FC546A73F8}" destId="{B125A7CF-1AC0-4ADB-AC2B-A8CC6493CD78}" srcOrd="0" destOrd="0" presId="urn:microsoft.com/office/officeart/2005/8/layout/orgChart1"/>
    <dgm:cxn modelId="{B8F8CB4C-6D55-41B7-BACD-FCD04F2A230E}" type="presOf" srcId="{0A36C532-085A-4F4A-9960-FA72DFF72EE2}" destId="{7B8CA220-547A-4E80-B0CA-6D3B3923788D}" srcOrd="0" destOrd="0" presId="urn:microsoft.com/office/officeart/2005/8/layout/orgChart1"/>
    <dgm:cxn modelId="{E364956E-163B-4559-87F8-EEBCAD85BFC5}" srcId="{DE41AE2A-07E2-4DC6-9B00-A2C9CA7C66CA}" destId="{38148502-3916-4D83-85DE-7E685164330E}" srcOrd="0" destOrd="0" parTransId="{3336AAC9-530F-4EBA-B398-BE6CB9A99B4A}" sibTransId="{03119372-8EFE-4D02-9C4D-6984588071DA}"/>
    <dgm:cxn modelId="{B2D9E251-3C4C-43C3-B65B-300662197F97}" type="presOf" srcId="{0A36C532-085A-4F4A-9960-FA72DFF72EE2}" destId="{736C3CFE-40F9-4710-9DF7-FC9AD33A04D3}" srcOrd="1" destOrd="0" presId="urn:microsoft.com/office/officeart/2005/8/layout/orgChart1"/>
    <dgm:cxn modelId="{70844B53-E846-4E80-9238-B38FAB0C010A}" type="presOf" srcId="{AA2732D9-1276-429C-B199-5E029607BE6F}" destId="{B741AD07-A7FB-4582-8A02-455AFAEFEDD9}" srcOrd="0" destOrd="0" presId="urn:microsoft.com/office/officeart/2005/8/layout/orgChart1"/>
    <dgm:cxn modelId="{79E5D279-1B81-4006-9974-1C57B6BEC04E}" type="presOf" srcId="{38148502-3916-4D83-85DE-7E685164330E}" destId="{56653902-30ED-4AFC-8F26-E46791C8DC08}" srcOrd="0" destOrd="0" presId="urn:microsoft.com/office/officeart/2005/8/layout/orgChart1"/>
    <dgm:cxn modelId="{92512C7B-D0FB-4DC7-934D-608C1AE41009}" type="presOf" srcId="{7351CA1D-2EBB-4FF4-B04F-F144330753F6}" destId="{FF59C188-679A-4BF5-A700-9CDFE4D754B7}" srcOrd="1" destOrd="0" presId="urn:microsoft.com/office/officeart/2005/8/layout/orgChart1"/>
    <dgm:cxn modelId="{813C5086-CF91-4387-92C8-EA2D0B506B14}" type="presOf" srcId="{60252B3B-C1BA-4A8D-B5A2-EE7E82FF8278}" destId="{6AC98D70-5C67-42D6-B353-CCB9E77E9019}" srcOrd="1" destOrd="0" presId="urn:microsoft.com/office/officeart/2005/8/layout/orgChart1"/>
    <dgm:cxn modelId="{3EF4089C-3073-461F-B6EA-84B01B9383ED}" type="presOf" srcId="{38148502-3916-4D83-85DE-7E685164330E}" destId="{96D5C68A-DDB4-4802-B70F-1B5F1555C703}" srcOrd="1" destOrd="0" presId="urn:microsoft.com/office/officeart/2005/8/layout/orgChart1"/>
    <dgm:cxn modelId="{47A703A1-A3EE-42BA-B5B0-C59CAEFA2F04}" srcId="{7351CA1D-2EBB-4FF4-B04F-F144330753F6}" destId="{0A36C532-085A-4F4A-9960-FA72DFF72EE2}" srcOrd="0" destOrd="0" parTransId="{32C458C9-515C-49EA-B079-F0FC546A73F8}" sibTransId="{4F8B4B24-C118-4F1E-B352-46063804EAAA}"/>
    <dgm:cxn modelId="{539CAFA6-3F73-41A2-8292-C768A7603FF5}" type="presOf" srcId="{300BAE85-16F1-4286-ADF0-7BAD8F511213}" destId="{11A20FEB-CC27-4479-9D64-952BADC4D79A}" srcOrd="0" destOrd="0" presId="urn:microsoft.com/office/officeart/2005/8/layout/orgChart1"/>
    <dgm:cxn modelId="{3753D5B0-76AC-42FC-8B24-0F2898BFE307}" srcId="{38148502-3916-4D83-85DE-7E685164330E}" destId="{300BAE85-16F1-4286-ADF0-7BAD8F511213}" srcOrd="0" destOrd="0" parTransId="{F50A9192-AD4B-41CA-B20A-CE2C4488B2F3}" sibTransId="{1CD8A515-DBC1-4C03-A6B3-F8BA96B83DF5}"/>
    <dgm:cxn modelId="{600FAABC-BD75-4D97-A32B-1AE9C24551DA}" type="presOf" srcId="{60252B3B-C1BA-4A8D-B5A2-EE7E82FF8278}" destId="{C0B4B3D5-F3F8-4061-9DEB-6D2D7A06B7FE}" srcOrd="0" destOrd="0" presId="urn:microsoft.com/office/officeart/2005/8/layout/orgChart1"/>
    <dgm:cxn modelId="{EB8FCAC4-974D-4252-B00D-92514F3A9ED3}" srcId="{38148502-3916-4D83-85DE-7E685164330E}" destId="{60252B3B-C1BA-4A8D-B5A2-EE7E82FF8278}" srcOrd="1" destOrd="0" parTransId="{7B9CED04-BA7B-4553-A73D-3E1C0D9FE293}" sibTransId="{E36C545B-962F-47D1-A1CB-8DB513504FE1}"/>
    <dgm:cxn modelId="{240463C6-A92E-4C79-AF81-3734AAE71C9B}" type="presOf" srcId="{300BAE85-16F1-4286-ADF0-7BAD8F511213}" destId="{D5B51533-9A8B-4806-9765-A7F8C36623E3}" srcOrd="1" destOrd="0" presId="urn:microsoft.com/office/officeart/2005/8/layout/orgChart1"/>
    <dgm:cxn modelId="{EDA919CA-5D3D-4D4A-BC08-880709A9C498}" type="presOf" srcId="{5D4A584B-B00A-44A6-AABE-BE9CF3918C80}" destId="{0B926F6D-5ED3-4938-B6F8-FDFDDAEFE0C2}" srcOrd="1" destOrd="0" presId="urn:microsoft.com/office/officeart/2005/8/layout/orgChart1"/>
    <dgm:cxn modelId="{52DAE2D2-9D7C-4B78-AD86-193808092ED1}" type="presOf" srcId="{7B9CED04-BA7B-4553-A73D-3E1C0D9FE293}" destId="{09ADCB9B-0F72-4228-B571-3D78EBF4C85C}" srcOrd="0" destOrd="0" presId="urn:microsoft.com/office/officeart/2005/8/layout/orgChart1"/>
    <dgm:cxn modelId="{805603DB-FED3-4CBC-B1BB-FCE8475D864D}" type="presOf" srcId="{DE41AE2A-07E2-4DC6-9B00-A2C9CA7C66CA}" destId="{CBFDE3A4-382D-4C8F-86BA-F13FDB29FA55}" srcOrd="0" destOrd="0" presId="urn:microsoft.com/office/officeart/2005/8/layout/orgChart1"/>
    <dgm:cxn modelId="{12A6B7DF-CDC1-4642-B337-2D9F9747E843}" type="presOf" srcId="{5D4A584B-B00A-44A6-AABE-BE9CF3918C80}" destId="{CF0A49A2-1711-4906-85EC-2A4D5DD7C838}" srcOrd="0" destOrd="0" presId="urn:microsoft.com/office/officeart/2005/8/layout/orgChart1"/>
    <dgm:cxn modelId="{ADBA1BFB-3A46-416E-AB00-751453A90758}" type="presOf" srcId="{F974E51E-8740-4035-9D22-F802BFEAF812}" destId="{2FCBB68B-A70B-480C-895E-C861C2555FF1}" srcOrd="0" destOrd="0" presId="urn:microsoft.com/office/officeart/2005/8/layout/orgChart1"/>
    <dgm:cxn modelId="{3580FC5D-A098-43C7-A330-CECE15900227}" type="presParOf" srcId="{CBFDE3A4-382D-4C8F-86BA-F13FDB29FA55}" destId="{65EE8C68-3C3C-4972-9D15-F9CEBCDD3754}" srcOrd="0" destOrd="0" presId="urn:microsoft.com/office/officeart/2005/8/layout/orgChart1"/>
    <dgm:cxn modelId="{80781EA5-A7D1-4502-9E2E-2D2A220622E6}" type="presParOf" srcId="{65EE8C68-3C3C-4972-9D15-F9CEBCDD3754}" destId="{BA92D130-0D13-4BDB-A4D6-FA9603F9714A}" srcOrd="0" destOrd="0" presId="urn:microsoft.com/office/officeart/2005/8/layout/orgChart1"/>
    <dgm:cxn modelId="{82C1A80A-3321-4DCE-96E4-2DA3297228EA}" type="presParOf" srcId="{BA92D130-0D13-4BDB-A4D6-FA9603F9714A}" destId="{56653902-30ED-4AFC-8F26-E46791C8DC08}" srcOrd="0" destOrd="0" presId="urn:microsoft.com/office/officeart/2005/8/layout/orgChart1"/>
    <dgm:cxn modelId="{56D3B8B3-EE4B-4910-AD34-079EB3A4EA2B}" type="presParOf" srcId="{BA92D130-0D13-4BDB-A4D6-FA9603F9714A}" destId="{96D5C68A-DDB4-4802-B70F-1B5F1555C703}" srcOrd="1" destOrd="0" presId="urn:microsoft.com/office/officeart/2005/8/layout/orgChart1"/>
    <dgm:cxn modelId="{9254D042-FEDA-4B6F-97EC-6A608EA3BD1B}" type="presParOf" srcId="{65EE8C68-3C3C-4972-9D15-F9CEBCDD3754}" destId="{7CCCDF68-453F-4739-8618-8B058AF82F31}" srcOrd="1" destOrd="0" presId="urn:microsoft.com/office/officeart/2005/8/layout/orgChart1"/>
    <dgm:cxn modelId="{FCF0D053-D7CA-436B-8E48-64731AE60BE0}" type="presParOf" srcId="{7CCCDF68-453F-4739-8618-8B058AF82F31}" destId="{09ADCB9B-0F72-4228-B571-3D78EBF4C85C}" srcOrd="0" destOrd="0" presId="urn:microsoft.com/office/officeart/2005/8/layout/orgChart1"/>
    <dgm:cxn modelId="{75F5F383-73A8-404C-9857-334ED116A31F}" type="presParOf" srcId="{7CCCDF68-453F-4739-8618-8B058AF82F31}" destId="{C484314A-F09D-450E-B9CB-89CB0F55BB82}" srcOrd="1" destOrd="0" presId="urn:microsoft.com/office/officeart/2005/8/layout/orgChart1"/>
    <dgm:cxn modelId="{3DF893ED-D6F3-46CD-88DB-88B5C0D1B9F1}" type="presParOf" srcId="{C484314A-F09D-450E-B9CB-89CB0F55BB82}" destId="{74948BAF-8040-42CB-AAE8-0C91B5D70E6B}" srcOrd="0" destOrd="0" presId="urn:microsoft.com/office/officeart/2005/8/layout/orgChart1"/>
    <dgm:cxn modelId="{A7702146-D6BE-41C1-842D-BDC37BE3FBA0}" type="presParOf" srcId="{74948BAF-8040-42CB-AAE8-0C91B5D70E6B}" destId="{C0B4B3D5-F3F8-4061-9DEB-6D2D7A06B7FE}" srcOrd="0" destOrd="0" presId="urn:microsoft.com/office/officeart/2005/8/layout/orgChart1"/>
    <dgm:cxn modelId="{D453A607-B489-4D10-9AB6-8883C8D3121A}" type="presParOf" srcId="{74948BAF-8040-42CB-AAE8-0C91B5D70E6B}" destId="{6AC98D70-5C67-42D6-B353-CCB9E77E9019}" srcOrd="1" destOrd="0" presId="urn:microsoft.com/office/officeart/2005/8/layout/orgChart1"/>
    <dgm:cxn modelId="{BBD49229-73E7-47AA-B5DD-11E8735A27A2}" type="presParOf" srcId="{C484314A-F09D-450E-B9CB-89CB0F55BB82}" destId="{25A1BF24-918D-4BEF-98F5-E3176E41639C}" srcOrd="1" destOrd="0" presId="urn:microsoft.com/office/officeart/2005/8/layout/orgChart1"/>
    <dgm:cxn modelId="{B320D35B-7B8E-46D5-B925-ABD2CE3E2A3B}" type="presParOf" srcId="{25A1BF24-918D-4BEF-98F5-E3176E41639C}" destId="{2FCBB68B-A70B-480C-895E-C861C2555FF1}" srcOrd="0" destOrd="0" presId="urn:microsoft.com/office/officeart/2005/8/layout/orgChart1"/>
    <dgm:cxn modelId="{B6EB41B9-E675-4AC5-A3CE-542960BA69B0}" type="presParOf" srcId="{25A1BF24-918D-4BEF-98F5-E3176E41639C}" destId="{635FE997-FAA2-4575-8216-231170DCDF42}" srcOrd="1" destOrd="0" presId="urn:microsoft.com/office/officeart/2005/8/layout/orgChart1"/>
    <dgm:cxn modelId="{344A9CC2-4FDB-406D-9E09-C089679113A1}" type="presParOf" srcId="{635FE997-FAA2-4575-8216-231170DCDF42}" destId="{E1DF2680-AFA2-48AC-A1A1-BBEA957003B4}" srcOrd="0" destOrd="0" presId="urn:microsoft.com/office/officeart/2005/8/layout/orgChart1"/>
    <dgm:cxn modelId="{D259716A-9C17-4101-A154-BB366E7915D6}" type="presParOf" srcId="{E1DF2680-AFA2-48AC-A1A1-BBEA957003B4}" destId="{A2D78C6F-6AB5-4044-BC94-7718182E5ECE}" srcOrd="0" destOrd="0" presId="urn:microsoft.com/office/officeart/2005/8/layout/orgChart1"/>
    <dgm:cxn modelId="{61718A3A-1558-4E8A-B92D-16F190D063B8}" type="presParOf" srcId="{E1DF2680-AFA2-48AC-A1A1-BBEA957003B4}" destId="{FF59C188-679A-4BF5-A700-9CDFE4D754B7}" srcOrd="1" destOrd="0" presId="urn:microsoft.com/office/officeart/2005/8/layout/orgChart1"/>
    <dgm:cxn modelId="{09056DD1-D736-425D-82E5-56CF182AF2C9}" type="presParOf" srcId="{635FE997-FAA2-4575-8216-231170DCDF42}" destId="{B5A2A06E-3E81-46A3-827C-CDB96980FC5A}" srcOrd="1" destOrd="0" presId="urn:microsoft.com/office/officeart/2005/8/layout/orgChart1"/>
    <dgm:cxn modelId="{44A721C9-2206-4486-829E-8BF43B24D1E6}" type="presParOf" srcId="{B5A2A06E-3E81-46A3-827C-CDB96980FC5A}" destId="{B125A7CF-1AC0-4ADB-AC2B-A8CC6493CD78}" srcOrd="0" destOrd="0" presId="urn:microsoft.com/office/officeart/2005/8/layout/orgChart1"/>
    <dgm:cxn modelId="{C321B790-7F82-48BF-BF2F-5B1399DFF9C9}" type="presParOf" srcId="{B5A2A06E-3E81-46A3-827C-CDB96980FC5A}" destId="{25D2F6F8-1E4E-4990-9992-81D212A0E164}" srcOrd="1" destOrd="0" presId="urn:microsoft.com/office/officeart/2005/8/layout/orgChart1"/>
    <dgm:cxn modelId="{62F00E23-FF5B-420B-99DD-E006EA92A37F}" type="presParOf" srcId="{25D2F6F8-1E4E-4990-9992-81D212A0E164}" destId="{582068F6-A154-4B77-81EF-4C148C15226F}" srcOrd="0" destOrd="0" presId="urn:microsoft.com/office/officeart/2005/8/layout/orgChart1"/>
    <dgm:cxn modelId="{39CD787E-0A10-44BB-8A1D-94679368BECC}" type="presParOf" srcId="{582068F6-A154-4B77-81EF-4C148C15226F}" destId="{7B8CA220-547A-4E80-B0CA-6D3B3923788D}" srcOrd="0" destOrd="0" presId="urn:microsoft.com/office/officeart/2005/8/layout/orgChart1"/>
    <dgm:cxn modelId="{FEEF56C6-8FBA-48F7-8A93-4EE33C6036B8}" type="presParOf" srcId="{582068F6-A154-4B77-81EF-4C148C15226F}" destId="{736C3CFE-40F9-4710-9DF7-FC9AD33A04D3}" srcOrd="1" destOrd="0" presId="urn:microsoft.com/office/officeart/2005/8/layout/orgChart1"/>
    <dgm:cxn modelId="{915C8A07-F3B4-426A-8F6A-D896AB657D5C}" type="presParOf" srcId="{25D2F6F8-1E4E-4990-9992-81D212A0E164}" destId="{D3E405EA-A996-4CDE-B1D6-A265DDA3C2B1}" srcOrd="1" destOrd="0" presId="urn:microsoft.com/office/officeart/2005/8/layout/orgChart1"/>
    <dgm:cxn modelId="{47A874A6-4CB1-4CC3-8675-1E9D3D21C7A2}" type="presParOf" srcId="{25D2F6F8-1E4E-4990-9992-81D212A0E164}" destId="{AF839AB4-0E8D-4236-A32F-1B83E0F4AF99}" srcOrd="2" destOrd="0" presId="urn:microsoft.com/office/officeart/2005/8/layout/orgChart1"/>
    <dgm:cxn modelId="{2F2F95AF-315F-4CC2-8C7F-FF1B96E8C029}" type="presParOf" srcId="{635FE997-FAA2-4575-8216-231170DCDF42}" destId="{2AF8EAF5-36D4-4D13-9F16-F2B2E5EB08E5}" srcOrd="2" destOrd="0" presId="urn:microsoft.com/office/officeart/2005/8/layout/orgChart1"/>
    <dgm:cxn modelId="{C6FAF8CD-6AD5-4C67-B663-4B91DBE9645A}" type="presParOf" srcId="{C484314A-F09D-450E-B9CB-89CB0F55BB82}" destId="{A82F8894-7EDD-4937-8F8F-7480737B8F1B}" srcOrd="2" destOrd="0" presId="urn:microsoft.com/office/officeart/2005/8/layout/orgChart1"/>
    <dgm:cxn modelId="{694B96C3-57B7-4BF3-AFC1-1465A23AF843}" type="presParOf" srcId="{7CCCDF68-453F-4739-8618-8B058AF82F31}" destId="{B741AD07-A7FB-4582-8A02-455AFAEFEDD9}" srcOrd="2" destOrd="0" presId="urn:microsoft.com/office/officeart/2005/8/layout/orgChart1"/>
    <dgm:cxn modelId="{12F5C341-2A7B-4570-A2C4-CF1B39261A1F}" type="presParOf" srcId="{7CCCDF68-453F-4739-8618-8B058AF82F31}" destId="{4E884BCB-100C-44FF-AAC6-4F003A87CFC9}" srcOrd="3" destOrd="0" presId="urn:microsoft.com/office/officeart/2005/8/layout/orgChart1"/>
    <dgm:cxn modelId="{00A4036D-331C-4A72-858E-254EBC9C6A2D}" type="presParOf" srcId="{4E884BCB-100C-44FF-AAC6-4F003A87CFC9}" destId="{3330ACFA-ADC5-4DBA-97ED-00AC4AC797A8}" srcOrd="0" destOrd="0" presId="urn:microsoft.com/office/officeart/2005/8/layout/orgChart1"/>
    <dgm:cxn modelId="{FEAF8492-4376-41AC-AFF7-7A5C5AA6359B}" type="presParOf" srcId="{3330ACFA-ADC5-4DBA-97ED-00AC4AC797A8}" destId="{CF0A49A2-1711-4906-85EC-2A4D5DD7C838}" srcOrd="0" destOrd="0" presId="urn:microsoft.com/office/officeart/2005/8/layout/orgChart1"/>
    <dgm:cxn modelId="{655A27E8-E68A-4693-A17B-BE125DC20A17}" type="presParOf" srcId="{3330ACFA-ADC5-4DBA-97ED-00AC4AC797A8}" destId="{0B926F6D-5ED3-4938-B6F8-FDFDDAEFE0C2}" srcOrd="1" destOrd="0" presId="urn:microsoft.com/office/officeart/2005/8/layout/orgChart1"/>
    <dgm:cxn modelId="{81275731-40BA-4C07-8EB5-703FF71D81F1}" type="presParOf" srcId="{4E884BCB-100C-44FF-AAC6-4F003A87CFC9}" destId="{F27B5242-8A09-4975-B911-26095788A988}" srcOrd="1" destOrd="0" presId="urn:microsoft.com/office/officeart/2005/8/layout/orgChart1"/>
    <dgm:cxn modelId="{BCD37731-A5CE-437B-8F22-C00519CC5ECB}" type="presParOf" srcId="{4E884BCB-100C-44FF-AAC6-4F003A87CFC9}" destId="{04EC2C33-851C-451A-AE0C-9ACF1DFF1372}" srcOrd="2" destOrd="0" presId="urn:microsoft.com/office/officeart/2005/8/layout/orgChart1"/>
    <dgm:cxn modelId="{45169998-7A63-4BFC-9130-CFE505D53856}" type="presParOf" srcId="{65EE8C68-3C3C-4972-9D15-F9CEBCDD3754}" destId="{54EBDE14-32DE-4518-ABBE-C175B7C404E4}" srcOrd="2" destOrd="0" presId="urn:microsoft.com/office/officeart/2005/8/layout/orgChart1"/>
    <dgm:cxn modelId="{B903E17E-D95F-45E3-A5D0-16CE1729AD12}" type="presParOf" srcId="{54EBDE14-32DE-4518-ABBE-C175B7C404E4}" destId="{1D7645AB-ABEA-4696-B5C0-BE93F16094E5}" srcOrd="0" destOrd="0" presId="urn:microsoft.com/office/officeart/2005/8/layout/orgChart1"/>
    <dgm:cxn modelId="{49155A6A-A10C-4AEF-B25B-C07BD3B655FE}" type="presParOf" srcId="{54EBDE14-32DE-4518-ABBE-C175B7C404E4}" destId="{FF2D5557-51E5-4329-A6C5-224D52967AF8}" srcOrd="1" destOrd="0" presId="urn:microsoft.com/office/officeart/2005/8/layout/orgChart1"/>
    <dgm:cxn modelId="{3442F714-C32E-4E1C-A562-969D5EB3E6CF}" type="presParOf" srcId="{FF2D5557-51E5-4329-A6C5-224D52967AF8}" destId="{2C05AF65-E558-4AEE-B9DC-BC2A11B66401}" srcOrd="0" destOrd="0" presId="urn:microsoft.com/office/officeart/2005/8/layout/orgChart1"/>
    <dgm:cxn modelId="{E88C74F9-5AD1-40FE-ABEF-8FB2CA47E842}" type="presParOf" srcId="{2C05AF65-E558-4AEE-B9DC-BC2A11B66401}" destId="{11A20FEB-CC27-4479-9D64-952BADC4D79A}" srcOrd="0" destOrd="0" presId="urn:microsoft.com/office/officeart/2005/8/layout/orgChart1"/>
    <dgm:cxn modelId="{7CA271BA-9639-40CE-A5FC-73F1CD54DD7D}" type="presParOf" srcId="{2C05AF65-E558-4AEE-B9DC-BC2A11B66401}" destId="{D5B51533-9A8B-4806-9765-A7F8C36623E3}" srcOrd="1" destOrd="0" presId="urn:microsoft.com/office/officeart/2005/8/layout/orgChart1"/>
    <dgm:cxn modelId="{F9CAFF31-5C4F-4210-9A48-BAC781F1EA2F}" type="presParOf" srcId="{FF2D5557-51E5-4329-A6C5-224D52967AF8}" destId="{99B86380-AFA2-4984-B50A-622818DD2990}" srcOrd="1" destOrd="0" presId="urn:microsoft.com/office/officeart/2005/8/layout/orgChart1"/>
    <dgm:cxn modelId="{411F1C20-80BC-4F0A-87F0-64A18A6DAA5E}" type="presParOf" srcId="{FF2D5557-51E5-4329-A6C5-224D52967AF8}" destId="{7E370187-C9BF-4BC1-B0A8-8DF41F111AD0}"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7645AB-ABEA-4696-B5C0-BE93F16094E5}">
      <dsp:nvSpPr>
        <dsp:cNvPr id="0" name=""/>
        <dsp:cNvSpPr/>
      </dsp:nvSpPr>
      <dsp:spPr>
        <a:xfrm>
          <a:off x="3231179" y="694932"/>
          <a:ext cx="91440" cy="527632"/>
        </a:xfrm>
        <a:custGeom>
          <a:avLst/>
          <a:gdLst/>
          <a:ahLst/>
          <a:cxnLst/>
          <a:rect l="0" t="0" r="0" b="0"/>
          <a:pathLst>
            <a:path>
              <a:moveTo>
                <a:pt x="126898" y="0"/>
              </a:moveTo>
              <a:lnTo>
                <a:pt x="126898" y="527632"/>
              </a:lnTo>
              <a:lnTo>
                <a:pt x="45720" y="52763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41AD07-A7FB-4582-8A02-455AFAEFEDD9}">
      <dsp:nvSpPr>
        <dsp:cNvPr id="0" name=""/>
        <dsp:cNvSpPr/>
      </dsp:nvSpPr>
      <dsp:spPr>
        <a:xfrm>
          <a:off x="3358078" y="694932"/>
          <a:ext cx="1415545" cy="1055264"/>
        </a:xfrm>
        <a:custGeom>
          <a:avLst/>
          <a:gdLst/>
          <a:ahLst/>
          <a:cxnLst/>
          <a:rect l="0" t="0" r="0" b="0"/>
          <a:pathLst>
            <a:path>
              <a:moveTo>
                <a:pt x="0" y="0"/>
              </a:moveTo>
              <a:lnTo>
                <a:pt x="0" y="974086"/>
              </a:lnTo>
              <a:lnTo>
                <a:pt x="1415545" y="974086"/>
              </a:lnTo>
              <a:lnTo>
                <a:pt x="1415545" y="105526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25A7CF-1AC0-4ADB-AC2B-A8CC6493CD78}">
      <dsp:nvSpPr>
        <dsp:cNvPr id="0" name=""/>
        <dsp:cNvSpPr/>
      </dsp:nvSpPr>
      <dsp:spPr>
        <a:xfrm>
          <a:off x="1534987" y="3221794"/>
          <a:ext cx="448610" cy="355638"/>
        </a:xfrm>
        <a:custGeom>
          <a:avLst/>
          <a:gdLst/>
          <a:ahLst/>
          <a:cxnLst/>
          <a:rect l="0" t="0" r="0" b="0"/>
          <a:pathLst>
            <a:path>
              <a:moveTo>
                <a:pt x="0" y="0"/>
              </a:moveTo>
              <a:lnTo>
                <a:pt x="0" y="355638"/>
              </a:lnTo>
              <a:lnTo>
                <a:pt x="448610" y="35563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CBB68B-A70B-480C-895E-C861C2555FF1}">
      <dsp:nvSpPr>
        <dsp:cNvPr id="0" name=""/>
        <dsp:cNvSpPr/>
      </dsp:nvSpPr>
      <dsp:spPr>
        <a:xfrm>
          <a:off x="2685560" y="2377090"/>
          <a:ext cx="91440" cy="162356"/>
        </a:xfrm>
        <a:custGeom>
          <a:avLst/>
          <a:gdLst/>
          <a:ahLst/>
          <a:cxnLst/>
          <a:rect l="0" t="0" r="0" b="0"/>
          <a:pathLst>
            <a:path>
              <a:moveTo>
                <a:pt x="45720" y="0"/>
              </a:moveTo>
              <a:lnTo>
                <a:pt x="45720" y="1623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ADCB9B-0F72-4228-B571-3D78EBF4C85C}">
      <dsp:nvSpPr>
        <dsp:cNvPr id="0" name=""/>
        <dsp:cNvSpPr/>
      </dsp:nvSpPr>
      <dsp:spPr>
        <a:xfrm>
          <a:off x="2731280" y="694932"/>
          <a:ext cx="626797" cy="1055264"/>
        </a:xfrm>
        <a:custGeom>
          <a:avLst/>
          <a:gdLst/>
          <a:ahLst/>
          <a:cxnLst/>
          <a:rect l="0" t="0" r="0" b="0"/>
          <a:pathLst>
            <a:path>
              <a:moveTo>
                <a:pt x="626797" y="0"/>
              </a:moveTo>
              <a:lnTo>
                <a:pt x="626797" y="974086"/>
              </a:lnTo>
              <a:lnTo>
                <a:pt x="0" y="974086"/>
              </a:lnTo>
              <a:lnTo>
                <a:pt x="0" y="105526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653902-30ED-4AFC-8F26-E46791C8DC08}">
      <dsp:nvSpPr>
        <dsp:cNvPr id="0" name=""/>
        <dsp:cNvSpPr/>
      </dsp:nvSpPr>
      <dsp:spPr>
        <a:xfrm>
          <a:off x="2058432" y="1185"/>
          <a:ext cx="2599292" cy="6937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Total number of articles from initial database search</a:t>
          </a:r>
        </a:p>
        <a:p>
          <a:pPr marL="0" lvl="0" indent="0" algn="ctr" defTabSz="533400">
            <a:lnSpc>
              <a:spcPct val="90000"/>
            </a:lnSpc>
            <a:spcBef>
              <a:spcPct val="0"/>
            </a:spcBef>
            <a:spcAft>
              <a:spcPct val="35000"/>
            </a:spcAft>
            <a:buNone/>
          </a:pPr>
          <a:r>
            <a:rPr lang="en-GB" sz="1200" kern="1200"/>
            <a:t>N=1340</a:t>
          </a:r>
        </a:p>
      </dsp:txBody>
      <dsp:txXfrm>
        <a:off x="2058432" y="1185"/>
        <a:ext cx="2599292" cy="693746"/>
      </dsp:txXfrm>
    </dsp:sp>
    <dsp:sp modelId="{C0B4B3D5-F3F8-4061-9DEB-6D2D7A06B7FE}">
      <dsp:nvSpPr>
        <dsp:cNvPr id="0" name=""/>
        <dsp:cNvSpPr/>
      </dsp:nvSpPr>
      <dsp:spPr>
        <a:xfrm>
          <a:off x="1396913" y="1750196"/>
          <a:ext cx="2668734" cy="6268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Number of article after title, abstract and full text review screening</a:t>
          </a:r>
        </a:p>
        <a:p>
          <a:pPr marL="0" lvl="0" indent="0" algn="ctr" defTabSz="533400">
            <a:lnSpc>
              <a:spcPct val="90000"/>
            </a:lnSpc>
            <a:spcBef>
              <a:spcPct val="0"/>
            </a:spcBef>
            <a:spcAft>
              <a:spcPct val="35000"/>
            </a:spcAft>
            <a:buNone/>
          </a:pPr>
          <a:r>
            <a:rPr lang="en-GB" sz="1200" kern="1200"/>
            <a:t>N= 115</a:t>
          </a:r>
        </a:p>
      </dsp:txBody>
      <dsp:txXfrm>
        <a:off x="1396913" y="1750196"/>
        <a:ext cx="2668734" cy="626894"/>
      </dsp:txXfrm>
    </dsp:sp>
    <dsp:sp modelId="{A2D78C6F-6AB5-4044-BC94-7718182E5ECE}">
      <dsp:nvSpPr>
        <dsp:cNvPr id="0" name=""/>
        <dsp:cNvSpPr/>
      </dsp:nvSpPr>
      <dsp:spPr>
        <a:xfrm>
          <a:off x="1235913" y="2539447"/>
          <a:ext cx="2990734" cy="6823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Relevant articles selected after full text review and applying inclusion and exclusion criteria</a:t>
          </a:r>
        </a:p>
        <a:p>
          <a:pPr marL="0" lvl="0" indent="0" algn="ctr" defTabSz="533400">
            <a:lnSpc>
              <a:spcPct val="90000"/>
            </a:lnSpc>
            <a:spcBef>
              <a:spcPct val="0"/>
            </a:spcBef>
            <a:spcAft>
              <a:spcPct val="35000"/>
            </a:spcAft>
            <a:buNone/>
          </a:pPr>
          <a:r>
            <a:rPr lang="en-GB" sz="1200" kern="1200"/>
            <a:t>N= 45</a:t>
          </a:r>
        </a:p>
      </dsp:txBody>
      <dsp:txXfrm>
        <a:off x="1235913" y="2539447"/>
        <a:ext cx="2990734" cy="682346"/>
      </dsp:txXfrm>
    </dsp:sp>
    <dsp:sp modelId="{7B8CA220-547A-4E80-B0CA-6D3B3923788D}">
      <dsp:nvSpPr>
        <dsp:cNvPr id="0" name=""/>
        <dsp:cNvSpPr/>
      </dsp:nvSpPr>
      <dsp:spPr>
        <a:xfrm>
          <a:off x="1983597" y="3384150"/>
          <a:ext cx="3543358" cy="3865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Final articles after quality assessment selection</a:t>
          </a:r>
        </a:p>
        <a:p>
          <a:pPr marL="0" lvl="0" indent="0" algn="ctr" defTabSz="533400">
            <a:lnSpc>
              <a:spcPct val="90000"/>
            </a:lnSpc>
            <a:spcBef>
              <a:spcPct val="0"/>
            </a:spcBef>
            <a:spcAft>
              <a:spcPct val="35000"/>
            </a:spcAft>
            <a:buNone/>
          </a:pPr>
          <a:r>
            <a:rPr lang="en-GB" sz="1200" kern="1200"/>
            <a:t>N= 38</a:t>
          </a:r>
        </a:p>
      </dsp:txBody>
      <dsp:txXfrm>
        <a:off x="1983597" y="3384150"/>
        <a:ext cx="3543358" cy="386563"/>
      </dsp:txXfrm>
    </dsp:sp>
    <dsp:sp modelId="{CF0A49A2-1711-4906-85EC-2A4D5DD7C838}">
      <dsp:nvSpPr>
        <dsp:cNvPr id="0" name=""/>
        <dsp:cNvSpPr/>
      </dsp:nvSpPr>
      <dsp:spPr>
        <a:xfrm>
          <a:off x="4228004" y="1750196"/>
          <a:ext cx="1091238" cy="5499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Record of artcles removed</a:t>
          </a:r>
        </a:p>
        <a:p>
          <a:pPr marL="0" lvl="0" indent="0" algn="ctr" defTabSz="533400">
            <a:lnSpc>
              <a:spcPct val="90000"/>
            </a:lnSpc>
            <a:spcBef>
              <a:spcPct val="0"/>
            </a:spcBef>
            <a:spcAft>
              <a:spcPct val="35000"/>
            </a:spcAft>
            <a:buNone/>
          </a:pPr>
          <a:r>
            <a:rPr lang="en-GB" sz="1200" kern="1200"/>
            <a:t>N= 1221</a:t>
          </a:r>
        </a:p>
      </dsp:txBody>
      <dsp:txXfrm>
        <a:off x="4228004" y="1750196"/>
        <a:ext cx="1091238" cy="549964"/>
      </dsp:txXfrm>
    </dsp:sp>
    <dsp:sp modelId="{11A20FEB-CC27-4479-9D64-952BADC4D79A}">
      <dsp:nvSpPr>
        <dsp:cNvPr id="0" name=""/>
        <dsp:cNvSpPr/>
      </dsp:nvSpPr>
      <dsp:spPr>
        <a:xfrm>
          <a:off x="607144" y="857288"/>
          <a:ext cx="2669755" cy="7305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Total number of studies after duplicate removal</a:t>
          </a:r>
        </a:p>
        <a:p>
          <a:pPr marL="0" lvl="0" indent="0" algn="ctr" defTabSz="533400">
            <a:lnSpc>
              <a:spcPct val="90000"/>
            </a:lnSpc>
            <a:spcBef>
              <a:spcPct val="0"/>
            </a:spcBef>
            <a:spcAft>
              <a:spcPct val="35000"/>
            </a:spcAft>
            <a:buNone/>
          </a:pPr>
          <a:r>
            <a:rPr lang="en-GB" sz="1200" kern="1200"/>
            <a:t>N=1336</a:t>
          </a:r>
        </a:p>
      </dsp:txBody>
      <dsp:txXfrm>
        <a:off x="607144" y="857288"/>
        <a:ext cx="2669755" cy="7305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43</Pages>
  <Words>11710</Words>
  <Characters>66749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Editor GP 005</cp:lastModifiedBy>
  <cp:revision>26</cp:revision>
  <dcterms:created xsi:type="dcterms:W3CDTF">2025-10-06T19:45:00Z</dcterms:created>
  <dcterms:modified xsi:type="dcterms:W3CDTF">2025-10-21T09:09:00Z</dcterms:modified>
</cp:coreProperties>
</file>