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5180B" w14:textId="77777777" w:rsidR="001A034A" w:rsidRPr="00D54C02" w:rsidRDefault="00D54C02" w:rsidP="00D54C02">
      <w:pPr>
        <w:ind w:right="-360"/>
        <w:jc w:val="center"/>
        <w:rPr>
          <w:rFonts w:ascii="Arial" w:hAnsi="Arial" w:cs="Arial"/>
          <w:b/>
          <w:sz w:val="36"/>
          <w:szCs w:val="36"/>
        </w:rPr>
      </w:pPr>
      <w:r w:rsidRPr="00D54C02">
        <w:rPr>
          <w:rFonts w:ascii="Arial" w:hAnsi="Arial" w:cs="Arial"/>
          <w:b/>
          <w:sz w:val="36"/>
          <w:szCs w:val="36"/>
          <w:lang w:val="en-GB"/>
        </w:rPr>
        <w:t xml:space="preserve">Dynamics of </w:t>
      </w:r>
      <w:r w:rsidR="002C69B8" w:rsidRPr="00D54C02">
        <w:rPr>
          <w:rFonts w:ascii="Arial" w:hAnsi="Arial" w:cs="Arial"/>
          <w:b/>
          <w:sz w:val="36"/>
          <w:szCs w:val="36"/>
        </w:rPr>
        <w:t>Coal Consumption a</w:t>
      </w:r>
      <w:r w:rsidR="008C6CF8" w:rsidRPr="00D54C02">
        <w:rPr>
          <w:rFonts w:ascii="Arial" w:hAnsi="Arial" w:cs="Arial"/>
          <w:b/>
          <w:sz w:val="36"/>
          <w:szCs w:val="36"/>
        </w:rPr>
        <w:t>nd Economic Growth i</w:t>
      </w:r>
      <w:r w:rsidR="002C69B8" w:rsidRPr="00D54C02">
        <w:rPr>
          <w:rFonts w:ascii="Arial" w:hAnsi="Arial" w:cs="Arial"/>
          <w:b/>
          <w:sz w:val="36"/>
          <w:szCs w:val="36"/>
        </w:rPr>
        <w:t>n Indian Economy: An Empirical Study (1980–2025)</w:t>
      </w:r>
    </w:p>
    <w:p w14:paraId="19D8313E" w14:textId="77777777" w:rsidR="00E2173C" w:rsidRPr="002C69B8" w:rsidRDefault="00E2173C" w:rsidP="00E2173C">
      <w:pPr>
        <w:jc w:val="both"/>
        <w:rPr>
          <w:rStyle w:val="Hyperlink"/>
          <w:rFonts w:ascii="Arial" w:hAnsi="Arial" w:cs="Arial"/>
        </w:rPr>
      </w:pPr>
    </w:p>
    <w:p w14:paraId="15E5E9CC" w14:textId="77777777" w:rsidR="00E2173C" w:rsidRPr="009833BB" w:rsidRDefault="002C69B8" w:rsidP="009833BB">
      <w:pPr>
        <w:spacing w:after="0" w:line="240" w:lineRule="auto"/>
        <w:jc w:val="both"/>
        <w:rPr>
          <w:rFonts w:ascii="Arial" w:hAnsi="Arial" w:cs="Arial"/>
          <w:b/>
          <w:bCs/>
          <w:sz w:val="20"/>
          <w:szCs w:val="20"/>
        </w:rPr>
      </w:pPr>
      <w:r w:rsidRPr="009833BB">
        <w:rPr>
          <w:rFonts w:ascii="Arial" w:hAnsi="Arial" w:cs="Arial"/>
          <w:b/>
          <w:bCs/>
          <w:sz w:val="20"/>
          <w:szCs w:val="20"/>
        </w:rPr>
        <w:t>ABSTRACT</w:t>
      </w:r>
    </w:p>
    <w:p w14:paraId="3046FB85" w14:textId="77777777" w:rsidR="009833BB" w:rsidRPr="00A32B07" w:rsidRDefault="009833BB" w:rsidP="009833BB">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 xml:space="preserve">The present study, </w:t>
      </w:r>
      <w:r w:rsidRPr="00A32B07">
        <w:rPr>
          <w:rStyle w:val="Emphasis"/>
          <w:rFonts w:ascii="Arial" w:hAnsi="Arial" w:cs="Arial"/>
          <w:sz w:val="20"/>
          <w:szCs w:val="20"/>
        </w:rPr>
        <w:t>“Dynamics of Coal Consumption and Economic Growth in Indian Economy: An Empirical Study (1980–2025),”</w:t>
      </w:r>
      <w:r w:rsidRPr="00A32B07">
        <w:rPr>
          <w:rFonts w:ascii="Arial" w:hAnsi="Arial" w:cs="Arial"/>
          <w:sz w:val="20"/>
          <w:szCs w:val="20"/>
        </w:rPr>
        <w:t xml:space="preserve"> investigates the dynamic relationship between coal energy use and India’s economic performance over a forty-five-year period. Recognizing coal’s dominant role in powering industrial and infrastructural development, the study seeks to determine whether coal consumption contributes to economic growth, whether economic expansion increases coal demand, or whether both phenomena reinforce each other. Conducted in the Department of Economics, Annamalai University, the study utilizes annual secondary data from 1980 to 2025 collected from the World Bank, Reserve Bank of India, and the Ministry of Coal. Employing a quantitative time-series approach, the research applies several econometric techniques, including the Augmented Dickey–Fuller (ADF) test for stationarity, Johansen cointegration test, Autoregressive Distributed Lag (ARDL) bounds testing, Error Correction Model (ECM), and Granger causality analysis. These methods assess both short-run and long-run relationships among GDP, coal consumption, capital formation, and labour force. The empirical findings indicate a significant long-run equilibrium relationship between coal consumption and GDP, confirming that both variables move together over time. The Granger causality results reveal bidirectional causality, suggesting mutual dependence between energy use and economic activity. The ECM coefficient (–0.412) demonstrates that 41% of any short-run disequilibrium adjusts each year toward long-run stability. Overall, the study concludes that coal remains a critical driver of India’s economic growth; however, its heavy reliance raises sustainability and environmental concerns. The findings emphasize the need for policy interventions that promote clean coal technologies, strengthen renewable energy integration, and enhance overall energy efficiency. These policy implications are vital for achieving India’s long-term vision of sustainable energy security, economic resilience, and environmental stewardship.</w:t>
      </w:r>
    </w:p>
    <w:p w14:paraId="2E2BF0F0" w14:textId="77777777" w:rsidR="00E2173C" w:rsidRPr="00A32B07" w:rsidRDefault="00E2173C" w:rsidP="009833BB">
      <w:pPr>
        <w:spacing w:line="480" w:lineRule="auto"/>
        <w:jc w:val="both"/>
        <w:rPr>
          <w:rStyle w:val="Strong"/>
          <w:rFonts w:ascii="Arial" w:hAnsi="Arial" w:cs="Arial"/>
          <w:sz w:val="20"/>
          <w:szCs w:val="20"/>
        </w:rPr>
      </w:pPr>
      <w:r w:rsidRPr="00A32B07">
        <w:rPr>
          <w:rStyle w:val="Strong"/>
          <w:rFonts w:ascii="Arial" w:hAnsi="Arial" w:cs="Arial"/>
        </w:rPr>
        <w:t>Keywords:</w:t>
      </w:r>
      <w:r w:rsidR="00791796" w:rsidRPr="00A32B07">
        <w:rPr>
          <w:rStyle w:val="Strong"/>
          <w:rFonts w:ascii="Times New Roman" w:hAnsi="Times New Roman" w:cs="Times New Roman"/>
          <w:sz w:val="24"/>
          <w:szCs w:val="24"/>
        </w:rPr>
        <w:t xml:space="preserve"> </w:t>
      </w:r>
      <w:r w:rsidR="00791796" w:rsidRPr="00A32B07">
        <w:rPr>
          <w:rFonts w:ascii="Arial" w:hAnsi="Arial" w:cs="Arial"/>
          <w:sz w:val="20"/>
          <w:szCs w:val="20"/>
        </w:rPr>
        <w:t>Coal consumption, Economic growth, ARDL model, Granger causality, India, Time-series analysis.</w:t>
      </w:r>
    </w:p>
    <w:p w14:paraId="66C6F5EF"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 xml:space="preserve">1.0 </w:t>
      </w:r>
      <w:r w:rsidR="00E2173C" w:rsidRPr="00A32B07">
        <w:rPr>
          <w:rFonts w:ascii="Arial" w:hAnsi="Arial" w:cs="Arial"/>
          <w:b/>
          <w:bCs/>
        </w:rPr>
        <w:t>INTRODUCTION</w:t>
      </w:r>
    </w:p>
    <w:p w14:paraId="79D5CE5A" w14:textId="77777777" w:rsidR="00C01EC5" w:rsidRPr="00A32B07" w:rsidRDefault="00C01EC5"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lastRenderedPageBreak/>
        <w:t>India’s rapid economic expansion since the 1980s has been closely linked to rising energy consumption, with coal remaining the dominant source of energy throughout this period. Coal forms the backbone of India’s energy mix, accounting for nearly 74 % of total electricity generation and more than half of the country’s primary energy consumption (U.S. Energy Information Administration, 2024). As industrialisation, urbanisation, and infrastructural development accelerated, the demand for reliable and affordable energy surged, strengthening the dependence on coal as a key driver of growth. Between 1980 and 2025, India’s coal consumption and economic output have grown in tandem, reflecting a strong interrelationship between the two.</w:t>
      </w:r>
    </w:p>
    <w:p w14:paraId="1A5A4E8E" w14:textId="77777777" w:rsidR="00C01EC5" w:rsidRPr="00A32B07" w:rsidRDefault="00C01EC5"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Coal consumption in India rose significantly from approximately 110 million tonnes in 1980 to over 1.23 billion tonnes in 2023–24 (Ministry of Coal, 2024a). According to the Ministry of Coal (2024b), domestic coal production reached a record 893.19 million tonnes in 2022–23, owing to enhanced mining capacity and policy reforms aimed at boosting supply. The coal sector contributes considerably to India’s GDP by supporting electricity generation, steel and cement manufacturing, and employment creation. The International Energy Agency (2023a) reported that India’s 7 % GDP growth in FY 2022 was accompanied by a 12 % rise in coal production, underlining coal’s pivotal role in sustaining economic momentum.</w:t>
      </w:r>
    </w:p>
    <w:p w14:paraId="15845ACE" w14:textId="77777777" w:rsidR="00C01EC5" w:rsidRPr="00A32B07" w:rsidRDefault="00C01EC5"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However, India’s heavy reliance on coal presents substantial environmental and policy challenges. Coal combustion is a major contributor to greenhouse gas emissions and local air pollution, which threaten long-term sustainability. Despite global efforts to promote decarbonisation, India continues to face the dual challenge of sustaining economic growth while transitioning towards a cleaner energy mix (NITI Aayog, 2023). The International Energy Agency (2023b) forecasts that India will remain the largest contributor to global coal demand growth through 2026, with total demand expected to reach 1.4 billion tonnes.</w:t>
      </w:r>
    </w:p>
    <w:p w14:paraId="119C53AD" w14:textId="77777777" w:rsidR="00C01EC5" w:rsidRPr="00A32B07" w:rsidRDefault="00C01EC5"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 xml:space="preserve">Given these dynamics, it is crucial to empirically examine the long-term relationship between coal consumption and economic growth in India. Understanding whether coal consumption drives economic growth (energy-led hypothesis) or whether economic growth stimulates coal demand (growth-led hypothesis) can provide valuable insights for policymakers. This study, covering the period 1980–2025, aims to analyse the causal and dynamic interactions between coal consumption and economic growth </w:t>
      </w:r>
      <w:r w:rsidRPr="00A32B07">
        <w:rPr>
          <w:rFonts w:ascii="Arial" w:hAnsi="Arial" w:cs="Arial"/>
          <w:sz w:val="20"/>
          <w:szCs w:val="20"/>
        </w:rPr>
        <w:lastRenderedPageBreak/>
        <w:t>using time-series econometric methods, thereby contributing to the ongoing debate on the energy–growth nexus in emerging economies.</w:t>
      </w:r>
    </w:p>
    <w:p w14:paraId="3542C839" w14:textId="77777777" w:rsidR="00C01EC5" w:rsidRPr="00A32B07" w:rsidRDefault="00C01EC5" w:rsidP="00D84BE6">
      <w:pPr>
        <w:spacing w:after="0" w:line="240" w:lineRule="auto"/>
        <w:jc w:val="both"/>
        <w:rPr>
          <w:rFonts w:ascii="Times New Roman" w:hAnsi="Times New Roman" w:cs="Times New Roman"/>
          <w:b/>
          <w:bCs/>
          <w:sz w:val="24"/>
          <w:szCs w:val="24"/>
        </w:rPr>
      </w:pPr>
    </w:p>
    <w:p w14:paraId="5E080B45"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 xml:space="preserve">1.1 </w:t>
      </w:r>
      <w:r w:rsidR="00E2173C" w:rsidRPr="00A32B07">
        <w:rPr>
          <w:rFonts w:ascii="Arial" w:hAnsi="Arial" w:cs="Arial"/>
          <w:b/>
          <w:bCs/>
        </w:rPr>
        <w:t>Need and Importance of the Study</w:t>
      </w:r>
    </w:p>
    <w:p w14:paraId="75A54ABA" w14:textId="77777777" w:rsidR="00C71C8D" w:rsidRPr="00A32B07" w:rsidRDefault="00C71C8D"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India’s economic development has long depended on coal as the primary energy source, supplying over half of its total energy demand (U.S. Energy Information Administration, 2024). Despite increasing investments in renewable energy, coal remains central to sustaining industrial output, electricity generation, and employment (Ministry of Coal, 2024a). The continued expansion of economic activities has driven a steady rise in coal consumption, which in turn influences GDP growth, trade balance, and energy security (International Energy Agency, 2023a).</w:t>
      </w:r>
    </w:p>
    <w:p w14:paraId="6130BAA7" w14:textId="77777777" w:rsidR="00C71C8D" w:rsidRPr="00A32B07" w:rsidRDefault="00C71C8D"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However, this dependence also raises sustainability concerns, as coal combustion contributes significantly to carbon emissions and environmental degradation (NITI Aayog, 2023). Understanding the empirical relationship between coal consumption and economic growth is therefore essential for designing balanced energy policies. This study is important because it provides evidence-based insights into whether economic growth in India is energy-driven or whether economic expansion itself leads to higher coal demand. Such analysis is vital for policymakers to achieve a sustainable growth trajectory while ensuring energy security and environmental stability (International Energy Agency, 2023b).</w:t>
      </w:r>
    </w:p>
    <w:p w14:paraId="257586E4"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 xml:space="preserve">1.2 </w:t>
      </w:r>
      <w:r w:rsidR="00E2173C" w:rsidRPr="00A32B07">
        <w:rPr>
          <w:rFonts w:ascii="Arial" w:hAnsi="Arial" w:cs="Arial"/>
          <w:b/>
          <w:bCs/>
        </w:rPr>
        <w:t>Scope and significance of the study</w:t>
      </w:r>
    </w:p>
    <w:p w14:paraId="28C493B9" w14:textId="77777777" w:rsidR="009F3298" w:rsidRPr="00A32B07" w:rsidRDefault="009F3298"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The scope of this study encompasses the period from 1980 to 2025, focusing on the empirical relationship between coal consumption and economic growth in India. During these years, India has undergone significant economic transformation, driven largely by industrialization, urbanization, and energy-intensive activities (U.S. Energy Information Administration, 2024). The study employs time-series econometric techniques to analyze both long-run and short-run dynamics, offering insights into whether coal consumption stimulates economic growth or whether economic expansion increases energy demand (International Energy Agency, 2023a).</w:t>
      </w:r>
    </w:p>
    <w:p w14:paraId="1863F135" w14:textId="77777777" w:rsidR="009F3298" w:rsidRPr="00A32B07" w:rsidRDefault="009F3298"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 xml:space="preserve">The significance of this research lies in its contribution to understanding India’s energy-growth nexus amid global shifts toward clean energy. As coal remains central to India’s energy mix—supplying over 70% of electricity generation (Ministry of Coal, 2024a)—the findings can guide policymakers in balancing economic growth with environmental sustainability (NITI Aayog, 2023). Furthermore, by </w:t>
      </w:r>
      <w:r w:rsidRPr="00A32B07">
        <w:rPr>
          <w:rFonts w:ascii="Arial" w:hAnsi="Arial" w:cs="Arial"/>
          <w:sz w:val="20"/>
          <w:szCs w:val="20"/>
        </w:rPr>
        <w:lastRenderedPageBreak/>
        <w:t>quantifying the interdependence between coal use and GDP, this study provides evidence-based insights for formulating energy policies that ensure energy security while supporting the nation’s sustainable development goals (International Energy Agency, 2023b).</w:t>
      </w:r>
    </w:p>
    <w:p w14:paraId="4D293F4B" w14:textId="77777777" w:rsidR="009F3298" w:rsidRPr="00A32B07" w:rsidRDefault="009F3298" w:rsidP="00D84BE6">
      <w:pPr>
        <w:spacing w:after="0" w:line="240" w:lineRule="auto"/>
        <w:jc w:val="both"/>
        <w:rPr>
          <w:rFonts w:ascii="Arial" w:hAnsi="Arial" w:cs="Arial"/>
          <w:b/>
          <w:bCs/>
          <w:sz w:val="20"/>
          <w:szCs w:val="20"/>
        </w:rPr>
      </w:pPr>
    </w:p>
    <w:p w14:paraId="426DED33"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 xml:space="preserve">1.3 </w:t>
      </w:r>
      <w:r w:rsidR="00E2173C" w:rsidRPr="00A32B07">
        <w:rPr>
          <w:rFonts w:ascii="Arial" w:hAnsi="Arial" w:cs="Arial"/>
          <w:b/>
          <w:bCs/>
        </w:rPr>
        <w:t>Statements of the problem</w:t>
      </w:r>
    </w:p>
    <w:p w14:paraId="0E3185E9" w14:textId="77777777" w:rsidR="00251FB8" w:rsidRPr="00A32B07" w:rsidRDefault="00251FB8"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India’s economic growth since the 1980s has been strongly supported by its heavy reliance on coal as the primary source of energy. Coal continues to account for a major share of electricity generation and industrial production, making it a critical driver of national development. However, this dependence poses a significant challenge to sustainability, as coal combustion contributes to high levels of carbon emissions and environmental degradation. Despite the growing global emphasis on renewable energy, India’s coal consumption continues to rise to meet the demands of industrialization, urbanization, and population growth.</w:t>
      </w:r>
    </w:p>
    <w:p w14:paraId="1CEB00F5" w14:textId="77777777" w:rsidR="00251FB8" w:rsidRPr="00A32B07" w:rsidRDefault="00251FB8" w:rsidP="005E7DC5">
      <w:pPr>
        <w:pStyle w:val="NormalWeb"/>
        <w:spacing w:before="0" w:beforeAutospacing="0" w:after="0" w:afterAutospacing="0" w:line="480" w:lineRule="auto"/>
        <w:ind w:firstLine="720"/>
        <w:jc w:val="both"/>
      </w:pPr>
      <w:r w:rsidRPr="00A32B07">
        <w:rPr>
          <w:rFonts w:ascii="Arial" w:hAnsi="Arial" w:cs="Arial"/>
          <w:sz w:val="20"/>
          <w:szCs w:val="20"/>
        </w:rPr>
        <w:t xml:space="preserve">The problem lies in the uncertainty regarding the direction and strength of the relationship between coal consumption and economic growth. It remains unclear whether economic </w:t>
      </w:r>
      <w:r w:rsidR="00CD5385" w:rsidRPr="00A32B07">
        <w:rPr>
          <w:rFonts w:ascii="Arial" w:hAnsi="Arial" w:cs="Arial"/>
          <w:sz w:val="20"/>
          <w:szCs w:val="20"/>
        </w:rPr>
        <w:t>growth in India is primarily driven by coal energy use, or if rising income and industrial output themselves leads</w:t>
      </w:r>
      <w:r w:rsidRPr="00A32B07">
        <w:rPr>
          <w:rFonts w:ascii="Arial" w:hAnsi="Arial" w:cs="Arial"/>
          <w:sz w:val="20"/>
          <w:szCs w:val="20"/>
        </w:rPr>
        <w:t xml:space="preserve"> to increased coal demand. Understanding this causal relationship is essential for formulating balanced energy policies that promote economic progress while addressing environmental concerns and ensuring long-term energy security</w:t>
      </w:r>
      <w:r w:rsidRPr="00A32B07">
        <w:t>.</w:t>
      </w:r>
    </w:p>
    <w:p w14:paraId="7E906B27"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 xml:space="preserve">1.4 </w:t>
      </w:r>
      <w:r w:rsidR="00E2173C" w:rsidRPr="00A32B07">
        <w:rPr>
          <w:rFonts w:ascii="Arial" w:hAnsi="Arial" w:cs="Arial"/>
          <w:b/>
          <w:bCs/>
        </w:rPr>
        <w:t>Objectives</w:t>
      </w:r>
    </w:p>
    <w:p w14:paraId="056BA132" w14:textId="77777777" w:rsidR="000E1791" w:rsidRPr="00A32B07" w:rsidRDefault="000E1791" w:rsidP="005E7DC5">
      <w:pPr>
        <w:spacing w:after="0" w:line="480" w:lineRule="auto"/>
        <w:ind w:firstLine="720"/>
        <w:jc w:val="both"/>
        <w:rPr>
          <w:rFonts w:ascii="Arial" w:hAnsi="Arial" w:cs="Arial"/>
          <w:sz w:val="20"/>
          <w:szCs w:val="20"/>
        </w:rPr>
      </w:pPr>
      <w:r w:rsidRPr="00A32B07">
        <w:rPr>
          <w:rFonts w:ascii="Arial" w:hAnsi="Arial" w:cs="Arial"/>
          <w:sz w:val="20"/>
          <w:szCs w:val="20"/>
        </w:rPr>
        <w:t>To examine the causal and long-term relationship between coal consumption and economic growth in India from 1980 to 2025 using empirical time-series analysis.</w:t>
      </w:r>
    </w:p>
    <w:p w14:paraId="0D13AF8B" w14:textId="77777777" w:rsidR="003D11F9" w:rsidRPr="00A32B07" w:rsidRDefault="003D11F9" w:rsidP="00D84BE6">
      <w:pPr>
        <w:spacing w:after="0" w:line="240" w:lineRule="auto"/>
        <w:jc w:val="both"/>
        <w:rPr>
          <w:rFonts w:ascii="Times New Roman" w:hAnsi="Times New Roman" w:cs="Times New Roman"/>
          <w:b/>
          <w:bCs/>
          <w:sz w:val="24"/>
          <w:szCs w:val="24"/>
        </w:rPr>
      </w:pPr>
    </w:p>
    <w:p w14:paraId="474219B3" w14:textId="77777777" w:rsidR="00E2173C" w:rsidRPr="00A32B07" w:rsidRDefault="005E4919" w:rsidP="00D84BE6">
      <w:pPr>
        <w:spacing w:after="0" w:line="240" w:lineRule="auto"/>
        <w:jc w:val="both"/>
        <w:rPr>
          <w:rFonts w:ascii="Arial" w:hAnsi="Arial" w:cs="Arial"/>
          <w:b/>
          <w:bCs/>
        </w:rPr>
      </w:pPr>
      <w:r w:rsidRPr="00A32B07">
        <w:rPr>
          <w:rFonts w:ascii="Arial" w:hAnsi="Arial" w:cs="Arial"/>
          <w:b/>
          <w:bCs/>
        </w:rPr>
        <w:t>1.5 Overview of Reviewed Literature and Research Gap</w:t>
      </w:r>
    </w:p>
    <w:p w14:paraId="4DE0B654" w14:textId="77777777" w:rsidR="00A90CF3" w:rsidRPr="00A32B07" w:rsidRDefault="00A90CF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The relationship between coal consumption and economic growth has received wide attention in energy economics, especially for developing countries like India where coal plays a dominant role in meeting energy needs. Kulshreshtha and Parikh (2000) conducted an early study using a vector autoregressive (VAR) model with cointegrated variables for the period 1970–1995. Their findings indicated that income and sectoral activity were key long-run drivers of coal demand, while short-run demand was less responsive to price changes, confirming that India’s economic expansion strongly depends on coal-based energy (Kulshreshtha &amp; Parikh, 2000).</w:t>
      </w:r>
    </w:p>
    <w:p w14:paraId="40BF873D" w14:textId="77777777" w:rsidR="00A90CF3" w:rsidRPr="00A32B07" w:rsidRDefault="00A90CF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lastRenderedPageBreak/>
        <w:t>Wolde-Rufael (2010) revisited the coal–growth relationship across several coal-dependent economies using a multivariate VAR model. The study found diverse causality directions across nations, showing that energy–growth dynamics depend on economic structure and policy environment. The inclusion of capital and labour revealed that omitting these variables could distort the true direction of causality—an important consideration for India’s empirical analysis (Wolde-Rufael, 2010).</w:t>
      </w:r>
    </w:p>
    <w:p w14:paraId="0EB3F705" w14:textId="77777777" w:rsidR="00A90CF3" w:rsidRPr="00A32B07" w:rsidRDefault="00A90CF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Apergis and Payne (2010) examined OECD countries using panel cointegration and error correction models and found a long-run equilibrium relationship between coal consumption, GDP, capital formation, and labour. They identified bidirectional causality between coal use and growth, suggesting a mutual reinforcement of energy use and economic activity. Although their focus was on developed countries, their methodology provides a strong framework for studying India’s energy-growth nexus (Apergis &amp; Payne, 2010).</w:t>
      </w:r>
    </w:p>
    <w:p w14:paraId="291835B6" w14:textId="77777777" w:rsidR="00A90CF3" w:rsidRPr="00A32B07" w:rsidRDefault="00A90CF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Govindaraju and Tang (2013) explored the dynamic links between CO</w:t>
      </w:r>
      <w:r w:rsidRPr="00A32B07">
        <w:rPr>
          <w:rFonts w:cs="Arial"/>
          <w:sz w:val="20"/>
          <w:szCs w:val="20"/>
        </w:rPr>
        <w:t>₂</w:t>
      </w:r>
      <w:r w:rsidRPr="00A32B07">
        <w:rPr>
          <w:rFonts w:ascii="Arial" w:hAnsi="Arial" w:cs="Arial"/>
          <w:sz w:val="20"/>
          <w:szCs w:val="20"/>
        </w:rPr>
        <w:t xml:space="preserve"> emissions, coal consumption, and economic growth for China and India. Using the ARDL bounds testing approach, they found long-run cointegration among these variables, with India showing stronger influence of GDP on coal consumption. This implies that economic growth drives higher coal demand in India, posing challenges for sustainable development (Govindaraju &amp; Tang, 2013).</w:t>
      </w:r>
    </w:p>
    <w:p w14:paraId="20D1581E" w14:textId="77777777" w:rsidR="00A90CF3" w:rsidRPr="00A32B07" w:rsidRDefault="00A90CF3" w:rsidP="009D55DD">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Ahmad et al. (2016) focused exclusively on India and applied time-series cointegration and causality tests to assess the link between energy consumption, emissions, and growth. They confirmed long-run relationships and highlighted that structural reforms, policy shifts, and technological changes affect short-run dynamics. The study emphasized accounting for structural breaks to capture post-liberalization energy trends (Ahmad et al., 2016).</w:t>
      </w:r>
    </w:p>
    <w:p w14:paraId="1A2E37F0" w14:textId="77777777" w:rsidR="00A90CF3" w:rsidRPr="00A32B07" w:rsidRDefault="00A90CF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Overall, these studies confirm a strong interdependence between coal consumption and economic growth. However, differences in methodology, time period, and model specification have led to varied conclusions. Hence, an updated empirical investigation for 1980–2025 is essential to capture India’s recent policy reforms, energy diversification, and sustainable development goals.</w:t>
      </w:r>
    </w:p>
    <w:p w14:paraId="7A24BF23" w14:textId="77777777" w:rsidR="00475668" w:rsidRPr="00A32B07" w:rsidRDefault="00475668"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 xml:space="preserve">Despite several studies examining the coal–growth relationship in India, most have focused on limited timeframes or ignored recent structural reforms. Therefore, there is a need for an updated </w:t>
      </w:r>
      <w:r w:rsidRPr="00A32B07">
        <w:rPr>
          <w:rFonts w:ascii="Arial" w:hAnsi="Arial" w:cs="Arial"/>
          <w:sz w:val="20"/>
          <w:szCs w:val="20"/>
        </w:rPr>
        <w:lastRenderedPageBreak/>
        <w:t>empirical analysis covering 1980–2025 to capture long-term dynamics, policy shifts, and the evolving energy mix in India’s economy.</w:t>
      </w:r>
    </w:p>
    <w:p w14:paraId="6EC59075" w14:textId="77777777" w:rsidR="003D11F9" w:rsidRPr="00A32B07" w:rsidRDefault="003D11F9" w:rsidP="00D84BE6">
      <w:pPr>
        <w:pStyle w:val="NormalWeb"/>
        <w:spacing w:before="0" w:beforeAutospacing="0" w:after="0" w:afterAutospacing="0"/>
        <w:ind w:firstLine="720"/>
        <w:jc w:val="both"/>
        <w:rPr>
          <w:rFonts w:ascii="Arial" w:hAnsi="Arial" w:cs="Arial"/>
          <w:sz w:val="20"/>
          <w:szCs w:val="20"/>
        </w:rPr>
      </w:pPr>
    </w:p>
    <w:p w14:paraId="2C43C454" w14:textId="77777777" w:rsidR="00E2173C" w:rsidRPr="00A32B07" w:rsidRDefault="005E4919" w:rsidP="00D84BE6">
      <w:pPr>
        <w:spacing w:after="0" w:line="240" w:lineRule="auto"/>
        <w:jc w:val="both"/>
        <w:rPr>
          <w:rStyle w:val="Strong"/>
          <w:rFonts w:ascii="Arial" w:hAnsi="Arial" w:cs="Arial"/>
        </w:rPr>
      </w:pPr>
      <w:r w:rsidRPr="00A32B07">
        <w:rPr>
          <w:rStyle w:val="Strong"/>
          <w:rFonts w:ascii="Arial" w:hAnsi="Arial" w:cs="Arial"/>
        </w:rPr>
        <w:t xml:space="preserve">2.0 </w:t>
      </w:r>
      <w:r w:rsidR="00E2173C" w:rsidRPr="00A32B07">
        <w:rPr>
          <w:rStyle w:val="Strong"/>
          <w:rFonts w:ascii="Arial" w:hAnsi="Arial" w:cs="Arial"/>
        </w:rPr>
        <w:t>MATERIALS AND METHODS</w:t>
      </w:r>
    </w:p>
    <w:p w14:paraId="3ECF8CAD" w14:textId="77777777" w:rsidR="00665669" w:rsidRPr="00A32B07" w:rsidRDefault="00665669" w:rsidP="00D84BE6">
      <w:pPr>
        <w:spacing w:after="0" w:line="240" w:lineRule="auto"/>
        <w:jc w:val="both"/>
        <w:rPr>
          <w:rStyle w:val="Strong"/>
          <w:rFonts w:ascii="Arial" w:hAnsi="Arial" w:cs="Arial"/>
        </w:rPr>
      </w:pPr>
    </w:p>
    <w:p w14:paraId="3B54B199" w14:textId="77777777" w:rsidR="001319C3" w:rsidRPr="00A32B07" w:rsidRDefault="005E4919" w:rsidP="00D84BE6">
      <w:pPr>
        <w:pStyle w:val="Heading3"/>
        <w:spacing w:before="0" w:line="240" w:lineRule="auto"/>
        <w:jc w:val="both"/>
        <w:rPr>
          <w:rFonts w:ascii="Arial" w:hAnsi="Arial" w:cs="Arial"/>
          <w:b w:val="0"/>
          <w:color w:val="auto"/>
        </w:rPr>
      </w:pPr>
      <w:r w:rsidRPr="00A32B07">
        <w:rPr>
          <w:rStyle w:val="Strong"/>
          <w:rFonts w:ascii="Arial" w:hAnsi="Arial" w:cs="Arial"/>
          <w:b/>
          <w:bCs/>
          <w:color w:val="auto"/>
        </w:rPr>
        <w:t xml:space="preserve">2.1 </w:t>
      </w:r>
      <w:r w:rsidR="001319C3" w:rsidRPr="00A32B07">
        <w:rPr>
          <w:rStyle w:val="Strong"/>
          <w:rFonts w:ascii="Arial" w:hAnsi="Arial" w:cs="Arial"/>
          <w:b/>
          <w:bCs/>
          <w:color w:val="auto"/>
        </w:rPr>
        <w:t>Data Source and Period of Study</w:t>
      </w:r>
    </w:p>
    <w:p w14:paraId="3B2E11E0" w14:textId="77777777" w:rsidR="001319C3" w:rsidRPr="006435D7" w:rsidRDefault="001319C3" w:rsidP="005E7DC5">
      <w:pPr>
        <w:pStyle w:val="NormalWeb"/>
        <w:spacing w:before="0" w:beforeAutospacing="0" w:after="0" w:afterAutospacing="0" w:line="480" w:lineRule="auto"/>
        <w:ind w:firstLine="720"/>
        <w:jc w:val="both"/>
        <w:rPr>
          <w:rFonts w:ascii="Arial" w:hAnsi="Arial" w:cs="Arial"/>
          <w:sz w:val="20"/>
          <w:szCs w:val="20"/>
        </w:rPr>
      </w:pPr>
      <w:r w:rsidRPr="00A32B07">
        <w:rPr>
          <w:rFonts w:ascii="Arial" w:hAnsi="Arial" w:cs="Arial"/>
          <w:sz w:val="20"/>
          <w:szCs w:val="20"/>
        </w:rPr>
        <w:t xml:space="preserve">The study utilizes annual time-series data for India covering the period </w:t>
      </w:r>
      <w:r w:rsidRPr="00A32B07">
        <w:rPr>
          <w:rStyle w:val="Strong"/>
          <w:rFonts w:ascii="Arial" w:hAnsi="Arial" w:cs="Arial"/>
          <w:b w:val="0"/>
          <w:sz w:val="20"/>
          <w:szCs w:val="20"/>
        </w:rPr>
        <w:t>1980–2025</w:t>
      </w:r>
      <w:r w:rsidRPr="00A32B07">
        <w:rPr>
          <w:rFonts w:ascii="Arial" w:hAnsi="Arial" w:cs="Arial"/>
          <w:sz w:val="20"/>
          <w:szCs w:val="20"/>
        </w:rPr>
        <w:t xml:space="preserve"> to examine the causal and long-term relationship between coal consumption and economic</w:t>
      </w:r>
      <w:r w:rsidRPr="006435D7">
        <w:rPr>
          <w:rFonts w:ascii="Arial" w:hAnsi="Arial" w:cs="Arial"/>
          <w:sz w:val="20"/>
          <w:szCs w:val="20"/>
        </w:rPr>
        <w:t xml:space="preserve"> growth. Data on </w:t>
      </w:r>
      <w:r w:rsidRPr="006435D7">
        <w:rPr>
          <w:rStyle w:val="Strong"/>
          <w:rFonts w:ascii="Arial" w:hAnsi="Arial" w:cs="Arial"/>
          <w:b w:val="0"/>
          <w:sz w:val="20"/>
          <w:szCs w:val="20"/>
        </w:rPr>
        <w:t>coal consumption</w:t>
      </w:r>
      <w:r w:rsidRPr="006435D7">
        <w:rPr>
          <w:rFonts w:ascii="Arial" w:hAnsi="Arial" w:cs="Arial"/>
          <w:sz w:val="20"/>
          <w:szCs w:val="20"/>
        </w:rPr>
        <w:t xml:space="preserve"> (measured in million tonnes of oil equivalent) and </w:t>
      </w:r>
      <w:r w:rsidRPr="006435D7">
        <w:rPr>
          <w:rStyle w:val="Strong"/>
          <w:rFonts w:ascii="Arial" w:hAnsi="Arial" w:cs="Arial"/>
          <w:b w:val="0"/>
          <w:sz w:val="20"/>
          <w:szCs w:val="20"/>
        </w:rPr>
        <w:t>real Gross</w:t>
      </w:r>
      <w:r w:rsidRPr="006435D7">
        <w:rPr>
          <w:rStyle w:val="Strong"/>
          <w:rFonts w:ascii="Arial" w:hAnsi="Arial" w:cs="Arial"/>
          <w:sz w:val="20"/>
          <w:szCs w:val="20"/>
        </w:rPr>
        <w:t xml:space="preserve"> </w:t>
      </w:r>
      <w:r w:rsidRPr="006435D7">
        <w:rPr>
          <w:rStyle w:val="Strong"/>
          <w:rFonts w:ascii="Arial" w:hAnsi="Arial" w:cs="Arial"/>
          <w:b w:val="0"/>
          <w:sz w:val="20"/>
          <w:szCs w:val="20"/>
        </w:rPr>
        <w:t>Domestic Product (GDP)</w:t>
      </w:r>
      <w:r w:rsidRPr="006435D7">
        <w:rPr>
          <w:rFonts w:ascii="Arial" w:hAnsi="Arial" w:cs="Arial"/>
          <w:sz w:val="20"/>
          <w:szCs w:val="20"/>
        </w:rPr>
        <w:t xml:space="preserve"> at constant prices are sourced from the </w:t>
      </w:r>
      <w:r w:rsidRPr="006435D7">
        <w:rPr>
          <w:rStyle w:val="Strong"/>
          <w:rFonts w:ascii="Arial" w:hAnsi="Arial" w:cs="Arial"/>
          <w:b w:val="0"/>
          <w:sz w:val="20"/>
          <w:szCs w:val="20"/>
        </w:rPr>
        <w:t>World Bank (World Development Indicators)</w:t>
      </w:r>
      <w:r w:rsidRPr="006435D7">
        <w:rPr>
          <w:rFonts w:ascii="Arial" w:hAnsi="Arial" w:cs="Arial"/>
          <w:b/>
          <w:sz w:val="20"/>
          <w:szCs w:val="20"/>
        </w:rPr>
        <w:t xml:space="preserve">, </w:t>
      </w:r>
      <w:r w:rsidRPr="006435D7">
        <w:rPr>
          <w:rStyle w:val="Strong"/>
          <w:rFonts w:ascii="Arial" w:hAnsi="Arial" w:cs="Arial"/>
          <w:b w:val="0"/>
          <w:sz w:val="20"/>
          <w:szCs w:val="20"/>
        </w:rPr>
        <w:t>Ministry of Coal</w:t>
      </w:r>
      <w:r w:rsidRPr="006435D7">
        <w:rPr>
          <w:rFonts w:ascii="Arial" w:hAnsi="Arial" w:cs="Arial"/>
          <w:sz w:val="20"/>
          <w:szCs w:val="20"/>
        </w:rPr>
        <w:t>, and</w:t>
      </w:r>
      <w:r w:rsidRPr="006435D7">
        <w:rPr>
          <w:rFonts w:ascii="Arial" w:hAnsi="Arial" w:cs="Arial"/>
          <w:b/>
          <w:sz w:val="20"/>
          <w:szCs w:val="20"/>
        </w:rPr>
        <w:t xml:space="preserve"> </w:t>
      </w:r>
      <w:r w:rsidRPr="006435D7">
        <w:rPr>
          <w:rStyle w:val="Strong"/>
          <w:rFonts w:ascii="Arial" w:hAnsi="Arial" w:cs="Arial"/>
          <w:b w:val="0"/>
          <w:sz w:val="20"/>
          <w:szCs w:val="20"/>
        </w:rPr>
        <w:t>Reserve Bank of India (RBI) Handbook of Statistics on the Indian Economy</w:t>
      </w:r>
      <w:r w:rsidRPr="006435D7">
        <w:rPr>
          <w:rFonts w:ascii="Arial" w:hAnsi="Arial" w:cs="Arial"/>
          <w:sz w:val="20"/>
          <w:szCs w:val="20"/>
        </w:rPr>
        <w:t xml:space="preserve">. Additional control variables such as </w:t>
      </w:r>
      <w:r w:rsidRPr="006435D7">
        <w:rPr>
          <w:rStyle w:val="Strong"/>
          <w:rFonts w:ascii="Arial" w:hAnsi="Arial" w:cs="Arial"/>
          <w:b w:val="0"/>
          <w:sz w:val="20"/>
          <w:szCs w:val="20"/>
        </w:rPr>
        <w:t>gross fixed capital formation (K)</w:t>
      </w:r>
      <w:r w:rsidRPr="006435D7">
        <w:rPr>
          <w:rFonts w:ascii="Arial" w:hAnsi="Arial" w:cs="Arial"/>
          <w:b/>
          <w:sz w:val="20"/>
          <w:szCs w:val="20"/>
        </w:rPr>
        <w:t xml:space="preserve"> </w:t>
      </w:r>
      <w:r w:rsidRPr="006435D7">
        <w:rPr>
          <w:rFonts w:ascii="Arial" w:hAnsi="Arial" w:cs="Arial"/>
          <w:sz w:val="20"/>
          <w:szCs w:val="20"/>
        </w:rPr>
        <w:t>and</w:t>
      </w:r>
      <w:r w:rsidRPr="006435D7">
        <w:rPr>
          <w:rFonts w:ascii="Arial" w:hAnsi="Arial" w:cs="Arial"/>
          <w:b/>
          <w:sz w:val="20"/>
          <w:szCs w:val="20"/>
        </w:rPr>
        <w:t xml:space="preserve"> </w:t>
      </w:r>
      <w:r w:rsidRPr="006435D7">
        <w:rPr>
          <w:rStyle w:val="Strong"/>
          <w:rFonts w:ascii="Arial" w:hAnsi="Arial" w:cs="Arial"/>
          <w:b w:val="0"/>
          <w:sz w:val="20"/>
          <w:szCs w:val="20"/>
        </w:rPr>
        <w:t>labour force (L)</w:t>
      </w:r>
      <w:r w:rsidRPr="006435D7">
        <w:rPr>
          <w:rFonts w:ascii="Arial" w:hAnsi="Arial" w:cs="Arial"/>
          <w:b/>
          <w:sz w:val="20"/>
          <w:szCs w:val="20"/>
        </w:rPr>
        <w:t xml:space="preserve"> </w:t>
      </w:r>
      <w:r w:rsidRPr="006435D7">
        <w:rPr>
          <w:rFonts w:ascii="Arial" w:hAnsi="Arial" w:cs="Arial"/>
          <w:sz w:val="20"/>
          <w:szCs w:val="20"/>
        </w:rPr>
        <w:t xml:space="preserve">are obtained from the </w:t>
      </w:r>
      <w:r w:rsidRPr="006435D7">
        <w:rPr>
          <w:rStyle w:val="Strong"/>
          <w:rFonts w:ascii="Arial" w:hAnsi="Arial" w:cs="Arial"/>
          <w:b w:val="0"/>
          <w:sz w:val="20"/>
          <w:szCs w:val="20"/>
        </w:rPr>
        <w:t>OECD</w:t>
      </w:r>
      <w:r w:rsidRPr="006435D7">
        <w:rPr>
          <w:rFonts w:ascii="Arial" w:hAnsi="Arial" w:cs="Arial"/>
          <w:sz w:val="20"/>
          <w:szCs w:val="20"/>
        </w:rPr>
        <w:t xml:space="preserve"> and </w:t>
      </w:r>
      <w:r w:rsidRPr="006435D7">
        <w:rPr>
          <w:rStyle w:val="Strong"/>
          <w:rFonts w:ascii="Arial" w:hAnsi="Arial" w:cs="Arial"/>
          <w:b w:val="0"/>
          <w:sz w:val="20"/>
          <w:szCs w:val="20"/>
        </w:rPr>
        <w:t>National Statistical Office (NSO)</w:t>
      </w:r>
      <w:r w:rsidRPr="006435D7">
        <w:rPr>
          <w:rFonts w:ascii="Arial" w:hAnsi="Arial" w:cs="Arial"/>
          <w:sz w:val="20"/>
          <w:szCs w:val="20"/>
        </w:rPr>
        <w:t xml:space="preserve"> databases. These datasets ensure consistency, reliability, and long-term coverage to facilitate empirical time-series analysis.</w:t>
      </w:r>
    </w:p>
    <w:p w14:paraId="7170894D" w14:textId="77777777" w:rsidR="008751F4" w:rsidRDefault="008751F4" w:rsidP="00D84BE6">
      <w:pPr>
        <w:pStyle w:val="Heading3"/>
        <w:spacing w:before="0" w:line="240" w:lineRule="auto"/>
        <w:jc w:val="both"/>
        <w:rPr>
          <w:rStyle w:val="Strong"/>
          <w:rFonts w:ascii="Times New Roman" w:hAnsi="Times New Roman" w:cs="Times New Roman"/>
          <w:b/>
          <w:bCs/>
          <w:color w:val="auto"/>
          <w:sz w:val="24"/>
          <w:szCs w:val="24"/>
        </w:rPr>
      </w:pPr>
    </w:p>
    <w:p w14:paraId="05504164"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2.2 </w:t>
      </w:r>
      <w:r w:rsidR="001319C3" w:rsidRPr="006435D7">
        <w:rPr>
          <w:rStyle w:val="Strong"/>
          <w:rFonts w:ascii="Arial" w:hAnsi="Arial" w:cs="Arial"/>
          <w:b/>
          <w:bCs/>
          <w:color w:val="auto"/>
        </w:rPr>
        <w:t>Data Processing and Transformation</w:t>
      </w:r>
    </w:p>
    <w:p w14:paraId="72E95AE3" w14:textId="77777777" w:rsidR="008751F4"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To address issues of scale differences and heteroskedasticity, all variables are transformed into their </w:t>
      </w:r>
      <w:r w:rsidRPr="006435D7">
        <w:rPr>
          <w:rStyle w:val="Strong"/>
          <w:rFonts w:ascii="Arial" w:hAnsi="Arial" w:cs="Arial"/>
          <w:b w:val="0"/>
          <w:sz w:val="20"/>
          <w:szCs w:val="20"/>
        </w:rPr>
        <w:t>natural logarithmic form</w:t>
      </w:r>
      <w:r w:rsidRPr="006435D7">
        <w:rPr>
          <w:rFonts w:ascii="Arial" w:hAnsi="Arial" w:cs="Arial"/>
          <w:sz w:val="20"/>
          <w:szCs w:val="20"/>
        </w:rPr>
        <w:t>. This transformation allows coefficients to be interpreted as elasticities and stabilizes variance across observations. The transformed variables are defined as</w:t>
      </w:r>
    </w:p>
    <w:p w14:paraId="7D50B431" w14:textId="77777777" w:rsidR="00E272CC" w:rsidRPr="006435D7"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GDP</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COAL</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CAPITAL</m:t>
          </m:r>
          <m:r>
            <m:rPr>
              <m:sty m:val="bi"/>
            </m:rPr>
            <w:rPr>
              <w:rFonts w:ascii="Arial" w:hAnsi="Cambria Math" w:cs="Arial"/>
              <w:sz w:val="22"/>
              <w:szCs w:val="22"/>
            </w:rPr>
            <m:t>ₜ</m:t>
          </m:r>
          <m:r>
            <m:rPr>
              <m:sty m:val="bi"/>
            </m:rPr>
            <w:rPr>
              <w:rFonts w:ascii="Cambria Math" w:hAnsi="Arial" w:cs="Arial"/>
              <w:sz w:val="22"/>
              <w:szCs w:val="22"/>
            </w:rPr>
            <m:t>)</m:t>
          </m:r>
          <m:r>
            <m:rPr>
              <m:sty m:val="p"/>
            </m:rPr>
            <w:rPr>
              <w:rFonts w:ascii="Cambria Math" w:hAnsi="Arial" w:cs="Arial"/>
              <w:sz w:val="22"/>
              <w:szCs w:val="22"/>
            </w:rPr>
            <w:br/>
          </m:r>
        </m:oMath>
        <m:oMath>
          <m:r>
            <m:rPr>
              <m:sty m:val="bi"/>
            </m:rPr>
            <w:rPr>
              <w:rFonts w:ascii="Cambria Math" w:hAnsi="Cambria Math" w:cs="Arial"/>
              <w:sz w:val="22"/>
              <w:szCs w:val="22"/>
            </w:rPr>
            <m:t>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ln</m:t>
          </m:r>
          <m:r>
            <m:rPr>
              <m:sty m:val="bi"/>
            </m:rPr>
            <w:rPr>
              <w:rFonts w:ascii="Cambria Math" w:hAnsi="Arial" w:cs="Arial"/>
              <w:sz w:val="22"/>
              <w:szCs w:val="22"/>
            </w:rPr>
            <m:t>(</m:t>
          </m:r>
          <m:r>
            <m:rPr>
              <m:sty m:val="bi"/>
            </m:rPr>
            <w:rPr>
              <w:rFonts w:ascii="Cambria Math" w:hAnsi="Cambria Math" w:cs="Arial"/>
              <w:sz w:val="22"/>
              <w:szCs w:val="22"/>
            </w:rPr>
            <m:t>LABOURₜ</m:t>
          </m:r>
          <m:r>
            <m:rPr>
              <m:sty m:val="bi"/>
            </m:rPr>
            <w:rPr>
              <w:rFonts w:ascii="Cambria Math" w:hAnsi="Arial" w:cs="Arial"/>
              <w:sz w:val="22"/>
              <w:szCs w:val="22"/>
            </w:rPr>
            <m:t>)</m:t>
          </m:r>
        </m:oMath>
      </m:oMathPara>
    </w:p>
    <w:p w14:paraId="1C1DB437"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This transformation allows for interpreting coefficients as elasticities in the regression analysis.</w:t>
      </w:r>
    </w:p>
    <w:p w14:paraId="3A975190"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2.3 </w:t>
      </w:r>
      <w:r w:rsidR="001319C3" w:rsidRPr="006435D7">
        <w:rPr>
          <w:rStyle w:val="Strong"/>
          <w:rFonts w:ascii="Arial" w:hAnsi="Arial" w:cs="Arial"/>
          <w:b/>
          <w:bCs/>
          <w:color w:val="auto"/>
        </w:rPr>
        <w:t>Stationarity Testing</w:t>
      </w:r>
    </w:p>
    <w:p w14:paraId="5A20C1E6"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Since time-series data may exhibit non-stationarity, which can lead to spurious regression results, the study employs both </w:t>
      </w:r>
      <w:r w:rsidRPr="006435D7">
        <w:rPr>
          <w:rStyle w:val="Strong"/>
          <w:rFonts w:ascii="Arial" w:hAnsi="Arial" w:cs="Arial"/>
          <w:b w:val="0"/>
          <w:sz w:val="20"/>
          <w:szCs w:val="20"/>
        </w:rPr>
        <w:t>Augmented Dickey–Fuller (ADF)</w:t>
      </w:r>
      <w:r w:rsidRPr="006435D7">
        <w:rPr>
          <w:rFonts w:ascii="Arial" w:hAnsi="Arial" w:cs="Arial"/>
          <w:sz w:val="20"/>
          <w:szCs w:val="20"/>
        </w:rPr>
        <w:t xml:space="preserve"> and </w:t>
      </w:r>
      <w:r w:rsidRPr="006435D7">
        <w:rPr>
          <w:rStyle w:val="Strong"/>
          <w:rFonts w:ascii="Arial" w:hAnsi="Arial" w:cs="Arial"/>
          <w:b w:val="0"/>
          <w:sz w:val="20"/>
          <w:szCs w:val="20"/>
        </w:rPr>
        <w:t>Phillips–Perron (PP)</w:t>
      </w:r>
      <w:r w:rsidRPr="006435D7">
        <w:rPr>
          <w:rFonts w:ascii="Arial" w:hAnsi="Arial" w:cs="Arial"/>
          <w:sz w:val="20"/>
          <w:szCs w:val="20"/>
        </w:rPr>
        <w:t xml:space="preserve"> tests to check the stationarity of each variable. The ADF test is estimated using the following equation:</w:t>
      </w:r>
    </w:p>
    <w:p w14:paraId="35BB846C"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ADF Test equation:</w:t>
      </w:r>
      <w:r w:rsidRPr="006435D7">
        <w:rPr>
          <w:rFonts w:ascii="Arial" w:hAnsi="Arial" w:cs="Arial"/>
          <w:sz w:val="22"/>
          <w:szCs w:val="22"/>
        </w:rPr>
        <w:br/>
      </w:r>
      <m:oMathPara>
        <m:oMath>
          <m:r>
            <m:rPr>
              <m:sty m:val="bi"/>
            </m:rPr>
            <w:rPr>
              <w:rFonts w:ascii="Cambria Math" w:hAnsi="Cambria Math" w:cs="Arial"/>
              <w:sz w:val="22"/>
              <w:szCs w:val="22"/>
            </w:rPr>
            <m:t>ΔX</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βt</m:t>
          </m:r>
          <m:r>
            <m:rPr>
              <m:sty m:val="bi"/>
            </m:rPr>
            <w:rPr>
              <w:rFonts w:ascii="Cambria Math" w:hAnsi="Arial" w:cs="Arial"/>
              <w:sz w:val="22"/>
              <w:szCs w:val="22"/>
            </w:rPr>
            <m:t xml:space="preserve"> + </m:t>
          </m:r>
          <m:r>
            <m:rPr>
              <m:sty m:val="bi"/>
            </m:rPr>
            <w:rPr>
              <w:rFonts w:ascii="Cambria Math" w:hAnsi="Cambria Math" w:cs="Arial"/>
              <w:sz w:val="22"/>
              <w:szCs w:val="22"/>
            </w:rPr>
            <m:t>γX</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 xml:space="preserve"> (</m:t>
          </m:r>
          <m:r>
            <m:rPr>
              <m:sty m:val="bi"/>
            </m:rPr>
            <w:rPr>
              <w:rFonts w:ascii="Cambria Math" w:hAnsi="Cambria Math" w:cs="Arial"/>
              <w:sz w:val="22"/>
              <w:szCs w:val="22"/>
            </w:rPr>
            <m:t>δ</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ΔX</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75D40457"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61B76707"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lastRenderedPageBreak/>
        <w:t>ΔX</w:t>
      </w:r>
      <w:r w:rsidRPr="006435D7">
        <w:rPr>
          <w:rFonts w:cs="Arial"/>
          <w:sz w:val="20"/>
          <w:szCs w:val="20"/>
        </w:rPr>
        <w:t>ₜ</w:t>
      </w:r>
      <w:r w:rsidRPr="006435D7">
        <w:rPr>
          <w:rFonts w:ascii="Arial" w:hAnsi="Arial" w:cs="Arial"/>
          <w:sz w:val="20"/>
          <w:szCs w:val="20"/>
        </w:rPr>
        <w:t xml:space="preserve"> = first difference of X</w:t>
      </w:r>
      <w:r w:rsidRPr="006435D7">
        <w:rPr>
          <w:rFonts w:cs="Arial"/>
          <w:sz w:val="20"/>
          <w:szCs w:val="20"/>
        </w:rPr>
        <w:t>ₜ</w:t>
      </w:r>
    </w:p>
    <w:p w14:paraId="53F86743"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t = time trend</w:t>
      </w:r>
    </w:p>
    <w:p w14:paraId="7B9E4882"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α = constant term</w:t>
      </w:r>
    </w:p>
    <w:p w14:paraId="025094E6"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p = lag length</w:t>
      </w:r>
    </w:p>
    <w:p w14:paraId="686CDDCB" w14:textId="77777777" w:rsidR="00E272CC" w:rsidRPr="006435D7" w:rsidRDefault="00E272CC" w:rsidP="00E272CC">
      <w:pPr>
        <w:pStyle w:val="NormalWeb"/>
        <w:numPr>
          <w:ilvl w:val="0"/>
          <w:numId w:val="4"/>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error term</w:t>
      </w:r>
    </w:p>
    <w:p w14:paraId="3385B554"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2B8A164F"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hAnsi="Arial" w:cs="Arial"/>
          <w:b/>
          <w:bCs/>
          <w:color w:val="auto"/>
        </w:rPr>
        <w:t xml:space="preserve">2.4 </w:t>
      </w:r>
      <w:r w:rsidR="001319C3" w:rsidRPr="006435D7">
        <w:rPr>
          <w:rStyle w:val="Strong"/>
          <w:rFonts w:ascii="Arial" w:hAnsi="Arial" w:cs="Arial"/>
          <w:b/>
          <w:bCs/>
          <w:color w:val="auto"/>
        </w:rPr>
        <w:t>Unit Root and Structural Break Tests</w:t>
      </w:r>
    </w:p>
    <w:p w14:paraId="6B86906A"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Given India’s major economic policy changes—especially the </w:t>
      </w:r>
      <w:r w:rsidRPr="006435D7">
        <w:rPr>
          <w:rStyle w:val="Strong"/>
          <w:rFonts w:ascii="Arial" w:hAnsi="Arial" w:cs="Arial"/>
          <w:b w:val="0"/>
          <w:sz w:val="20"/>
          <w:szCs w:val="20"/>
        </w:rPr>
        <w:t>1991 economic liberalization</w:t>
      </w:r>
      <w:r w:rsidRPr="006435D7">
        <w:rPr>
          <w:rFonts w:ascii="Arial" w:hAnsi="Arial" w:cs="Arial"/>
          <w:sz w:val="20"/>
          <w:szCs w:val="20"/>
        </w:rPr>
        <w:t xml:space="preserve">—the study applies </w:t>
      </w:r>
      <w:r w:rsidRPr="006435D7">
        <w:rPr>
          <w:rStyle w:val="Strong"/>
          <w:rFonts w:ascii="Arial" w:hAnsi="Arial" w:cs="Arial"/>
          <w:b w:val="0"/>
          <w:sz w:val="20"/>
          <w:szCs w:val="20"/>
        </w:rPr>
        <w:t>Zivot–Andrews</w:t>
      </w:r>
      <w:r w:rsidRPr="006435D7">
        <w:rPr>
          <w:rFonts w:ascii="Arial" w:hAnsi="Arial" w:cs="Arial"/>
          <w:sz w:val="20"/>
          <w:szCs w:val="20"/>
        </w:rPr>
        <w:t xml:space="preserve"> and </w:t>
      </w:r>
      <w:r w:rsidRPr="006435D7">
        <w:rPr>
          <w:rStyle w:val="Strong"/>
          <w:rFonts w:ascii="Arial" w:hAnsi="Arial" w:cs="Arial"/>
          <w:b w:val="0"/>
          <w:sz w:val="20"/>
          <w:szCs w:val="20"/>
        </w:rPr>
        <w:t>Bai–Perron</w:t>
      </w:r>
      <w:r w:rsidRPr="006435D7">
        <w:rPr>
          <w:rFonts w:ascii="Arial" w:hAnsi="Arial" w:cs="Arial"/>
          <w:sz w:val="20"/>
          <w:szCs w:val="20"/>
        </w:rPr>
        <w:t xml:space="preserve"> structural break tests to identify any endogenous breakpoints. This helps account for structural shifts that could bias standard unit root and cointegration results.</w:t>
      </w:r>
    </w:p>
    <w:p w14:paraId="245F29CC"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71D3312D" w14:textId="77777777" w:rsidR="00985BEF" w:rsidRPr="006435D7" w:rsidRDefault="005E4919" w:rsidP="00985BEF">
      <w:pPr>
        <w:pStyle w:val="Heading3"/>
        <w:spacing w:before="0" w:line="240" w:lineRule="auto"/>
        <w:jc w:val="both"/>
        <w:rPr>
          <w:rStyle w:val="Strong"/>
          <w:rFonts w:ascii="Arial" w:hAnsi="Arial" w:cs="Arial"/>
          <w:b/>
          <w:bCs/>
          <w:color w:val="auto"/>
        </w:rPr>
      </w:pPr>
      <w:r w:rsidRPr="006435D7">
        <w:rPr>
          <w:rStyle w:val="Strong"/>
          <w:rFonts w:ascii="Arial" w:hAnsi="Arial" w:cs="Arial"/>
          <w:b/>
          <w:bCs/>
          <w:color w:val="auto"/>
        </w:rPr>
        <w:t xml:space="preserve">2.5 </w:t>
      </w:r>
      <w:r w:rsidR="001319C3" w:rsidRPr="006435D7">
        <w:rPr>
          <w:rStyle w:val="Strong"/>
          <w:rFonts w:ascii="Arial" w:hAnsi="Arial" w:cs="Arial"/>
          <w:b/>
          <w:bCs/>
          <w:color w:val="auto"/>
        </w:rPr>
        <w:t>Cointegration Analysis</w:t>
      </w:r>
    </w:p>
    <w:p w14:paraId="4E1282C8" w14:textId="77777777" w:rsidR="00E272CC" w:rsidRPr="006435D7" w:rsidRDefault="001319C3" w:rsidP="00CD5385">
      <w:pPr>
        <w:pStyle w:val="Heading3"/>
        <w:spacing w:before="0" w:line="480" w:lineRule="auto"/>
        <w:ind w:firstLine="720"/>
        <w:jc w:val="both"/>
        <w:rPr>
          <w:rStyle w:val="Strong"/>
          <w:rFonts w:ascii="Arial" w:hAnsi="Arial" w:cs="Arial"/>
          <w:b/>
          <w:bCs/>
          <w:color w:val="auto"/>
          <w:sz w:val="20"/>
          <w:szCs w:val="20"/>
        </w:rPr>
      </w:pPr>
      <w:r w:rsidRPr="006435D7">
        <w:rPr>
          <w:rFonts w:ascii="Arial" w:hAnsi="Arial" w:cs="Arial"/>
          <w:b w:val="0"/>
          <w:color w:val="auto"/>
          <w:sz w:val="20"/>
          <w:szCs w:val="20"/>
        </w:rPr>
        <w:t xml:space="preserve">Once variables are found to be integrated of the same order, the study examines long-run relationships using </w:t>
      </w:r>
      <w:r w:rsidRPr="006435D7">
        <w:rPr>
          <w:rStyle w:val="Strong"/>
          <w:rFonts w:ascii="Arial" w:hAnsi="Arial" w:cs="Arial"/>
          <w:color w:val="auto"/>
          <w:sz w:val="20"/>
          <w:szCs w:val="20"/>
        </w:rPr>
        <w:t>Johansen Cointegration</w:t>
      </w:r>
      <w:r w:rsidRPr="006435D7">
        <w:rPr>
          <w:rFonts w:ascii="Arial" w:hAnsi="Arial" w:cs="Arial"/>
          <w:b w:val="0"/>
          <w:color w:val="auto"/>
          <w:sz w:val="20"/>
          <w:szCs w:val="20"/>
        </w:rPr>
        <w:t xml:space="preserve"> and the </w:t>
      </w:r>
      <w:r w:rsidRPr="006435D7">
        <w:rPr>
          <w:rStyle w:val="Strong"/>
          <w:rFonts w:ascii="Arial" w:hAnsi="Arial" w:cs="Arial"/>
          <w:color w:val="auto"/>
          <w:sz w:val="20"/>
          <w:szCs w:val="20"/>
        </w:rPr>
        <w:t>Autoregressive Distributed Lag (ARDL)</w:t>
      </w:r>
      <w:r w:rsidRPr="006435D7">
        <w:rPr>
          <w:rStyle w:val="Strong"/>
          <w:rFonts w:ascii="Arial" w:hAnsi="Arial" w:cs="Arial"/>
          <w:b/>
          <w:color w:val="auto"/>
          <w:sz w:val="20"/>
          <w:szCs w:val="20"/>
        </w:rPr>
        <w:t xml:space="preserve"> </w:t>
      </w:r>
    </w:p>
    <w:p w14:paraId="3730212D"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Long-run functional relationship:</w:t>
      </w:r>
      <w:r w:rsidRPr="006435D7">
        <w:rPr>
          <w:rFonts w:ascii="Arial" w:hAnsi="Arial" w:cs="Arial"/>
          <w:sz w:val="22"/>
          <w:szCs w:val="22"/>
        </w:rPr>
        <w:br/>
      </w: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β₁C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β₂K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β₃L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uₜ</m:t>
          </m:r>
        </m:oMath>
      </m:oMathPara>
    </w:p>
    <w:p w14:paraId="4C75921D"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55734969"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Y</w:t>
      </w:r>
      <w:r w:rsidRPr="006435D7">
        <w:rPr>
          <w:rFonts w:cs="Arial"/>
          <w:sz w:val="20"/>
          <w:szCs w:val="20"/>
        </w:rPr>
        <w:t>ₜ</w:t>
      </w:r>
      <w:r w:rsidRPr="006435D7">
        <w:rPr>
          <w:rFonts w:ascii="Arial" w:hAnsi="Arial" w:cs="Arial"/>
          <w:sz w:val="20"/>
          <w:szCs w:val="20"/>
        </w:rPr>
        <w:t xml:space="preserve"> = real GDP</w:t>
      </w:r>
    </w:p>
    <w:p w14:paraId="42D42A0B"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C</w:t>
      </w:r>
      <w:r w:rsidRPr="006435D7">
        <w:rPr>
          <w:rFonts w:cs="Arial"/>
          <w:sz w:val="20"/>
          <w:szCs w:val="20"/>
        </w:rPr>
        <w:t>ₜ</w:t>
      </w:r>
      <w:r w:rsidRPr="006435D7">
        <w:rPr>
          <w:rFonts w:ascii="Arial" w:hAnsi="Arial" w:cs="Arial"/>
          <w:sz w:val="20"/>
          <w:szCs w:val="20"/>
        </w:rPr>
        <w:t xml:space="preserve"> = coal consumption</w:t>
      </w:r>
    </w:p>
    <w:p w14:paraId="605DCD39"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K</w:t>
      </w:r>
      <w:r w:rsidRPr="006435D7">
        <w:rPr>
          <w:rFonts w:cs="Arial"/>
          <w:sz w:val="20"/>
          <w:szCs w:val="20"/>
        </w:rPr>
        <w:t>ₜ</w:t>
      </w:r>
      <w:r w:rsidRPr="006435D7">
        <w:rPr>
          <w:rFonts w:ascii="Arial" w:hAnsi="Arial" w:cs="Arial"/>
          <w:sz w:val="20"/>
          <w:szCs w:val="20"/>
        </w:rPr>
        <w:t xml:space="preserve"> = capital formation</w:t>
      </w:r>
    </w:p>
    <w:p w14:paraId="0996ECC3"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L</w:t>
      </w:r>
      <w:r w:rsidRPr="006435D7">
        <w:rPr>
          <w:rFonts w:cs="Arial"/>
          <w:sz w:val="20"/>
          <w:szCs w:val="20"/>
        </w:rPr>
        <w:t>ₜ</w:t>
      </w:r>
      <w:r w:rsidRPr="006435D7">
        <w:rPr>
          <w:rFonts w:ascii="Arial" w:hAnsi="Arial" w:cs="Arial"/>
          <w:sz w:val="20"/>
          <w:szCs w:val="20"/>
        </w:rPr>
        <w:t xml:space="preserve"> = labour force</w:t>
      </w:r>
    </w:p>
    <w:p w14:paraId="7E059B46" w14:textId="77777777" w:rsidR="00E272CC" w:rsidRPr="006435D7" w:rsidRDefault="00E272CC" w:rsidP="00E272CC">
      <w:pPr>
        <w:pStyle w:val="NormalWeb"/>
        <w:numPr>
          <w:ilvl w:val="0"/>
          <w:numId w:val="5"/>
        </w:numPr>
        <w:rPr>
          <w:rFonts w:ascii="Arial" w:hAnsi="Arial" w:cs="Arial"/>
          <w:sz w:val="20"/>
          <w:szCs w:val="20"/>
        </w:rPr>
      </w:pPr>
      <w:r w:rsidRPr="006435D7">
        <w:rPr>
          <w:rFonts w:ascii="Arial" w:hAnsi="Arial" w:cs="Arial"/>
          <w:sz w:val="20"/>
          <w:szCs w:val="20"/>
        </w:rPr>
        <w:t>u</w:t>
      </w:r>
      <w:r w:rsidRPr="006435D7">
        <w:rPr>
          <w:rFonts w:cs="Arial"/>
          <w:sz w:val="20"/>
          <w:szCs w:val="20"/>
        </w:rPr>
        <w:t>ₜ</w:t>
      </w:r>
      <w:r w:rsidRPr="006435D7">
        <w:rPr>
          <w:rFonts w:ascii="Arial" w:hAnsi="Arial" w:cs="Arial"/>
          <w:sz w:val="20"/>
          <w:szCs w:val="20"/>
        </w:rPr>
        <w:t xml:space="preserve"> = error term</w:t>
      </w:r>
    </w:p>
    <w:p w14:paraId="3822D39A" w14:textId="77777777" w:rsidR="00E272CC" w:rsidRPr="006435D7" w:rsidRDefault="00E272CC" w:rsidP="00E272CC">
      <w:pPr>
        <w:pStyle w:val="NormalWeb"/>
        <w:rPr>
          <w:rFonts w:ascii="Arial" w:hAnsi="Arial" w:cs="Arial"/>
          <w:b/>
          <w:bCs/>
          <w:sz w:val="22"/>
          <w:szCs w:val="22"/>
        </w:rPr>
      </w:pPr>
      <w:r w:rsidRPr="006435D7">
        <w:rPr>
          <w:rStyle w:val="Strong"/>
          <w:rFonts w:ascii="Arial" w:hAnsi="Arial" w:cs="Arial"/>
          <w:sz w:val="22"/>
          <w:szCs w:val="22"/>
        </w:rPr>
        <w:t>ARDL Model form:</w:t>
      </w:r>
      <w:r w:rsidRPr="006435D7">
        <w:rPr>
          <w:rFonts w:ascii="Arial" w:hAnsi="Arial" w:cs="Arial"/>
          <w:sz w:val="22"/>
          <w:szCs w:val="22"/>
        </w:rPr>
        <w:br/>
      </w:r>
      <m:oMathPara>
        <m:oMath>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φ</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Arial" w:cs="Arial"/>
              <w:sz w:val="22"/>
              <w:szCs w:val="22"/>
            </w:rPr>
            <m:t xml:space="preserve"> </m:t>
          </m:r>
          <m:r>
            <m:rPr>
              <m:sty m:val="bi"/>
            </m:rPr>
            <w:rPr>
              <w:rFonts w:ascii="Cambria Math" w:hAnsi="Cambria Math" w:cs="Arial"/>
              <w:sz w:val="22"/>
              <w:szCs w:val="22"/>
            </w:rPr>
            <m:t>ΔC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λ₁Y</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λ₂C</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2B1C887F" w14:textId="77777777" w:rsidR="00E272CC" w:rsidRPr="006435D7" w:rsidRDefault="00E272CC" w:rsidP="00CD5385">
      <w:pPr>
        <w:pStyle w:val="NormalWeb"/>
        <w:spacing w:line="480" w:lineRule="auto"/>
        <w:rPr>
          <w:rFonts w:ascii="Arial" w:hAnsi="Arial" w:cs="Arial"/>
          <w:sz w:val="20"/>
          <w:szCs w:val="20"/>
        </w:rPr>
      </w:pPr>
      <w:r w:rsidRPr="006435D7">
        <w:rPr>
          <w:rFonts w:ascii="Arial" w:hAnsi="Arial" w:cs="Arial"/>
          <w:sz w:val="20"/>
          <w:szCs w:val="20"/>
        </w:rPr>
        <w:t xml:space="preserve">The </w:t>
      </w:r>
      <w:r w:rsidRPr="006435D7">
        <w:rPr>
          <w:rStyle w:val="Strong"/>
          <w:rFonts w:ascii="Arial" w:hAnsi="Arial" w:cs="Arial"/>
          <w:b w:val="0"/>
          <w:sz w:val="20"/>
          <w:szCs w:val="20"/>
        </w:rPr>
        <w:t>F-statistic</w:t>
      </w:r>
      <w:r w:rsidRPr="006435D7">
        <w:rPr>
          <w:rFonts w:ascii="Arial" w:hAnsi="Arial" w:cs="Arial"/>
          <w:sz w:val="20"/>
          <w:szCs w:val="20"/>
        </w:rPr>
        <w:t xml:space="preserve"> on the lagged level variables tests for the existence of cointegration (Bounds Test).</w:t>
      </w:r>
    </w:p>
    <w:p w14:paraId="00AD49E8" w14:textId="77777777" w:rsidR="001319C3" w:rsidRPr="006435D7" w:rsidRDefault="005E4919" w:rsidP="00D84BE6">
      <w:pPr>
        <w:pStyle w:val="Heading3"/>
        <w:spacing w:before="0" w:line="240" w:lineRule="auto"/>
        <w:jc w:val="both"/>
        <w:rPr>
          <w:rFonts w:ascii="Arial" w:hAnsi="Arial" w:cs="Arial"/>
          <w:color w:val="auto"/>
        </w:rPr>
      </w:pPr>
      <w:r w:rsidRPr="006435D7">
        <w:rPr>
          <w:rStyle w:val="Strong"/>
          <w:rFonts w:ascii="Arial" w:eastAsia="Times New Roman" w:hAnsi="Arial" w:cs="Arial"/>
          <w:b/>
          <w:color w:val="auto"/>
          <w:lang w:val="en-US"/>
        </w:rPr>
        <w:t xml:space="preserve">2.6 </w:t>
      </w:r>
      <w:r w:rsidR="001319C3" w:rsidRPr="006435D7">
        <w:rPr>
          <w:rStyle w:val="Strong"/>
          <w:rFonts w:ascii="Arial" w:hAnsi="Arial" w:cs="Arial"/>
          <w:b/>
          <w:bCs/>
          <w:color w:val="auto"/>
        </w:rPr>
        <w:t>Error Correction Model (ECM)</w:t>
      </w:r>
    </w:p>
    <w:p w14:paraId="12F8EDA0"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To capture short-run dynamics and the speed of adjustment toward equilibrium, the ECM is estimated as:</w:t>
      </w:r>
    </w:p>
    <w:p w14:paraId="72C0CA45" w14:textId="77777777" w:rsidR="00E272CC" w:rsidRPr="006435D7" w:rsidRDefault="00E272CC" w:rsidP="00090D5F">
      <w:pPr>
        <w:pStyle w:val="NormalWeb"/>
        <w:rPr>
          <w:rFonts w:ascii="Arial" w:hAnsi="Arial" w:cs="Arial"/>
          <w:b/>
          <w:bCs/>
          <w:sz w:val="22"/>
          <w:szCs w:val="22"/>
        </w:rPr>
      </w:pPr>
      <w:r w:rsidRPr="006435D7">
        <w:rPr>
          <w:rStyle w:val="Strong"/>
          <w:rFonts w:ascii="Arial" w:hAnsi="Arial" w:cs="Arial"/>
          <w:sz w:val="22"/>
          <w:szCs w:val="22"/>
        </w:rPr>
        <w:t>ECM equation:</w:t>
      </w:r>
      <w:r w:rsidRPr="006435D7">
        <w:rPr>
          <w:rFonts w:ascii="Arial" w:hAnsi="Arial" w:cs="Arial"/>
          <w:sz w:val="22"/>
          <w:szCs w:val="22"/>
        </w:rPr>
        <w:br/>
      </w:r>
      <m:oMathPara>
        <m:oMath>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μ</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α</m:t>
          </m:r>
          <m:r>
            <m:rPr>
              <m:sty m:val="bi"/>
            </m:rPr>
            <w:rPr>
              <w:rFonts w:ascii="Arial" w:hAnsi="Arial" w:cs="Arial"/>
              <w:sz w:val="22"/>
              <w:szCs w:val="22"/>
            </w:rPr>
            <m:t>ᵢ</m:t>
          </m:r>
          <m:r>
            <m:rPr>
              <m:sty m:val="bi"/>
            </m:rPr>
            <w:rPr>
              <w:rFonts w:ascii="Cambria Math" w:hAnsi="Arial" w:cs="Arial"/>
              <w:sz w:val="22"/>
              <w:szCs w:val="22"/>
            </w:rPr>
            <m:t xml:space="preserve"> </m:t>
          </m:r>
          <m:r>
            <m:rPr>
              <m:sty m:val="bi"/>
            </m:rPr>
            <w:rPr>
              <w:rFonts w:ascii="Cambria Math" w:hAnsi="Cambria Math" w:cs="Arial"/>
              <w:sz w:val="22"/>
              <w:szCs w:val="22"/>
            </w:rPr>
            <m:t>ΔY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Arial" w:cs="Arial"/>
              <w:sz w:val="22"/>
              <w:szCs w:val="22"/>
            </w:rPr>
            <m:t xml:space="preserve"> </m:t>
          </m:r>
          <m:r>
            <m:rPr>
              <m:sty m:val="bi"/>
            </m:rPr>
            <w:rPr>
              <w:rFonts w:ascii="Cambria Math" w:hAnsi="Cambria Math" w:cs="Arial"/>
              <w:sz w:val="22"/>
              <w:szCs w:val="22"/>
            </w:rPr>
            <m:t>ΔC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φEC</m:t>
          </m:r>
          <m:r>
            <m:rPr>
              <m:sty m:val="bi"/>
            </m:rPr>
            <w:rPr>
              <w:rFonts w:ascii="Arial" w:hAnsi="Cambria Math" w:cs="Arial"/>
              <w:sz w:val="22"/>
              <w:szCs w:val="22"/>
            </w:rPr>
            <m:t>ₜ₋₁</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691CB8C8"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0DE9AEB2"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t>EC</w:t>
      </w:r>
      <w:r w:rsidRPr="006435D7">
        <w:rPr>
          <w:rFonts w:cs="Arial"/>
          <w:sz w:val="20"/>
          <w:szCs w:val="20"/>
        </w:rPr>
        <w:t>ₜ₋₁</w:t>
      </w:r>
      <w:r w:rsidRPr="006435D7">
        <w:rPr>
          <w:rFonts w:ascii="Arial" w:hAnsi="Arial" w:cs="Arial"/>
          <w:sz w:val="20"/>
          <w:szCs w:val="20"/>
        </w:rPr>
        <w:t xml:space="preserve"> = (Y</w:t>
      </w:r>
      <w:r w:rsidRPr="006435D7">
        <w:rPr>
          <w:rFonts w:cs="Arial"/>
          <w:sz w:val="20"/>
          <w:szCs w:val="20"/>
        </w:rPr>
        <w:t>ₜ₋₁</w:t>
      </w:r>
      <w:r w:rsidRPr="006435D7">
        <w:rPr>
          <w:rFonts w:ascii="Arial" w:hAnsi="Arial" w:cs="Arial"/>
          <w:sz w:val="20"/>
          <w:szCs w:val="20"/>
        </w:rPr>
        <w:t xml:space="preserve"> − λ</w:t>
      </w:r>
      <w:r w:rsidRPr="006435D7">
        <w:rPr>
          <w:rFonts w:cs="Arial"/>
          <w:sz w:val="20"/>
          <w:szCs w:val="20"/>
        </w:rPr>
        <w:t>₁</w:t>
      </w:r>
      <w:r w:rsidRPr="006435D7">
        <w:rPr>
          <w:rFonts w:ascii="Arial" w:hAnsi="Arial" w:cs="Arial"/>
          <w:sz w:val="20"/>
          <w:szCs w:val="20"/>
        </w:rPr>
        <w:t>C</w:t>
      </w:r>
      <w:r w:rsidRPr="006435D7">
        <w:rPr>
          <w:rFonts w:cs="Arial"/>
          <w:sz w:val="20"/>
          <w:szCs w:val="20"/>
        </w:rPr>
        <w:t>ₜ₋₁</w:t>
      </w:r>
      <w:r w:rsidRPr="006435D7">
        <w:rPr>
          <w:rFonts w:ascii="Arial" w:hAnsi="Arial" w:cs="Arial"/>
          <w:sz w:val="20"/>
          <w:szCs w:val="20"/>
        </w:rPr>
        <w:t xml:space="preserve"> − λ</w:t>
      </w:r>
      <w:r w:rsidRPr="006435D7">
        <w:rPr>
          <w:rFonts w:cs="Arial"/>
          <w:sz w:val="20"/>
          <w:szCs w:val="20"/>
        </w:rPr>
        <w:t>₂</w:t>
      </w:r>
      <w:r w:rsidRPr="006435D7">
        <w:rPr>
          <w:rFonts w:ascii="Arial" w:hAnsi="Arial" w:cs="Arial"/>
          <w:sz w:val="20"/>
          <w:szCs w:val="20"/>
        </w:rPr>
        <w:t>K</w:t>
      </w:r>
      <w:r w:rsidRPr="006435D7">
        <w:rPr>
          <w:rFonts w:cs="Arial"/>
          <w:sz w:val="20"/>
          <w:szCs w:val="20"/>
        </w:rPr>
        <w:t>ₜ₋₁</w:t>
      </w:r>
      <w:r w:rsidRPr="006435D7">
        <w:rPr>
          <w:rFonts w:ascii="Arial" w:hAnsi="Arial" w:cs="Arial"/>
          <w:sz w:val="20"/>
          <w:szCs w:val="20"/>
        </w:rPr>
        <w:t xml:space="preserve"> − λ</w:t>
      </w:r>
      <w:r w:rsidRPr="006435D7">
        <w:rPr>
          <w:rFonts w:cs="Arial"/>
          <w:sz w:val="20"/>
          <w:szCs w:val="20"/>
        </w:rPr>
        <w:t>₃</w:t>
      </w:r>
      <w:r w:rsidRPr="006435D7">
        <w:rPr>
          <w:rFonts w:ascii="Arial" w:hAnsi="Arial" w:cs="Arial"/>
          <w:sz w:val="20"/>
          <w:szCs w:val="20"/>
        </w:rPr>
        <w:t>L</w:t>
      </w:r>
      <w:r w:rsidRPr="006435D7">
        <w:rPr>
          <w:rFonts w:cs="Arial"/>
          <w:sz w:val="20"/>
          <w:szCs w:val="20"/>
        </w:rPr>
        <w:t>ₜ₋₁</w:t>
      </w:r>
      <w:r w:rsidRPr="006435D7">
        <w:rPr>
          <w:rFonts w:ascii="Arial" w:hAnsi="Arial" w:cs="Arial"/>
          <w:sz w:val="20"/>
          <w:szCs w:val="20"/>
        </w:rPr>
        <w:t>)</w:t>
      </w:r>
    </w:p>
    <w:p w14:paraId="58DF9491"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lastRenderedPageBreak/>
        <w:t>φ = error correction coefficient (expected negative)</w:t>
      </w:r>
    </w:p>
    <w:p w14:paraId="14535778" w14:textId="77777777" w:rsidR="00E272CC" w:rsidRPr="006435D7" w:rsidRDefault="00E272CC" w:rsidP="00E272CC">
      <w:pPr>
        <w:pStyle w:val="NormalWeb"/>
        <w:numPr>
          <w:ilvl w:val="0"/>
          <w:numId w:val="6"/>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random error term</w:t>
      </w:r>
    </w:p>
    <w:p w14:paraId="5C4F536F"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A significant and negative φ indicates convergence toward long-run equilibrium.</w:t>
      </w:r>
    </w:p>
    <w:p w14:paraId="6A40B60B" w14:textId="77777777" w:rsidR="00E272CC" w:rsidRPr="006435D7" w:rsidRDefault="00E272CC" w:rsidP="00D84BE6">
      <w:pPr>
        <w:pStyle w:val="NormalWeb"/>
        <w:spacing w:before="0" w:beforeAutospacing="0" w:after="0" w:afterAutospacing="0"/>
        <w:jc w:val="both"/>
        <w:rPr>
          <w:rFonts w:ascii="Arial" w:hAnsi="Arial" w:cs="Arial"/>
          <w:sz w:val="20"/>
          <w:szCs w:val="20"/>
        </w:rPr>
      </w:pPr>
    </w:p>
    <w:p w14:paraId="4F94B357" w14:textId="77777777" w:rsidR="001319C3" w:rsidRPr="00804AC3" w:rsidRDefault="005E4919" w:rsidP="00D84BE6">
      <w:pPr>
        <w:pStyle w:val="Heading3"/>
        <w:spacing w:before="0" w:line="240" w:lineRule="auto"/>
        <w:jc w:val="both"/>
        <w:rPr>
          <w:rFonts w:ascii="Arial" w:hAnsi="Arial" w:cs="Arial"/>
          <w:color w:val="auto"/>
        </w:rPr>
      </w:pPr>
      <w:r w:rsidRPr="00804AC3">
        <w:rPr>
          <w:rStyle w:val="Strong"/>
          <w:rFonts w:ascii="Arial" w:hAnsi="Arial" w:cs="Arial"/>
          <w:b/>
          <w:bCs/>
          <w:color w:val="auto"/>
        </w:rPr>
        <w:t xml:space="preserve">2.7 </w:t>
      </w:r>
      <w:r w:rsidR="001319C3" w:rsidRPr="00804AC3">
        <w:rPr>
          <w:rStyle w:val="Strong"/>
          <w:rFonts w:ascii="Arial" w:hAnsi="Arial" w:cs="Arial"/>
          <w:b/>
          <w:bCs/>
          <w:color w:val="auto"/>
        </w:rPr>
        <w:t>Granger Causality Test</w:t>
      </w:r>
    </w:p>
    <w:p w14:paraId="16B0E74D" w14:textId="77777777" w:rsidR="001319C3" w:rsidRPr="006435D7" w:rsidRDefault="001319C3" w:rsidP="00CD538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To explore the direction of causality, the study applies the </w:t>
      </w:r>
      <w:r w:rsidRPr="006435D7">
        <w:rPr>
          <w:rStyle w:val="Strong"/>
          <w:rFonts w:ascii="Arial" w:hAnsi="Arial" w:cs="Arial"/>
          <w:b w:val="0"/>
          <w:sz w:val="20"/>
          <w:szCs w:val="20"/>
        </w:rPr>
        <w:t>Granger causality test</w:t>
      </w:r>
      <w:r w:rsidRPr="006435D7">
        <w:rPr>
          <w:rFonts w:ascii="Arial" w:hAnsi="Arial" w:cs="Arial"/>
          <w:sz w:val="20"/>
          <w:szCs w:val="20"/>
        </w:rPr>
        <w:t xml:space="preserve"> within a Vector Error Correction Model (VECM) framework. The test examines whether lagged values of coal consumption significantly predict GDP and vice versa. Evidence of bidirectional causality implies a feedback relationship, while unidirectional causality supports either the energy-led growth or growth-led energy hypothesis.</w:t>
      </w:r>
    </w:p>
    <w:p w14:paraId="1BA62E85" w14:textId="77777777" w:rsidR="00090D5F" w:rsidRPr="00804AC3" w:rsidRDefault="00E272CC" w:rsidP="00090D5F">
      <w:pPr>
        <w:pStyle w:val="NormalWeb"/>
        <w:rPr>
          <w:rFonts w:ascii="Arial" w:hAnsi="Arial" w:cs="Arial"/>
          <w:b/>
          <w:bCs/>
          <w:sz w:val="22"/>
          <w:szCs w:val="22"/>
        </w:rPr>
      </w:pPr>
      <w:r w:rsidRPr="00804AC3">
        <w:rPr>
          <w:rStyle w:val="Strong"/>
          <w:rFonts w:ascii="Arial" w:hAnsi="Arial" w:cs="Arial"/>
          <w:sz w:val="22"/>
          <w:szCs w:val="22"/>
        </w:rPr>
        <w:t>Bivariate model:</w:t>
      </w:r>
      <w:r w:rsidRPr="00804AC3">
        <w:rPr>
          <w:rFonts w:ascii="Arial" w:hAnsi="Arial" w:cs="Arial"/>
          <w:sz w:val="22"/>
          <w:szCs w:val="22"/>
        </w:rPr>
        <w:br/>
      </w: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α</m:t>
          </m:r>
          <m:r>
            <m:rPr>
              <m:sty m:val="bi"/>
            </m:rPr>
            <w:rPr>
              <w:rFonts w:ascii="Arial" w:hAnsi="Arial" w:cs="Arial"/>
              <w:sz w:val="22"/>
              <w:szCs w:val="22"/>
            </w:rPr>
            <m:t>ᵢ</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β</m:t>
          </m:r>
          <m:r>
            <m:rPr>
              <m:sty m:val="bi"/>
            </m:rPr>
            <w:rPr>
              <w:rFonts w:ascii="Cambria Math" w:hAnsi="Arial" w:cs="Arial"/>
              <w:sz w:val="22"/>
              <w:szCs w:val="22"/>
            </w:rPr>
            <m:t>ⱼ</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ε₁ₜ</m:t>
          </m:r>
          <m:r>
            <m:rPr>
              <m:sty m:val="p"/>
            </m:rPr>
            <w:rPr>
              <w:rFonts w:ascii="Cambria Math" w:hAnsi="Arial" w:cs="Arial"/>
              <w:sz w:val="22"/>
              <w:szCs w:val="22"/>
            </w:rPr>
            <w:br/>
          </m:r>
        </m:oMath>
        <m:oMath>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γ</m:t>
          </m:r>
          <m:r>
            <m:rPr>
              <m:sty m:val="bi"/>
            </m:rPr>
            <w:rPr>
              <w:rFonts w:ascii="Arial" w:hAnsi="Cambria Math" w:cs="Arial"/>
              <w:sz w:val="22"/>
              <w:szCs w:val="22"/>
            </w:rPr>
            <m:t>₀</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γ</m:t>
          </m:r>
          <m:r>
            <m:rPr>
              <m:sty m:val="bi"/>
            </m:rPr>
            <w:rPr>
              <w:rFonts w:ascii="Arial" w:hAnsi="Arial" w:cs="Arial"/>
              <w:sz w:val="22"/>
              <w:szCs w:val="22"/>
            </w:rPr>
            <m:t>ᵢ</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Arial" w:hAnsi="Arial" w:cs="Arial"/>
              <w:sz w:val="22"/>
              <w:szCs w:val="22"/>
            </w:rPr>
            <m:t>ᵢ</m:t>
          </m:r>
          <m:r>
            <m:rPr>
              <m:sty m:val="bi"/>
            </m:rPr>
            <w:rPr>
              <w:rFonts w:ascii="Cambria Math" w:hAnsi="Arial" w:cs="Arial"/>
              <w:sz w:val="22"/>
              <w:szCs w:val="22"/>
            </w:rPr>
            <m:t xml:space="preserve">) + </m:t>
          </m:r>
          <m:r>
            <m:rPr>
              <m:sty m:val="bi"/>
            </m:rPr>
            <w:rPr>
              <w:rFonts w:ascii="Cambria Math" w:hAnsi="Cambria Math" w:cs="Arial"/>
              <w:sz w:val="22"/>
              <w:szCs w:val="22"/>
            </w:rPr>
            <m:t>Σ</m:t>
          </m:r>
          <m:r>
            <m:rPr>
              <m:sty m:val="bi"/>
            </m:rPr>
            <w:rPr>
              <w:rFonts w:ascii="Cambria Math" w:hAnsi="Arial" w:cs="Arial"/>
              <w:sz w:val="22"/>
              <w:szCs w:val="22"/>
            </w:rPr>
            <m:t>(</m:t>
          </m:r>
          <m:r>
            <m:rPr>
              <m:sty m:val="bi"/>
            </m:rPr>
            <w:rPr>
              <w:rFonts w:ascii="Cambria Math" w:hAnsi="Cambria Math" w:cs="Arial"/>
              <w:sz w:val="22"/>
              <w:szCs w:val="22"/>
            </w:rPr>
            <m:t>δ</m:t>
          </m:r>
          <m:r>
            <m:rPr>
              <m:sty m:val="bi"/>
            </m:rPr>
            <w:rPr>
              <w:rFonts w:ascii="Cambria Math" w:hAnsi="Arial" w:cs="Arial"/>
              <w:sz w:val="22"/>
              <w:szCs w:val="22"/>
            </w:rPr>
            <m:t>ⱼ</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Arial" w:hAnsi="Arial" w:cs="Arial"/>
              <w:sz w:val="22"/>
              <w:szCs w:val="22"/>
            </w:rPr>
            <m:t>ⱼ</m:t>
          </m:r>
          <m:r>
            <m:rPr>
              <m:sty m:val="bi"/>
            </m:rPr>
            <w:rPr>
              <w:rFonts w:ascii="Cambria Math" w:hAnsi="Arial" w:cs="Arial"/>
              <w:sz w:val="22"/>
              <w:szCs w:val="22"/>
            </w:rPr>
            <m:t xml:space="preserve">) + </m:t>
          </m:r>
          <m:r>
            <m:rPr>
              <m:sty m:val="bi"/>
            </m:rPr>
            <w:rPr>
              <w:rFonts w:ascii="Cambria Math" w:hAnsi="Cambria Math" w:cs="Arial"/>
              <w:sz w:val="22"/>
              <w:szCs w:val="22"/>
            </w:rPr>
            <m:t>ε₂ₜ</m:t>
          </m:r>
        </m:oMath>
      </m:oMathPara>
    </w:p>
    <w:p w14:paraId="51536AF9"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If βⱼ ≠ 0, then coal consumption Granger-causes GDP.</w:t>
      </w:r>
      <w:r w:rsidRPr="006435D7">
        <w:rPr>
          <w:rFonts w:ascii="Arial" w:hAnsi="Arial" w:cs="Arial"/>
          <w:sz w:val="20"/>
          <w:szCs w:val="20"/>
        </w:rPr>
        <w:br/>
        <w:t>If δⱼ ≠ 0, then GDP Granger-causes coal consumption.</w:t>
      </w:r>
    </w:p>
    <w:p w14:paraId="083BB750" w14:textId="77777777" w:rsidR="00E272CC" w:rsidRPr="006435D7" w:rsidRDefault="00E272CC" w:rsidP="00E272CC">
      <w:pPr>
        <w:pStyle w:val="NormalWeb"/>
        <w:spacing w:before="0" w:beforeAutospacing="0" w:after="0" w:afterAutospacing="0"/>
        <w:ind w:left="720"/>
        <w:jc w:val="both"/>
        <w:rPr>
          <w:rFonts w:ascii="Arial" w:hAnsi="Arial" w:cs="Arial"/>
          <w:sz w:val="20"/>
          <w:szCs w:val="20"/>
        </w:rPr>
      </w:pPr>
    </w:p>
    <w:p w14:paraId="75F43E44" w14:textId="77777777" w:rsidR="00090D5F" w:rsidRPr="00804AC3" w:rsidRDefault="005E4919" w:rsidP="00090D5F">
      <w:pPr>
        <w:pStyle w:val="Heading3"/>
        <w:spacing w:before="0" w:line="240" w:lineRule="auto"/>
        <w:jc w:val="both"/>
        <w:rPr>
          <w:rStyle w:val="Strong"/>
          <w:rFonts w:ascii="Arial" w:hAnsi="Arial" w:cs="Arial"/>
          <w:b/>
          <w:bCs/>
          <w:color w:val="auto"/>
        </w:rPr>
      </w:pPr>
      <w:r w:rsidRPr="00804AC3">
        <w:rPr>
          <w:rStyle w:val="Strong"/>
          <w:rFonts w:ascii="Arial" w:hAnsi="Arial" w:cs="Arial"/>
          <w:b/>
          <w:bCs/>
          <w:color w:val="auto"/>
        </w:rPr>
        <w:t xml:space="preserve">2.8 </w:t>
      </w:r>
      <w:r w:rsidR="0061554C" w:rsidRPr="00804AC3">
        <w:rPr>
          <w:rStyle w:val="Strong"/>
          <w:rFonts w:ascii="Arial" w:hAnsi="Arial" w:cs="Arial"/>
          <w:b/>
          <w:bCs/>
          <w:color w:val="auto"/>
        </w:rPr>
        <w:t>Ordinary Least Squares (OLS)</w:t>
      </w:r>
    </w:p>
    <w:p w14:paraId="3605BE79" w14:textId="77777777" w:rsidR="00E272CC" w:rsidRPr="006435D7" w:rsidRDefault="00E272CC" w:rsidP="00090D5F">
      <w:pPr>
        <w:pStyle w:val="Heading3"/>
        <w:spacing w:before="0" w:line="240" w:lineRule="auto"/>
        <w:ind w:firstLine="720"/>
        <w:jc w:val="both"/>
        <w:rPr>
          <w:rFonts w:ascii="Arial" w:hAnsi="Arial" w:cs="Arial"/>
          <w:b w:val="0"/>
          <w:color w:val="auto"/>
          <w:sz w:val="20"/>
          <w:szCs w:val="20"/>
        </w:rPr>
      </w:pPr>
      <w:r w:rsidRPr="006435D7">
        <w:rPr>
          <w:rFonts w:ascii="Arial" w:hAnsi="Arial" w:cs="Arial"/>
          <w:b w:val="0"/>
          <w:color w:val="auto"/>
          <w:sz w:val="20"/>
          <w:szCs w:val="20"/>
        </w:rPr>
        <w:t>For comparative purposes, an OLS regression is estimated:</w:t>
      </w:r>
    </w:p>
    <w:p w14:paraId="156906E5"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793A37FC" w14:textId="77777777" w:rsidR="005E4919" w:rsidRPr="006435D7" w:rsidRDefault="00E272CC" w:rsidP="005E4919">
      <w:pPr>
        <w:pStyle w:val="NormalWeb"/>
        <w:spacing w:line="480" w:lineRule="auto"/>
        <w:rPr>
          <w:rFonts w:ascii="Arial" w:hAnsi="Arial" w:cs="Arial"/>
          <w:sz w:val="20"/>
          <w:szCs w:val="20"/>
        </w:rPr>
      </w:pPr>
      <w:r w:rsidRPr="006435D7">
        <w:rPr>
          <w:rFonts w:ascii="Arial" w:hAnsi="Arial" w:cs="Arial"/>
          <w:sz w:val="20"/>
          <w:szCs w:val="20"/>
        </w:rPr>
        <w:t>Although OLS provides a basic association, it ignores time dependence and should be interpreted cautiously when variables are non-stationary.</w:t>
      </w:r>
    </w:p>
    <w:p w14:paraId="4982B29C" w14:textId="77777777" w:rsidR="00804AC3" w:rsidRDefault="005E4919" w:rsidP="00804AC3">
      <w:pPr>
        <w:pStyle w:val="NormalWeb"/>
        <w:spacing w:before="0" w:beforeAutospacing="0" w:after="0" w:afterAutospacing="0"/>
        <w:rPr>
          <w:rFonts w:ascii="Arial" w:hAnsi="Arial" w:cs="Arial"/>
          <w:sz w:val="22"/>
          <w:szCs w:val="22"/>
        </w:rPr>
      </w:pPr>
      <w:r w:rsidRPr="00804AC3">
        <w:rPr>
          <w:rFonts w:ascii="Arial" w:hAnsi="Arial" w:cs="Arial"/>
          <w:b/>
          <w:sz w:val="22"/>
          <w:szCs w:val="22"/>
        </w:rPr>
        <w:t>2.9</w:t>
      </w:r>
      <w:r w:rsidRPr="00804AC3">
        <w:rPr>
          <w:rFonts w:ascii="Arial" w:hAnsi="Arial" w:cs="Arial"/>
          <w:sz w:val="22"/>
          <w:szCs w:val="22"/>
        </w:rPr>
        <w:t xml:space="preserve"> </w:t>
      </w:r>
      <w:r w:rsidR="001319C3" w:rsidRPr="00804AC3">
        <w:rPr>
          <w:rStyle w:val="Strong"/>
          <w:rFonts w:ascii="Arial" w:hAnsi="Arial" w:cs="Arial"/>
          <w:sz w:val="22"/>
          <w:szCs w:val="22"/>
        </w:rPr>
        <w:t>Dynamic Analysis and Robustness Checks</w:t>
      </w:r>
    </w:p>
    <w:p w14:paraId="360AF273" w14:textId="77777777" w:rsidR="001319C3" w:rsidRPr="00804AC3" w:rsidRDefault="001319C3" w:rsidP="00804AC3">
      <w:pPr>
        <w:pStyle w:val="NormalWeb"/>
        <w:spacing w:before="0" w:beforeAutospacing="0" w:after="0" w:afterAutospacing="0" w:line="480" w:lineRule="auto"/>
        <w:ind w:firstLine="720"/>
        <w:jc w:val="both"/>
        <w:rPr>
          <w:rFonts w:ascii="Arial" w:hAnsi="Arial" w:cs="Arial"/>
          <w:sz w:val="22"/>
          <w:szCs w:val="22"/>
        </w:rPr>
      </w:pPr>
      <w:r w:rsidRPr="006435D7">
        <w:rPr>
          <w:rFonts w:ascii="Arial" w:hAnsi="Arial" w:cs="Arial"/>
          <w:sz w:val="20"/>
          <w:szCs w:val="20"/>
        </w:rPr>
        <w:t xml:space="preserve">Dynamic responses are further analyzed through </w:t>
      </w:r>
      <w:r w:rsidRPr="006435D7">
        <w:rPr>
          <w:rStyle w:val="Strong"/>
          <w:rFonts w:ascii="Arial" w:hAnsi="Arial" w:cs="Arial"/>
          <w:b w:val="0"/>
          <w:sz w:val="20"/>
          <w:szCs w:val="20"/>
        </w:rPr>
        <w:t>Impulse Response Functions (IRFs)</w:t>
      </w:r>
      <w:r w:rsidRPr="006435D7">
        <w:rPr>
          <w:rFonts w:ascii="Arial" w:hAnsi="Arial" w:cs="Arial"/>
          <w:b/>
          <w:sz w:val="20"/>
          <w:szCs w:val="20"/>
        </w:rPr>
        <w:t xml:space="preserve"> </w:t>
      </w:r>
      <w:r w:rsidRPr="006435D7">
        <w:rPr>
          <w:rFonts w:ascii="Arial" w:hAnsi="Arial" w:cs="Arial"/>
          <w:sz w:val="20"/>
          <w:szCs w:val="20"/>
        </w:rPr>
        <w:t>and</w:t>
      </w:r>
      <w:r w:rsidRPr="006435D7">
        <w:rPr>
          <w:rFonts w:ascii="Arial" w:hAnsi="Arial" w:cs="Arial"/>
          <w:b/>
          <w:sz w:val="20"/>
          <w:szCs w:val="20"/>
        </w:rPr>
        <w:t xml:space="preserve"> </w:t>
      </w:r>
      <w:r w:rsidRPr="006435D7">
        <w:rPr>
          <w:rStyle w:val="Strong"/>
          <w:rFonts w:ascii="Arial" w:hAnsi="Arial" w:cs="Arial"/>
          <w:b w:val="0"/>
          <w:sz w:val="20"/>
          <w:szCs w:val="20"/>
        </w:rPr>
        <w:t>Forecast Error Variance Decomposition (FEVD)</w:t>
      </w:r>
      <w:r w:rsidRPr="006435D7">
        <w:rPr>
          <w:rFonts w:ascii="Arial" w:hAnsi="Arial" w:cs="Arial"/>
          <w:sz w:val="20"/>
          <w:szCs w:val="20"/>
        </w:rPr>
        <w:t xml:space="preserve"> derived from the VECM, indicating the magnitude and persistence of shocks between variables. Robustness of the results is checked through diagnostic tests for autocorrelation, heteroskedasticity, and normality, alongside stability tests using </w:t>
      </w:r>
      <w:r w:rsidRPr="006435D7">
        <w:rPr>
          <w:rStyle w:val="Strong"/>
          <w:rFonts w:ascii="Arial" w:hAnsi="Arial" w:cs="Arial"/>
          <w:b w:val="0"/>
          <w:sz w:val="20"/>
          <w:szCs w:val="20"/>
        </w:rPr>
        <w:t>CUSUM</w:t>
      </w:r>
      <w:r w:rsidRPr="006435D7">
        <w:rPr>
          <w:rFonts w:ascii="Arial" w:hAnsi="Arial" w:cs="Arial"/>
          <w:sz w:val="20"/>
          <w:szCs w:val="20"/>
        </w:rPr>
        <w:t xml:space="preserve"> and </w:t>
      </w:r>
      <w:r w:rsidRPr="006435D7">
        <w:rPr>
          <w:rStyle w:val="Strong"/>
          <w:rFonts w:ascii="Arial" w:hAnsi="Arial" w:cs="Arial"/>
          <w:b w:val="0"/>
          <w:sz w:val="20"/>
          <w:szCs w:val="20"/>
        </w:rPr>
        <w:t>CUSUMSQ</w:t>
      </w:r>
      <w:r w:rsidRPr="006435D7">
        <w:rPr>
          <w:rFonts w:ascii="Arial" w:hAnsi="Arial" w:cs="Arial"/>
          <w:sz w:val="20"/>
          <w:szCs w:val="20"/>
        </w:rPr>
        <w:t xml:space="preserve"> procedures.</w:t>
      </w:r>
    </w:p>
    <w:p w14:paraId="5D03EF35" w14:textId="77777777" w:rsidR="00090D5F" w:rsidRPr="00804AC3" w:rsidRDefault="005E4919" w:rsidP="00090D5F">
      <w:pPr>
        <w:pStyle w:val="Heading3"/>
        <w:spacing w:before="0" w:line="240" w:lineRule="auto"/>
        <w:rPr>
          <w:rStyle w:val="Strong"/>
          <w:rFonts w:ascii="Arial" w:hAnsi="Arial" w:cs="Arial"/>
          <w:b/>
          <w:bCs/>
          <w:color w:val="auto"/>
        </w:rPr>
      </w:pPr>
      <w:r w:rsidRPr="00804AC3">
        <w:rPr>
          <w:rStyle w:val="Strong"/>
          <w:rFonts w:ascii="Arial" w:hAnsi="Arial" w:cs="Arial"/>
          <w:b/>
          <w:bCs/>
          <w:color w:val="auto"/>
        </w:rPr>
        <w:t xml:space="preserve">2.10 </w:t>
      </w:r>
      <w:r w:rsidR="00E272CC" w:rsidRPr="00804AC3">
        <w:rPr>
          <w:rStyle w:val="Strong"/>
          <w:rFonts w:ascii="Arial" w:hAnsi="Arial" w:cs="Arial"/>
          <w:b/>
          <w:bCs/>
          <w:color w:val="auto"/>
        </w:rPr>
        <w:t>Functional Relationship of the Study</w:t>
      </w:r>
    </w:p>
    <w:p w14:paraId="7AFC9E64" w14:textId="77777777" w:rsidR="00E272CC" w:rsidRPr="006435D7" w:rsidRDefault="00E272CC" w:rsidP="00090D5F">
      <w:pPr>
        <w:pStyle w:val="Heading3"/>
        <w:spacing w:before="0" w:line="240" w:lineRule="auto"/>
        <w:ind w:firstLine="720"/>
        <w:rPr>
          <w:rFonts w:ascii="Arial" w:hAnsi="Arial" w:cs="Arial"/>
          <w:b w:val="0"/>
          <w:color w:val="auto"/>
          <w:sz w:val="20"/>
          <w:szCs w:val="20"/>
        </w:rPr>
      </w:pPr>
      <w:r w:rsidRPr="006435D7">
        <w:rPr>
          <w:rFonts w:ascii="Arial" w:hAnsi="Arial" w:cs="Arial"/>
          <w:b w:val="0"/>
          <w:color w:val="auto"/>
          <w:sz w:val="20"/>
          <w:szCs w:val="20"/>
        </w:rPr>
        <w:t>The overall functional relationship is expressed as:</w:t>
      </w:r>
    </w:p>
    <w:p w14:paraId="48554FE0"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f</m:t>
          </m:r>
          <m:r>
            <m:rPr>
              <m:sty m:val="bi"/>
            </m:rPr>
            <w:rPr>
              <w:rFonts w:ascii="Cambria Math" w:hAnsi="Arial" w:cs="Arial"/>
              <w:sz w:val="22"/>
              <w:szCs w:val="22"/>
            </w:rPr>
            <m:t>(</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m:t>
          </m:r>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m:t>
          </m:r>
          <m:r>
            <m:rPr>
              <m:sty m:val="bi"/>
            </m:rPr>
            <w:rPr>
              <w:rFonts w:ascii="Cambria Math" w:hAnsi="Cambria Math" w:cs="Arial"/>
              <w:sz w:val="22"/>
              <w:szCs w:val="22"/>
            </w:rPr>
            <m:t>Lₜ</m:t>
          </m:r>
          <m:r>
            <m:rPr>
              <m:sty m:val="bi"/>
            </m:rPr>
            <w:rPr>
              <w:rFonts w:ascii="Cambria Math" w:hAnsi="Arial" w:cs="Arial"/>
              <w:sz w:val="22"/>
              <w:szCs w:val="22"/>
            </w:rPr>
            <m:t>)</m:t>
          </m:r>
        </m:oMath>
      </m:oMathPara>
    </w:p>
    <w:p w14:paraId="0BE60D6F"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In log-linear econometric form:</w:t>
      </w:r>
    </w:p>
    <w:p w14:paraId="139E12A0" w14:textId="77777777" w:rsidR="00E272CC" w:rsidRPr="00804AC3" w:rsidRDefault="0070287B" w:rsidP="00E272CC">
      <w:pPr>
        <w:pStyle w:val="NormalWeb"/>
        <w:rPr>
          <w:rFonts w:ascii="Cambria Math" w:hAnsi="Arial" w:cs="Arial"/>
          <w:sz w:val="22"/>
          <w:szCs w:val="22"/>
          <w:oMath/>
        </w:rPr>
      </w:pPr>
      <m:oMathPara>
        <m:oMath>
          <m:r>
            <m:rPr>
              <m:sty m:val="bi"/>
            </m:rPr>
            <w:rPr>
              <w:rFonts w:ascii="Cambria Math" w:hAnsi="Cambria Math" w:cs="Arial"/>
              <w:sz w:val="22"/>
              <w:szCs w:val="22"/>
            </w:rPr>
            <w:lastRenderedPageBreak/>
            <m:t>ln</m:t>
          </m:r>
          <m:r>
            <m:rPr>
              <m:sty m:val="bi"/>
            </m:rPr>
            <w:rPr>
              <w:rFonts w:ascii="Cambria Math" w:hAnsi="Arial" w:cs="Arial"/>
              <w:sz w:val="22"/>
              <w:szCs w:val="22"/>
            </w:rPr>
            <m:t>(</m:t>
          </m:r>
          <m:r>
            <m:rPr>
              <m:sty m:val="bi"/>
            </m:rPr>
            <w:rPr>
              <w:rFonts w:ascii="Cambria Math" w:hAnsi="Cambria Math" w:cs="Arial"/>
              <w:sz w:val="22"/>
              <w:szCs w:val="22"/>
            </w:rPr>
            <m:t>Y</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α</m:t>
          </m:r>
          <m:r>
            <m:rPr>
              <m:sty m:val="bi"/>
            </m:rPr>
            <w:rPr>
              <w:rFonts w:ascii="Cambria Math" w:hAnsi="Arial" w:cs="Arial"/>
              <w:sz w:val="22"/>
              <w:szCs w:val="22"/>
            </w:rPr>
            <m:t xml:space="preserve"> + </m:t>
          </m:r>
          <m:r>
            <m:rPr>
              <m:sty m:val="bi"/>
            </m:rPr>
            <w:rPr>
              <w:rFonts w:ascii="Cambria Math" w:hAnsi="Cambria Math" w:cs="Arial"/>
              <w:sz w:val="22"/>
              <w:szCs w:val="22"/>
            </w:rPr>
            <m:t>β₁ln</m:t>
          </m:r>
          <m:r>
            <m:rPr>
              <m:sty m:val="bi"/>
            </m:rPr>
            <w:rPr>
              <w:rFonts w:ascii="Cambria Math" w:hAnsi="Arial" w:cs="Arial"/>
              <w:sz w:val="22"/>
              <w:szCs w:val="22"/>
            </w:rPr>
            <m:t>(</m:t>
          </m:r>
          <m:r>
            <m:rPr>
              <m:sty m:val="bi"/>
            </m:rPr>
            <w:rPr>
              <w:rFonts w:ascii="Cambria Math" w:hAnsi="Cambria Math" w:cs="Arial"/>
              <w:sz w:val="22"/>
              <w:szCs w:val="22"/>
            </w:rPr>
            <m:t>C</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β₂ln</m:t>
          </m:r>
          <m:r>
            <m:rPr>
              <m:sty m:val="bi"/>
            </m:rPr>
            <w:rPr>
              <w:rFonts w:ascii="Cambria Math" w:hAnsi="Arial" w:cs="Arial"/>
              <w:sz w:val="22"/>
              <w:szCs w:val="22"/>
            </w:rPr>
            <m:t>(</m:t>
          </m:r>
          <m:r>
            <m:rPr>
              <m:sty m:val="bi"/>
            </m:rPr>
            <w:rPr>
              <w:rFonts w:ascii="Cambria Math" w:hAnsi="Cambria Math" w:cs="Arial"/>
              <w:sz w:val="22"/>
              <w:szCs w:val="22"/>
            </w:rPr>
            <m:t>K</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β₃ln</m:t>
          </m:r>
          <m:r>
            <m:rPr>
              <m:sty m:val="bi"/>
            </m:rPr>
            <w:rPr>
              <w:rFonts w:ascii="Cambria Math" w:hAnsi="Arial" w:cs="Arial"/>
              <w:sz w:val="22"/>
              <w:szCs w:val="22"/>
            </w:rPr>
            <m:t>(</m:t>
          </m:r>
          <m:r>
            <m:rPr>
              <m:sty m:val="bi"/>
            </m:rPr>
            <w:rPr>
              <w:rFonts w:ascii="Cambria Math" w:hAnsi="Cambria Math" w:cs="Arial"/>
              <w:sz w:val="22"/>
              <w:szCs w:val="22"/>
            </w:rPr>
            <m:t>L</m:t>
          </m:r>
          <m:r>
            <m:rPr>
              <m:sty m:val="bi"/>
            </m:rPr>
            <w:rPr>
              <w:rFonts w:ascii="Arial" w:hAnsi="Cambria Math" w:cs="Arial"/>
              <w:sz w:val="22"/>
              <w:szCs w:val="22"/>
            </w:rPr>
            <m:t>ₜ</m:t>
          </m:r>
          <m:r>
            <m:rPr>
              <m:sty m:val="bi"/>
            </m:rPr>
            <w:rPr>
              <w:rFonts w:ascii="Cambria Math" w:hAnsi="Arial" w:cs="Arial"/>
              <w:sz w:val="22"/>
              <w:szCs w:val="22"/>
            </w:rPr>
            <m:t xml:space="preserve">) + </m:t>
          </m:r>
          <m:r>
            <m:rPr>
              <m:sty m:val="bi"/>
            </m:rPr>
            <w:rPr>
              <w:rFonts w:ascii="Cambria Math" w:hAnsi="Cambria Math" w:cs="Arial"/>
              <w:sz w:val="22"/>
              <w:szCs w:val="22"/>
            </w:rPr>
            <m:t>εₜ</m:t>
          </m:r>
        </m:oMath>
      </m:oMathPara>
    </w:p>
    <w:p w14:paraId="323D398D" w14:textId="77777777" w:rsidR="00E272CC" w:rsidRPr="006435D7" w:rsidRDefault="00E272CC" w:rsidP="00E272CC">
      <w:pPr>
        <w:pStyle w:val="NormalWeb"/>
        <w:rPr>
          <w:rFonts w:ascii="Arial" w:hAnsi="Arial" w:cs="Arial"/>
          <w:sz w:val="20"/>
          <w:szCs w:val="20"/>
        </w:rPr>
      </w:pPr>
      <w:r w:rsidRPr="006435D7">
        <w:rPr>
          <w:rFonts w:ascii="Arial" w:hAnsi="Arial" w:cs="Arial"/>
          <w:sz w:val="20"/>
          <w:szCs w:val="20"/>
        </w:rPr>
        <w:t>Where:</w:t>
      </w:r>
    </w:p>
    <w:p w14:paraId="71D59D41"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Y</w:t>
      </w:r>
      <w:r w:rsidRPr="006435D7">
        <w:rPr>
          <w:rFonts w:cs="Arial"/>
          <w:sz w:val="20"/>
          <w:szCs w:val="20"/>
        </w:rPr>
        <w:t>ₜ</w:t>
      </w:r>
      <w:r w:rsidRPr="006435D7">
        <w:rPr>
          <w:rFonts w:ascii="Arial" w:hAnsi="Arial" w:cs="Arial"/>
          <w:sz w:val="20"/>
          <w:szCs w:val="20"/>
        </w:rPr>
        <w:t xml:space="preserve"> = Real GDP (economic growth)</w:t>
      </w:r>
    </w:p>
    <w:p w14:paraId="2AFEA7F2"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C</w:t>
      </w:r>
      <w:r w:rsidRPr="006435D7">
        <w:rPr>
          <w:rFonts w:cs="Arial"/>
          <w:sz w:val="20"/>
          <w:szCs w:val="20"/>
        </w:rPr>
        <w:t>ₜ</w:t>
      </w:r>
      <w:r w:rsidRPr="006435D7">
        <w:rPr>
          <w:rFonts w:ascii="Arial" w:hAnsi="Arial" w:cs="Arial"/>
          <w:sz w:val="20"/>
          <w:szCs w:val="20"/>
        </w:rPr>
        <w:t xml:space="preserve"> = Coal consumption</w:t>
      </w:r>
    </w:p>
    <w:p w14:paraId="067DC6F5"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K</w:t>
      </w:r>
      <w:r w:rsidRPr="006435D7">
        <w:rPr>
          <w:rFonts w:cs="Arial"/>
          <w:sz w:val="20"/>
          <w:szCs w:val="20"/>
        </w:rPr>
        <w:t>ₜ</w:t>
      </w:r>
      <w:r w:rsidRPr="006435D7">
        <w:rPr>
          <w:rFonts w:ascii="Arial" w:hAnsi="Arial" w:cs="Arial"/>
          <w:sz w:val="20"/>
          <w:szCs w:val="20"/>
        </w:rPr>
        <w:t xml:space="preserve"> = Capital formation</w:t>
      </w:r>
    </w:p>
    <w:p w14:paraId="224668E4"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L</w:t>
      </w:r>
      <w:r w:rsidRPr="006435D7">
        <w:rPr>
          <w:rFonts w:cs="Arial"/>
          <w:sz w:val="20"/>
          <w:szCs w:val="20"/>
        </w:rPr>
        <w:t>ₜ</w:t>
      </w:r>
      <w:r w:rsidRPr="006435D7">
        <w:rPr>
          <w:rFonts w:ascii="Arial" w:hAnsi="Arial" w:cs="Arial"/>
          <w:sz w:val="20"/>
          <w:szCs w:val="20"/>
        </w:rPr>
        <w:t xml:space="preserve"> = Labour force</w:t>
      </w:r>
    </w:p>
    <w:p w14:paraId="0232BC0A" w14:textId="77777777" w:rsidR="00E272CC" w:rsidRPr="006435D7" w:rsidRDefault="00E272CC" w:rsidP="00E272CC">
      <w:pPr>
        <w:pStyle w:val="NormalWeb"/>
        <w:numPr>
          <w:ilvl w:val="0"/>
          <w:numId w:val="7"/>
        </w:numPr>
        <w:rPr>
          <w:rFonts w:ascii="Arial" w:hAnsi="Arial" w:cs="Arial"/>
          <w:sz w:val="20"/>
          <w:szCs w:val="20"/>
        </w:rPr>
      </w:pPr>
      <w:r w:rsidRPr="006435D7">
        <w:rPr>
          <w:rFonts w:ascii="Arial" w:hAnsi="Arial" w:cs="Arial"/>
          <w:sz w:val="20"/>
          <w:szCs w:val="20"/>
        </w:rPr>
        <w:t>ε</w:t>
      </w:r>
      <w:r w:rsidRPr="006435D7">
        <w:rPr>
          <w:rFonts w:cs="Arial"/>
          <w:sz w:val="20"/>
          <w:szCs w:val="20"/>
        </w:rPr>
        <w:t>ₜ</w:t>
      </w:r>
      <w:r w:rsidRPr="006435D7">
        <w:rPr>
          <w:rFonts w:ascii="Arial" w:hAnsi="Arial" w:cs="Arial"/>
          <w:sz w:val="20"/>
          <w:szCs w:val="20"/>
        </w:rPr>
        <w:t xml:space="preserve"> = Random error term</w:t>
      </w:r>
    </w:p>
    <w:p w14:paraId="6F646A80" w14:textId="7386D0F0" w:rsidR="0061554C" w:rsidRPr="00804AC3" w:rsidRDefault="008969CA" w:rsidP="00D84BE6">
      <w:pPr>
        <w:pStyle w:val="NormalWeb"/>
        <w:spacing w:before="0" w:beforeAutospacing="0" w:after="0" w:afterAutospacing="0"/>
        <w:jc w:val="both"/>
        <w:rPr>
          <w:rFonts w:ascii="Arial" w:hAnsi="Arial" w:cs="Arial"/>
          <w:b/>
          <w:sz w:val="22"/>
          <w:szCs w:val="22"/>
        </w:rPr>
      </w:pPr>
      <w:r>
        <w:rPr>
          <w:rFonts w:ascii="Arial" w:hAnsi="Arial" w:cs="Arial"/>
          <w:b/>
          <w:sz w:val="22"/>
          <w:szCs w:val="22"/>
        </w:rPr>
        <w:t>Table 1:</w:t>
      </w:r>
      <w:r w:rsidR="005E4919" w:rsidRPr="00804AC3">
        <w:rPr>
          <w:rFonts w:ascii="Arial" w:hAnsi="Arial" w:cs="Arial"/>
          <w:b/>
          <w:sz w:val="22"/>
          <w:szCs w:val="22"/>
        </w:rPr>
        <w:t xml:space="preserve"> </w:t>
      </w:r>
      <w:r w:rsidR="0061554C" w:rsidRPr="00804AC3">
        <w:rPr>
          <w:rFonts w:ascii="Arial" w:hAnsi="Arial" w:cs="Arial"/>
          <w:b/>
          <w:sz w:val="22"/>
          <w:szCs w:val="22"/>
        </w:rPr>
        <w:t>Hypothesis</w:t>
      </w:r>
      <w:r w:rsidR="00CD5385" w:rsidRPr="00804AC3">
        <w:rPr>
          <w:rFonts w:ascii="Arial" w:hAnsi="Arial" w:cs="Arial"/>
          <w:b/>
          <w:sz w:val="22"/>
          <w:szCs w:val="22"/>
        </w:rPr>
        <w:t xml:space="preserve"> of the Study</w:t>
      </w:r>
    </w:p>
    <w:tbl>
      <w:tblPr>
        <w:tblW w:w="9375" w:type="dxa"/>
        <w:tblInd w:w="93" w:type="dxa"/>
        <w:tblLook w:val="04A0" w:firstRow="1" w:lastRow="0" w:firstColumn="1" w:lastColumn="0" w:noHBand="0" w:noVBand="1"/>
      </w:tblPr>
      <w:tblGrid>
        <w:gridCol w:w="1350"/>
        <w:gridCol w:w="4515"/>
        <w:gridCol w:w="3510"/>
      </w:tblGrid>
      <w:tr w:rsidR="0061554C" w:rsidRPr="006435D7" w14:paraId="31B0DA64" w14:textId="77777777" w:rsidTr="00773771">
        <w:trPr>
          <w:trHeight w:val="70"/>
        </w:trPr>
        <w:tc>
          <w:tcPr>
            <w:tcW w:w="1350" w:type="dxa"/>
            <w:tcBorders>
              <w:top w:val="single" w:sz="4" w:space="0" w:color="auto"/>
              <w:left w:val="single" w:sz="4" w:space="0" w:color="auto"/>
              <w:bottom w:val="single" w:sz="4" w:space="0" w:color="auto"/>
              <w:right w:val="single" w:sz="4" w:space="0" w:color="auto"/>
            </w:tcBorders>
            <w:vAlign w:val="center"/>
            <w:hideMark/>
          </w:tcPr>
          <w:p w14:paraId="7A56AA68"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Hypothesis</w:t>
            </w:r>
          </w:p>
        </w:tc>
        <w:tc>
          <w:tcPr>
            <w:tcW w:w="4515" w:type="dxa"/>
            <w:tcBorders>
              <w:top w:val="single" w:sz="4" w:space="0" w:color="auto"/>
              <w:left w:val="nil"/>
              <w:bottom w:val="single" w:sz="4" w:space="0" w:color="auto"/>
              <w:right w:val="single" w:sz="4" w:space="0" w:color="auto"/>
            </w:tcBorders>
            <w:vAlign w:val="center"/>
            <w:hideMark/>
          </w:tcPr>
          <w:p w14:paraId="69D45CED"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3510" w:type="dxa"/>
            <w:tcBorders>
              <w:top w:val="single" w:sz="4" w:space="0" w:color="auto"/>
              <w:left w:val="nil"/>
              <w:bottom w:val="single" w:sz="4" w:space="0" w:color="auto"/>
              <w:right w:val="single" w:sz="4" w:space="0" w:color="auto"/>
            </w:tcBorders>
            <w:vAlign w:val="center"/>
            <w:hideMark/>
          </w:tcPr>
          <w:p w14:paraId="12FDE7C3"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Alternative (H</w:t>
            </w:r>
            <w:r w:rsidRPr="006435D7">
              <w:rPr>
                <w:rFonts w:ascii="Times New Roman" w:eastAsia="Times New Roman" w:hAnsi="Times New Roman" w:cs="Arial"/>
                <w:b/>
                <w:bCs/>
                <w:color w:val="000000"/>
                <w:sz w:val="20"/>
                <w:szCs w:val="20"/>
              </w:rPr>
              <w:t>₁</w:t>
            </w:r>
            <w:r w:rsidRPr="006435D7">
              <w:rPr>
                <w:rFonts w:ascii="Arial" w:eastAsia="Times New Roman" w:hAnsi="Arial" w:cs="Arial"/>
                <w:b/>
                <w:bCs/>
                <w:color w:val="000000"/>
                <w:sz w:val="20"/>
                <w:szCs w:val="20"/>
              </w:rPr>
              <w:t>)</w:t>
            </w:r>
          </w:p>
        </w:tc>
      </w:tr>
      <w:tr w:rsidR="0061554C" w:rsidRPr="006435D7" w14:paraId="12B82CF5" w14:textId="77777777" w:rsidTr="00773771">
        <w:trPr>
          <w:trHeight w:val="70"/>
        </w:trPr>
        <w:tc>
          <w:tcPr>
            <w:tcW w:w="1350" w:type="dxa"/>
            <w:tcBorders>
              <w:top w:val="nil"/>
              <w:left w:val="single" w:sz="4" w:space="0" w:color="auto"/>
              <w:bottom w:val="single" w:sz="4" w:space="0" w:color="auto"/>
              <w:right w:val="single" w:sz="4" w:space="0" w:color="auto"/>
            </w:tcBorders>
            <w:vAlign w:val="bottom"/>
            <w:hideMark/>
          </w:tcPr>
          <w:p w14:paraId="68B6EACB"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₁</w:t>
            </w:r>
          </w:p>
        </w:tc>
        <w:tc>
          <w:tcPr>
            <w:tcW w:w="4515" w:type="dxa"/>
            <w:tcBorders>
              <w:top w:val="nil"/>
              <w:left w:val="nil"/>
              <w:bottom w:val="single" w:sz="4" w:space="0" w:color="auto"/>
              <w:right w:val="single" w:sz="4" w:space="0" w:color="auto"/>
            </w:tcBorders>
            <w:vAlign w:val="bottom"/>
            <w:hideMark/>
          </w:tcPr>
          <w:p w14:paraId="4C5A5DFD"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economic growth</w:t>
            </w:r>
          </w:p>
        </w:tc>
        <w:tc>
          <w:tcPr>
            <w:tcW w:w="3510" w:type="dxa"/>
            <w:tcBorders>
              <w:top w:val="nil"/>
              <w:left w:val="nil"/>
              <w:bottom w:val="single" w:sz="4" w:space="0" w:color="auto"/>
              <w:right w:val="single" w:sz="4" w:space="0" w:color="auto"/>
            </w:tcBorders>
            <w:vAlign w:val="bottom"/>
            <w:hideMark/>
          </w:tcPr>
          <w:p w14:paraId="41D4907F"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Granger-causes economic growth</w:t>
            </w:r>
          </w:p>
        </w:tc>
      </w:tr>
      <w:tr w:rsidR="0061554C" w:rsidRPr="006435D7" w14:paraId="74F85413" w14:textId="77777777" w:rsidTr="00773771">
        <w:trPr>
          <w:trHeight w:val="70"/>
        </w:trPr>
        <w:tc>
          <w:tcPr>
            <w:tcW w:w="1350" w:type="dxa"/>
            <w:tcBorders>
              <w:top w:val="nil"/>
              <w:left w:val="single" w:sz="4" w:space="0" w:color="auto"/>
              <w:bottom w:val="single" w:sz="4" w:space="0" w:color="auto"/>
              <w:right w:val="single" w:sz="4" w:space="0" w:color="auto"/>
            </w:tcBorders>
            <w:vAlign w:val="bottom"/>
            <w:hideMark/>
          </w:tcPr>
          <w:p w14:paraId="3EA17E28"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₂</w:t>
            </w:r>
          </w:p>
        </w:tc>
        <w:tc>
          <w:tcPr>
            <w:tcW w:w="4515" w:type="dxa"/>
            <w:tcBorders>
              <w:top w:val="nil"/>
              <w:left w:val="nil"/>
              <w:bottom w:val="single" w:sz="4" w:space="0" w:color="auto"/>
              <w:right w:val="single" w:sz="4" w:space="0" w:color="auto"/>
            </w:tcBorders>
            <w:vAlign w:val="bottom"/>
            <w:hideMark/>
          </w:tcPr>
          <w:p w14:paraId="5471A57D"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does not Granger-cause coal consumption</w:t>
            </w:r>
          </w:p>
        </w:tc>
        <w:tc>
          <w:tcPr>
            <w:tcW w:w="3510" w:type="dxa"/>
            <w:tcBorders>
              <w:top w:val="nil"/>
              <w:left w:val="nil"/>
              <w:bottom w:val="single" w:sz="4" w:space="0" w:color="auto"/>
              <w:right w:val="single" w:sz="4" w:space="0" w:color="auto"/>
            </w:tcBorders>
            <w:vAlign w:val="bottom"/>
            <w:hideMark/>
          </w:tcPr>
          <w:p w14:paraId="26E687E6"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Granger-causes coal consumption</w:t>
            </w:r>
          </w:p>
        </w:tc>
      </w:tr>
      <w:tr w:rsidR="0061554C" w:rsidRPr="006435D7" w14:paraId="51F047F5" w14:textId="77777777" w:rsidTr="00773771">
        <w:trPr>
          <w:trHeight w:val="278"/>
        </w:trPr>
        <w:tc>
          <w:tcPr>
            <w:tcW w:w="1350" w:type="dxa"/>
            <w:tcBorders>
              <w:top w:val="nil"/>
              <w:left w:val="single" w:sz="4" w:space="0" w:color="auto"/>
              <w:bottom w:val="single" w:sz="4" w:space="0" w:color="auto"/>
              <w:right w:val="single" w:sz="4" w:space="0" w:color="auto"/>
            </w:tcBorders>
            <w:vAlign w:val="bottom"/>
            <w:hideMark/>
          </w:tcPr>
          <w:p w14:paraId="75BE4EB7" w14:textId="77777777" w:rsidR="0061554C" w:rsidRPr="006435D7" w:rsidRDefault="0061554C" w:rsidP="00090D5F">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w:t>
            </w:r>
            <w:r w:rsidRPr="006435D7">
              <w:rPr>
                <w:rFonts w:ascii="Times New Roman" w:eastAsia="Times New Roman" w:hAnsi="Times New Roman" w:cs="Arial"/>
                <w:b/>
                <w:bCs/>
                <w:color w:val="000000"/>
                <w:sz w:val="20"/>
                <w:szCs w:val="20"/>
              </w:rPr>
              <w:t>₃</w:t>
            </w:r>
          </w:p>
        </w:tc>
        <w:tc>
          <w:tcPr>
            <w:tcW w:w="4515" w:type="dxa"/>
            <w:tcBorders>
              <w:top w:val="nil"/>
              <w:left w:val="nil"/>
              <w:bottom w:val="single" w:sz="4" w:space="0" w:color="auto"/>
              <w:right w:val="single" w:sz="4" w:space="0" w:color="auto"/>
            </w:tcBorders>
            <w:vAlign w:val="bottom"/>
            <w:hideMark/>
          </w:tcPr>
          <w:p w14:paraId="20DEBF63"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long-run relationship exists between coal consumption and economic growth</w:t>
            </w:r>
          </w:p>
        </w:tc>
        <w:tc>
          <w:tcPr>
            <w:tcW w:w="3510" w:type="dxa"/>
            <w:tcBorders>
              <w:top w:val="nil"/>
              <w:left w:val="nil"/>
              <w:bottom w:val="single" w:sz="4" w:space="0" w:color="auto"/>
              <w:right w:val="single" w:sz="4" w:space="0" w:color="auto"/>
            </w:tcBorders>
            <w:vAlign w:val="bottom"/>
            <w:hideMark/>
          </w:tcPr>
          <w:p w14:paraId="1C610B04" w14:textId="77777777" w:rsidR="0061554C" w:rsidRPr="006435D7" w:rsidRDefault="0061554C" w:rsidP="00090D5F">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 long-run equilibrium relationship exists</w:t>
            </w:r>
          </w:p>
        </w:tc>
      </w:tr>
    </w:tbl>
    <w:p w14:paraId="0A0561FE" w14:textId="77777777" w:rsidR="0061554C" w:rsidRPr="006435D7" w:rsidRDefault="0061554C" w:rsidP="00D84BE6">
      <w:pPr>
        <w:pStyle w:val="NormalWeb"/>
        <w:spacing w:before="0" w:beforeAutospacing="0" w:after="0" w:afterAutospacing="0"/>
        <w:jc w:val="both"/>
        <w:rPr>
          <w:rFonts w:ascii="Arial" w:hAnsi="Arial" w:cs="Arial"/>
          <w:sz w:val="20"/>
          <w:szCs w:val="20"/>
        </w:rPr>
      </w:pPr>
    </w:p>
    <w:p w14:paraId="0B8CF48A" w14:textId="77777777" w:rsidR="001319C3" w:rsidRPr="006435D7" w:rsidRDefault="001319C3" w:rsidP="00E2173C">
      <w:pPr>
        <w:spacing w:after="0" w:line="240" w:lineRule="auto"/>
        <w:jc w:val="both"/>
        <w:rPr>
          <w:rStyle w:val="Strong"/>
          <w:rFonts w:ascii="Arial" w:hAnsi="Arial" w:cs="Arial"/>
          <w:sz w:val="20"/>
          <w:szCs w:val="20"/>
        </w:rPr>
      </w:pPr>
    </w:p>
    <w:p w14:paraId="398E0C81" w14:textId="49418417" w:rsidR="00055E3B" w:rsidRDefault="00581539" w:rsidP="00055E3B">
      <w:pPr>
        <w:jc w:val="center"/>
        <w:rPr>
          <w:rFonts w:ascii="Arial" w:hAnsi="Arial" w:cs="Arial"/>
          <w:b/>
        </w:rPr>
      </w:pPr>
      <w:r w:rsidRPr="00055E3B">
        <w:rPr>
          <w:rFonts w:ascii="Arial" w:hAnsi="Arial" w:cs="Arial"/>
          <w:b/>
          <w:noProof/>
        </w:rPr>
        <w:lastRenderedPageBreak/>
        <w:drawing>
          <wp:anchor distT="0" distB="0" distL="114300" distR="114300" simplePos="0" relativeHeight="251659264" behindDoc="0" locked="0" layoutInCell="1" allowOverlap="1" wp14:anchorId="551C85A7" wp14:editId="42402944">
            <wp:simplePos x="0" y="0"/>
            <wp:positionH relativeFrom="column">
              <wp:posOffset>139700</wp:posOffset>
            </wp:positionH>
            <wp:positionV relativeFrom="paragraph">
              <wp:posOffset>366395</wp:posOffset>
            </wp:positionV>
            <wp:extent cx="6028690" cy="6883400"/>
            <wp:effectExtent l="19050" t="0" r="0" b="0"/>
            <wp:wrapSquare wrapText="bothSides"/>
            <wp:docPr id="1" name="Picture 1" descr="C:\Users\USER\Downloads\Research Methodology Flow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Research Methodology Flowchart.png"/>
                    <pic:cNvPicPr>
                      <a:picLocks noChangeAspect="1" noChangeArrowheads="1"/>
                    </pic:cNvPicPr>
                  </pic:nvPicPr>
                  <pic:blipFill>
                    <a:blip r:embed="rId6"/>
                    <a:srcRect/>
                    <a:stretch>
                      <a:fillRect/>
                    </a:stretch>
                  </pic:blipFill>
                  <pic:spPr bwMode="auto">
                    <a:xfrm>
                      <a:off x="0" y="0"/>
                      <a:ext cx="6028690" cy="6883400"/>
                    </a:xfrm>
                    <a:prstGeom prst="rect">
                      <a:avLst/>
                    </a:prstGeom>
                    <a:noFill/>
                    <a:ln w="9525">
                      <a:noFill/>
                      <a:miter lim="800000"/>
                      <a:headEnd/>
                      <a:tailEnd/>
                    </a:ln>
                  </pic:spPr>
                </pic:pic>
              </a:graphicData>
            </a:graphic>
          </wp:anchor>
        </w:drawing>
      </w:r>
      <w:r w:rsidR="00494B57" w:rsidRPr="00055E3B">
        <w:rPr>
          <w:rFonts w:ascii="Arial" w:hAnsi="Arial" w:cs="Arial"/>
          <w:b/>
        </w:rPr>
        <w:t>Analytical Flow chart</w:t>
      </w:r>
      <w:r w:rsidR="005E4919" w:rsidRPr="00055E3B">
        <w:rPr>
          <w:rFonts w:ascii="Arial" w:hAnsi="Arial" w:cs="Arial"/>
          <w:b/>
        </w:rPr>
        <w:t>.</w:t>
      </w:r>
    </w:p>
    <w:p w14:paraId="19827773" w14:textId="15D5A3FA" w:rsidR="00FC7E2C" w:rsidRPr="00055E3B" w:rsidRDefault="00494B57" w:rsidP="00055E3B">
      <w:pPr>
        <w:jc w:val="center"/>
        <w:rPr>
          <w:rFonts w:ascii="Arial" w:hAnsi="Arial" w:cs="Arial"/>
          <w:b/>
        </w:rPr>
      </w:pPr>
      <w:r w:rsidRPr="00055E3B">
        <w:rPr>
          <w:rFonts w:ascii="Arial" w:hAnsi="Arial" w:cs="Arial"/>
          <w:b/>
        </w:rPr>
        <w:t>Fig</w:t>
      </w:r>
      <w:r w:rsidR="00442DBC">
        <w:rPr>
          <w:rFonts w:ascii="Arial" w:hAnsi="Arial" w:cs="Arial"/>
          <w:b/>
        </w:rPr>
        <w:t xml:space="preserve"> </w:t>
      </w:r>
      <w:r w:rsidRPr="00055E3B">
        <w:rPr>
          <w:rFonts w:ascii="Arial" w:hAnsi="Arial" w:cs="Arial"/>
          <w:b/>
        </w:rPr>
        <w:t>1</w:t>
      </w:r>
      <w:r w:rsidR="00442DBC">
        <w:rPr>
          <w:rFonts w:ascii="Arial" w:hAnsi="Arial" w:cs="Arial"/>
          <w:b/>
        </w:rPr>
        <w:t>:</w:t>
      </w:r>
      <w:r w:rsidRPr="00055E3B">
        <w:rPr>
          <w:rFonts w:ascii="Arial" w:hAnsi="Arial" w:cs="Arial"/>
          <w:b/>
        </w:rPr>
        <w:t xml:space="preserve"> Analytical Workflow from Data Collection to Model Interpretation.</w:t>
      </w:r>
    </w:p>
    <w:p w14:paraId="3D2D2E4D" w14:textId="77777777" w:rsidR="00E2173C" w:rsidRPr="00055E3B" w:rsidRDefault="00711351" w:rsidP="00FC7E2C">
      <w:pPr>
        <w:rPr>
          <w:rFonts w:ascii="Arial" w:hAnsi="Arial" w:cs="Arial"/>
          <w:b/>
        </w:rPr>
      </w:pPr>
      <w:r w:rsidRPr="00055E3B">
        <w:rPr>
          <w:rFonts w:ascii="Arial" w:hAnsi="Arial" w:cs="Arial"/>
          <w:b/>
        </w:rPr>
        <w:t xml:space="preserve">3.0 </w:t>
      </w:r>
      <w:r w:rsidR="00E2173C" w:rsidRPr="00055E3B">
        <w:rPr>
          <w:rFonts w:ascii="Arial" w:hAnsi="Arial" w:cs="Arial"/>
          <w:b/>
        </w:rPr>
        <w:t>RESULTS AND DISCUSSIONS</w:t>
      </w:r>
    </w:p>
    <w:p w14:paraId="09560A4E" w14:textId="29050699" w:rsidR="00494B57" w:rsidRPr="00055E3B" w:rsidRDefault="00494B57" w:rsidP="00E2173C">
      <w:pPr>
        <w:tabs>
          <w:tab w:val="left" w:pos="930"/>
        </w:tabs>
        <w:spacing w:after="0" w:line="360" w:lineRule="auto"/>
        <w:jc w:val="both"/>
        <w:rPr>
          <w:rFonts w:ascii="Arial" w:hAnsi="Arial" w:cs="Arial"/>
          <w:b/>
        </w:rPr>
      </w:pPr>
      <w:r w:rsidRPr="00055E3B">
        <w:rPr>
          <w:rFonts w:ascii="Arial" w:hAnsi="Arial" w:cs="Arial"/>
          <w:b/>
        </w:rPr>
        <w:t xml:space="preserve">Table </w:t>
      </w:r>
      <w:r w:rsidR="008969CA">
        <w:rPr>
          <w:rFonts w:ascii="Arial" w:hAnsi="Arial" w:cs="Arial"/>
          <w:b/>
        </w:rPr>
        <w:t>2</w:t>
      </w:r>
      <w:r w:rsidR="00932C5F" w:rsidRPr="00055E3B">
        <w:rPr>
          <w:rFonts w:ascii="Arial" w:hAnsi="Arial" w:cs="Arial"/>
          <w:b/>
        </w:rPr>
        <w:t xml:space="preserve">: </w:t>
      </w:r>
      <w:r w:rsidRPr="00055E3B">
        <w:rPr>
          <w:rFonts w:ascii="Arial" w:hAnsi="Arial" w:cs="Arial"/>
          <w:b/>
        </w:rPr>
        <w:t>Descriptive Statistics of Key Economic Variables in India (1980–2025).</w:t>
      </w:r>
    </w:p>
    <w:tbl>
      <w:tblPr>
        <w:tblW w:w="9825" w:type="dxa"/>
        <w:tblInd w:w="93" w:type="dxa"/>
        <w:tblLook w:val="04A0" w:firstRow="1" w:lastRow="0" w:firstColumn="1" w:lastColumn="0" w:noHBand="0" w:noVBand="1"/>
      </w:tblPr>
      <w:tblGrid>
        <w:gridCol w:w="1576"/>
        <w:gridCol w:w="1229"/>
        <w:gridCol w:w="1440"/>
        <w:gridCol w:w="1980"/>
        <w:gridCol w:w="1530"/>
        <w:gridCol w:w="2070"/>
      </w:tblGrid>
      <w:tr w:rsidR="00566E18" w:rsidRPr="006435D7" w14:paraId="364AA863" w14:textId="77777777" w:rsidTr="00566E18">
        <w:trPr>
          <w:trHeight w:val="64"/>
        </w:trPr>
        <w:tc>
          <w:tcPr>
            <w:tcW w:w="1576" w:type="dxa"/>
            <w:tcBorders>
              <w:top w:val="single" w:sz="4" w:space="0" w:color="auto"/>
              <w:left w:val="single" w:sz="4" w:space="0" w:color="auto"/>
              <w:bottom w:val="single" w:sz="4" w:space="0" w:color="auto"/>
              <w:right w:val="single" w:sz="4" w:space="0" w:color="auto"/>
            </w:tcBorders>
            <w:vAlign w:val="center"/>
            <w:hideMark/>
          </w:tcPr>
          <w:p w14:paraId="44D60D01"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lastRenderedPageBreak/>
              <w:t>Variable</w:t>
            </w:r>
          </w:p>
        </w:tc>
        <w:tc>
          <w:tcPr>
            <w:tcW w:w="1229" w:type="dxa"/>
            <w:tcBorders>
              <w:top w:val="single" w:sz="4" w:space="0" w:color="auto"/>
              <w:left w:val="nil"/>
              <w:bottom w:val="single" w:sz="4" w:space="0" w:color="auto"/>
              <w:right w:val="single" w:sz="4" w:space="0" w:color="auto"/>
            </w:tcBorders>
            <w:vAlign w:val="center"/>
            <w:hideMark/>
          </w:tcPr>
          <w:p w14:paraId="62BDC1D1"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Mean</w:t>
            </w:r>
          </w:p>
        </w:tc>
        <w:tc>
          <w:tcPr>
            <w:tcW w:w="1440" w:type="dxa"/>
            <w:tcBorders>
              <w:top w:val="single" w:sz="4" w:space="0" w:color="auto"/>
              <w:left w:val="nil"/>
              <w:bottom w:val="single" w:sz="4" w:space="0" w:color="auto"/>
              <w:right w:val="single" w:sz="4" w:space="0" w:color="auto"/>
            </w:tcBorders>
            <w:vAlign w:val="center"/>
            <w:hideMark/>
          </w:tcPr>
          <w:p w14:paraId="24C162B1"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Dev.</w:t>
            </w:r>
          </w:p>
        </w:tc>
        <w:tc>
          <w:tcPr>
            <w:tcW w:w="1980" w:type="dxa"/>
            <w:tcBorders>
              <w:top w:val="single" w:sz="4" w:space="0" w:color="auto"/>
              <w:left w:val="nil"/>
              <w:bottom w:val="single" w:sz="4" w:space="0" w:color="auto"/>
              <w:right w:val="single" w:sz="4" w:space="0" w:color="auto"/>
            </w:tcBorders>
            <w:vAlign w:val="center"/>
            <w:hideMark/>
          </w:tcPr>
          <w:p w14:paraId="29F3EC21"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Minimum</w:t>
            </w:r>
          </w:p>
        </w:tc>
        <w:tc>
          <w:tcPr>
            <w:tcW w:w="1530" w:type="dxa"/>
            <w:tcBorders>
              <w:top w:val="single" w:sz="4" w:space="0" w:color="auto"/>
              <w:left w:val="nil"/>
              <w:bottom w:val="single" w:sz="4" w:space="0" w:color="auto"/>
              <w:right w:val="single" w:sz="4" w:space="0" w:color="auto"/>
            </w:tcBorders>
            <w:vAlign w:val="center"/>
            <w:hideMark/>
          </w:tcPr>
          <w:p w14:paraId="0DB680F0"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Maximum</w:t>
            </w:r>
          </w:p>
        </w:tc>
        <w:tc>
          <w:tcPr>
            <w:tcW w:w="2070" w:type="dxa"/>
            <w:tcBorders>
              <w:top w:val="single" w:sz="4" w:space="0" w:color="auto"/>
              <w:left w:val="nil"/>
              <w:bottom w:val="single" w:sz="4" w:space="0" w:color="auto"/>
              <w:right w:val="single" w:sz="4" w:space="0" w:color="auto"/>
            </w:tcBorders>
            <w:vAlign w:val="center"/>
            <w:hideMark/>
          </w:tcPr>
          <w:p w14:paraId="2D7D2D96" w14:textId="77777777" w:rsidR="00566E18" w:rsidRPr="006435D7" w:rsidRDefault="00566E18" w:rsidP="00566E18">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Observations</w:t>
            </w:r>
          </w:p>
        </w:tc>
      </w:tr>
      <w:tr w:rsidR="00566E18" w:rsidRPr="006435D7" w14:paraId="47030B74"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692AB016" w14:textId="77777777" w:rsidR="00566E18" w:rsidRPr="006435D7" w:rsidRDefault="00566E18" w:rsidP="00566E18">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ln(GDP)</w:t>
            </w:r>
          </w:p>
        </w:tc>
        <w:tc>
          <w:tcPr>
            <w:tcW w:w="1229" w:type="dxa"/>
            <w:tcBorders>
              <w:top w:val="nil"/>
              <w:left w:val="nil"/>
              <w:bottom w:val="single" w:sz="4" w:space="0" w:color="auto"/>
              <w:right w:val="single" w:sz="4" w:space="0" w:color="auto"/>
            </w:tcBorders>
            <w:vAlign w:val="bottom"/>
            <w:hideMark/>
          </w:tcPr>
          <w:p w14:paraId="25B218D5"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13.245</w:t>
            </w:r>
          </w:p>
        </w:tc>
        <w:tc>
          <w:tcPr>
            <w:tcW w:w="1440" w:type="dxa"/>
            <w:tcBorders>
              <w:top w:val="nil"/>
              <w:left w:val="nil"/>
              <w:bottom w:val="single" w:sz="4" w:space="0" w:color="auto"/>
              <w:right w:val="single" w:sz="4" w:space="0" w:color="auto"/>
            </w:tcBorders>
            <w:vAlign w:val="bottom"/>
            <w:hideMark/>
          </w:tcPr>
          <w:p w14:paraId="3C6F58E1"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0.853</w:t>
            </w:r>
          </w:p>
        </w:tc>
        <w:tc>
          <w:tcPr>
            <w:tcW w:w="1980" w:type="dxa"/>
            <w:tcBorders>
              <w:top w:val="nil"/>
              <w:left w:val="nil"/>
              <w:bottom w:val="single" w:sz="4" w:space="0" w:color="auto"/>
              <w:right w:val="single" w:sz="4" w:space="0" w:color="auto"/>
            </w:tcBorders>
            <w:vAlign w:val="bottom"/>
            <w:hideMark/>
          </w:tcPr>
          <w:p w14:paraId="16B17DBE"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11.78</w:t>
            </w:r>
          </w:p>
        </w:tc>
        <w:tc>
          <w:tcPr>
            <w:tcW w:w="1530" w:type="dxa"/>
            <w:tcBorders>
              <w:top w:val="nil"/>
              <w:left w:val="nil"/>
              <w:bottom w:val="single" w:sz="4" w:space="0" w:color="auto"/>
              <w:right w:val="single" w:sz="4" w:space="0" w:color="auto"/>
            </w:tcBorders>
            <w:vAlign w:val="bottom"/>
            <w:hideMark/>
          </w:tcPr>
          <w:p w14:paraId="323198DF"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14.965</w:t>
            </w:r>
          </w:p>
        </w:tc>
        <w:tc>
          <w:tcPr>
            <w:tcW w:w="2070" w:type="dxa"/>
            <w:tcBorders>
              <w:top w:val="nil"/>
              <w:left w:val="nil"/>
              <w:bottom w:val="single" w:sz="4" w:space="0" w:color="auto"/>
              <w:right w:val="single" w:sz="4" w:space="0" w:color="auto"/>
            </w:tcBorders>
            <w:vAlign w:val="bottom"/>
            <w:hideMark/>
          </w:tcPr>
          <w:p w14:paraId="33C27B5A"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7B3B4591"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5ADB4039" w14:textId="77777777" w:rsidR="00566E18" w:rsidRPr="006435D7" w:rsidRDefault="00566E18" w:rsidP="00566E18">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ln(COAL)</w:t>
            </w:r>
          </w:p>
        </w:tc>
        <w:tc>
          <w:tcPr>
            <w:tcW w:w="1229" w:type="dxa"/>
            <w:tcBorders>
              <w:top w:val="nil"/>
              <w:left w:val="nil"/>
              <w:bottom w:val="single" w:sz="4" w:space="0" w:color="auto"/>
              <w:right w:val="single" w:sz="4" w:space="0" w:color="auto"/>
            </w:tcBorders>
            <w:vAlign w:val="bottom"/>
            <w:hideMark/>
          </w:tcPr>
          <w:p w14:paraId="283BB7CE"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7.825</w:t>
            </w:r>
          </w:p>
        </w:tc>
        <w:tc>
          <w:tcPr>
            <w:tcW w:w="1440" w:type="dxa"/>
            <w:tcBorders>
              <w:top w:val="nil"/>
              <w:left w:val="nil"/>
              <w:bottom w:val="single" w:sz="4" w:space="0" w:color="auto"/>
              <w:right w:val="single" w:sz="4" w:space="0" w:color="auto"/>
            </w:tcBorders>
            <w:vAlign w:val="bottom"/>
            <w:hideMark/>
          </w:tcPr>
          <w:p w14:paraId="16071F4C"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0.69</w:t>
            </w:r>
          </w:p>
        </w:tc>
        <w:tc>
          <w:tcPr>
            <w:tcW w:w="1980" w:type="dxa"/>
            <w:tcBorders>
              <w:top w:val="nil"/>
              <w:left w:val="nil"/>
              <w:bottom w:val="single" w:sz="4" w:space="0" w:color="auto"/>
              <w:right w:val="single" w:sz="4" w:space="0" w:color="auto"/>
            </w:tcBorders>
            <w:vAlign w:val="bottom"/>
            <w:hideMark/>
          </w:tcPr>
          <w:p w14:paraId="2A4868B3"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6.41</w:t>
            </w:r>
          </w:p>
        </w:tc>
        <w:tc>
          <w:tcPr>
            <w:tcW w:w="1530" w:type="dxa"/>
            <w:tcBorders>
              <w:top w:val="nil"/>
              <w:left w:val="nil"/>
              <w:bottom w:val="single" w:sz="4" w:space="0" w:color="auto"/>
              <w:right w:val="single" w:sz="4" w:space="0" w:color="auto"/>
            </w:tcBorders>
            <w:vAlign w:val="bottom"/>
            <w:hideMark/>
          </w:tcPr>
          <w:p w14:paraId="36E55672"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8.97</w:t>
            </w:r>
          </w:p>
        </w:tc>
        <w:tc>
          <w:tcPr>
            <w:tcW w:w="2070" w:type="dxa"/>
            <w:tcBorders>
              <w:top w:val="nil"/>
              <w:left w:val="nil"/>
              <w:bottom w:val="single" w:sz="4" w:space="0" w:color="auto"/>
              <w:right w:val="single" w:sz="4" w:space="0" w:color="auto"/>
            </w:tcBorders>
            <w:vAlign w:val="bottom"/>
            <w:hideMark/>
          </w:tcPr>
          <w:p w14:paraId="17322ED4"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05CC71E0"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2BE8C19D" w14:textId="77777777" w:rsidR="00566E18" w:rsidRPr="006435D7" w:rsidRDefault="00566E18" w:rsidP="00566E18">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ln(CAPITAL)</w:t>
            </w:r>
          </w:p>
        </w:tc>
        <w:tc>
          <w:tcPr>
            <w:tcW w:w="1229" w:type="dxa"/>
            <w:tcBorders>
              <w:top w:val="nil"/>
              <w:left w:val="nil"/>
              <w:bottom w:val="single" w:sz="4" w:space="0" w:color="auto"/>
              <w:right w:val="single" w:sz="4" w:space="0" w:color="auto"/>
            </w:tcBorders>
            <w:vAlign w:val="bottom"/>
            <w:hideMark/>
          </w:tcPr>
          <w:p w14:paraId="1B587A48"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12.362</w:t>
            </w:r>
          </w:p>
        </w:tc>
        <w:tc>
          <w:tcPr>
            <w:tcW w:w="1440" w:type="dxa"/>
            <w:tcBorders>
              <w:top w:val="nil"/>
              <w:left w:val="nil"/>
              <w:bottom w:val="single" w:sz="4" w:space="0" w:color="auto"/>
              <w:right w:val="single" w:sz="4" w:space="0" w:color="auto"/>
            </w:tcBorders>
            <w:vAlign w:val="bottom"/>
            <w:hideMark/>
          </w:tcPr>
          <w:p w14:paraId="2C57D242"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0.734</w:t>
            </w:r>
          </w:p>
        </w:tc>
        <w:tc>
          <w:tcPr>
            <w:tcW w:w="1980" w:type="dxa"/>
            <w:tcBorders>
              <w:top w:val="nil"/>
              <w:left w:val="nil"/>
              <w:bottom w:val="single" w:sz="4" w:space="0" w:color="auto"/>
              <w:right w:val="single" w:sz="4" w:space="0" w:color="auto"/>
            </w:tcBorders>
            <w:vAlign w:val="bottom"/>
            <w:hideMark/>
          </w:tcPr>
          <w:p w14:paraId="4029E6FF"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11.05</w:t>
            </w:r>
          </w:p>
        </w:tc>
        <w:tc>
          <w:tcPr>
            <w:tcW w:w="1530" w:type="dxa"/>
            <w:tcBorders>
              <w:top w:val="nil"/>
              <w:left w:val="nil"/>
              <w:bottom w:val="single" w:sz="4" w:space="0" w:color="auto"/>
              <w:right w:val="single" w:sz="4" w:space="0" w:color="auto"/>
            </w:tcBorders>
            <w:vAlign w:val="bottom"/>
            <w:hideMark/>
          </w:tcPr>
          <w:p w14:paraId="228FA73F"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13.505</w:t>
            </w:r>
          </w:p>
        </w:tc>
        <w:tc>
          <w:tcPr>
            <w:tcW w:w="2070" w:type="dxa"/>
            <w:tcBorders>
              <w:top w:val="nil"/>
              <w:left w:val="nil"/>
              <w:bottom w:val="single" w:sz="4" w:space="0" w:color="auto"/>
              <w:right w:val="single" w:sz="4" w:space="0" w:color="auto"/>
            </w:tcBorders>
            <w:vAlign w:val="bottom"/>
            <w:hideMark/>
          </w:tcPr>
          <w:p w14:paraId="7C0FD0DC"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r w:rsidR="00566E18" w:rsidRPr="006435D7" w14:paraId="02B31A2F" w14:textId="77777777" w:rsidTr="00566E18">
        <w:trPr>
          <w:trHeight w:val="64"/>
        </w:trPr>
        <w:tc>
          <w:tcPr>
            <w:tcW w:w="1576" w:type="dxa"/>
            <w:tcBorders>
              <w:top w:val="nil"/>
              <w:left w:val="single" w:sz="4" w:space="0" w:color="auto"/>
              <w:bottom w:val="single" w:sz="4" w:space="0" w:color="auto"/>
              <w:right w:val="single" w:sz="4" w:space="0" w:color="auto"/>
            </w:tcBorders>
            <w:vAlign w:val="bottom"/>
            <w:hideMark/>
          </w:tcPr>
          <w:p w14:paraId="0F394BDC" w14:textId="77777777" w:rsidR="00566E18" w:rsidRPr="006435D7" w:rsidRDefault="00566E18" w:rsidP="00566E18">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ln(LABOUR)</w:t>
            </w:r>
          </w:p>
        </w:tc>
        <w:tc>
          <w:tcPr>
            <w:tcW w:w="1229" w:type="dxa"/>
            <w:tcBorders>
              <w:top w:val="nil"/>
              <w:left w:val="nil"/>
              <w:bottom w:val="single" w:sz="4" w:space="0" w:color="auto"/>
              <w:right w:val="single" w:sz="4" w:space="0" w:color="auto"/>
            </w:tcBorders>
            <w:vAlign w:val="bottom"/>
            <w:hideMark/>
          </w:tcPr>
          <w:p w14:paraId="241FF437"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9.32</w:t>
            </w:r>
          </w:p>
        </w:tc>
        <w:tc>
          <w:tcPr>
            <w:tcW w:w="1440" w:type="dxa"/>
            <w:tcBorders>
              <w:top w:val="nil"/>
              <w:left w:val="nil"/>
              <w:bottom w:val="single" w:sz="4" w:space="0" w:color="auto"/>
              <w:right w:val="single" w:sz="4" w:space="0" w:color="auto"/>
            </w:tcBorders>
            <w:vAlign w:val="bottom"/>
            <w:hideMark/>
          </w:tcPr>
          <w:p w14:paraId="78E8ABC8"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0.42</w:t>
            </w:r>
          </w:p>
        </w:tc>
        <w:tc>
          <w:tcPr>
            <w:tcW w:w="1980" w:type="dxa"/>
            <w:tcBorders>
              <w:top w:val="nil"/>
              <w:left w:val="nil"/>
              <w:bottom w:val="single" w:sz="4" w:space="0" w:color="auto"/>
              <w:right w:val="single" w:sz="4" w:space="0" w:color="auto"/>
            </w:tcBorders>
            <w:vAlign w:val="bottom"/>
            <w:hideMark/>
          </w:tcPr>
          <w:p w14:paraId="111314A4"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8.7</w:t>
            </w:r>
          </w:p>
        </w:tc>
        <w:tc>
          <w:tcPr>
            <w:tcW w:w="1530" w:type="dxa"/>
            <w:tcBorders>
              <w:top w:val="nil"/>
              <w:left w:val="nil"/>
              <w:bottom w:val="single" w:sz="4" w:space="0" w:color="auto"/>
              <w:right w:val="single" w:sz="4" w:space="0" w:color="auto"/>
            </w:tcBorders>
            <w:vAlign w:val="bottom"/>
            <w:hideMark/>
          </w:tcPr>
          <w:p w14:paraId="240B8A28"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9.85</w:t>
            </w:r>
          </w:p>
        </w:tc>
        <w:tc>
          <w:tcPr>
            <w:tcW w:w="2070" w:type="dxa"/>
            <w:tcBorders>
              <w:top w:val="nil"/>
              <w:left w:val="nil"/>
              <w:bottom w:val="single" w:sz="4" w:space="0" w:color="auto"/>
              <w:right w:val="single" w:sz="4" w:space="0" w:color="auto"/>
            </w:tcBorders>
            <w:vAlign w:val="bottom"/>
            <w:hideMark/>
          </w:tcPr>
          <w:p w14:paraId="69BFEB4F" w14:textId="77777777" w:rsidR="00566E18" w:rsidRPr="006435D7" w:rsidRDefault="00566E18" w:rsidP="00566E18">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w:t>
            </w:r>
          </w:p>
        </w:tc>
      </w:tr>
    </w:tbl>
    <w:p w14:paraId="2C002071" w14:textId="77777777" w:rsidR="00494B57" w:rsidRPr="006435D7" w:rsidRDefault="00494B57" w:rsidP="00E2173C">
      <w:pPr>
        <w:tabs>
          <w:tab w:val="left" w:pos="930"/>
        </w:tabs>
        <w:spacing w:after="0" w:line="360" w:lineRule="auto"/>
        <w:jc w:val="both"/>
        <w:rPr>
          <w:rFonts w:ascii="Arial" w:hAnsi="Arial" w:cs="Arial"/>
          <w:b/>
          <w:sz w:val="20"/>
          <w:szCs w:val="20"/>
        </w:rPr>
      </w:pPr>
      <w:r w:rsidRPr="00055E3B">
        <w:rPr>
          <w:rFonts w:ascii="Arial" w:hAnsi="Arial" w:cs="Arial"/>
          <w:b/>
        </w:rPr>
        <w:t>Source:</w:t>
      </w:r>
      <w:r w:rsidR="005B5874" w:rsidRPr="006435D7">
        <w:rPr>
          <w:rFonts w:ascii="Arial" w:hAnsi="Arial" w:cs="Arial"/>
          <w:sz w:val="20"/>
          <w:szCs w:val="20"/>
        </w:rPr>
        <w:t xml:space="preserve"> World Bank (WDI), Reserve Bank of India, and Ministry of Coal, Government of India.</w:t>
      </w:r>
    </w:p>
    <w:p w14:paraId="1BE95EB4" w14:textId="2AEC2312" w:rsidR="005B5874" w:rsidRPr="006435D7" w:rsidRDefault="00091142" w:rsidP="00A16A15">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5B5874" w:rsidRPr="006435D7">
        <w:rPr>
          <w:rFonts w:ascii="Arial" w:hAnsi="Arial" w:cs="Arial"/>
          <w:sz w:val="20"/>
          <w:szCs w:val="20"/>
        </w:rPr>
        <w:t xml:space="preserve">Table </w:t>
      </w:r>
      <w:r w:rsidR="008969CA">
        <w:rPr>
          <w:rFonts w:ascii="Arial" w:hAnsi="Arial" w:cs="Arial"/>
          <w:sz w:val="20"/>
          <w:szCs w:val="20"/>
        </w:rPr>
        <w:t>2</w:t>
      </w:r>
      <w:r w:rsidR="005B5874" w:rsidRPr="006435D7">
        <w:rPr>
          <w:rFonts w:ascii="Arial" w:hAnsi="Arial" w:cs="Arial"/>
          <w:sz w:val="20"/>
          <w:szCs w:val="20"/>
        </w:rPr>
        <w:t xml:space="preserve"> presents the summary of the main variables used—GDP, coal consumption, capital formation, and labour force—in logarithmic form. The mean and standard deviation values indicate steady economic expansion with manageable volatility across the 46-year period. Real GDP (mean = 13.245) shows consistent growth, while coal consumption (mean = 7.825) reflects gradual energy demand increases. Capital formation and labour also depict positive development trends, supporting economic expansion. The minimum and maximum values capture India’s structural transition from a developing to an emerging economy. Overall, the descriptive analysis ensures that the dataset is suitable for econometric modeling, revealing no extreme fluctuations that could bias estimates. These statistics provide a solid foundation for further empirical testing and support the reliability of the dataset covering 1980–2025.</w:t>
      </w:r>
    </w:p>
    <w:p w14:paraId="62E2ED17" w14:textId="144A6867" w:rsidR="00EA7B80" w:rsidRPr="00055E3B" w:rsidRDefault="00EA7B80" w:rsidP="00E2173C">
      <w:pPr>
        <w:tabs>
          <w:tab w:val="left" w:pos="930"/>
        </w:tabs>
        <w:spacing w:after="0" w:line="360" w:lineRule="auto"/>
        <w:jc w:val="both"/>
        <w:rPr>
          <w:rFonts w:ascii="Arial" w:hAnsi="Arial" w:cs="Arial"/>
          <w:b/>
        </w:rPr>
      </w:pPr>
      <w:r w:rsidRPr="00055E3B">
        <w:rPr>
          <w:rFonts w:ascii="Arial" w:hAnsi="Arial" w:cs="Arial"/>
          <w:b/>
        </w:rPr>
        <w:t xml:space="preserve">Figure </w:t>
      </w:r>
      <w:r w:rsidR="00004E12">
        <w:rPr>
          <w:rFonts w:ascii="Arial" w:hAnsi="Arial" w:cs="Arial"/>
          <w:b/>
        </w:rPr>
        <w:t>2</w:t>
      </w:r>
      <w:r w:rsidRPr="00055E3B">
        <w:rPr>
          <w:rFonts w:ascii="Arial" w:hAnsi="Arial" w:cs="Arial"/>
          <w:b/>
        </w:rPr>
        <w:t>: Bar Chart – Coal Consumption vs. GDP in India (1980–2025).</w:t>
      </w:r>
    </w:p>
    <w:p w14:paraId="36AE730F" w14:textId="77777777" w:rsidR="00EA7B80" w:rsidRPr="006435D7" w:rsidRDefault="00EA7B80" w:rsidP="00E2173C">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0288" behindDoc="0" locked="0" layoutInCell="1" allowOverlap="1" wp14:anchorId="327BE820" wp14:editId="5684E5F8">
            <wp:simplePos x="0" y="0"/>
            <wp:positionH relativeFrom="column">
              <wp:posOffset>-102235</wp:posOffset>
            </wp:positionH>
            <wp:positionV relativeFrom="paragraph">
              <wp:posOffset>75565</wp:posOffset>
            </wp:positionV>
            <wp:extent cx="5881370" cy="2396490"/>
            <wp:effectExtent l="19050" t="0" r="5080" b="0"/>
            <wp:wrapSquare wrapText="bothSides"/>
            <wp:docPr id="51" name="Picture 51" descr="C:\Users\USER\Downloads\Figure_3.1_Bar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Figure_3.1_Bar_Chart.png"/>
                    <pic:cNvPicPr>
                      <a:picLocks noChangeAspect="1" noChangeArrowheads="1"/>
                    </pic:cNvPicPr>
                  </pic:nvPicPr>
                  <pic:blipFill>
                    <a:blip r:embed="rId7"/>
                    <a:srcRect t="7657"/>
                    <a:stretch>
                      <a:fillRect/>
                    </a:stretch>
                  </pic:blipFill>
                  <pic:spPr bwMode="auto">
                    <a:xfrm>
                      <a:off x="0" y="0"/>
                      <a:ext cx="5881370" cy="2396490"/>
                    </a:xfrm>
                    <a:prstGeom prst="rect">
                      <a:avLst/>
                    </a:prstGeom>
                    <a:noFill/>
                    <a:ln w="9525">
                      <a:noFill/>
                      <a:miter lim="800000"/>
                      <a:headEnd/>
                      <a:tailEnd/>
                    </a:ln>
                  </pic:spPr>
                </pic:pic>
              </a:graphicData>
            </a:graphic>
          </wp:anchor>
        </w:drawing>
      </w:r>
    </w:p>
    <w:p w14:paraId="5D80C8E9" w14:textId="77777777" w:rsidR="00EA7B80" w:rsidRPr="006435D7" w:rsidRDefault="00EA7B80" w:rsidP="00E2173C">
      <w:pPr>
        <w:tabs>
          <w:tab w:val="left" w:pos="930"/>
        </w:tabs>
        <w:spacing w:after="0" w:line="360" w:lineRule="auto"/>
        <w:jc w:val="both"/>
        <w:rPr>
          <w:rFonts w:ascii="Arial" w:hAnsi="Arial" w:cs="Arial"/>
          <w:b/>
          <w:sz w:val="20"/>
          <w:szCs w:val="20"/>
        </w:rPr>
      </w:pPr>
    </w:p>
    <w:p w14:paraId="30A870E8" w14:textId="77777777" w:rsidR="00EA7B80" w:rsidRPr="006435D7" w:rsidRDefault="00EA7B80" w:rsidP="00E2173C">
      <w:pPr>
        <w:tabs>
          <w:tab w:val="left" w:pos="930"/>
        </w:tabs>
        <w:spacing w:after="0" w:line="360" w:lineRule="auto"/>
        <w:jc w:val="both"/>
        <w:rPr>
          <w:rFonts w:ascii="Arial" w:hAnsi="Arial" w:cs="Arial"/>
          <w:sz w:val="20"/>
          <w:szCs w:val="20"/>
        </w:rPr>
      </w:pPr>
    </w:p>
    <w:p w14:paraId="49003B17" w14:textId="77777777" w:rsidR="00A16A15" w:rsidRDefault="00A16A15" w:rsidP="00566E18">
      <w:pPr>
        <w:tabs>
          <w:tab w:val="left" w:pos="930"/>
        </w:tabs>
        <w:spacing w:after="0" w:line="240" w:lineRule="auto"/>
        <w:jc w:val="both"/>
        <w:rPr>
          <w:rFonts w:ascii="Arial" w:hAnsi="Arial" w:cs="Arial"/>
          <w:b/>
          <w:sz w:val="20"/>
          <w:szCs w:val="20"/>
        </w:rPr>
      </w:pPr>
    </w:p>
    <w:p w14:paraId="28E7ADC9" w14:textId="3EBAA9FB" w:rsidR="00EF0BEE" w:rsidRPr="00A16A15" w:rsidRDefault="00932C5F" w:rsidP="00566E18">
      <w:pPr>
        <w:tabs>
          <w:tab w:val="left" w:pos="930"/>
        </w:tabs>
        <w:spacing w:after="0" w:line="240" w:lineRule="auto"/>
        <w:jc w:val="both"/>
        <w:rPr>
          <w:rFonts w:ascii="Arial" w:hAnsi="Arial" w:cs="Arial"/>
          <w:b/>
        </w:rPr>
      </w:pPr>
      <w:r w:rsidRPr="00A16A15">
        <w:rPr>
          <w:rFonts w:ascii="Arial" w:hAnsi="Arial" w:cs="Arial"/>
          <w:b/>
        </w:rPr>
        <w:t xml:space="preserve">Table </w:t>
      </w:r>
      <w:r w:rsidR="00B3139C">
        <w:rPr>
          <w:rFonts w:ascii="Arial" w:hAnsi="Arial" w:cs="Arial"/>
          <w:b/>
        </w:rPr>
        <w:t>3</w:t>
      </w:r>
      <w:r w:rsidRPr="00A16A15">
        <w:rPr>
          <w:rFonts w:ascii="Arial" w:hAnsi="Arial" w:cs="Arial"/>
          <w:b/>
        </w:rPr>
        <w:t xml:space="preserve">: </w:t>
      </w:r>
      <w:r w:rsidR="00EF0BEE" w:rsidRPr="00A16A15">
        <w:rPr>
          <w:rFonts w:ascii="Arial" w:hAnsi="Arial" w:cs="Arial"/>
          <w:b/>
        </w:rPr>
        <w:t>Results of Augmented Dickey–Fuller (ADF) Unit Root Test for Stationarity of Time-Series Variables.</w:t>
      </w:r>
    </w:p>
    <w:tbl>
      <w:tblPr>
        <w:tblW w:w="9824" w:type="dxa"/>
        <w:tblInd w:w="94" w:type="dxa"/>
        <w:tblLook w:val="04A0" w:firstRow="1" w:lastRow="0" w:firstColumn="1" w:lastColumn="0" w:noHBand="0" w:noVBand="1"/>
      </w:tblPr>
      <w:tblGrid>
        <w:gridCol w:w="1576"/>
        <w:gridCol w:w="2398"/>
        <w:gridCol w:w="3510"/>
        <w:gridCol w:w="2340"/>
      </w:tblGrid>
      <w:tr w:rsidR="00156EC2" w:rsidRPr="006435D7" w14:paraId="37D8320B" w14:textId="77777777" w:rsidTr="00E14795">
        <w:trPr>
          <w:trHeight w:val="359"/>
        </w:trPr>
        <w:tc>
          <w:tcPr>
            <w:tcW w:w="1576" w:type="dxa"/>
            <w:tcBorders>
              <w:top w:val="single" w:sz="4" w:space="0" w:color="auto"/>
              <w:left w:val="single" w:sz="4" w:space="0" w:color="auto"/>
              <w:bottom w:val="single" w:sz="4" w:space="0" w:color="auto"/>
              <w:right w:val="single" w:sz="4" w:space="0" w:color="auto"/>
            </w:tcBorders>
            <w:vAlign w:val="center"/>
            <w:hideMark/>
          </w:tcPr>
          <w:p w14:paraId="5B02B5FC"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2398" w:type="dxa"/>
            <w:tcBorders>
              <w:top w:val="single" w:sz="4" w:space="0" w:color="auto"/>
              <w:left w:val="nil"/>
              <w:bottom w:val="single" w:sz="4" w:space="0" w:color="auto"/>
              <w:right w:val="single" w:sz="4" w:space="0" w:color="auto"/>
            </w:tcBorders>
            <w:vAlign w:val="center"/>
            <w:hideMark/>
          </w:tcPr>
          <w:p w14:paraId="120C66B5"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Level t-Statistic (p-value)</w:t>
            </w:r>
          </w:p>
        </w:tc>
        <w:tc>
          <w:tcPr>
            <w:tcW w:w="3510" w:type="dxa"/>
            <w:tcBorders>
              <w:top w:val="single" w:sz="4" w:space="0" w:color="auto"/>
              <w:left w:val="nil"/>
              <w:bottom w:val="single" w:sz="4" w:space="0" w:color="auto"/>
              <w:right w:val="single" w:sz="4" w:space="0" w:color="auto"/>
            </w:tcBorders>
            <w:vAlign w:val="center"/>
            <w:hideMark/>
          </w:tcPr>
          <w:p w14:paraId="00CCDF49"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1st Difference t-Statistic (p-value)</w:t>
            </w:r>
          </w:p>
        </w:tc>
        <w:tc>
          <w:tcPr>
            <w:tcW w:w="2340" w:type="dxa"/>
            <w:tcBorders>
              <w:top w:val="single" w:sz="4" w:space="0" w:color="auto"/>
              <w:left w:val="nil"/>
              <w:bottom w:val="single" w:sz="4" w:space="0" w:color="auto"/>
              <w:right w:val="single" w:sz="4" w:space="0" w:color="auto"/>
            </w:tcBorders>
            <w:vAlign w:val="center"/>
            <w:hideMark/>
          </w:tcPr>
          <w:p w14:paraId="4E9EA978"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Integration Order</w:t>
            </w:r>
          </w:p>
        </w:tc>
      </w:tr>
      <w:tr w:rsidR="00156EC2" w:rsidRPr="006435D7" w14:paraId="67D5D77B"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7C049FF1" w14:textId="77777777" w:rsidR="00156EC2" w:rsidRPr="006435D7" w:rsidRDefault="00156EC2" w:rsidP="00156EC2">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ln(GDP)</w:t>
            </w:r>
          </w:p>
        </w:tc>
        <w:tc>
          <w:tcPr>
            <w:tcW w:w="2398" w:type="dxa"/>
            <w:tcBorders>
              <w:top w:val="nil"/>
              <w:left w:val="nil"/>
              <w:bottom w:val="single" w:sz="4" w:space="0" w:color="auto"/>
              <w:right w:val="single" w:sz="4" w:space="0" w:color="auto"/>
            </w:tcBorders>
            <w:vAlign w:val="bottom"/>
            <w:hideMark/>
          </w:tcPr>
          <w:p w14:paraId="5878D97C"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–1.890 (0.650)</w:t>
            </w:r>
          </w:p>
        </w:tc>
        <w:tc>
          <w:tcPr>
            <w:tcW w:w="3510" w:type="dxa"/>
            <w:tcBorders>
              <w:top w:val="nil"/>
              <w:left w:val="nil"/>
              <w:bottom w:val="single" w:sz="4" w:space="0" w:color="auto"/>
              <w:right w:val="single" w:sz="4" w:space="0" w:color="auto"/>
            </w:tcBorders>
            <w:vAlign w:val="bottom"/>
            <w:hideMark/>
          </w:tcPr>
          <w:p w14:paraId="2F3C4A7B"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–5.982 (0.000)</w:t>
            </w:r>
          </w:p>
        </w:tc>
        <w:tc>
          <w:tcPr>
            <w:tcW w:w="2340" w:type="dxa"/>
            <w:tcBorders>
              <w:top w:val="nil"/>
              <w:left w:val="nil"/>
              <w:bottom w:val="single" w:sz="4" w:space="0" w:color="auto"/>
              <w:right w:val="single" w:sz="4" w:space="0" w:color="auto"/>
            </w:tcBorders>
            <w:vAlign w:val="bottom"/>
            <w:hideMark/>
          </w:tcPr>
          <w:p w14:paraId="370221C2"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I(1)</w:t>
            </w:r>
          </w:p>
        </w:tc>
      </w:tr>
      <w:tr w:rsidR="00156EC2" w:rsidRPr="006435D7" w14:paraId="6CBDFD00"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11B878E1" w14:textId="77777777" w:rsidR="00156EC2" w:rsidRPr="006435D7" w:rsidRDefault="00156EC2" w:rsidP="00156EC2">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lastRenderedPageBreak/>
              <w:t>ln(COAL)</w:t>
            </w:r>
          </w:p>
        </w:tc>
        <w:tc>
          <w:tcPr>
            <w:tcW w:w="2398" w:type="dxa"/>
            <w:tcBorders>
              <w:top w:val="nil"/>
              <w:left w:val="nil"/>
              <w:bottom w:val="single" w:sz="4" w:space="0" w:color="auto"/>
              <w:right w:val="single" w:sz="4" w:space="0" w:color="auto"/>
            </w:tcBorders>
            <w:vAlign w:val="bottom"/>
            <w:hideMark/>
          </w:tcPr>
          <w:p w14:paraId="6D02187E"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–2.120 (0.520)</w:t>
            </w:r>
          </w:p>
        </w:tc>
        <w:tc>
          <w:tcPr>
            <w:tcW w:w="3510" w:type="dxa"/>
            <w:tcBorders>
              <w:top w:val="nil"/>
              <w:left w:val="nil"/>
              <w:bottom w:val="single" w:sz="4" w:space="0" w:color="auto"/>
              <w:right w:val="single" w:sz="4" w:space="0" w:color="auto"/>
            </w:tcBorders>
            <w:vAlign w:val="bottom"/>
            <w:hideMark/>
          </w:tcPr>
          <w:p w14:paraId="047281EE"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–6.125 (0.000)</w:t>
            </w:r>
          </w:p>
        </w:tc>
        <w:tc>
          <w:tcPr>
            <w:tcW w:w="2340" w:type="dxa"/>
            <w:tcBorders>
              <w:top w:val="nil"/>
              <w:left w:val="nil"/>
              <w:bottom w:val="single" w:sz="4" w:space="0" w:color="auto"/>
              <w:right w:val="single" w:sz="4" w:space="0" w:color="auto"/>
            </w:tcBorders>
            <w:vAlign w:val="bottom"/>
            <w:hideMark/>
          </w:tcPr>
          <w:p w14:paraId="37EF2728"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I(1)</w:t>
            </w:r>
          </w:p>
        </w:tc>
      </w:tr>
      <w:tr w:rsidR="00156EC2" w:rsidRPr="006435D7" w14:paraId="76A8F11B"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4F9FD02D" w14:textId="77777777" w:rsidR="00156EC2" w:rsidRPr="006435D7" w:rsidRDefault="00156EC2" w:rsidP="00156EC2">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ln(CAPITAL)</w:t>
            </w:r>
          </w:p>
        </w:tc>
        <w:tc>
          <w:tcPr>
            <w:tcW w:w="2398" w:type="dxa"/>
            <w:tcBorders>
              <w:top w:val="nil"/>
              <w:left w:val="nil"/>
              <w:bottom w:val="single" w:sz="4" w:space="0" w:color="auto"/>
              <w:right w:val="single" w:sz="4" w:space="0" w:color="auto"/>
            </w:tcBorders>
            <w:vAlign w:val="bottom"/>
            <w:hideMark/>
          </w:tcPr>
          <w:p w14:paraId="41022CD5"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–1.753 (0.680)</w:t>
            </w:r>
          </w:p>
        </w:tc>
        <w:tc>
          <w:tcPr>
            <w:tcW w:w="3510" w:type="dxa"/>
            <w:tcBorders>
              <w:top w:val="nil"/>
              <w:left w:val="nil"/>
              <w:bottom w:val="single" w:sz="4" w:space="0" w:color="auto"/>
              <w:right w:val="single" w:sz="4" w:space="0" w:color="auto"/>
            </w:tcBorders>
            <w:vAlign w:val="bottom"/>
            <w:hideMark/>
          </w:tcPr>
          <w:p w14:paraId="0B7EC318"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–5.475 (0.000)</w:t>
            </w:r>
          </w:p>
        </w:tc>
        <w:tc>
          <w:tcPr>
            <w:tcW w:w="2340" w:type="dxa"/>
            <w:tcBorders>
              <w:top w:val="nil"/>
              <w:left w:val="nil"/>
              <w:bottom w:val="single" w:sz="4" w:space="0" w:color="auto"/>
              <w:right w:val="single" w:sz="4" w:space="0" w:color="auto"/>
            </w:tcBorders>
            <w:vAlign w:val="bottom"/>
            <w:hideMark/>
          </w:tcPr>
          <w:p w14:paraId="190F2FC9"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I(1)</w:t>
            </w:r>
          </w:p>
        </w:tc>
      </w:tr>
      <w:tr w:rsidR="00156EC2" w:rsidRPr="006435D7" w14:paraId="54CA8247" w14:textId="77777777" w:rsidTr="00E14795">
        <w:trPr>
          <w:trHeight w:val="64"/>
        </w:trPr>
        <w:tc>
          <w:tcPr>
            <w:tcW w:w="1576" w:type="dxa"/>
            <w:tcBorders>
              <w:top w:val="nil"/>
              <w:left w:val="single" w:sz="4" w:space="0" w:color="auto"/>
              <w:bottom w:val="single" w:sz="4" w:space="0" w:color="auto"/>
              <w:right w:val="single" w:sz="4" w:space="0" w:color="auto"/>
            </w:tcBorders>
            <w:vAlign w:val="bottom"/>
            <w:hideMark/>
          </w:tcPr>
          <w:p w14:paraId="4A3696C3" w14:textId="77777777" w:rsidR="00156EC2" w:rsidRPr="006435D7" w:rsidRDefault="00156EC2" w:rsidP="00156EC2">
            <w:pPr>
              <w:spacing w:after="0" w:line="240" w:lineRule="auto"/>
              <w:rPr>
                <w:rFonts w:ascii="Arial" w:eastAsia="Times New Roman" w:hAnsi="Arial" w:cs="Arial"/>
                <w:b/>
                <w:color w:val="000000"/>
                <w:sz w:val="20"/>
                <w:szCs w:val="20"/>
              </w:rPr>
            </w:pPr>
            <w:r w:rsidRPr="006435D7">
              <w:rPr>
                <w:rFonts w:ascii="Arial" w:eastAsia="Times New Roman" w:hAnsi="Arial" w:cs="Arial"/>
                <w:b/>
                <w:color w:val="000000"/>
                <w:sz w:val="20"/>
                <w:szCs w:val="20"/>
              </w:rPr>
              <w:t>ln(LABOUR)</w:t>
            </w:r>
          </w:p>
        </w:tc>
        <w:tc>
          <w:tcPr>
            <w:tcW w:w="2398" w:type="dxa"/>
            <w:tcBorders>
              <w:top w:val="nil"/>
              <w:left w:val="nil"/>
              <w:bottom w:val="single" w:sz="4" w:space="0" w:color="auto"/>
              <w:right w:val="single" w:sz="4" w:space="0" w:color="auto"/>
            </w:tcBorders>
            <w:vAlign w:val="bottom"/>
            <w:hideMark/>
          </w:tcPr>
          <w:p w14:paraId="2B429DB8"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–1.890 (0.590)</w:t>
            </w:r>
          </w:p>
        </w:tc>
        <w:tc>
          <w:tcPr>
            <w:tcW w:w="3510" w:type="dxa"/>
            <w:tcBorders>
              <w:top w:val="nil"/>
              <w:left w:val="nil"/>
              <w:bottom w:val="single" w:sz="4" w:space="0" w:color="auto"/>
              <w:right w:val="single" w:sz="4" w:space="0" w:color="auto"/>
            </w:tcBorders>
            <w:vAlign w:val="bottom"/>
            <w:hideMark/>
          </w:tcPr>
          <w:p w14:paraId="35A95E62"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–4.985 (0.001)</w:t>
            </w:r>
          </w:p>
        </w:tc>
        <w:tc>
          <w:tcPr>
            <w:tcW w:w="2340" w:type="dxa"/>
            <w:tcBorders>
              <w:top w:val="nil"/>
              <w:left w:val="nil"/>
              <w:bottom w:val="single" w:sz="4" w:space="0" w:color="auto"/>
              <w:right w:val="single" w:sz="4" w:space="0" w:color="auto"/>
            </w:tcBorders>
            <w:vAlign w:val="bottom"/>
            <w:hideMark/>
          </w:tcPr>
          <w:p w14:paraId="3D969478" w14:textId="77777777" w:rsidR="00156EC2" w:rsidRPr="006435D7" w:rsidRDefault="00156EC2" w:rsidP="00E14795">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I(1)</w:t>
            </w:r>
          </w:p>
        </w:tc>
      </w:tr>
    </w:tbl>
    <w:p w14:paraId="77F4D0F4" w14:textId="77777777" w:rsidR="00156EC2" w:rsidRPr="006435D7" w:rsidRDefault="00156EC2" w:rsidP="00A16A15">
      <w:pPr>
        <w:tabs>
          <w:tab w:val="left" w:pos="930"/>
        </w:tabs>
        <w:spacing w:after="0" w:line="480" w:lineRule="auto"/>
        <w:jc w:val="both"/>
        <w:rPr>
          <w:rFonts w:ascii="Arial" w:hAnsi="Arial" w:cs="Arial"/>
          <w:b/>
          <w:sz w:val="20"/>
          <w:szCs w:val="20"/>
        </w:rPr>
      </w:pPr>
      <w:r w:rsidRPr="00A16A15">
        <w:rPr>
          <w:rFonts w:ascii="Arial" w:hAnsi="Arial" w:cs="Arial"/>
          <w:b/>
        </w:rPr>
        <w:t>Source:</w:t>
      </w:r>
      <w:r w:rsidR="005B5874" w:rsidRPr="006435D7">
        <w:rPr>
          <w:rFonts w:ascii="Arial" w:hAnsi="Arial" w:cs="Arial"/>
          <w:b/>
          <w:sz w:val="20"/>
          <w:szCs w:val="20"/>
        </w:rPr>
        <w:t xml:space="preserve"> </w:t>
      </w:r>
      <w:r w:rsidR="005B5874" w:rsidRPr="006435D7">
        <w:rPr>
          <w:rFonts w:ascii="Arial" w:hAnsi="Arial" w:cs="Arial"/>
          <w:sz w:val="20"/>
          <w:szCs w:val="20"/>
        </w:rPr>
        <w:t>Author’s computation using EViews 12, based on data from the World Bank (WDI), OECD, and Ministry of Coal (1980–2025).</w:t>
      </w:r>
    </w:p>
    <w:p w14:paraId="060127D1" w14:textId="43294D36" w:rsidR="005B5874" w:rsidRPr="006435D7" w:rsidRDefault="008C0AF1" w:rsidP="00A16A15">
      <w:pPr>
        <w:tabs>
          <w:tab w:val="left" w:pos="930"/>
        </w:tabs>
        <w:spacing w:after="0" w:line="480" w:lineRule="auto"/>
        <w:jc w:val="both"/>
        <w:rPr>
          <w:rFonts w:ascii="Arial" w:hAnsi="Arial" w:cs="Arial"/>
          <w:b/>
          <w:sz w:val="20"/>
          <w:szCs w:val="20"/>
        </w:rPr>
      </w:pPr>
      <w:r w:rsidRPr="006435D7">
        <w:rPr>
          <w:rFonts w:ascii="Arial" w:hAnsi="Arial" w:cs="Arial"/>
          <w:sz w:val="20"/>
          <w:szCs w:val="20"/>
        </w:rPr>
        <w:tab/>
      </w:r>
      <w:r w:rsidR="005B5874" w:rsidRPr="006435D7">
        <w:rPr>
          <w:rFonts w:ascii="Arial" w:hAnsi="Arial" w:cs="Arial"/>
          <w:sz w:val="20"/>
          <w:szCs w:val="20"/>
        </w:rPr>
        <w:t xml:space="preserve">Table </w:t>
      </w:r>
      <w:r w:rsidR="00160F6E">
        <w:rPr>
          <w:rFonts w:ascii="Arial" w:hAnsi="Arial" w:cs="Arial"/>
          <w:sz w:val="20"/>
          <w:szCs w:val="20"/>
        </w:rPr>
        <w:t>3</w:t>
      </w:r>
      <w:r w:rsidR="005B5874" w:rsidRPr="006435D7">
        <w:rPr>
          <w:rFonts w:ascii="Arial" w:hAnsi="Arial" w:cs="Arial"/>
          <w:sz w:val="20"/>
          <w:szCs w:val="20"/>
        </w:rPr>
        <w:t xml:space="preserve"> shows the results of the Augmented Dickey–Fuller (ADF) test, which examines whether the series are stationary. The results confirm that all variables—ln(GDP), ln(COAL), ln(CAPITAL), and ln(LABOUR)—are non-stationary at level but become stationary after first differencing, implying that each is integrated of order one, I(1). This is essential because non-stationary data can produce misleading regression outcomes. Once differenced, the p-values fall below 0.05, confirming significance at the 1% and 5% levels. Establishing stationarity ensures the validity of subsequent analyses, including cointegration and causality tests. Hence, the ADF results justify proceeding with long-run equilibrium analysis using Johansen and ARDL methodologies, which require variables of the same integration order.</w:t>
      </w:r>
    </w:p>
    <w:p w14:paraId="7561241C" w14:textId="6C57F9D6" w:rsidR="00156EC2" w:rsidRPr="00E14106" w:rsidRDefault="00932C5F" w:rsidP="00387669">
      <w:pPr>
        <w:tabs>
          <w:tab w:val="left" w:pos="930"/>
        </w:tabs>
        <w:spacing w:after="0" w:line="240" w:lineRule="auto"/>
        <w:jc w:val="both"/>
        <w:rPr>
          <w:rFonts w:ascii="Arial" w:hAnsi="Arial" w:cs="Arial"/>
          <w:b/>
        </w:rPr>
      </w:pPr>
      <w:r w:rsidRPr="00E14106">
        <w:rPr>
          <w:rFonts w:ascii="Arial" w:hAnsi="Arial" w:cs="Arial"/>
          <w:b/>
        </w:rPr>
        <w:t xml:space="preserve">Table </w:t>
      </w:r>
      <w:r w:rsidR="008962E1">
        <w:rPr>
          <w:rFonts w:ascii="Arial" w:hAnsi="Arial" w:cs="Arial"/>
          <w:b/>
        </w:rPr>
        <w:t>4</w:t>
      </w:r>
      <w:r w:rsidRPr="00E14106">
        <w:rPr>
          <w:rFonts w:ascii="Arial" w:hAnsi="Arial" w:cs="Arial"/>
          <w:b/>
        </w:rPr>
        <w:t xml:space="preserve">: </w:t>
      </w:r>
      <w:r w:rsidR="007C7755" w:rsidRPr="00E14106">
        <w:rPr>
          <w:rFonts w:ascii="Arial" w:hAnsi="Arial" w:cs="Arial"/>
          <w:b/>
        </w:rPr>
        <w:t>Zivot–Andrews Structural Break Test Results for Major Economic Shocks in the Time Series (1980–2025).</w:t>
      </w:r>
    </w:p>
    <w:tbl>
      <w:tblPr>
        <w:tblW w:w="9825" w:type="dxa"/>
        <w:tblInd w:w="93" w:type="dxa"/>
        <w:tblLook w:val="04A0" w:firstRow="1" w:lastRow="0" w:firstColumn="1" w:lastColumn="0" w:noHBand="0" w:noVBand="1"/>
      </w:tblPr>
      <w:tblGrid>
        <w:gridCol w:w="1576"/>
        <w:gridCol w:w="1589"/>
        <w:gridCol w:w="1530"/>
        <w:gridCol w:w="2520"/>
        <w:gridCol w:w="2610"/>
      </w:tblGrid>
      <w:tr w:rsidR="00156EC2" w:rsidRPr="006435D7" w14:paraId="071E07B7" w14:textId="77777777" w:rsidTr="00387669">
        <w:trPr>
          <w:trHeight w:val="197"/>
        </w:trPr>
        <w:tc>
          <w:tcPr>
            <w:tcW w:w="1576" w:type="dxa"/>
            <w:tcBorders>
              <w:top w:val="single" w:sz="4" w:space="0" w:color="auto"/>
              <w:left w:val="single" w:sz="4" w:space="0" w:color="auto"/>
              <w:bottom w:val="single" w:sz="4" w:space="0" w:color="auto"/>
              <w:right w:val="single" w:sz="4" w:space="0" w:color="auto"/>
            </w:tcBorders>
            <w:vAlign w:val="center"/>
            <w:hideMark/>
          </w:tcPr>
          <w:p w14:paraId="2AB3464D"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589" w:type="dxa"/>
            <w:tcBorders>
              <w:top w:val="single" w:sz="4" w:space="0" w:color="auto"/>
              <w:left w:val="nil"/>
              <w:bottom w:val="single" w:sz="4" w:space="0" w:color="auto"/>
              <w:right w:val="single" w:sz="4" w:space="0" w:color="auto"/>
            </w:tcBorders>
            <w:vAlign w:val="center"/>
            <w:hideMark/>
          </w:tcPr>
          <w:p w14:paraId="3A9CC2D4"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Statistic</w:t>
            </w:r>
          </w:p>
        </w:tc>
        <w:tc>
          <w:tcPr>
            <w:tcW w:w="1530" w:type="dxa"/>
            <w:tcBorders>
              <w:top w:val="single" w:sz="4" w:space="0" w:color="auto"/>
              <w:left w:val="nil"/>
              <w:bottom w:val="single" w:sz="4" w:space="0" w:color="auto"/>
              <w:right w:val="single" w:sz="4" w:space="0" w:color="auto"/>
            </w:tcBorders>
            <w:vAlign w:val="center"/>
            <w:hideMark/>
          </w:tcPr>
          <w:p w14:paraId="2AEB041A"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Break Year</w:t>
            </w:r>
          </w:p>
        </w:tc>
        <w:tc>
          <w:tcPr>
            <w:tcW w:w="2520" w:type="dxa"/>
            <w:tcBorders>
              <w:top w:val="single" w:sz="4" w:space="0" w:color="auto"/>
              <w:left w:val="nil"/>
              <w:bottom w:val="single" w:sz="4" w:space="0" w:color="auto"/>
              <w:right w:val="single" w:sz="4" w:space="0" w:color="auto"/>
            </w:tcBorders>
            <w:vAlign w:val="center"/>
            <w:hideMark/>
          </w:tcPr>
          <w:p w14:paraId="15091F0F"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1% Critical Value</w:t>
            </w:r>
          </w:p>
        </w:tc>
        <w:tc>
          <w:tcPr>
            <w:tcW w:w="2610" w:type="dxa"/>
            <w:tcBorders>
              <w:top w:val="single" w:sz="4" w:space="0" w:color="auto"/>
              <w:left w:val="nil"/>
              <w:bottom w:val="single" w:sz="4" w:space="0" w:color="auto"/>
              <w:right w:val="single" w:sz="4" w:space="0" w:color="auto"/>
            </w:tcBorders>
            <w:vAlign w:val="center"/>
            <w:hideMark/>
          </w:tcPr>
          <w:p w14:paraId="19F92C1D" w14:textId="77777777" w:rsidR="00156EC2" w:rsidRPr="006435D7" w:rsidRDefault="00156EC2" w:rsidP="00156EC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Conclusion</w:t>
            </w:r>
          </w:p>
        </w:tc>
      </w:tr>
      <w:tr w:rsidR="00156EC2" w:rsidRPr="006435D7" w14:paraId="65803FEB" w14:textId="77777777" w:rsidTr="00387669">
        <w:trPr>
          <w:trHeight w:val="98"/>
        </w:trPr>
        <w:tc>
          <w:tcPr>
            <w:tcW w:w="1576" w:type="dxa"/>
            <w:tcBorders>
              <w:top w:val="nil"/>
              <w:left w:val="single" w:sz="4" w:space="0" w:color="auto"/>
              <w:bottom w:val="single" w:sz="4" w:space="0" w:color="auto"/>
              <w:right w:val="single" w:sz="4" w:space="0" w:color="auto"/>
            </w:tcBorders>
            <w:vAlign w:val="bottom"/>
            <w:hideMark/>
          </w:tcPr>
          <w:p w14:paraId="261AAD48" w14:textId="77777777" w:rsidR="00156EC2" w:rsidRPr="006435D7" w:rsidRDefault="00156EC2" w:rsidP="00387669">
            <w:pPr>
              <w:spacing w:after="0" w:line="240" w:lineRule="auto"/>
              <w:jc w:val="center"/>
              <w:rPr>
                <w:rFonts w:ascii="Arial" w:eastAsia="Times New Roman" w:hAnsi="Arial" w:cs="Arial"/>
                <w:b/>
                <w:color w:val="000000"/>
                <w:sz w:val="20"/>
                <w:szCs w:val="20"/>
              </w:rPr>
            </w:pPr>
            <w:r w:rsidRPr="006435D7">
              <w:rPr>
                <w:rFonts w:ascii="Arial" w:eastAsia="Times New Roman" w:hAnsi="Arial" w:cs="Arial"/>
                <w:b/>
                <w:color w:val="000000"/>
                <w:sz w:val="20"/>
                <w:szCs w:val="20"/>
              </w:rPr>
              <w:t>ln(GDP)</w:t>
            </w:r>
          </w:p>
        </w:tc>
        <w:tc>
          <w:tcPr>
            <w:tcW w:w="1589" w:type="dxa"/>
            <w:tcBorders>
              <w:top w:val="nil"/>
              <w:left w:val="nil"/>
              <w:bottom w:val="single" w:sz="4" w:space="0" w:color="auto"/>
              <w:right w:val="single" w:sz="4" w:space="0" w:color="auto"/>
            </w:tcBorders>
            <w:vAlign w:val="bottom"/>
            <w:hideMark/>
          </w:tcPr>
          <w:p w14:paraId="687666AA"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–5.735</w:t>
            </w:r>
          </w:p>
        </w:tc>
        <w:tc>
          <w:tcPr>
            <w:tcW w:w="1530" w:type="dxa"/>
            <w:tcBorders>
              <w:top w:val="nil"/>
              <w:left w:val="nil"/>
              <w:bottom w:val="single" w:sz="4" w:space="0" w:color="auto"/>
              <w:right w:val="single" w:sz="4" w:space="0" w:color="auto"/>
            </w:tcBorders>
            <w:vAlign w:val="bottom"/>
            <w:hideMark/>
          </w:tcPr>
          <w:p w14:paraId="214D7ADA"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1991</w:t>
            </w:r>
          </w:p>
        </w:tc>
        <w:tc>
          <w:tcPr>
            <w:tcW w:w="2520" w:type="dxa"/>
            <w:tcBorders>
              <w:top w:val="nil"/>
              <w:left w:val="nil"/>
              <w:bottom w:val="single" w:sz="4" w:space="0" w:color="auto"/>
              <w:right w:val="single" w:sz="4" w:space="0" w:color="auto"/>
            </w:tcBorders>
            <w:vAlign w:val="bottom"/>
            <w:hideMark/>
          </w:tcPr>
          <w:p w14:paraId="346EB0AC"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157C8829"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0FF778E5" w14:textId="77777777" w:rsidTr="00387669">
        <w:trPr>
          <w:trHeight w:val="152"/>
        </w:trPr>
        <w:tc>
          <w:tcPr>
            <w:tcW w:w="1576" w:type="dxa"/>
            <w:tcBorders>
              <w:top w:val="nil"/>
              <w:left w:val="single" w:sz="4" w:space="0" w:color="auto"/>
              <w:bottom w:val="single" w:sz="4" w:space="0" w:color="auto"/>
              <w:right w:val="single" w:sz="4" w:space="0" w:color="auto"/>
            </w:tcBorders>
            <w:vAlign w:val="bottom"/>
            <w:hideMark/>
          </w:tcPr>
          <w:p w14:paraId="04210EF7" w14:textId="77777777" w:rsidR="00156EC2" w:rsidRPr="006435D7" w:rsidRDefault="00156EC2" w:rsidP="00387669">
            <w:pPr>
              <w:spacing w:after="0" w:line="240" w:lineRule="auto"/>
              <w:jc w:val="center"/>
              <w:rPr>
                <w:rFonts w:ascii="Arial" w:eastAsia="Times New Roman" w:hAnsi="Arial" w:cs="Arial"/>
                <w:b/>
                <w:color w:val="000000"/>
                <w:sz w:val="20"/>
                <w:szCs w:val="20"/>
              </w:rPr>
            </w:pPr>
            <w:r w:rsidRPr="006435D7">
              <w:rPr>
                <w:rFonts w:ascii="Arial" w:eastAsia="Times New Roman" w:hAnsi="Arial" w:cs="Arial"/>
                <w:b/>
                <w:color w:val="000000"/>
                <w:sz w:val="20"/>
                <w:szCs w:val="20"/>
              </w:rPr>
              <w:t>ln(COAL)</w:t>
            </w:r>
          </w:p>
        </w:tc>
        <w:tc>
          <w:tcPr>
            <w:tcW w:w="1589" w:type="dxa"/>
            <w:tcBorders>
              <w:top w:val="nil"/>
              <w:left w:val="nil"/>
              <w:bottom w:val="single" w:sz="4" w:space="0" w:color="auto"/>
              <w:right w:val="single" w:sz="4" w:space="0" w:color="auto"/>
            </w:tcBorders>
            <w:vAlign w:val="bottom"/>
            <w:hideMark/>
          </w:tcPr>
          <w:p w14:paraId="0347BF20"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–6.024</w:t>
            </w:r>
          </w:p>
        </w:tc>
        <w:tc>
          <w:tcPr>
            <w:tcW w:w="1530" w:type="dxa"/>
            <w:tcBorders>
              <w:top w:val="nil"/>
              <w:left w:val="nil"/>
              <w:bottom w:val="single" w:sz="4" w:space="0" w:color="auto"/>
              <w:right w:val="single" w:sz="4" w:space="0" w:color="auto"/>
            </w:tcBorders>
            <w:vAlign w:val="bottom"/>
            <w:hideMark/>
          </w:tcPr>
          <w:p w14:paraId="727BD43C"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2000</w:t>
            </w:r>
          </w:p>
        </w:tc>
        <w:tc>
          <w:tcPr>
            <w:tcW w:w="2520" w:type="dxa"/>
            <w:tcBorders>
              <w:top w:val="nil"/>
              <w:left w:val="nil"/>
              <w:bottom w:val="single" w:sz="4" w:space="0" w:color="auto"/>
              <w:right w:val="single" w:sz="4" w:space="0" w:color="auto"/>
            </w:tcBorders>
            <w:vAlign w:val="bottom"/>
            <w:hideMark/>
          </w:tcPr>
          <w:p w14:paraId="138A090C"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3189D685"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516EC6D0" w14:textId="77777777" w:rsidTr="00387669">
        <w:trPr>
          <w:trHeight w:val="134"/>
        </w:trPr>
        <w:tc>
          <w:tcPr>
            <w:tcW w:w="1576" w:type="dxa"/>
            <w:tcBorders>
              <w:top w:val="nil"/>
              <w:left w:val="single" w:sz="4" w:space="0" w:color="auto"/>
              <w:bottom w:val="single" w:sz="4" w:space="0" w:color="auto"/>
              <w:right w:val="single" w:sz="4" w:space="0" w:color="auto"/>
            </w:tcBorders>
            <w:vAlign w:val="bottom"/>
            <w:hideMark/>
          </w:tcPr>
          <w:p w14:paraId="23E5B519" w14:textId="77777777" w:rsidR="00156EC2" w:rsidRPr="006435D7" w:rsidRDefault="00156EC2" w:rsidP="00387669">
            <w:pPr>
              <w:spacing w:after="0" w:line="240" w:lineRule="auto"/>
              <w:jc w:val="center"/>
              <w:rPr>
                <w:rFonts w:ascii="Arial" w:eastAsia="Times New Roman" w:hAnsi="Arial" w:cs="Arial"/>
                <w:b/>
                <w:color w:val="000000"/>
                <w:sz w:val="20"/>
                <w:szCs w:val="20"/>
              </w:rPr>
            </w:pPr>
            <w:r w:rsidRPr="006435D7">
              <w:rPr>
                <w:rFonts w:ascii="Arial" w:eastAsia="Times New Roman" w:hAnsi="Arial" w:cs="Arial"/>
                <w:b/>
                <w:color w:val="000000"/>
                <w:sz w:val="20"/>
                <w:szCs w:val="20"/>
              </w:rPr>
              <w:t>ln(CAPITAL)</w:t>
            </w:r>
          </w:p>
        </w:tc>
        <w:tc>
          <w:tcPr>
            <w:tcW w:w="1589" w:type="dxa"/>
            <w:tcBorders>
              <w:top w:val="nil"/>
              <w:left w:val="nil"/>
              <w:bottom w:val="single" w:sz="4" w:space="0" w:color="auto"/>
              <w:right w:val="single" w:sz="4" w:space="0" w:color="auto"/>
            </w:tcBorders>
            <w:vAlign w:val="bottom"/>
            <w:hideMark/>
          </w:tcPr>
          <w:p w14:paraId="3E6133A2"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–5.462</w:t>
            </w:r>
          </w:p>
        </w:tc>
        <w:tc>
          <w:tcPr>
            <w:tcW w:w="1530" w:type="dxa"/>
            <w:tcBorders>
              <w:top w:val="nil"/>
              <w:left w:val="nil"/>
              <w:bottom w:val="single" w:sz="4" w:space="0" w:color="auto"/>
              <w:right w:val="single" w:sz="4" w:space="0" w:color="auto"/>
            </w:tcBorders>
            <w:vAlign w:val="bottom"/>
            <w:hideMark/>
          </w:tcPr>
          <w:p w14:paraId="3206A67E"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2005</w:t>
            </w:r>
          </w:p>
        </w:tc>
        <w:tc>
          <w:tcPr>
            <w:tcW w:w="2520" w:type="dxa"/>
            <w:tcBorders>
              <w:top w:val="nil"/>
              <w:left w:val="nil"/>
              <w:bottom w:val="single" w:sz="4" w:space="0" w:color="auto"/>
              <w:right w:val="single" w:sz="4" w:space="0" w:color="auto"/>
            </w:tcBorders>
            <w:vAlign w:val="bottom"/>
            <w:hideMark/>
          </w:tcPr>
          <w:p w14:paraId="442E050B"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34844599"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Stationary with break</w:t>
            </w:r>
          </w:p>
        </w:tc>
      </w:tr>
      <w:tr w:rsidR="00156EC2" w:rsidRPr="006435D7" w14:paraId="21D6D043" w14:textId="77777777" w:rsidTr="00387669">
        <w:trPr>
          <w:trHeight w:val="64"/>
        </w:trPr>
        <w:tc>
          <w:tcPr>
            <w:tcW w:w="1576" w:type="dxa"/>
            <w:tcBorders>
              <w:top w:val="nil"/>
              <w:left w:val="single" w:sz="4" w:space="0" w:color="auto"/>
              <w:bottom w:val="single" w:sz="4" w:space="0" w:color="auto"/>
              <w:right w:val="single" w:sz="4" w:space="0" w:color="auto"/>
            </w:tcBorders>
            <w:vAlign w:val="bottom"/>
            <w:hideMark/>
          </w:tcPr>
          <w:p w14:paraId="21CDF74D" w14:textId="77777777" w:rsidR="00156EC2" w:rsidRPr="006435D7" w:rsidRDefault="00156EC2" w:rsidP="00387669">
            <w:pPr>
              <w:spacing w:after="0" w:line="240" w:lineRule="auto"/>
              <w:jc w:val="center"/>
              <w:rPr>
                <w:rFonts w:ascii="Arial" w:eastAsia="Times New Roman" w:hAnsi="Arial" w:cs="Arial"/>
                <w:b/>
                <w:color w:val="000000"/>
                <w:sz w:val="20"/>
                <w:szCs w:val="20"/>
              </w:rPr>
            </w:pPr>
            <w:r w:rsidRPr="006435D7">
              <w:rPr>
                <w:rFonts w:ascii="Arial" w:eastAsia="Times New Roman" w:hAnsi="Arial" w:cs="Arial"/>
                <w:b/>
                <w:color w:val="000000"/>
                <w:sz w:val="20"/>
                <w:szCs w:val="20"/>
              </w:rPr>
              <w:t>ln(LABOUR)</w:t>
            </w:r>
          </w:p>
        </w:tc>
        <w:tc>
          <w:tcPr>
            <w:tcW w:w="1589" w:type="dxa"/>
            <w:tcBorders>
              <w:top w:val="nil"/>
              <w:left w:val="nil"/>
              <w:bottom w:val="single" w:sz="4" w:space="0" w:color="auto"/>
              <w:right w:val="single" w:sz="4" w:space="0" w:color="auto"/>
            </w:tcBorders>
            <w:vAlign w:val="bottom"/>
            <w:hideMark/>
          </w:tcPr>
          <w:p w14:paraId="7595015D"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–4.955</w:t>
            </w:r>
          </w:p>
        </w:tc>
        <w:tc>
          <w:tcPr>
            <w:tcW w:w="1530" w:type="dxa"/>
            <w:tcBorders>
              <w:top w:val="nil"/>
              <w:left w:val="nil"/>
              <w:bottom w:val="single" w:sz="4" w:space="0" w:color="auto"/>
              <w:right w:val="single" w:sz="4" w:space="0" w:color="auto"/>
            </w:tcBorders>
            <w:vAlign w:val="bottom"/>
            <w:hideMark/>
          </w:tcPr>
          <w:p w14:paraId="7062360F"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1998</w:t>
            </w:r>
          </w:p>
        </w:tc>
        <w:tc>
          <w:tcPr>
            <w:tcW w:w="2520" w:type="dxa"/>
            <w:tcBorders>
              <w:top w:val="nil"/>
              <w:left w:val="nil"/>
              <w:bottom w:val="single" w:sz="4" w:space="0" w:color="auto"/>
              <w:right w:val="single" w:sz="4" w:space="0" w:color="auto"/>
            </w:tcBorders>
            <w:vAlign w:val="bottom"/>
            <w:hideMark/>
          </w:tcPr>
          <w:p w14:paraId="02C0BF3C"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–5.57</w:t>
            </w:r>
          </w:p>
        </w:tc>
        <w:tc>
          <w:tcPr>
            <w:tcW w:w="2610" w:type="dxa"/>
            <w:tcBorders>
              <w:top w:val="nil"/>
              <w:left w:val="nil"/>
              <w:bottom w:val="single" w:sz="4" w:space="0" w:color="auto"/>
              <w:right w:val="single" w:sz="4" w:space="0" w:color="auto"/>
            </w:tcBorders>
            <w:vAlign w:val="bottom"/>
            <w:hideMark/>
          </w:tcPr>
          <w:p w14:paraId="377515EC" w14:textId="77777777" w:rsidR="00156EC2" w:rsidRPr="006435D7" w:rsidRDefault="00156EC2" w:rsidP="00387669">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Non-stationary</w:t>
            </w:r>
          </w:p>
        </w:tc>
      </w:tr>
    </w:tbl>
    <w:p w14:paraId="4900566F" w14:textId="77777777" w:rsidR="00156EC2" w:rsidRPr="006435D7" w:rsidRDefault="00156EC2" w:rsidP="00E14106">
      <w:pPr>
        <w:tabs>
          <w:tab w:val="left" w:pos="930"/>
        </w:tabs>
        <w:spacing w:after="0" w:line="480" w:lineRule="auto"/>
        <w:jc w:val="both"/>
        <w:rPr>
          <w:rFonts w:ascii="Arial" w:hAnsi="Arial" w:cs="Arial"/>
          <w:sz w:val="20"/>
          <w:szCs w:val="20"/>
        </w:rPr>
      </w:pPr>
      <w:r w:rsidRPr="00E14106">
        <w:rPr>
          <w:rFonts w:ascii="Arial" w:hAnsi="Arial" w:cs="Arial"/>
          <w:b/>
        </w:rPr>
        <w:t>Source:</w:t>
      </w:r>
      <w:r w:rsidR="00EE08A9" w:rsidRPr="006435D7">
        <w:rPr>
          <w:rFonts w:ascii="Arial" w:hAnsi="Arial" w:cs="Arial"/>
          <w:sz w:val="20"/>
          <w:szCs w:val="20"/>
        </w:rPr>
        <w:t xml:space="preserve"> Author’s computation using Zivot–Andrews test (EViews 12), based on data from RBI, Ministry of Coal, and World Bank (1980–2025).</w:t>
      </w:r>
    </w:p>
    <w:p w14:paraId="2D00ADBA" w14:textId="1BC9F927" w:rsidR="00EE08A9" w:rsidRPr="006435D7" w:rsidRDefault="008C0AF1" w:rsidP="00E14106">
      <w:pPr>
        <w:tabs>
          <w:tab w:val="left" w:pos="930"/>
        </w:tabs>
        <w:spacing w:after="0" w:line="480" w:lineRule="auto"/>
        <w:jc w:val="both"/>
        <w:rPr>
          <w:rFonts w:ascii="Arial" w:hAnsi="Arial" w:cs="Arial"/>
          <w:b/>
          <w:sz w:val="20"/>
          <w:szCs w:val="20"/>
        </w:rPr>
      </w:pPr>
      <w:r w:rsidRPr="006435D7">
        <w:rPr>
          <w:rFonts w:ascii="Arial" w:hAnsi="Arial" w:cs="Arial"/>
          <w:sz w:val="20"/>
          <w:szCs w:val="20"/>
        </w:rPr>
        <w:tab/>
      </w:r>
      <w:r w:rsidR="00EE08A9" w:rsidRPr="006435D7">
        <w:rPr>
          <w:rFonts w:ascii="Arial" w:hAnsi="Arial" w:cs="Arial"/>
          <w:sz w:val="20"/>
          <w:szCs w:val="20"/>
        </w:rPr>
        <w:t xml:space="preserve">Table </w:t>
      </w:r>
      <w:r w:rsidR="00DA6295">
        <w:rPr>
          <w:rFonts w:ascii="Arial" w:hAnsi="Arial" w:cs="Arial"/>
          <w:sz w:val="20"/>
          <w:szCs w:val="20"/>
        </w:rPr>
        <w:t>4</w:t>
      </w:r>
      <w:r w:rsidR="00EE08A9" w:rsidRPr="006435D7">
        <w:rPr>
          <w:rFonts w:ascii="Arial" w:hAnsi="Arial" w:cs="Arial"/>
          <w:sz w:val="20"/>
          <w:szCs w:val="20"/>
        </w:rPr>
        <w:t xml:space="preserve"> reports the Zivot–Andrews test results, identifying possible structural breaks caused by policy shifts or economic shocks. The test reveals breaks in GDP (1991), coal consumption (2000), and capital formation (2005), while labour exhibits gradual change without a distinct break. These years correspond to critical economic events, such as India’s 1991 economic liberalization and subsequent energy sector reforms. The results indicate that GDP, coal, and capital variables are stationary with structural breaks at the 1% level, confirming their sensitivity to policy-driven transformations. Accounting for these breaks strengthens the robustness of econometric modeling by reducing bias caused by regime changes. Recognizing these transition points is crucial for interpreting long-term energy–growth dynamics in India’s rapidly evolving economic landscape.</w:t>
      </w:r>
    </w:p>
    <w:p w14:paraId="0E158467" w14:textId="7393DE89" w:rsidR="00156EC2" w:rsidRPr="00E14106" w:rsidRDefault="00932C5F" w:rsidP="00CC5B04">
      <w:pPr>
        <w:tabs>
          <w:tab w:val="left" w:pos="930"/>
        </w:tabs>
        <w:spacing w:after="0" w:line="240" w:lineRule="auto"/>
        <w:jc w:val="both"/>
        <w:rPr>
          <w:rFonts w:ascii="Arial" w:hAnsi="Arial" w:cs="Arial"/>
          <w:b/>
        </w:rPr>
      </w:pPr>
      <w:r w:rsidRPr="00E14106">
        <w:rPr>
          <w:rFonts w:ascii="Arial" w:hAnsi="Arial" w:cs="Arial"/>
          <w:b/>
        </w:rPr>
        <w:lastRenderedPageBreak/>
        <w:t xml:space="preserve">Table </w:t>
      </w:r>
      <w:r w:rsidR="00001EB2">
        <w:rPr>
          <w:rFonts w:ascii="Arial" w:hAnsi="Arial" w:cs="Arial"/>
          <w:b/>
        </w:rPr>
        <w:t>5</w:t>
      </w:r>
      <w:r w:rsidRPr="00E14106">
        <w:rPr>
          <w:rFonts w:ascii="Arial" w:hAnsi="Arial" w:cs="Arial"/>
          <w:b/>
        </w:rPr>
        <w:t xml:space="preserve">: </w:t>
      </w:r>
      <w:r w:rsidR="004536BE" w:rsidRPr="00E14106">
        <w:rPr>
          <w:rFonts w:ascii="Arial" w:hAnsi="Arial" w:cs="Arial"/>
          <w:b/>
        </w:rPr>
        <w:t>Johansen Cointegration Test Results Showing Long-Run Equilibrium Relationships Among Variables.</w:t>
      </w:r>
    </w:p>
    <w:tbl>
      <w:tblPr>
        <w:tblW w:w="9825" w:type="dxa"/>
        <w:tblInd w:w="93" w:type="dxa"/>
        <w:tblLook w:val="04A0" w:firstRow="1" w:lastRow="0" w:firstColumn="1" w:lastColumn="0" w:noHBand="0" w:noVBand="1"/>
      </w:tblPr>
      <w:tblGrid>
        <w:gridCol w:w="1350"/>
        <w:gridCol w:w="1043"/>
        <w:gridCol w:w="1222"/>
        <w:gridCol w:w="1710"/>
        <w:gridCol w:w="2070"/>
        <w:gridCol w:w="2430"/>
      </w:tblGrid>
      <w:tr w:rsidR="00156EC2" w:rsidRPr="006435D7" w14:paraId="5AF04666" w14:textId="77777777" w:rsidTr="00CC5B04">
        <w:trPr>
          <w:trHeight w:val="64"/>
        </w:trPr>
        <w:tc>
          <w:tcPr>
            <w:tcW w:w="1350" w:type="dxa"/>
            <w:tcBorders>
              <w:top w:val="single" w:sz="4" w:space="0" w:color="auto"/>
              <w:left w:val="single" w:sz="4" w:space="0" w:color="auto"/>
              <w:bottom w:val="single" w:sz="4" w:space="0" w:color="auto"/>
              <w:right w:val="single" w:sz="4" w:space="0" w:color="auto"/>
            </w:tcBorders>
            <w:vAlign w:val="center"/>
            <w:hideMark/>
          </w:tcPr>
          <w:p w14:paraId="6A850FFF"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w:t>
            </w:r>
          </w:p>
        </w:tc>
        <w:tc>
          <w:tcPr>
            <w:tcW w:w="1043" w:type="dxa"/>
            <w:tcBorders>
              <w:top w:val="single" w:sz="4" w:space="0" w:color="auto"/>
              <w:left w:val="nil"/>
              <w:bottom w:val="single" w:sz="4" w:space="0" w:color="auto"/>
              <w:right w:val="single" w:sz="4" w:space="0" w:color="auto"/>
            </w:tcBorders>
            <w:vAlign w:val="center"/>
            <w:hideMark/>
          </w:tcPr>
          <w:p w14:paraId="0DC3ACC4"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Trace Statistic</w:t>
            </w:r>
          </w:p>
        </w:tc>
        <w:tc>
          <w:tcPr>
            <w:tcW w:w="1222" w:type="dxa"/>
            <w:tcBorders>
              <w:top w:val="single" w:sz="4" w:space="0" w:color="auto"/>
              <w:left w:val="nil"/>
              <w:bottom w:val="single" w:sz="4" w:space="0" w:color="auto"/>
              <w:right w:val="single" w:sz="4" w:space="0" w:color="auto"/>
            </w:tcBorders>
            <w:vAlign w:val="center"/>
            <w:hideMark/>
          </w:tcPr>
          <w:p w14:paraId="26C789BC"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Critical Value</w:t>
            </w:r>
          </w:p>
        </w:tc>
        <w:tc>
          <w:tcPr>
            <w:tcW w:w="1710" w:type="dxa"/>
            <w:tcBorders>
              <w:top w:val="single" w:sz="4" w:space="0" w:color="auto"/>
              <w:left w:val="nil"/>
              <w:bottom w:val="single" w:sz="4" w:space="0" w:color="auto"/>
              <w:right w:val="single" w:sz="4" w:space="0" w:color="auto"/>
            </w:tcBorders>
            <w:vAlign w:val="center"/>
            <w:hideMark/>
          </w:tcPr>
          <w:p w14:paraId="4FFBC36B"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Max-Eigen Statistic</w:t>
            </w:r>
          </w:p>
        </w:tc>
        <w:tc>
          <w:tcPr>
            <w:tcW w:w="2070" w:type="dxa"/>
            <w:tcBorders>
              <w:top w:val="single" w:sz="4" w:space="0" w:color="auto"/>
              <w:left w:val="nil"/>
              <w:bottom w:val="single" w:sz="4" w:space="0" w:color="auto"/>
              <w:right w:val="single" w:sz="4" w:space="0" w:color="auto"/>
            </w:tcBorders>
            <w:vAlign w:val="center"/>
            <w:hideMark/>
          </w:tcPr>
          <w:p w14:paraId="0884BCB6"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Critical Value</w:t>
            </w:r>
          </w:p>
        </w:tc>
        <w:tc>
          <w:tcPr>
            <w:tcW w:w="2430" w:type="dxa"/>
            <w:tcBorders>
              <w:top w:val="single" w:sz="4" w:space="0" w:color="auto"/>
              <w:left w:val="nil"/>
              <w:bottom w:val="single" w:sz="4" w:space="0" w:color="auto"/>
              <w:right w:val="single" w:sz="4" w:space="0" w:color="auto"/>
            </w:tcBorders>
            <w:vAlign w:val="center"/>
            <w:hideMark/>
          </w:tcPr>
          <w:p w14:paraId="6748479D" w14:textId="77777777" w:rsidR="00156EC2" w:rsidRPr="006435D7" w:rsidRDefault="00156EC2" w:rsidP="00CC5B04">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w:t>
            </w:r>
          </w:p>
        </w:tc>
      </w:tr>
      <w:tr w:rsidR="00156EC2" w:rsidRPr="006435D7" w14:paraId="77216F72" w14:textId="77777777" w:rsidTr="00CC5B04">
        <w:trPr>
          <w:trHeight w:val="64"/>
        </w:trPr>
        <w:tc>
          <w:tcPr>
            <w:tcW w:w="1350" w:type="dxa"/>
            <w:tcBorders>
              <w:top w:val="nil"/>
              <w:left w:val="single" w:sz="4" w:space="0" w:color="auto"/>
              <w:bottom w:val="single" w:sz="4" w:space="0" w:color="auto"/>
              <w:right w:val="single" w:sz="4" w:space="0" w:color="auto"/>
            </w:tcBorders>
            <w:vAlign w:val="bottom"/>
            <w:hideMark/>
          </w:tcPr>
          <w:p w14:paraId="4EC99444"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None</w:t>
            </w:r>
          </w:p>
        </w:tc>
        <w:tc>
          <w:tcPr>
            <w:tcW w:w="1043" w:type="dxa"/>
            <w:tcBorders>
              <w:top w:val="nil"/>
              <w:left w:val="nil"/>
              <w:bottom w:val="single" w:sz="4" w:space="0" w:color="auto"/>
              <w:right w:val="single" w:sz="4" w:space="0" w:color="auto"/>
            </w:tcBorders>
            <w:vAlign w:val="bottom"/>
            <w:hideMark/>
          </w:tcPr>
          <w:p w14:paraId="2649CD0C"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58.27</w:t>
            </w:r>
          </w:p>
        </w:tc>
        <w:tc>
          <w:tcPr>
            <w:tcW w:w="1222" w:type="dxa"/>
            <w:tcBorders>
              <w:top w:val="nil"/>
              <w:left w:val="nil"/>
              <w:bottom w:val="single" w:sz="4" w:space="0" w:color="auto"/>
              <w:right w:val="single" w:sz="4" w:space="0" w:color="auto"/>
            </w:tcBorders>
            <w:vAlign w:val="bottom"/>
            <w:hideMark/>
          </w:tcPr>
          <w:p w14:paraId="784BFEC0"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47.85</w:t>
            </w:r>
          </w:p>
        </w:tc>
        <w:tc>
          <w:tcPr>
            <w:tcW w:w="1710" w:type="dxa"/>
            <w:tcBorders>
              <w:top w:val="nil"/>
              <w:left w:val="nil"/>
              <w:bottom w:val="single" w:sz="4" w:space="0" w:color="auto"/>
              <w:right w:val="single" w:sz="4" w:space="0" w:color="auto"/>
            </w:tcBorders>
            <w:vAlign w:val="bottom"/>
            <w:hideMark/>
          </w:tcPr>
          <w:p w14:paraId="16791133"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30.22</w:t>
            </w:r>
          </w:p>
        </w:tc>
        <w:tc>
          <w:tcPr>
            <w:tcW w:w="2070" w:type="dxa"/>
            <w:tcBorders>
              <w:top w:val="nil"/>
              <w:left w:val="nil"/>
              <w:bottom w:val="single" w:sz="4" w:space="0" w:color="auto"/>
              <w:right w:val="single" w:sz="4" w:space="0" w:color="auto"/>
            </w:tcBorders>
            <w:vAlign w:val="bottom"/>
            <w:hideMark/>
          </w:tcPr>
          <w:p w14:paraId="3D959856"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27.58</w:t>
            </w:r>
          </w:p>
        </w:tc>
        <w:tc>
          <w:tcPr>
            <w:tcW w:w="2430" w:type="dxa"/>
            <w:tcBorders>
              <w:top w:val="nil"/>
              <w:left w:val="nil"/>
              <w:bottom w:val="single" w:sz="4" w:space="0" w:color="auto"/>
              <w:right w:val="single" w:sz="4" w:space="0" w:color="auto"/>
            </w:tcBorders>
            <w:vAlign w:val="bottom"/>
            <w:hideMark/>
          </w:tcPr>
          <w:p w14:paraId="2F01E7AC"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Cointegrated</w:t>
            </w:r>
          </w:p>
        </w:tc>
      </w:tr>
      <w:tr w:rsidR="00156EC2" w:rsidRPr="006435D7" w14:paraId="72D2D6C7" w14:textId="77777777" w:rsidTr="00CC5B04">
        <w:trPr>
          <w:trHeight w:val="179"/>
        </w:trPr>
        <w:tc>
          <w:tcPr>
            <w:tcW w:w="1350" w:type="dxa"/>
            <w:tcBorders>
              <w:top w:val="nil"/>
              <w:left w:val="single" w:sz="4" w:space="0" w:color="auto"/>
              <w:bottom w:val="single" w:sz="4" w:space="0" w:color="auto"/>
              <w:right w:val="single" w:sz="4" w:space="0" w:color="auto"/>
            </w:tcBorders>
            <w:vAlign w:val="bottom"/>
            <w:hideMark/>
          </w:tcPr>
          <w:p w14:paraId="58BD70EF"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At most 1</w:t>
            </w:r>
          </w:p>
        </w:tc>
        <w:tc>
          <w:tcPr>
            <w:tcW w:w="1043" w:type="dxa"/>
            <w:tcBorders>
              <w:top w:val="nil"/>
              <w:left w:val="nil"/>
              <w:bottom w:val="single" w:sz="4" w:space="0" w:color="auto"/>
              <w:right w:val="single" w:sz="4" w:space="0" w:color="auto"/>
            </w:tcBorders>
            <w:vAlign w:val="bottom"/>
            <w:hideMark/>
          </w:tcPr>
          <w:p w14:paraId="76A258DD"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28.05</w:t>
            </w:r>
          </w:p>
        </w:tc>
        <w:tc>
          <w:tcPr>
            <w:tcW w:w="1222" w:type="dxa"/>
            <w:tcBorders>
              <w:top w:val="nil"/>
              <w:left w:val="nil"/>
              <w:bottom w:val="single" w:sz="4" w:space="0" w:color="auto"/>
              <w:right w:val="single" w:sz="4" w:space="0" w:color="auto"/>
            </w:tcBorders>
            <w:vAlign w:val="bottom"/>
            <w:hideMark/>
          </w:tcPr>
          <w:p w14:paraId="4D380088"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29.79</w:t>
            </w:r>
          </w:p>
        </w:tc>
        <w:tc>
          <w:tcPr>
            <w:tcW w:w="1710" w:type="dxa"/>
            <w:tcBorders>
              <w:top w:val="nil"/>
              <w:left w:val="nil"/>
              <w:bottom w:val="single" w:sz="4" w:space="0" w:color="auto"/>
              <w:right w:val="single" w:sz="4" w:space="0" w:color="auto"/>
            </w:tcBorders>
            <w:vAlign w:val="bottom"/>
            <w:hideMark/>
          </w:tcPr>
          <w:p w14:paraId="7879511F"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14.72</w:t>
            </w:r>
          </w:p>
        </w:tc>
        <w:tc>
          <w:tcPr>
            <w:tcW w:w="2070" w:type="dxa"/>
            <w:tcBorders>
              <w:top w:val="nil"/>
              <w:left w:val="nil"/>
              <w:bottom w:val="single" w:sz="4" w:space="0" w:color="auto"/>
              <w:right w:val="single" w:sz="4" w:space="0" w:color="auto"/>
            </w:tcBorders>
            <w:vAlign w:val="bottom"/>
            <w:hideMark/>
          </w:tcPr>
          <w:p w14:paraId="612A0BC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21.13</w:t>
            </w:r>
          </w:p>
        </w:tc>
        <w:tc>
          <w:tcPr>
            <w:tcW w:w="2430" w:type="dxa"/>
            <w:tcBorders>
              <w:top w:val="nil"/>
              <w:left w:val="nil"/>
              <w:bottom w:val="single" w:sz="4" w:space="0" w:color="auto"/>
              <w:right w:val="single" w:sz="4" w:space="0" w:color="auto"/>
            </w:tcBorders>
            <w:vAlign w:val="bottom"/>
            <w:hideMark/>
          </w:tcPr>
          <w:p w14:paraId="25135C90"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Cointegrated (r = 2)</w:t>
            </w:r>
          </w:p>
        </w:tc>
      </w:tr>
      <w:tr w:rsidR="00156EC2" w:rsidRPr="006435D7" w14:paraId="3FB8B8CA" w14:textId="77777777" w:rsidTr="00CC5B04">
        <w:trPr>
          <w:trHeight w:val="64"/>
        </w:trPr>
        <w:tc>
          <w:tcPr>
            <w:tcW w:w="1350" w:type="dxa"/>
            <w:tcBorders>
              <w:top w:val="nil"/>
              <w:left w:val="single" w:sz="4" w:space="0" w:color="auto"/>
              <w:bottom w:val="single" w:sz="4" w:space="0" w:color="auto"/>
              <w:right w:val="single" w:sz="4" w:space="0" w:color="auto"/>
            </w:tcBorders>
            <w:vAlign w:val="bottom"/>
            <w:hideMark/>
          </w:tcPr>
          <w:p w14:paraId="1D8681A9"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At most 2</w:t>
            </w:r>
          </w:p>
        </w:tc>
        <w:tc>
          <w:tcPr>
            <w:tcW w:w="1043" w:type="dxa"/>
            <w:tcBorders>
              <w:top w:val="nil"/>
              <w:left w:val="nil"/>
              <w:bottom w:val="single" w:sz="4" w:space="0" w:color="auto"/>
              <w:right w:val="single" w:sz="4" w:space="0" w:color="auto"/>
            </w:tcBorders>
            <w:vAlign w:val="bottom"/>
            <w:hideMark/>
          </w:tcPr>
          <w:p w14:paraId="4C29037D"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10.51</w:t>
            </w:r>
          </w:p>
        </w:tc>
        <w:tc>
          <w:tcPr>
            <w:tcW w:w="1222" w:type="dxa"/>
            <w:tcBorders>
              <w:top w:val="nil"/>
              <w:left w:val="nil"/>
              <w:bottom w:val="single" w:sz="4" w:space="0" w:color="auto"/>
              <w:right w:val="single" w:sz="4" w:space="0" w:color="auto"/>
            </w:tcBorders>
            <w:vAlign w:val="bottom"/>
            <w:hideMark/>
          </w:tcPr>
          <w:p w14:paraId="5C77BD1B"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15.49</w:t>
            </w:r>
          </w:p>
        </w:tc>
        <w:tc>
          <w:tcPr>
            <w:tcW w:w="1710" w:type="dxa"/>
            <w:tcBorders>
              <w:top w:val="nil"/>
              <w:left w:val="nil"/>
              <w:bottom w:val="single" w:sz="4" w:space="0" w:color="auto"/>
              <w:right w:val="single" w:sz="4" w:space="0" w:color="auto"/>
            </w:tcBorders>
            <w:vAlign w:val="bottom"/>
            <w:hideMark/>
          </w:tcPr>
          <w:p w14:paraId="789EA7D2"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5.33</w:t>
            </w:r>
          </w:p>
        </w:tc>
        <w:tc>
          <w:tcPr>
            <w:tcW w:w="2070" w:type="dxa"/>
            <w:tcBorders>
              <w:top w:val="nil"/>
              <w:left w:val="nil"/>
              <w:bottom w:val="single" w:sz="4" w:space="0" w:color="auto"/>
              <w:right w:val="single" w:sz="4" w:space="0" w:color="auto"/>
            </w:tcBorders>
            <w:vAlign w:val="bottom"/>
            <w:hideMark/>
          </w:tcPr>
          <w:p w14:paraId="79991C85"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14.26</w:t>
            </w:r>
          </w:p>
        </w:tc>
        <w:tc>
          <w:tcPr>
            <w:tcW w:w="2430" w:type="dxa"/>
            <w:tcBorders>
              <w:top w:val="nil"/>
              <w:left w:val="nil"/>
              <w:bottom w:val="single" w:sz="4" w:space="0" w:color="auto"/>
              <w:right w:val="single" w:sz="4" w:space="0" w:color="auto"/>
            </w:tcBorders>
            <w:vAlign w:val="bottom"/>
            <w:hideMark/>
          </w:tcPr>
          <w:p w14:paraId="01E816A0" w14:textId="77777777" w:rsidR="00156EC2" w:rsidRPr="006435D7" w:rsidRDefault="00156EC2" w:rsidP="00CC5B04">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Not cointegrated</w:t>
            </w:r>
          </w:p>
        </w:tc>
      </w:tr>
    </w:tbl>
    <w:p w14:paraId="2C95EDDC" w14:textId="77777777" w:rsidR="00156EC2" w:rsidRPr="006435D7" w:rsidRDefault="00156EC2" w:rsidP="00E14106">
      <w:pPr>
        <w:tabs>
          <w:tab w:val="left" w:pos="930"/>
        </w:tabs>
        <w:spacing w:after="0" w:line="480" w:lineRule="auto"/>
        <w:jc w:val="both"/>
        <w:rPr>
          <w:rFonts w:ascii="Arial" w:hAnsi="Arial" w:cs="Arial"/>
          <w:sz w:val="20"/>
          <w:szCs w:val="20"/>
        </w:rPr>
      </w:pPr>
      <w:r w:rsidRPr="00E14106">
        <w:rPr>
          <w:rFonts w:ascii="Arial" w:hAnsi="Arial" w:cs="Arial"/>
          <w:b/>
        </w:rPr>
        <w:t>Source:</w:t>
      </w:r>
      <w:r w:rsidR="00EE08A9" w:rsidRPr="006435D7">
        <w:rPr>
          <w:rFonts w:ascii="Arial" w:hAnsi="Arial" w:cs="Arial"/>
          <w:b/>
          <w:sz w:val="20"/>
          <w:szCs w:val="20"/>
        </w:rPr>
        <w:t xml:space="preserve"> </w:t>
      </w:r>
      <w:r w:rsidR="00EE08A9" w:rsidRPr="006435D7">
        <w:rPr>
          <w:rFonts w:ascii="Arial" w:hAnsi="Arial" w:cs="Arial"/>
          <w:sz w:val="20"/>
          <w:szCs w:val="20"/>
        </w:rPr>
        <w:t>Author’s computation using Johansen cointegration method (EViews 12), data from WDI, OECD, and Ministry of Coal (1980–2025).</w:t>
      </w:r>
    </w:p>
    <w:p w14:paraId="0ED2DE8D" w14:textId="7D2CF268" w:rsidR="00EE08A9"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EE08A9" w:rsidRPr="006435D7">
        <w:rPr>
          <w:rFonts w:ascii="Arial" w:hAnsi="Arial" w:cs="Arial"/>
          <w:sz w:val="20"/>
          <w:szCs w:val="20"/>
        </w:rPr>
        <w:t xml:space="preserve">Table </w:t>
      </w:r>
      <w:r w:rsidR="00001EB2">
        <w:rPr>
          <w:rFonts w:ascii="Arial" w:hAnsi="Arial" w:cs="Arial"/>
          <w:sz w:val="20"/>
          <w:szCs w:val="20"/>
        </w:rPr>
        <w:t>5</w:t>
      </w:r>
      <w:r w:rsidR="00EE08A9" w:rsidRPr="006435D7">
        <w:rPr>
          <w:rFonts w:ascii="Arial" w:hAnsi="Arial" w:cs="Arial"/>
          <w:sz w:val="20"/>
          <w:szCs w:val="20"/>
        </w:rPr>
        <w:t xml:space="preserve"> displays the Johansen cointegration results, testing whether GDP, coal consumption, capital, and labour share a long-run equilibrium relationship. The trace (58.27) and maximum eigenvalue (30.22) statistics exceed their critical values at the 5% significance level, confirming at least two cointegrating relationships (r = 2). This indicates that the variables move together over time despite short-run fluctuations. Such cointegration suggests that India’s economic growth and coal consumption are interconnected in the long term. The results align with the energy-led growth hypothesis, implying that energy expansion supports sustained economic performance. These findings justify applying an Error Correction Model (ECM) to estimate short-run adjustments toward equilibrium. Thus, long-run stability between coal and growth underscores coal’s enduring role in India’s industrial progress.</w:t>
      </w:r>
    </w:p>
    <w:p w14:paraId="4AB08197" w14:textId="166F5187" w:rsidR="00D5539D" w:rsidRPr="00E14106" w:rsidRDefault="00D5539D" w:rsidP="00156EC2">
      <w:pPr>
        <w:tabs>
          <w:tab w:val="left" w:pos="930"/>
        </w:tabs>
        <w:spacing w:after="0" w:line="360" w:lineRule="auto"/>
        <w:jc w:val="both"/>
        <w:rPr>
          <w:rFonts w:ascii="Arial" w:hAnsi="Arial" w:cs="Arial"/>
          <w:b/>
        </w:rPr>
      </w:pPr>
      <w:r w:rsidRPr="00E14106">
        <w:rPr>
          <w:rFonts w:ascii="Arial" w:hAnsi="Arial" w:cs="Arial"/>
          <w:b/>
        </w:rPr>
        <w:t>Figure 3: Line Graph – Trend of GDP and Coal Consumption (1980–2025)</w:t>
      </w:r>
      <w:r w:rsidR="008E400C" w:rsidRPr="00E14106">
        <w:rPr>
          <w:rFonts w:ascii="Arial" w:hAnsi="Arial" w:cs="Arial"/>
          <w:b/>
        </w:rPr>
        <w:t>.</w:t>
      </w:r>
    </w:p>
    <w:p w14:paraId="70686ACC" w14:textId="77777777" w:rsidR="00E14106" w:rsidRDefault="00484D22" w:rsidP="00E14106">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1312" behindDoc="0" locked="0" layoutInCell="1" allowOverlap="1" wp14:anchorId="43774CD6" wp14:editId="52CB7D3E">
            <wp:simplePos x="0" y="0"/>
            <wp:positionH relativeFrom="column">
              <wp:posOffset>19050</wp:posOffset>
            </wp:positionH>
            <wp:positionV relativeFrom="paragraph">
              <wp:posOffset>299085</wp:posOffset>
            </wp:positionV>
            <wp:extent cx="5934710" cy="2700020"/>
            <wp:effectExtent l="19050" t="0" r="8890" b="0"/>
            <wp:wrapSquare wrapText="bothSides"/>
            <wp:docPr id="52" name="Picture 52" descr="C:\Users\USER\Downloads\Figure_3.2_Line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ownloads\Figure_3.2_Line_Graph.png"/>
                    <pic:cNvPicPr>
                      <a:picLocks noChangeAspect="1" noChangeArrowheads="1"/>
                    </pic:cNvPicPr>
                  </pic:nvPicPr>
                  <pic:blipFill>
                    <a:blip r:embed="rId8"/>
                    <a:srcRect t="8121"/>
                    <a:stretch>
                      <a:fillRect/>
                    </a:stretch>
                  </pic:blipFill>
                  <pic:spPr bwMode="auto">
                    <a:xfrm>
                      <a:off x="0" y="0"/>
                      <a:ext cx="5934710" cy="2700020"/>
                    </a:xfrm>
                    <a:prstGeom prst="rect">
                      <a:avLst/>
                    </a:prstGeom>
                    <a:noFill/>
                    <a:ln w="9525">
                      <a:noFill/>
                      <a:miter lim="800000"/>
                      <a:headEnd/>
                      <a:tailEnd/>
                    </a:ln>
                  </pic:spPr>
                </pic:pic>
              </a:graphicData>
            </a:graphic>
          </wp:anchor>
        </w:drawing>
      </w:r>
    </w:p>
    <w:p w14:paraId="70D6185B" w14:textId="411B444B" w:rsidR="00B277E8" w:rsidRPr="00E14106" w:rsidRDefault="008E400C" w:rsidP="00E14106">
      <w:pPr>
        <w:tabs>
          <w:tab w:val="left" w:pos="930"/>
        </w:tabs>
        <w:spacing w:after="0" w:line="360" w:lineRule="auto"/>
        <w:jc w:val="both"/>
        <w:rPr>
          <w:rFonts w:ascii="Arial" w:hAnsi="Arial" w:cs="Arial"/>
          <w:b/>
        </w:rPr>
      </w:pPr>
      <w:r w:rsidRPr="00E14106">
        <w:rPr>
          <w:rFonts w:ascii="Arial" w:hAnsi="Arial" w:cs="Arial"/>
          <w:b/>
        </w:rPr>
        <w:t xml:space="preserve">Table </w:t>
      </w:r>
      <w:r w:rsidR="002B1799">
        <w:rPr>
          <w:rFonts w:ascii="Arial" w:hAnsi="Arial" w:cs="Arial"/>
          <w:b/>
        </w:rPr>
        <w:t>6</w:t>
      </w:r>
      <w:r w:rsidRPr="00E14106">
        <w:rPr>
          <w:rFonts w:ascii="Arial" w:hAnsi="Arial" w:cs="Arial"/>
          <w:b/>
        </w:rPr>
        <w:t xml:space="preserve">: </w:t>
      </w:r>
      <w:r w:rsidR="00B277E8" w:rsidRPr="00E14106">
        <w:rPr>
          <w:rFonts w:ascii="Arial" w:hAnsi="Arial" w:cs="Arial"/>
          <w:b/>
        </w:rPr>
        <w:t xml:space="preserve">ARDL Bounds Test Results for Long-Run Relationship </w:t>
      </w:r>
      <w:r w:rsidR="00AA64FA" w:rsidRPr="00E14106">
        <w:rPr>
          <w:rFonts w:ascii="Arial" w:hAnsi="Arial" w:cs="Arial"/>
          <w:b/>
        </w:rPr>
        <w:t>between</w:t>
      </w:r>
      <w:r w:rsidR="00B277E8" w:rsidRPr="00E14106">
        <w:rPr>
          <w:rFonts w:ascii="Arial" w:hAnsi="Arial" w:cs="Arial"/>
          <w:b/>
        </w:rPr>
        <w:t xml:space="preserve"> Coal Consumption and Economic Growth.</w:t>
      </w:r>
    </w:p>
    <w:tbl>
      <w:tblPr>
        <w:tblW w:w="9824" w:type="dxa"/>
        <w:tblInd w:w="94" w:type="dxa"/>
        <w:tblLook w:val="04A0" w:firstRow="1" w:lastRow="0" w:firstColumn="1" w:lastColumn="0" w:noHBand="0" w:noVBand="1"/>
      </w:tblPr>
      <w:tblGrid>
        <w:gridCol w:w="1043"/>
        <w:gridCol w:w="2571"/>
        <w:gridCol w:w="1710"/>
        <w:gridCol w:w="1890"/>
        <w:gridCol w:w="2610"/>
      </w:tblGrid>
      <w:tr w:rsidR="00CA42C9" w:rsidRPr="006435D7" w14:paraId="3433A6D3" w14:textId="77777777" w:rsidTr="003D14D7">
        <w:trPr>
          <w:trHeight w:val="64"/>
        </w:trPr>
        <w:tc>
          <w:tcPr>
            <w:tcW w:w="1043" w:type="dxa"/>
            <w:tcBorders>
              <w:top w:val="single" w:sz="4" w:space="0" w:color="auto"/>
              <w:left w:val="single" w:sz="4" w:space="0" w:color="auto"/>
              <w:bottom w:val="single" w:sz="4" w:space="0" w:color="auto"/>
              <w:right w:val="single" w:sz="4" w:space="0" w:color="auto"/>
            </w:tcBorders>
            <w:vAlign w:val="center"/>
            <w:hideMark/>
          </w:tcPr>
          <w:p w14:paraId="60714BD3"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lastRenderedPageBreak/>
              <w:t>F-Statistic</w:t>
            </w:r>
          </w:p>
        </w:tc>
        <w:tc>
          <w:tcPr>
            <w:tcW w:w="2571" w:type="dxa"/>
            <w:tcBorders>
              <w:top w:val="single" w:sz="4" w:space="0" w:color="auto"/>
              <w:left w:val="nil"/>
              <w:bottom w:val="single" w:sz="4" w:space="0" w:color="auto"/>
              <w:right w:val="single" w:sz="4" w:space="0" w:color="auto"/>
            </w:tcBorders>
            <w:vAlign w:val="center"/>
            <w:hideMark/>
          </w:tcPr>
          <w:p w14:paraId="7576C5BA"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Lower Bound (I(0))</w:t>
            </w:r>
          </w:p>
        </w:tc>
        <w:tc>
          <w:tcPr>
            <w:tcW w:w="1710" w:type="dxa"/>
            <w:tcBorders>
              <w:top w:val="single" w:sz="4" w:space="0" w:color="auto"/>
              <w:left w:val="nil"/>
              <w:bottom w:val="single" w:sz="4" w:space="0" w:color="auto"/>
              <w:right w:val="single" w:sz="4" w:space="0" w:color="auto"/>
            </w:tcBorders>
            <w:vAlign w:val="center"/>
            <w:hideMark/>
          </w:tcPr>
          <w:p w14:paraId="688C55DF"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Upper Bound (I(1))</w:t>
            </w:r>
          </w:p>
        </w:tc>
        <w:tc>
          <w:tcPr>
            <w:tcW w:w="1890" w:type="dxa"/>
            <w:tcBorders>
              <w:top w:val="single" w:sz="4" w:space="0" w:color="auto"/>
              <w:left w:val="nil"/>
              <w:bottom w:val="single" w:sz="4" w:space="0" w:color="auto"/>
              <w:right w:val="single" w:sz="4" w:space="0" w:color="auto"/>
            </w:tcBorders>
            <w:vAlign w:val="center"/>
            <w:hideMark/>
          </w:tcPr>
          <w:p w14:paraId="6AC73C07"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5% Significance</w:t>
            </w:r>
          </w:p>
        </w:tc>
        <w:tc>
          <w:tcPr>
            <w:tcW w:w="2610" w:type="dxa"/>
            <w:tcBorders>
              <w:top w:val="single" w:sz="4" w:space="0" w:color="auto"/>
              <w:left w:val="nil"/>
              <w:bottom w:val="single" w:sz="4" w:space="0" w:color="auto"/>
              <w:right w:val="single" w:sz="4" w:space="0" w:color="auto"/>
            </w:tcBorders>
            <w:vAlign w:val="center"/>
            <w:hideMark/>
          </w:tcPr>
          <w:p w14:paraId="7856C795"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w:t>
            </w:r>
          </w:p>
        </w:tc>
      </w:tr>
      <w:tr w:rsidR="00CA42C9" w:rsidRPr="006435D7" w14:paraId="15FCF9E7" w14:textId="77777777" w:rsidTr="003D14D7">
        <w:trPr>
          <w:trHeight w:val="64"/>
        </w:trPr>
        <w:tc>
          <w:tcPr>
            <w:tcW w:w="1043" w:type="dxa"/>
            <w:tcBorders>
              <w:top w:val="nil"/>
              <w:left w:val="single" w:sz="4" w:space="0" w:color="auto"/>
              <w:bottom w:val="single" w:sz="4" w:space="0" w:color="auto"/>
              <w:right w:val="single" w:sz="4" w:space="0" w:color="auto"/>
            </w:tcBorders>
            <w:vAlign w:val="bottom"/>
            <w:hideMark/>
          </w:tcPr>
          <w:p w14:paraId="3C93C4B2"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7.826</w:t>
            </w:r>
          </w:p>
        </w:tc>
        <w:tc>
          <w:tcPr>
            <w:tcW w:w="2571" w:type="dxa"/>
            <w:tcBorders>
              <w:top w:val="nil"/>
              <w:left w:val="nil"/>
              <w:bottom w:val="single" w:sz="4" w:space="0" w:color="auto"/>
              <w:right w:val="single" w:sz="4" w:space="0" w:color="auto"/>
            </w:tcBorders>
            <w:vAlign w:val="bottom"/>
            <w:hideMark/>
          </w:tcPr>
          <w:p w14:paraId="0BEDA48D"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3.79</w:t>
            </w:r>
          </w:p>
        </w:tc>
        <w:tc>
          <w:tcPr>
            <w:tcW w:w="1710" w:type="dxa"/>
            <w:tcBorders>
              <w:top w:val="nil"/>
              <w:left w:val="nil"/>
              <w:bottom w:val="single" w:sz="4" w:space="0" w:color="auto"/>
              <w:right w:val="single" w:sz="4" w:space="0" w:color="auto"/>
            </w:tcBorders>
            <w:vAlign w:val="bottom"/>
            <w:hideMark/>
          </w:tcPr>
          <w:p w14:paraId="36CE7E6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4.85</w:t>
            </w:r>
          </w:p>
        </w:tc>
        <w:tc>
          <w:tcPr>
            <w:tcW w:w="1890" w:type="dxa"/>
            <w:tcBorders>
              <w:top w:val="nil"/>
              <w:left w:val="nil"/>
              <w:bottom w:val="single" w:sz="4" w:space="0" w:color="auto"/>
              <w:right w:val="single" w:sz="4" w:space="0" w:color="auto"/>
            </w:tcBorders>
            <w:vAlign w:val="bottom"/>
            <w:hideMark/>
          </w:tcPr>
          <w:p w14:paraId="2AD50732"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0.05</w:t>
            </w:r>
          </w:p>
        </w:tc>
        <w:tc>
          <w:tcPr>
            <w:tcW w:w="2610" w:type="dxa"/>
            <w:tcBorders>
              <w:top w:val="nil"/>
              <w:left w:val="nil"/>
              <w:bottom w:val="single" w:sz="4" w:space="0" w:color="auto"/>
              <w:right w:val="single" w:sz="4" w:space="0" w:color="auto"/>
            </w:tcBorders>
            <w:vAlign w:val="bottom"/>
            <w:hideMark/>
          </w:tcPr>
          <w:p w14:paraId="4981DCB5"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Cointegration confirmed</w:t>
            </w:r>
          </w:p>
        </w:tc>
      </w:tr>
    </w:tbl>
    <w:p w14:paraId="250BC6D8" w14:textId="77777777" w:rsidR="00E332F8" w:rsidRPr="006435D7" w:rsidRDefault="00CA42C9" w:rsidP="00E332F8">
      <w:pPr>
        <w:tabs>
          <w:tab w:val="left" w:pos="930"/>
        </w:tabs>
        <w:spacing w:after="0" w:line="360" w:lineRule="auto"/>
        <w:jc w:val="both"/>
        <w:rPr>
          <w:rFonts w:ascii="Arial" w:hAnsi="Arial" w:cs="Arial"/>
          <w:sz w:val="20"/>
          <w:szCs w:val="20"/>
        </w:rPr>
      </w:pPr>
      <w:r w:rsidRPr="00E14106">
        <w:rPr>
          <w:rFonts w:ascii="Arial" w:hAnsi="Arial" w:cs="Arial"/>
          <w:b/>
        </w:rPr>
        <w:t>Source:</w:t>
      </w:r>
      <w:r w:rsidR="00E332F8" w:rsidRPr="006435D7">
        <w:rPr>
          <w:rStyle w:val="Strong"/>
          <w:rFonts w:ascii="Arial" w:hAnsi="Arial" w:cs="Arial"/>
          <w:sz w:val="20"/>
          <w:szCs w:val="20"/>
        </w:rPr>
        <w:t xml:space="preserve"> </w:t>
      </w:r>
      <w:r w:rsidR="00E332F8" w:rsidRPr="006435D7">
        <w:rPr>
          <w:rFonts w:ascii="Arial" w:hAnsi="Arial" w:cs="Arial"/>
          <w:sz w:val="20"/>
          <w:szCs w:val="20"/>
        </w:rPr>
        <w:t>Author’s estimation using ARDL bounds testing (Pesaran et al., 2001) with data from World Bank and Ministry of Coal (1980–2025).</w:t>
      </w:r>
    </w:p>
    <w:p w14:paraId="4FD82196" w14:textId="30887B57" w:rsidR="00CA42C9" w:rsidRPr="00E14106" w:rsidRDefault="008C0AF1" w:rsidP="00E14106">
      <w:pPr>
        <w:tabs>
          <w:tab w:val="left" w:pos="930"/>
        </w:tabs>
        <w:spacing w:after="0" w:line="480" w:lineRule="auto"/>
        <w:jc w:val="both"/>
        <w:rPr>
          <w:rFonts w:ascii="Arial" w:hAnsi="Arial" w:cs="Arial"/>
        </w:rPr>
      </w:pPr>
      <w:r w:rsidRPr="006435D7">
        <w:rPr>
          <w:rFonts w:ascii="Arial" w:hAnsi="Arial" w:cs="Arial"/>
          <w:sz w:val="20"/>
          <w:szCs w:val="20"/>
        </w:rPr>
        <w:tab/>
      </w:r>
      <w:r w:rsidR="00E332F8" w:rsidRPr="006435D7">
        <w:rPr>
          <w:rFonts w:ascii="Arial" w:hAnsi="Arial" w:cs="Arial"/>
          <w:sz w:val="20"/>
          <w:szCs w:val="20"/>
        </w:rPr>
        <w:t xml:space="preserve">Table </w:t>
      </w:r>
      <w:r w:rsidR="00DA18BB">
        <w:rPr>
          <w:rFonts w:ascii="Arial" w:hAnsi="Arial" w:cs="Arial"/>
          <w:sz w:val="20"/>
          <w:szCs w:val="20"/>
        </w:rPr>
        <w:t>6</w:t>
      </w:r>
      <w:r w:rsidR="00E332F8" w:rsidRPr="006435D7">
        <w:rPr>
          <w:rFonts w:ascii="Arial" w:hAnsi="Arial" w:cs="Arial"/>
          <w:sz w:val="20"/>
          <w:szCs w:val="20"/>
        </w:rPr>
        <w:t xml:space="preserve"> presents results from the ARDL bounds test, confirming a long-run equilibrium relationship among GDP, coal consumption, capital, and labour. The calculated F-statistic (7.826) exceeds the upper bound critical value (4.85) at the 5% level, establishing cointegration. This validates the existence of a stable long-term link between economic growth and coal consumption. The results support the hypothesis that energy, particularly coal, remains a key driver of India’s GDP growth. The ARDL approach is advantageous due to its ability to handle small samples and mixed integration orders. The evidence of long-run stability highlights that energy conservation policies must be balanced with economic growth objectives, ensuring sustainable energy transitions without hampering industrial expansion.</w:t>
      </w:r>
      <w:r w:rsidR="00E332F8" w:rsidRPr="006435D7">
        <w:rPr>
          <w:rFonts w:ascii="Arial" w:hAnsi="Arial" w:cs="Arial"/>
          <w:sz w:val="20"/>
          <w:szCs w:val="20"/>
        </w:rPr>
        <w:br/>
      </w:r>
      <w:r w:rsidR="008E400C" w:rsidRPr="00E14106">
        <w:rPr>
          <w:rFonts w:ascii="Arial" w:hAnsi="Arial" w:cs="Arial"/>
          <w:b/>
        </w:rPr>
        <w:t xml:space="preserve">Table </w:t>
      </w:r>
      <w:r w:rsidR="003B6477">
        <w:rPr>
          <w:rFonts w:ascii="Arial" w:hAnsi="Arial" w:cs="Arial"/>
          <w:b/>
        </w:rPr>
        <w:t>7</w:t>
      </w:r>
      <w:r w:rsidR="008E400C" w:rsidRPr="00E14106">
        <w:rPr>
          <w:rFonts w:ascii="Arial" w:hAnsi="Arial" w:cs="Arial"/>
          <w:b/>
        </w:rPr>
        <w:t xml:space="preserve">: </w:t>
      </w:r>
      <w:r w:rsidR="0015728D" w:rsidRPr="00E14106">
        <w:rPr>
          <w:rFonts w:ascii="Arial" w:hAnsi="Arial" w:cs="Arial"/>
          <w:b/>
        </w:rPr>
        <w:t>Short-Run Error Correction Model (ECM) Results Estimating Adjustment Dynamics Toward Long-Run Equilibrium.</w:t>
      </w:r>
    </w:p>
    <w:tbl>
      <w:tblPr>
        <w:tblW w:w="9824" w:type="dxa"/>
        <w:tblInd w:w="94" w:type="dxa"/>
        <w:tblLook w:val="04A0" w:firstRow="1" w:lastRow="0" w:firstColumn="1" w:lastColumn="0" w:noHBand="0" w:noVBand="1"/>
      </w:tblPr>
      <w:tblGrid>
        <w:gridCol w:w="1731"/>
        <w:gridCol w:w="1336"/>
        <w:gridCol w:w="1087"/>
        <w:gridCol w:w="1260"/>
        <w:gridCol w:w="1260"/>
        <w:gridCol w:w="3150"/>
      </w:tblGrid>
      <w:tr w:rsidR="00CA42C9" w:rsidRPr="006435D7" w14:paraId="70250499" w14:textId="77777777" w:rsidTr="005E33C4">
        <w:trPr>
          <w:trHeight w:val="64"/>
        </w:trPr>
        <w:tc>
          <w:tcPr>
            <w:tcW w:w="1731" w:type="dxa"/>
            <w:tcBorders>
              <w:top w:val="single" w:sz="4" w:space="0" w:color="auto"/>
              <w:left w:val="single" w:sz="4" w:space="0" w:color="auto"/>
              <w:bottom w:val="single" w:sz="4" w:space="0" w:color="auto"/>
              <w:right w:val="single" w:sz="4" w:space="0" w:color="auto"/>
            </w:tcBorders>
            <w:vAlign w:val="center"/>
            <w:hideMark/>
          </w:tcPr>
          <w:p w14:paraId="318D5E85"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336" w:type="dxa"/>
            <w:tcBorders>
              <w:top w:val="single" w:sz="4" w:space="0" w:color="auto"/>
              <w:left w:val="nil"/>
              <w:bottom w:val="single" w:sz="4" w:space="0" w:color="auto"/>
              <w:right w:val="single" w:sz="4" w:space="0" w:color="auto"/>
            </w:tcBorders>
            <w:vAlign w:val="center"/>
            <w:hideMark/>
          </w:tcPr>
          <w:p w14:paraId="176FE4CB"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Coefficient</w:t>
            </w:r>
          </w:p>
        </w:tc>
        <w:tc>
          <w:tcPr>
            <w:tcW w:w="1087" w:type="dxa"/>
            <w:tcBorders>
              <w:top w:val="single" w:sz="4" w:space="0" w:color="auto"/>
              <w:left w:val="nil"/>
              <w:bottom w:val="single" w:sz="4" w:space="0" w:color="auto"/>
              <w:right w:val="single" w:sz="4" w:space="0" w:color="auto"/>
            </w:tcBorders>
            <w:vAlign w:val="center"/>
            <w:hideMark/>
          </w:tcPr>
          <w:p w14:paraId="3AA8F65F"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Error</w:t>
            </w:r>
          </w:p>
        </w:tc>
        <w:tc>
          <w:tcPr>
            <w:tcW w:w="1260" w:type="dxa"/>
            <w:tcBorders>
              <w:top w:val="single" w:sz="4" w:space="0" w:color="auto"/>
              <w:left w:val="nil"/>
              <w:bottom w:val="single" w:sz="4" w:space="0" w:color="auto"/>
              <w:right w:val="single" w:sz="4" w:space="0" w:color="auto"/>
            </w:tcBorders>
            <w:vAlign w:val="center"/>
            <w:hideMark/>
          </w:tcPr>
          <w:p w14:paraId="7F005DF2"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t-Statistic</w:t>
            </w:r>
          </w:p>
        </w:tc>
        <w:tc>
          <w:tcPr>
            <w:tcW w:w="1260" w:type="dxa"/>
            <w:tcBorders>
              <w:top w:val="single" w:sz="4" w:space="0" w:color="auto"/>
              <w:left w:val="nil"/>
              <w:bottom w:val="single" w:sz="4" w:space="0" w:color="auto"/>
              <w:right w:val="single" w:sz="4" w:space="0" w:color="auto"/>
            </w:tcBorders>
            <w:vAlign w:val="center"/>
            <w:hideMark/>
          </w:tcPr>
          <w:p w14:paraId="4C20F909"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3150" w:type="dxa"/>
            <w:tcBorders>
              <w:top w:val="single" w:sz="4" w:space="0" w:color="auto"/>
              <w:left w:val="nil"/>
              <w:bottom w:val="single" w:sz="4" w:space="0" w:color="auto"/>
              <w:right w:val="single" w:sz="4" w:space="0" w:color="auto"/>
            </w:tcBorders>
            <w:vAlign w:val="center"/>
            <w:hideMark/>
          </w:tcPr>
          <w:p w14:paraId="27FEAC4E" w14:textId="77777777" w:rsidR="00CA42C9" w:rsidRPr="006435D7" w:rsidRDefault="00CA42C9" w:rsidP="00CA42C9">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Remark</w:t>
            </w:r>
          </w:p>
        </w:tc>
      </w:tr>
      <w:tr w:rsidR="00CA42C9" w:rsidRPr="006435D7" w14:paraId="657EA59E"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572E60B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Δln(COAL)</w:t>
            </w:r>
          </w:p>
        </w:tc>
        <w:tc>
          <w:tcPr>
            <w:tcW w:w="1336" w:type="dxa"/>
            <w:tcBorders>
              <w:top w:val="nil"/>
              <w:left w:val="nil"/>
              <w:bottom w:val="single" w:sz="4" w:space="0" w:color="auto"/>
              <w:right w:val="single" w:sz="4" w:space="0" w:color="auto"/>
            </w:tcBorders>
            <w:vAlign w:val="bottom"/>
            <w:hideMark/>
          </w:tcPr>
          <w:p w14:paraId="2941EF94"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0.235</w:t>
            </w:r>
          </w:p>
        </w:tc>
        <w:tc>
          <w:tcPr>
            <w:tcW w:w="1087" w:type="dxa"/>
            <w:tcBorders>
              <w:top w:val="nil"/>
              <w:left w:val="nil"/>
              <w:bottom w:val="single" w:sz="4" w:space="0" w:color="auto"/>
              <w:right w:val="single" w:sz="4" w:space="0" w:color="auto"/>
            </w:tcBorders>
            <w:vAlign w:val="bottom"/>
            <w:hideMark/>
          </w:tcPr>
          <w:p w14:paraId="6190CE17"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0.082</w:t>
            </w:r>
          </w:p>
        </w:tc>
        <w:tc>
          <w:tcPr>
            <w:tcW w:w="1260" w:type="dxa"/>
            <w:tcBorders>
              <w:top w:val="nil"/>
              <w:left w:val="nil"/>
              <w:bottom w:val="single" w:sz="4" w:space="0" w:color="auto"/>
              <w:right w:val="single" w:sz="4" w:space="0" w:color="auto"/>
            </w:tcBorders>
            <w:vAlign w:val="bottom"/>
            <w:hideMark/>
          </w:tcPr>
          <w:p w14:paraId="0B3F3395"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2.861</w:t>
            </w:r>
          </w:p>
        </w:tc>
        <w:tc>
          <w:tcPr>
            <w:tcW w:w="1260" w:type="dxa"/>
            <w:tcBorders>
              <w:top w:val="nil"/>
              <w:left w:val="nil"/>
              <w:bottom w:val="single" w:sz="4" w:space="0" w:color="auto"/>
              <w:right w:val="single" w:sz="4" w:space="0" w:color="auto"/>
            </w:tcBorders>
            <w:vAlign w:val="bottom"/>
            <w:hideMark/>
          </w:tcPr>
          <w:p w14:paraId="12AA8BD6"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0.007</w:t>
            </w:r>
          </w:p>
        </w:tc>
        <w:tc>
          <w:tcPr>
            <w:tcW w:w="3150" w:type="dxa"/>
            <w:tcBorders>
              <w:top w:val="nil"/>
              <w:left w:val="nil"/>
              <w:bottom w:val="single" w:sz="4" w:space="0" w:color="auto"/>
              <w:right w:val="single" w:sz="4" w:space="0" w:color="auto"/>
            </w:tcBorders>
            <w:vAlign w:val="bottom"/>
            <w:hideMark/>
          </w:tcPr>
          <w:p w14:paraId="33C346C4"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793670C4"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46A48520"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Δln(CAPITAL)</w:t>
            </w:r>
          </w:p>
        </w:tc>
        <w:tc>
          <w:tcPr>
            <w:tcW w:w="1336" w:type="dxa"/>
            <w:tcBorders>
              <w:top w:val="nil"/>
              <w:left w:val="nil"/>
              <w:bottom w:val="single" w:sz="4" w:space="0" w:color="auto"/>
              <w:right w:val="single" w:sz="4" w:space="0" w:color="auto"/>
            </w:tcBorders>
            <w:vAlign w:val="bottom"/>
            <w:hideMark/>
          </w:tcPr>
          <w:p w14:paraId="3093F797"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0.102</w:t>
            </w:r>
          </w:p>
        </w:tc>
        <w:tc>
          <w:tcPr>
            <w:tcW w:w="1087" w:type="dxa"/>
            <w:tcBorders>
              <w:top w:val="nil"/>
              <w:left w:val="nil"/>
              <w:bottom w:val="single" w:sz="4" w:space="0" w:color="auto"/>
              <w:right w:val="single" w:sz="4" w:space="0" w:color="auto"/>
            </w:tcBorders>
            <w:vAlign w:val="bottom"/>
            <w:hideMark/>
          </w:tcPr>
          <w:p w14:paraId="378E22F7"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0.041</w:t>
            </w:r>
          </w:p>
        </w:tc>
        <w:tc>
          <w:tcPr>
            <w:tcW w:w="1260" w:type="dxa"/>
            <w:tcBorders>
              <w:top w:val="nil"/>
              <w:left w:val="nil"/>
              <w:bottom w:val="single" w:sz="4" w:space="0" w:color="auto"/>
              <w:right w:val="single" w:sz="4" w:space="0" w:color="auto"/>
            </w:tcBorders>
            <w:vAlign w:val="bottom"/>
            <w:hideMark/>
          </w:tcPr>
          <w:p w14:paraId="62E01FAA"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2.478</w:t>
            </w:r>
          </w:p>
        </w:tc>
        <w:tc>
          <w:tcPr>
            <w:tcW w:w="1260" w:type="dxa"/>
            <w:tcBorders>
              <w:top w:val="nil"/>
              <w:left w:val="nil"/>
              <w:bottom w:val="single" w:sz="4" w:space="0" w:color="auto"/>
              <w:right w:val="single" w:sz="4" w:space="0" w:color="auto"/>
            </w:tcBorders>
            <w:vAlign w:val="bottom"/>
            <w:hideMark/>
          </w:tcPr>
          <w:p w14:paraId="4B2BB6F7"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0.019</w:t>
            </w:r>
          </w:p>
        </w:tc>
        <w:tc>
          <w:tcPr>
            <w:tcW w:w="3150" w:type="dxa"/>
            <w:tcBorders>
              <w:top w:val="nil"/>
              <w:left w:val="nil"/>
              <w:bottom w:val="single" w:sz="4" w:space="0" w:color="auto"/>
              <w:right w:val="single" w:sz="4" w:space="0" w:color="auto"/>
            </w:tcBorders>
            <w:vAlign w:val="bottom"/>
            <w:hideMark/>
          </w:tcPr>
          <w:p w14:paraId="67170562"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430DC2D6" w14:textId="77777777" w:rsidTr="005E33C4">
        <w:trPr>
          <w:trHeight w:val="64"/>
        </w:trPr>
        <w:tc>
          <w:tcPr>
            <w:tcW w:w="1731" w:type="dxa"/>
            <w:tcBorders>
              <w:top w:val="nil"/>
              <w:left w:val="single" w:sz="4" w:space="0" w:color="auto"/>
              <w:bottom w:val="single" w:sz="4" w:space="0" w:color="auto"/>
              <w:right w:val="single" w:sz="4" w:space="0" w:color="auto"/>
            </w:tcBorders>
            <w:vAlign w:val="bottom"/>
            <w:hideMark/>
          </w:tcPr>
          <w:p w14:paraId="38910C2F"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Δln(LABOUR)</w:t>
            </w:r>
          </w:p>
        </w:tc>
        <w:tc>
          <w:tcPr>
            <w:tcW w:w="1336" w:type="dxa"/>
            <w:tcBorders>
              <w:top w:val="nil"/>
              <w:left w:val="nil"/>
              <w:bottom w:val="single" w:sz="4" w:space="0" w:color="auto"/>
              <w:right w:val="single" w:sz="4" w:space="0" w:color="auto"/>
            </w:tcBorders>
            <w:vAlign w:val="bottom"/>
            <w:hideMark/>
          </w:tcPr>
          <w:p w14:paraId="2F8D4004"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0.075</w:t>
            </w:r>
          </w:p>
        </w:tc>
        <w:tc>
          <w:tcPr>
            <w:tcW w:w="1087" w:type="dxa"/>
            <w:tcBorders>
              <w:top w:val="nil"/>
              <w:left w:val="nil"/>
              <w:bottom w:val="single" w:sz="4" w:space="0" w:color="auto"/>
              <w:right w:val="single" w:sz="4" w:space="0" w:color="auto"/>
            </w:tcBorders>
            <w:vAlign w:val="bottom"/>
            <w:hideMark/>
          </w:tcPr>
          <w:p w14:paraId="58DDA43B"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0.035</w:t>
            </w:r>
          </w:p>
        </w:tc>
        <w:tc>
          <w:tcPr>
            <w:tcW w:w="1260" w:type="dxa"/>
            <w:tcBorders>
              <w:top w:val="nil"/>
              <w:left w:val="nil"/>
              <w:bottom w:val="single" w:sz="4" w:space="0" w:color="auto"/>
              <w:right w:val="single" w:sz="4" w:space="0" w:color="auto"/>
            </w:tcBorders>
            <w:vAlign w:val="bottom"/>
            <w:hideMark/>
          </w:tcPr>
          <w:p w14:paraId="49F24FEA"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2.144</w:t>
            </w:r>
          </w:p>
        </w:tc>
        <w:tc>
          <w:tcPr>
            <w:tcW w:w="1260" w:type="dxa"/>
            <w:tcBorders>
              <w:top w:val="nil"/>
              <w:left w:val="nil"/>
              <w:bottom w:val="single" w:sz="4" w:space="0" w:color="auto"/>
              <w:right w:val="single" w:sz="4" w:space="0" w:color="auto"/>
            </w:tcBorders>
            <w:vAlign w:val="bottom"/>
            <w:hideMark/>
          </w:tcPr>
          <w:p w14:paraId="6FF08DB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0.038</w:t>
            </w:r>
          </w:p>
        </w:tc>
        <w:tc>
          <w:tcPr>
            <w:tcW w:w="3150" w:type="dxa"/>
            <w:tcBorders>
              <w:top w:val="nil"/>
              <w:left w:val="nil"/>
              <w:bottom w:val="single" w:sz="4" w:space="0" w:color="auto"/>
              <w:right w:val="single" w:sz="4" w:space="0" w:color="auto"/>
            </w:tcBorders>
            <w:vAlign w:val="bottom"/>
            <w:hideMark/>
          </w:tcPr>
          <w:p w14:paraId="7A7A5B4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CA42C9" w:rsidRPr="006435D7" w14:paraId="4D7720BF" w14:textId="77777777" w:rsidTr="005E33C4">
        <w:trPr>
          <w:trHeight w:val="89"/>
        </w:trPr>
        <w:tc>
          <w:tcPr>
            <w:tcW w:w="1731" w:type="dxa"/>
            <w:tcBorders>
              <w:top w:val="nil"/>
              <w:left w:val="single" w:sz="4" w:space="0" w:color="auto"/>
              <w:bottom w:val="single" w:sz="4" w:space="0" w:color="auto"/>
              <w:right w:val="single" w:sz="4" w:space="0" w:color="auto"/>
            </w:tcBorders>
            <w:vAlign w:val="bottom"/>
            <w:hideMark/>
          </w:tcPr>
          <w:p w14:paraId="01F85D31"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w:t>
            </w:r>
            <w:r w:rsidRPr="006435D7">
              <w:rPr>
                <w:rFonts w:ascii="Times New Roman" w:eastAsia="Times New Roman" w:hAnsi="Times New Roman" w:cs="Arial"/>
                <w:color w:val="000000"/>
                <w:sz w:val="20"/>
                <w:szCs w:val="20"/>
              </w:rPr>
              <w:t>ₜ₋₁</w:t>
            </w:r>
          </w:p>
        </w:tc>
        <w:tc>
          <w:tcPr>
            <w:tcW w:w="1336" w:type="dxa"/>
            <w:tcBorders>
              <w:top w:val="nil"/>
              <w:left w:val="nil"/>
              <w:bottom w:val="single" w:sz="4" w:space="0" w:color="auto"/>
              <w:right w:val="single" w:sz="4" w:space="0" w:color="auto"/>
            </w:tcBorders>
            <w:vAlign w:val="bottom"/>
            <w:hideMark/>
          </w:tcPr>
          <w:p w14:paraId="301BE549"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–0.412</w:t>
            </w:r>
          </w:p>
        </w:tc>
        <w:tc>
          <w:tcPr>
            <w:tcW w:w="1087" w:type="dxa"/>
            <w:tcBorders>
              <w:top w:val="nil"/>
              <w:left w:val="nil"/>
              <w:bottom w:val="single" w:sz="4" w:space="0" w:color="auto"/>
              <w:right w:val="single" w:sz="4" w:space="0" w:color="auto"/>
            </w:tcBorders>
            <w:vAlign w:val="bottom"/>
            <w:hideMark/>
          </w:tcPr>
          <w:p w14:paraId="3937FC1C"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0.095</w:t>
            </w:r>
          </w:p>
        </w:tc>
        <w:tc>
          <w:tcPr>
            <w:tcW w:w="1260" w:type="dxa"/>
            <w:tcBorders>
              <w:top w:val="nil"/>
              <w:left w:val="nil"/>
              <w:bottom w:val="single" w:sz="4" w:space="0" w:color="auto"/>
              <w:right w:val="single" w:sz="4" w:space="0" w:color="auto"/>
            </w:tcBorders>
            <w:vAlign w:val="bottom"/>
            <w:hideMark/>
          </w:tcPr>
          <w:p w14:paraId="33CF9FCE"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–4.336</w:t>
            </w:r>
          </w:p>
        </w:tc>
        <w:tc>
          <w:tcPr>
            <w:tcW w:w="1260" w:type="dxa"/>
            <w:tcBorders>
              <w:top w:val="nil"/>
              <w:left w:val="nil"/>
              <w:bottom w:val="single" w:sz="4" w:space="0" w:color="auto"/>
              <w:right w:val="single" w:sz="4" w:space="0" w:color="auto"/>
            </w:tcBorders>
            <w:vAlign w:val="bottom"/>
            <w:hideMark/>
          </w:tcPr>
          <w:p w14:paraId="3F326F50"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3150" w:type="dxa"/>
            <w:tcBorders>
              <w:top w:val="nil"/>
              <w:left w:val="nil"/>
              <w:bottom w:val="single" w:sz="4" w:space="0" w:color="auto"/>
              <w:right w:val="single" w:sz="4" w:space="0" w:color="auto"/>
            </w:tcBorders>
            <w:vAlign w:val="bottom"/>
            <w:hideMark/>
          </w:tcPr>
          <w:p w14:paraId="0CE522DD" w14:textId="77777777" w:rsidR="00CA42C9" w:rsidRPr="006435D7" w:rsidRDefault="00CA42C9" w:rsidP="00AA64FA">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Speed of adjustment (41%)</w:t>
            </w:r>
          </w:p>
        </w:tc>
      </w:tr>
    </w:tbl>
    <w:p w14:paraId="6E301C85" w14:textId="77777777" w:rsidR="00E332F8" w:rsidRPr="006435D7" w:rsidRDefault="00CA42C9"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E332F8" w:rsidRPr="006435D7">
        <w:rPr>
          <w:rFonts w:ascii="Arial" w:hAnsi="Arial" w:cs="Arial"/>
          <w:b/>
          <w:sz w:val="20"/>
          <w:szCs w:val="20"/>
        </w:rPr>
        <w:t xml:space="preserve"> </w:t>
      </w:r>
      <w:r w:rsidR="00E332F8" w:rsidRPr="006435D7">
        <w:rPr>
          <w:rFonts w:ascii="Arial" w:hAnsi="Arial" w:cs="Arial"/>
          <w:sz w:val="20"/>
          <w:szCs w:val="20"/>
        </w:rPr>
        <w:t>Author’s computation using ECM approach in EViews 12, based on World Bank and RBI macroeconomic data (1980–2025).</w:t>
      </w:r>
    </w:p>
    <w:p w14:paraId="46C3120D" w14:textId="705B472B" w:rsidR="00CA42C9" w:rsidRPr="00E14106" w:rsidRDefault="008C0AF1" w:rsidP="00E14106">
      <w:pPr>
        <w:tabs>
          <w:tab w:val="left" w:pos="930"/>
        </w:tabs>
        <w:spacing w:after="0" w:line="480" w:lineRule="auto"/>
        <w:jc w:val="both"/>
        <w:rPr>
          <w:rFonts w:ascii="Arial" w:hAnsi="Arial" w:cs="Arial"/>
          <w:b/>
        </w:rPr>
      </w:pPr>
      <w:r w:rsidRPr="006435D7">
        <w:rPr>
          <w:rFonts w:ascii="Arial" w:hAnsi="Arial" w:cs="Arial"/>
          <w:sz w:val="20"/>
          <w:szCs w:val="20"/>
        </w:rPr>
        <w:tab/>
      </w:r>
      <w:r w:rsidR="00E332F8" w:rsidRPr="006435D7">
        <w:rPr>
          <w:rFonts w:ascii="Arial" w:hAnsi="Arial" w:cs="Arial"/>
          <w:sz w:val="20"/>
          <w:szCs w:val="20"/>
        </w:rPr>
        <w:t xml:space="preserve">Table </w:t>
      </w:r>
      <w:r w:rsidR="00174E64">
        <w:rPr>
          <w:rFonts w:ascii="Arial" w:hAnsi="Arial" w:cs="Arial"/>
          <w:sz w:val="20"/>
          <w:szCs w:val="20"/>
        </w:rPr>
        <w:t>7</w:t>
      </w:r>
      <w:r w:rsidR="00E332F8" w:rsidRPr="006435D7">
        <w:rPr>
          <w:rFonts w:ascii="Arial" w:hAnsi="Arial" w:cs="Arial"/>
          <w:sz w:val="20"/>
          <w:szCs w:val="20"/>
        </w:rPr>
        <w:t xml:space="preserve"> presents the ECM results, capturing short-run adjustments and convergence toward long-run equilibrium. The coefficient of the lagged error correction term (EC</w:t>
      </w:r>
      <w:r w:rsidR="00E332F8" w:rsidRPr="006435D7">
        <w:rPr>
          <w:rFonts w:ascii="Arial" w:hAnsi="Times New Roman" w:cs="Arial"/>
          <w:sz w:val="20"/>
          <w:szCs w:val="20"/>
        </w:rPr>
        <w:t>ₜ₋₁</w:t>
      </w:r>
      <w:r w:rsidR="00E332F8" w:rsidRPr="006435D7">
        <w:rPr>
          <w:rFonts w:ascii="Arial" w:hAnsi="Arial" w:cs="Arial"/>
          <w:sz w:val="20"/>
          <w:szCs w:val="20"/>
        </w:rPr>
        <w:t xml:space="preserve"> = –0.412) is statistically significant at the 1% level, indicating that about 41% of the disequilibrium adjusts annually toward equilibrium. The positive and significant coefficients of Δln(COAL), Δln(CAPITAL), and Δln(LABOUR) suggest that coal consumption, capital formation, and labour positively influence short-term GDP growth. These results confirm that short-run fluctuations in India’s economic growth are energy- and resource-dependent. The significant negative error correction term ensures model stability and long-term consistency, affirming the robustness of the cointegration relationship between coal consumption and GDP.</w:t>
      </w:r>
      <w:r w:rsidR="00E332F8" w:rsidRPr="006435D7">
        <w:rPr>
          <w:rFonts w:ascii="Arial" w:hAnsi="Arial" w:cs="Arial"/>
          <w:sz w:val="20"/>
          <w:szCs w:val="20"/>
        </w:rPr>
        <w:br/>
      </w:r>
      <w:r w:rsidR="008E400C" w:rsidRPr="00E14106">
        <w:rPr>
          <w:rFonts w:ascii="Arial" w:hAnsi="Arial" w:cs="Arial"/>
          <w:b/>
        </w:rPr>
        <w:lastRenderedPageBreak/>
        <w:t xml:space="preserve">Table </w:t>
      </w:r>
      <w:r w:rsidR="00741215">
        <w:rPr>
          <w:rFonts w:ascii="Arial" w:hAnsi="Arial" w:cs="Arial"/>
          <w:b/>
        </w:rPr>
        <w:t>8</w:t>
      </w:r>
      <w:r w:rsidR="008E400C" w:rsidRPr="00E14106">
        <w:rPr>
          <w:rFonts w:ascii="Arial" w:hAnsi="Arial" w:cs="Arial"/>
          <w:b/>
        </w:rPr>
        <w:t xml:space="preserve">: </w:t>
      </w:r>
      <w:r w:rsidR="0015728D" w:rsidRPr="00E14106">
        <w:rPr>
          <w:rFonts w:ascii="Arial" w:hAnsi="Arial" w:cs="Arial"/>
          <w:b/>
        </w:rPr>
        <w:t>Granger Causality Test Results Indicating the Direction of Causality Between Coal Consumption and Economic Growth.</w:t>
      </w:r>
    </w:p>
    <w:tbl>
      <w:tblPr>
        <w:tblW w:w="9825" w:type="dxa"/>
        <w:tblInd w:w="93" w:type="dxa"/>
        <w:tblLayout w:type="fixed"/>
        <w:tblLook w:val="04A0" w:firstRow="1" w:lastRow="0" w:firstColumn="1" w:lastColumn="0" w:noHBand="0" w:noVBand="1"/>
      </w:tblPr>
      <w:tblGrid>
        <w:gridCol w:w="1815"/>
        <w:gridCol w:w="990"/>
        <w:gridCol w:w="810"/>
        <w:gridCol w:w="2160"/>
        <w:gridCol w:w="1350"/>
        <w:gridCol w:w="2700"/>
      </w:tblGrid>
      <w:tr w:rsidR="00730BD2" w:rsidRPr="006435D7" w14:paraId="40DE9151" w14:textId="77777777" w:rsidTr="00C066CC">
        <w:trPr>
          <w:trHeight w:val="179"/>
        </w:trPr>
        <w:tc>
          <w:tcPr>
            <w:tcW w:w="1815" w:type="dxa"/>
            <w:tcBorders>
              <w:top w:val="single" w:sz="4" w:space="0" w:color="auto"/>
              <w:left w:val="single" w:sz="4" w:space="0" w:color="auto"/>
              <w:bottom w:val="single" w:sz="4" w:space="0" w:color="auto"/>
              <w:right w:val="single" w:sz="4" w:space="0" w:color="auto"/>
            </w:tcBorders>
            <w:vAlign w:val="center"/>
            <w:hideMark/>
          </w:tcPr>
          <w:p w14:paraId="449860C1"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990" w:type="dxa"/>
            <w:tcBorders>
              <w:top w:val="single" w:sz="4" w:space="0" w:color="auto"/>
              <w:left w:val="nil"/>
              <w:bottom w:val="single" w:sz="4" w:space="0" w:color="auto"/>
              <w:right w:val="single" w:sz="4" w:space="0" w:color="auto"/>
            </w:tcBorders>
            <w:vAlign w:val="center"/>
            <w:hideMark/>
          </w:tcPr>
          <w:p w14:paraId="24C49266"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F-Statistic</w:t>
            </w:r>
          </w:p>
        </w:tc>
        <w:tc>
          <w:tcPr>
            <w:tcW w:w="810" w:type="dxa"/>
            <w:tcBorders>
              <w:top w:val="single" w:sz="4" w:space="0" w:color="auto"/>
              <w:left w:val="nil"/>
              <w:bottom w:val="single" w:sz="4" w:space="0" w:color="auto"/>
              <w:right w:val="single" w:sz="4" w:space="0" w:color="auto"/>
            </w:tcBorders>
            <w:vAlign w:val="center"/>
            <w:hideMark/>
          </w:tcPr>
          <w:p w14:paraId="24311512"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160" w:type="dxa"/>
            <w:tcBorders>
              <w:top w:val="single" w:sz="4" w:space="0" w:color="auto"/>
              <w:left w:val="nil"/>
              <w:bottom w:val="single" w:sz="4" w:space="0" w:color="auto"/>
              <w:right w:val="single" w:sz="4" w:space="0" w:color="auto"/>
            </w:tcBorders>
            <w:vAlign w:val="center"/>
            <w:hideMark/>
          </w:tcPr>
          <w:p w14:paraId="0A0207FE"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 (5% Level)</w:t>
            </w:r>
          </w:p>
        </w:tc>
        <w:tc>
          <w:tcPr>
            <w:tcW w:w="1350" w:type="dxa"/>
            <w:tcBorders>
              <w:top w:val="single" w:sz="4" w:space="0" w:color="auto"/>
              <w:left w:val="nil"/>
              <w:bottom w:val="single" w:sz="4" w:space="0" w:color="auto"/>
              <w:right w:val="single" w:sz="4" w:space="0" w:color="auto"/>
            </w:tcBorders>
            <w:vAlign w:val="center"/>
            <w:hideMark/>
          </w:tcPr>
          <w:p w14:paraId="0AF95473"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Direction of Causality</w:t>
            </w:r>
          </w:p>
        </w:tc>
        <w:tc>
          <w:tcPr>
            <w:tcW w:w="2700" w:type="dxa"/>
            <w:tcBorders>
              <w:top w:val="single" w:sz="4" w:space="0" w:color="auto"/>
              <w:left w:val="nil"/>
              <w:bottom w:val="single" w:sz="4" w:space="0" w:color="auto"/>
              <w:right w:val="single" w:sz="4" w:space="0" w:color="auto"/>
            </w:tcBorders>
            <w:vAlign w:val="center"/>
            <w:hideMark/>
          </w:tcPr>
          <w:p w14:paraId="1A296399" w14:textId="77777777" w:rsidR="00730BD2" w:rsidRPr="006435D7" w:rsidRDefault="00730BD2" w:rsidP="00730BD2">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730BD2" w:rsidRPr="006435D7" w14:paraId="681C7C8E" w14:textId="77777777" w:rsidTr="00C066CC">
        <w:trPr>
          <w:trHeight w:val="233"/>
        </w:trPr>
        <w:tc>
          <w:tcPr>
            <w:tcW w:w="1815" w:type="dxa"/>
            <w:tcBorders>
              <w:top w:val="nil"/>
              <w:left w:val="single" w:sz="4" w:space="0" w:color="auto"/>
              <w:bottom w:val="single" w:sz="4" w:space="0" w:color="auto"/>
              <w:right w:val="single" w:sz="4" w:space="0" w:color="auto"/>
            </w:tcBorders>
            <w:vAlign w:val="bottom"/>
            <w:hideMark/>
          </w:tcPr>
          <w:p w14:paraId="357994C3"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GDP</w:t>
            </w:r>
          </w:p>
        </w:tc>
        <w:tc>
          <w:tcPr>
            <w:tcW w:w="990" w:type="dxa"/>
            <w:tcBorders>
              <w:top w:val="nil"/>
              <w:left w:val="nil"/>
              <w:bottom w:val="single" w:sz="4" w:space="0" w:color="auto"/>
              <w:right w:val="single" w:sz="4" w:space="0" w:color="auto"/>
            </w:tcBorders>
            <w:vAlign w:val="bottom"/>
            <w:hideMark/>
          </w:tcPr>
          <w:p w14:paraId="144CC97F"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4.682</w:t>
            </w:r>
          </w:p>
        </w:tc>
        <w:tc>
          <w:tcPr>
            <w:tcW w:w="810" w:type="dxa"/>
            <w:tcBorders>
              <w:top w:val="nil"/>
              <w:left w:val="nil"/>
              <w:bottom w:val="single" w:sz="4" w:space="0" w:color="auto"/>
              <w:right w:val="single" w:sz="4" w:space="0" w:color="auto"/>
            </w:tcBorders>
            <w:vAlign w:val="bottom"/>
            <w:hideMark/>
          </w:tcPr>
          <w:p w14:paraId="60DAB9A4"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0.015</w:t>
            </w:r>
          </w:p>
        </w:tc>
        <w:tc>
          <w:tcPr>
            <w:tcW w:w="2160" w:type="dxa"/>
            <w:tcBorders>
              <w:top w:val="nil"/>
              <w:left w:val="nil"/>
              <w:bottom w:val="single" w:sz="4" w:space="0" w:color="auto"/>
              <w:right w:val="single" w:sz="4" w:space="0" w:color="auto"/>
            </w:tcBorders>
            <w:vAlign w:val="bottom"/>
            <w:hideMark/>
          </w:tcPr>
          <w:p w14:paraId="4210C4BC"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p>
        </w:tc>
        <w:tc>
          <w:tcPr>
            <w:tcW w:w="1350" w:type="dxa"/>
            <w:tcBorders>
              <w:top w:val="nil"/>
              <w:left w:val="nil"/>
              <w:bottom w:val="single" w:sz="4" w:space="0" w:color="auto"/>
              <w:right w:val="single" w:sz="4" w:space="0" w:color="auto"/>
            </w:tcBorders>
            <w:vAlign w:val="bottom"/>
            <w:hideMark/>
          </w:tcPr>
          <w:p w14:paraId="18583950"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 GDP</w:t>
            </w:r>
          </w:p>
        </w:tc>
        <w:tc>
          <w:tcPr>
            <w:tcW w:w="2700" w:type="dxa"/>
            <w:tcBorders>
              <w:top w:val="nil"/>
              <w:left w:val="nil"/>
              <w:bottom w:val="single" w:sz="4" w:space="0" w:color="auto"/>
              <w:right w:val="single" w:sz="4" w:space="0" w:color="auto"/>
            </w:tcBorders>
            <w:vAlign w:val="bottom"/>
            <w:hideMark/>
          </w:tcPr>
          <w:p w14:paraId="0B9B83D0"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significantly affects economic growth.</w:t>
            </w:r>
          </w:p>
        </w:tc>
      </w:tr>
      <w:tr w:rsidR="00730BD2" w:rsidRPr="006435D7" w14:paraId="2A938A52" w14:textId="77777777" w:rsidTr="00C066CC">
        <w:trPr>
          <w:trHeight w:val="467"/>
        </w:trPr>
        <w:tc>
          <w:tcPr>
            <w:tcW w:w="1815" w:type="dxa"/>
            <w:tcBorders>
              <w:top w:val="nil"/>
              <w:left w:val="single" w:sz="4" w:space="0" w:color="auto"/>
              <w:bottom w:val="single" w:sz="4" w:space="0" w:color="auto"/>
              <w:right w:val="single" w:sz="4" w:space="0" w:color="auto"/>
            </w:tcBorders>
            <w:vAlign w:val="bottom"/>
            <w:hideMark/>
          </w:tcPr>
          <w:p w14:paraId="27E3440E"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GDP does not Granger-cause coal consumption</w:t>
            </w:r>
          </w:p>
        </w:tc>
        <w:tc>
          <w:tcPr>
            <w:tcW w:w="990" w:type="dxa"/>
            <w:tcBorders>
              <w:top w:val="nil"/>
              <w:left w:val="nil"/>
              <w:bottom w:val="single" w:sz="4" w:space="0" w:color="auto"/>
              <w:right w:val="single" w:sz="4" w:space="0" w:color="auto"/>
            </w:tcBorders>
            <w:vAlign w:val="bottom"/>
            <w:hideMark/>
          </w:tcPr>
          <w:p w14:paraId="54B69936"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5.214</w:t>
            </w:r>
          </w:p>
        </w:tc>
        <w:tc>
          <w:tcPr>
            <w:tcW w:w="810" w:type="dxa"/>
            <w:tcBorders>
              <w:top w:val="nil"/>
              <w:left w:val="nil"/>
              <w:bottom w:val="single" w:sz="4" w:space="0" w:color="auto"/>
              <w:right w:val="single" w:sz="4" w:space="0" w:color="auto"/>
            </w:tcBorders>
            <w:vAlign w:val="bottom"/>
            <w:hideMark/>
          </w:tcPr>
          <w:p w14:paraId="7C209B6F"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w:t>
            </w:r>
          </w:p>
        </w:tc>
        <w:tc>
          <w:tcPr>
            <w:tcW w:w="2160" w:type="dxa"/>
            <w:tcBorders>
              <w:top w:val="nil"/>
              <w:left w:val="nil"/>
              <w:bottom w:val="single" w:sz="4" w:space="0" w:color="auto"/>
              <w:right w:val="single" w:sz="4" w:space="0" w:color="auto"/>
            </w:tcBorders>
            <w:vAlign w:val="bottom"/>
            <w:hideMark/>
          </w:tcPr>
          <w:p w14:paraId="09F7E3F8"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p>
        </w:tc>
        <w:tc>
          <w:tcPr>
            <w:tcW w:w="1350" w:type="dxa"/>
            <w:tcBorders>
              <w:top w:val="nil"/>
              <w:left w:val="nil"/>
              <w:bottom w:val="single" w:sz="4" w:space="0" w:color="auto"/>
              <w:right w:val="single" w:sz="4" w:space="0" w:color="auto"/>
            </w:tcBorders>
            <w:vAlign w:val="bottom"/>
            <w:hideMark/>
          </w:tcPr>
          <w:p w14:paraId="05F1514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GDP → COAL</w:t>
            </w:r>
          </w:p>
        </w:tc>
        <w:tc>
          <w:tcPr>
            <w:tcW w:w="2700" w:type="dxa"/>
            <w:tcBorders>
              <w:top w:val="nil"/>
              <w:left w:val="nil"/>
              <w:bottom w:val="single" w:sz="4" w:space="0" w:color="auto"/>
              <w:right w:val="single" w:sz="4" w:space="0" w:color="auto"/>
            </w:tcBorders>
            <w:vAlign w:val="bottom"/>
            <w:hideMark/>
          </w:tcPr>
          <w:p w14:paraId="15C7BC6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significantly increases coal demand.</w:t>
            </w:r>
          </w:p>
        </w:tc>
      </w:tr>
      <w:tr w:rsidR="00730BD2" w:rsidRPr="006435D7" w14:paraId="511D125D" w14:textId="77777777" w:rsidTr="00C066CC">
        <w:trPr>
          <w:trHeight w:val="64"/>
        </w:trPr>
        <w:tc>
          <w:tcPr>
            <w:tcW w:w="1815" w:type="dxa"/>
            <w:tcBorders>
              <w:top w:val="nil"/>
              <w:left w:val="single" w:sz="4" w:space="0" w:color="auto"/>
              <w:bottom w:val="single" w:sz="4" w:space="0" w:color="auto"/>
              <w:right w:val="single" w:sz="4" w:space="0" w:color="auto"/>
            </w:tcBorders>
            <w:vAlign w:val="bottom"/>
            <w:hideMark/>
          </w:tcPr>
          <w:p w14:paraId="792E298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990" w:type="dxa"/>
            <w:tcBorders>
              <w:top w:val="nil"/>
              <w:left w:val="nil"/>
              <w:bottom w:val="single" w:sz="4" w:space="0" w:color="auto"/>
              <w:right w:val="single" w:sz="4" w:space="0" w:color="auto"/>
            </w:tcBorders>
            <w:vAlign w:val="bottom"/>
            <w:hideMark/>
          </w:tcPr>
          <w:p w14:paraId="7AFC13A7"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810" w:type="dxa"/>
            <w:tcBorders>
              <w:top w:val="nil"/>
              <w:left w:val="nil"/>
              <w:bottom w:val="single" w:sz="4" w:space="0" w:color="auto"/>
              <w:right w:val="single" w:sz="4" w:space="0" w:color="auto"/>
            </w:tcBorders>
            <w:vAlign w:val="bottom"/>
            <w:hideMark/>
          </w:tcPr>
          <w:p w14:paraId="338AF85C"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2160" w:type="dxa"/>
            <w:tcBorders>
              <w:top w:val="nil"/>
              <w:left w:val="nil"/>
              <w:bottom w:val="single" w:sz="4" w:space="0" w:color="auto"/>
              <w:right w:val="single" w:sz="4" w:space="0" w:color="auto"/>
            </w:tcBorders>
            <w:vAlign w:val="bottom"/>
            <w:hideMark/>
          </w:tcPr>
          <w:p w14:paraId="7566C3A6"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350" w:type="dxa"/>
            <w:tcBorders>
              <w:top w:val="nil"/>
              <w:left w:val="nil"/>
              <w:bottom w:val="single" w:sz="4" w:space="0" w:color="auto"/>
              <w:right w:val="single" w:sz="4" w:space="0" w:color="auto"/>
            </w:tcBorders>
            <w:vAlign w:val="bottom"/>
            <w:hideMark/>
          </w:tcPr>
          <w:p w14:paraId="026CBC88" w14:textId="77777777" w:rsidR="00730BD2" w:rsidRPr="006435D7" w:rsidRDefault="00730BD2" w:rsidP="00E14106">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Bidirectional Causality</w:t>
            </w:r>
          </w:p>
        </w:tc>
        <w:tc>
          <w:tcPr>
            <w:tcW w:w="2700" w:type="dxa"/>
            <w:tcBorders>
              <w:top w:val="nil"/>
              <w:left w:val="nil"/>
              <w:bottom w:val="single" w:sz="4" w:space="0" w:color="auto"/>
              <w:right w:val="single" w:sz="4" w:space="0" w:color="auto"/>
            </w:tcBorders>
            <w:vAlign w:val="bottom"/>
            <w:hideMark/>
          </w:tcPr>
          <w:p w14:paraId="20895F63" w14:textId="77777777" w:rsidR="00730BD2" w:rsidRPr="006435D7" w:rsidRDefault="00730BD2"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Both variables influence each other over time.</w:t>
            </w:r>
          </w:p>
        </w:tc>
      </w:tr>
    </w:tbl>
    <w:p w14:paraId="63564982" w14:textId="77777777" w:rsidR="00D72CF5" w:rsidRPr="006435D7" w:rsidRDefault="00FA0D70"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D72CF5" w:rsidRPr="006435D7">
        <w:rPr>
          <w:rFonts w:ascii="Arial" w:hAnsi="Arial" w:cs="Arial"/>
          <w:b/>
          <w:sz w:val="20"/>
          <w:szCs w:val="20"/>
        </w:rPr>
        <w:t xml:space="preserve"> </w:t>
      </w:r>
      <w:r w:rsidR="00D72CF5" w:rsidRPr="006435D7">
        <w:rPr>
          <w:rFonts w:ascii="Arial" w:hAnsi="Arial" w:cs="Arial"/>
          <w:sz w:val="20"/>
          <w:szCs w:val="20"/>
        </w:rPr>
        <w:t>Author’s estimation using Granger causality analysis (EViews 12), with data from World Bank and Ministry of Coal (1980–2025).</w:t>
      </w:r>
    </w:p>
    <w:p w14:paraId="004EE443" w14:textId="65D84124" w:rsidR="00B61608"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D72CF5" w:rsidRPr="006435D7">
        <w:rPr>
          <w:rFonts w:ascii="Arial" w:hAnsi="Arial" w:cs="Arial"/>
          <w:sz w:val="20"/>
          <w:szCs w:val="20"/>
        </w:rPr>
        <w:t xml:space="preserve">Table </w:t>
      </w:r>
      <w:r w:rsidR="0047481C">
        <w:rPr>
          <w:rFonts w:ascii="Arial" w:hAnsi="Arial" w:cs="Arial"/>
          <w:sz w:val="20"/>
          <w:szCs w:val="20"/>
        </w:rPr>
        <w:t>8</w:t>
      </w:r>
      <w:r w:rsidR="00D72CF5" w:rsidRPr="006435D7">
        <w:rPr>
          <w:rFonts w:ascii="Arial" w:hAnsi="Arial" w:cs="Arial"/>
          <w:sz w:val="20"/>
          <w:szCs w:val="20"/>
        </w:rPr>
        <w:t xml:space="preserve"> reports Granger causality test results that explore causal direction between coal consumption and economic growth. Both F-statistics—COAL → GDP (4.682, p = 0.015) and GDP → COAL (5.214, p = 0.010)—are significant at the 5% level, leading to rejection of both null hypotheses. This demonstrates bidirectional causality, implying that coal consumption stimulates economic growth and, in turn, growth increases coal demand. The findings validate the feedback hypothesis, showing mutual reinforcement between energy and economic activity. Such results highlight that India’s GDP expansion is deeply reliant on coal energy, while rapid growth fuels higher energy needs. The bidirectional link underscores the necessity for balanced energy and economic policies to ensure long-term sustainability.</w:t>
      </w:r>
    </w:p>
    <w:p w14:paraId="6D977E42" w14:textId="46BE5FB4" w:rsidR="00D72CF5" w:rsidRPr="006435D7" w:rsidRDefault="00CE2B18" w:rsidP="00FA0D70">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lastRenderedPageBreak/>
        <w:drawing>
          <wp:anchor distT="0" distB="0" distL="114300" distR="114300" simplePos="0" relativeHeight="251663360" behindDoc="0" locked="0" layoutInCell="1" allowOverlap="1" wp14:anchorId="639082A5" wp14:editId="39F0ECF4">
            <wp:simplePos x="0" y="0"/>
            <wp:positionH relativeFrom="column">
              <wp:posOffset>19050</wp:posOffset>
            </wp:positionH>
            <wp:positionV relativeFrom="paragraph">
              <wp:posOffset>361950</wp:posOffset>
            </wp:positionV>
            <wp:extent cx="5939155" cy="3362960"/>
            <wp:effectExtent l="19050" t="0" r="4445" b="0"/>
            <wp:wrapSquare wrapText="bothSides"/>
            <wp:docPr id="54" name="Picture 54" descr="C:\Users\USER\Downloads\Figure_3.4_Scatter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Figure_3.4_Scatter_Plot.png"/>
                    <pic:cNvPicPr>
                      <a:picLocks noChangeAspect="1" noChangeArrowheads="1"/>
                    </pic:cNvPicPr>
                  </pic:nvPicPr>
                  <pic:blipFill>
                    <a:blip r:embed="rId9"/>
                    <a:srcRect t="6729"/>
                    <a:stretch>
                      <a:fillRect/>
                    </a:stretch>
                  </pic:blipFill>
                  <pic:spPr bwMode="auto">
                    <a:xfrm>
                      <a:off x="0" y="0"/>
                      <a:ext cx="5939155" cy="3362960"/>
                    </a:xfrm>
                    <a:prstGeom prst="rect">
                      <a:avLst/>
                    </a:prstGeom>
                    <a:noFill/>
                    <a:ln w="9525">
                      <a:noFill/>
                      <a:miter lim="800000"/>
                      <a:headEnd/>
                      <a:tailEnd/>
                    </a:ln>
                  </pic:spPr>
                </pic:pic>
              </a:graphicData>
            </a:graphic>
          </wp:anchor>
        </w:drawing>
      </w:r>
      <w:r w:rsidR="00B61608" w:rsidRPr="006435D7">
        <w:rPr>
          <w:rFonts w:ascii="Arial" w:hAnsi="Arial" w:cs="Arial"/>
          <w:b/>
          <w:sz w:val="20"/>
          <w:szCs w:val="20"/>
        </w:rPr>
        <w:t>Figure 4: Scatter (</w:t>
      </w:r>
      <w:r w:rsidR="000D3474">
        <w:rPr>
          <w:rFonts w:ascii="Arial" w:hAnsi="Arial" w:cs="Arial"/>
          <w:b/>
          <w:sz w:val="20"/>
          <w:szCs w:val="20"/>
        </w:rPr>
        <w:t>Dotted) Diagram – Relationship b</w:t>
      </w:r>
      <w:r w:rsidR="00B61608" w:rsidRPr="006435D7">
        <w:rPr>
          <w:rFonts w:ascii="Arial" w:hAnsi="Arial" w:cs="Arial"/>
          <w:b/>
          <w:sz w:val="20"/>
          <w:szCs w:val="20"/>
        </w:rPr>
        <w:t>etween Coal Consumption and GDP.</w:t>
      </w:r>
      <w:r w:rsidR="00D72CF5" w:rsidRPr="006435D7">
        <w:rPr>
          <w:rFonts w:ascii="Arial" w:hAnsi="Arial" w:cs="Arial"/>
          <w:b/>
          <w:sz w:val="20"/>
          <w:szCs w:val="20"/>
        </w:rPr>
        <w:br/>
      </w:r>
    </w:p>
    <w:p w14:paraId="67D3925A" w14:textId="26C8A810" w:rsidR="00FA0D70" w:rsidRPr="00E14106" w:rsidRDefault="008E400C" w:rsidP="00173F03">
      <w:pPr>
        <w:tabs>
          <w:tab w:val="left" w:pos="930"/>
        </w:tabs>
        <w:spacing w:after="0" w:line="240" w:lineRule="auto"/>
        <w:jc w:val="both"/>
        <w:rPr>
          <w:rFonts w:ascii="Arial" w:hAnsi="Arial" w:cs="Arial"/>
          <w:b/>
        </w:rPr>
      </w:pPr>
      <w:r w:rsidRPr="00E14106">
        <w:rPr>
          <w:rFonts w:ascii="Arial" w:hAnsi="Arial" w:cs="Arial"/>
          <w:b/>
        </w:rPr>
        <w:t xml:space="preserve">Table </w:t>
      </w:r>
      <w:r w:rsidR="00B34B26">
        <w:rPr>
          <w:rFonts w:ascii="Arial" w:hAnsi="Arial" w:cs="Arial"/>
          <w:b/>
        </w:rPr>
        <w:t>9</w:t>
      </w:r>
      <w:r w:rsidRPr="00E14106">
        <w:rPr>
          <w:rFonts w:ascii="Arial" w:hAnsi="Arial" w:cs="Arial"/>
          <w:b/>
        </w:rPr>
        <w:t xml:space="preserve">: </w:t>
      </w:r>
      <w:r w:rsidR="0075007D" w:rsidRPr="00E14106">
        <w:rPr>
          <w:rFonts w:ascii="Arial" w:hAnsi="Arial" w:cs="Arial"/>
          <w:b/>
        </w:rPr>
        <w:t>Ordinary Least Squares (OLS) Regression Results Showing the Relationship Between Coal Consumption and Economic Growth.</w:t>
      </w:r>
    </w:p>
    <w:tbl>
      <w:tblPr>
        <w:tblW w:w="9825" w:type="dxa"/>
        <w:tblInd w:w="93" w:type="dxa"/>
        <w:tblLook w:val="04A0" w:firstRow="1" w:lastRow="0" w:firstColumn="1" w:lastColumn="0" w:noHBand="0" w:noVBand="1"/>
      </w:tblPr>
      <w:tblGrid>
        <w:gridCol w:w="1576"/>
        <w:gridCol w:w="1336"/>
        <w:gridCol w:w="1513"/>
        <w:gridCol w:w="1350"/>
        <w:gridCol w:w="1260"/>
        <w:gridCol w:w="2790"/>
      </w:tblGrid>
      <w:tr w:rsidR="00FA0D70" w:rsidRPr="006435D7" w14:paraId="32004551" w14:textId="77777777" w:rsidTr="00173F03">
        <w:trPr>
          <w:trHeight w:val="64"/>
        </w:trPr>
        <w:tc>
          <w:tcPr>
            <w:tcW w:w="1576" w:type="dxa"/>
            <w:tcBorders>
              <w:top w:val="single" w:sz="4" w:space="0" w:color="auto"/>
              <w:left w:val="single" w:sz="4" w:space="0" w:color="auto"/>
              <w:bottom w:val="single" w:sz="4" w:space="0" w:color="auto"/>
              <w:right w:val="single" w:sz="4" w:space="0" w:color="auto"/>
            </w:tcBorders>
            <w:vAlign w:val="center"/>
            <w:hideMark/>
          </w:tcPr>
          <w:p w14:paraId="3AA26FF8"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Variable</w:t>
            </w:r>
          </w:p>
        </w:tc>
        <w:tc>
          <w:tcPr>
            <w:tcW w:w="1336" w:type="dxa"/>
            <w:tcBorders>
              <w:top w:val="single" w:sz="4" w:space="0" w:color="auto"/>
              <w:left w:val="nil"/>
              <w:bottom w:val="single" w:sz="4" w:space="0" w:color="auto"/>
              <w:right w:val="single" w:sz="4" w:space="0" w:color="auto"/>
            </w:tcBorders>
            <w:vAlign w:val="center"/>
            <w:hideMark/>
          </w:tcPr>
          <w:p w14:paraId="04AE5ECE"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Coefficient</w:t>
            </w:r>
          </w:p>
        </w:tc>
        <w:tc>
          <w:tcPr>
            <w:tcW w:w="1513" w:type="dxa"/>
            <w:tcBorders>
              <w:top w:val="single" w:sz="4" w:space="0" w:color="auto"/>
              <w:left w:val="nil"/>
              <w:bottom w:val="single" w:sz="4" w:space="0" w:color="auto"/>
              <w:right w:val="single" w:sz="4" w:space="0" w:color="auto"/>
            </w:tcBorders>
            <w:vAlign w:val="center"/>
            <w:hideMark/>
          </w:tcPr>
          <w:p w14:paraId="3077B2EB"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Std. Error</w:t>
            </w:r>
          </w:p>
        </w:tc>
        <w:tc>
          <w:tcPr>
            <w:tcW w:w="1350" w:type="dxa"/>
            <w:tcBorders>
              <w:top w:val="single" w:sz="4" w:space="0" w:color="auto"/>
              <w:left w:val="nil"/>
              <w:bottom w:val="single" w:sz="4" w:space="0" w:color="auto"/>
              <w:right w:val="single" w:sz="4" w:space="0" w:color="auto"/>
            </w:tcBorders>
            <w:vAlign w:val="center"/>
            <w:hideMark/>
          </w:tcPr>
          <w:p w14:paraId="7B17B00B"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t-Statistic</w:t>
            </w:r>
          </w:p>
        </w:tc>
        <w:tc>
          <w:tcPr>
            <w:tcW w:w="1260" w:type="dxa"/>
            <w:tcBorders>
              <w:top w:val="single" w:sz="4" w:space="0" w:color="auto"/>
              <w:left w:val="nil"/>
              <w:bottom w:val="single" w:sz="4" w:space="0" w:color="auto"/>
              <w:right w:val="single" w:sz="4" w:space="0" w:color="auto"/>
            </w:tcBorders>
            <w:vAlign w:val="center"/>
            <w:hideMark/>
          </w:tcPr>
          <w:p w14:paraId="56C98B8F"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790" w:type="dxa"/>
            <w:tcBorders>
              <w:top w:val="single" w:sz="4" w:space="0" w:color="auto"/>
              <w:left w:val="nil"/>
              <w:bottom w:val="single" w:sz="4" w:space="0" w:color="auto"/>
              <w:right w:val="single" w:sz="4" w:space="0" w:color="auto"/>
            </w:tcBorders>
            <w:vAlign w:val="center"/>
            <w:hideMark/>
          </w:tcPr>
          <w:p w14:paraId="0CFBC6A4" w14:textId="77777777" w:rsidR="00FA0D70" w:rsidRPr="006435D7" w:rsidRDefault="00FA0D70" w:rsidP="00173F03">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FA0D70" w:rsidRPr="006435D7" w14:paraId="699D6DDE"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4F6FEFB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Constant</w:t>
            </w:r>
          </w:p>
        </w:tc>
        <w:tc>
          <w:tcPr>
            <w:tcW w:w="1336" w:type="dxa"/>
            <w:tcBorders>
              <w:top w:val="nil"/>
              <w:left w:val="nil"/>
              <w:bottom w:val="single" w:sz="4" w:space="0" w:color="auto"/>
              <w:right w:val="single" w:sz="4" w:space="0" w:color="auto"/>
            </w:tcBorders>
            <w:vAlign w:val="bottom"/>
            <w:hideMark/>
          </w:tcPr>
          <w:p w14:paraId="144B4D25"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2.146</w:t>
            </w:r>
          </w:p>
        </w:tc>
        <w:tc>
          <w:tcPr>
            <w:tcW w:w="1513" w:type="dxa"/>
            <w:tcBorders>
              <w:top w:val="nil"/>
              <w:left w:val="nil"/>
              <w:bottom w:val="single" w:sz="4" w:space="0" w:color="auto"/>
              <w:right w:val="single" w:sz="4" w:space="0" w:color="auto"/>
            </w:tcBorders>
            <w:vAlign w:val="bottom"/>
            <w:hideMark/>
          </w:tcPr>
          <w:p w14:paraId="27DB30E0"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0.512</w:t>
            </w:r>
          </w:p>
        </w:tc>
        <w:tc>
          <w:tcPr>
            <w:tcW w:w="1350" w:type="dxa"/>
            <w:tcBorders>
              <w:top w:val="nil"/>
              <w:left w:val="nil"/>
              <w:bottom w:val="single" w:sz="4" w:space="0" w:color="auto"/>
              <w:right w:val="single" w:sz="4" w:space="0" w:color="auto"/>
            </w:tcBorders>
            <w:vAlign w:val="bottom"/>
            <w:hideMark/>
          </w:tcPr>
          <w:p w14:paraId="1EEED034"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4.191</w:t>
            </w:r>
          </w:p>
        </w:tc>
        <w:tc>
          <w:tcPr>
            <w:tcW w:w="1260" w:type="dxa"/>
            <w:tcBorders>
              <w:top w:val="nil"/>
              <w:left w:val="nil"/>
              <w:bottom w:val="single" w:sz="4" w:space="0" w:color="auto"/>
              <w:right w:val="single" w:sz="4" w:space="0" w:color="auto"/>
            </w:tcBorders>
            <w:vAlign w:val="bottom"/>
            <w:hideMark/>
          </w:tcPr>
          <w:p w14:paraId="4AB611AA"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2790" w:type="dxa"/>
            <w:tcBorders>
              <w:top w:val="nil"/>
              <w:left w:val="nil"/>
              <w:bottom w:val="single" w:sz="4" w:space="0" w:color="auto"/>
              <w:right w:val="single" w:sz="4" w:space="0" w:color="auto"/>
            </w:tcBorders>
            <w:vAlign w:val="bottom"/>
            <w:hideMark/>
          </w:tcPr>
          <w:p w14:paraId="45D07821"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Intercept</w:t>
            </w:r>
          </w:p>
        </w:tc>
      </w:tr>
      <w:tr w:rsidR="00FA0D70" w:rsidRPr="006435D7" w14:paraId="3DDC4D7E"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578CBC5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ln(COAL)</w:t>
            </w:r>
          </w:p>
        </w:tc>
        <w:tc>
          <w:tcPr>
            <w:tcW w:w="1336" w:type="dxa"/>
            <w:tcBorders>
              <w:top w:val="nil"/>
              <w:left w:val="nil"/>
              <w:bottom w:val="single" w:sz="4" w:space="0" w:color="auto"/>
              <w:right w:val="single" w:sz="4" w:space="0" w:color="auto"/>
            </w:tcBorders>
            <w:vAlign w:val="bottom"/>
            <w:hideMark/>
          </w:tcPr>
          <w:p w14:paraId="4D22DFAD"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0.582</w:t>
            </w:r>
          </w:p>
        </w:tc>
        <w:tc>
          <w:tcPr>
            <w:tcW w:w="1513" w:type="dxa"/>
            <w:tcBorders>
              <w:top w:val="nil"/>
              <w:left w:val="nil"/>
              <w:bottom w:val="single" w:sz="4" w:space="0" w:color="auto"/>
              <w:right w:val="single" w:sz="4" w:space="0" w:color="auto"/>
            </w:tcBorders>
            <w:vAlign w:val="bottom"/>
            <w:hideMark/>
          </w:tcPr>
          <w:p w14:paraId="4DEBC9E9"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0.123</w:t>
            </w:r>
          </w:p>
        </w:tc>
        <w:tc>
          <w:tcPr>
            <w:tcW w:w="1350" w:type="dxa"/>
            <w:tcBorders>
              <w:top w:val="nil"/>
              <w:left w:val="nil"/>
              <w:bottom w:val="single" w:sz="4" w:space="0" w:color="auto"/>
              <w:right w:val="single" w:sz="4" w:space="0" w:color="auto"/>
            </w:tcBorders>
            <w:vAlign w:val="bottom"/>
            <w:hideMark/>
          </w:tcPr>
          <w:p w14:paraId="69ADD638"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4.731</w:t>
            </w:r>
          </w:p>
        </w:tc>
        <w:tc>
          <w:tcPr>
            <w:tcW w:w="1260" w:type="dxa"/>
            <w:tcBorders>
              <w:top w:val="nil"/>
              <w:left w:val="nil"/>
              <w:bottom w:val="single" w:sz="4" w:space="0" w:color="auto"/>
              <w:right w:val="single" w:sz="4" w:space="0" w:color="auto"/>
            </w:tcBorders>
            <w:vAlign w:val="bottom"/>
            <w:hideMark/>
          </w:tcPr>
          <w:p w14:paraId="4D0015BC"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2790" w:type="dxa"/>
            <w:tcBorders>
              <w:top w:val="nil"/>
              <w:left w:val="nil"/>
              <w:bottom w:val="single" w:sz="4" w:space="0" w:color="auto"/>
              <w:right w:val="single" w:sz="4" w:space="0" w:color="auto"/>
            </w:tcBorders>
            <w:vAlign w:val="bottom"/>
            <w:hideMark/>
          </w:tcPr>
          <w:p w14:paraId="174E9CA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significantly boosts GDP</w:t>
            </w:r>
          </w:p>
        </w:tc>
      </w:tr>
      <w:tr w:rsidR="00FA0D70" w:rsidRPr="006435D7" w14:paraId="78E4BDBD"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4795B5A9"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ln(CAPITAL)</w:t>
            </w:r>
          </w:p>
        </w:tc>
        <w:tc>
          <w:tcPr>
            <w:tcW w:w="1336" w:type="dxa"/>
            <w:tcBorders>
              <w:top w:val="nil"/>
              <w:left w:val="nil"/>
              <w:bottom w:val="single" w:sz="4" w:space="0" w:color="auto"/>
              <w:right w:val="single" w:sz="4" w:space="0" w:color="auto"/>
            </w:tcBorders>
            <w:vAlign w:val="bottom"/>
            <w:hideMark/>
          </w:tcPr>
          <w:p w14:paraId="5566FAE5"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0.265</w:t>
            </w:r>
          </w:p>
        </w:tc>
        <w:tc>
          <w:tcPr>
            <w:tcW w:w="1513" w:type="dxa"/>
            <w:tcBorders>
              <w:top w:val="nil"/>
              <w:left w:val="nil"/>
              <w:bottom w:val="single" w:sz="4" w:space="0" w:color="auto"/>
              <w:right w:val="single" w:sz="4" w:space="0" w:color="auto"/>
            </w:tcBorders>
            <w:vAlign w:val="bottom"/>
            <w:hideMark/>
          </w:tcPr>
          <w:p w14:paraId="6AB40F9C"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0.095</w:t>
            </w:r>
          </w:p>
        </w:tc>
        <w:tc>
          <w:tcPr>
            <w:tcW w:w="1350" w:type="dxa"/>
            <w:tcBorders>
              <w:top w:val="nil"/>
              <w:left w:val="nil"/>
              <w:bottom w:val="single" w:sz="4" w:space="0" w:color="auto"/>
              <w:right w:val="single" w:sz="4" w:space="0" w:color="auto"/>
            </w:tcBorders>
            <w:vAlign w:val="bottom"/>
            <w:hideMark/>
          </w:tcPr>
          <w:p w14:paraId="18C7CD82"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2.789</w:t>
            </w:r>
          </w:p>
        </w:tc>
        <w:tc>
          <w:tcPr>
            <w:tcW w:w="1260" w:type="dxa"/>
            <w:tcBorders>
              <w:top w:val="nil"/>
              <w:left w:val="nil"/>
              <w:bottom w:val="single" w:sz="4" w:space="0" w:color="auto"/>
              <w:right w:val="single" w:sz="4" w:space="0" w:color="auto"/>
            </w:tcBorders>
            <w:vAlign w:val="bottom"/>
            <w:hideMark/>
          </w:tcPr>
          <w:p w14:paraId="4423B50A"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0.008</w:t>
            </w:r>
          </w:p>
        </w:tc>
        <w:tc>
          <w:tcPr>
            <w:tcW w:w="2790" w:type="dxa"/>
            <w:tcBorders>
              <w:top w:val="nil"/>
              <w:left w:val="nil"/>
              <w:bottom w:val="single" w:sz="4" w:space="0" w:color="auto"/>
              <w:right w:val="single" w:sz="4" w:space="0" w:color="auto"/>
            </w:tcBorders>
            <w:vAlign w:val="bottom"/>
            <w:hideMark/>
          </w:tcPr>
          <w:p w14:paraId="28E51F0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Positive impact</w:t>
            </w:r>
          </w:p>
        </w:tc>
      </w:tr>
      <w:tr w:rsidR="00FA0D70" w:rsidRPr="006435D7" w14:paraId="3517A15F"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7A4FE634"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ln(LABOUR)</w:t>
            </w:r>
          </w:p>
        </w:tc>
        <w:tc>
          <w:tcPr>
            <w:tcW w:w="1336" w:type="dxa"/>
            <w:tcBorders>
              <w:top w:val="nil"/>
              <w:left w:val="nil"/>
              <w:bottom w:val="single" w:sz="4" w:space="0" w:color="auto"/>
              <w:right w:val="single" w:sz="4" w:space="0" w:color="auto"/>
            </w:tcBorders>
            <w:vAlign w:val="bottom"/>
            <w:hideMark/>
          </w:tcPr>
          <w:p w14:paraId="663F647B"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0.192</w:t>
            </w:r>
          </w:p>
        </w:tc>
        <w:tc>
          <w:tcPr>
            <w:tcW w:w="1513" w:type="dxa"/>
            <w:tcBorders>
              <w:top w:val="nil"/>
              <w:left w:val="nil"/>
              <w:bottom w:val="single" w:sz="4" w:space="0" w:color="auto"/>
              <w:right w:val="single" w:sz="4" w:space="0" w:color="auto"/>
            </w:tcBorders>
            <w:vAlign w:val="bottom"/>
            <w:hideMark/>
          </w:tcPr>
          <w:p w14:paraId="28FEABCF"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0.087</w:t>
            </w:r>
          </w:p>
        </w:tc>
        <w:tc>
          <w:tcPr>
            <w:tcW w:w="1350" w:type="dxa"/>
            <w:tcBorders>
              <w:top w:val="nil"/>
              <w:left w:val="nil"/>
              <w:bottom w:val="single" w:sz="4" w:space="0" w:color="auto"/>
              <w:right w:val="single" w:sz="4" w:space="0" w:color="auto"/>
            </w:tcBorders>
            <w:vAlign w:val="bottom"/>
            <w:hideMark/>
          </w:tcPr>
          <w:p w14:paraId="4D11F7F8"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2.207</w:t>
            </w:r>
          </w:p>
        </w:tc>
        <w:tc>
          <w:tcPr>
            <w:tcW w:w="1260" w:type="dxa"/>
            <w:tcBorders>
              <w:top w:val="nil"/>
              <w:left w:val="nil"/>
              <w:bottom w:val="single" w:sz="4" w:space="0" w:color="auto"/>
              <w:right w:val="single" w:sz="4" w:space="0" w:color="auto"/>
            </w:tcBorders>
            <w:vAlign w:val="bottom"/>
            <w:hideMark/>
          </w:tcPr>
          <w:p w14:paraId="4562C1C8"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0.034</w:t>
            </w:r>
          </w:p>
        </w:tc>
        <w:tc>
          <w:tcPr>
            <w:tcW w:w="2790" w:type="dxa"/>
            <w:tcBorders>
              <w:top w:val="nil"/>
              <w:left w:val="nil"/>
              <w:bottom w:val="single" w:sz="4" w:space="0" w:color="auto"/>
              <w:right w:val="single" w:sz="4" w:space="0" w:color="auto"/>
            </w:tcBorders>
            <w:vAlign w:val="bottom"/>
            <w:hideMark/>
          </w:tcPr>
          <w:p w14:paraId="78B0E394"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Significant</w:t>
            </w:r>
          </w:p>
        </w:tc>
      </w:tr>
      <w:tr w:rsidR="00FA0D70" w:rsidRPr="006435D7" w14:paraId="1CED91BF" w14:textId="77777777" w:rsidTr="00173F03">
        <w:trPr>
          <w:trHeight w:val="64"/>
        </w:trPr>
        <w:tc>
          <w:tcPr>
            <w:tcW w:w="1576" w:type="dxa"/>
            <w:tcBorders>
              <w:top w:val="nil"/>
              <w:left w:val="single" w:sz="4" w:space="0" w:color="auto"/>
              <w:bottom w:val="single" w:sz="4" w:space="0" w:color="auto"/>
              <w:right w:val="single" w:sz="4" w:space="0" w:color="auto"/>
            </w:tcBorders>
            <w:vAlign w:val="bottom"/>
            <w:hideMark/>
          </w:tcPr>
          <w:p w14:paraId="6696960C"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R² = 0.951</w:t>
            </w:r>
          </w:p>
        </w:tc>
        <w:tc>
          <w:tcPr>
            <w:tcW w:w="1336" w:type="dxa"/>
            <w:tcBorders>
              <w:top w:val="nil"/>
              <w:left w:val="nil"/>
              <w:bottom w:val="single" w:sz="4" w:space="0" w:color="auto"/>
              <w:right w:val="single" w:sz="4" w:space="0" w:color="auto"/>
            </w:tcBorders>
            <w:vAlign w:val="bottom"/>
            <w:hideMark/>
          </w:tcPr>
          <w:p w14:paraId="3A0730B6"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Adj. R² = 0.946</w:t>
            </w:r>
          </w:p>
        </w:tc>
        <w:tc>
          <w:tcPr>
            <w:tcW w:w="1513" w:type="dxa"/>
            <w:tcBorders>
              <w:top w:val="nil"/>
              <w:left w:val="nil"/>
              <w:bottom w:val="single" w:sz="4" w:space="0" w:color="auto"/>
              <w:right w:val="single" w:sz="4" w:space="0" w:color="auto"/>
            </w:tcBorders>
            <w:vAlign w:val="bottom"/>
            <w:hideMark/>
          </w:tcPr>
          <w:p w14:paraId="40E4949A"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215.82</w:t>
            </w:r>
          </w:p>
        </w:tc>
        <w:tc>
          <w:tcPr>
            <w:tcW w:w="1350" w:type="dxa"/>
            <w:tcBorders>
              <w:top w:val="nil"/>
              <w:left w:val="nil"/>
              <w:bottom w:val="single" w:sz="4" w:space="0" w:color="auto"/>
              <w:right w:val="single" w:sz="4" w:space="0" w:color="auto"/>
            </w:tcBorders>
            <w:vAlign w:val="bottom"/>
            <w:hideMark/>
          </w:tcPr>
          <w:p w14:paraId="1C25B3A9"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Prob(F) &lt; 0.01</w:t>
            </w:r>
          </w:p>
        </w:tc>
        <w:tc>
          <w:tcPr>
            <w:tcW w:w="1260" w:type="dxa"/>
            <w:tcBorders>
              <w:top w:val="nil"/>
              <w:left w:val="nil"/>
              <w:bottom w:val="single" w:sz="4" w:space="0" w:color="auto"/>
              <w:right w:val="single" w:sz="4" w:space="0" w:color="auto"/>
            </w:tcBorders>
            <w:vAlign w:val="bottom"/>
            <w:hideMark/>
          </w:tcPr>
          <w:p w14:paraId="6D6A1A75" w14:textId="77777777" w:rsidR="00FA0D70" w:rsidRPr="006435D7" w:rsidRDefault="00FA0D70" w:rsidP="00173F03">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fits well</w:t>
            </w:r>
          </w:p>
        </w:tc>
        <w:tc>
          <w:tcPr>
            <w:tcW w:w="2790" w:type="dxa"/>
            <w:tcBorders>
              <w:top w:val="nil"/>
              <w:left w:val="nil"/>
              <w:bottom w:val="single" w:sz="4" w:space="0" w:color="auto"/>
              <w:right w:val="single" w:sz="4" w:space="0" w:color="auto"/>
            </w:tcBorders>
            <w:vAlign w:val="bottom"/>
            <w:hideMark/>
          </w:tcPr>
          <w:p w14:paraId="1A85DFF6" w14:textId="77777777" w:rsidR="00FA0D70" w:rsidRPr="006435D7" w:rsidRDefault="00FA0D70" w:rsidP="00173F03">
            <w:pPr>
              <w:spacing w:after="0" w:line="240" w:lineRule="auto"/>
              <w:jc w:val="center"/>
              <w:rPr>
                <w:rFonts w:ascii="Arial" w:eastAsia="Times New Roman" w:hAnsi="Arial" w:cs="Arial"/>
                <w:color w:val="000000"/>
                <w:sz w:val="20"/>
                <w:szCs w:val="20"/>
              </w:rPr>
            </w:pPr>
          </w:p>
        </w:tc>
      </w:tr>
    </w:tbl>
    <w:p w14:paraId="60FD1AC3" w14:textId="77777777" w:rsidR="001308CF" w:rsidRPr="006435D7" w:rsidRDefault="00FA0D70"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1308CF" w:rsidRPr="006435D7">
        <w:rPr>
          <w:rFonts w:ascii="Arial" w:hAnsi="Arial" w:cs="Arial"/>
          <w:b/>
          <w:sz w:val="20"/>
          <w:szCs w:val="20"/>
        </w:rPr>
        <w:t xml:space="preserve"> </w:t>
      </w:r>
      <w:r w:rsidR="001308CF" w:rsidRPr="006435D7">
        <w:rPr>
          <w:rFonts w:ascii="Arial" w:hAnsi="Arial" w:cs="Arial"/>
          <w:sz w:val="20"/>
          <w:szCs w:val="20"/>
        </w:rPr>
        <w:t>Author’s regression analysis using OLS model (EViews 12), with data from World Bank, RBI, and Ministry of Coal (1980–2025).</w:t>
      </w:r>
    </w:p>
    <w:p w14:paraId="68F88487" w14:textId="1E36D60A" w:rsidR="001308CF" w:rsidRPr="006435D7" w:rsidRDefault="008C0AF1"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1308CF" w:rsidRPr="006435D7">
        <w:rPr>
          <w:rFonts w:ascii="Arial" w:hAnsi="Arial" w:cs="Arial"/>
          <w:sz w:val="20"/>
          <w:szCs w:val="20"/>
        </w:rPr>
        <w:t xml:space="preserve">Table </w:t>
      </w:r>
      <w:r w:rsidR="00B34B26">
        <w:rPr>
          <w:rFonts w:ascii="Arial" w:hAnsi="Arial" w:cs="Arial"/>
          <w:sz w:val="20"/>
          <w:szCs w:val="20"/>
        </w:rPr>
        <w:t>9</w:t>
      </w:r>
      <w:r w:rsidR="001308CF" w:rsidRPr="006435D7">
        <w:rPr>
          <w:rFonts w:ascii="Arial" w:hAnsi="Arial" w:cs="Arial"/>
          <w:sz w:val="20"/>
          <w:szCs w:val="20"/>
        </w:rPr>
        <w:t xml:space="preserve"> shows the OLS regression results explaining how GDP responds to changes in coal consumption, capital, and labour. The coefficients for ln(COAL) (0.582, p &lt; 0.01), ln(CAPITAL) (0.265, p &lt; 0.01), and ln(LABOUR) (0.192, p &lt; 0.05) are all positive and statistically significant, demonstrating that these variables contribute positively to economic growth. The model exhibits a strong fit (R² = 0.951), explaining 95% of GDP variation. The results suggest that coal remains a primary energy source driving industrial and GDP growth in India. Although OLS provides a static snapshot, it reinforces the dynamic </w:t>
      </w:r>
      <w:r w:rsidR="001308CF" w:rsidRPr="006435D7">
        <w:rPr>
          <w:rFonts w:ascii="Arial" w:hAnsi="Arial" w:cs="Arial"/>
          <w:sz w:val="20"/>
          <w:szCs w:val="20"/>
        </w:rPr>
        <w:lastRenderedPageBreak/>
        <w:t>findings from ARDL and ECM models. Thus, energy investment continues to be a critical component of India’s growth framework.</w:t>
      </w:r>
    </w:p>
    <w:p w14:paraId="21011925" w14:textId="36EB0435" w:rsidR="00441C14" w:rsidRPr="00E14106" w:rsidRDefault="00441C14" w:rsidP="00FA0D70">
      <w:pPr>
        <w:tabs>
          <w:tab w:val="left" w:pos="930"/>
        </w:tabs>
        <w:spacing w:after="0" w:line="360" w:lineRule="auto"/>
        <w:jc w:val="both"/>
        <w:rPr>
          <w:rFonts w:ascii="Arial" w:hAnsi="Arial" w:cs="Arial"/>
          <w:b/>
        </w:rPr>
      </w:pPr>
      <w:r w:rsidRPr="00E14106">
        <w:rPr>
          <w:rFonts w:ascii="Arial" w:hAnsi="Arial" w:cs="Arial"/>
          <w:b/>
        </w:rPr>
        <w:t xml:space="preserve">Figure </w:t>
      </w:r>
      <w:r w:rsidR="009C5125">
        <w:rPr>
          <w:rFonts w:ascii="Arial" w:hAnsi="Arial" w:cs="Arial"/>
          <w:b/>
        </w:rPr>
        <w:t>5</w:t>
      </w:r>
      <w:r w:rsidRPr="00E14106">
        <w:rPr>
          <w:rFonts w:ascii="Arial" w:hAnsi="Arial" w:cs="Arial"/>
          <w:b/>
        </w:rPr>
        <w:t>: Pie Chart – Contribution of Key Factors to GDP Growth in India.</w:t>
      </w:r>
    </w:p>
    <w:p w14:paraId="422E5BB6" w14:textId="77777777" w:rsidR="00441C14" w:rsidRPr="006435D7" w:rsidRDefault="00441C14" w:rsidP="00FA0D70">
      <w:pPr>
        <w:tabs>
          <w:tab w:val="left" w:pos="930"/>
        </w:tabs>
        <w:spacing w:after="0" w:line="360" w:lineRule="auto"/>
        <w:jc w:val="both"/>
        <w:rPr>
          <w:rFonts w:ascii="Arial" w:hAnsi="Arial" w:cs="Arial"/>
          <w:b/>
          <w:sz w:val="20"/>
          <w:szCs w:val="20"/>
        </w:rPr>
      </w:pPr>
      <w:r w:rsidRPr="006435D7">
        <w:rPr>
          <w:rFonts w:ascii="Arial" w:hAnsi="Arial" w:cs="Arial"/>
          <w:b/>
          <w:noProof/>
          <w:sz w:val="20"/>
          <w:szCs w:val="20"/>
        </w:rPr>
        <w:drawing>
          <wp:anchor distT="0" distB="0" distL="114300" distR="114300" simplePos="0" relativeHeight="251662336" behindDoc="0" locked="0" layoutInCell="1" allowOverlap="1" wp14:anchorId="6ABF0D87" wp14:editId="3E76D96C">
            <wp:simplePos x="0" y="0"/>
            <wp:positionH relativeFrom="column">
              <wp:posOffset>96520</wp:posOffset>
            </wp:positionH>
            <wp:positionV relativeFrom="paragraph">
              <wp:posOffset>181610</wp:posOffset>
            </wp:positionV>
            <wp:extent cx="4923155" cy="2907030"/>
            <wp:effectExtent l="19050" t="0" r="0" b="0"/>
            <wp:wrapSquare wrapText="bothSides"/>
            <wp:docPr id="53" name="Picture 53" descr="C:\Users\USER\Downloads\Figure_3.3_Pi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ownloads\Figure_3.3_Pie_Chart.png"/>
                    <pic:cNvPicPr>
                      <a:picLocks noChangeAspect="1" noChangeArrowheads="1"/>
                    </pic:cNvPicPr>
                  </pic:nvPicPr>
                  <pic:blipFill>
                    <a:blip r:embed="rId10"/>
                    <a:srcRect t="16794"/>
                    <a:stretch>
                      <a:fillRect/>
                    </a:stretch>
                  </pic:blipFill>
                  <pic:spPr bwMode="auto">
                    <a:xfrm>
                      <a:off x="0" y="0"/>
                      <a:ext cx="4923155" cy="2907030"/>
                    </a:xfrm>
                    <a:prstGeom prst="rect">
                      <a:avLst/>
                    </a:prstGeom>
                    <a:noFill/>
                    <a:ln w="9525">
                      <a:noFill/>
                      <a:miter lim="800000"/>
                      <a:headEnd/>
                      <a:tailEnd/>
                    </a:ln>
                  </pic:spPr>
                </pic:pic>
              </a:graphicData>
            </a:graphic>
          </wp:anchor>
        </w:drawing>
      </w:r>
    </w:p>
    <w:p w14:paraId="07812299" w14:textId="77777777" w:rsidR="00441C14" w:rsidRPr="006435D7" w:rsidRDefault="00441C14" w:rsidP="00FA0D70">
      <w:pPr>
        <w:tabs>
          <w:tab w:val="left" w:pos="930"/>
        </w:tabs>
        <w:spacing w:after="0" w:line="360" w:lineRule="auto"/>
        <w:jc w:val="both"/>
        <w:rPr>
          <w:rFonts w:ascii="Arial" w:hAnsi="Arial" w:cs="Arial"/>
          <w:b/>
          <w:sz w:val="20"/>
          <w:szCs w:val="20"/>
        </w:rPr>
      </w:pPr>
    </w:p>
    <w:p w14:paraId="0018F405" w14:textId="77777777" w:rsidR="00441C14" w:rsidRPr="006435D7" w:rsidRDefault="00441C14" w:rsidP="00FA0D70">
      <w:pPr>
        <w:tabs>
          <w:tab w:val="left" w:pos="930"/>
        </w:tabs>
        <w:spacing w:after="0" w:line="360" w:lineRule="auto"/>
        <w:jc w:val="both"/>
        <w:rPr>
          <w:rFonts w:ascii="Arial" w:hAnsi="Arial" w:cs="Arial"/>
          <w:b/>
          <w:sz w:val="20"/>
          <w:szCs w:val="20"/>
        </w:rPr>
      </w:pPr>
    </w:p>
    <w:p w14:paraId="58560C47" w14:textId="77777777" w:rsidR="00441C14" w:rsidRPr="006435D7" w:rsidRDefault="00441C14" w:rsidP="00FA0D70">
      <w:pPr>
        <w:tabs>
          <w:tab w:val="left" w:pos="930"/>
        </w:tabs>
        <w:spacing w:after="0" w:line="360" w:lineRule="auto"/>
        <w:jc w:val="both"/>
        <w:rPr>
          <w:rFonts w:ascii="Arial" w:hAnsi="Arial" w:cs="Arial"/>
          <w:b/>
          <w:sz w:val="20"/>
          <w:szCs w:val="20"/>
        </w:rPr>
      </w:pPr>
    </w:p>
    <w:p w14:paraId="7821DCED" w14:textId="77777777" w:rsidR="00441C14" w:rsidRPr="006435D7" w:rsidRDefault="00441C14" w:rsidP="00FA0D70">
      <w:pPr>
        <w:tabs>
          <w:tab w:val="left" w:pos="930"/>
        </w:tabs>
        <w:spacing w:after="0" w:line="360" w:lineRule="auto"/>
        <w:jc w:val="both"/>
        <w:rPr>
          <w:rFonts w:ascii="Arial" w:hAnsi="Arial" w:cs="Arial"/>
          <w:b/>
          <w:sz w:val="20"/>
          <w:szCs w:val="20"/>
        </w:rPr>
      </w:pPr>
    </w:p>
    <w:p w14:paraId="46257578" w14:textId="77777777" w:rsidR="00441C14" w:rsidRPr="006435D7" w:rsidRDefault="00441C14" w:rsidP="00FA0D70">
      <w:pPr>
        <w:tabs>
          <w:tab w:val="left" w:pos="930"/>
        </w:tabs>
        <w:spacing w:after="0" w:line="360" w:lineRule="auto"/>
        <w:jc w:val="both"/>
        <w:rPr>
          <w:rFonts w:ascii="Arial" w:hAnsi="Arial" w:cs="Arial"/>
          <w:b/>
          <w:sz w:val="20"/>
          <w:szCs w:val="20"/>
        </w:rPr>
      </w:pPr>
    </w:p>
    <w:p w14:paraId="261862B9" w14:textId="77777777" w:rsidR="00441C14" w:rsidRPr="006435D7" w:rsidRDefault="00441C14" w:rsidP="00FA0D70">
      <w:pPr>
        <w:tabs>
          <w:tab w:val="left" w:pos="930"/>
        </w:tabs>
        <w:spacing w:after="0" w:line="360" w:lineRule="auto"/>
        <w:jc w:val="both"/>
        <w:rPr>
          <w:rFonts w:ascii="Arial" w:hAnsi="Arial" w:cs="Arial"/>
          <w:b/>
          <w:sz w:val="20"/>
          <w:szCs w:val="20"/>
        </w:rPr>
      </w:pPr>
    </w:p>
    <w:p w14:paraId="10901CCA" w14:textId="77777777" w:rsidR="00441C14" w:rsidRPr="006435D7" w:rsidRDefault="00441C14" w:rsidP="00FA0D70">
      <w:pPr>
        <w:tabs>
          <w:tab w:val="left" w:pos="930"/>
        </w:tabs>
        <w:spacing w:after="0" w:line="360" w:lineRule="auto"/>
        <w:jc w:val="both"/>
        <w:rPr>
          <w:rFonts w:ascii="Arial" w:hAnsi="Arial" w:cs="Arial"/>
          <w:b/>
          <w:sz w:val="20"/>
          <w:szCs w:val="20"/>
        </w:rPr>
      </w:pPr>
    </w:p>
    <w:p w14:paraId="03AD3319" w14:textId="77777777" w:rsidR="00441C14" w:rsidRPr="006435D7" w:rsidRDefault="00441C14" w:rsidP="00FA0D70">
      <w:pPr>
        <w:tabs>
          <w:tab w:val="left" w:pos="930"/>
        </w:tabs>
        <w:spacing w:after="0" w:line="360" w:lineRule="auto"/>
        <w:jc w:val="both"/>
        <w:rPr>
          <w:rFonts w:ascii="Arial" w:hAnsi="Arial" w:cs="Arial"/>
          <w:b/>
          <w:sz w:val="20"/>
          <w:szCs w:val="20"/>
        </w:rPr>
      </w:pPr>
    </w:p>
    <w:p w14:paraId="268E0506" w14:textId="77777777" w:rsidR="00441C14" w:rsidRPr="006435D7" w:rsidRDefault="00441C14" w:rsidP="00FA0D70">
      <w:pPr>
        <w:tabs>
          <w:tab w:val="left" w:pos="930"/>
        </w:tabs>
        <w:spacing w:after="0" w:line="360" w:lineRule="auto"/>
        <w:jc w:val="both"/>
        <w:rPr>
          <w:rFonts w:ascii="Arial" w:hAnsi="Arial" w:cs="Arial"/>
          <w:b/>
          <w:sz w:val="20"/>
          <w:szCs w:val="20"/>
        </w:rPr>
      </w:pPr>
    </w:p>
    <w:p w14:paraId="316380D6" w14:textId="77777777" w:rsidR="00441C14" w:rsidRPr="006435D7" w:rsidRDefault="00441C14" w:rsidP="00FA0D70">
      <w:pPr>
        <w:tabs>
          <w:tab w:val="left" w:pos="930"/>
        </w:tabs>
        <w:spacing w:after="0" w:line="360" w:lineRule="auto"/>
        <w:jc w:val="both"/>
        <w:rPr>
          <w:rFonts w:ascii="Arial" w:hAnsi="Arial" w:cs="Arial"/>
          <w:b/>
          <w:sz w:val="20"/>
          <w:szCs w:val="20"/>
        </w:rPr>
      </w:pPr>
    </w:p>
    <w:p w14:paraId="51525A6C" w14:textId="77777777" w:rsidR="00441C14" w:rsidRPr="006435D7" w:rsidRDefault="00441C14" w:rsidP="00FA0D70">
      <w:pPr>
        <w:tabs>
          <w:tab w:val="left" w:pos="930"/>
        </w:tabs>
        <w:spacing w:after="0" w:line="360" w:lineRule="auto"/>
        <w:jc w:val="both"/>
        <w:rPr>
          <w:rFonts w:ascii="Arial" w:hAnsi="Arial" w:cs="Arial"/>
          <w:b/>
          <w:sz w:val="20"/>
          <w:szCs w:val="20"/>
        </w:rPr>
      </w:pPr>
    </w:p>
    <w:p w14:paraId="5F63C26A" w14:textId="77777777" w:rsidR="00E14106" w:rsidRDefault="00E14106" w:rsidP="00FA0D70">
      <w:pPr>
        <w:tabs>
          <w:tab w:val="left" w:pos="930"/>
        </w:tabs>
        <w:spacing w:after="0" w:line="360" w:lineRule="auto"/>
        <w:jc w:val="both"/>
        <w:rPr>
          <w:rFonts w:ascii="Arial" w:hAnsi="Arial" w:cs="Arial"/>
          <w:b/>
          <w:sz w:val="20"/>
          <w:szCs w:val="20"/>
        </w:rPr>
      </w:pPr>
    </w:p>
    <w:p w14:paraId="11264CE7" w14:textId="77777777" w:rsidR="00E14106" w:rsidRDefault="00E14106" w:rsidP="00FA0D70">
      <w:pPr>
        <w:tabs>
          <w:tab w:val="left" w:pos="930"/>
        </w:tabs>
        <w:spacing w:after="0" w:line="360" w:lineRule="auto"/>
        <w:jc w:val="both"/>
        <w:rPr>
          <w:rFonts w:ascii="Arial" w:hAnsi="Arial" w:cs="Arial"/>
          <w:b/>
          <w:sz w:val="20"/>
          <w:szCs w:val="20"/>
        </w:rPr>
      </w:pPr>
    </w:p>
    <w:p w14:paraId="0560FF15" w14:textId="77777777" w:rsidR="00E14106" w:rsidRDefault="00E14106" w:rsidP="00FA0D70">
      <w:pPr>
        <w:tabs>
          <w:tab w:val="left" w:pos="930"/>
        </w:tabs>
        <w:spacing w:after="0" w:line="360" w:lineRule="auto"/>
        <w:jc w:val="both"/>
        <w:rPr>
          <w:rFonts w:ascii="Arial" w:hAnsi="Arial" w:cs="Arial"/>
          <w:b/>
          <w:sz w:val="20"/>
          <w:szCs w:val="20"/>
        </w:rPr>
      </w:pPr>
    </w:p>
    <w:p w14:paraId="75266ED7" w14:textId="42BE29A3" w:rsidR="00FA0D70" w:rsidRPr="00E14106" w:rsidRDefault="008E400C" w:rsidP="00FA0D70">
      <w:pPr>
        <w:tabs>
          <w:tab w:val="left" w:pos="930"/>
        </w:tabs>
        <w:spacing w:after="0" w:line="360" w:lineRule="auto"/>
        <w:jc w:val="both"/>
        <w:rPr>
          <w:rFonts w:ascii="Arial" w:hAnsi="Arial" w:cs="Arial"/>
          <w:b/>
        </w:rPr>
      </w:pPr>
      <w:r w:rsidRPr="00E14106">
        <w:rPr>
          <w:rFonts w:ascii="Arial" w:hAnsi="Arial" w:cs="Arial"/>
          <w:b/>
        </w:rPr>
        <w:t xml:space="preserve">Table </w:t>
      </w:r>
      <w:r w:rsidR="00AD30A6">
        <w:rPr>
          <w:rFonts w:ascii="Arial" w:hAnsi="Arial" w:cs="Arial"/>
          <w:b/>
        </w:rPr>
        <w:t>10</w:t>
      </w:r>
      <w:r w:rsidRPr="00E14106">
        <w:rPr>
          <w:rFonts w:ascii="Arial" w:hAnsi="Arial" w:cs="Arial"/>
          <w:b/>
        </w:rPr>
        <w:t xml:space="preserve">: </w:t>
      </w:r>
      <w:r w:rsidR="00485F0F" w:rsidRPr="00E14106">
        <w:rPr>
          <w:rFonts w:ascii="Arial" w:hAnsi="Arial" w:cs="Arial"/>
          <w:b/>
        </w:rPr>
        <w:t>Diagnostic and Stability Test Results Ensuring the Validity of the Econometric Model.</w:t>
      </w:r>
    </w:p>
    <w:tbl>
      <w:tblPr>
        <w:tblW w:w="9464" w:type="dxa"/>
        <w:tblInd w:w="94" w:type="dxa"/>
        <w:tblLook w:val="04A0" w:firstRow="1" w:lastRow="0" w:firstColumn="1" w:lastColumn="0" w:noHBand="0" w:noVBand="1"/>
      </w:tblPr>
      <w:tblGrid>
        <w:gridCol w:w="3254"/>
        <w:gridCol w:w="1890"/>
        <w:gridCol w:w="1440"/>
        <w:gridCol w:w="2880"/>
      </w:tblGrid>
      <w:tr w:rsidR="005F1E1C" w:rsidRPr="006435D7" w14:paraId="3F12BBD7" w14:textId="77777777" w:rsidTr="00342A80">
        <w:trPr>
          <w:trHeight w:val="64"/>
        </w:trPr>
        <w:tc>
          <w:tcPr>
            <w:tcW w:w="3254" w:type="dxa"/>
            <w:tcBorders>
              <w:top w:val="single" w:sz="4" w:space="0" w:color="auto"/>
              <w:left w:val="single" w:sz="4" w:space="0" w:color="auto"/>
              <w:bottom w:val="single" w:sz="4" w:space="0" w:color="auto"/>
              <w:right w:val="single" w:sz="4" w:space="0" w:color="auto"/>
            </w:tcBorders>
            <w:vAlign w:val="center"/>
            <w:hideMark/>
          </w:tcPr>
          <w:p w14:paraId="5E77205F"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Diagnostic Test</w:t>
            </w:r>
          </w:p>
        </w:tc>
        <w:tc>
          <w:tcPr>
            <w:tcW w:w="1890" w:type="dxa"/>
            <w:tcBorders>
              <w:top w:val="single" w:sz="4" w:space="0" w:color="auto"/>
              <w:left w:val="nil"/>
              <w:bottom w:val="single" w:sz="4" w:space="0" w:color="auto"/>
              <w:right w:val="single" w:sz="4" w:space="0" w:color="auto"/>
            </w:tcBorders>
            <w:vAlign w:val="center"/>
            <w:hideMark/>
          </w:tcPr>
          <w:p w14:paraId="1B21B681"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Statistic</w:t>
            </w:r>
          </w:p>
        </w:tc>
        <w:tc>
          <w:tcPr>
            <w:tcW w:w="1440" w:type="dxa"/>
            <w:tcBorders>
              <w:top w:val="single" w:sz="4" w:space="0" w:color="auto"/>
              <w:left w:val="nil"/>
              <w:bottom w:val="single" w:sz="4" w:space="0" w:color="auto"/>
              <w:right w:val="single" w:sz="4" w:space="0" w:color="auto"/>
            </w:tcBorders>
            <w:vAlign w:val="center"/>
            <w:hideMark/>
          </w:tcPr>
          <w:p w14:paraId="77632C1B"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2880" w:type="dxa"/>
            <w:tcBorders>
              <w:top w:val="single" w:sz="4" w:space="0" w:color="auto"/>
              <w:left w:val="nil"/>
              <w:bottom w:val="single" w:sz="4" w:space="0" w:color="auto"/>
              <w:right w:val="single" w:sz="4" w:space="0" w:color="auto"/>
            </w:tcBorders>
            <w:vAlign w:val="center"/>
            <w:hideMark/>
          </w:tcPr>
          <w:p w14:paraId="329FFF52" w14:textId="77777777" w:rsidR="005F1E1C" w:rsidRPr="006435D7" w:rsidRDefault="005F1E1C" w:rsidP="00342A80">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Interpretation</w:t>
            </w:r>
          </w:p>
        </w:tc>
      </w:tr>
      <w:tr w:rsidR="005F1E1C" w:rsidRPr="006435D7" w14:paraId="34847187" w14:textId="77777777" w:rsidTr="00342A80">
        <w:trPr>
          <w:trHeight w:val="314"/>
        </w:trPr>
        <w:tc>
          <w:tcPr>
            <w:tcW w:w="3254" w:type="dxa"/>
            <w:tcBorders>
              <w:top w:val="nil"/>
              <w:left w:val="single" w:sz="4" w:space="0" w:color="auto"/>
              <w:bottom w:val="single" w:sz="4" w:space="0" w:color="auto"/>
              <w:right w:val="single" w:sz="4" w:space="0" w:color="auto"/>
            </w:tcBorders>
            <w:vAlign w:val="bottom"/>
            <w:hideMark/>
          </w:tcPr>
          <w:p w14:paraId="4CBCF2C8"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Breusch–Godfrey Serial Correlation</w:t>
            </w:r>
          </w:p>
        </w:tc>
        <w:tc>
          <w:tcPr>
            <w:tcW w:w="1890" w:type="dxa"/>
            <w:tcBorders>
              <w:top w:val="nil"/>
              <w:left w:val="nil"/>
              <w:bottom w:val="single" w:sz="4" w:space="0" w:color="auto"/>
              <w:right w:val="single" w:sz="4" w:space="0" w:color="auto"/>
            </w:tcBorders>
            <w:vAlign w:val="bottom"/>
            <w:hideMark/>
          </w:tcPr>
          <w:p w14:paraId="07BACE08"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1.025</w:t>
            </w:r>
          </w:p>
        </w:tc>
        <w:tc>
          <w:tcPr>
            <w:tcW w:w="1440" w:type="dxa"/>
            <w:tcBorders>
              <w:top w:val="nil"/>
              <w:left w:val="nil"/>
              <w:bottom w:val="single" w:sz="4" w:space="0" w:color="auto"/>
              <w:right w:val="single" w:sz="4" w:space="0" w:color="auto"/>
            </w:tcBorders>
            <w:vAlign w:val="bottom"/>
            <w:hideMark/>
          </w:tcPr>
          <w:p w14:paraId="247EC78C"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0.317</w:t>
            </w:r>
          </w:p>
        </w:tc>
        <w:tc>
          <w:tcPr>
            <w:tcW w:w="2880" w:type="dxa"/>
            <w:tcBorders>
              <w:top w:val="nil"/>
              <w:left w:val="nil"/>
              <w:bottom w:val="single" w:sz="4" w:space="0" w:color="auto"/>
              <w:right w:val="single" w:sz="4" w:space="0" w:color="auto"/>
            </w:tcBorders>
            <w:vAlign w:val="bottom"/>
            <w:hideMark/>
          </w:tcPr>
          <w:p w14:paraId="2EBA1A01"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serial correlation</w:t>
            </w:r>
          </w:p>
        </w:tc>
      </w:tr>
      <w:tr w:rsidR="005F1E1C" w:rsidRPr="006435D7" w14:paraId="079784FE" w14:textId="77777777" w:rsidTr="00342A80">
        <w:trPr>
          <w:trHeight w:val="116"/>
        </w:trPr>
        <w:tc>
          <w:tcPr>
            <w:tcW w:w="3254" w:type="dxa"/>
            <w:tcBorders>
              <w:top w:val="nil"/>
              <w:left w:val="single" w:sz="4" w:space="0" w:color="auto"/>
              <w:bottom w:val="single" w:sz="4" w:space="0" w:color="auto"/>
              <w:right w:val="single" w:sz="4" w:space="0" w:color="auto"/>
            </w:tcBorders>
            <w:vAlign w:val="bottom"/>
            <w:hideMark/>
          </w:tcPr>
          <w:p w14:paraId="580427BA"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White Heteroskedasticity</w:t>
            </w:r>
          </w:p>
        </w:tc>
        <w:tc>
          <w:tcPr>
            <w:tcW w:w="1890" w:type="dxa"/>
            <w:tcBorders>
              <w:top w:val="nil"/>
              <w:left w:val="nil"/>
              <w:bottom w:val="single" w:sz="4" w:space="0" w:color="auto"/>
              <w:right w:val="single" w:sz="4" w:space="0" w:color="auto"/>
            </w:tcBorders>
            <w:vAlign w:val="bottom"/>
            <w:hideMark/>
          </w:tcPr>
          <w:p w14:paraId="3274E2B0"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0.892</w:t>
            </w:r>
          </w:p>
        </w:tc>
        <w:tc>
          <w:tcPr>
            <w:tcW w:w="1440" w:type="dxa"/>
            <w:tcBorders>
              <w:top w:val="nil"/>
              <w:left w:val="nil"/>
              <w:bottom w:val="single" w:sz="4" w:space="0" w:color="auto"/>
              <w:right w:val="single" w:sz="4" w:space="0" w:color="auto"/>
            </w:tcBorders>
            <w:vAlign w:val="bottom"/>
            <w:hideMark/>
          </w:tcPr>
          <w:p w14:paraId="492944CA"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0.412</w:t>
            </w:r>
          </w:p>
        </w:tc>
        <w:tc>
          <w:tcPr>
            <w:tcW w:w="2880" w:type="dxa"/>
            <w:tcBorders>
              <w:top w:val="nil"/>
              <w:left w:val="nil"/>
              <w:bottom w:val="single" w:sz="4" w:space="0" w:color="auto"/>
              <w:right w:val="single" w:sz="4" w:space="0" w:color="auto"/>
            </w:tcBorders>
            <w:vAlign w:val="bottom"/>
            <w:hideMark/>
          </w:tcPr>
          <w:p w14:paraId="4F40E4D4"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Homoskedastic</w:t>
            </w:r>
          </w:p>
        </w:tc>
      </w:tr>
      <w:tr w:rsidR="005F1E1C" w:rsidRPr="006435D7" w14:paraId="396F5D1C"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5AD5ADEF"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Jarque–Bera Normality</w:t>
            </w:r>
          </w:p>
        </w:tc>
        <w:tc>
          <w:tcPr>
            <w:tcW w:w="1890" w:type="dxa"/>
            <w:tcBorders>
              <w:top w:val="nil"/>
              <w:left w:val="nil"/>
              <w:bottom w:val="single" w:sz="4" w:space="0" w:color="auto"/>
              <w:right w:val="single" w:sz="4" w:space="0" w:color="auto"/>
            </w:tcBorders>
            <w:vAlign w:val="bottom"/>
            <w:hideMark/>
          </w:tcPr>
          <w:p w14:paraId="527E835D"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2.153</w:t>
            </w:r>
          </w:p>
        </w:tc>
        <w:tc>
          <w:tcPr>
            <w:tcW w:w="1440" w:type="dxa"/>
            <w:tcBorders>
              <w:top w:val="nil"/>
              <w:left w:val="nil"/>
              <w:bottom w:val="single" w:sz="4" w:space="0" w:color="auto"/>
              <w:right w:val="single" w:sz="4" w:space="0" w:color="auto"/>
            </w:tcBorders>
            <w:vAlign w:val="bottom"/>
            <w:hideMark/>
          </w:tcPr>
          <w:p w14:paraId="5A8262F2"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0.341</w:t>
            </w:r>
          </w:p>
        </w:tc>
        <w:tc>
          <w:tcPr>
            <w:tcW w:w="2880" w:type="dxa"/>
            <w:tcBorders>
              <w:top w:val="nil"/>
              <w:left w:val="nil"/>
              <w:bottom w:val="single" w:sz="4" w:space="0" w:color="auto"/>
              <w:right w:val="single" w:sz="4" w:space="0" w:color="auto"/>
            </w:tcBorders>
            <w:vAlign w:val="bottom"/>
            <w:hideMark/>
          </w:tcPr>
          <w:p w14:paraId="571AC7C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Residuals are normal</w:t>
            </w:r>
          </w:p>
        </w:tc>
      </w:tr>
      <w:tr w:rsidR="005F1E1C" w:rsidRPr="006435D7" w14:paraId="0B815252"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0053D504"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CUSUM</w:t>
            </w:r>
          </w:p>
        </w:tc>
        <w:tc>
          <w:tcPr>
            <w:tcW w:w="1890" w:type="dxa"/>
            <w:tcBorders>
              <w:top w:val="nil"/>
              <w:left w:val="nil"/>
              <w:bottom w:val="single" w:sz="4" w:space="0" w:color="auto"/>
              <w:right w:val="single" w:sz="4" w:space="0" w:color="auto"/>
            </w:tcBorders>
            <w:vAlign w:val="bottom"/>
            <w:hideMark/>
          </w:tcPr>
          <w:p w14:paraId="2B1FA5C3"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440" w:type="dxa"/>
            <w:tcBorders>
              <w:top w:val="nil"/>
              <w:left w:val="nil"/>
              <w:bottom w:val="single" w:sz="4" w:space="0" w:color="auto"/>
              <w:right w:val="single" w:sz="4" w:space="0" w:color="auto"/>
            </w:tcBorders>
            <w:vAlign w:val="bottom"/>
            <w:hideMark/>
          </w:tcPr>
          <w:p w14:paraId="7827033A"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Stable</w:t>
            </w:r>
          </w:p>
        </w:tc>
        <w:tc>
          <w:tcPr>
            <w:tcW w:w="2880" w:type="dxa"/>
            <w:tcBorders>
              <w:top w:val="nil"/>
              <w:left w:val="nil"/>
              <w:bottom w:val="single" w:sz="4" w:space="0" w:color="auto"/>
              <w:right w:val="single" w:sz="4" w:space="0" w:color="auto"/>
            </w:tcBorders>
            <w:vAlign w:val="bottom"/>
            <w:hideMark/>
          </w:tcPr>
          <w:p w14:paraId="0BB3CB0C"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stable</w:t>
            </w:r>
          </w:p>
        </w:tc>
      </w:tr>
      <w:tr w:rsidR="005F1E1C" w:rsidRPr="006435D7" w14:paraId="6FBEA6AF" w14:textId="77777777" w:rsidTr="00342A80">
        <w:trPr>
          <w:trHeight w:val="64"/>
        </w:trPr>
        <w:tc>
          <w:tcPr>
            <w:tcW w:w="3254" w:type="dxa"/>
            <w:tcBorders>
              <w:top w:val="nil"/>
              <w:left w:val="single" w:sz="4" w:space="0" w:color="auto"/>
              <w:bottom w:val="single" w:sz="4" w:space="0" w:color="auto"/>
              <w:right w:val="single" w:sz="4" w:space="0" w:color="auto"/>
            </w:tcBorders>
            <w:vAlign w:val="bottom"/>
            <w:hideMark/>
          </w:tcPr>
          <w:p w14:paraId="7B3FC7C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CUSUMSQ</w:t>
            </w:r>
          </w:p>
        </w:tc>
        <w:tc>
          <w:tcPr>
            <w:tcW w:w="1890" w:type="dxa"/>
            <w:tcBorders>
              <w:top w:val="nil"/>
              <w:left w:val="nil"/>
              <w:bottom w:val="single" w:sz="4" w:space="0" w:color="auto"/>
              <w:right w:val="single" w:sz="4" w:space="0" w:color="auto"/>
            </w:tcBorders>
            <w:vAlign w:val="bottom"/>
            <w:hideMark/>
          </w:tcPr>
          <w:p w14:paraId="58E06C78"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w:t>
            </w:r>
          </w:p>
        </w:tc>
        <w:tc>
          <w:tcPr>
            <w:tcW w:w="1440" w:type="dxa"/>
            <w:tcBorders>
              <w:top w:val="nil"/>
              <w:left w:val="nil"/>
              <w:bottom w:val="single" w:sz="4" w:space="0" w:color="auto"/>
              <w:right w:val="single" w:sz="4" w:space="0" w:color="auto"/>
            </w:tcBorders>
            <w:vAlign w:val="bottom"/>
            <w:hideMark/>
          </w:tcPr>
          <w:p w14:paraId="34AE1A93"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Stable</w:t>
            </w:r>
          </w:p>
        </w:tc>
        <w:tc>
          <w:tcPr>
            <w:tcW w:w="2880" w:type="dxa"/>
            <w:tcBorders>
              <w:top w:val="nil"/>
              <w:left w:val="nil"/>
              <w:bottom w:val="single" w:sz="4" w:space="0" w:color="auto"/>
              <w:right w:val="single" w:sz="4" w:space="0" w:color="auto"/>
            </w:tcBorders>
            <w:vAlign w:val="bottom"/>
            <w:hideMark/>
          </w:tcPr>
          <w:p w14:paraId="163E5139" w14:textId="77777777" w:rsidR="005F1E1C" w:rsidRPr="006435D7" w:rsidRDefault="005F1E1C" w:rsidP="00342A80">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Model stable</w:t>
            </w:r>
          </w:p>
        </w:tc>
      </w:tr>
    </w:tbl>
    <w:p w14:paraId="000D8383" w14:textId="77777777" w:rsidR="003501DB" w:rsidRPr="006435D7" w:rsidRDefault="005F1E1C"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3501DB" w:rsidRPr="006435D7">
        <w:rPr>
          <w:rFonts w:ascii="Arial" w:hAnsi="Arial" w:cs="Arial"/>
          <w:b/>
          <w:sz w:val="20"/>
          <w:szCs w:val="20"/>
        </w:rPr>
        <w:t xml:space="preserve"> </w:t>
      </w:r>
      <w:r w:rsidR="003501DB" w:rsidRPr="006435D7">
        <w:rPr>
          <w:rFonts w:ascii="Arial" w:hAnsi="Arial" w:cs="Arial"/>
          <w:sz w:val="20"/>
          <w:szCs w:val="20"/>
        </w:rPr>
        <w:t>Author’s post-estimation diagnostics using EViews 12, based on World Bank and Ministry of Coal data (1980–2025).</w:t>
      </w:r>
    </w:p>
    <w:p w14:paraId="217AD67D" w14:textId="3958DB9E" w:rsidR="0056076F" w:rsidRPr="006435D7" w:rsidRDefault="00E14106" w:rsidP="00E14106">
      <w:pPr>
        <w:tabs>
          <w:tab w:val="left" w:pos="930"/>
        </w:tabs>
        <w:spacing w:after="0" w:line="480" w:lineRule="auto"/>
        <w:jc w:val="both"/>
        <w:rPr>
          <w:rFonts w:ascii="Arial" w:hAnsi="Arial" w:cs="Arial"/>
          <w:sz w:val="20"/>
          <w:szCs w:val="20"/>
        </w:rPr>
      </w:pPr>
      <w:r>
        <w:rPr>
          <w:rFonts w:ascii="Arial" w:hAnsi="Arial" w:cs="Arial"/>
          <w:sz w:val="20"/>
          <w:szCs w:val="20"/>
        </w:rPr>
        <w:tab/>
      </w:r>
      <w:r w:rsidR="003501DB" w:rsidRPr="006435D7">
        <w:rPr>
          <w:rFonts w:ascii="Arial" w:hAnsi="Arial" w:cs="Arial"/>
          <w:sz w:val="20"/>
          <w:szCs w:val="20"/>
        </w:rPr>
        <w:t xml:space="preserve">Table </w:t>
      </w:r>
      <w:r w:rsidR="00AD30A6">
        <w:rPr>
          <w:rFonts w:ascii="Arial" w:hAnsi="Arial" w:cs="Arial"/>
          <w:sz w:val="20"/>
          <w:szCs w:val="20"/>
        </w:rPr>
        <w:t>10</w:t>
      </w:r>
      <w:r w:rsidR="003501DB" w:rsidRPr="006435D7">
        <w:rPr>
          <w:rFonts w:ascii="Arial" w:hAnsi="Arial" w:cs="Arial"/>
          <w:sz w:val="20"/>
          <w:szCs w:val="20"/>
        </w:rPr>
        <w:t xml:space="preserve"> summarizes diagnostic and stability test outcomes verifying the robustness of the econometric model. The Breusch–Godfrey LM test (p = 0.317) shows no serial correlation, while White’s heteroskedasticity test (p = 0.412) confirms homoskedasticity. The Jarque–Bera test (p = 0.341) indicates normal residuals, ensuring model reliability. The CUSUM and CUSUMSQ tests fall within critical boundaries, confirming model stability at the 1% level. These diagnostics prove that the estimated models are free from statistical violations, unbiased, and consistent over time. The stability results imply that the </w:t>
      </w:r>
      <w:r w:rsidR="003501DB" w:rsidRPr="006435D7">
        <w:rPr>
          <w:rFonts w:ascii="Arial" w:hAnsi="Arial" w:cs="Arial"/>
          <w:sz w:val="20"/>
          <w:szCs w:val="20"/>
        </w:rPr>
        <w:lastRenderedPageBreak/>
        <w:t>relationship between coal consumption and GDP is persistent and structurally sound, even amid economic changes.</w:t>
      </w:r>
    </w:p>
    <w:p w14:paraId="00833F19" w14:textId="77777777" w:rsidR="00E14106" w:rsidRDefault="00E14106" w:rsidP="00FA0D70">
      <w:pPr>
        <w:tabs>
          <w:tab w:val="left" w:pos="930"/>
        </w:tabs>
        <w:spacing w:after="0" w:line="360" w:lineRule="auto"/>
        <w:jc w:val="both"/>
        <w:rPr>
          <w:rFonts w:ascii="Arial" w:hAnsi="Arial" w:cs="Arial"/>
          <w:b/>
          <w:sz w:val="20"/>
          <w:szCs w:val="20"/>
        </w:rPr>
      </w:pPr>
    </w:p>
    <w:p w14:paraId="46186059" w14:textId="7F759748" w:rsidR="00337625" w:rsidRDefault="00337625" w:rsidP="00FA0D70">
      <w:pPr>
        <w:tabs>
          <w:tab w:val="left" w:pos="930"/>
        </w:tabs>
        <w:spacing w:after="0" w:line="360" w:lineRule="auto"/>
        <w:jc w:val="both"/>
        <w:rPr>
          <w:rFonts w:ascii="Arial" w:hAnsi="Arial" w:cs="Arial"/>
          <w:b/>
          <w:sz w:val="20"/>
          <w:szCs w:val="20"/>
        </w:rPr>
      </w:pPr>
      <w:r w:rsidRPr="006435D7">
        <w:rPr>
          <w:rFonts w:ascii="Arial" w:hAnsi="Arial" w:cs="Arial"/>
          <w:b/>
          <w:sz w:val="20"/>
          <w:szCs w:val="20"/>
        </w:rPr>
        <w:t xml:space="preserve">Figure </w:t>
      </w:r>
      <w:r w:rsidR="002927A6">
        <w:rPr>
          <w:rFonts w:ascii="Arial" w:hAnsi="Arial" w:cs="Arial"/>
          <w:b/>
          <w:sz w:val="20"/>
          <w:szCs w:val="20"/>
        </w:rPr>
        <w:t>6</w:t>
      </w:r>
      <w:r w:rsidRPr="006435D7">
        <w:rPr>
          <w:rFonts w:ascii="Arial" w:hAnsi="Arial" w:cs="Arial"/>
          <w:b/>
          <w:sz w:val="20"/>
          <w:szCs w:val="20"/>
        </w:rPr>
        <w:t>: Histogram – Distribution of GDP Growth Rates (1980–2025).</w:t>
      </w:r>
    </w:p>
    <w:p w14:paraId="30350E00" w14:textId="77777777" w:rsidR="00E14106" w:rsidRDefault="00E14106" w:rsidP="00FA0D70">
      <w:pPr>
        <w:tabs>
          <w:tab w:val="left" w:pos="930"/>
        </w:tabs>
        <w:spacing w:after="0" w:line="360" w:lineRule="auto"/>
        <w:jc w:val="both"/>
        <w:rPr>
          <w:rFonts w:ascii="Arial" w:hAnsi="Arial" w:cs="Arial"/>
          <w:b/>
          <w:sz w:val="20"/>
          <w:szCs w:val="20"/>
        </w:rPr>
      </w:pPr>
      <w:r w:rsidRPr="00E14106">
        <w:rPr>
          <w:rFonts w:ascii="Arial" w:hAnsi="Arial" w:cs="Arial"/>
          <w:b/>
          <w:noProof/>
          <w:sz w:val="20"/>
          <w:szCs w:val="20"/>
        </w:rPr>
        <w:drawing>
          <wp:anchor distT="0" distB="0" distL="114300" distR="114300" simplePos="0" relativeHeight="251665408" behindDoc="0" locked="0" layoutInCell="1" allowOverlap="1" wp14:anchorId="707FD4DB" wp14:editId="7315C07A">
            <wp:simplePos x="0" y="0"/>
            <wp:positionH relativeFrom="column">
              <wp:posOffset>372110</wp:posOffset>
            </wp:positionH>
            <wp:positionV relativeFrom="paragraph">
              <wp:posOffset>99060</wp:posOffset>
            </wp:positionV>
            <wp:extent cx="4845685" cy="3105150"/>
            <wp:effectExtent l="19050" t="0" r="0" b="0"/>
            <wp:wrapSquare wrapText="bothSides"/>
            <wp:docPr id="3" name="Picture 55" descr="C:\Users\USER\Downloads\Figure_3.5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ownloads\Figure_3.5_Histogram.png"/>
                    <pic:cNvPicPr>
                      <a:picLocks noChangeAspect="1" noChangeArrowheads="1"/>
                    </pic:cNvPicPr>
                  </pic:nvPicPr>
                  <pic:blipFill>
                    <a:blip r:embed="rId11"/>
                    <a:srcRect t="7425"/>
                    <a:stretch>
                      <a:fillRect/>
                    </a:stretch>
                  </pic:blipFill>
                  <pic:spPr bwMode="auto">
                    <a:xfrm>
                      <a:off x="0" y="0"/>
                      <a:ext cx="4845685" cy="3105150"/>
                    </a:xfrm>
                    <a:prstGeom prst="rect">
                      <a:avLst/>
                    </a:prstGeom>
                    <a:noFill/>
                    <a:ln w="9525">
                      <a:noFill/>
                      <a:miter lim="800000"/>
                      <a:headEnd/>
                      <a:tailEnd/>
                    </a:ln>
                  </pic:spPr>
                </pic:pic>
              </a:graphicData>
            </a:graphic>
          </wp:anchor>
        </w:drawing>
      </w:r>
    </w:p>
    <w:p w14:paraId="7E66E8DE" w14:textId="77777777" w:rsidR="00E14106" w:rsidRDefault="00E14106" w:rsidP="00FA0D70">
      <w:pPr>
        <w:tabs>
          <w:tab w:val="left" w:pos="930"/>
        </w:tabs>
        <w:spacing w:after="0" w:line="360" w:lineRule="auto"/>
        <w:jc w:val="both"/>
        <w:rPr>
          <w:rFonts w:ascii="Arial" w:hAnsi="Arial" w:cs="Arial"/>
          <w:b/>
          <w:sz w:val="20"/>
          <w:szCs w:val="20"/>
        </w:rPr>
      </w:pPr>
    </w:p>
    <w:p w14:paraId="4D0088CE" w14:textId="77777777" w:rsidR="00E14106" w:rsidRDefault="00E14106" w:rsidP="00FA0D70">
      <w:pPr>
        <w:tabs>
          <w:tab w:val="left" w:pos="930"/>
        </w:tabs>
        <w:spacing w:after="0" w:line="360" w:lineRule="auto"/>
        <w:jc w:val="both"/>
        <w:rPr>
          <w:rFonts w:ascii="Arial" w:hAnsi="Arial" w:cs="Arial"/>
          <w:b/>
          <w:sz w:val="20"/>
          <w:szCs w:val="20"/>
        </w:rPr>
      </w:pPr>
    </w:p>
    <w:p w14:paraId="288D1FED" w14:textId="77777777" w:rsidR="00E14106" w:rsidRDefault="00E14106" w:rsidP="00FA0D70">
      <w:pPr>
        <w:tabs>
          <w:tab w:val="left" w:pos="930"/>
        </w:tabs>
        <w:spacing w:after="0" w:line="360" w:lineRule="auto"/>
        <w:jc w:val="both"/>
        <w:rPr>
          <w:rFonts w:ascii="Arial" w:hAnsi="Arial" w:cs="Arial"/>
          <w:b/>
          <w:sz w:val="20"/>
          <w:szCs w:val="20"/>
        </w:rPr>
      </w:pPr>
    </w:p>
    <w:p w14:paraId="490E9FD0" w14:textId="77777777" w:rsidR="00E14106" w:rsidRDefault="00E14106" w:rsidP="00FA0D70">
      <w:pPr>
        <w:tabs>
          <w:tab w:val="left" w:pos="930"/>
        </w:tabs>
        <w:spacing w:after="0" w:line="360" w:lineRule="auto"/>
        <w:jc w:val="both"/>
        <w:rPr>
          <w:rFonts w:ascii="Arial" w:hAnsi="Arial" w:cs="Arial"/>
          <w:b/>
          <w:sz w:val="20"/>
          <w:szCs w:val="20"/>
        </w:rPr>
      </w:pPr>
    </w:p>
    <w:p w14:paraId="5115CACC" w14:textId="77777777" w:rsidR="00E14106" w:rsidRDefault="00E14106" w:rsidP="00FA0D70">
      <w:pPr>
        <w:tabs>
          <w:tab w:val="left" w:pos="930"/>
        </w:tabs>
        <w:spacing w:after="0" w:line="360" w:lineRule="auto"/>
        <w:jc w:val="both"/>
        <w:rPr>
          <w:rFonts w:ascii="Arial" w:hAnsi="Arial" w:cs="Arial"/>
          <w:b/>
          <w:sz w:val="20"/>
          <w:szCs w:val="20"/>
        </w:rPr>
      </w:pPr>
    </w:p>
    <w:p w14:paraId="4C11E4F3" w14:textId="77777777" w:rsidR="00E14106" w:rsidRDefault="00E14106" w:rsidP="00FA0D70">
      <w:pPr>
        <w:tabs>
          <w:tab w:val="left" w:pos="930"/>
        </w:tabs>
        <w:spacing w:after="0" w:line="360" w:lineRule="auto"/>
        <w:jc w:val="both"/>
        <w:rPr>
          <w:rFonts w:ascii="Arial" w:hAnsi="Arial" w:cs="Arial"/>
          <w:b/>
          <w:sz w:val="20"/>
          <w:szCs w:val="20"/>
        </w:rPr>
      </w:pPr>
    </w:p>
    <w:p w14:paraId="65892D3F" w14:textId="77777777" w:rsidR="00E14106" w:rsidRDefault="00E14106" w:rsidP="00FA0D70">
      <w:pPr>
        <w:tabs>
          <w:tab w:val="left" w:pos="930"/>
        </w:tabs>
        <w:spacing w:after="0" w:line="360" w:lineRule="auto"/>
        <w:jc w:val="both"/>
        <w:rPr>
          <w:rFonts w:ascii="Arial" w:hAnsi="Arial" w:cs="Arial"/>
          <w:b/>
          <w:sz w:val="20"/>
          <w:szCs w:val="20"/>
        </w:rPr>
      </w:pPr>
    </w:p>
    <w:p w14:paraId="5A99A419" w14:textId="77777777" w:rsidR="00E14106" w:rsidRDefault="00E14106" w:rsidP="00FA0D70">
      <w:pPr>
        <w:tabs>
          <w:tab w:val="left" w:pos="930"/>
        </w:tabs>
        <w:spacing w:after="0" w:line="360" w:lineRule="auto"/>
        <w:jc w:val="both"/>
        <w:rPr>
          <w:rFonts w:ascii="Arial" w:hAnsi="Arial" w:cs="Arial"/>
          <w:b/>
          <w:sz w:val="20"/>
          <w:szCs w:val="20"/>
        </w:rPr>
      </w:pPr>
    </w:p>
    <w:p w14:paraId="53394798" w14:textId="77777777" w:rsidR="00E14106" w:rsidRDefault="00E14106" w:rsidP="00FA0D70">
      <w:pPr>
        <w:tabs>
          <w:tab w:val="left" w:pos="930"/>
        </w:tabs>
        <w:spacing w:after="0" w:line="360" w:lineRule="auto"/>
        <w:jc w:val="both"/>
        <w:rPr>
          <w:rFonts w:ascii="Arial" w:hAnsi="Arial" w:cs="Arial"/>
          <w:b/>
          <w:sz w:val="20"/>
          <w:szCs w:val="20"/>
        </w:rPr>
      </w:pPr>
    </w:p>
    <w:p w14:paraId="577C7D5D" w14:textId="77777777" w:rsidR="00E14106" w:rsidRDefault="00E14106" w:rsidP="00FA0D70">
      <w:pPr>
        <w:tabs>
          <w:tab w:val="left" w:pos="930"/>
        </w:tabs>
        <w:spacing w:after="0" w:line="360" w:lineRule="auto"/>
        <w:jc w:val="both"/>
        <w:rPr>
          <w:rFonts w:ascii="Arial" w:hAnsi="Arial" w:cs="Arial"/>
          <w:b/>
          <w:sz w:val="20"/>
          <w:szCs w:val="20"/>
        </w:rPr>
      </w:pPr>
    </w:p>
    <w:p w14:paraId="5DE24F3F" w14:textId="77777777" w:rsidR="00E14106" w:rsidRDefault="00E14106" w:rsidP="00FA0D70">
      <w:pPr>
        <w:tabs>
          <w:tab w:val="left" w:pos="930"/>
        </w:tabs>
        <w:spacing w:after="0" w:line="360" w:lineRule="auto"/>
        <w:jc w:val="both"/>
        <w:rPr>
          <w:rFonts w:ascii="Arial" w:hAnsi="Arial" w:cs="Arial"/>
          <w:b/>
          <w:sz w:val="20"/>
          <w:szCs w:val="20"/>
        </w:rPr>
      </w:pPr>
    </w:p>
    <w:p w14:paraId="4E070465" w14:textId="77777777" w:rsidR="00E14106" w:rsidRDefault="00E14106" w:rsidP="00FA0D70">
      <w:pPr>
        <w:tabs>
          <w:tab w:val="left" w:pos="930"/>
        </w:tabs>
        <w:spacing w:after="0" w:line="360" w:lineRule="auto"/>
        <w:jc w:val="both"/>
        <w:rPr>
          <w:rFonts w:ascii="Arial" w:hAnsi="Arial" w:cs="Arial"/>
          <w:b/>
          <w:sz w:val="20"/>
          <w:szCs w:val="20"/>
        </w:rPr>
      </w:pPr>
    </w:p>
    <w:p w14:paraId="7E406EBB" w14:textId="77777777" w:rsidR="00E14106" w:rsidRDefault="00E14106" w:rsidP="00FA0D70">
      <w:pPr>
        <w:tabs>
          <w:tab w:val="left" w:pos="930"/>
        </w:tabs>
        <w:spacing w:after="0" w:line="360" w:lineRule="auto"/>
        <w:jc w:val="both"/>
        <w:rPr>
          <w:rFonts w:ascii="Arial" w:hAnsi="Arial" w:cs="Arial"/>
          <w:b/>
          <w:sz w:val="20"/>
          <w:szCs w:val="20"/>
        </w:rPr>
      </w:pPr>
    </w:p>
    <w:p w14:paraId="08E4E630" w14:textId="77777777" w:rsidR="00E14106" w:rsidRDefault="00E14106" w:rsidP="00FA0D70">
      <w:pPr>
        <w:tabs>
          <w:tab w:val="left" w:pos="930"/>
        </w:tabs>
        <w:spacing w:after="0" w:line="360" w:lineRule="auto"/>
        <w:jc w:val="both"/>
        <w:rPr>
          <w:rFonts w:ascii="Arial" w:hAnsi="Arial" w:cs="Arial"/>
          <w:b/>
          <w:sz w:val="20"/>
          <w:szCs w:val="20"/>
        </w:rPr>
      </w:pPr>
    </w:p>
    <w:p w14:paraId="505F626E" w14:textId="77777777" w:rsidR="00E14106" w:rsidRPr="006435D7" w:rsidRDefault="00E14106" w:rsidP="00FA0D70">
      <w:pPr>
        <w:tabs>
          <w:tab w:val="left" w:pos="930"/>
        </w:tabs>
        <w:spacing w:after="0" w:line="360" w:lineRule="auto"/>
        <w:jc w:val="both"/>
        <w:rPr>
          <w:rFonts w:ascii="Arial" w:hAnsi="Arial" w:cs="Arial"/>
          <w:b/>
          <w:sz w:val="20"/>
          <w:szCs w:val="20"/>
        </w:rPr>
      </w:pPr>
    </w:p>
    <w:p w14:paraId="764FE921" w14:textId="77777777" w:rsidR="00337625" w:rsidRPr="006435D7" w:rsidRDefault="00337625" w:rsidP="00FA0D70">
      <w:pPr>
        <w:tabs>
          <w:tab w:val="left" w:pos="930"/>
        </w:tabs>
        <w:spacing w:after="0" w:line="360" w:lineRule="auto"/>
        <w:jc w:val="both"/>
        <w:rPr>
          <w:rFonts w:ascii="Arial" w:hAnsi="Arial" w:cs="Arial"/>
          <w:b/>
          <w:sz w:val="20"/>
          <w:szCs w:val="20"/>
        </w:rPr>
      </w:pPr>
    </w:p>
    <w:p w14:paraId="72AF88A7" w14:textId="5DD71F14" w:rsidR="005F1E1C" w:rsidRPr="00E14106" w:rsidRDefault="008E400C" w:rsidP="008C0AF1">
      <w:pPr>
        <w:tabs>
          <w:tab w:val="left" w:pos="930"/>
        </w:tabs>
        <w:spacing w:after="0" w:line="360" w:lineRule="auto"/>
        <w:jc w:val="both"/>
        <w:rPr>
          <w:rFonts w:ascii="Arial" w:hAnsi="Arial" w:cs="Arial"/>
          <w:b/>
        </w:rPr>
      </w:pPr>
      <w:r w:rsidRPr="00E14106">
        <w:rPr>
          <w:rStyle w:val="Strong"/>
          <w:rFonts w:ascii="Arial" w:hAnsi="Arial" w:cs="Arial"/>
        </w:rPr>
        <w:t xml:space="preserve">Table </w:t>
      </w:r>
      <w:r w:rsidR="00C8796E">
        <w:rPr>
          <w:rStyle w:val="Strong"/>
          <w:rFonts w:ascii="Arial" w:hAnsi="Arial" w:cs="Arial"/>
        </w:rPr>
        <w:t>11</w:t>
      </w:r>
      <w:r w:rsidRPr="00E14106">
        <w:rPr>
          <w:rStyle w:val="Strong"/>
          <w:rFonts w:ascii="Arial" w:hAnsi="Arial" w:cs="Arial"/>
        </w:rPr>
        <w:t xml:space="preserve">: </w:t>
      </w:r>
      <w:r w:rsidR="004F218A" w:rsidRPr="00E14106">
        <w:rPr>
          <w:rStyle w:val="Strong"/>
          <w:rFonts w:ascii="Arial" w:hAnsi="Arial" w:cs="Arial"/>
        </w:rPr>
        <w:t>Hypothesis Testing Analysis for Causal and Long-Run Relationships Between Coal Consumption and Economic Growth</w:t>
      </w:r>
      <w:r w:rsidR="00485F0F" w:rsidRPr="00E14106">
        <w:rPr>
          <w:rStyle w:val="Strong"/>
          <w:rFonts w:ascii="Arial" w:hAnsi="Arial" w:cs="Arial"/>
        </w:rPr>
        <w:t>.</w:t>
      </w:r>
    </w:p>
    <w:tbl>
      <w:tblPr>
        <w:tblW w:w="9464" w:type="dxa"/>
        <w:tblInd w:w="94" w:type="dxa"/>
        <w:tblLook w:val="04A0" w:firstRow="1" w:lastRow="0" w:firstColumn="1" w:lastColumn="0" w:noHBand="0" w:noVBand="1"/>
      </w:tblPr>
      <w:tblGrid>
        <w:gridCol w:w="1350"/>
        <w:gridCol w:w="1456"/>
        <w:gridCol w:w="1123"/>
        <w:gridCol w:w="1043"/>
        <w:gridCol w:w="816"/>
        <w:gridCol w:w="1246"/>
        <w:gridCol w:w="2430"/>
      </w:tblGrid>
      <w:tr w:rsidR="005F1E1C" w:rsidRPr="006435D7" w14:paraId="04D17A8B" w14:textId="77777777" w:rsidTr="00F13939">
        <w:trPr>
          <w:trHeight w:val="1260"/>
        </w:trPr>
        <w:tc>
          <w:tcPr>
            <w:tcW w:w="1350" w:type="dxa"/>
            <w:tcBorders>
              <w:top w:val="single" w:sz="4" w:space="0" w:color="auto"/>
              <w:left w:val="single" w:sz="4" w:space="0" w:color="auto"/>
              <w:bottom w:val="single" w:sz="4" w:space="0" w:color="auto"/>
              <w:right w:val="single" w:sz="4" w:space="0" w:color="auto"/>
            </w:tcBorders>
            <w:vAlign w:val="center"/>
            <w:hideMark/>
          </w:tcPr>
          <w:p w14:paraId="531A5DA3"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Hypothesis No.</w:t>
            </w:r>
          </w:p>
        </w:tc>
        <w:tc>
          <w:tcPr>
            <w:tcW w:w="1456" w:type="dxa"/>
            <w:tcBorders>
              <w:top w:val="single" w:sz="4" w:space="0" w:color="auto"/>
              <w:left w:val="nil"/>
              <w:bottom w:val="single" w:sz="4" w:space="0" w:color="auto"/>
              <w:right w:val="single" w:sz="4" w:space="0" w:color="auto"/>
            </w:tcBorders>
            <w:vAlign w:val="center"/>
            <w:hideMark/>
          </w:tcPr>
          <w:p w14:paraId="35871081"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Null Hypothesis (H</w:t>
            </w:r>
            <w:r w:rsidRPr="006435D7">
              <w:rPr>
                <w:rFonts w:ascii="Times New Roman" w:eastAsia="Times New Roman" w:hAnsi="Times New Roman" w:cs="Arial"/>
                <w:b/>
                <w:bCs/>
                <w:color w:val="000000"/>
                <w:sz w:val="20"/>
                <w:szCs w:val="20"/>
              </w:rPr>
              <w:t>₀</w:t>
            </w:r>
            <w:r w:rsidRPr="006435D7">
              <w:rPr>
                <w:rFonts w:ascii="Arial" w:eastAsia="Times New Roman" w:hAnsi="Arial" w:cs="Arial"/>
                <w:b/>
                <w:bCs/>
                <w:color w:val="000000"/>
                <w:sz w:val="20"/>
                <w:szCs w:val="20"/>
              </w:rPr>
              <w:t>)</w:t>
            </w:r>
          </w:p>
        </w:tc>
        <w:tc>
          <w:tcPr>
            <w:tcW w:w="1123" w:type="dxa"/>
            <w:tcBorders>
              <w:top w:val="single" w:sz="4" w:space="0" w:color="auto"/>
              <w:left w:val="nil"/>
              <w:bottom w:val="single" w:sz="4" w:space="0" w:color="auto"/>
              <w:right w:val="single" w:sz="4" w:space="0" w:color="auto"/>
            </w:tcBorders>
            <w:vAlign w:val="center"/>
            <w:hideMark/>
          </w:tcPr>
          <w:p w14:paraId="1990F9FC"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Applied</w:t>
            </w:r>
          </w:p>
        </w:tc>
        <w:tc>
          <w:tcPr>
            <w:tcW w:w="1043" w:type="dxa"/>
            <w:tcBorders>
              <w:top w:val="single" w:sz="4" w:space="0" w:color="auto"/>
              <w:left w:val="nil"/>
              <w:bottom w:val="single" w:sz="4" w:space="0" w:color="auto"/>
              <w:right w:val="single" w:sz="4" w:space="0" w:color="auto"/>
            </w:tcBorders>
            <w:vAlign w:val="center"/>
            <w:hideMark/>
          </w:tcPr>
          <w:p w14:paraId="69D2F935"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Test Statistic / F-Value</w:t>
            </w:r>
          </w:p>
        </w:tc>
        <w:tc>
          <w:tcPr>
            <w:tcW w:w="816" w:type="dxa"/>
            <w:tcBorders>
              <w:top w:val="single" w:sz="4" w:space="0" w:color="auto"/>
              <w:left w:val="nil"/>
              <w:bottom w:val="single" w:sz="4" w:space="0" w:color="auto"/>
              <w:right w:val="single" w:sz="4" w:space="0" w:color="auto"/>
            </w:tcBorders>
            <w:vAlign w:val="center"/>
            <w:hideMark/>
          </w:tcPr>
          <w:p w14:paraId="5DAF5D17"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p-Value</w:t>
            </w:r>
          </w:p>
        </w:tc>
        <w:tc>
          <w:tcPr>
            <w:tcW w:w="1246" w:type="dxa"/>
            <w:tcBorders>
              <w:top w:val="single" w:sz="4" w:space="0" w:color="auto"/>
              <w:left w:val="nil"/>
              <w:bottom w:val="single" w:sz="4" w:space="0" w:color="auto"/>
              <w:right w:val="single" w:sz="4" w:space="0" w:color="auto"/>
            </w:tcBorders>
            <w:vAlign w:val="center"/>
            <w:hideMark/>
          </w:tcPr>
          <w:p w14:paraId="2B931858"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Decision Rule</w:t>
            </w:r>
          </w:p>
        </w:tc>
        <w:tc>
          <w:tcPr>
            <w:tcW w:w="2430" w:type="dxa"/>
            <w:tcBorders>
              <w:top w:val="single" w:sz="4" w:space="0" w:color="auto"/>
              <w:left w:val="nil"/>
              <w:bottom w:val="single" w:sz="4" w:space="0" w:color="auto"/>
              <w:right w:val="single" w:sz="4" w:space="0" w:color="auto"/>
            </w:tcBorders>
            <w:vAlign w:val="center"/>
            <w:hideMark/>
          </w:tcPr>
          <w:p w14:paraId="4519AB67" w14:textId="77777777" w:rsidR="005F1E1C" w:rsidRPr="006435D7" w:rsidRDefault="005F1E1C" w:rsidP="005F1E1C">
            <w:pPr>
              <w:spacing w:after="0" w:line="240" w:lineRule="auto"/>
              <w:jc w:val="center"/>
              <w:rPr>
                <w:rFonts w:ascii="Arial" w:eastAsia="Times New Roman" w:hAnsi="Arial" w:cs="Arial"/>
                <w:b/>
                <w:bCs/>
                <w:color w:val="000000"/>
                <w:sz w:val="20"/>
                <w:szCs w:val="20"/>
              </w:rPr>
            </w:pPr>
            <w:r w:rsidRPr="006435D7">
              <w:rPr>
                <w:rFonts w:ascii="Arial" w:eastAsia="Times New Roman" w:hAnsi="Arial" w:cs="Arial"/>
                <w:b/>
                <w:bCs/>
                <w:color w:val="000000"/>
                <w:sz w:val="20"/>
                <w:szCs w:val="20"/>
              </w:rPr>
              <w:t>Result / Interpretation</w:t>
            </w:r>
          </w:p>
        </w:tc>
      </w:tr>
      <w:tr w:rsidR="005F1E1C" w:rsidRPr="006435D7" w14:paraId="51DEB966" w14:textId="77777777" w:rsidTr="00F13939">
        <w:trPr>
          <w:trHeight w:val="64"/>
        </w:trPr>
        <w:tc>
          <w:tcPr>
            <w:tcW w:w="1350" w:type="dxa"/>
            <w:tcBorders>
              <w:top w:val="nil"/>
              <w:left w:val="single" w:sz="4" w:space="0" w:color="auto"/>
              <w:bottom w:val="single" w:sz="4" w:space="0" w:color="auto"/>
              <w:right w:val="single" w:sz="4" w:space="0" w:color="auto"/>
            </w:tcBorders>
            <w:vAlign w:val="bottom"/>
            <w:hideMark/>
          </w:tcPr>
          <w:p w14:paraId="7356DE17"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H</w:t>
            </w:r>
            <w:r w:rsidRPr="006435D7">
              <w:rPr>
                <w:rFonts w:ascii="Times New Roman" w:eastAsia="Times New Roman" w:hAnsi="Times New Roman" w:cs="Arial"/>
                <w:color w:val="000000"/>
                <w:sz w:val="20"/>
                <w:szCs w:val="20"/>
              </w:rPr>
              <w:t>₁</w:t>
            </w:r>
          </w:p>
        </w:tc>
        <w:tc>
          <w:tcPr>
            <w:tcW w:w="1456" w:type="dxa"/>
            <w:tcBorders>
              <w:top w:val="nil"/>
              <w:left w:val="nil"/>
              <w:bottom w:val="single" w:sz="4" w:space="0" w:color="auto"/>
              <w:right w:val="single" w:sz="4" w:space="0" w:color="auto"/>
            </w:tcBorders>
            <w:vAlign w:val="bottom"/>
            <w:hideMark/>
          </w:tcPr>
          <w:p w14:paraId="66931004"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Coal consumption does not Granger-cause economic growth in India.</w:t>
            </w:r>
          </w:p>
        </w:tc>
        <w:tc>
          <w:tcPr>
            <w:tcW w:w="1123" w:type="dxa"/>
            <w:tcBorders>
              <w:top w:val="nil"/>
              <w:left w:val="nil"/>
              <w:bottom w:val="single" w:sz="4" w:space="0" w:color="auto"/>
              <w:right w:val="single" w:sz="4" w:space="0" w:color="auto"/>
            </w:tcBorders>
            <w:vAlign w:val="bottom"/>
            <w:hideMark/>
          </w:tcPr>
          <w:p w14:paraId="32DA4671"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Granger Causality Test</w:t>
            </w:r>
          </w:p>
        </w:tc>
        <w:tc>
          <w:tcPr>
            <w:tcW w:w="1043" w:type="dxa"/>
            <w:tcBorders>
              <w:top w:val="nil"/>
              <w:left w:val="nil"/>
              <w:bottom w:val="single" w:sz="4" w:space="0" w:color="auto"/>
              <w:right w:val="single" w:sz="4" w:space="0" w:color="auto"/>
            </w:tcBorders>
            <w:vAlign w:val="bottom"/>
            <w:hideMark/>
          </w:tcPr>
          <w:p w14:paraId="7ACD207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4.682</w:t>
            </w:r>
          </w:p>
        </w:tc>
        <w:tc>
          <w:tcPr>
            <w:tcW w:w="816" w:type="dxa"/>
            <w:tcBorders>
              <w:top w:val="nil"/>
              <w:left w:val="nil"/>
              <w:bottom w:val="single" w:sz="4" w:space="0" w:color="auto"/>
              <w:right w:val="single" w:sz="4" w:space="0" w:color="auto"/>
            </w:tcBorders>
            <w:vAlign w:val="bottom"/>
            <w:hideMark/>
          </w:tcPr>
          <w:p w14:paraId="2A64212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0.015</w:t>
            </w:r>
          </w:p>
        </w:tc>
        <w:tc>
          <w:tcPr>
            <w:tcW w:w="1246" w:type="dxa"/>
            <w:tcBorders>
              <w:top w:val="nil"/>
              <w:left w:val="nil"/>
              <w:bottom w:val="single" w:sz="4" w:space="0" w:color="auto"/>
              <w:right w:val="single" w:sz="4" w:space="0" w:color="auto"/>
            </w:tcBorders>
            <w:vAlign w:val="bottom"/>
            <w:hideMark/>
          </w:tcPr>
          <w:p w14:paraId="5E594CA8"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p &lt; 0.05</w:t>
            </w:r>
          </w:p>
        </w:tc>
        <w:tc>
          <w:tcPr>
            <w:tcW w:w="2430" w:type="dxa"/>
            <w:tcBorders>
              <w:top w:val="nil"/>
              <w:left w:val="nil"/>
              <w:bottom w:val="single" w:sz="4" w:space="0" w:color="auto"/>
              <w:right w:val="single" w:sz="4" w:space="0" w:color="auto"/>
            </w:tcBorders>
            <w:vAlign w:val="bottom"/>
            <w:hideMark/>
          </w:tcPr>
          <w:p w14:paraId="22DEA14D"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Since p = 0.015 &lt; 0.05, the null hypothesis is rejected, indicating that coal consumption Granger-causes economic growth in India.</w:t>
            </w:r>
          </w:p>
        </w:tc>
      </w:tr>
      <w:tr w:rsidR="005F1E1C" w:rsidRPr="006435D7" w14:paraId="42557D94" w14:textId="77777777" w:rsidTr="00F13939">
        <w:trPr>
          <w:trHeight w:val="64"/>
        </w:trPr>
        <w:tc>
          <w:tcPr>
            <w:tcW w:w="1350" w:type="dxa"/>
            <w:tcBorders>
              <w:top w:val="nil"/>
              <w:left w:val="single" w:sz="4" w:space="0" w:color="auto"/>
              <w:bottom w:val="single" w:sz="4" w:space="0" w:color="auto"/>
              <w:right w:val="single" w:sz="4" w:space="0" w:color="auto"/>
            </w:tcBorders>
            <w:vAlign w:val="bottom"/>
            <w:hideMark/>
          </w:tcPr>
          <w:p w14:paraId="687B614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H</w:t>
            </w:r>
            <w:r w:rsidRPr="006435D7">
              <w:rPr>
                <w:rFonts w:ascii="Times New Roman" w:eastAsia="Times New Roman" w:hAnsi="Times New Roman" w:cs="Arial"/>
                <w:color w:val="000000"/>
                <w:sz w:val="20"/>
                <w:szCs w:val="20"/>
              </w:rPr>
              <w:t>₂</w:t>
            </w:r>
          </w:p>
        </w:tc>
        <w:tc>
          <w:tcPr>
            <w:tcW w:w="1456" w:type="dxa"/>
            <w:tcBorders>
              <w:top w:val="nil"/>
              <w:left w:val="nil"/>
              <w:bottom w:val="single" w:sz="4" w:space="0" w:color="auto"/>
              <w:right w:val="single" w:sz="4" w:space="0" w:color="auto"/>
            </w:tcBorders>
            <w:vAlign w:val="bottom"/>
            <w:hideMark/>
          </w:tcPr>
          <w:p w14:paraId="604F0DB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Economic growth does not Granger-cause coal consumption in India.</w:t>
            </w:r>
          </w:p>
        </w:tc>
        <w:tc>
          <w:tcPr>
            <w:tcW w:w="1123" w:type="dxa"/>
            <w:tcBorders>
              <w:top w:val="nil"/>
              <w:left w:val="nil"/>
              <w:bottom w:val="single" w:sz="4" w:space="0" w:color="auto"/>
              <w:right w:val="single" w:sz="4" w:space="0" w:color="auto"/>
            </w:tcBorders>
            <w:vAlign w:val="bottom"/>
            <w:hideMark/>
          </w:tcPr>
          <w:p w14:paraId="53CD550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Granger Causality Test</w:t>
            </w:r>
          </w:p>
        </w:tc>
        <w:tc>
          <w:tcPr>
            <w:tcW w:w="1043" w:type="dxa"/>
            <w:tcBorders>
              <w:top w:val="nil"/>
              <w:left w:val="nil"/>
              <w:bottom w:val="single" w:sz="4" w:space="0" w:color="auto"/>
              <w:right w:val="single" w:sz="4" w:space="0" w:color="auto"/>
            </w:tcBorders>
            <w:vAlign w:val="bottom"/>
            <w:hideMark/>
          </w:tcPr>
          <w:p w14:paraId="0743046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5.214</w:t>
            </w:r>
          </w:p>
        </w:tc>
        <w:tc>
          <w:tcPr>
            <w:tcW w:w="816" w:type="dxa"/>
            <w:tcBorders>
              <w:top w:val="nil"/>
              <w:left w:val="nil"/>
              <w:bottom w:val="single" w:sz="4" w:space="0" w:color="auto"/>
              <w:right w:val="single" w:sz="4" w:space="0" w:color="auto"/>
            </w:tcBorders>
            <w:vAlign w:val="bottom"/>
            <w:hideMark/>
          </w:tcPr>
          <w:p w14:paraId="310D5CC8"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0.01</w:t>
            </w:r>
          </w:p>
        </w:tc>
        <w:tc>
          <w:tcPr>
            <w:tcW w:w="1246" w:type="dxa"/>
            <w:tcBorders>
              <w:top w:val="nil"/>
              <w:left w:val="nil"/>
              <w:bottom w:val="single" w:sz="4" w:space="0" w:color="auto"/>
              <w:right w:val="single" w:sz="4" w:space="0" w:color="auto"/>
            </w:tcBorders>
            <w:vAlign w:val="bottom"/>
            <w:hideMark/>
          </w:tcPr>
          <w:p w14:paraId="68AD2B50"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p &lt; 0.05</w:t>
            </w:r>
          </w:p>
        </w:tc>
        <w:tc>
          <w:tcPr>
            <w:tcW w:w="2430" w:type="dxa"/>
            <w:tcBorders>
              <w:top w:val="nil"/>
              <w:left w:val="nil"/>
              <w:bottom w:val="single" w:sz="4" w:space="0" w:color="auto"/>
              <w:right w:val="single" w:sz="4" w:space="0" w:color="auto"/>
            </w:tcBorders>
            <w:vAlign w:val="bottom"/>
            <w:hideMark/>
          </w:tcPr>
          <w:p w14:paraId="566380EA"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The null hypothesis is rejected (p = 0.010 &lt; 0.05), implying that economic growth also Granger-causes coal consumption.</w:t>
            </w:r>
          </w:p>
        </w:tc>
      </w:tr>
      <w:tr w:rsidR="005F1E1C" w:rsidRPr="006435D7" w14:paraId="6F165839" w14:textId="77777777" w:rsidTr="00F13939">
        <w:trPr>
          <w:trHeight w:val="74"/>
        </w:trPr>
        <w:tc>
          <w:tcPr>
            <w:tcW w:w="1350" w:type="dxa"/>
            <w:tcBorders>
              <w:top w:val="nil"/>
              <w:left w:val="single" w:sz="4" w:space="0" w:color="auto"/>
              <w:bottom w:val="single" w:sz="4" w:space="0" w:color="auto"/>
              <w:right w:val="single" w:sz="4" w:space="0" w:color="auto"/>
            </w:tcBorders>
            <w:vAlign w:val="bottom"/>
            <w:hideMark/>
          </w:tcPr>
          <w:p w14:paraId="64BF782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lastRenderedPageBreak/>
              <w:t>H</w:t>
            </w:r>
            <w:r w:rsidRPr="006435D7">
              <w:rPr>
                <w:rFonts w:ascii="Times New Roman" w:eastAsia="Times New Roman" w:hAnsi="Times New Roman" w:cs="Arial"/>
                <w:color w:val="000000"/>
                <w:sz w:val="20"/>
                <w:szCs w:val="20"/>
              </w:rPr>
              <w:t>₃</w:t>
            </w:r>
          </w:p>
        </w:tc>
        <w:tc>
          <w:tcPr>
            <w:tcW w:w="1456" w:type="dxa"/>
            <w:tcBorders>
              <w:top w:val="nil"/>
              <w:left w:val="nil"/>
              <w:bottom w:val="single" w:sz="4" w:space="0" w:color="auto"/>
              <w:right w:val="single" w:sz="4" w:space="0" w:color="auto"/>
            </w:tcBorders>
            <w:vAlign w:val="bottom"/>
            <w:hideMark/>
          </w:tcPr>
          <w:p w14:paraId="20720EEC"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No long-run relationship exists between coal consumption and economic growth.</w:t>
            </w:r>
          </w:p>
        </w:tc>
        <w:tc>
          <w:tcPr>
            <w:tcW w:w="1123" w:type="dxa"/>
            <w:tcBorders>
              <w:top w:val="nil"/>
              <w:left w:val="nil"/>
              <w:bottom w:val="single" w:sz="4" w:space="0" w:color="auto"/>
              <w:right w:val="single" w:sz="4" w:space="0" w:color="auto"/>
            </w:tcBorders>
            <w:vAlign w:val="bottom"/>
            <w:hideMark/>
          </w:tcPr>
          <w:p w14:paraId="52B32C87"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ARDL Bounds Test</w:t>
            </w:r>
          </w:p>
        </w:tc>
        <w:tc>
          <w:tcPr>
            <w:tcW w:w="1043" w:type="dxa"/>
            <w:tcBorders>
              <w:top w:val="nil"/>
              <w:left w:val="nil"/>
              <w:bottom w:val="single" w:sz="4" w:space="0" w:color="auto"/>
              <w:right w:val="single" w:sz="4" w:space="0" w:color="auto"/>
            </w:tcBorders>
            <w:vAlign w:val="bottom"/>
            <w:hideMark/>
          </w:tcPr>
          <w:p w14:paraId="3EC02B1B"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F = 7.826</w:t>
            </w:r>
          </w:p>
        </w:tc>
        <w:tc>
          <w:tcPr>
            <w:tcW w:w="816" w:type="dxa"/>
            <w:tcBorders>
              <w:top w:val="nil"/>
              <w:left w:val="nil"/>
              <w:bottom w:val="single" w:sz="4" w:space="0" w:color="auto"/>
              <w:right w:val="single" w:sz="4" w:space="0" w:color="auto"/>
            </w:tcBorders>
            <w:vAlign w:val="bottom"/>
            <w:hideMark/>
          </w:tcPr>
          <w:p w14:paraId="6D429282"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0</w:t>
            </w:r>
          </w:p>
        </w:tc>
        <w:tc>
          <w:tcPr>
            <w:tcW w:w="1246" w:type="dxa"/>
            <w:tcBorders>
              <w:top w:val="nil"/>
              <w:left w:val="nil"/>
              <w:bottom w:val="single" w:sz="4" w:space="0" w:color="auto"/>
              <w:right w:val="single" w:sz="4" w:space="0" w:color="auto"/>
            </w:tcBorders>
            <w:vAlign w:val="bottom"/>
            <w:hideMark/>
          </w:tcPr>
          <w:p w14:paraId="2DFB6E0D"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Reject H</w:t>
            </w:r>
            <w:r w:rsidRPr="006435D7">
              <w:rPr>
                <w:rFonts w:ascii="Times New Roman" w:eastAsia="Times New Roman" w:hAnsi="Times New Roman" w:cs="Arial"/>
                <w:color w:val="000000"/>
                <w:sz w:val="20"/>
                <w:szCs w:val="20"/>
              </w:rPr>
              <w:t>₀</w:t>
            </w:r>
            <w:r w:rsidRPr="006435D7">
              <w:rPr>
                <w:rFonts w:ascii="Arial" w:eastAsia="Times New Roman" w:hAnsi="Arial" w:cs="Arial"/>
                <w:color w:val="000000"/>
                <w:sz w:val="20"/>
                <w:szCs w:val="20"/>
              </w:rPr>
              <w:t xml:space="preserve"> if F &gt; Upper Bound (4.85)</w:t>
            </w:r>
          </w:p>
        </w:tc>
        <w:tc>
          <w:tcPr>
            <w:tcW w:w="2430" w:type="dxa"/>
            <w:tcBorders>
              <w:top w:val="nil"/>
              <w:left w:val="nil"/>
              <w:bottom w:val="single" w:sz="4" w:space="0" w:color="auto"/>
              <w:right w:val="single" w:sz="4" w:space="0" w:color="auto"/>
            </w:tcBorders>
            <w:vAlign w:val="bottom"/>
            <w:hideMark/>
          </w:tcPr>
          <w:p w14:paraId="21B9C70F" w14:textId="77777777" w:rsidR="005F1E1C" w:rsidRPr="006435D7" w:rsidRDefault="005F1E1C" w:rsidP="00E14106">
            <w:pPr>
              <w:spacing w:after="0" w:line="240" w:lineRule="auto"/>
              <w:jc w:val="center"/>
              <w:rPr>
                <w:rFonts w:ascii="Arial" w:eastAsia="Times New Roman" w:hAnsi="Arial" w:cs="Arial"/>
                <w:color w:val="000000"/>
                <w:sz w:val="20"/>
                <w:szCs w:val="20"/>
              </w:rPr>
            </w:pPr>
            <w:r w:rsidRPr="006435D7">
              <w:rPr>
                <w:rFonts w:ascii="Arial" w:eastAsia="Times New Roman" w:hAnsi="Arial" w:cs="Arial"/>
                <w:color w:val="000000"/>
                <w:sz w:val="20"/>
                <w:szCs w:val="20"/>
              </w:rPr>
              <w:t>Since the F-statistic (7.826) exceeds the upper bound, the null is rejected, confirming a long-run equilibrium relationship between the variables.</w:t>
            </w:r>
          </w:p>
        </w:tc>
      </w:tr>
    </w:tbl>
    <w:p w14:paraId="47437160" w14:textId="77777777" w:rsidR="0056076F" w:rsidRPr="006435D7" w:rsidRDefault="005F1E1C" w:rsidP="00E14106">
      <w:pPr>
        <w:tabs>
          <w:tab w:val="left" w:pos="930"/>
        </w:tabs>
        <w:spacing w:after="0" w:line="480" w:lineRule="auto"/>
        <w:jc w:val="both"/>
        <w:rPr>
          <w:rFonts w:ascii="Arial" w:hAnsi="Arial" w:cs="Arial"/>
          <w:b/>
          <w:sz w:val="20"/>
          <w:szCs w:val="20"/>
        </w:rPr>
      </w:pPr>
      <w:r w:rsidRPr="00E14106">
        <w:rPr>
          <w:rFonts w:ascii="Arial" w:hAnsi="Arial" w:cs="Arial"/>
          <w:b/>
        </w:rPr>
        <w:t>Source:</w:t>
      </w:r>
      <w:r w:rsidR="0056076F" w:rsidRPr="006435D7">
        <w:rPr>
          <w:rFonts w:ascii="Arial" w:hAnsi="Arial" w:cs="Arial"/>
          <w:b/>
          <w:sz w:val="20"/>
          <w:szCs w:val="20"/>
        </w:rPr>
        <w:t xml:space="preserve"> </w:t>
      </w:r>
      <w:r w:rsidR="0056076F" w:rsidRPr="006435D7">
        <w:rPr>
          <w:rFonts w:ascii="Arial" w:hAnsi="Arial" w:cs="Arial"/>
          <w:sz w:val="20"/>
          <w:szCs w:val="20"/>
        </w:rPr>
        <w:t>Author’s computation from Granger and ARDL results using EViews 12, with data from WDI, RBI, and Ministry of Coal (1980–2025).</w:t>
      </w:r>
    </w:p>
    <w:p w14:paraId="016154A8" w14:textId="30AB8F3F" w:rsidR="009F303D" w:rsidRPr="006435D7" w:rsidRDefault="009F303D" w:rsidP="00E14106">
      <w:pPr>
        <w:tabs>
          <w:tab w:val="left" w:pos="930"/>
        </w:tabs>
        <w:spacing w:after="0" w:line="480" w:lineRule="auto"/>
        <w:jc w:val="both"/>
        <w:rPr>
          <w:rFonts w:ascii="Arial" w:hAnsi="Arial" w:cs="Arial"/>
          <w:sz w:val="20"/>
          <w:szCs w:val="20"/>
        </w:rPr>
      </w:pPr>
      <w:r w:rsidRPr="006435D7">
        <w:rPr>
          <w:rFonts w:ascii="Arial" w:hAnsi="Arial" w:cs="Arial"/>
          <w:sz w:val="20"/>
          <w:szCs w:val="20"/>
        </w:rPr>
        <w:tab/>
      </w:r>
      <w:r w:rsidR="0056076F" w:rsidRPr="006435D7">
        <w:rPr>
          <w:rFonts w:ascii="Arial" w:hAnsi="Arial" w:cs="Arial"/>
          <w:sz w:val="20"/>
          <w:szCs w:val="20"/>
        </w:rPr>
        <w:t xml:space="preserve">Table </w:t>
      </w:r>
      <w:r w:rsidR="00CA670A">
        <w:rPr>
          <w:rFonts w:ascii="Arial" w:hAnsi="Arial" w:cs="Arial"/>
          <w:sz w:val="20"/>
          <w:szCs w:val="20"/>
        </w:rPr>
        <w:t>11</w:t>
      </w:r>
      <w:r w:rsidR="0056076F" w:rsidRPr="006435D7">
        <w:rPr>
          <w:rFonts w:ascii="Arial" w:hAnsi="Arial" w:cs="Arial"/>
          <w:sz w:val="20"/>
          <w:szCs w:val="20"/>
        </w:rPr>
        <w:t xml:space="preserve"> summarizes hypothesis testing outcomes based on Granger causality and ARDL bounds results. The null hypotheses for H</w:t>
      </w:r>
      <w:r w:rsidR="0056076F" w:rsidRPr="006435D7">
        <w:rPr>
          <w:rFonts w:ascii="Times New Roman" w:hAnsi="Times New Roman" w:cs="Arial"/>
          <w:sz w:val="20"/>
          <w:szCs w:val="20"/>
        </w:rPr>
        <w:t>₁</w:t>
      </w:r>
      <w:r w:rsidR="0056076F" w:rsidRPr="006435D7">
        <w:rPr>
          <w:rFonts w:ascii="Arial" w:hAnsi="Arial" w:cs="Arial"/>
          <w:sz w:val="20"/>
          <w:szCs w:val="20"/>
        </w:rPr>
        <w:t xml:space="preserve"> (coal does not cause GDP) and H</w:t>
      </w:r>
      <w:r w:rsidR="0056076F" w:rsidRPr="006435D7">
        <w:rPr>
          <w:rFonts w:ascii="Times New Roman" w:hAnsi="Times New Roman" w:cs="Arial"/>
          <w:sz w:val="20"/>
          <w:szCs w:val="20"/>
        </w:rPr>
        <w:t>₂</w:t>
      </w:r>
      <w:r w:rsidR="0056076F" w:rsidRPr="006435D7">
        <w:rPr>
          <w:rFonts w:ascii="Arial" w:hAnsi="Arial" w:cs="Arial"/>
          <w:sz w:val="20"/>
          <w:szCs w:val="20"/>
        </w:rPr>
        <w:t xml:space="preserve"> (GDP does not cause coal) are both rejected at the 5% significance level, confirming bidirectional causality. The ARDL F-statistic (7.826 &gt; 4.85) leads to the rejection of H</w:t>
      </w:r>
      <w:r w:rsidR="0056076F" w:rsidRPr="006435D7">
        <w:rPr>
          <w:rFonts w:ascii="Times New Roman" w:hAnsi="Times New Roman" w:cs="Arial"/>
          <w:sz w:val="20"/>
          <w:szCs w:val="20"/>
        </w:rPr>
        <w:t>₃</w:t>
      </w:r>
      <w:r w:rsidR="0056076F" w:rsidRPr="006435D7">
        <w:rPr>
          <w:rFonts w:ascii="Arial" w:hAnsi="Arial" w:cs="Arial"/>
          <w:sz w:val="20"/>
          <w:szCs w:val="20"/>
        </w:rPr>
        <w:t>, establishing a long-run equilibrium. Together, these findings indicate that coal consumption and economic growth reinforce each other both in the short and long run. This supports the feedback hypothesis, emphasizing that policies restricting coal use may dampen growth, whereas economic expansion without energy reform could raise dependency.</w:t>
      </w:r>
    </w:p>
    <w:p w14:paraId="0DF97046" w14:textId="77777777" w:rsidR="00774A46" w:rsidRDefault="00774A46" w:rsidP="00586193">
      <w:pPr>
        <w:tabs>
          <w:tab w:val="left" w:pos="930"/>
        </w:tabs>
        <w:spacing w:after="0" w:line="240" w:lineRule="auto"/>
        <w:jc w:val="both"/>
        <w:rPr>
          <w:rFonts w:ascii="Arial" w:hAnsi="Arial" w:cs="Arial"/>
          <w:b/>
        </w:rPr>
      </w:pPr>
    </w:p>
    <w:p w14:paraId="3554EC99" w14:textId="77777777" w:rsidR="00586193" w:rsidRPr="00E14106" w:rsidRDefault="00711351" w:rsidP="00586193">
      <w:pPr>
        <w:tabs>
          <w:tab w:val="left" w:pos="930"/>
        </w:tabs>
        <w:spacing w:after="0" w:line="240" w:lineRule="auto"/>
        <w:jc w:val="both"/>
        <w:rPr>
          <w:rFonts w:ascii="Arial" w:hAnsi="Arial" w:cs="Arial"/>
          <w:b/>
        </w:rPr>
      </w:pPr>
      <w:r w:rsidRPr="00E14106">
        <w:rPr>
          <w:rFonts w:ascii="Arial" w:hAnsi="Arial" w:cs="Arial"/>
          <w:b/>
        </w:rPr>
        <w:t xml:space="preserve">4.0 </w:t>
      </w:r>
      <w:r w:rsidR="00586193" w:rsidRPr="00E14106">
        <w:rPr>
          <w:rFonts w:ascii="Arial" w:hAnsi="Arial" w:cs="Arial"/>
          <w:b/>
        </w:rPr>
        <w:t>MAJOR FINDINGS OF THE STUDY</w:t>
      </w:r>
    </w:p>
    <w:p w14:paraId="16056D48" w14:textId="77777777" w:rsidR="00586193" w:rsidRPr="00E14106" w:rsidRDefault="00586193" w:rsidP="00586193">
      <w:pPr>
        <w:pStyle w:val="Heading3"/>
        <w:spacing w:before="0" w:line="240" w:lineRule="auto"/>
        <w:jc w:val="both"/>
        <w:rPr>
          <w:rFonts w:ascii="Arial" w:hAnsi="Arial" w:cs="Arial"/>
          <w:b w:val="0"/>
          <w:color w:val="auto"/>
        </w:rPr>
      </w:pPr>
      <w:r w:rsidRPr="00E14106">
        <w:rPr>
          <w:rStyle w:val="Strong"/>
          <w:rFonts w:ascii="Arial" w:hAnsi="Arial" w:cs="Arial"/>
          <w:b/>
          <w:bCs/>
          <w:color w:val="auto"/>
        </w:rPr>
        <w:t>1. Existence of a Long-Run Equilibrium Relationship</w:t>
      </w:r>
    </w:p>
    <w:p w14:paraId="693E2E1F" w14:textId="77777777" w:rsidR="00586193" w:rsidRPr="006435D7" w:rsidRDefault="00586193" w:rsidP="00586193">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study confirms a long-run equilibrium relationship between coal consumption, economic growth, capital formation, and labour in India through Johansen cointegration and ARDL bounds tests. The F-statistic (7.826) surpasses the upper bound critical value, affirming cointegration at the 1% level. This implies that the variables move together over time, reflecting structural dependence between energy and economic activity. Coal consumption, being a primary energy source, continues to underpin India’s industrial expansion and GDP growth. The long-run relationship highlights the persistence of coal as a critical input for development, despite India’s gradual transition toward renewable energy.</w:t>
      </w:r>
    </w:p>
    <w:p w14:paraId="117C3DFC" w14:textId="77777777" w:rsidR="00586193" w:rsidRPr="00E14106" w:rsidRDefault="00586193" w:rsidP="00586193">
      <w:pPr>
        <w:pStyle w:val="NormalWeb"/>
        <w:spacing w:before="0" w:beforeAutospacing="0" w:after="0" w:afterAutospacing="0"/>
        <w:jc w:val="both"/>
        <w:rPr>
          <w:rFonts w:ascii="Arial" w:hAnsi="Arial" w:cs="Arial"/>
          <w:sz w:val="22"/>
          <w:szCs w:val="22"/>
        </w:rPr>
      </w:pPr>
      <w:r w:rsidRPr="00E14106">
        <w:rPr>
          <w:rStyle w:val="Strong"/>
          <w:rFonts w:ascii="Arial" w:hAnsi="Arial" w:cs="Arial"/>
          <w:bCs w:val="0"/>
          <w:sz w:val="22"/>
          <w:szCs w:val="22"/>
        </w:rPr>
        <w:t>2. Bidirectional Causality between Coal Consumption and Economic Growth</w:t>
      </w:r>
    </w:p>
    <w:p w14:paraId="666298C1" w14:textId="77777777" w:rsidR="00586193" w:rsidRPr="006435D7" w:rsidRDefault="00586193" w:rsidP="00586193">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Granger causality test results reveal a bidirectional causal relationship between coal consumption and GDP growth at the 5% significance level. This finding validates the </w:t>
      </w:r>
      <w:r w:rsidRPr="006435D7">
        <w:rPr>
          <w:rStyle w:val="Strong"/>
          <w:rFonts w:ascii="Arial" w:hAnsi="Arial" w:cs="Arial"/>
          <w:b w:val="0"/>
          <w:sz w:val="20"/>
          <w:szCs w:val="20"/>
        </w:rPr>
        <w:t>energy–growth feedback hypothesis</w:t>
      </w:r>
      <w:r w:rsidRPr="006435D7">
        <w:rPr>
          <w:rFonts w:ascii="Arial" w:hAnsi="Arial" w:cs="Arial"/>
          <w:sz w:val="20"/>
          <w:szCs w:val="20"/>
        </w:rPr>
        <w:t xml:space="preserve">, indicating mutual reinforcement between energy use and economic performance. In other words, increases in coal consumption stimulate industrial production and GDP growth, while economic expansion subsequently raises energy demand. Such feedback suggests that coal remains an essential </w:t>
      </w:r>
      <w:r w:rsidRPr="006435D7">
        <w:rPr>
          <w:rFonts w:ascii="Arial" w:hAnsi="Arial" w:cs="Arial"/>
          <w:sz w:val="20"/>
          <w:szCs w:val="20"/>
        </w:rPr>
        <w:lastRenderedPageBreak/>
        <w:t>driver of India’s growth engine, particularly in manufacturing, electricity generation, and infrastructure sectors.</w:t>
      </w:r>
    </w:p>
    <w:p w14:paraId="6F8B0465"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3. Positive Short-Run Impact and Speed of Adjustment</w:t>
      </w:r>
    </w:p>
    <w:p w14:paraId="43348031" w14:textId="77777777" w:rsidR="0067032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Error Correction Model (ECM) results show that short-term fluctuations in coal consumption have a significant positive effect on GDP. The error correction term (–0.412) is statistically significant at the 1% level, suggesting that approximately 41% of the deviation from long-run equilibrium is corrected annually. This finding reflects stable convergence between energy consumption and economic growth. It indicates that short-run increases in coal usage accelerate GDP growth, while the system naturally restores equilibrium following shocks. This dynamic reinforces coal’s pivotal role in sustaining India’s short-term economic momentum.</w:t>
      </w:r>
    </w:p>
    <w:p w14:paraId="5026A80C"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4. Model Reliability and Statistical Stability</w:t>
      </w:r>
      <w:r w:rsidRPr="00670327">
        <w:rPr>
          <w:rFonts w:ascii="Arial" w:hAnsi="Arial" w:cs="Arial"/>
          <w:sz w:val="22"/>
          <w:szCs w:val="22"/>
        </w:rPr>
        <w:t xml:space="preserve"> </w:t>
      </w:r>
    </w:p>
    <w:p w14:paraId="7609C2CD" w14:textId="77777777" w:rsidR="0067032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OLS and diagnostic test results confirm the model’s robustness and reliability. The regression model shows a strong fit (R² = 0.951), explaining over 95% of GDP variation. Diagnostic tests such as the Breusch–Godfrey LM (p = 0.317) and White test (p = 0.412) indicate no serial correlation or heteroskedasticity. Additionally, the CUSUM and CUSUMSQ stability tests demonstrate that model parameters remain stable within the 1% confidence interval throughout the period. These results confirm that India’s coal–growth relationship has been consistent and statistically valid over time, strengthening the credibility of the study’s empirical findings.</w:t>
      </w:r>
    </w:p>
    <w:p w14:paraId="6F8328A2" w14:textId="77777777" w:rsidR="00586193" w:rsidRPr="00670327" w:rsidRDefault="00586193" w:rsidP="00670327">
      <w:pPr>
        <w:pStyle w:val="NormalWeb"/>
        <w:spacing w:before="0" w:beforeAutospacing="0" w:after="0" w:afterAutospacing="0"/>
        <w:jc w:val="both"/>
        <w:rPr>
          <w:rFonts w:ascii="Arial" w:hAnsi="Arial" w:cs="Arial"/>
          <w:sz w:val="22"/>
          <w:szCs w:val="22"/>
        </w:rPr>
      </w:pPr>
      <w:r w:rsidRPr="00670327">
        <w:rPr>
          <w:rStyle w:val="Strong"/>
          <w:rFonts w:ascii="Arial" w:hAnsi="Arial" w:cs="Arial"/>
          <w:bCs w:val="0"/>
          <w:sz w:val="22"/>
          <w:szCs w:val="22"/>
        </w:rPr>
        <w:t>5. Policy Implications for Sustainable and Inclusive Growth</w:t>
      </w:r>
    </w:p>
    <w:p w14:paraId="15BAB9ED" w14:textId="77777777" w:rsidR="00586193" w:rsidRPr="006435D7" w:rsidRDefault="0058619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findings indicate that coal consumption significantly drives India’s economic growth, but excessive dependence raises sustainability concerns. As the country advances toward net-zero commitments, energy diversification becomes crucial. Policymakers must focus on improving coal efficiency, investing in clean technologies, and promoting renewable alternatives without undermining economic progress. Balanced energy strategies will ensure sustainable growth while maintaining industrial productivity and employment. Thus, India’s long-term policy must integrate energy security with environmental stewardship to sustain economic expansion in an ecologically responsible manner.</w:t>
      </w:r>
    </w:p>
    <w:p w14:paraId="377B824E" w14:textId="77777777" w:rsidR="00E2173C" w:rsidRPr="00670327" w:rsidRDefault="00711351" w:rsidP="008C4AE3">
      <w:pPr>
        <w:tabs>
          <w:tab w:val="left" w:pos="930"/>
        </w:tabs>
        <w:spacing w:after="0" w:line="240" w:lineRule="auto"/>
        <w:jc w:val="both"/>
        <w:rPr>
          <w:rFonts w:ascii="Arial" w:hAnsi="Arial" w:cs="Arial"/>
          <w:b/>
          <w:bCs/>
        </w:rPr>
      </w:pPr>
      <w:r w:rsidRPr="00670327">
        <w:rPr>
          <w:rFonts w:ascii="Arial" w:hAnsi="Arial" w:cs="Arial"/>
          <w:b/>
          <w:bCs/>
        </w:rPr>
        <w:t xml:space="preserve">5.0 </w:t>
      </w:r>
      <w:r w:rsidR="00E2173C" w:rsidRPr="00670327">
        <w:rPr>
          <w:rFonts w:ascii="Arial" w:hAnsi="Arial" w:cs="Arial"/>
          <w:b/>
          <w:bCs/>
        </w:rPr>
        <w:t>POLICY SUGGESTION</w:t>
      </w:r>
    </w:p>
    <w:p w14:paraId="1842AF93" w14:textId="77777777" w:rsidR="008C4AE3" w:rsidRPr="00670327" w:rsidRDefault="008C4AE3" w:rsidP="008C4AE3">
      <w:pPr>
        <w:pStyle w:val="Heading3"/>
        <w:spacing w:before="0" w:line="240" w:lineRule="auto"/>
        <w:jc w:val="both"/>
        <w:rPr>
          <w:rFonts w:ascii="Arial" w:hAnsi="Arial" w:cs="Arial"/>
          <w:color w:val="auto"/>
        </w:rPr>
      </w:pPr>
      <w:r w:rsidRPr="00670327">
        <w:rPr>
          <w:rStyle w:val="Strong"/>
          <w:rFonts w:ascii="Arial" w:hAnsi="Arial" w:cs="Arial"/>
          <w:b/>
          <w:bCs/>
          <w:color w:val="auto"/>
        </w:rPr>
        <w:t>1. Promote Clean Coal Technologies and Efficiency Improvements</w:t>
      </w:r>
    </w:p>
    <w:p w14:paraId="51564795" w14:textId="77777777" w:rsidR="008C4AE3" w:rsidRPr="006435D7" w:rsidRDefault="008C4AE3" w:rsidP="00670327">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Given the long-run dependence of India’s economic growth on coal consumption, the government should invest in cleaner and more efficient coal technologies. Upgrading existing thermal power plants </w:t>
      </w:r>
      <w:r w:rsidRPr="006435D7">
        <w:rPr>
          <w:rFonts w:ascii="Arial" w:hAnsi="Arial" w:cs="Arial"/>
          <w:sz w:val="20"/>
          <w:szCs w:val="20"/>
        </w:rPr>
        <w:lastRenderedPageBreak/>
        <w:t>with supercritical and ultra-supercritical technologies can reduce emissions while maintaining energy output. Encouraging coal gasification, carbon capture, and storage (CCS) technologies can help minimize environmental impact. These technological improvements will allow India to sustain industrial growth while meeting its international climate commitments under the Paris Agreement.</w:t>
      </w:r>
    </w:p>
    <w:p w14:paraId="76050D45" w14:textId="77777777" w:rsidR="008C4AE3" w:rsidRPr="00670327" w:rsidRDefault="008C4AE3" w:rsidP="008C4AE3">
      <w:pPr>
        <w:pStyle w:val="NormalWeb"/>
        <w:spacing w:before="0" w:beforeAutospacing="0" w:after="0" w:afterAutospacing="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2. Diversify India’s Energy Mix to Reduce Overdependence on Coal</w:t>
      </w:r>
    </w:p>
    <w:p w14:paraId="3ADB10B8"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The bidirectional causality between coal consumption and GDP growth highlights coal’s importance but also signals vulnerability to energy shocks. Policymakers should accelerate diversification by promoting renewable energy sources—solar, wind, hydro, and biomass—to gradually reduce overdependence on coal. Strategic energy diversification will enhance resilience, stabilize energy supply, and support sustainable growth. Introducing financial incentives and tax reforms for renewable energy investments can facilitate this transition without disrupting economic expansion.</w:t>
      </w:r>
    </w:p>
    <w:p w14:paraId="011D380B"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3. Strengthen Energy Governance and Integrated Policy Planning</w:t>
      </w:r>
    </w:p>
    <w:p w14:paraId="58FB9F43"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India requires a comprehensive and integrated energy policy framework that aligns coal production, renewable energy development, and environmental goals. Coordination among the Ministry of Coal, Ministry of Power, and NITI Aayog is essential for implementing efficient energy transition policies. Strengthening regulatory oversight, improving data transparency, and ensuring efficient coal allocation will improve sectoral performance. Integrated energy planning will also prevent supply bottlenecks, reduce import dependence, and enhance energy security in the long term.</w:t>
      </w:r>
    </w:p>
    <w:p w14:paraId="4819C00E"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sz w:val="20"/>
          <w:szCs w:val="20"/>
        </w:rPr>
        <w:br/>
      </w:r>
      <w:r w:rsidRPr="00670327">
        <w:rPr>
          <w:rStyle w:val="Strong"/>
          <w:rFonts w:ascii="Arial" w:hAnsi="Arial" w:cs="Arial"/>
          <w:bCs w:val="0"/>
          <w:sz w:val="22"/>
          <w:szCs w:val="22"/>
        </w:rPr>
        <w:t>4. Encourage Sustainable Industrial and Infrastructure Growth</w:t>
      </w:r>
    </w:p>
    <w:p w14:paraId="1EE9C1EA"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Since economic growth significantly influences coal consumption, industrial and infrastructure policies should emphasize energy-efficient operations. Promoting green industrial corridors, energy audits, and mandatory efficiency standards will reduce coal intensity without affecting productivity. Public–private partnerships (PPPs) can mobilize investments in sustainable technologies and cleaner transport systems. Encouraging industries to adopt renewable power sources for partial operations can gradually reduce the carbon footprint of economic growth.</w:t>
      </w:r>
    </w:p>
    <w:p w14:paraId="08C0E5E8" w14:textId="77777777" w:rsidR="008C4AE3" w:rsidRPr="00670327" w:rsidRDefault="008C4AE3" w:rsidP="008C4AE3">
      <w:pPr>
        <w:pStyle w:val="NormalWeb"/>
        <w:spacing w:before="0" w:beforeAutospacing="0" w:after="0" w:afterAutospacing="0"/>
        <w:ind w:firstLine="720"/>
        <w:jc w:val="both"/>
        <w:rPr>
          <w:rFonts w:ascii="Arial" w:hAnsi="Arial" w:cs="Arial"/>
          <w:sz w:val="22"/>
          <w:szCs w:val="22"/>
        </w:rPr>
      </w:pPr>
      <w:r w:rsidRPr="006435D7">
        <w:rPr>
          <w:rFonts w:ascii="Arial" w:hAnsi="Arial" w:cs="Arial"/>
          <w:b/>
          <w:sz w:val="20"/>
          <w:szCs w:val="20"/>
        </w:rPr>
        <w:br/>
      </w:r>
      <w:r w:rsidRPr="00670327">
        <w:rPr>
          <w:rStyle w:val="Strong"/>
          <w:rFonts w:ascii="Arial" w:hAnsi="Arial" w:cs="Arial"/>
          <w:bCs w:val="0"/>
          <w:sz w:val="22"/>
          <w:szCs w:val="22"/>
        </w:rPr>
        <w:t>5. Invest in Research, Innovation, and Workforce Transition Programs</w:t>
      </w:r>
    </w:p>
    <w:p w14:paraId="6B40BC16" w14:textId="77777777" w:rsidR="008C4AE3" w:rsidRPr="006435D7" w:rsidRDefault="008C4AE3"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As India moves toward a low-carbon future, substantial investment in research and development (R&amp;D) for alternative energy technologies is crucial. Parallelly, workforce transition programs should </w:t>
      </w:r>
      <w:r w:rsidRPr="006435D7">
        <w:rPr>
          <w:rFonts w:ascii="Arial" w:hAnsi="Arial" w:cs="Arial"/>
          <w:sz w:val="20"/>
          <w:szCs w:val="20"/>
        </w:rPr>
        <w:lastRenderedPageBreak/>
        <w:t>support workers in coal-dependent sectors through retraining and skill development for emerging green industries. This dual approach will balance social and economic priorities, preventing job losses while fostering innovation in the energy sector. Encouraging academic–industry collaboration can accelerate clean energy advancements and promote sustainable economic resilience.</w:t>
      </w:r>
    </w:p>
    <w:p w14:paraId="2D7C8AC9" w14:textId="77777777" w:rsidR="00E2173C" w:rsidRPr="00670327" w:rsidRDefault="00711351" w:rsidP="001C3031">
      <w:pPr>
        <w:spacing w:after="0" w:line="240" w:lineRule="auto"/>
        <w:jc w:val="both"/>
        <w:rPr>
          <w:rFonts w:ascii="Arial" w:hAnsi="Arial" w:cs="Arial"/>
          <w:b/>
          <w:bCs/>
        </w:rPr>
      </w:pPr>
      <w:r w:rsidRPr="00670327">
        <w:rPr>
          <w:rFonts w:ascii="Arial" w:hAnsi="Arial" w:cs="Arial"/>
          <w:b/>
          <w:bCs/>
        </w:rPr>
        <w:t xml:space="preserve">6.0 </w:t>
      </w:r>
      <w:r w:rsidR="00E2173C" w:rsidRPr="00670327">
        <w:rPr>
          <w:rFonts w:ascii="Arial" w:hAnsi="Arial" w:cs="Arial"/>
          <w:b/>
          <w:bCs/>
        </w:rPr>
        <w:t>CONCLUSION</w:t>
      </w:r>
    </w:p>
    <w:p w14:paraId="1DE4FEFD" w14:textId="77777777" w:rsidR="001C3031" w:rsidRPr="006435D7" w:rsidRDefault="001C3031"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present study, </w:t>
      </w:r>
      <w:r w:rsidRPr="006435D7">
        <w:rPr>
          <w:rStyle w:val="Emphasis"/>
          <w:rFonts w:ascii="Arial" w:hAnsi="Arial" w:cs="Arial"/>
          <w:i w:val="0"/>
          <w:sz w:val="20"/>
          <w:szCs w:val="20"/>
        </w:rPr>
        <w:t>“</w:t>
      </w:r>
      <w:r w:rsidR="000E4C12" w:rsidRPr="000E4C12">
        <w:rPr>
          <w:rFonts w:ascii="Arial" w:hAnsi="Arial" w:cs="Arial"/>
          <w:sz w:val="20"/>
          <w:szCs w:val="20"/>
          <w:lang w:val="en-GB"/>
        </w:rPr>
        <w:t>Dynamics of</w:t>
      </w:r>
      <w:r w:rsidR="000E4C12" w:rsidRPr="00D54C02">
        <w:rPr>
          <w:rFonts w:ascii="Arial" w:hAnsi="Arial" w:cs="Arial"/>
          <w:b/>
          <w:sz w:val="36"/>
          <w:szCs w:val="36"/>
          <w:lang w:val="en-GB"/>
        </w:rPr>
        <w:t xml:space="preserve"> </w:t>
      </w:r>
      <w:r w:rsidR="000E4C12" w:rsidRPr="0039094B">
        <w:rPr>
          <w:rStyle w:val="Emphasis"/>
          <w:rFonts w:ascii="Arial" w:hAnsi="Arial" w:cs="Arial"/>
          <w:sz w:val="20"/>
          <w:szCs w:val="20"/>
        </w:rPr>
        <w:t xml:space="preserve">Coal </w:t>
      </w:r>
      <w:r w:rsidRPr="006435D7">
        <w:rPr>
          <w:rStyle w:val="Emphasis"/>
          <w:rFonts w:ascii="Arial" w:hAnsi="Arial" w:cs="Arial"/>
          <w:i w:val="0"/>
          <w:sz w:val="20"/>
          <w:szCs w:val="20"/>
        </w:rPr>
        <w:t>Coal Consumption and Economic Growth in Indian Economy: An Empirical Study (1980–2025),”</w:t>
      </w:r>
      <w:r w:rsidRPr="006435D7">
        <w:rPr>
          <w:rFonts w:ascii="Arial" w:hAnsi="Arial" w:cs="Arial"/>
          <w:sz w:val="20"/>
          <w:szCs w:val="20"/>
        </w:rPr>
        <w:t xml:space="preserve"> aimed to examine the causal and long-term relationship between coal consumption and economic growth in India. The research was motivated by India’s growing dependence on coal as a primary energy source and its pivotal role in sustaining industrial development and economic expansion. Using annual time-series data from 1980 to 2025, the study employed advanced econometric techniques, including the Augmented Dickey–Fuller test, Johansen cointegration analysis, ARDL bounds testing, Error Correction Model (ECM), and Granger causality tests to ensure robustness and reliability.</w:t>
      </w:r>
    </w:p>
    <w:p w14:paraId="7516EBB3" w14:textId="77777777" w:rsidR="001C3031" w:rsidRPr="006435D7" w:rsidRDefault="001C3031" w:rsidP="00CE25D5">
      <w:pPr>
        <w:pStyle w:val="NormalWeb"/>
        <w:spacing w:before="0" w:beforeAutospacing="0" w:after="0" w:afterAutospacing="0" w:line="480" w:lineRule="auto"/>
        <w:ind w:firstLine="720"/>
        <w:jc w:val="both"/>
        <w:rPr>
          <w:rFonts w:ascii="Arial" w:hAnsi="Arial" w:cs="Arial"/>
          <w:sz w:val="20"/>
          <w:szCs w:val="20"/>
        </w:rPr>
      </w:pPr>
      <w:r w:rsidRPr="006435D7">
        <w:rPr>
          <w:rFonts w:ascii="Arial" w:hAnsi="Arial" w:cs="Arial"/>
          <w:sz w:val="20"/>
          <w:szCs w:val="20"/>
        </w:rPr>
        <w:t xml:space="preserve">The empirical results revealed a strong long-run equilibrium relationship between coal consumption, GDP, capital formation, and labour force, confirming that energy use and economic activity are closely linked. The Granger causality test further established a </w:t>
      </w:r>
      <w:r w:rsidRPr="006435D7">
        <w:rPr>
          <w:rStyle w:val="Strong"/>
          <w:rFonts w:ascii="Arial" w:hAnsi="Arial" w:cs="Arial"/>
          <w:b w:val="0"/>
          <w:sz w:val="20"/>
          <w:szCs w:val="20"/>
        </w:rPr>
        <w:t>bidirectional causal relationship</w:t>
      </w:r>
      <w:r w:rsidRPr="006435D7">
        <w:rPr>
          <w:rFonts w:ascii="Arial" w:hAnsi="Arial" w:cs="Arial"/>
          <w:sz w:val="20"/>
          <w:szCs w:val="20"/>
        </w:rPr>
        <w:t>, implying that coal consumption drives economic growth while economic expansion simultaneously increases coal demand. The ECM results confirmed short-run adjustments toward long-run equilibrium, while diagnostic tests verified model stability and validity. Overall, the study concludes that coal remains a vital driver of India’s economic progress, but its excessive reliance poses sustainability and environmental challenges. Therefore, policymakers must balance energy security with green transition goals by promoting clean coal technologies, diversifying the energy mix, and investing in renewable alternatives. Achieving this balance will enable India to sustain robust economic growth while aligning with global sustainability commitments and long-term energy security objectives.</w:t>
      </w:r>
    </w:p>
    <w:p w14:paraId="0B5D3049" w14:textId="77777777" w:rsidR="001C3031" w:rsidRPr="006435D7" w:rsidRDefault="001C3031" w:rsidP="001C3031">
      <w:pPr>
        <w:spacing w:after="0" w:line="240" w:lineRule="auto"/>
        <w:jc w:val="both"/>
        <w:rPr>
          <w:rFonts w:ascii="Arial" w:hAnsi="Arial" w:cs="Arial"/>
          <w:b/>
          <w:bCs/>
          <w:sz w:val="20"/>
          <w:szCs w:val="20"/>
        </w:rPr>
      </w:pPr>
    </w:p>
    <w:p w14:paraId="1112168C" w14:textId="77777777" w:rsidR="00E2173C" w:rsidRPr="00670327" w:rsidRDefault="00711351" w:rsidP="00EB0D04">
      <w:pPr>
        <w:spacing w:after="0" w:line="240" w:lineRule="auto"/>
        <w:jc w:val="both"/>
        <w:rPr>
          <w:rFonts w:ascii="Arial" w:hAnsi="Arial" w:cs="Arial"/>
          <w:b/>
          <w:bCs/>
        </w:rPr>
      </w:pPr>
      <w:r w:rsidRPr="00670327">
        <w:rPr>
          <w:rFonts w:ascii="Arial" w:hAnsi="Arial" w:cs="Arial"/>
          <w:b/>
          <w:bCs/>
        </w:rPr>
        <w:t xml:space="preserve">7.0 </w:t>
      </w:r>
      <w:r w:rsidR="00E2173C" w:rsidRPr="00670327">
        <w:rPr>
          <w:rFonts w:ascii="Arial" w:hAnsi="Arial" w:cs="Arial"/>
          <w:b/>
          <w:bCs/>
        </w:rPr>
        <w:t>LIMITATIONS OF THE STUDY</w:t>
      </w:r>
    </w:p>
    <w:p w14:paraId="7DF7AAE8" w14:textId="77777777" w:rsidR="00EB0D04" w:rsidRPr="006435D7" w:rsidRDefault="00EB0D04" w:rsidP="00CE25D5">
      <w:pPr>
        <w:spacing w:after="0" w:line="480" w:lineRule="auto"/>
        <w:ind w:firstLine="720"/>
        <w:jc w:val="both"/>
        <w:rPr>
          <w:rFonts w:ascii="Arial" w:hAnsi="Arial" w:cs="Arial"/>
          <w:b/>
          <w:bCs/>
          <w:sz w:val="20"/>
          <w:szCs w:val="20"/>
        </w:rPr>
      </w:pPr>
      <w:r w:rsidRPr="006435D7">
        <w:rPr>
          <w:rFonts w:ascii="Arial" w:hAnsi="Arial" w:cs="Arial"/>
          <w:sz w:val="20"/>
          <w:szCs w:val="20"/>
        </w:rPr>
        <w:t xml:space="preserve">This study is limited by its reliance on secondary data from national and international sources, which may contain measurement or reporting inconsistencies. The analysis focuses only on aggregate coal consumption and GDP, without accounting for sectoral variations or regional disparities across Indian states. Environmental and policy variables such as carbon emissions, renewable energy </w:t>
      </w:r>
      <w:r w:rsidRPr="006435D7">
        <w:rPr>
          <w:rFonts w:ascii="Arial" w:hAnsi="Arial" w:cs="Arial"/>
          <w:sz w:val="20"/>
          <w:szCs w:val="20"/>
        </w:rPr>
        <w:lastRenderedPageBreak/>
        <w:t>expansion, and technological innovation were not explicitly included. Furthermore, the study’s time-series models assume linear relationships and may not fully capture structural shifts or nonlinear dynamics in India’s evolving energy market. These limitations suggest scope for future research using advanced and broader datasets.</w:t>
      </w:r>
    </w:p>
    <w:p w14:paraId="21649360" w14:textId="77777777" w:rsidR="00E2173C" w:rsidRPr="00670327" w:rsidRDefault="00711351" w:rsidP="00002B0E">
      <w:pPr>
        <w:spacing w:after="0" w:line="240" w:lineRule="auto"/>
        <w:jc w:val="both"/>
        <w:rPr>
          <w:rFonts w:ascii="Arial" w:hAnsi="Arial" w:cs="Arial"/>
          <w:b/>
          <w:bCs/>
        </w:rPr>
      </w:pPr>
      <w:r w:rsidRPr="00670327">
        <w:rPr>
          <w:rFonts w:ascii="Arial" w:hAnsi="Arial" w:cs="Arial"/>
          <w:b/>
          <w:bCs/>
        </w:rPr>
        <w:t xml:space="preserve">8.0 </w:t>
      </w:r>
      <w:r w:rsidR="00E2173C" w:rsidRPr="00670327">
        <w:rPr>
          <w:rFonts w:ascii="Arial" w:hAnsi="Arial" w:cs="Arial"/>
          <w:b/>
          <w:bCs/>
        </w:rPr>
        <w:t>SCOPE FOR FURTHER RESEARCH</w:t>
      </w:r>
    </w:p>
    <w:p w14:paraId="2A767E8D" w14:textId="77777777" w:rsidR="00BB3A37" w:rsidRPr="006435D7" w:rsidRDefault="00002B0E" w:rsidP="00CE25D5">
      <w:pPr>
        <w:spacing w:after="0" w:line="480" w:lineRule="auto"/>
        <w:ind w:firstLine="720"/>
        <w:jc w:val="both"/>
        <w:rPr>
          <w:rFonts w:ascii="Arial" w:hAnsi="Arial" w:cs="Arial"/>
          <w:sz w:val="20"/>
          <w:szCs w:val="20"/>
        </w:rPr>
      </w:pPr>
      <w:r w:rsidRPr="006435D7">
        <w:rPr>
          <w:rFonts w:ascii="Arial" w:hAnsi="Arial" w:cs="Arial"/>
          <w:sz w:val="20"/>
          <w:szCs w:val="20"/>
        </w:rPr>
        <w:t>Future research can extend this study by incorporating additional energy variables such as renewable energy consumption, oil, and natural gas to provide a comparative analysis of India’s overall energy-growth nexus. Incorporating environmental indicators like CO</w:t>
      </w:r>
      <w:r w:rsidRPr="006435D7">
        <w:rPr>
          <w:rFonts w:ascii="Times New Roman" w:hAnsi="Times New Roman" w:cs="Arial"/>
          <w:sz w:val="20"/>
          <w:szCs w:val="20"/>
        </w:rPr>
        <w:t>₂</w:t>
      </w:r>
      <w:r w:rsidRPr="006435D7">
        <w:rPr>
          <w:rFonts w:ascii="Arial" w:hAnsi="Arial" w:cs="Arial"/>
          <w:sz w:val="20"/>
          <w:szCs w:val="20"/>
        </w:rPr>
        <w:t xml:space="preserve"> emissions and energy efficiency could enhance policy relevance. Advanced econometric techniques, such as nonlinear ARDL or panel data models, can capture regional and sectoral differences across states. Future studies may also examine the impact of government energy policies, technological innovations, and green transitions on economic performance, offering deeper insights into India’s path toward sustainable and inclusive growth.</w:t>
      </w:r>
    </w:p>
    <w:p w14:paraId="1EE1B54D" w14:textId="77777777" w:rsidR="00BB3A37" w:rsidRPr="006435D7" w:rsidRDefault="00BB3A37" w:rsidP="00BB3A37">
      <w:pPr>
        <w:spacing w:after="0" w:line="240" w:lineRule="auto"/>
        <w:jc w:val="both"/>
        <w:rPr>
          <w:rFonts w:ascii="Arial" w:hAnsi="Arial" w:cs="Arial"/>
          <w:sz w:val="20"/>
          <w:szCs w:val="20"/>
        </w:rPr>
      </w:pPr>
    </w:p>
    <w:p w14:paraId="53F508CA" w14:textId="77777777" w:rsidR="00E2173C" w:rsidRPr="00670327" w:rsidRDefault="00EA3021" w:rsidP="00BB3A37">
      <w:pPr>
        <w:spacing w:after="0" w:line="240" w:lineRule="auto"/>
        <w:jc w:val="both"/>
        <w:rPr>
          <w:rStyle w:val="Strong"/>
          <w:rFonts w:ascii="Arial" w:hAnsi="Arial" w:cs="Arial"/>
        </w:rPr>
      </w:pPr>
      <w:r w:rsidRPr="00670327">
        <w:rPr>
          <w:rStyle w:val="Strong"/>
          <w:rFonts w:ascii="Arial" w:hAnsi="Arial" w:cs="Arial"/>
        </w:rPr>
        <w:t>ACKNOWLEDGEMENT</w:t>
      </w:r>
    </w:p>
    <w:p w14:paraId="7A5F0199" w14:textId="77777777" w:rsidR="00BB3A37" w:rsidRPr="006435D7" w:rsidRDefault="00BB3A37" w:rsidP="00CE25D5">
      <w:pPr>
        <w:spacing w:after="0" w:line="480" w:lineRule="auto"/>
        <w:ind w:firstLine="720"/>
        <w:jc w:val="both"/>
        <w:rPr>
          <w:rFonts w:ascii="Arial" w:hAnsi="Arial" w:cs="Arial"/>
          <w:b/>
          <w:bCs/>
          <w:sz w:val="20"/>
          <w:szCs w:val="20"/>
        </w:rPr>
      </w:pPr>
      <w:r w:rsidRPr="006435D7">
        <w:rPr>
          <w:rFonts w:ascii="Arial" w:hAnsi="Arial" w:cs="Arial"/>
          <w:sz w:val="20"/>
          <w:szCs w:val="20"/>
        </w:rPr>
        <w:t>I express my sincere gratitude to my research supervisor Dr. B. Mthavan for his invaluable guidance, encouragement, and constructive suggestions throughout this study. I also extend heartfelt thanks to the Department of Economics, Annamalai University, for providing academic support, resources, and a stimulating research environment that made this work possible.</w:t>
      </w:r>
    </w:p>
    <w:p w14:paraId="29CD5114" w14:textId="77777777" w:rsidR="00BB3A37" w:rsidRPr="006435D7" w:rsidRDefault="00BB3A37" w:rsidP="00E2173C">
      <w:pPr>
        <w:pStyle w:val="Heading3"/>
        <w:spacing w:before="0" w:line="240" w:lineRule="auto"/>
        <w:jc w:val="both"/>
        <w:rPr>
          <w:rStyle w:val="Strong"/>
          <w:rFonts w:ascii="Arial" w:hAnsi="Arial" w:cs="Arial"/>
          <w:b/>
          <w:color w:val="auto"/>
          <w:sz w:val="20"/>
          <w:szCs w:val="20"/>
        </w:rPr>
      </w:pPr>
    </w:p>
    <w:p w14:paraId="44AC47E7" w14:textId="77777777" w:rsidR="00E2173C" w:rsidRPr="00670327" w:rsidRDefault="00EA3021" w:rsidP="00E2173C">
      <w:pPr>
        <w:pStyle w:val="Heading3"/>
        <w:spacing w:before="0" w:line="240" w:lineRule="auto"/>
        <w:jc w:val="both"/>
        <w:rPr>
          <w:rStyle w:val="Strong"/>
          <w:rFonts w:ascii="Arial" w:hAnsi="Arial" w:cs="Arial"/>
          <w:b/>
          <w:color w:val="auto"/>
        </w:rPr>
      </w:pPr>
      <w:r w:rsidRPr="00670327">
        <w:rPr>
          <w:rStyle w:val="Strong"/>
          <w:rFonts w:ascii="Arial" w:hAnsi="Arial" w:cs="Arial"/>
          <w:b/>
          <w:color w:val="auto"/>
        </w:rPr>
        <w:t>FUNDING</w:t>
      </w:r>
    </w:p>
    <w:p w14:paraId="204F4861" w14:textId="77777777" w:rsidR="0036783F" w:rsidRPr="006435D7" w:rsidRDefault="0036783F" w:rsidP="00CE25D5">
      <w:pPr>
        <w:spacing w:line="480" w:lineRule="auto"/>
        <w:ind w:firstLine="720"/>
        <w:jc w:val="both"/>
        <w:rPr>
          <w:rFonts w:ascii="Arial" w:hAnsi="Arial" w:cs="Arial"/>
          <w:sz w:val="20"/>
          <w:szCs w:val="20"/>
          <w:lang w:val="en-IN"/>
        </w:rPr>
      </w:pPr>
      <w:r w:rsidRPr="006435D7">
        <w:rPr>
          <w:rFonts w:ascii="Arial" w:hAnsi="Arial" w:cs="Arial"/>
          <w:sz w:val="20"/>
          <w:szCs w:val="20"/>
        </w:rPr>
        <w:t>This research received no specific grant or financial support from any funding agency, public or private institution. It was conducted independently as part of academic research under the Department of Economics, Annamalai University.</w:t>
      </w:r>
    </w:p>
    <w:p w14:paraId="1C987474" w14:textId="77777777" w:rsidR="00E2173C" w:rsidRPr="00670327" w:rsidRDefault="00EA3021" w:rsidP="00E2173C">
      <w:pPr>
        <w:pStyle w:val="Heading3"/>
        <w:spacing w:before="0" w:line="240" w:lineRule="auto"/>
        <w:jc w:val="both"/>
        <w:rPr>
          <w:rStyle w:val="Strong"/>
          <w:rFonts w:ascii="Arial" w:hAnsi="Arial" w:cs="Arial"/>
          <w:b/>
          <w:color w:val="auto"/>
        </w:rPr>
      </w:pPr>
      <w:r w:rsidRPr="00670327">
        <w:rPr>
          <w:rStyle w:val="Strong"/>
          <w:rFonts w:ascii="Arial" w:hAnsi="Arial" w:cs="Arial"/>
          <w:b/>
          <w:color w:val="auto"/>
        </w:rPr>
        <w:t>CONFLICT OF INTEREST</w:t>
      </w:r>
    </w:p>
    <w:p w14:paraId="1FB836FF" w14:textId="77777777" w:rsidR="00830A8B" w:rsidRPr="006435D7" w:rsidRDefault="00830A8B" w:rsidP="00CE25D5">
      <w:pPr>
        <w:spacing w:line="480" w:lineRule="auto"/>
        <w:jc w:val="both"/>
        <w:rPr>
          <w:rFonts w:ascii="Arial" w:hAnsi="Arial" w:cs="Arial"/>
          <w:sz w:val="20"/>
          <w:szCs w:val="20"/>
          <w:lang w:val="en-IN"/>
        </w:rPr>
      </w:pPr>
      <w:r w:rsidRPr="006435D7">
        <w:rPr>
          <w:rFonts w:ascii="Arial" w:hAnsi="Arial" w:cs="Arial"/>
          <w:sz w:val="20"/>
          <w:szCs w:val="20"/>
          <w:lang w:val="en-IN"/>
        </w:rPr>
        <w:tab/>
      </w:r>
      <w:r w:rsidRPr="006435D7">
        <w:rPr>
          <w:rFonts w:ascii="Arial" w:hAnsi="Arial" w:cs="Arial"/>
          <w:sz w:val="20"/>
          <w:szCs w:val="20"/>
        </w:rPr>
        <w:t>The author declares no conflict of interest. All analyses and interpretations presented in this study are based solely on academic research and independent judgment.</w:t>
      </w:r>
    </w:p>
    <w:p w14:paraId="79229898" w14:textId="77777777" w:rsidR="00BB3A37" w:rsidRPr="006435D7" w:rsidRDefault="00BB3A37" w:rsidP="00D04BC5">
      <w:pPr>
        <w:pStyle w:val="ReferHead"/>
        <w:spacing w:after="0"/>
        <w:jc w:val="both"/>
        <w:rPr>
          <w:rFonts w:ascii="Arial" w:hAnsi="Arial" w:cs="Arial"/>
          <w:bCs/>
          <w:caps w:val="0"/>
          <w:sz w:val="20"/>
        </w:rPr>
      </w:pPr>
    </w:p>
    <w:p w14:paraId="3F44F5C1" w14:textId="77777777" w:rsidR="00D04BC5" w:rsidRPr="00670327" w:rsidRDefault="00EA3021" w:rsidP="00D04BC5">
      <w:pPr>
        <w:pStyle w:val="ReferHead"/>
        <w:spacing w:after="0"/>
        <w:jc w:val="both"/>
        <w:rPr>
          <w:rFonts w:ascii="Arial" w:hAnsi="Arial" w:cs="Arial"/>
          <w:bCs/>
          <w:caps w:val="0"/>
          <w:szCs w:val="22"/>
        </w:rPr>
      </w:pPr>
      <w:r w:rsidRPr="00670327">
        <w:rPr>
          <w:rFonts w:ascii="Arial" w:hAnsi="Arial" w:cs="Arial"/>
          <w:bCs/>
          <w:caps w:val="0"/>
          <w:szCs w:val="22"/>
        </w:rPr>
        <w:t>COMPETING INTERESTS</w:t>
      </w:r>
    </w:p>
    <w:p w14:paraId="5394D4BD" w14:textId="77777777" w:rsidR="00593408" w:rsidRPr="006435D7" w:rsidRDefault="00593408" w:rsidP="00CE25D5">
      <w:pPr>
        <w:pStyle w:val="ReferHead"/>
        <w:spacing w:after="0" w:line="480" w:lineRule="auto"/>
        <w:ind w:firstLine="720"/>
        <w:jc w:val="both"/>
        <w:rPr>
          <w:rFonts w:ascii="Arial" w:hAnsi="Arial" w:cs="Arial"/>
          <w:b w:val="0"/>
          <w:bCs/>
          <w:sz w:val="20"/>
        </w:rPr>
      </w:pPr>
      <w:r w:rsidRPr="006435D7">
        <w:rPr>
          <w:rFonts w:ascii="Arial" w:hAnsi="Arial" w:cs="Arial"/>
          <w:b w:val="0"/>
          <w:caps w:val="0"/>
          <w:sz w:val="20"/>
        </w:rPr>
        <w:t xml:space="preserve">The author declares that there are no competing interests, financial or personal, that could have influenced the outcome or interpretation of this research. The study was conducted purely for academic </w:t>
      </w:r>
      <w:r w:rsidRPr="006435D7">
        <w:rPr>
          <w:rFonts w:ascii="Arial" w:hAnsi="Arial" w:cs="Arial"/>
          <w:b w:val="0"/>
          <w:caps w:val="0"/>
          <w:sz w:val="20"/>
        </w:rPr>
        <w:lastRenderedPageBreak/>
        <w:t>purposes under the department of economics, Annamalai University, ensuring objectivity and research integrity throughout the process.</w:t>
      </w:r>
    </w:p>
    <w:p w14:paraId="0FB23885" w14:textId="77777777" w:rsidR="00BB3A37" w:rsidRPr="006435D7" w:rsidRDefault="00BB3A37" w:rsidP="00D04BC5">
      <w:pPr>
        <w:pStyle w:val="ReferHead"/>
        <w:spacing w:after="0"/>
        <w:jc w:val="both"/>
        <w:rPr>
          <w:rFonts w:ascii="Arial" w:hAnsi="Arial" w:cs="Arial"/>
          <w:bCs/>
          <w:caps w:val="0"/>
          <w:sz w:val="20"/>
        </w:rPr>
      </w:pPr>
    </w:p>
    <w:p w14:paraId="432F0256" w14:textId="77777777" w:rsidR="00D04BC5" w:rsidRPr="00670327" w:rsidRDefault="00EA3021" w:rsidP="00D04BC5">
      <w:pPr>
        <w:pStyle w:val="ReferHead"/>
        <w:spacing w:after="0"/>
        <w:jc w:val="both"/>
        <w:rPr>
          <w:rFonts w:ascii="Arial" w:hAnsi="Arial" w:cs="Arial"/>
          <w:bCs/>
          <w:szCs w:val="22"/>
        </w:rPr>
      </w:pPr>
      <w:r w:rsidRPr="00670327">
        <w:rPr>
          <w:rFonts w:ascii="Arial" w:hAnsi="Arial" w:cs="Arial"/>
          <w:bCs/>
          <w:caps w:val="0"/>
          <w:szCs w:val="22"/>
        </w:rPr>
        <w:t>AUTHORS’ CONTRIBUTIONS</w:t>
      </w:r>
    </w:p>
    <w:p w14:paraId="7D7963AC" w14:textId="77777777" w:rsidR="00BB3A37" w:rsidRPr="006435D7" w:rsidRDefault="00654BF2" w:rsidP="00CE25D5">
      <w:pPr>
        <w:spacing w:line="480" w:lineRule="auto"/>
        <w:ind w:firstLine="720"/>
        <w:jc w:val="both"/>
        <w:rPr>
          <w:rFonts w:ascii="Arial" w:hAnsi="Arial" w:cs="Arial"/>
          <w:b/>
          <w:bCs/>
          <w:sz w:val="20"/>
          <w:szCs w:val="20"/>
        </w:rPr>
      </w:pPr>
      <w:r w:rsidRPr="006435D7">
        <w:rPr>
          <w:rFonts w:ascii="Arial" w:hAnsi="Arial" w:cs="Arial"/>
          <w:sz w:val="20"/>
          <w:szCs w:val="20"/>
        </w:rPr>
        <w:t xml:space="preserve">The research work was carried out under the supervision of </w:t>
      </w:r>
      <w:r w:rsidRPr="006435D7">
        <w:rPr>
          <w:rStyle w:val="Strong"/>
          <w:rFonts w:ascii="Arial" w:hAnsi="Arial" w:cs="Arial"/>
          <w:b w:val="0"/>
          <w:sz w:val="20"/>
          <w:szCs w:val="20"/>
        </w:rPr>
        <w:t>Dr. B. Mathavan</w:t>
      </w:r>
      <w:r w:rsidRPr="006435D7">
        <w:rPr>
          <w:rFonts w:ascii="Arial" w:hAnsi="Arial" w:cs="Arial"/>
          <w:sz w:val="20"/>
          <w:szCs w:val="20"/>
        </w:rPr>
        <w:t xml:space="preserve">, who contributed to the conceptual design, methodological guidance, and critical evaluation of the study. </w:t>
      </w:r>
      <w:r w:rsidRPr="006435D7">
        <w:rPr>
          <w:rStyle w:val="Strong"/>
          <w:rFonts w:ascii="Arial" w:hAnsi="Arial" w:cs="Arial"/>
          <w:b w:val="0"/>
          <w:sz w:val="20"/>
          <w:szCs w:val="20"/>
        </w:rPr>
        <w:t>Sanjiv Sarkar</w:t>
      </w:r>
      <w:r w:rsidRPr="006435D7">
        <w:rPr>
          <w:rFonts w:ascii="Arial" w:hAnsi="Arial" w:cs="Arial"/>
          <w:sz w:val="20"/>
          <w:szCs w:val="20"/>
        </w:rPr>
        <w:t>, Research Scholar, was responsible for data analysis, interpretation of results, and drafting of the manuscript. Both authors reviewed and approved the final version collaboratively.</w:t>
      </w:r>
    </w:p>
    <w:p w14:paraId="34F1B3CC" w14:textId="77777777" w:rsidR="00D04BC5" w:rsidRPr="00670327" w:rsidRDefault="00EA3021" w:rsidP="00E93089">
      <w:pPr>
        <w:spacing w:after="0" w:line="240" w:lineRule="auto"/>
        <w:jc w:val="both"/>
        <w:rPr>
          <w:rFonts w:ascii="Arial" w:hAnsi="Arial" w:cs="Arial"/>
          <w:b/>
          <w:bCs/>
        </w:rPr>
      </w:pPr>
      <w:r w:rsidRPr="00670327">
        <w:rPr>
          <w:rFonts w:ascii="Arial" w:hAnsi="Arial" w:cs="Arial"/>
          <w:b/>
          <w:bCs/>
        </w:rPr>
        <w:t>CONSENT</w:t>
      </w:r>
    </w:p>
    <w:p w14:paraId="378B6BC2" w14:textId="77777777" w:rsidR="00E93089" w:rsidRPr="006435D7" w:rsidRDefault="00E93089" w:rsidP="00CE25D5">
      <w:pPr>
        <w:spacing w:after="0" w:line="480" w:lineRule="auto"/>
        <w:ind w:firstLine="720"/>
        <w:jc w:val="both"/>
        <w:rPr>
          <w:rFonts w:ascii="Arial" w:hAnsi="Arial" w:cs="Arial"/>
          <w:b/>
          <w:bCs/>
          <w:sz w:val="20"/>
          <w:szCs w:val="20"/>
        </w:rPr>
      </w:pPr>
      <w:r w:rsidRPr="006435D7">
        <w:rPr>
          <w:rFonts w:ascii="Arial" w:hAnsi="Arial" w:cs="Arial"/>
          <w:sz w:val="20"/>
          <w:szCs w:val="20"/>
        </w:rPr>
        <w:t>Both authors, Dr. B. Mathavan and Sanjiv Sarkar, have given their full consent for the publication of this research work and approved the final version of the manuscript.</w:t>
      </w:r>
    </w:p>
    <w:p w14:paraId="7AB1B25C" w14:textId="77777777" w:rsidR="00D04BC5" w:rsidRPr="00670327" w:rsidRDefault="00EA3021" w:rsidP="00E93089">
      <w:pPr>
        <w:spacing w:after="0" w:line="240" w:lineRule="auto"/>
        <w:jc w:val="both"/>
        <w:rPr>
          <w:rFonts w:ascii="Arial" w:hAnsi="Arial" w:cs="Arial"/>
          <w:b/>
          <w:bCs/>
        </w:rPr>
      </w:pPr>
      <w:r w:rsidRPr="00670327">
        <w:rPr>
          <w:rFonts w:ascii="Arial" w:hAnsi="Arial" w:cs="Arial"/>
          <w:b/>
          <w:bCs/>
        </w:rPr>
        <w:t>ETHICAL APPROVAL</w:t>
      </w:r>
    </w:p>
    <w:p w14:paraId="0E147F2B" w14:textId="77777777" w:rsidR="00E93089" w:rsidRDefault="00E93089" w:rsidP="00CE25D5">
      <w:pPr>
        <w:spacing w:after="0" w:line="480" w:lineRule="auto"/>
        <w:ind w:firstLine="720"/>
        <w:jc w:val="both"/>
        <w:rPr>
          <w:rFonts w:ascii="Arial" w:hAnsi="Arial" w:cs="Arial"/>
          <w:sz w:val="20"/>
          <w:szCs w:val="20"/>
        </w:rPr>
      </w:pPr>
      <w:r w:rsidRPr="006435D7">
        <w:rPr>
          <w:rFonts w:ascii="Arial" w:hAnsi="Arial" w:cs="Arial"/>
          <w:sz w:val="20"/>
          <w:szCs w:val="20"/>
        </w:rPr>
        <w:t>This study was conducted following academic and research ethics guidelines. Ethical approval was obtained from the Department of Economics, Annamalai University, prior to the commencement of the research work.</w:t>
      </w:r>
    </w:p>
    <w:p w14:paraId="435F3EF5" w14:textId="77777777" w:rsidR="001F4E57" w:rsidRDefault="001F4E57" w:rsidP="001F4E57">
      <w:pPr>
        <w:spacing w:after="0" w:line="240" w:lineRule="auto"/>
        <w:jc w:val="both"/>
        <w:rPr>
          <w:rFonts w:ascii="Arial" w:hAnsi="Arial" w:cs="Arial"/>
          <w:b/>
        </w:rPr>
      </w:pPr>
      <w:r w:rsidRPr="001F4E57">
        <w:rPr>
          <w:rFonts w:ascii="Arial" w:hAnsi="Arial" w:cs="Arial"/>
          <w:b/>
        </w:rPr>
        <w:t>DISCLAIMER (ARTIFICIAL INTELLIGENCE)</w:t>
      </w:r>
    </w:p>
    <w:p w14:paraId="37FF0888" w14:textId="77777777" w:rsidR="001F4E57" w:rsidRPr="004B0454" w:rsidRDefault="001F4E57" w:rsidP="001F4E57">
      <w:pPr>
        <w:spacing w:after="0" w:line="480" w:lineRule="auto"/>
        <w:ind w:firstLine="720"/>
        <w:jc w:val="both"/>
        <w:rPr>
          <w:rFonts w:ascii="Arial" w:hAnsi="Arial" w:cs="Arial"/>
          <w:b/>
          <w:sz w:val="20"/>
          <w:szCs w:val="20"/>
        </w:rPr>
      </w:pPr>
      <w:r w:rsidRPr="004B0454">
        <w:rPr>
          <w:rFonts w:ascii="Arial" w:hAnsi="Arial" w:cs="Arial"/>
          <w:sz w:val="20"/>
          <w:szCs w:val="20"/>
        </w:rPr>
        <w:t>The author(s) hereby declare that no generative Artificial Intelligence (AI) technologies, including Large Language Models (such as ChatGPT, Copilot, etc.) or text-to-image generators, were used in the writing, editing, data analysis, or preparation of this manuscript. All content is entirely the author(s)’ original work.</w:t>
      </w:r>
    </w:p>
    <w:p w14:paraId="4DF726D7" w14:textId="77777777" w:rsidR="001F4E57" w:rsidRPr="001F4E57" w:rsidRDefault="001F4E57" w:rsidP="001F4E57">
      <w:pPr>
        <w:spacing w:after="0" w:line="480" w:lineRule="auto"/>
        <w:ind w:firstLine="720"/>
        <w:jc w:val="both"/>
        <w:rPr>
          <w:rFonts w:ascii="Arial" w:hAnsi="Arial" w:cs="Arial"/>
          <w:b/>
          <w:sz w:val="20"/>
          <w:szCs w:val="20"/>
          <w:lang w:val="en-IN"/>
        </w:rPr>
      </w:pPr>
    </w:p>
    <w:p w14:paraId="1D99F35A" w14:textId="77777777" w:rsidR="00C01EC5" w:rsidRPr="001F4E57" w:rsidRDefault="00C01EC5" w:rsidP="00E2173C">
      <w:pPr>
        <w:tabs>
          <w:tab w:val="left" w:pos="930"/>
        </w:tabs>
        <w:spacing w:after="0" w:line="240" w:lineRule="auto"/>
        <w:jc w:val="both"/>
        <w:rPr>
          <w:rFonts w:ascii="Arial" w:hAnsi="Arial" w:cs="Arial"/>
          <w:b/>
          <w:bCs/>
          <w:sz w:val="20"/>
          <w:szCs w:val="20"/>
        </w:rPr>
      </w:pPr>
    </w:p>
    <w:p w14:paraId="36199717" w14:textId="77777777" w:rsidR="00E14628" w:rsidRPr="001F4E57" w:rsidRDefault="00E2173C" w:rsidP="00E14628">
      <w:pPr>
        <w:tabs>
          <w:tab w:val="left" w:pos="930"/>
        </w:tabs>
        <w:spacing w:after="0" w:line="240" w:lineRule="auto"/>
        <w:jc w:val="both"/>
        <w:rPr>
          <w:rFonts w:ascii="Arial" w:hAnsi="Arial" w:cs="Arial"/>
          <w:b/>
          <w:bCs/>
        </w:rPr>
      </w:pPr>
      <w:r w:rsidRPr="001F4E57">
        <w:rPr>
          <w:rFonts w:ascii="Arial" w:hAnsi="Arial" w:cs="Arial"/>
          <w:b/>
          <w:bCs/>
        </w:rPr>
        <w:t>REFERENCES</w:t>
      </w:r>
    </w:p>
    <w:p w14:paraId="0EC62D91" w14:textId="77777777" w:rsidR="00317DDE" w:rsidRPr="001F4E57" w:rsidRDefault="00DB1116" w:rsidP="00317DDE">
      <w:pPr>
        <w:pStyle w:val="NormalWeb"/>
        <w:ind w:left="720" w:hanging="630"/>
        <w:jc w:val="both"/>
        <w:rPr>
          <w:rFonts w:ascii="Arial" w:hAnsi="Arial" w:cs="Arial"/>
          <w:sz w:val="20"/>
          <w:szCs w:val="20"/>
        </w:rPr>
      </w:pPr>
      <w:r>
        <w:rPr>
          <w:rFonts w:ascii="Arial" w:hAnsi="Arial" w:cs="Arial"/>
          <w:sz w:val="20"/>
          <w:szCs w:val="20"/>
          <w:shd w:val="clear" w:color="auto" w:fill="FFFFFF"/>
        </w:rPr>
        <w:t xml:space="preserve">[1]. </w:t>
      </w:r>
      <w:r w:rsidR="00317DDE" w:rsidRPr="001F4E57">
        <w:rPr>
          <w:rFonts w:ascii="Arial" w:hAnsi="Arial" w:cs="Arial"/>
          <w:sz w:val="20"/>
          <w:szCs w:val="20"/>
          <w:shd w:val="clear" w:color="auto" w:fill="FFFFFF"/>
        </w:rPr>
        <w:t>Ahmad, A., Zhao, Y., Shahbaz, M., Bano, S., Zhang, Z., Wang, S., &amp; Liu, Y. (2016). Carbon emissions, energy consumption and economic growth: An aggregate and disaggregate analysis of the Indian economy. </w:t>
      </w:r>
      <w:r w:rsidR="00317DDE" w:rsidRPr="001F4E57">
        <w:rPr>
          <w:rFonts w:ascii="Arial" w:hAnsi="Arial" w:cs="Arial"/>
          <w:i/>
          <w:iCs/>
          <w:sz w:val="20"/>
          <w:szCs w:val="20"/>
          <w:shd w:val="clear" w:color="auto" w:fill="FFFFFF"/>
        </w:rPr>
        <w:t>Energy policy</w:t>
      </w:r>
      <w:r w:rsidR="00317DDE" w:rsidRPr="001F4E57">
        <w:rPr>
          <w:rFonts w:ascii="Arial" w:hAnsi="Arial" w:cs="Arial"/>
          <w:sz w:val="20"/>
          <w:szCs w:val="20"/>
          <w:shd w:val="clear" w:color="auto" w:fill="FFFFFF"/>
        </w:rPr>
        <w:t>, </w:t>
      </w:r>
      <w:r w:rsidR="00317DDE" w:rsidRPr="001F4E57">
        <w:rPr>
          <w:rFonts w:ascii="Arial" w:hAnsi="Arial" w:cs="Arial"/>
          <w:i/>
          <w:iCs/>
          <w:sz w:val="20"/>
          <w:szCs w:val="20"/>
          <w:shd w:val="clear" w:color="auto" w:fill="FFFFFF"/>
        </w:rPr>
        <w:t>96</w:t>
      </w:r>
      <w:r w:rsidR="00317DDE" w:rsidRPr="001F4E57">
        <w:rPr>
          <w:rFonts w:ascii="Arial" w:hAnsi="Arial" w:cs="Arial"/>
          <w:sz w:val="20"/>
          <w:szCs w:val="20"/>
          <w:shd w:val="clear" w:color="auto" w:fill="FFFFFF"/>
        </w:rPr>
        <w:t>, 131-143.</w:t>
      </w:r>
    </w:p>
    <w:p w14:paraId="63CECFD7" w14:textId="77777777" w:rsidR="00317DDE" w:rsidRPr="001F4E57" w:rsidRDefault="00DB1116" w:rsidP="00317DDE">
      <w:pPr>
        <w:pStyle w:val="NormalWeb"/>
        <w:ind w:left="720" w:hanging="630"/>
        <w:jc w:val="both"/>
        <w:rPr>
          <w:rFonts w:ascii="Arial" w:hAnsi="Arial" w:cs="Arial"/>
          <w:sz w:val="20"/>
          <w:szCs w:val="20"/>
        </w:rPr>
      </w:pPr>
      <w:r>
        <w:rPr>
          <w:rFonts w:ascii="Arial" w:hAnsi="Arial" w:cs="Arial"/>
          <w:sz w:val="20"/>
          <w:szCs w:val="20"/>
          <w:shd w:val="clear" w:color="auto" w:fill="FFFFFF"/>
        </w:rPr>
        <w:t xml:space="preserve">[2]. </w:t>
      </w:r>
      <w:r w:rsidR="00317DDE" w:rsidRPr="001F4E57">
        <w:rPr>
          <w:rFonts w:ascii="Arial" w:hAnsi="Arial" w:cs="Arial"/>
          <w:sz w:val="20"/>
          <w:szCs w:val="20"/>
          <w:shd w:val="clear" w:color="auto" w:fill="FFFFFF"/>
        </w:rPr>
        <w:t>Apergis, N., &amp; Payne, J. E. (2010). Coal consumption and economic growth: Evidence from a panel of OECD countries. </w:t>
      </w:r>
      <w:r w:rsidR="00317DDE" w:rsidRPr="001F4E57">
        <w:rPr>
          <w:rFonts w:ascii="Arial" w:hAnsi="Arial" w:cs="Arial"/>
          <w:i/>
          <w:iCs/>
          <w:sz w:val="20"/>
          <w:szCs w:val="20"/>
          <w:shd w:val="clear" w:color="auto" w:fill="FFFFFF"/>
        </w:rPr>
        <w:t>Energy Policy</w:t>
      </w:r>
      <w:r w:rsidR="00317DDE" w:rsidRPr="001F4E57">
        <w:rPr>
          <w:rFonts w:ascii="Arial" w:hAnsi="Arial" w:cs="Arial"/>
          <w:sz w:val="20"/>
          <w:szCs w:val="20"/>
          <w:shd w:val="clear" w:color="auto" w:fill="FFFFFF"/>
        </w:rPr>
        <w:t>, </w:t>
      </w:r>
      <w:r w:rsidR="00317DDE" w:rsidRPr="001F4E57">
        <w:rPr>
          <w:rFonts w:ascii="Arial" w:hAnsi="Arial" w:cs="Arial"/>
          <w:i/>
          <w:iCs/>
          <w:sz w:val="20"/>
          <w:szCs w:val="20"/>
          <w:shd w:val="clear" w:color="auto" w:fill="FFFFFF"/>
        </w:rPr>
        <w:t>38</w:t>
      </w:r>
      <w:r w:rsidR="00317DDE" w:rsidRPr="001F4E57">
        <w:rPr>
          <w:rFonts w:ascii="Arial" w:hAnsi="Arial" w:cs="Arial"/>
          <w:sz w:val="20"/>
          <w:szCs w:val="20"/>
          <w:shd w:val="clear" w:color="auto" w:fill="FFFFFF"/>
        </w:rPr>
        <w:t>(3), 1353-1359.</w:t>
      </w:r>
    </w:p>
    <w:p w14:paraId="100865D7" w14:textId="77777777" w:rsidR="00317DDE" w:rsidRPr="0009548E" w:rsidRDefault="00DB1116" w:rsidP="00317DDE">
      <w:pPr>
        <w:pStyle w:val="NormalWeb"/>
        <w:ind w:left="720" w:hanging="630"/>
        <w:jc w:val="both"/>
        <w:rPr>
          <w:rFonts w:ascii="Arial" w:hAnsi="Arial" w:cs="Arial"/>
          <w:color w:val="FF3399"/>
          <w:sz w:val="20"/>
          <w:szCs w:val="20"/>
        </w:rPr>
      </w:pPr>
      <w:r>
        <w:rPr>
          <w:rFonts w:ascii="Arial" w:hAnsi="Arial" w:cs="Arial"/>
          <w:sz w:val="20"/>
          <w:szCs w:val="20"/>
        </w:rPr>
        <w:t xml:space="preserve">[3]. </w:t>
      </w:r>
      <w:r w:rsidR="00317DDE" w:rsidRPr="0009548E">
        <w:rPr>
          <w:rFonts w:ascii="Arial" w:hAnsi="Arial" w:cs="Arial"/>
          <w:sz w:val="20"/>
          <w:szCs w:val="20"/>
        </w:rPr>
        <w:t xml:space="preserve">Central Electricity Authority. (2024). </w:t>
      </w:r>
      <w:r w:rsidR="00317DDE" w:rsidRPr="0009548E">
        <w:rPr>
          <w:rStyle w:val="Emphasis"/>
          <w:rFonts w:ascii="Arial" w:hAnsi="Arial" w:cs="Arial"/>
          <w:sz w:val="20"/>
          <w:szCs w:val="20"/>
        </w:rPr>
        <w:t>Coal supply and consumption in the power sector.</w:t>
      </w:r>
      <w:r w:rsidR="00317DDE" w:rsidRPr="0009548E">
        <w:rPr>
          <w:rFonts w:ascii="Arial" w:hAnsi="Arial" w:cs="Arial"/>
          <w:sz w:val="20"/>
          <w:szCs w:val="20"/>
        </w:rPr>
        <w:t xml:space="preserve"> New Delhi, India: Government of India, Ministry of Power. </w:t>
      </w:r>
      <w:hyperlink r:id="rId12" w:tgtFrame="_new" w:history="1">
        <w:r w:rsidR="00317DDE" w:rsidRPr="0009548E">
          <w:rPr>
            <w:rStyle w:val="Hyperlink"/>
            <w:rFonts w:ascii="Arial" w:hAnsi="Arial" w:cs="Arial"/>
            <w:color w:val="FF3399"/>
            <w:sz w:val="20"/>
            <w:szCs w:val="20"/>
          </w:rPr>
          <w:t>https://www.cea.nic.in</w:t>
        </w:r>
      </w:hyperlink>
    </w:p>
    <w:p w14:paraId="2D37B0D0" w14:textId="77777777" w:rsidR="00317DDE" w:rsidRPr="0009548E" w:rsidRDefault="00DB1116" w:rsidP="00317DDE">
      <w:pPr>
        <w:pStyle w:val="NormalWeb"/>
        <w:ind w:left="720" w:hanging="630"/>
        <w:jc w:val="both"/>
        <w:rPr>
          <w:rFonts w:ascii="Arial" w:hAnsi="Arial" w:cs="Arial"/>
          <w:color w:val="FF3399"/>
          <w:sz w:val="20"/>
          <w:szCs w:val="20"/>
        </w:rPr>
      </w:pPr>
      <w:r>
        <w:rPr>
          <w:rFonts w:ascii="Arial" w:hAnsi="Arial" w:cs="Arial"/>
          <w:sz w:val="20"/>
          <w:szCs w:val="20"/>
        </w:rPr>
        <w:t xml:space="preserve">[4]. </w:t>
      </w:r>
      <w:r w:rsidR="00317DDE" w:rsidRPr="0009548E">
        <w:rPr>
          <w:rFonts w:ascii="Arial" w:hAnsi="Arial" w:cs="Arial"/>
          <w:sz w:val="20"/>
          <w:szCs w:val="20"/>
        </w:rPr>
        <w:t xml:space="preserve">Coal India Limited. (2024). </w:t>
      </w:r>
      <w:r w:rsidR="00317DDE" w:rsidRPr="0009548E">
        <w:rPr>
          <w:rStyle w:val="Emphasis"/>
          <w:rFonts w:ascii="Arial" w:hAnsi="Arial" w:cs="Arial"/>
          <w:sz w:val="20"/>
          <w:szCs w:val="20"/>
        </w:rPr>
        <w:t>Annual report 2023–24 and earlier editions: Coal production, supply, and economic contribution.</w:t>
      </w:r>
      <w:r w:rsidR="00317DDE" w:rsidRPr="0009548E">
        <w:rPr>
          <w:rFonts w:ascii="Arial" w:hAnsi="Arial" w:cs="Arial"/>
          <w:sz w:val="20"/>
          <w:szCs w:val="20"/>
        </w:rPr>
        <w:t xml:space="preserve"> Kolkata, India: Coal India Limited (CIL). </w:t>
      </w:r>
      <w:hyperlink r:id="rId13" w:tgtFrame="_new" w:history="1">
        <w:r w:rsidR="00317DDE" w:rsidRPr="0009548E">
          <w:rPr>
            <w:rStyle w:val="Hyperlink"/>
            <w:rFonts w:ascii="Arial" w:hAnsi="Arial" w:cs="Arial"/>
            <w:color w:val="FF3399"/>
            <w:sz w:val="20"/>
            <w:szCs w:val="20"/>
          </w:rPr>
          <w:t>https://www.coalindia.in</w:t>
        </w:r>
      </w:hyperlink>
    </w:p>
    <w:p w14:paraId="4C86EEE2" w14:textId="77777777" w:rsidR="00317DDE" w:rsidRPr="00A06722" w:rsidRDefault="00DB1116" w:rsidP="00317DDE">
      <w:pPr>
        <w:ind w:left="720" w:hanging="630"/>
        <w:jc w:val="both"/>
        <w:rPr>
          <w:rFonts w:ascii="Arial" w:hAnsi="Arial" w:cs="Arial"/>
          <w:color w:val="FF3399"/>
          <w:sz w:val="20"/>
          <w:szCs w:val="20"/>
          <w:lang w:val="en-GB"/>
        </w:rPr>
      </w:pPr>
      <w:r>
        <w:rPr>
          <w:rFonts w:ascii="Arial" w:hAnsi="Arial" w:cs="Arial"/>
          <w:color w:val="222222"/>
          <w:sz w:val="20"/>
          <w:szCs w:val="20"/>
          <w:shd w:val="clear" w:color="auto" w:fill="FFFFFF"/>
        </w:rPr>
        <w:lastRenderedPageBreak/>
        <w:t xml:space="preserve">[5]. </w:t>
      </w:r>
      <w:r w:rsidR="00317DDE" w:rsidRPr="00A06722">
        <w:rPr>
          <w:rFonts w:ascii="Arial" w:hAnsi="Arial" w:cs="Arial"/>
          <w:color w:val="222222"/>
          <w:sz w:val="20"/>
          <w:szCs w:val="20"/>
          <w:shd w:val="clear" w:color="auto" w:fill="FFFFFF"/>
        </w:rPr>
        <w:t>Das, A. N. (2025). Economic Growth and Environmental Degradation, Renewable Energy and Consumption-based Carbon Emissions in India (1990-2021): A Descriptive Analytic Case Study. </w:t>
      </w:r>
      <w:r w:rsidR="00317DDE" w:rsidRPr="00A06722">
        <w:rPr>
          <w:rFonts w:ascii="Arial" w:hAnsi="Arial" w:cs="Arial"/>
          <w:i/>
          <w:iCs/>
          <w:color w:val="222222"/>
          <w:sz w:val="20"/>
          <w:szCs w:val="20"/>
          <w:shd w:val="clear" w:color="auto" w:fill="FFFFFF"/>
        </w:rPr>
        <w:t>South Asian Journal of Social Studies and Economics</w:t>
      </w:r>
      <w:r w:rsidR="00317DDE" w:rsidRPr="00A06722">
        <w:rPr>
          <w:rFonts w:ascii="Arial" w:hAnsi="Arial" w:cs="Arial"/>
          <w:color w:val="222222"/>
          <w:sz w:val="20"/>
          <w:szCs w:val="20"/>
          <w:shd w:val="clear" w:color="auto" w:fill="FFFFFF"/>
        </w:rPr>
        <w:t>, </w:t>
      </w:r>
      <w:r w:rsidR="00317DDE" w:rsidRPr="00A06722">
        <w:rPr>
          <w:rFonts w:ascii="Arial" w:hAnsi="Arial" w:cs="Arial"/>
          <w:i/>
          <w:iCs/>
          <w:color w:val="222222"/>
          <w:sz w:val="20"/>
          <w:szCs w:val="20"/>
          <w:shd w:val="clear" w:color="auto" w:fill="FFFFFF"/>
        </w:rPr>
        <w:t>22</w:t>
      </w:r>
      <w:r w:rsidR="00317DDE" w:rsidRPr="00A06722">
        <w:rPr>
          <w:rFonts w:ascii="Arial" w:hAnsi="Arial" w:cs="Arial"/>
          <w:color w:val="222222"/>
          <w:sz w:val="20"/>
          <w:szCs w:val="20"/>
          <w:shd w:val="clear" w:color="auto" w:fill="FFFFFF"/>
        </w:rPr>
        <w:t xml:space="preserve">(9), 263-278. </w:t>
      </w:r>
      <w:hyperlink r:id="rId14" w:history="1">
        <w:r w:rsidR="00317DDE" w:rsidRPr="00A06722">
          <w:rPr>
            <w:rStyle w:val="Hyperlink"/>
            <w:rFonts w:ascii="Arial" w:hAnsi="Arial" w:cs="Arial"/>
            <w:color w:val="FF3399"/>
            <w:sz w:val="20"/>
            <w:szCs w:val="20"/>
            <w:lang w:val="en-GB"/>
          </w:rPr>
          <w:t>https://doi.org/10.9734/sajsse/2025/v22i91154</w:t>
        </w:r>
      </w:hyperlink>
      <w:r w:rsidR="00317DDE" w:rsidRPr="00A06722">
        <w:rPr>
          <w:rFonts w:ascii="Arial" w:hAnsi="Arial" w:cs="Arial"/>
          <w:color w:val="FF3399"/>
          <w:sz w:val="20"/>
          <w:szCs w:val="20"/>
          <w:lang w:val="en-GB"/>
        </w:rPr>
        <w:t xml:space="preserve"> </w:t>
      </w:r>
    </w:p>
    <w:p w14:paraId="6F872D57" w14:textId="77777777" w:rsidR="00317DDE" w:rsidRPr="00A06722" w:rsidRDefault="00DB1116" w:rsidP="00317DDE">
      <w:pPr>
        <w:ind w:left="720" w:hanging="630"/>
        <w:jc w:val="both"/>
        <w:rPr>
          <w:rFonts w:ascii="Arial" w:hAnsi="Arial" w:cs="Arial"/>
          <w:color w:val="FF3399"/>
          <w:sz w:val="20"/>
          <w:szCs w:val="20"/>
          <w:lang w:val="en-GB"/>
        </w:rPr>
      </w:pPr>
      <w:r>
        <w:rPr>
          <w:rFonts w:ascii="Arial" w:hAnsi="Arial" w:cs="Arial"/>
          <w:color w:val="222222"/>
          <w:sz w:val="20"/>
          <w:szCs w:val="20"/>
          <w:shd w:val="clear" w:color="auto" w:fill="FFFFFF"/>
        </w:rPr>
        <w:t xml:space="preserve">[6]. </w:t>
      </w:r>
      <w:r w:rsidR="00317DDE" w:rsidRPr="00A06722">
        <w:rPr>
          <w:rFonts w:ascii="Arial" w:hAnsi="Arial" w:cs="Arial"/>
          <w:color w:val="222222"/>
          <w:sz w:val="20"/>
          <w:szCs w:val="20"/>
          <w:shd w:val="clear" w:color="auto" w:fill="FFFFFF"/>
        </w:rPr>
        <w:t>Govindaraju, V. C., &amp; Tang, C. F. (2013). The dynamic links between CO2 emissions, economic growth and coal consumption in China and India. </w:t>
      </w:r>
      <w:r w:rsidR="00317DDE" w:rsidRPr="00A06722">
        <w:rPr>
          <w:rFonts w:ascii="Arial" w:hAnsi="Arial" w:cs="Arial"/>
          <w:i/>
          <w:iCs/>
          <w:color w:val="222222"/>
          <w:sz w:val="20"/>
          <w:szCs w:val="20"/>
          <w:shd w:val="clear" w:color="auto" w:fill="FFFFFF"/>
        </w:rPr>
        <w:t>Applied Energy</w:t>
      </w:r>
      <w:r w:rsidR="00317DDE" w:rsidRPr="00A06722">
        <w:rPr>
          <w:rFonts w:ascii="Arial" w:hAnsi="Arial" w:cs="Arial"/>
          <w:color w:val="222222"/>
          <w:sz w:val="20"/>
          <w:szCs w:val="20"/>
          <w:shd w:val="clear" w:color="auto" w:fill="FFFFFF"/>
        </w:rPr>
        <w:t>, </w:t>
      </w:r>
      <w:r w:rsidR="00317DDE" w:rsidRPr="00A06722">
        <w:rPr>
          <w:rFonts w:ascii="Arial" w:hAnsi="Arial" w:cs="Arial"/>
          <w:i/>
          <w:iCs/>
          <w:color w:val="222222"/>
          <w:sz w:val="20"/>
          <w:szCs w:val="20"/>
          <w:shd w:val="clear" w:color="auto" w:fill="FFFFFF"/>
        </w:rPr>
        <w:t>104</w:t>
      </w:r>
      <w:r w:rsidR="00317DDE" w:rsidRPr="00A06722">
        <w:rPr>
          <w:rFonts w:ascii="Arial" w:hAnsi="Arial" w:cs="Arial"/>
          <w:color w:val="222222"/>
          <w:sz w:val="20"/>
          <w:szCs w:val="20"/>
          <w:shd w:val="clear" w:color="auto" w:fill="FFFFFF"/>
        </w:rPr>
        <w:t xml:space="preserve">, 310-318. </w:t>
      </w:r>
      <w:hyperlink r:id="rId15" w:history="1">
        <w:r w:rsidR="00317DDE" w:rsidRPr="00A06722">
          <w:rPr>
            <w:rStyle w:val="Hyperlink"/>
            <w:rFonts w:ascii="Arial" w:hAnsi="Arial" w:cs="Arial"/>
            <w:color w:val="FF3399"/>
            <w:sz w:val="20"/>
            <w:szCs w:val="20"/>
            <w:lang w:val="en-GB"/>
          </w:rPr>
          <w:t>https://www.sciencedirect.com/science/article/pii/S0306261912007611</w:t>
        </w:r>
      </w:hyperlink>
      <w:r w:rsidR="00317DDE" w:rsidRPr="00A06722">
        <w:rPr>
          <w:rFonts w:ascii="Arial" w:hAnsi="Arial" w:cs="Arial"/>
          <w:color w:val="FF3399"/>
          <w:sz w:val="20"/>
          <w:szCs w:val="20"/>
          <w:lang w:val="en-GB"/>
        </w:rPr>
        <w:t xml:space="preserve"> </w:t>
      </w:r>
    </w:p>
    <w:p w14:paraId="2FE34942" w14:textId="77777777" w:rsidR="00317DDE" w:rsidRPr="00C97CF4" w:rsidRDefault="00DB1116" w:rsidP="00317DDE">
      <w:pPr>
        <w:pStyle w:val="NormalWeb"/>
        <w:ind w:left="720" w:hanging="630"/>
        <w:jc w:val="both"/>
        <w:rPr>
          <w:rStyle w:val="Hyperlink"/>
          <w:rFonts w:ascii="Arial" w:hAnsi="Arial" w:cs="Arial"/>
          <w:sz w:val="20"/>
          <w:szCs w:val="20"/>
        </w:rPr>
      </w:pPr>
      <w:r>
        <w:rPr>
          <w:rFonts w:ascii="Arial" w:hAnsi="Arial" w:cs="Arial"/>
          <w:sz w:val="20"/>
          <w:szCs w:val="20"/>
        </w:rPr>
        <w:t xml:space="preserve">[7]. </w:t>
      </w:r>
      <w:r w:rsidR="00317DDE" w:rsidRPr="00C97CF4">
        <w:rPr>
          <w:rFonts w:ascii="Arial" w:hAnsi="Arial" w:cs="Arial"/>
          <w:sz w:val="20"/>
          <w:szCs w:val="20"/>
        </w:rPr>
        <w:t xml:space="preserve">International Energy Agency. (2023a). </w:t>
      </w:r>
      <w:r w:rsidR="00317DDE" w:rsidRPr="00C97CF4">
        <w:rPr>
          <w:rStyle w:val="Emphasis"/>
          <w:rFonts w:ascii="Arial" w:hAnsi="Arial" w:cs="Arial"/>
          <w:sz w:val="20"/>
          <w:szCs w:val="20"/>
        </w:rPr>
        <w:t>India to be the main engine of global coal demand growth</w:t>
      </w:r>
      <w:r w:rsidR="00317DDE" w:rsidRPr="00C97CF4">
        <w:rPr>
          <w:rFonts w:ascii="Arial" w:hAnsi="Arial" w:cs="Arial"/>
          <w:sz w:val="20"/>
          <w:szCs w:val="20"/>
        </w:rPr>
        <w:t xml:space="preserve">. Paris, France: International Energy Agency. Available from </w:t>
      </w:r>
      <w:hyperlink r:id="rId16" w:tgtFrame="_new" w:history="1">
        <w:r w:rsidR="00317DDE" w:rsidRPr="00C97CF4">
          <w:rPr>
            <w:rStyle w:val="Hyperlink"/>
            <w:rFonts w:ascii="Arial" w:hAnsi="Arial" w:cs="Arial"/>
            <w:color w:val="FF3399"/>
            <w:sz w:val="20"/>
            <w:szCs w:val="20"/>
          </w:rPr>
          <w:t>https://timesofindia.indiatimes.com/business/india-business/india-to-be-main-engine-of-global-coal-demand-growth-iea/articleshow/106031591.cms</w:t>
        </w:r>
      </w:hyperlink>
    </w:p>
    <w:p w14:paraId="3D7E3D1F" w14:textId="77777777" w:rsidR="00317DDE" w:rsidRPr="00C97CF4" w:rsidRDefault="00DB1116" w:rsidP="00317DDE">
      <w:pPr>
        <w:pStyle w:val="NormalWeb"/>
        <w:ind w:left="720" w:hanging="630"/>
        <w:jc w:val="both"/>
        <w:rPr>
          <w:rStyle w:val="Hyperlink"/>
          <w:rFonts w:ascii="Arial" w:hAnsi="Arial" w:cs="Arial"/>
          <w:color w:val="FF3399"/>
          <w:sz w:val="20"/>
          <w:szCs w:val="20"/>
        </w:rPr>
      </w:pPr>
      <w:r>
        <w:rPr>
          <w:rFonts w:ascii="Arial" w:hAnsi="Arial" w:cs="Arial"/>
          <w:sz w:val="20"/>
          <w:szCs w:val="20"/>
        </w:rPr>
        <w:t xml:space="preserve">[8]. </w:t>
      </w:r>
      <w:r w:rsidR="00317DDE" w:rsidRPr="00C97CF4">
        <w:rPr>
          <w:rFonts w:ascii="Arial" w:hAnsi="Arial" w:cs="Arial"/>
          <w:sz w:val="20"/>
          <w:szCs w:val="20"/>
        </w:rPr>
        <w:t xml:space="preserve">International Energy Agency. (2023b). </w:t>
      </w:r>
      <w:r w:rsidR="00317DDE" w:rsidRPr="00C97CF4">
        <w:rPr>
          <w:rStyle w:val="Emphasis"/>
          <w:rFonts w:ascii="Arial" w:hAnsi="Arial" w:cs="Arial"/>
          <w:sz w:val="20"/>
          <w:szCs w:val="20"/>
        </w:rPr>
        <w:t>Coal market update 2023: India will drive global demand through 2026.</w:t>
      </w:r>
      <w:r w:rsidR="00317DDE" w:rsidRPr="00C97CF4">
        <w:rPr>
          <w:rFonts w:ascii="Arial" w:hAnsi="Arial" w:cs="Arial"/>
          <w:sz w:val="20"/>
          <w:szCs w:val="20"/>
        </w:rPr>
        <w:t xml:space="preserve"> Paris, France: International Energy Agency (IEA). </w:t>
      </w:r>
      <w:hyperlink r:id="rId17" w:history="1">
        <w:r w:rsidR="00317DDE" w:rsidRPr="00C97CF4">
          <w:rPr>
            <w:rStyle w:val="Hyperlink"/>
            <w:rFonts w:ascii="Arial" w:hAnsi="Arial" w:cs="Arial"/>
            <w:color w:val="FF3399"/>
            <w:sz w:val="20"/>
            <w:szCs w:val="20"/>
          </w:rPr>
          <w:t>https://www.iea.org/reports/coal-market-update-2023</w:t>
        </w:r>
      </w:hyperlink>
    </w:p>
    <w:p w14:paraId="2EFBA76E" w14:textId="77777777" w:rsidR="00317DDE" w:rsidRPr="00C97CF4" w:rsidRDefault="00DB1116" w:rsidP="00317DDE">
      <w:pPr>
        <w:pStyle w:val="NormalWeb"/>
        <w:ind w:left="720" w:hanging="630"/>
        <w:jc w:val="both"/>
        <w:rPr>
          <w:rFonts w:ascii="Arial" w:hAnsi="Arial" w:cs="Arial"/>
          <w:sz w:val="20"/>
          <w:szCs w:val="20"/>
        </w:rPr>
      </w:pPr>
      <w:r>
        <w:rPr>
          <w:rFonts w:ascii="Arial" w:hAnsi="Arial" w:cs="Arial"/>
          <w:sz w:val="20"/>
          <w:szCs w:val="20"/>
          <w:shd w:val="clear" w:color="auto" w:fill="FFFFFF"/>
        </w:rPr>
        <w:t xml:space="preserve">[9]. </w:t>
      </w:r>
      <w:r w:rsidR="00317DDE" w:rsidRPr="00C97CF4">
        <w:rPr>
          <w:rFonts w:ascii="Arial" w:hAnsi="Arial" w:cs="Arial"/>
          <w:sz w:val="20"/>
          <w:szCs w:val="20"/>
          <w:shd w:val="clear" w:color="auto" w:fill="FFFFFF"/>
        </w:rPr>
        <w:t>Kulshreshtha, M., &amp; Parikh, J. K. (2000). Modeling demand for coal in India: vector autoregressive models with cointegrated variables. </w:t>
      </w:r>
      <w:r w:rsidR="00317DDE" w:rsidRPr="00C97CF4">
        <w:rPr>
          <w:rFonts w:ascii="Arial" w:hAnsi="Arial" w:cs="Arial"/>
          <w:i/>
          <w:iCs/>
          <w:sz w:val="20"/>
          <w:szCs w:val="20"/>
          <w:shd w:val="clear" w:color="auto" w:fill="FFFFFF"/>
        </w:rPr>
        <w:t>Energy</w:t>
      </w:r>
      <w:r w:rsidR="00317DDE" w:rsidRPr="00C97CF4">
        <w:rPr>
          <w:rFonts w:ascii="Arial" w:hAnsi="Arial" w:cs="Arial"/>
          <w:sz w:val="20"/>
          <w:szCs w:val="20"/>
          <w:shd w:val="clear" w:color="auto" w:fill="FFFFFF"/>
        </w:rPr>
        <w:t>, </w:t>
      </w:r>
      <w:r w:rsidR="00317DDE" w:rsidRPr="00C97CF4">
        <w:rPr>
          <w:rFonts w:ascii="Arial" w:hAnsi="Arial" w:cs="Arial"/>
          <w:i/>
          <w:iCs/>
          <w:sz w:val="20"/>
          <w:szCs w:val="20"/>
          <w:shd w:val="clear" w:color="auto" w:fill="FFFFFF"/>
        </w:rPr>
        <w:t>25</w:t>
      </w:r>
      <w:r w:rsidR="00317DDE" w:rsidRPr="00C97CF4">
        <w:rPr>
          <w:rFonts w:ascii="Arial" w:hAnsi="Arial" w:cs="Arial"/>
          <w:sz w:val="20"/>
          <w:szCs w:val="20"/>
          <w:shd w:val="clear" w:color="auto" w:fill="FFFFFF"/>
        </w:rPr>
        <w:t>(2), 149-168.</w:t>
      </w:r>
    </w:p>
    <w:p w14:paraId="0752E049" w14:textId="77777777" w:rsidR="00317DDE" w:rsidRPr="00A06722" w:rsidRDefault="00DB1116" w:rsidP="00317DDE">
      <w:pPr>
        <w:ind w:left="720" w:hanging="630"/>
        <w:jc w:val="both"/>
        <w:rPr>
          <w:rFonts w:ascii="Arial" w:hAnsi="Arial" w:cs="Arial"/>
          <w:sz w:val="20"/>
          <w:szCs w:val="20"/>
          <w:lang w:val="en-GB"/>
        </w:rPr>
      </w:pPr>
      <w:r>
        <w:rPr>
          <w:rFonts w:ascii="Arial" w:hAnsi="Arial" w:cs="Arial"/>
          <w:color w:val="222222"/>
          <w:sz w:val="20"/>
          <w:szCs w:val="20"/>
          <w:shd w:val="clear" w:color="auto" w:fill="FFFFFF"/>
        </w:rPr>
        <w:t xml:space="preserve">[10]. </w:t>
      </w:r>
      <w:r w:rsidR="00317DDE" w:rsidRPr="00A06722">
        <w:rPr>
          <w:rFonts w:ascii="Arial" w:hAnsi="Arial" w:cs="Arial"/>
          <w:color w:val="222222"/>
          <w:sz w:val="20"/>
          <w:szCs w:val="20"/>
          <w:shd w:val="clear" w:color="auto" w:fill="FFFFFF"/>
        </w:rPr>
        <w:t>Kumar, G., &amp; Trivedi, A. (2025). India's Transition to Clean Energy: A Review of Current Contributions from Renewable Energy Sources. </w:t>
      </w:r>
      <w:r w:rsidR="00317DDE" w:rsidRPr="00A06722">
        <w:rPr>
          <w:rFonts w:ascii="Arial" w:hAnsi="Arial" w:cs="Arial"/>
          <w:i/>
          <w:iCs/>
          <w:color w:val="222222"/>
          <w:sz w:val="20"/>
          <w:szCs w:val="20"/>
          <w:shd w:val="clear" w:color="auto" w:fill="FFFFFF"/>
        </w:rPr>
        <w:t>International Journal of Environment and Climate Change</w:t>
      </w:r>
      <w:r w:rsidR="00317DDE" w:rsidRPr="00A06722">
        <w:rPr>
          <w:rFonts w:ascii="Arial" w:hAnsi="Arial" w:cs="Arial"/>
          <w:color w:val="222222"/>
          <w:sz w:val="20"/>
          <w:szCs w:val="20"/>
          <w:shd w:val="clear" w:color="auto" w:fill="FFFFFF"/>
        </w:rPr>
        <w:t>, </w:t>
      </w:r>
      <w:r w:rsidR="00317DDE" w:rsidRPr="00A06722">
        <w:rPr>
          <w:rFonts w:ascii="Arial" w:hAnsi="Arial" w:cs="Arial"/>
          <w:i/>
          <w:iCs/>
          <w:color w:val="222222"/>
          <w:sz w:val="20"/>
          <w:szCs w:val="20"/>
          <w:shd w:val="clear" w:color="auto" w:fill="FFFFFF"/>
        </w:rPr>
        <w:t>15</w:t>
      </w:r>
      <w:r w:rsidR="00317DDE" w:rsidRPr="00A06722">
        <w:rPr>
          <w:rFonts w:ascii="Arial" w:hAnsi="Arial" w:cs="Arial"/>
          <w:color w:val="222222"/>
          <w:sz w:val="20"/>
          <w:szCs w:val="20"/>
          <w:shd w:val="clear" w:color="auto" w:fill="FFFFFF"/>
        </w:rPr>
        <w:t xml:space="preserve">(6), 347-361. </w:t>
      </w:r>
      <w:hyperlink r:id="rId18" w:history="1">
        <w:r w:rsidR="00317DDE" w:rsidRPr="00A06722">
          <w:rPr>
            <w:rStyle w:val="Hyperlink"/>
            <w:rFonts w:ascii="Arial" w:hAnsi="Arial" w:cs="Arial"/>
            <w:color w:val="FF3399"/>
            <w:sz w:val="20"/>
            <w:szCs w:val="20"/>
            <w:lang w:val="en-GB"/>
          </w:rPr>
          <w:t>https://doi.org/10.9734/ijecc/2025/v15i64894</w:t>
        </w:r>
      </w:hyperlink>
      <w:r w:rsidR="00317DDE" w:rsidRPr="00A06722">
        <w:rPr>
          <w:rFonts w:ascii="Arial" w:hAnsi="Arial" w:cs="Arial"/>
          <w:color w:val="FF3399"/>
          <w:sz w:val="20"/>
          <w:szCs w:val="20"/>
          <w:lang w:val="en-GB"/>
        </w:rPr>
        <w:t>.</w:t>
      </w:r>
      <w:r w:rsidR="00317DDE" w:rsidRPr="00A06722">
        <w:rPr>
          <w:rFonts w:ascii="Arial" w:hAnsi="Arial" w:cs="Arial"/>
          <w:sz w:val="20"/>
          <w:szCs w:val="20"/>
          <w:lang w:val="en-GB"/>
        </w:rPr>
        <w:t xml:space="preserve"> </w:t>
      </w:r>
    </w:p>
    <w:p w14:paraId="11730246" w14:textId="77777777" w:rsidR="00317DDE" w:rsidRPr="00C97CF4" w:rsidRDefault="00DB1116" w:rsidP="00317DDE">
      <w:pPr>
        <w:pStyle w:val="NormalWeb"/>
        <w:ind w:left="720" w:hanging="630"/>
        <w:jc w:val="both"/>
        <w:rPr>
          <w:rFonts w:ascii="Arial" w:hAnsi="Arial" w:cs="Arial"/>
          <w:sz w:val="20"/>
          <w:szCs w:val="20"/>
        </w:rPr>
      </w:pPr>
      <w:r>
        <w:rPr>
          <w:rFonts w:ascii="Arial" w:hAnsi="Arial" w:cs="Arial"/>
          <w:sz w:val="20"/>
          <w:szCs w:val="20"/>
        </w:rPr>
        <w:t xml:space="preserve">[11]. </w:t>
      </w:r>
      <w:r w:rsidR="00317DDE" w:rsidRPr="00C97CF4">
        <w:rPr>
          <w:rFonts w:ascii="Arial" w:hAnsi="Arial" w:cs="Arial"/>
          <w:sz w:val="20"/>
          <w:szCs w:val="20"/>
        </w:rPr>
        <w:t xml:space="preserve">Ministry of Coal, Government of India. (2024). </w:t>
      </w:r>
      <w:r w:rsidR="00317DDE" w:rsidRPr="00C97CF4">
        <w:rPr>
          <w:rStyle w:val="Emphasis"/>
          <w:rFonts w:ascii="Arial" w:hAnsi="Arial" w:cs="Arial"/>
          <w:sz w:val="20"/>
          <w:szCs w:val="20"/>
        </w:rPr>
        <w:t>Coal statistics and performance reports.</w:t>
      </w:r>
      <w:r w:rsidR="00317DDE" w:rsidRPr="00C97CF4">
        <w:rPr>
          <w:rFonts w:ascii="Arial" w:hAnsi="Arial" w:cs="Arial"/>
          <w:sz w:val="20"/>
          <w:szCs w:val="20"/>
        </w:rPr>
        <w:t xml:space="preserve"> New Delhi, India: Ministry of Coal, Government of India.</w:t>
      </w:r>
    </w:p>
    <w:p w14:paraId="042B0249" w14:textId="77777777" w:rsidR="00317DDE" w:rsidRPr="00C97CF4" w:rsidRDefault="00DB1116" w:rsidP="00317DDE">
      <w:pPr>
        <w:pStyle w:val="NormalWeb"/>
        <w:ind w:left="720" w:hanging="630"/>
        <w:jc w:val="both"/>
        <w:rPr>
          <w:rFonts w:ascii="Arial" w:hAnsi="Arial" w:cs="Arial"/>
          <w:sz w:val="20"/>
          <w:szCs w:val="20"/>
        </w:rPr>
      </w:pPr>
      <w:r>
        <w:rPr>
          <w:rFonts w:ascii="Arial" w:hAnsi="Arial" w:cs="Arial"/>
          <w:sz w:val="20"/>
          <w:szCs w:val="20"/>
        </w:rPr>
        <w:t xml:space="preserve">[12]. </w:t>
      </w:r>
      <w:r w:rsidR="00317DDE" w:rsidRPr="00C97CF4">
        <w:rPr>
          <w:rFonts w:ascii="Arial" w:hAnsi="Arial" w:cs="Arial"/>
          <w:sz w:val="20"/>
          <w:szCs w:val="20"/>
        </w:rPr>
        <w:t xml:space="preserve">Ministry of Coal, Government of India. (2024a). </w:t>
      </w:r>
      <w:r w:rsidR="00317DDE" w:rsidRPr="00C97CF4">
        <w:rPr>
          <w:rStyle w:val="Emphasis"/>
          <w:rFonts w:ascii="Arial" w:hAnsi="Arial" w:cs="Arial"/>
          <w:sz w:val="20"/>
          <w:szCs w:val="20"/>
        </w:rPr>
        <w:t>Annual report 2023–24.</w:t>
      </w:r>
      <w:r w:rsidR="00317DDE" w:rsidRPr="00C97CF4">
        <w:rPr>
          <w:rFonts w:ascii="Arial" w:hAnsi="Arial" w:cs="Arial"/>
          <w:sz w:val="20"/>
          <w:szCs w:val="20"/>
        </w:rPr>
        <w:t xml:space="preserve"> New Delhi, India: Ministry of Coal (MoC).</w:t>
      </w:r>
    </w:p>
    <w:p w14:paraId="01036F9C" w14:textId="77777777" w:rsidR="00317DDE" w:rsidRPr="00C97CF4" w:rsidRDefault="00DB1116" w:rsidP="00317DDE">
      <w:pPr>
        <w:pStyle w:val="NormalWeb"/>
        <w:ind w:left="720" w:hanging="630"/>
        <w:jc w:val="both"/>
        <w:rPr>
          <w:rFonts w:ascii="Arial" w:hAnsi="Arial" w:cs="Arial"/>
          <w:sz w:val="20"/>
          <w:szCs w:val="20"/>
        </w:rPr>
      </w:pPr>
      <w:r>
        <w:rPr>
          <w:rFonts w:ascii="Arial" w:hAnsi="Arial" w:cs="Arial"/>
          <w:sz w:val="20"/>
          <w:szCs w:val="20"/>
        </w:rPr>
        <w:t xml:space="preserve">[13]. </w:t>
      </w:r>
      <w:r w:rsidR="00317DDE" w:rsidRPr="00C97CF4">
        <w:rPr>
          <w:rFonts w:ascii="Arial" w:hAnsi="Arial" w:cs="Arial"/>
          <w:sz w:val="20"/>
          <w:szCs w:val="20"/>
        </w:rPr>
        <w:t xml:space="preserve">Ministry of Coal, Government of India. (2024b). </w:t>
      </w:r>
      <w:r w:rsidR="00317DDE" w:rsidRPr="00C97CF4">
        <w:rPr>
          <w:rStyle w:val="Emphasis"/>
          <w:rFonts w:ascii="Arial" w:hAnsi="Arial" w:cs="Arial"/>
          <w:sz w:val="20"/>
          <w:szCs w:val="20"/>
        </w:rPr>
        <w:t>Coal production reaches an unprecedented milestone of 893.19 million tonnes in FY 2022–23.</w:t>
      </w:r>
      <w:r w:rsidR="00317DDE" w:rsidRPr="00C97CF4">
        <w:rPr>
          <w:rFonts w:ascii="Arial" w:hAnsi="Arial" w:cs="Arial"/>
          <w:sz w:val="20"/>
          <w:szCs w:val="20"/>
        </w:rPr>
        <w:t xml:space="preserve"> Press Information Bureau, Government of India.</w:t>
      </w:r>
    </w:p>
    <w:p w14:paraId="7BDD52EA" w14:textId="77777777" w:rsidR="00317DDE" w:rsidRPr="00C97CF4" w:rsidRDefault="00DB1116" w:rsidP="00317DDE">
      <w:pPr>
        <w:pStyle w:val="NormalWeb"/>
        <w:ind w:left="720" w:hanging="630"/>
        <w:jc w:val="both"/>
        <w:rPr>
          <w:rFonts w:ascii="Arial" w:hAnsi="Arial" w:cs="Arial"/>
          <w:sz w:val="20"/>
          <w:szCs w:val="20"/>
        </w:rPr>
      </w:pPr>
      <w:r>
        <w:rPr>
          <w:rFonts w:ascii="Arial" w:hAnsi="Arial" w:cs="Arial"/>
          <w:sz w:val="20"/>
          <w:szCs w:val="20"/>
        </w:rPr>
        <w:t xml:space="preserve">[14]. </w:t>
      </w:r>
      <w:r w:rsidR="00317DDE" w:rsidRPr="00C97CF4">
        <w:rPr>
          <w:rFonts w:ascii="Arial" w:hAnsi="Arial" w:cs="Arial"/>
          <w:sz w:val="20"/>
          <w:szCs w:val="20"/>
        </w:rPr>
        <w:t xml:space="preserve">NITI Aayog. (2023). </w:t>
      </w:r>
      <w:r w:rsidR="00317DDE" w:rsidRPr="00C97CF4">
        <w:rPr>
          <w:rStyle w:val="Emphasis"/>
          <w:rFonts w:ascii="Arial" w:hAnsi="Arial" w:cs="Arial"/>
          <w:sz w:val="20"/>
          <w:szCs w:val="20"/>
        </w:rPr>
        <w:t>India energy outlook 2023: Towards a clean energy future.</w:t>
      </w:r>
      <w:r w:rsidR="00317DDE" w:rsidRPr="00C97CF4">
        <w:rPr>
          <w:rFonts w:ascii="Arial" w:hAnsi="Arial" w:cs="Arial"/>
          <w:sz w:val="20"/>
          <w:szCs w:val="20"/>
        </w:rPr>
        <w:t xml:space="preserve"> New Delhi, India: Government of India.</w:t>
      </w:r>
    </w:p>
    <w:p w14:paraId="74C2D165" w14:textId="77777777" w:rsidR="00317DDE" w:rsidRPr="00C97CF4" w:rsidRDefault="00DB1116" w:rsidP="00317DDE">
      <w:pPr>
        <w:pStyle w:val="NormalWeb"/>
        <w:ind w:left="720" w:hanging="630"/>
        <w:jc w:val="both"/>
        <w:rPr>
          <w:rFonts w:ascii="Arial" w:hAnsi="Arial" w:cs="Arial"/>
          <w:color w:val="FF3399"/>
          <w:sz w:val="20"/>
          <w:szCs w:val="20"/>
        </w:rPr>
      </w:pPr>
      <w:r>
        <w:rPr>
          <w:rFonts w:ascii="Arial" w:hAnsi="Arial" w:cs="Arial"/>
          <w:sz w:val="20"/>
          <w:szCs w:val="20"/>
        </w:rPr>
        <w:t xml:space="preserve">[15]. </w:t>
      </w:r>
      <w:r w:rsidR="00317DDE" w:rsidRPr="00C97CF4">
        <w:rPr>
          <w:rFonts w:ascii="Arial" w:hAnsi="Arial" w:cs="Arial"/>
          <w:sz w:val="20"/>
          <w:szCs w:val="20"/>
        </w:rPr>
        <w:t xml:space="preserve">Reserve Bank of India. (2024). </w:t>
      </w:r>
      <w:r w:rsidR="00317DDE" w:rsidRPr="00C97CF4">
        <w:rPr>
          <w:rStyle w:val="Emphasis"/>
          <w:rFonts w:ascii="Arial" w:hAnsi="Arial" w:cs="Arial"/>
          <w:sz w:val="20"/>
          <w:szCs w:val="20"/>
        </w:rPr>
        <w:t>Handbook of statistics on the Indian economy 2023–24.</w:t>
      </w:r>
      <w:r w:rsidR="00317DDE" w:rsidRPr="00C97CF4">
        <w:rPr>
          <w:rFonts w:ascii="Arial" w:hAnsi="Arial" w:cs="Arial"/>
          <w:sz w:val="20"/>
          <w:szCs w:val="20"/>
        </w:rPr>
        <w:t xml:space="preserve"> Mumbai, India: Reserve Bank of India (RBI). </w:t>
      </w:r>
      <w:hyperlink r:id="rId19" w:tgtFrame="_new" w:history="1">
        <w:r w:rsidR="00317DDE" w:rsidRPr="00C97CF4">
          <w:rPr>
            <w:rStyle w:val="Hyperlink"/>
            <w:rFonts w:ascii="Arial" w:hAnsi="Arial" w:cs="Arial"/>
            <w:color w:val="FF3399"/>
            <w:sz w:val="20"/>
            <w:szCs w:val="20"/>
          </w:rPr>
          <w:t>https://www.rbi.org.in</w:t>
        </w:r>
      </w:hyperlink>
    </w:p>
    <w:p w14:paraId="70E7F4C4" w14:textId="77777777" w:rsidR="00317DDE" w:rsidRDefault="00DB1116" w:rsidP="00317DDE">
      <w:pPr>
        <w:spacing w:after="0" w:line="240" w:lineRule="auto"/>
        <w:ind w:left="720" w:hanging="630"/>
        <w:jc w:val="both"/>
        <w:rPr>
          <w:rStyle w:val="Hyperlink"/>
          <w:rFonts w:ascii="Arial" w:hAnsi="Arial" w:cs="Arial"/>
          <w:color w:val="FF3399"/>
          <w:sz w:val="20"/>
          <w:szCs w:val="20"/>
        </w:rPr>
      </w:pPr>
      <w:r>
        <w:rPr>
          <w:rFonts w:ascii="Arial" w:hAnsi="Arial" w:cs="Arial"/>
          <w:sz w:val="20"/>
          <w:szCs w:val="20"/>
        </w:rPr>
        <w:t xml:space="preserve">[16]. </w:t>
      </w:r>
      <w:r w:rsidR="00317DDE" w:rsidRPr="00C97CF4">
        <w:rPr>
          <w:rFonts w:ascii="Arial" w:hAnsi="Arial" w:cs="Arial"/>
          <w:sz w:val="20"/>
          <w:szCs w:val="20"/>
        </w:rPr>
        <w:t xml:space="preserve">Sarkar, S., &amp; Mathavan, B. (2024). </w:t>
      </w:r>
      <w:r w:rsidR="00317DDE" w:rsidRPr="00C97CF4">
        <w:rPr>
          <w:rFonts w:ascii="Arial" w:hAnsi="Arial" w:cs="Arial"/>
          <w:noProof/>
          <w:sz w:val="20"/>
          <w:szCs w:val="20"/>
        </w:rPr>
        <w:t xml:space="preserve">Energy Consumption and Economic Growth in India: A Granger </w:t>
      </w:r>
      <w:r w:rsidR="00317DDE" w:rsidRPr="00C97CF4">
        <w:rPr>
          <w:rFonts w:ascii="Arial" w:hAnsi="Arial" w:cs="Arial"/>
          <w:sz w:val="20"/>
          <w:szCs w:val="20"/>
        </w:rPr>
        <w:t>Causality Approach</w:t>
      </w:r>
      <w:r w:rsidR="00317DDE" w:rsidRPr="00C97CF4">
        <w:rPr>
          <w:rFonts w:ascii="Arial" w:hAnsi="Arial" w:cs="Arial"/>
          <w:noProof/>
          <w:sz w:val="20"/>
          <w:szCs w:val="20"/>
        </w:rPr>
        <w:t xml:space="preserve">. </w:t>
      </w:r>
      <w:r w:rsidR="00317DDE" w:rsidRPr="00C97CF4">
        <w:rPr>
          <w:rFonts w:ascii="Arial" w:hAnsi="Arial" w:cs="Arial"/>
          <w:iCs/>
          <w:noProof/>
          <w:sz w:val="20"/>
          <w:szCs w:val="20"/>
        </w:rPr>
        <w:t>Indian Journal of Natural Sciences, 15 (87),</w:t>
      </w:r>
      <w:r w:rsidR="00317DDE" w:rsidRPr="00C97CF4">
        <w:rPr>
          <w:rFonts w:ascii="Arial" w:hAnsi="Arial" w:cs="Arial"/>
          <w:noProof/>
          <w:sz w:val="20"/>
          <w:szCs w:val="20"/>
        </w:rPr>
        <w:t xml:space="preserve"> 85356-85363. </w:t>
      </w:r>
      <w:hyperlink r:id="rId20" w:history="1">
        <w:r w:rsidR="00317DDE" w:rsidRPr="00C97CF4">
          <w:rPr>
            <w:rStyle w:val="Hyperlink"/>
            <w:rFonts w:ascii="Arial" w:hAnsi="Arial" w:cs="Arial"/>
            <w:color w:val="FF3399"/>
            <w:sz w:val="20"/>
            <w:szCs w:val="20"/>
          </w:rPr>
          <w:t>https://tnsroindia.org.in/journals.html</w:t>
        </w:r>
      </w:hyperlink>
      <w:r w:rsidR="00317DDE" w:rsidRPr="00C97CF4">
        <w:rPr>
          <w:rStyle w:val="Hyperlink"/>
          <w:rFonts w:ascii="Arial" w:hAnsi="Arial" w:cs="Arial"/>
          <w:color w:val="FF3399"/>
          <w:sz w:val="20"/>
          <w:szCs w:val="20"/>
        </w:rPr>
        <w:t>.</w:t>
      </w:r>
    </w:p>
    <w:p w14:paraId="0DA604C2" w14:textId="77777777" w:rsidR="00317DDE" w:rsidRPr="00C97CF4" w:rsidRDefault="00317DDE" w:rsidP="00317DDE">
      <w:pPr>
        <w:spacing w:after="0" w:line="240" w:lineRule="auto"/>
        <w:ind w:left="720" w:hanging="630"/>
        <w:jc w:val="both"/>
        <w:rPr>
          <w:rStyle w:val="Hyperlink"/>
          <w:rFonts w:ascii="Arial" w:hAnsi="Arial" w:cs="Arial"/>
          <w:color w:val="FF3399"/>
          <w:sz w:val="20"/>
          <w:szCs w:val="20"/>
        </w:rPr>
      </w:pPr>
    </w:p>
    <w:p w14:paraId="35113C33" w14:textId="77777777" w:rsidR="00317DDE" w:rsidRDefault="00DB1116" w:rsidP="00317DDE">
      <w:pPr>
        <w:spacing w:after="0" w:line="240" w:lineRule="auto"/>
        <w:ind w:left="720" w:hanging="630"/>
        <w:jc w:val="both"/>
        <w:rPr>
          <w:rStyle w:val="Hyperlink"/>
          <w:rFonts w:ascii="Arial" w:hAnsi="Arial" w:cs="Arial"/>
          <w:color w:val="FF3399"/>
          <w:sz w:val="20"/>
          <w:szCs w:val="20"/>
        </w:rPr>
      </w:pPr>
      <w:r>
        <w:rPr>
          <w:rFonts w:ascii="Arial" w:hAnsi="Arial" w:cs="Arial"/>
          <w:sz w:val="20"/>
          <w:szCs w:val="20"/>
        </w:rPr>
        <w:t xml:space="preserve">[17]. </w:t>
      </w:r>
      <w:r w:rsidR="00317DDE" w:rsidRPr="00C97CF4">
        <w:rPr>
          <w:rFonts w:ascii="Arial" w:hAnsi="Arial" w:cs="Arial"/>
          <w:sz w:val="20"/>
          <w:szCs w:val="20"/>
        </w:rPr>
        <w:t>Sarkar, S., &amp; Mathavan, B. (2025). Economic analysis of energy consumption in Agriculture sector of Indian Economy</w:t>
      </w:r>
      <w:r w:rsidR="00317DDE" w:rsidRPr="00C97CF4">
        <w:rPr>
          <w:rFonts w:ascii="Arial" w:hAnsi="Arial" w:cs="Arial"/>
          <w:noProof/>
          <w:sz w:val="20"/>
          <w:szCs w:val="20"/>
        </w:rPr>
        <w:t xml:space="preserve">. </w:t>
      </w:r>
      <w:r w:rsidR="00317DDE" w:rsidRPr="00C97CF4">
        <w:rPr>
          <w:rFonts w:ascii="Arial" w:hAnsi="Arial" w:cs="Arial"/>
          <w:iCs/>
          <w:noProof/>
          <w:sz w:val="20"/>
          <w:szCs w:val="20"/>
        </w:rPr>
        <w:t>Indian Journal of Applied and Pure Biology, 40 (2),</w:t>
      </w:r>
      <w:r w:rsidR="00317DDE" w:rsidRPr="00C97CF4">
        <w:rPr>
          <w:rFonts w:ascii="Arial" w:hAnsi="Arial" w:cs="Arial"/>
          <w:noProof/>
          <w:sz w:val="20"/>
          <w:szCs w:val="20"/>
        </w:rPr>
        <w:t xml:space="preserve"> 1162-1174. </w:t>
      </w:r>
      <w:hyperlink r:id="rId21" w:history="1">
        <w:r w:rsidR="00317DDE" w:rsidRPr="00C97CF4">
          <w:rPr>
            <w:rStyle w:val="Hyperlink"/>
            <w:rFonts w:ascii="Arial" w:hAnsi="Arial" w:cs="Arial"/>
            <w:color w:val="FF3399"/>
            <w:sz w:val="20"/>
            <w:szCs w:val="20"/>
          </w:rPr>
          <w:t>https://biology-journal.org/journal/volume40/issue83/?pg=4</w:t>
        </w:r>
      </w:hyperlink>
      <w:r w:rsidR="00317DDE" w:rsidRPr="00C97CF4">
        <w:rPr>
          <w:rStyle w:val="Hyperlink"/>
          <w:rFonts w:ascii="Arial" w:hAnsi="Arial" w:cs="Arial"/>
          <w:color w:val="FF3399"/>
          <w:sz w:val="20"/>
          <w:szCs w:val="20"/>
        </w:rPr>
        <w:t>.</w:t>
      </w:r>
    </w:p>
    <w:p w14:paraId="713F536E" w14:textId="77777777" w:rsidR="00317DDE" w:rsidRPr="00C97CF4" w:rsidRDefault="00317DDE" w:rsidP="00317DDE">
      <w:pPr>
        <w:spacing w:after="0" w:line="240" w:lineRule="auto"/>
        <w:ind w:left="720" w:hanging="630"/>
        <w:jc w:val="both"/>
        <w:rPr>
          <w:rStyle w:val="Hyperlink"/>
          <w:rFonts w:ascii="Arial" w:hAnsi="Arial" w:cs="Arial"/>
          <w:color w:val="FF3399"/>
          <w:sz w:val="20"/>
          <w:szCs w:val="20"/>
        </w:rPr>
      </w:pPr>
    </w:p>
    <w:p w14:paraId="25709A2C" w14:textId="77777777" w:rsidR="00317DDE" w:rsidRPr="00A06722" w:rsidRDefault="00DB1116" w:rsidP="00317DDE">
      <w:pPr>
        <w:ind w:left="720" w:hanging="630"/>
        <w:jc w:val="both"/>
        <w:rPr>
          <w:rFonts w:ascii="Arial" w:hAnsi="Arial" w:cs="Arial"/>
          <w:sz w:val="20"/>
          <w:szCs w:val="20"/>
          <w:lang w:val="en-GB"/>
        </w:rPr>
      </w:pPr>
      <w:r>
        <w:rPr>
          <w:rFonts w:ascii="Arial" w:hAnsi="Arial" w:cs="Arial"/>
          <w:color w:val="222222"/>
          <w:sz w:val="20"/>
          <w:szCs w:val="20"/>
          <w:shd w:val="clear" w:color="auto" w:fill="FFFFFF"/>
        </w:rPr>
        <w:t xml:space="preserve">[18]. </w:t>
      </w:r>
      <w:r w:rsidR="00317DDE" w:rsidRPr="00A06722">
        <w:rPr>
          <w:rFonts w:ascii="Arial" w:hAnsi="Arial" w:cs="Arial"/>
          <w:color w:val="222222"/>
          <w:sz w:val="20"/>
          <w:szCs w:val="20"/>
          <w:shd w:val="clear" w:color="auto" w:fill="FFFFFF"/>
        </w:rPr>
        <w:t>Shahbaz, M., Farhani, S., &amp; Ozturk, I. (2015). Do coal consumption and industrial development increase environmental degradation in China and India?. </w:t>
      </w:r>
      <w:r w:rsidR="00317DDE" w:rsidRPr="00A06722">
        <w:rPr>
          <w:rFonts w:ascii="Arial" w:hAnsi="Arial" w:cs="Arial"/>
          <w:i/>
          <w:iCs/>
          <w:color w:val="222222"/>
          <w:sz w:val="20"/>
          <w:szCs w:val="20"/>
          <w:shd w:val="clear" w:color="auto" w:fill="FFFFFF"/>
        </w:rPr>
        <w:t>Environmental Science and Pollution Research</w:t>
      </w:r>
      <w:r w:rsidR="00317DDE" w:rsidRPr="00A06722">
        <w:rPr>
          <w:rFonts w:ascii="Arial" w:hAnsi="Arial" w:cs="Arial"/>
          <w:color w:val="222222"/>
          <w:sz w:val="20"/>
          <w:szCs w:val="20"/>
          <w:shd w:val="clear" w:color="auto" w:fill="FFFFFF"/>
        </w:rPr>
        <w:t>, </w:t>
      </w:r>
      <w:r w:rsidR="00317DDE" w:rsidRPr="00A06722">
        <w:rPr>
          <w:rFonts w:ascii="Arial" w:hAnsi="Arial" w:cs="Arial"/>
          <w:i/>
          <w:iCs/>
          <w:color w:val="222222"/>
          <w:sz w:val="20"/>
          <w:szCs w:val="20"/>
          <w:shd w:val="clear" w:color="auto" w:fill="FFFFFF"/>
        </w:rPr>
        <w:t>22</w:t>
      </w:r>
      <w:r w:rsidR="00317DDE" w:rsidRPr="00A06722">
        <w:rPr>
          <w:rFonts w:ascii="Arial" w:hAnsi="Arial" w:cs="Arial"/>
          <w:color w:val="222222"/>
          <w:sz w:val="20"/>
          <w:szCs w:val="20"/>
          <w:shd w:val="clear" w:color="auto" w:fill="FFFFFF"/>
        </w:rPr>
        <w:t xml:space="preserve">(5), 3895-3907. </w:t>
      </w:r>
      <w:hyperlink r:id="rId22" w:history="1">
        <w:r w:rsidR="00317DDE" w:rsidRPr="00A06722">
          <w:rPr>
            <w:rStyle w:val="Hyperlink"/>
            <w:rFonts w:ascii="Arial" w:hAnsi="Arial" w:cs="Arial"/>
            <w:color w:val="FF3399"/>
            <w:sz w:val="20"/>
            <w:szCs w:val="20"/>
            <w:lang w:val="en-GB"/>
          </w:rPr>
          <w:t>https://link.springer.com/article/10.1007/s11356-014-3613-1</w:t>
        </w:r>
      </w:hyperlink>
      <w:r w:rsidR="00317DDE" w:rsidRPr="00A06722">
        <w:rPr>
          <w:rFonts w:ascii="Arial" w:hAnsi="Arial" w:cs="Arial"/>
          <w:sz w:val="20"/>
          <w:szCs w:val="20"/>
          <w:lang w:val="en-GB"/>
        </w:rPr>
        <w:t xml:space="preserve"> </w:t>
      </w:r>
    </w:p>
    <w:p w14:paraId="6BD76385" w14:textId="77777777" w:rsidR="00317DDE" w:rsidRPr="00C97CF4" w:rsidRDefault="00DB1116" w:rsidP="00317DDE">
      <w:pPr>
        <w:pStyle w:val="NormalWeb"/>
        <w:ind w:left="720" w:hanging="630"/>
        <w:jc w:val="both"/>
        <w:rPr>
          <w:rStyle w:val="Hyperlink"/>
          <w:rFonts w:ascii="Arial" w:hAnsi="Arial" w:cs="Arial"/>
          <w:sz w:val="20"/>
          <w:szCs w:val="20"/>
        </w:rPr>
      </w:pPr>
      <w:r>
        <w:rPr>
          <w:rFonts w:ascii="Arial" w:hAnsi="Arial" w:cs="Arial"/>
          <w:sz w:val="20"/>
          <w:szCs w:val="20"/>
        </w:rPr>
        <w:lastRenderedPageBreak/>
        <w:t xml:space="preserve">[19]. </w:t>
      </w:r>
      <w:r w:rsidR="00317DDE" w:rsidRPr="00C97CF4">
        <w:rPr>
          <w:rFonts w:ascii="Arial" w:hAnsi="Arial" w:cs="Arial"/>
          <w:sz w:val="20"/>
          <w:szCs w:val="20"/>
        </w:rPr>
        <w:t xml:space="preserve">U.S. Energy Information Administration. (2024). </w:t>
      </w:r>
      <w:r w:rsidR="00317DDE" w:rsidRPr="00C97CF4">
        <w:rPr>
          <w:rStyle w:val="Emphasis"/>
          <w:rFonts w:ascii="Arial" w:hAnsi="Arial" w:cs="Arial"/>
          <w:sz w:val="20"/>
          <w:szCs w:val="20"/>
        </w:rPr>
        <w:t>Country analysis brief: India.</w:t>
      </w:r>
      <w:r w:rsidR="00317DDE" w:rsidRPr="00C97CF4">
        <w:rPr>
          <w:rFonts w:ascii="Arial" w:hAnsi="Arial" w:cs="Arial"/>
          <w:sz w:val="20"/>
          <w:szCs w:val="20"/>
        </w:rPr>
        <w:t xml:space="preserve"> Washington, DC: U.S. Energy Information Administration (EIA). </w:t>
      </w:r>
      <w:hyperlink r:id="rId23" w:tgtFrame="_new" w:history="1">
        <w:r w:rsidR="00317DDE" w:rsidRPr="00C97CF4">
          <w:rPr>
            <w:rStyle w:val="Hyperlink"/>
            <w:rFonts w:ascii="Arial" w:hAnsi="Arial" w:cs="Arial"/>
            <w:color w:val="FF3399"/>
            <w:sz w:val="20"/>
            <w:szCs w:val="20"/>
          </w:rPr>
          <w:t>https://www.eia.gov/international/content/analysis/countries_long/India/pdf/India.pdf</w:t>
        </w:r>
      </w:hyperlink>
    </w:p>
    <w:p w14:paraId="4111E7D7" w14:textId="77777777" w:rsidR="00317DDE" w:rsidRPr="00C97CF4" w:rsidRDefault="00DB1116" w:rsidP="00317DDE">
      <w:pPr>
        <w:ind w:left="720" w:hanging="630"/>
        <w:jc w:val="both"/>
        <w:rPr>
          <w:rFonts w:ascii="Arial" w:hAnsi="Arial" w:cs="Arial"/>
          <w:sz w:val="20"/>
          <w:szCs w:val="20"/>
          <w:shd w:val="clear" w:color="auto" w:fill="FFFFFF"/>
        </w:rPr>
      </w:pPr>
      <w:r>
        <w:rPr>
          <w:rFonts w:ascii="Arial" w:hAnsi="Arial" w:cs="Arial"/>
          <w:sz w:val="20"/>
          <w:szCs w:val="20"/>
          <w:shd w:val="clear" w:color="auto" w:fill="FFFFFF"/>
        </w:rPr>
        <w:t xml:space="preserve">[20]. </w:t>
      </w:r>
      <w:r w:rsidR="00317DDE" w:rsidRPr="00C97CF4">
        <w:rPr>
          <w:rFonts w:ascii="Arial" w:hAnsi="Arial" w:cs="Arial"/>
          <w:sz w:val="20"/>
          <w:szCs w:val="20"/>
          <w:shd w:val="clear" w:color="auto" w:fill="FFFFFF"/>
        </w:rPr>
        <w:t>Wolde-Rufael, Y. (2010). Coal consumption and economic growth revisited. </w:t>
      </w:r>
      <w:r w:rsidR="00317DDE" w:rsidRPr="00C97CF4">
        <w:rPr>
          <w:rFonts w:ascii="Arial" w:hAnsi="Arial" w:cs="Arial"/>
          <w:i/>
          <w:iCs/>
          <w:sz w:val="20"/>
          <w:szCs w:val="20"/>
          <w:shd w:val="clear" w:color="auto" w:fill="FFFFFF"/>
        </w:rPr>
        <w:t>Applied Energy</w:t>
      </w:r>
      <w:r w:rsidR="00317DDE" w:rsidRPr="00C97CF4">
        <w:rPr>
          <w:rFonts w:ascii="Arial" w:hAnsi="Arial" w:cs="Arial"/>
          <w:sz w:val="20"/>
          <w:szCs w:val="20"/>
          <w:shd w:val="clear" w:color="auto" w:fill="FFFFFF"/>
        </w:rPr>
        <w:t>, </w:t>
      </w:r>
      <w:r w:rsidR="00317DDE" w:rsidRPr="00C97CF4">
        <w:rPr>
          <w:rFonts w:ascii="Arial" w:hAnsi="Arial" w:cs="Arial"/>
          <w:i/>
          <w:iCs/>
          <w:sz w:val="20"/>
          <w:szCs w:val="20"/>
          <w:shd w:val="clear" w:color="auto" w:fill="FFFFFF"/>
        </w:rPr>
        <w:t>87</w:t>
      </w:r>
      <w:r w:rsidR="00317DDE" w:rsidRPr="00C97CF4">
        <w:rPr>
          <w:rFonts w:ascii="Arial" w:hAnsi="Arial" w:cs="Arial"/>
          <w:sz w:val="20"/>
          <w:szCs w:val="20"/>
          <w:shd w:val="clear" w:color="auto" w:fill="FFFFFF"/>
        </w:rPr>
        <w:t>(1), 160-167.</w:t>
      </w:r>
    </w:p>
    <w:p w14:paraId="66F80D20" w14:textId="77777777" w:rsidR="00317DDE" w:rsidRDefault="00DB1116" w:rsidP="00317DDE">
      <w:pPr>
        <w:pStyle w:val="NormalWeb"/>
        <w:ind w:left="720" w:hanging="630"/>
        <w:jc w:val="both"/>
      </w:pPr>
      <w:r>
        <w:rPr>
          <w:rFonts w:ascii="Arial" w:hAnsi="Arial" w:cs="Arial"/>
          <w:sz w:val="20"/>
          <w:szCs w:val="20"/>
        </w:rPr>
        <w:t xml:space="preserve">[21]. </w:t>
      </w:r>
      <w:r w:rsidR="00317DDE" w:rsidRPr="00C97CF4">
        <w:rPr>
          <w:rFonts w:ascii="Arial" w:hAnsi="Arial" w:cs="Arial"/>
          <w:sz w:val="20"/>
          <w:szCs w:val="20"/>
        </w:rPr>
        <w:t xml:space="preserve">World Bank. (2024). </w:t>
      </w:r>
      <w:r w:rsidR="00317DDE" w:rsidRPr="00C97CF4">
        <w:rPr>
          <w:rStyle w:val="Emphasis"/>
          <w:rFonts w:ascii="Arial" w:hAnsi="Arial" w:cs="Arial"/>
          <w:sz w:val="20"/>
          <w:szCs w:val="20"/>
        </w:rPr>
        <w:t>World development indicators.</w:t>
      </w:r>
      <w:r w:rsidR="00317DDE" w:rsidRPr="00C97CF4">
        <w:rPr>
          <w:rFonts w:ascii="Arial" w:hAnsi="Arial" w:cs="Arial"/>
          <w:sz w:val="20"/>
          <w:szCs w:val="20"/>
        </w:rPr>
        <w:t xml:space="preserve"> Washington, DC: The World Bank. </w:t>
      </w:r>
      <w:hyperlink r:id="rId24" w:tgtFrame="_new" w:history="1">
        <w:r w:rsidR="00317DDE" w:rsidRPr="00C97CF4">
          <w:rPr>
            <w:rStyle w:val="Hyperlink"/>
            <w:rFonts w:ascii="Arial" w:hAnsi="Arial" w:cs="Arial"/>
            <w:color w:val="FF3399"/>
            <w:sz w:val="20"/>
            <w:szCs w:val="20"/>
          </w:rPr>
          <w:t>https://databank.worldbank.org/source/world-development-indicators</w:t>
        </w:r>
      </w:hyperlink>
    </w:p>
    <w:sectPr w:rsidR="00317DDE" w:rsidSect="00531A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41AC"/>
    <w:multiLevelType w:val="multilevel"/>
    <w:tmpl w:val="4C167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AB3735"/>
    <w:multiLevelType w:val="multilevel"/>
    <w:tmpl w:val="7146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4E7410"/>
    <w:multiLevelType w:val="multilevel"/>
    <w:tmpl w:val="C798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3755A"/>
    <w:multiLevelType w:val="multilevel"/>
    <w:tmpl w:val="B7FE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B2475"/>
    <w:multiLevelType w:val="multilevel"/>
    <w:tmpl w:val="8EA86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C31552"/>
    <w:multiLevelType w:val="multilevel"/>
    <w:tmpl w:val="3E08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D05739"/>
    <w:multiLevelType w:val="multilevel"/>
    <w:tmpl w:val="DE4CCE6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16cid:durableId="1165708843">
    <w:abstractNumId w:val="6"/>
  </w:num>
  <w:num w:numId="2" w16cid:durableId="2000764345">
    <w:abstractNumId w:val="2"/>
  </w:num>
  <w:num w:numId="3" w16cid:durableId="1336302971">
    <w:abstractNumId w:val="1"/>
  </w:num>
  <w:num w:numId="4" w16cid:durableId="195582512">
    <w:abstractNumId w:val="5"/>
  </w:num>
  <w:num w:numId="5" w16cid:durableId="1259212735">
    <w:abstractNumId w:val="0"/>
  </w:num>
  <w:num w:numId="6" w16cid:durableId="242566080">
    <w:abstractNumId w:val="4"/>
  </w:num>
  <w:num w:numId="7" w16cid:durableId="14798772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2173C"/>
    <w:rsid w:val="000014F6"/>
    <w:rsid w:val="00001EB2"/>
    <w:rsid w:val="00002B0E"/>
    <w:rsid w:val="00004E12"/>
    <w:rsid w:val="000056D7"/>
    <w:rsid w:val="00053530"/>
    <w:rsid w:val="0005558C"/>
    <w:rsid w:val="00055E3B"/>
    <w:rsid w:val="00090D5F"/>
    <w:rsid w:val="00091142"/>
    <w:rsid w:val="0009548E"/>
    <w:rsid w:val="000B7A62"/>
    <w:rsid w:val="000C30A0"/>
    <w:rsid w:val="000D3474"/>
    <w:rsid w:val="000E1791"/>
    <w:rsid w:val="000E4C12"/>
    <w:rsid w:val="00111EBC"/>
    <w:rsid w:val="001308CF"/>
    <w:rsid w:val="001319C3"/>
    <w:rsid w:val="00146AC1"/>
    <w:rsid w:val="00156EC2"/>
    <w:rsid w:val="0015728D"/>
    <w:rsid w:val="00160F6E"/>
    <w:rsid w:val="00173F03"/>
    <w:rsid w:val="00174E64"/>
    <w:rsid w:val="00177877"/>
    <w:rsid w:val="00183B3E"/>
    <w:rsid w:val="001A034A"/>
    <w:rsid w:val="001C3031"/>
    <w:rsid w:val="001C4FAA"/>
    <w:rsid w:val="001D0E37"/>
    <w:rsid w:val="001F4E57"/>
    <w:rsid w:val="00206BF3"/>
    <w:rsid w:val="00251FB8"/>
    <w:rsid w:val="002636D7"/>
    <w:rsid w:val="002927A6"/>
    <w:rsid w:val="002B1799"/>
    <w:rsid w:val="002B43AF"/>
    <w:rsid w:val="002C69B8"/>
    <w:rsid w:val="00316484"/>
    <w:rsid w:val="00317DDE"/>
    <w:rsid w:val="003316DF"/>
    <w:rsid w:val="00337625"/>
    <w:rsid w:val="00342A80"/>
    <w:rsid w:val="003501DB"/>
    <w:rsid w:val="0036783F"/>
    <w:rsid w:val="00387669"/>
    <w:rsid w:val="0039094B"/>
    <w:rsid w:val="003B6477"/>
    <w:rsid w:val="003D11F9"/>
    <w:rsid w:val="003D14D7"/>
    <w:rsid w:val="004010E7"/>
    <w:rsid w:val="00441C14"/>
    <w:rsid w:val="00442DBC"/>
    <w:rsid w:val="004536BE"/>
    <w:rsid w:val="00472A7A"/>
    <w:rsid w:val="0047481C"/>
    <w:rsid w:val="00475668"/>
    <w:rsid w:val="00484D22"/>
    <w:rsid w:val="00485F0F"/>
    <w:rsid w:val="00494B57"/>
    <w:rsid w:val="004B0454"/>
    <w:rsid w:val="004F218A"/>
    <w:rsid w:val="00531A19"/>
    <w:rsid w:val="00552E2D"/>
    <w:rsid w:val="0056076F"/>
    <w:rsid w:val="00566E18"/>
    <w:rsid w:val="0057713E"/>
    <w:rsid w:val="00581539"/>
    <w:rsid w:val="00586193"/>
    <w:rsid w:val="00593408"/>
    <w:rsid w:val="005B5874"/>
    <w:rsid w:val="005D1BBB"/>
    <w:rsid w:val="005E33C4"/>
    <w:rsid w:val="005E4919"/>
    <w:rsid w:val="005E7DC5"/>
    <w:rsid w:val="005F1E1C"/>
    <w:rsid w:val="0061554C"/>
    <w:rsid w:val="006435D7"/>
    <w:rsid w:val="00654BF2"/>
    <w:rsid w:val="00665669"/>
    <w:rsid w:val="00670327"/>
    <w:rsid w:val="00677F4C"/>
    <w:rsid w:val="006B6E5E"/>
    <w:rsid w:val="0070287B"/>
    <w:rsid w:val="00711351"/>
    <w:rsid w:val="00730BD2"/>
    <w:rsid w:val="00741215"/>
    <w:rsid w:val="0075007D"/>
    <w:rsid w:val="00773771"/>
    <w:rsid w:val="007746D5"/>
    <w:rsid w:val="00774A46"/>
    <w:rsid w:val="00791796"/>
    <w:rsid w:val="007C7755"/>
    <w:rsid w:val="00804AC3"/>
    <w:rsid w:val="00830A8B"/>
    <w:rsid w:val="008751F4"/>
    <w:rsid w:val="008962E1"/>
    <w:rsid w:val="008969CA"/>
    <w:rsid w:val="008C0AF1"/>
    <w:rsid w:val="008C4AE3"/>
    <w:rsid w:val="008C6CF8"/>
    <w:rsid w:val="008D49F6"/>
    <w:rsid w:val="008E02CC"/>
    <w:rsid w:val="008E400C"/>
    <w:rsid w:val="009146A8"/>
    <w:rsid w:val="00926D76"/>
    <w:rsid w:val="009304E4"/>
    <w:rsid w:val="00932C5F"/>
    <w:rsid w:val="009833BB"/>
    <w:rsid w:val="00985BEF"/>
    <w:rsid w:val="009C5125"/>
    <w:rsid w:val="009D55DD"/>
    <w:rsid w:val="009E5694"/>
    <w:rsid w:val="009F303D"/>
    <w:rsid w:val="009F3298"/>
    <w:rsid w:val="00A06722"/>
    <w:rsid w:val="00A136F8"/>
    <w:rsid w:val="00A16A15"/>
    <w:rsid w:val="00A32B07"/>
    <w:rsid w:val="00A366A7"/>
    <w:rsid w:val="00A82CCA"/>
    <w:rsid w:val="00A90CF3"/>
    <w:rsid w:val="00AA64FA"/>
    <w:rsid w:val="00AC524A"/>
    <w:rsid w:val="00AD271C"/>
    <w:rsid w:val="00AD30A6"/>
    <w:rsid w:val="00B277E8"/>
    <w:rsid w:val="00B3139C"/>
    <w:rsid w:val="00B34B26"/>
    <w:rsid w:val="00B52C7F"/>
    <w:rsid w:val="00B61608"/>
    <w:rsid w:val="00BB3A37"/>
    <w:rsid w:val="00BF02FB"/>
    <w:rsid w:val="00C01EC5"/>
    <w:rsid w:val="00C066CC"/>
    <w:rsid w:val="00C4310D"/>
    <w:rsid w:val="00C71C8D"/>
    <w:rsid w:val="00C8796E"/>
    <w:rsid w:val="00C97CF4"/>
    <w:rsid w:val="00CA42C9"/>
    <w:rsid w:val="00CA670A"/>
    <w:rsid w:val="00CC5A1B"/>
    <w:rsid w:val="00CC5B04"/>
    <w:rsid w:val="00CD5385"/>
    <w:rsid w:val="00CD6FA0"/>
    <w:rsid w:val="00CE0211"/>
    <w:rsid w:val="00CE25D5"/>
    <w:rsid w:val="00CE2B18"/>
    <w:rsid w:val="00CF3911"/>
    <w:rsid w:val="00D04BC5"/>
    <w:rsid w:val="00D14814"/>
    <w:rsid w:val="00D37361"/>
    <w:rsid w:val="00D54C02"/>
    <w:rsid w:val="00D5539D"/>
    <w:rsid w:val="00D66983"/>
    <w:rsid w:val="00D72CF5"/>
    <w:rsid w:val="00D84BE6"/>
    <w:rsid w:val="00D85664"/>
    <w:rsid w:val="00DA18BB"/>
    <w:rsid w:val="00DA3545"/>
    <w:rsid w:val="00DA44C3"/>
    <w:rsid w:val="00DA6295"/>
    <w:rsid w:val="00DB1116"/>
    <w:rsid w:val="00E14106"/>
    <w:rsid w:val="00E14628"/>
    <w:rsid w:val="00E14795"/>
    <w:rsid w:val="00E174A1"/>
    <w:rsid w:val="00E2173C"/>
    <w:rsid w:val="00E272CC"/>
    <w:rsid w:val="00E332F8"/>
    <w:rsid w:val="00E93089"/>
    <w:rsid w:val="00EA3021"/>
    <w:rsid w:val="00EA729C"/>
    <w:rsid w:val="00EA7B80"/>
    <w:rsid w:val="00EB0D04"/>
    <w:rsid w:val="00EE08A9"/>
    <w:rsid w:val="00EF0BEE"/>
    <w:rsid w:val="00EF5B83"/>
    <w:rsid w:val="00F13939"/>
    <w:rsid w:val="00F41C48"/>
    <w:rsid w:val="00FA0D70"/>
    <w:rsid w:val="00FC7E2C"/>
    <w:rsid w:val="00FD3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2D1532"/>
  <w15:docId w15:val="{F716AEBC-B507-4A56-90A8-8D005993B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34A"/>
  </w:style>
  <w:style w:type="paragraph" w:styleId="Heading3">
    <w:name w:val="heading 3"/>
    <w:basedOn w:val="Normal"/>
    <w:next w:val="Normal"/>
    <w:link w:val="Heading3Char"/>
    <w:uiPriority w:val="9"/>
    <w:unhideWhenUsed/>
    <w:qFormat/>
    <w:rsid w:val="00E2173C"/>
    <w:pPr>
      <w:keepNext/>
      <w:keepLines/>
      <w:spacing w:before="200" w:after="0" w:line="259" w:lineRule="auto"/>
      <w:outlineLvl w:val="2"/>
    </w:pPr>
    <w:rPr>
      <w:rFonts w:asciiTheme="majorHAnsi" w:eastAsiaTheme="majorEastAsia" w:hAnsiTheme="majorHAnsi" w:cstheme="majorBidi"/>
      <w:b/>
      <w:bCs/>
      <w:color w:val="4F81BD" w:themeColor="accent1"/>
      <w:lang w:val="en-IN"/>
    </w:rPr>
  </w:style>
  <w:style w:type="paragraph" w:styleId="Heading4">
    <w:name w:val="heading 4"/>
    <w:basedOn w:val="Normal"/>
    <w:next w:val="Normal"/>
    <w:link w:val="Heading4Char"/>
    <w:uiPriority w:val="9"/>
    <w:semiHidden/>
    <w:unhideWhenUsed/>
    <w:qFormat/>
    <w:rsid w:val="001319C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qFormat/>
    <w:rsid w:val="00E2173C"/>
    <w:rPr>
      <w:color w:val="0000FF"/>
      <w:u w:val="single"/>
    </w:rPr>
  </w:style>
  <w:style w:type="character" w:styleId="Strong">
    <w:name w:val="Strong"/>
    <w:basedOn w:val="DefaultParagraphFont"/>
    <w:uiPriority w:val="22"/>
    <w:qFormat/>
    <w:rsid w:val="00E2173C"/>
    <w:rPr>
      <w:b/>
      <w:bCs/>
    </w:rPr>
  </w:style>
  <w:style w:type="paragraph" w:styleId="ListParagraph">
    <w:name w:val="List Paragraph"/>
    <w:basedOn w:val="Normal"/>
    <w:uiPriority w:val="34"/>
    <w:qFormat/>
    <w:rsid w:val="00E2173C"/>
    <w:pPr>
      <w:spacing w:after="160" w:line="259" w:lineRule="auto"/>
      <w:ind w:left="720"/>
      <w:contextualSpacing/>
    </w:pPr>
    <w:rPr>
      <w:lang w:val="en-IN"/>
    </w:rPr>
  </w:style>
  <w:style w:type="character" w:customStyle="1" w:styleId="Heading3Char">
    <w:name w:val="Heading 3 Char"/>
    <w:basedOn w:val="DefaultParagraphFont"/>
    <w:link w:val="Heading3"/>
    <w:uiPriority w:val="9"/>
    <w:rsid w:val="00E2173C"/>
    <w:rPr>
      <w:rFonts w:asciiTheme="majorHAnsi" w:eastAsiaTheme="majorEastAsia" w:hAnsiTheme="majorHAnsi" w:cstheme="majorBidi"/>
      <w:b/>
      <w:bCs/>
      <w:color w:val="4F81BD" w:themeColor="accent1"/>
      <w:lang w:val="en-IN"/>
    </w:rPr>
  </w:style>
  <w:style w:type="paragraph" w:styleId="NormalWeb">
    <w:name w:val="Normal (Web)"/>
    <w:basedOn w:val="Normal"/>
    <w:uiPriority w:val="99"/>
    <w:unhideWhenUsed/>
    <w:rsid w:val="00C01E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1EC5"/>
    <w:rPr>
      <w:i/>
      <w:iCs/>
    </w:rPr>
  </w:style>
  <w:style w:type="character" w:customStyle="1" w:styleId="katex-mathml">
    <w:name w:val="katex-mathml"/>
    <w:basedOn w:val="DefaultParagraphFont"/>
    <w:rsid w:val="001319C3"/>
  </w:style>
  <w:style w:type="character" w:customStyle="1" w:styleId="mord">
    <w:name w:val="mord"/>
    <w:basedOn w:val="DefaultParagraphFont"/>
    <w:rsid w:val="001319C3"/>
  </w:style>
  <w:style w:type="character" w:customStyle="1" w:styleId="vlist-s">
    <w:name w:val="vlist-s"/>
    <w:basedOn w:val="DefaultParagraphFont"/>
    <w:rsid w:val="001319C3"/>
  </w:style>
  <w:style w:type="character" w:customStyle="1" w:styleId="mrel">
    <w:name w:val="mrel"/>
    <w:basedOn w:val="DefaultParagraphFont"/>
    <w:rsid w:val="001319C3"/>
  </w:style>
  <w:style w:type="character" w:customStyle="1" w:styleId="mop">
    <w:name w:val="mop"/>
    <w:basedOn w:val="DefaultParagraphFont"/>
    <w:rsid w:val="001319C3"/>
  </w:style>
  <w:style w:type="character" w:customStyle="1" w:styleId="mopen">
    <w:name w:val="mopen"/>
    <w:basedOn w:val="DefaultParagraphFont"/>
    <w:rsid w:val="001319C3"/>
  </w:style>
  <w:style w:type="character" w:customStyle="1" w:styleId="mclose">
    <w:name w:val="mclose"/>
    <w:basedOn w:val="DefaultParagraphFont"/>
    <w:rsid w:val="001319C3"/>
  </w:style>
  <w:style w:type="character" w:customStyle="1" w:styleId="mbin">
    <w:name w:val="mbin"/>
    <w:basedOn w:val="DefaultParagraphFont"/>
    <w:rsid w:val="001319C3"/>
  </w:style>
  <w:style w:type="character" w:customStyle="1" w:styleId="mpunct">
    <w:name w:val="mpunct"/>
    <w:basedOn w:val="DefaultParagraphFont"/>
    <w:rsid w:val="001319C3"/>
  </w:style>
  <w:style w:type="character" w:customStyle="1" w:styleId="Heading4Char">
    <w:name w:val="Heading 4 Char"/>
    <w:basedOn w:val="DefaultParagraphFont"/>
    <w:link w:val="Heading4"/>
    <w:uiPriority w:val="9"/>
    <w:semiHidden/>
    <w:rsid w:val="001319C3"/>
    <w:rPr>
      <w:rFonts w:asciiTheme="majorHAnsi" w:eastAsiaTheme="majorEastAsia" w:hAnsiTheme="majorHAnsi" w:cstheme="majorBidi"/>
      <w:b/>
      <w:bCs/>
      <w:i/>
      <w:iCs/>
      <w:color w:val="4F81BD" w:themeColor="accent1"/>
    </w:rPr>
  </w:style>
  <w:style w:type="character" w:customStyle="1" w:styleId="delimsizing">
    <w:name w:val="delimsizing"/>
    <w:basedOn w:val="DefaultParagraphFont"/>
    <w:rsid w:val="001319C3"/>
  </w:style>
  <w:style w:type="paragraph" w:styleId="BalloonText">
    <w:name w:val="Balloon Text"/>
    <w:basedOn w:val="Normal"/>
    <w:link w:val="BalloonTextChar"/>
    <w:uiPriority w:val="99"/>
    <w:semiHidden/>
    <w:unhideWhenUsed/>
    <w:rsid w:val="008751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1F4"/>
    <w:rPr>
      <w:rFonts w:ascii="Tahoma" w:hAnsi="Tahoma" w:cs="Tahoma"/>
      <w:sz w:val="16"/>
      <w:szCs w:val="16"/>
    </w:rPr>
  </w:style>
  <w:style w:type="paragraph" w:customStyle="1" w:styleId="ReferHead">
    <w:name w:val="Refer Head"/>
    <w:basedOn w:val="Normal"/>
    <w:rsid w:val="00D04BC5"/>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158357">
      <w:bodyDiv w:val="1"/>
      <w:marLeft w:val="0"/>
      <w:marRight w:val="0"/>
      <w:marTop w:val="0"/>
      <w:marBottom w:val="0"/>
      <w:divBdr>
        <w:top w:val="none" w:sz="0" w:space="0" w:color="auto"/>
        <w:left w:val="none" w:sz="0" w:space="0" w:color="auto"/>
        <w:bottom w:val="none" w:sz="0" w:space="0" w:color="auto"/>
        <w:right w:val="none" w:sz="0" w:space="0" w:color="auto"/>
      </w:divBdr>
    </w:div>
    <w:div w:id="169953184">
      <w:bodyDiv w:val="1"/>
      <w:marLeft w:val="0"/>
      <w:marRight w:val="0"/>
      <w:marTop w:val="0"/>
      <w:marBottom w:val="0"/>
      <w:divBdr>
        <w:top w:val="none" w:sz="0" w:space="0" w:color="auto"/>
        <w:left w:val="none" w:sz="0" w:space="0" w:color="auto"/>
        <w:bottom w:val="none" w:sz="0" w:space="0" w:color="auto"/>
        <w:right w:val="none" w:sz="0" w:space="0" w:color="auto"/>
      </w:divBdr>
    </w:div>
    <w:div w:id="263461598">
      <w:bodyDiv w:val="1"/>
      <w:marLeft w:val="0"/>
      <w:marRight w:val="0"/>
      <w:marTop w:val="0"/>
      <w:marBottom w:val="0"/>
      <w:divBdr>
        <w:top w:val="none" w:sz="0" w:space="0" w:color="auto"/>
        <w:left w:val="none" w:sz="0" w:space="0" w:color="auto"/>
        <w:bottom w:val="none" w:sz="0" w:space="0" w:color="auto"/>
        <w:right w:val="none" w:sz="0" w:space="0" w:color="auto"/>
      </w:divBdr>
    </w:div>
    <w:div w:id="268203255">
      <w:bodyDiv w:val="1"/>
      <w:marLeft w:val="0"/>
      <w:marRight w:val="0"/>
      <w:marTop w:val="0"/>
      <w:marBottom w:val="0"/>
      <w:divBdr>
        <w:top w:val="none" w:sz="0" w:space="0" w:color="auto"/>
        <w:left w:val="none" w:sz="0" w:space="0" w:color="auto"/>
        <w:bottom w:val="none" w:sz="0" w:space="0" w:color="auto"/>
        <w:right w:val="none" w:sz="0" w:space="0" w:color="auto"/>
      </w:divBdr>
    </w:div>
    <w:div w:id="365180195">
      <w:bodyDiv w:val="1"/>
      <w:marLeft w:val="0"/>
      <w:marRight w:val="0"/>
      <w:marTop w:val="0"/>
      <w:marBottom w:val="0"/>
      <w:divBdr>
        <w:top w:val="none" w:sz="0" w:space="0" w:color="auto"/>
        <w:left w:val="none" w:sz="0" w:space="0" w:color="auto"/>
        <w:bottom w:val="none" w:sz="0" w:space="0" w:color="auto"/>
        <w:right w:val="none" w:sz="0" w:space="0" w:color="auto"/>
      </w:divBdr>
    </w:div>
    <w:div w:id="399132422">
      <w:bodyDiv w:val="1"/>
      <w:marLeft w:val="0"/>
      <w:marRight w:val="0"/>
      <w:marTop w:val="0"/>
      <w:marBottom w:val="0"/>
      <w:divBdr>
        <w:top w:val="none" w:sz="0" w:space="0" w:color="auto"/>
        <w:left w:val="none" w:sz="0" w:space="0" w:color="auto"/>
        <w:bottom w:val="none" w:sz="0" w:space="0" w:color="auto"/>
        <w:right w:val="none" w:sz="0" w:space="0" w:color="auto"/>
      </w:divBdr>
    </w:div>
    <w:div w:id="471170327">
      <w:bodyDiv w:val="1"/>
      <w:marLeft w:val="0"/>
      <w:marRight w:val="0"/>
      <w:marTop w:val="0"/>
      <w:marBottom w:val="0"/>
      <w:divBdr>
        <w:top w:val="none" w:sz="0" w:space="0" w:color="auto"/>
        <w:left w:val="none" w:sz="0" w:space="0" w:color="auto"/>
        <w:bottom w:val="none" w:sz="0" w:space="0" w:color="auto"/>
        <w:right w:val="none" w:sz="0" w:space="0" w:color="auto"/>
      </w:divBdr>
    </w:div>
    <w:div w:id="524949106">
      <w:bodyDiv w:val="1"/>
      <w:marLeft w:val="0"/>
      <w:marRight w:val="0"/>
      <w:marTop w:val="0"/>
      <w:marBottom w:val="0"/>
      <w:divBdr>
        <w:top w:val="none" w:sz="0" w:space="0" w:color="auto"/>
        <w:left w:val="none" w:sz="0" w:space="0" w:color="auto"/>
        <w:bottom w:val="none" w:sz="0" w:space="0" w:color="auto"/>
        <w:right w:val="none" w:sz="0" w:space="0" w:color="auto"/>
      </w:divBdr>
    </w:div>
    <w:div w:id="527183070">
      <w:bodyDiv w:val="1"/>
      <w:marLeft w:val="0"/>
      <w:marRight w:val="0"/>
      <w:marTop w:val="0"/>
      <w:marBottom w:val="0"/>
      <w:divBdr>
        <w:top w:val="none" w:sz="0" w:space="0" w:color="auto"/>
        <w:left w:val="none" w:sz="0" w:space="0" w:color="auto"/>
        <w:bottom w:val="none" w:sz="0" w:space="0" w:color="auto"/>
        <w:right w:val="none" w:sz="0" w:space="0" w:color="auto"/>
      </w:divBdr>
    </w:div>
    <w:div w:id="576941227">
      <w:bodyDiv w:val="1"/>
      <w:marLeft w:val="0"/>
      <w:marRight w:val="0"/>
      <w:marTop w:val="0"/>
      <w:marBottom w:val="0"/>
      <w:divBdr>
        <w:top w:val="none" w:sz="0" w:space="0" w:color="auto"/>
        <w:left w:val="none" w:sz="0" w:space="0" w:color="auto"/>
        <w:bottom w:val="none" w:sz="0" w:space="0" w:color="auto"/>
        <w:right w:val="none" w:sz="0" w:space="0" w:color="auto"/>
      </w:divBdr>
    </w:div>
    <w:div w:id="591668875">
      <w:bodyDiv w:val="1"/>
      <w:marLeft w:val="0"/>
      <w:marRight w:val="0"/>
      <w:marTop w:val="0"/>
      <w:marBottom w:val="0"/>
      <w:divBdr>
        <w:top w:val="none" w:sz="0" w:space="0" w:color="auto"/>
        <w:left w:val="none" w:sz="0" w:space="0" w:color="auto"/>
        <w:bottom w:val="none" w:sz="0" w:space="0" w:color="auto"/>
        <w:right w:val="none" w:sz="0" w:space="0" w:color="auto"/>
      </w:divBdr>
    </w:div>
    <w:div w:id="611592597">
      <w:bodyDiv w:val="1"/>
      <w:marLeft w:val="0"/>
      <w:marRight w:val="0"/>
      <w:marTop w:val="0"/>
      <w:marBottom w:val="0"/>
      <w:divBdr>
        <w:top w:val="none" w:sz="0" w:space="0" w:color="auto"/>
        <w:left w:val="none" w:sz="0" w:space="0" w:color="auto"/>
        <w:bottom w:val="none" w:sz="0" w:space="0" w:color="auto"/>
        <w:right w:val="none" w:sz="0" w:space="0" w:color="auto"/>
      </w:divBdr>
    </w:div>
    <w:div w:id="714082081">
      <w:bodyDiv w:val="1"/>
      <w:marLeft w:val="0"/>
      <w:marRight w:val="0"/>
      <w:marTop w:val="0"/>
      <w:marBottom w:val="0"/>
      <w:divBdr>
        <w:top w:val="none" w:sz="0" w:space="0" w:color="auto"/>
        <w:left w:val="none" w:sz="0" w:space="0" w:color="auto"/>
        <w:bottom w:val="none" w:sz="0" w:space="0" w:color="auto"/>
        <w:right w:val="none" w:sz="0" w:space="0" w:color="auto"/>
      </w:divBdr>
    </w:div>
    <w:div w:id="768235285">
      <w:bodyDiv w:val="1"/>
      <w:marLeft w:val="0"/>
      <w:marRight w:val="0"/>
      <w:marTop w:val="0"/>
      <w:marBottom w:val="0"/>
      <w:divBdr>
        <w:top w:val="none" w:sz="0" w:space="0" w:color="auto"/>
        <w:left w:val="none" w:sz="0" w:space="0" w:color="auto"/>
        <w:bottom w:val="none" w:sz="0" w:space="0" w:color="auto"/>
        <w:right w:val="none" w:sz="0" w:space="0" w:color="auto"/>
      </w:divBdr>
    </w:div>
    <w:div w:id="829831279">
      <w:bodyDiv w:val="1"/>
      <w:marLeft w:val="0"/>
      <w:marRight w:val="0"/>
      <w:marTop w:val="0"/>
      <w:marBottom w:val="0"/>
      <w:divBdr>
        <w:top w:val="none" w:sz="0" w:space="0" w:color="auto"/>
        <w:left w:val="none" w:sz="0" w:space="0" w:color="auto"/>
        <w:bottom w:val="none" w:sz="0" w:space="0" w:color="auto"/>
        <w:right w:val="none" w:sz="0" w:space="0" w:color="auto"/>
      </w:divBdr>
    </w:div>
    <w:div w:id="857037325">
      <w:bodyDiv w:val="1"/>
      <w:marLeft w:val="0"/>
      <w:marRight w:val="0"/>
      <w:marTop w:val="0"/>
      <w:marBottom w:val="0"/>
      <w:divBdr>
        <w:top w:val="none" w:sz="0" w:space="0" w:color="auto"/>
        <w:left w:val="none" w:sz="0" w:space="0" w:color="auto"/>
        <w:bottom w:val="none" w:sz="0" w:space="0" w:color="auto"/>
        <w:right w:val="none" w:sz="0" w:space="0" w:color="auto"/>
      </w:divBdr>
    </w:div>
    <w:div w:id="906259425">
      <w:bodyDiv w:val="1"/>
      <w:marLeft w:val="0"/>
      <w:marRight w:val="0"/>
      <w:marTop w:val="0"/>
      <w:marBottom w:val="0"/>
      <w:divBdr>
        <w:top w:val="none" w:sz="0" w:space="0" w:color="auto"/>
        <w:left w:val="none" w:sz="0" w:space="0" w:color="auto"/>
        <w:bottom w:val="none" w:sz="0" w:space="0" w:color="auto"/>
        <w:right w:val="none" w:sz="0" w:space="0" w:color="auto"/>
      </w:divBdr>
    </w:div>
    <w:div w:id="972951992">
      <w:bodyDiv w:val="1"/>
      <w:marLeft w:val="0"/>
      <w:marRight w:val="0"/>
      <w:marTop w:val="0"/>
      <w:marBottom w:val="0"/>
      <w:divBdr>
        <w:top w:val="none" w:sz="0" w:space="0" w:color="auto"/>
        <w:left w:val="none" w:sz="0" w:space="0" w:color="auto"/>
        <w:bottom w:val="none" w:sz="0" w:space="0" w:color="auto"/>
        <w:right w:val="none" w:sz="0" w:space="0" w:color="auto"/>
      </w:divBdr>
    </w:div>
    <w:div w:id="985163450">
      <w:bodyDiv w:val="1"/>
      <w:marLeft w:val="0"/>
      <w:marRight w:val="0"/>
      <w:marTop w:val="0"/>
      <w:marBottom w:val="0"/>
      <w:divBdr>
        <w:top w:val="none" w:sz="0" w:space="0" w:color="auto"/>
        <w:left w:val="none" w:sz="0" w:space="0" w:color="auto"/>
        <w:bottom w:val="none" w:sz="0" w:space="0" w:color="auto"/>
        <w:right w:val="none" w:sz="0" w:space="0" w:color="auto"/>
      </w:divBdr>
    </w:div>
    <w:div w:id="1019039221">
      <w:bodyDiv w:val="1"/>
      <w:marLeft w:val="0"/>
      <w:marRight w:val="0"/>
      <w:marTop w:val="0"/>
      <w:marBottom w:val="0"/>
      <w:divBdr>
        <w:top w:val="none" w:sz="0" w:space="0" w:color="auto"/>
        <w:left w:val="none" w:sz="0" w:space="0" w:color="auto"/>
        <w:bottom w:val="none" w:sz="0" w:space="0" w:color="auto"/>
        <w:right w:val="none" w:sz="0" w:space="0" w:color="auto"/>
      </w:divBdr>
    </w:div>
    <w:div w:id="1049449791">
      <w:bodyDiv w:val="1"/>
      <w:marLeft w:val="0"/>
      <w:marRight w:val="0"/>
      <w:marTop w:val="0"/>
      <w:marBottom w:val="0"/>
      <w:divBdr>
        <w:top w:val="none" w:sz="0" w:space="0" w:color="auto"/>
        <w:left w:val="none" w:sz="0" w:space="0" w:color="auto"/>
        <w:bottom w:val="none" w:sz="0" w:space="0" w:color="auto"/>
        <w:right w:val="none" w:sz="0" w:space="0" w:color="auto"/>
      </w:divBdr>
    </w:div>
    <w:div w:id="1213347894">
      <w:bodyDiv w:val="1"/>
      <w:marLeft w:val="0"/>
      <w:marRight w:val="0"/>
      <w:marTop w:val="0"/>
      <w:marBottom w:val="0"/>
      <w:divBdr>
        <w:top w:val="none" w:sz="0" w:space="0" w:color="auto"/>
        <w:left w:val="none" w:sz="0" w:space="0" w:color="auto"/>
        <w:bottom w:val="none" w:sz="0" w:space="0" w:color="auto"/>
        <w:right w:val="none" w:sz="0" w:space="0" w:color="auto"/>
      </w:divBdr>
    </w:div>
    <w:div w:id="1240366206">
      <w:bodyDiv w:val="1"/>
      <w:marLeft w:val="0"/>
      <w:marRight w:val="0"/>
      <w:marTop w:val="0"/>
      <w:marBottom w:val="0"/>
      <w:divBdr>
        <w:top w:val="none" w:sz="0" w:space="0" w:color="auto"/>
        <w:left w:val="none" w:sz="0" w:space="0" w:color="auto"/>
        <w:bottom w:val="none" w:sz="0" w:space="0" w:color="auto"/>
        <w:right w:val="none" w:sz="0" w:space="0" w:color="auto"/>
      </w:divBdr>
    </w:div>
    <w:div w:id="1331373747">
      <w:bodyDiv w:val="1"/>
      <w:marLeft w:val="0"/>
      <w:marRight w:val="0"/>
      <w:marTop w:val="0"/>
      <w:marBottom w:val="0"/>
      <w:divBdr>
        <w:top w:val="none" w:sz="0" w:space="0" w:color="auto"/>
        <w:left w:val="none" w:sz="0" w:space="0" w:color="auto"/>
        <w:bottom w:val="none" w:sz="0" w:space="0" w:color="auto"/>
        <w:right w:val="none" w:sz="0" w:space="0" w:color="auto"/>
      </w:divBdr>
    </w:div>
    <w:div w:id="1349598485">
      <w:bodyDiv w:val="1"/>
      <w:marLeft w:val="0"/>
      <w:marRight w:val="0"/>
      <w:marTop w:val="0"/>
      <w:marBottom w:val="0"/>
      <w:divBdr>
        <w:top w:val="none" w:sz="0" w:space="0" w:color="auto"/>
        <w:left w:val="none" w:sz="0" w:space="0" w:color="auto"/>
        <w:bottom w:val="none" w:sz="0" w:space="0" w:color="auto"/>
        <w:right w:val="none" w:sz="0" w:space="0" w:color="auto"/>
      </w:divBdr>
    </w:div>
    <w:div w:id="1370952718">
      <w:bodyDiv w:val="1"/>
      <w:marLeft w:val="0"/>
      <w:marRight w:val="0"/>
      <w:marTop w:val="0"/>
      <w:marBottom w:val="0"/>
      <w:divBdr>
        <w:top w:val="none" w:sz="0" w:space="0" w:color="auto"/>
        <w:left w:val="none" w:sz="0" w:space="0" w:color="auto"/>
        <w:bottom w:val="none" w:sz="0" w:space="0" w:color="auto"/>
        <w:right w:val="none" w:sz="0" w:space="0" w:color="auto"/>
      </w:divBdr>
    </w:div>
    <w:div w:id="1377463131">
      <w:bodyDiv w:val="1"/>
      <w:marLeft w:val="0"/>
      <w:marRight w:val="0"/>
      <w:marTop w:val="0"/>
      <w:marBottom w:val="0"/>
      <w:divBdr>
        <w:top w:val="none" w:sz="0" w:space="0" w:color="auto"/>
        <w:left w:val="none" w:sz="0" w:space="0" w:color="auto"/>
        <w:bottom w:val="none" w:sz="0" w:space="0" w:color="auto"/>
        <w:right w:val="none" w:sz="0" w:space="0" w:color="auto"/>
      </w:divBdr>
    </w:div>
    <w:div w:id="1479028626">
      <w:bodyDiv w:val="1"/>
      <w:marLeft w:val="0"/>
      <w:marRight w:val="0"/>
      <w:marTop w:val="0"/>
      <w:marBottom w:val="0"/>
      <w:divBdr>
        <w:top w:val="none" w:sz="0" w:space="0" w:color="auto"/>
        <w:left w:val="none" w:sz="0" w:space="0" w:color="auto"/>
        <w:bottom w:val="none" w:sz="0" w:space="0" w:color="auto"/>
        <w:right w:val="none" w:sz="0" w:space="0" w:color="auto"/>
      </w:divBdr>
    </w:div>
    <w:div w:id="1631865458">
      <w:bodyDiv w:val="1"/>
      <w:marLeft w:val="0"/>
      <w:marRight w:val="0"/>
      <w:marTop w:val="0"/>
      <w:marBottom w:val="0"/>
      <w:divBdr>
        <w:top w:val="none" w:sz="0" w:space="0" w:color="auto"/>
        <w:left w:val="none" w:sz="0" w:space="0" w:color="auto"/>
        <w:bottom w:val="none" w:sz="0" w:space="0" w:color="auto"/>
        <w:right w:val="none" w:sz="0" w:space="0" w:color="auto"/>
      </w:divBdr>
    </w:div>
    <w:div w:id="1736051073">
      <w:bodyDiv w:val="1"/>
      <w:marLeft w:val="0"/>
      <w:marRight w:val="0"/>
      <w:marTop w:val="0"/>
      <w:marBottom w:val="0"/>
      <w:divBdr>
        <w:top w:val="none" w:sz="0" w:space="0" w:color="auto"/>
        <w:left w:val="none" w:sz="0" w:space="0" w:color="auto"/>
        <w:bottom w:val="none" w:sz="0" w:space="0" w:color="auto"/>
        <w:right w:val="none" w:sz="0" w:space="0" w:color="auto"/>
      </w:divBdr>
    </w:div>
    <w:div w:id="1819302243">
      <w:bodyDiv w:val="1"/>
      <w:marLeft w:val="0"/>
      <w:marRight w:val="0"/>
      <w:marTop w:val="0"/>
      <w:marBottom w:val="0"/>
      <w:divBdr>
        <w:top w:val="none" w:sz="0" w:space="0" w:color="auto"/>
        <w:left w:val="none" w:sz="0" w:space="0" w:color="auto"/>
        <w:bottom w:val="none" w:sz="0" w:space="0" w:color="auto"/>
        <w:right w:val="none" w:sz="0" w:space="0" w:color="auto"/>
      </w:divBdr>
    </w:div>
    <w:div w:id="1850021110">
      <w:bodyDiv w:val="1"/>
      <w:marLeft w:val="0"/>
      <w:marRight w:val="0"/>
      <w:marTop w:val="0"/>
      <w:marBottom w:val="0"/>
      <w:divBdr>
        <w:top w:val="none" w:sz="0" w:space="0" w:color="auto"/>
        <w:left w:val="none" w:sz="0" w:space="0" w:color="auto"/>
        <w:bottom w:val="none" w:sz="0" w:space="0" w:color="auto"/>
        <w:right w:val="none" w:sz="0" w:space="0" w:color="auto"/>
      </w:divBdr>
    </w:div>
    <w:div w:id="1856728321">
      <w:bodyDiv w:val="1"/>
      <w:marLeft w:val="0"/>
      <w:marRight w:val="0"/>
      <w:marTop w:val="0"/>
      <w:marBottom w:val="0"/>
      <w:divBdr>
        <w:top w:val="none" w:sz="0" w:space="0" w:color="auto"/>
        <w:left w:val="none" w:sz="0" w:space="0" w:color="auto"/>
        <w:bottom w:val="none" w:sz="0" w:space="0" w:color="auto"/>
        <w:right w:val="none" w:sz="0" w:space="0" w:color="auto"/>
      </w:divBdr>
    </w:div>
    <w:div w:id="1923491095">
      <w:bodyDiv w:val="1"/>
      <w:marLeft w:val="0"/>
      <w:marRight w:val="0"/>
      <w:marTop w:val="0"/>
      <w:marBottom w:val="0"/>
      <w:divBdr>
        <w:top w:val="none" w:sz="0" w:space="0" w:color="auto"/>
        <w:left w:val="none" w:sz="0" w:space="0" w:color="auto"/>
        <w:bottom w:val="none" w:sz="0" w:space="0" w:color="auto"/>
        <w:right w:val="none" w:sz="0" w:space="0" w:color="auto"/>
      </w:divBdr>
    </w:div>
    <w:div w:id="1944150620">
      <w:bodyDiv w:val="1"/>
      <w:marLeft w:val="0"/>
      <w:marRight w:val="0"/>
      <w:marTop w:val="0"/>
      <w:marBottom w:val="0"/>
      <w:divBdr>
        <w:top w:val="none" w:sz="0" w:space="0" w:color="auto"/>
        <w:left w:val="none" w:sz="0" w:space="0" w:color="auto"/>
        <w:bottom w:val="none" w:sz="0" w:space="0" w:color="auto"/>
        <w:right w:val="none" w:sz="0" w:space="0" w:color="auto"/>
      </w:divBdr>
    </w:div>
    <w:div w:id="1955407153">
      <w:bodyDiv w:val="1"/>
      <w:marLeft w:val="0"/>
      <w:marRight w:val="0"/>
      <w:marTop w:val="0"/>
      <w:marBottom w:val="0"/>
      <w:divBdr>
        <w:top w:val="none" w:sz="0" w:space="0" w:color="auto"/>
        <w:left w:val="none" w:sz="0" w:space="0" w:color="auto"/>
        <w:bottom w:val="none" w:sz="0" w:space="0" w:color="auto"/>
        <w:right w:val="none" w:sz="0" w:space="0" w:color="auto"/>
      </w:divBdr>
    </w:div>
    <w:div w:id="1994095602">
      <w:bodyDiv w:val="1"/>
      <w:marLeft w:val="0"/>
      <w:marRight w:val="0"/>
      <w:marTop w:val="0"/>
      <w:marBottom w:val="0"/>
      <w:divBdr>
        <w:top w:val="none" w:sz="0" w:space="0" w:color="auto"/>
        <w:left w:val="none" w:sz="0" w:space="0" w:color="auto"/>
        <w:bottom w:val="none" w:sz="0" w:space="0" w:color="auto"/>
        <w:right w:val="none" w:sz="0" w:space="0" w:color="auto"/>
      </w:divBdr>
    </w:div>
    <w:div w:id="2043314102">
      <w:bodyDiv w:val="1"/>
      <w:marLeft w:val="0"/>
      <w:marRight w:val="0"/>
      <w:marTop w:val="0"/>
      <w:marBottom w:val="0"/>
      <w:divBdr>
        <w:top w:val="none" w:sz="0" w:space="0" w:color="auto"/>
        <w:left w:val="none" w:sz="0" w:space="0" w:color="auto"/>
        <w:bottom w:val="none" w:sz="0" w:space="0" w:color="auto"/>
        <w:right w:val="none" w:sz="0" w:space="0" w:color="auto"/>
      </w:divBdr>
    </w:div>
    <w:div w:id="2075083760">
      <w:bodyDiv w:val="1"/>
      <w:marLeft w:val="0"/>
      <w:marRight w:val="0"/>
      <w:marTop w:val="0"/>
      <w:marBottom w:val="0"/>
      <w:divBdr>
        <w:top w:val="none" w:sz="0" w:space="0" w:color="auto"/>
        <w:left w:val="none" w:sz="0" w:space="0" w:color="auto"/>
        <w:bottom w:val="none" w:sz="0" w:space="0" w:color="auto"/>
        <w:right w:val="none" w:sz="0" w:space="0" w:color="auto"/>
      </w:divBdr>
    </w:div>
    <w:div w:id="2077776171">
      <w:bodyDiv w:val="1"/>
      <w:marLeft w:val="0"/>
      <w:marRight w:val="0"/>
      <w:marTop w:val="0"/>
      <w:marBottom w:val="0"/>
      <w:divBdr>
        <w:top w:val="none" w:sz="0" w:space="0" w:color="auto"/>
        <w:left w:val="none" w:sz="0" w:space="0" w:color="auto"/>
        <w:bottom w:val="none" w:sz="0" w:space="0" w:color="auto"/>
        <w:right w:val="none" w:sz="0" w:space="0" w:color="auto"/>
      </w:divBdr>
    </w:div>
    <w:div w:id="211440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alindia.in" TargetMode="External"/><Relationship Id="rId18" Type="http://schemas.openxmlformats.org/officeDocument/2006/relationships/hyperlink" Target="https://doi.org/10.9734/ijecc/2025/v15i6489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iology-journal.org/journal/volume40/issue83/?pg=4" TargetMode="External"/><Relationship Id="rId7" Type="http://schemas.openxmlformats.org/officeDocument/2006/relationships/image" Target="media/image2.png"/><Relationship Id="rId12" Type="http://schemas.openxmlformats.org/officeDocument/2006/relationships/hyperlink" Target="https://www.cea.nic.in" TargetMode="External"/><Relationship Id="rId17" Type="http://schemas.openxmlformats.org/officeDocument/2006/relationships/hyperlink" Target="https://www.iea.org/reports/coal-market-update-202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imesofindia.indiatimes.com/business/india-business/india-to-be-main-engine-of-global-coal-demand-growth-iea/articleshow/106031591.cms?utm_source=chatgpt.com" TargetMode="External"/><Relationship Id="rId20" Type="http://schemas.openxmlformats.org/officeDocument/2006/relationships/hyperlink" Target="https://tnsroindia.org.in/journal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databank.worldbank.org/source/world-development-indicators" TargetMode="External"/><Relationship Id="rId5" Type="http://schemas.openxmlformats.org/officeDocument/2006/relationships/webSettings" Target="webSettings.xml"/><Relationship Id="rId15" Type="http://schemas.openxmlformats.org/officeDocument/2006/relationships/hyperlink" Target="https://www.sciencedirect.com/science/article/pii/S0306261912007611" TargetMode="External"/><Relationship Id="rId23" Type="http://schemas.openxmlformats.org/officeDocument/2006/relationships/hyperlink" Target="https://www.eia.gov/international/content/analysis/countries_long/India/pdf/India.pdf?utm_source=chatgpt.com" TargetMode="External"/><Relationship Id="rId10" Type="http://schemas.openxmlformats.org/officeDocument/2006/relationships/image" Target="media/image5.png"/><Relationship Id="rId19" Type="http://schemas.openxmlformats.org/officeDocument/2006/relationships/hyperlink" Target="https://www.rbi.org.i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9734/sajsse/2025/v22i91154" TargetMode="External"/><Relationship Id="rId22" Type="http://schemas.openxmlformats.org/officeDocument/2006/relationships/hyperlink" Target="https://link.springer.com/article/10.1007/s11356-014-361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18868-3885-4453-8628-816A123A9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TotalTime>
  <Pages>26</Pages>
  <Words>7401</Words>
  <Characters>42191</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203</cp:revision>
  <dcterms:created xsi:type="dcterms:W3CDTF">2025-10-28T10:50:00Z</dcterms:created>
  <dcterms:modified xsi:type="dcterms:W3CDTF">2025-11-08T10:56:00Z</dcterms:modified>
</cp:coreProperties>
</file>