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148ED" w14:textId="3EC50F64" w:rsidR="00DB26D6" w:rsidRPr="004D045E" w:rsidRDefault="00DB26D6" w:rsidP="00F1794B">
      <w:pPr>
        <w:spacing w:before="240" w:after="0" w:line="240" w:lineRule="auto"/>
        <w:jc w:val="center"/>
        <w:rPr>
          <w:rFonts w:ascii="Arial" w:eastAsia="Times New Roman" w:hAnsi="Arial" w:cs="Arial"/>
          <w:b/>
          <w:sz w:val="40"/>
          <w:szCs w:val="40"/>
          <w:lang w:eastAsia="en-US"/>
        </w:rPr>
      </w:pPr>
      <w:r w:rsidRPr="004D045E">
        <w:rPr>
          <w:rFonts w:ascii="Arial" w:eastAsia="Times New Roman" w:hAnsi="Arial" w:cs="Arial"/>
          <w:b/>
          <w:sz w:val="40"/>
          <w:szCs w:val="40"/>
          <w:lang w:eastAsia="en-US"/>
        </w:rPr>
        <w:t>Corporate Governance and Financial Risk Management in Ghana’s Pension Industry: A Comparative Analysis of Public and Private Schemes</w:t>
      </w:r>
    </w:p>
    <w:p w14:paraId="467C996E" w14:textId="77777777" w:rsidR="00F1794B" w:rsidRPr="004D045E" w:rsidRDefault="00F1794B" w:rsidP="00F1794B">
      <w:pPr>
        <w:rPr>
          <w:rFonts w:ascii="Arial" w:eastAsia="Times New Roman" w:hAnsi="Arial" w:cs="Arial"/>
          <w:b/>
          <w:sz w:val="24"/>
          <w:szCs w:val="24"/>
        </w:rPr>
      </w:pPr>
    </w:p>
    <w:p w14:paraId="3516F764" w14:textId="43ABC848" w:rsidR="00F1794B" w:rsidRPr="004D045E" w:rsidRDefault="00E12428" w:rsidP="00E12428">
      <w:pPr>
        <w:keepNext/>
        <w:keepLines/>
        <w:tabs>
          <w:tab w:val="center" w:pos="4680"/>
          <w:tab w:val="left" w:pos="6590"/>
        </w:tabs>
        <w:spacing w:before="360" w:after="120" w:line="480" w:lineRule="auto"/>
        <w:outlineLvl w:val="0"/>
        <w:rPr>
          <w:rFonts w:ascii="Arial" w:eastAsia="Times New Roman" w:hAnsi="Arial" w:cs="Arial"/>
          <w:b/>
        </w:rPr>
      </w:pPr>
      <w:bookmarkStart w:id="0" w:name="_3znysh7" w:colFirst="0" w:colLast="0"/>
      <w:bookmarkEnd w:id="0"/>
      <w:r>
        <w:rPr>
          <w:rFonts w:ascii="Arial" w:eastAsia="Times New Roman" w:hAnsi="Arial" w:cs="Arial"/>
          <w:b/>
        </w:rPr>
        <w:tab/>
      </w:r>
      <w:r w:rsidR="00F1794B" w:rsidRPr="004D045E">
        <w:rPr>
          <w:rFonts w:ascii="Arial" w:eastAsia="Times New Roman" w:hAnsi="Arial" w:cs="Arial"/>
          <w:b/>
        </w:rPr>
        <w:t>ABSTRACT</w:t>
      </w:r>
      <w:r>
        <w:rPr>
          <w:rFonts w:ascii="Arial" w:eastAsia="Times New Roman" w:hAnsi="Arial" w:cs="Arial"/>
          <w:b/>
        </w:rPr>
        <w:tab/>
      </w:r>
    </w:p>
    <w:p w14:paraId="4D1D766B" w14:textId="07BF48F6" w:rsidR="00F1794B" w:rsidRPr="004D045E" w:rsidRDefault="00F1794B" w:rsidP="00F1794B">
      <w:pPr>
        <w:spacing w:after="0" w:line="240" w:lineRule="auto"/>
        <w:jc w:val="both"/>
        <w:rPr>
          <w:rFonts w:ascii="Arial" w:eastAsia="Times New Roman" w:hAnsi="Arial" w:cs="Arial"/>
        </w:rPr>
      </w:pPr>
      <w:r w:rsidRPr="004D045E">
        <w:rPr>
          <w:rFonts w:ascii="Arial" w:eastAsia="Times New Roman" w:hAnsi="Arial" w:cs="Arial"/>
        </w:rPr>
        <w:t xml:space="preserve">The pension industry in Ghana is facing numerous challenges, including poor investment returns, market volatility, and inadequate corporate governance practices. This study assessed corporate governance </w:t>
      </w:r>
      <w:r w:rsidR="002D038E" w:rsidRPr="004D045E">
        <w:rPr>
          <w:rFonts w:ascii="Arial" w:eastAsia="Times New Roman" w:hAnsi="Arial" w:cs="Arial"/>
        </w:rPr>
        <w:t>and</w:t>
      </w:r>
      <w:r w:rsidRPr="004D045E">
        <w:rPr>
          <w:rFonts w:ascii="Arial" w:eastAsia="Times New Roman" w:hAnsi="Arial" w:cs="Arial"/>
        </w:rPr>
        <w:t xml:space="preserve"> financial risk management in Ghana's pension industry, with a specific focus on </w:t>
      </w:r>
      <w:proofErr w:type="spellStart"/>
      <w:r w:rsidR="002D038E" w:rsidRPr="004D045E">
        <w:rPr>
          <w:rFonts w:ascii="Arial" w:eastAsia="Times New Roman" w:hAnsi="Arial" w:cs="Arial"/>
        </w:rPr>
        <w:t>analysising</w:t>
      </w:r>
      <w:proofErr w:type="spellEnd"/>
      <w:r w:rsidRPr="004D045E">
        <w:rPr>
          <w:rFonts w:ascii="Arial" w:eastAsia="Times New Roman" w:hAnsi="Arial" w:cs="Arial"/>
        </w:rPr>
        <w:t xml:space="preserve"> public and private employer-sponsored pension schemes. Data were obtained from pension fund managers, investment officers, risk managers, trustees, and investment committee members of both public and private employer-sponsored pension schemes. </w:t>
      </w:r>
      <w:r w:rsidR="005129AC" w:rsidRPr="004D045E">
        <w:rPr>
          <w:rFonts w:ascii="Arial" w:eastAsia="Times New Roman" w:hAnsi="Arial" w:cs="Arial"/>
          <w:bCs/>
        </w:rPr>
        <w:t>The population consists of 225 pension schemes in Ghana, comprising both public and private employer-sponsored schemes</w:t>
      </w:r>
      <w:r w:rsidR="005D30F1" w:rsidRPr="004D045E">
        <w:rPr>
          <w:rFonts w:ascii="Arial" w:eastAsia="Times New Roman" w:hAnsi="Arial" w:cs="Arial"/>
          <w:bCs/>
        </w:rPr>
        <w:t xml:space="preserve"> of which a sample size of 145 was ascertained for the study</w:t>
      </w:r>
      <w:r w:rsidR="005129AC" w:rsidRPr="004D045E">
        <w:rPr>
          <w:rFonts w:ascii="Arial" w:eastAsia="Times New Roman" w:hAnsi="Arial" w:cs="Arial"/>
          <w:bCs/>
        </w:rPr>
        <w:t xml:space="preserve">. A quantitative research approach was employed to assess the impact of corporate governance on financial risk management in Ghana's pension industry. </w:t>
      </w:r>
      <w:r w:rsidR="005D30F1" w:rsidRPr="004D045E">
        <w:rPr>
          <w:rFonts w:ascii="Arial" w:eastAsia="Times New Roman" w:hAnsi="Arial" w:cs="Arial"/>
          <w:bCs/>
        </w:rPr>
        <w:t xml:space="preserve">The questionnaire collected quantitative data using Likert scales. The Likert-scale questions assess respondents' views on corporate governance and financial risk management. </w:t>
      </w:r>
      <w:r w:rsidR="005129AC" w:rsidRPr="004D045E">
        <w:rPr>
          <w:rFonts w:ascii="Arial" w:eastAsia="Times New Roman" w:hAnsi="Arial" w:cs="Arial"/>
          <w:bCs/>
        </w:rPr>
        <w:t xml:space="preserve"> </w:t>
      </w:r>
      <w:r w:rsidRPr="004D045E">
        <w:rPr>
          <w:rFonts w:ascii="Arial" w:eastAsia="Times New Roman" w:hAnsi="Arial" w:cs="Arial"/>
        </w:rPr>
        <w:t>The findings suggest that corporate governance has a significant positive impact on financial risk management and that public employer-sponsored pension schemes exhibit stronger governance practices compared to private employer-sponsored pension schemes. The study recommends that regulators establish robust corporate governance standards, conduct regular assessments, and consider adopting governance structures in public employer-sponsored pension schemes as a model for the industry. Additionally, pension scheme trustees and managers should prioritize corporate governance practices, and industry stakeholders should develop a code of conduct for pension scheme governance. The study's findings and recommendations aim to improve the governance and sustainability of pension schemes in Ghana, ultimately protecting the interests of pension fund members and beneficiaries.</w:t>
      </w:r>
    </w:p>
    <w:p w14:paraId="7E54BE75" w14:textId="77777777" w:rsidR="00F1794B" w:rsidRPr="004D045E" w:rsidRDefault="00F1794B" w:rsidP="00F1794B">
      <w:pPr>
        <w:spacing w:after="0" w:line="240" w:lineRule="auto"/>
        <w:rPr>
          <w:rFonts w:ascii="Arial" w:eastAsia="Times New Roman" w:hAnsi="Arial" w:cs="Arial"/>
          <w:sz w:val="24"/>
          <w:szCs w:val="24"/>
        </w:rPr>
      </w:pPr>
    </w:p>
    <w:p w14:paraId="141B9BAC" w14:textId="77777777" w:rsidR="00F1794B" w:rsidRPr="004D045E" w:rsidRDefault="00F1794B" w:rsidP="00F1794B">
      <w:pPr>
        <w:spacing w:after="0" w:line="480" w:lineRule="auto"/>
        <w:jc w:val="both"/>
        <w:rPr>
          <w:rFonts w:ascii="Arial" w:eastAsia="Times New Roman" w:hAnsi="Arial" w:cs="Arial"/>
          <w:i/>
          <w:sz w:val="20"/>
          <w:szCs w:val="20"/>
        </w:rPr>
      </w:pPr>
      <w:r w:rsidRPr="004D045E">
        <w:rPr>
          <w:rFonts w:ascii="Arial" w:eastAsia="Times New Roman" w:hAnsi="Arial" w:cs="Arial"/>
          <w:i/>
          <w:sz w:val="20"/>
          <w:szCs w:val="20"/>
        </w:rPr>
        <w:t>Keywords: Corporate Governance, Financial Risk Management, Public Sector Pension Scheme, Private Sector Pension Scheme, Risk Management Practices</w:t>
      </w:r>
    </w:p>
    <w:p w14:paraId="4278E2FB" w14:textId="022FD10E" w:rsidR="00810699" w:rsidRPr="004D045E" w:rsidRDefault="00810699" w:rsidP="00A042C4">
      <w:pPr>
        <w:spacing w:line="240" w:lineRule="auto"/>
        <w:rPr>
          <w:rFonts w:ascii="Arial" w:hAnsi="Arial" w:cs="Arial"/>
          <w:sz w:val="24"/>
          <w:szCs w:val="24"/>
        </w:rPr>
      </w:pPr>
    </w:p>
    <w:p w14:paraId="7F73C911" w14:textId="17F5A038" w:rsidR="00F1794B" w:rsidRPr="004D045E" w:rsidRDefault="00F1794B" w:rsidP="00A042C4">
      <w:pPr>
        <w:spacing w:line="240" w:lineRule="auto"/>
        <w:rPr>
          <w:rFonts w:ascii="Arial" w:hAnsi="Arial" w:cs="Arial"/>
          <w:sz w:val="24"/>
          <w:szCs w:val="24"/>
        </w:rPr>
      </w:pPr>
    </w:p>
    <w:p w14:paraId="4510454E" w14:textId="77777777" w:rsidR="00F1794B" w:rsidRPr="004D045E" w:rsidRDefault="00F1794B" w:rsidP="00A042C4">
      <w:pPr>
        <w:spacing w:line="240" w:lineRule="auto"/>
        <w:rPr>
          <w:rFonts w:ascii="Arial" w:hAnsi="Arial" w:cs="Arial"/>
          <w:sz w:val="24"/>
          <w:szCs w:val="24"/>
        </w:rPr>
      </w:pPr>
    </w:p>
    <w:p w14:paraId="2098E99A" w14:textId="254670D8" w:rsidR="00F1794B" w:rsidRPr="004D045E" w:rsidRDefault="00F1794B" w:rsidP="00A042C4">
      <w:pPr>
        <w:spacing w:line="240" w:lineRule="auto"/>
        <w:rPr>
          <w:rFonts w:ascii="Arial" w:hAnsi="Arial" w:cs="Arial"/>
          <w:sz w:val="24"/>
          <w:szCs w:val="24"/>
        </w:rPr>
      </w:pPr>
    </w:p>
    <w:p w14:paraId="1A63D547" w14:textId="77777777" w:rsidR="00F1794B" w:rsidRPr="004D045E" w:rsidRDefault="00F1794B" w:rsidP="00A042C4">
      <w:pPr>
        <w:spacing w:line="240" w:lineRule="auto"/>
        <w:rPr>
          <w:rFonts w:ascii="Arial" w:hAnsi="Arial" w:cs="Arial"/>
          <w:sz w:val="24"/>
          <w:szCs w:val="24"/>
        </w:rPr>
      </w:pPr>
    </w:p>
    <w:p w14:paraId="0560A0EB" w14:textId="114F9528" w:rsidR="00810699" w:rsidRPr="004D045E" w:rsidRDefault="00701FD7" w:rsidP="00A042C4">
      <w:pPr>
        <w:pStyle w:val="Heading2"/>
        <w:numPr>
          <w:ilvl w:val="0"/>
          <w:numId w:val="14"/>
        </w:numPr>
        <w:spacing w:line="240" w:lineRule="auto"/>
        <w:rPr>
          <w:rFonts w:ascii="Arial" w:hAnsi="Arial" w:cs="Arial"/>
          <w:color w:val="auto"/>
        </w:rPr>
      </w:pPr>
      <w:bookmarkStart w:id="1" w:name="_2s8eyo1" w:colFirst="0" w:colLast="0"/>
      <w:bookmarkEnd w:id="1"/>
      <w:r w:rsidRPr="004D045E">
        <w:rPr>
          <w:rFonts w:ascii="Arial" w:hAnsi="Arial" w:cs="Arial"/>
          <w:color w:val="auto"/>
        </w:rPr>
        <w:t>INTRODUCTION</w:t>
      </w:r>
      <w:bookmarkStart w:id="2" w:name="_17dp8vu" w:colFirst="0" w:colLast="0"/>
      <w:bookmarkEnd w:id="2"/>
    </w:p>
    <w:p w14:paraId="670A164F" w14:textId="7CCC8780"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lastRenderedPageBreak/>
        <w:t>Corporate governance has become a crucial aspect of organizational management in recent years, with stakeholders increasingly concerned about how firms are governed.</w:t>
      </w:r>
      <w:r w:rsidR="009F2C57" w:rsidRPr="004D045E">
        <w:rPr>
          <w:rFonts w:ascii="Arial" w:eastAsia="Times New Roman" w:hAnsi="Arial" w:cs="Arial"/>
        </w:rPr>
        <w:t xml:space="preserve"> </w:t>
      </w:r>
      <w:r w:rsidRPr="004D045E">
        <w:rPr>
          <w:rFonts w:ascii="Arial" w:eastAsia="Times New Roman" w:hAnsi="Arial" w:cs="Arial"/>
        </w:rPr>
        <w:t xml:space="preserve">Effective corporate governance mechanisms contribute to corporate success, maximize shareholder wealth, promote a positive corporate image, and maintain investors' confidence </w:t>
      </w:r>
      <w:bookmarkStart w:id="3" w:name="_Hlk213948335"/>
      <w:r w:rsidR="00B50074" w:rsidRPr="004D045E">
        <w:rPr>
          <w:rFonts w:ascii="Arial" w:eastAsia="Times New Roman" w:hAnsi="Arial" w:cs="Arial"/>
        </w:rPr>
        <w:t>(</w:t>
      </w:r>
      <w:r w:rsidR="005273F2" w:rsidRPr="004D045E">
        <w:rPr>
          <w:rFonts w:ascii="Arial" w:eastAsia="Times New Roman" w:hAnsi="Arial" w:cs="Arial"/>
          <w:lang w:val="en-US"/>
        </w:rPr>
        <w:t>Kyereboah-Coleman e</w:t>
      </w:r>
      <w:r w:rsidR="00B50074" w:rsidRPr="004D045E">
        <w:rPr>
          <w:rFonts w:ascii="Arial" w:eastAsia="Times New Roman" w:hAnsi="Arial" w:cs="Arial"/>
          <w:lang w:val="en-US"/>
        </w:rPr>
        <w:t>t al</w:t>
      </w:r>
      <w:r w:rsidR="005273F2" w:rsidRPr="004D045E">
        <w:rPr>
          <w:rFonts w:ascii="Arial" w:eastAsia="Times New Roman" w:hAnsi="Arial" w:cs="Arial"/>
          <w:lang w:val="en-US"/>
        </w:rPr>
        <w:t xml:space="preserve"> 2007</w:t>
      </w:r>
      <w:bookmarkEnd w:id="3"/>
      <w:r w:rsidR="005273F2" w:rsidRPr="004D045E">
        <w:rPr>
          <w:rFonts w:ascii="Arial" w:eastAsia="Times New Roman" w:hAnsi="Arial" w:cs="Arial"/>
          <w:lang w:val="en-US"/>
        </w:rPr>
        <w:t>)</w:t>
      </w:r>
      <w:r w:rsidRPr="004D045E">
        <w:rPr>
          <w:rFonts w:ascii="Arial" w:eastAsia="Times New Roman" w:hAnsi="Arial" w:cs="Arial"/>
        </w:rPr>
        <w:t>. Corporate governance refers to the system of rules, practices, and processes by which a company is directed and controlled (OECD, 2015). It involves the relationships among a company's management, its board of directors, its shareholders, and its other stakeholders, such as employees, customers, and suppliers (OECD, 2015).</w:t>
      </w:r>
    </w:p>
    <w:p w14:paraId="0906C4B8"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pension industry in Ghana is still evolving, with challenges such as poor investment decisions and market volatilities in the investment market (</w:t>
      </w:r>
      <w:proofErr w:type="spellStart"/>
      <w:r w:rsidRPr="004D045E">
        <w:rPr>
          <w:rFonts w:ascii="Arial" w:eastAsia="Times New Roman" w:hAnsi="Arial" w:cs="Arial"/>
        </w:rPr>
        <w:t>Akomea</w:t>
      </w:r>
      <w:proofErr w:type="spellEnd"/>
      <w:r w:rsidRPr="004D045E">
        <w:rPr>
          <w:rFonts w:ascii="Arial" w:eastAsia="Times New Roman" w:hAnsi="Arial" w:cs="Arial"/>
        </w:rPr>
        <w:t>-Frimpong et al., 2022). The industry is characterized by a three-tier pension scheme, with the first tier being the mandatory Basic National Social Security Scheme managed by the Social Security and National Insurance Trust (SSNIT), the second tier being the mandatory occupational pension scheme managed by approved private pension fund managers, and the third tier being a voluntary provident fund and personal pension scheme (</w:t>
      </w:r>
      <w:proofErr w:type="spellStart"/>
      <w:r w:rsidRPr="004D045E">
        <w:rPr>
          <w:rFonts w:ascii="Arial" w:eastAsia="Times New Roman" w:hAnsi="Arial" w:cs="Arial"/>
        </w:rPr>
        <w:t>Kpessa</w:t>
      </w:r>
      <w:proofErr w:type="spellEnd"/>
      <w:r w:rsidRPr="004D045E">
        <w:rPr>
          <w:rFonts w:ascii="Arial" w:eastAsia="Times New Roman" w:hAnsi="Arial" w:cs="Arial"/>
        </w:rPr>
        <w:t xml:space="preserve">-Whyte &amp; </w:t>
      </w:r>
      <w:proofErr w:type="spellStart"/>
      <w:r w:rsidRPr="004D045E">
        <w:rPr>
          <w:rFonts w:ascii="Arial" w:eastAsia="Times New Roman" w:hAnsi="Arial" w:cs="Arial"/>
        </w:rPr>
        <w:t>Tsekpo</w:t>
      </w:r>
      <w:proofErr w:type="spellEnd"/>
      <w:r w:rsidRPr="004D045E">
        <w:rPr>
          <w:rFonts w:ascii="Arial" w:eastAsia="Times New Roman" w:hAnsi="Arial" w:cs="Arial"/>
        </w:rPr>
        <w:t>, 2020).</w:t>
      </w:r>
    </w:p>
    <w:p w14:paraId="63B58F86"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Despite the growth of the pension industry in Ghana, there is limited research on the impact of corporate governance on financial risk management in the industry (</w:t>
      </w:r>
      <w:proofErr w:type="spellStart"/>
      <w:r w:rsidRPr="004D045E">
        <w:rPr>
          <w:rFonts w:ascii="Arial" w:eastAsia="Times New Roman" w:hAnsi="Arial" w:cs="Arial"/>
        </w:rPr>
        <w:t>Akomea</w:t>
      </w:r>
      <w:proofErr w:type="spellEnd"/>
      <w:r w:rsidRPr="004D045E">
        <w:rPr>
          <w:rFonts w:ascii="Arial" w:eastAsia="Times New Roman" w:hAnsi="Arial" w:cs="Arial"/>
        </w:rPr>
        <w:t>-Frimpong et al., 2022). This study aims to assess the impact of corporate governance on financial risk management in Ghana's pension industry, with a comparative analysis of public and private sector pension schemes.</w:t>
      </w:r>
    </w:p>
    <w:p w14:paraId="68F2AAD0" w14:textId="286FC8DD" w:rsidR="00B93433"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Ghana's pension industry has undergone significant reforms in recent years, with the passage of the National Pensions Act in 2008 (Act 766) and the National Pensions (Amendment) Act in 2014 (Act 883) (</w:t>
      </w:r>
      <w:proofErr w:type="spellStart"/>
      <w:r w:rsidRPr="004D045E">
        <w:rPr>
          <w:rFonts w:ascii="Arial" w:eastAsia="Times New Roman" w:hAnsi="Arial" w:cs="Arial"/>
        </w:rPr>
        <w:t>Kpessa</w:t>
      </w:r>
      <w:proofErr w:type="spellEnd"/>
      <w:r w:rsidRPr="004D045E">
        <w:rPr>
          <w:rFonts w:ascii="Arial" w:eastAsia="Times New Roman" w:hAnsi="Arial" w:cs="Arial"/>
        </w:rPr>
        <w:t xml:space="preserve">-Whyte &amp; </w:t>
      </w:r>
      <w:proofErr w:type="spellStart"/>
      <w:r w:rsidRPr="004D045E">
        <w:rPr>
          <w:rFonts w:ascii="Arial" w:eastAsia="Times New Roman" w:hAnsi="Arial" w:cs="Arial"/>
        </w:rPr>
        <w:t>Tsekpo</w:t>
      </w:r>
      <w:proofErr w:type="spellEnd"/>
      <w:r w:rsidRPr="004D045E">
        <w:rPr>
          <w:rFonts w:ascii="Arial" w:eastAsia="Times New Roman" w:hAnsi="Arial" w:cs="Arial"/>
        </w:rPr>
        <w:t>, 2020). These reforms aimed to improve the governance and management of pension funds in Ghana, but challenges still persist (</w:t>
      </w:r>
      <w:proofErr w:type="spellStart"/>
      <w:r w:rsidRPr="004D045E">
        <w:rPr>
          <w:rFonts w:ascii="Arial" w:eastAsia="Times New Roman" w:hAnsi="Arial" w:cs="Arial"/>
        </w:rPr>
        <w:t>Akomea</w:t>
      </w:r>
      <w:proofErr w:type="spellEnd"/>
      <w:r w:rsidRPr="004D045E">
        <w:rPr>
          <w:rFonts w:ascii="Arial" w:eastAsia="Times New Roman" w:hAnsi="Arial" w:cs="Arial"/>
        </w:rPr>
        <w:t>-Frimpong et al., 2022).</w:t>
      </w:r>
    </w:p>
    <w:p w14:paraId="637994A9" w14:textId="1F2EFA4E" w:rsidR="00FA3317" w:rsidRPr="004D045E" w:rsidRDefault="00FA3317" w:rsidP="00A042C4">
      <w:pPr>
        <w:spacing w:line="240" w:lineRule="auto"/>
        <w:jc w:val="both"/>
        <w:rPr>
          <w:rFonts w:ascii="Helvetica" w:hAnsi="Helvetica"/>
          <w:shd w:val="clear" w:color="auto" w:fill="FFFFFF"/>
          <w:lang w:val="en-US"/>
        </w:rPr>
      </w:pPr>
      <w:r w:rsidRPr="004D045E">
        <w:rPr>
          <w:rFonts w:ascii="Arial" w:eastAsia="Times New Roman" w:hAnsi="Arial" w:cs="Arial"/>
        </w:rPr>
        <w:t xml:space="preserve">Though the active involvement of Board in the performance of their duty help building the good corporate governance in organisation, it can be </w:t>
      </w:r>
      <w:r w:rsidRPr="004D045E">
        <w:rPr>
          <w:rFonts w:ascii="Helvetica" w:hAnsi="Helvetica"/>
          <w:shd w:val="clear" w:color="auto" w:fill="FFFFFF"/>
          <w:lang w:val="en-US"/>
        </w:rPr>
        <w:t>emphasized that there is significant influence that board engagement may have on a plan's financial performance</w:t>
      </w:r>
      <w:r w:rsidRPr="004D045E">
        <w:rPr>
          <w:rFonts w:ascii="Arial" w:eastAsia="Times New Roman" w:hAnsi="Arial" w:cs="Arial"/>
        </w:rPr>
        <w:t xml:space="preserve"> Arena</w:t>
      </w:r>
      <w:r w:rsidRPr="004D045E">
        <w:rPr>
          <w:rFonts w:ascii="Helvetica" w:hAnsi="Helvetica"/>
          <w:shd w:val="clear" w:color="auto" w:fill="FFFFFF"/>
        </w:rPr>
        <w:t xml:space="preserve"> et al (2025)</w:t>
      </w:r>
      <w:r w:rsidRPr="004D045E">
        <w:rPr>
          <w:rFonts w:ascii="Helvetica" w:hAnsi="Helvetica"/>
          <w:shd w:val="clear" w:color="auto" w:fill="FFFFFF"/>
          <w:lang w:val="en-US"/>
        </w:rPr>
        <w:t>.</w:t>
      </w:r>
    </w:p>
    <w:p w14:paraId="5FA53050"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Corporate governance is essential in the pension industry, as it ensures that pension funds are managed in the best interests of beneficiaries (OECD, 2015). Effective corporate governance mechanisms can help mitigate financial risks in the pension industry, such as investment risks, liquidity risks, and operational risks (</w:t>
      </w:r>
      <w:proofErr w:type="spellStart"/>
      <w:r w:rsidRPr="004D045E">
        <w:rPr>
          <w:rFonts w:ascii="Arial" w:eastAsia="Times New Roman" w:hAnsi="Arial" w:cs="Arial"/>
        </w:rPr>
        <w:t>Cocco</w:t>
      </w:r>
      <w:proofErr w:type="spellEnd"/>
      <w:r w:rsidRPr="004D045E">
        <w:rPr>
          <w:rFonts w:ascii="Arial" w:eastAsia="Times New Roman" w:hAnsi="Arial" w:cs="Arial"/>
        </w:rPr>
        <w:t xml:space="preserve"> &amp; </w:t>
      </w:r>
      <w:proofErr w:type="spellStart"/>
      <w:r w:rsidRPr="004D045E">
        <w:rPr>
          <w:rFonts w:ascii="Arial" w:eastAsia="Times New Roman" w:hAnsi="Arial" w:cs="Arial"/>
        </w:rPr>
        <w:t>Volpin</w:t>
      </w:r>
      <w:proofErr w:type="spellEnd"/>
      <w:r w:rsidRPr="004D045E">
        <w:rPr>
          <w:rFonts w:ascii="Arial" w:eastAsia="Times New Roman" w:hAnsi="Arial" w:cs="Arial"/>
        </w:rPr>
        <w:t>, 2007). However, the pension industry in Ghana faces challenges in implementing effective corporate governance mechanisms, such as inadequate regulatory frameworks, lack of transparency and accountability, and limited stakeholder engagement (</w:t>
      </w:r>
      <w:proofErr w:type="spellStart"/>
      <w:r w:rsidRPr="004D045E">
        <w:rPr>
          <w:rFonts w:ascii="Arial" w:eastAsia="Times New Roman" w:hAnsi="Arial" w:cs="Arial"/>
        </w:rPr>
        <w:t>Akomea</w:t>
      </w:r>
      <w:proofErr w:type="spellEnd"/>
      <w:r w:rsidRPr="004D045E">
        <w:rPr>
          <w:rFonts w:ascii="Arial" w:eastAsia="Times New Roman" w:hAnsi="Arial" w:cs="Arial"/>
        </w:rPr>
        <w:t>-Frimpong et al., 2022).</w:t>
      </w:r>
    </w:p>
    <w:p w14:paraId="5F3B5895"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Public and private sector pension schemes in Ghana have different governance structures and investment strategies, which can impact their financial risk management practices (</w:t>
      </w:r>
      <w:proofErr w:type="spellStart"/>
      <w:r w:rsidRPr="004D045E">
        <w:rPr>
          <w:rFonts w:ascii="Arial" w:eastAsia="Times New Roman" w:hAnsi="Arial" w:cs="Arial"/>
        </w:rPr>
        <w:t>Kpessa</w:t>
      </w:r>
      <w:proofErr w:type="spellEnd"/>
      <w:r w:rsidRPr="004D045E">
        <w:rPr>
          <w:rFonts w:ascii="Arial" w:eastAsia="Times New Roman" w:hAnsi="Arial" w:cs="Arial"/>
        </w:rPr>
        <w:t xml:space="preserve">-Whyte &amp; </w:t>
      </w:r>
      <w:proofErr w:type="spellStart"/>
      <w:r w:rsidRPr="004D045E">
        <w:rPr>
          <w:rFonts w:ascii="Arial" w:eastAsia="Times New Roman" w:hAnsi="Arial" w:cs="Arial"/>
        </w:rPr>
        <w:t>Tsekpo</w:t>
      </w:r>
      <w:proofErr w:type="spellEnd"/>
      <w:r w:rsidRPr="004D045E">
        <w:rPr>
          <w:rFonts w:ascii="Arial" w:eastAsia="Times New Roman" w:hAnsi="Arial" w:cs="Arial"/>
        </w:rPr>
        <w:t>, 2020). Public sector pension schemes, such as the SSNIT, are governed by a board of directors appointed by the government, while private sector pension schemes are governed by a board of directors appointed by the shareholders (</w:t>
      </w:r>
      <w:proofErr w:type="spellStart"/>
      <w:r w:rsidRPr="004D045E">
        <w:rPr>
          <w:rFonts w:ascii="Arial" w:eastAsia="Times New Roman" w:hAnsi="Arial" w:cs="Arial"/>
        </w:rPr>
        <w:t>Kpessa</w:t>
      </w:r>
      <w:proofErr w:type="spellEnd"/>
      <w:r w:rsidRPr="004D045E">
        <w:rPr>
          <w:rFonts w:ascii="Arial" w:eastAsia="Times New Roman" w:hAnsi="Arial" w:cs="Arial"/>
        </w:rPr>
        <w:t xml:space="preserve">-Whyte &amp; </w:t>
      </w:r>
      <w:proofErr w:type="spellStart"/>
      <w:r w:rsidRPr="004D045E">
        <w:rPr>
          <w:rFonts w:ascii="Arial" w:eastAsia="Times New Roman" w:hAnsi="Arial" w:cs="Arial"/>
        </w:rPr>
        <w:t>Tsekpo</w:t>
      </w:r>
      <w:proofErr w:type="spellEnd"/>
      <w:r w:rsidRPr="004D045E">
        <w:rPr>
          <w:rFonts w:ascii="Arial" w:eastAsia="Times New Roman" w:hAnsi="Arial" w:cs="Arial"/>
        </w:rPr>
        <w:t>, 2020). Public-sector pension schemes are also subject to stricter regulatory requirements and investment restrictions than private sector pension schemes (</w:t>
      </w:r>
      <w:proofErr w:type="spellStart"/>
      <w:r w:rsidRPr="004D045E">
        <w:rPr>
          <w:rFonts w:ascii="Arial" w:eastAsia="Times New Roman" w:hAnsi="Arial" w:cs="Arial"/>
        </w:rPr>
        <w:t>Kpessa</w:t>
      </w:r>
      <w:proofErr w:type="spellEnd"/>
      <w:r w:rsidRPr="004D045E">
        <w:rPr>
          <w:rFonts w:ascii="Arial" w:eastAsia="Times New Roman" w:hAnsi="Arial" w:cs="Arial"/>
        </w:rPr>
        <w:t xml:space="preserve">-Whyte &amp; </w:t>
      </w:r>
      <w:proofErr w:type="spellStart"/>
      <w:r w:rsidRPr="004D045E">
        <w:rPr>
          <w:rFonts w:ascii="Arial" w:eastAsia="Times New Roman" w:hAnsi="Arial" w:cs="Arial"/>
        </w:rPr>
        <w:t>Tsekpo</w:t>
      </w:r>
      <w:proofErr w:type="spellEnd"/>
      <w:r w:rsidRPr="004D045E">
        <w:rPr>
          <w:rFonts w:ascii="Arial" w:eastAsia="Times New Roman" w:hAnsi="Arial" w:cs="Arial"/>
        </w:rPr>
        <w:t>, 2020).</w:t>
      </w:r>
    </w:p>
    <w:p w14:paraId="02C23F13"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Despite these differences, both public and private sector pension schemes in Ghana face challenges in managing financial risks, such as investment risks, liquidity risks, and operational risks (</w:t>
      </w:r>
      <w:proofErr w:type="spellStart"/>
      <w:r w:rsidRPr="004D045E">
        <w:rPr>
          <w:rFonts w:ascii="Arial" w:eastAsia="Times New Roman" w:hAnsi="Arial" w:cs="Arial"/>
        </w:rPr>
        <w:t>Akomea</w:t>
      </w:r>
      <w:proofErr w:type="spellEnd"/>
      <w:r w:rsidRPr="004D045E">
        <w:rPr>
          <w:rFonts w:ascii="Arial" w:eastAsia="Times New Roman" w:hAnsi="Arial" w:cs="Arial"/>
        </w:rPr>
        <w:t xml:space="preserve">-Frimpong et al., 2022). Effective corporate governance mechanisms can help </w:t>
      </w:r>
      <w:r w:rsidRPr="004D045E">
        <w:rPr>
          <w:rFonts w:ascii="Arial" w:eastAsia="Times New Roman" w:hAnsi="Arial" w:cs="Arial"/>
        </w:rPr>
        <w:lastRenderedPageBreak/>
        <w:t>mitigate these risks, but the pension industry in Ghana lacks a comprehensive framework for corporate governance (</w:t>
      </w:r>
      <w:proofErr w:type="spellStart"/>
      <w:r w:rsidRPr="004D045E">
        <w:rPr>
          <w:rFonts w:ascii="Arial" w:eastAsia="Times New Roman" w:hAnsi="Arial" w:cs="Arial"/>
        </w:rPr>
        <w:t>Akomea</w:t>
      </w:r>
      <w:proofErr w:type="spellEnd"/>
      <w:r w:rsidRPr="004D045E">
        <w:rPr>
          <w:rFonts w:ascii="Arial" w:eastAsia="Times New Roman" w:hAnsi="Arial" w:cs="Arial"/>
        </w:rPr>
        <w:t>-Frimpong et al., 2022).</w:t>
      </w:r>
    </w:p>
    <w:p w14:paraId="70FA6170" w14:textId="31C440C6"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This study aims to contribute to the existing literature on corporate governance and financial risk management in the pension industry, with a focus on Ghana's pension industry. </w:t>
      </w:r>
    </w:p>
    <w:p w14:paraId="507905F7" w14:textId="77777777" w:rsidR="00810699" w:rsidRPr="004D045E" w:rsidRDefault="00701FD7" w:rsidP="00A042C4">
      <w:pPr>
        <w:pStyle w:val="Heading3"/>
        <w:spacing w:line="240" w:lineRule="auto"/>
        <w:rPr>
          <w:rFonts w:ascii="Arial" w:hAnsi="Arial" w:cs="Arial"/>
          <w:color w:val="auto"/>
          <w:sz w:val="22"/>
          <w:szCs w:val="22"/>
        </w:rPr>
      </w:pPr>
      <w:bookmarkStart w:id="4" w:name="_3rdcrjn" w:colFirst="0" w:colLast="0"/>
      <w:bookmarkEnd w:id="4"/>
      <w:r w:rsidRPr="004D045E">
        <w:rPr>
          <w:rFonts w:ascii="Arial" w:hAnsi="Arial" w:cs="Arial"/>
          <w:color w:val="auto"/>
          <w:sz w:val="22"/>
          <w:szCs w:val="22"/>
        </w:rPr>
        <w:t>1.2 Problem Statement</w:t>
      </w:r>
    </w:p>
    <w:p w14:paraId="4DE6C44C"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pension industry in Ghana is facing numerous challenges, including poor investment decisions, market volatilities, and inadequate corporate governance practices (</w:t>
      </w:r>
      <w:proofErr w:type="spellStart"/>
      <w:r w:rsidRPr="004D045E">
        <w:rPr>
          <w:rFonts w:ascii="Arial" w:eastAsia="Times New Roman" w:hAnsi="Arial" w:cs="Arial"/>
        </w:rPr>
        <w:t>Akomea</w:t>
      </w:r>
      <w:proofErr w:type="spellEnd"/>
      <w:r w:rsidRPr="004D045E">
        <w:rPr>
          <w:rFonts w:ascii="Arial" w:eastAsia="Times New Roman" w:hAnsi="Arial" w:cs="Arial"/>
        </w:rPr>
        <w:t>-Frimpong et al., 2022). These challenges have resulted in significant financial losses for pension funds, undermining the financial security of retirees and threatening the sustainability of the industry (</w:t>
      </w:r>
      <w:proofErr w:type="spellStart"/>
      <w:r w:rsidRPr="004D045E">
        <w:rPr>
          <w:rFonts w:ascii="Arial" w:eastAsia="Times New Roman" w:hAnsi="Arial" w:cs="Arial"/>
        </w:rPr>
        <w:t>Kpessa</w:t>
      </w:r>
      <w:proofErr w:type="spellEnd"/>
      <w:r w:rsidRPr="004D045E">
        <w:rPr>
          <w:rFonts w:ascii="Arial" w:eastAsia="Times New Roman" w:hAnsi="Arial" w:cs="Arial"/>
        </w:rPr>
        <w:t xml:space="preserve">-Whyte &amp; </w:t>
      </w:r>
      <w:proofErr w:type="spellStart"/>
      <w:r w:rsidRPr="004D045E">
        <w:rPr>
          <w:rFonts w:ascii="Arial" w:eastAsia="Times New Roman" w:hAnsi="Arial" w:cs="Arial"/>
        </w:rPr>
        <w:t>Tsekpo</w:t>
      </w:r>
      <w:proofErr w:type="spellEnd"/>
      <w:r w:rsidRPr="004D045E">
        <w:rPr>
          <w:rFonts w:ascii="Arial" w:eastAsia="Times New Roman" w:hAnsi="Arial" w:cs="Arial"/>
        </w:rPr>
        <w:t>, 2020).</w:t>
      </w:r>
    </w:p>
    <w:p w14:paraId="29058335" w14:textId="78D63DA0"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One of the key factors contributing to these challenges is the lack of effective corporate governance practices in the pension industry</w:t>
      </w:r>
      <w:r w:rsidR="00B50074" w:rsidRPr="004D045E">
        <w:rPr>
          <w:rFonts w:ascii="Arial" w:eastAsia="Times New Roman" w:hAnsi="Arial" w:cs="Arial"/>
        </w:rPr>
        <w:t xml:space="preserve"> (</w:t>
      </w:r>
      <w:r w:rsidR="00B50074" w:rsidRPr="004D045E">
        <w:rPr>
          <w:rFonts w:ascii="Arial" w:eastAsia="Times New Roman" w:hAnsi="Arial" w:cs="Arial"/>
          <w:lang w:val="en-US"/>
        </w:rPr>
        <w:t>Kyereboah-Coleman et al 2007)</w:t>
      </w:r>
      <w:r w:rsidRPr="004D045E">
        <w:rPr>
          <w:rFonts w:ascii="Arial" w:eastAsia="Times New Roman" w:hAnsi="Arial" w:cs="Arial"/>
        </w:rPr>
        <w:t>. Corporate governance refers to the systems and processes used to manage and oversee the activities of an organization. Effective corporate governance is essential for ensuring that organizations are managed in a way that maximizes shareholder value and minimizes risk (</w:t>
      </w:r>
      <w:proofErr w:type="spellStart"/>
      <w:r w:rsidRPr="004D045E">
        <w:rPr>
          <w:rFonts w:ascii="Arial" w:eastAsia="Times New Roman" w:hAnsi="Arial" w:cs="Arial"/>
        </w:rPr>
        <w:t>Cocco</w:t>
      </w:r>
      <w:proofErr w:type="spellEnd"/>
      <w:r w:rsidRPr="004D045E">
        <w:rPr>
          <w:rFonts w:ascii="Arial" w:eastAsia="Times New Roman" w:hAnsi="Arial" w:cs="Arial"/>
        </w:rPr>
        <w:t xml:space="preserve"> &amp; </w:t>
      </w:r>
      <w:proofErr w:type="spellStart"/>
      <w:r w:rsidRPr="004D045E">
        <w:rPr>
          <w:rFonts w:ascii="Arial" w:eastAsia="Times New Roman" w:hAnsi="Arial" w:cs="Arial"/>
        </w:rPr>
        <w:t>Volpin</w:t>
      </w:r>
      <w:proofErr w:type="spellEnd"/>
      <w:r w:rsidRPr="004D045E">
        <w:rPr>
          <w:rFonts w:ascii="Arial" w:eastAsia="Times New Roman" w:hAnsi="Arial" w:cs="Arial"/>
        </w:rPr>
        <w:t>, 2007).</w:t>
      </w:r>
    </w:p>
    <w:p w14:paraId="53875BCC" w14:textId="388BFBC8"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In the context of the pension industry, corporate governance is critical for ensuring that pension funds are managed in a way that maximizes returns and minimizes risk </w:t>
      </w:r>
      <w:r w:rsidR="00600075" w:rsidRPr="004D045E">
        <w:rPr>
          <w:rFonts w:ascii="Arial" w:eastAsia="Times New Roman" w:hAnsi="Arial" w:cs="Arial"/>
        </w:rPr>
        <w:t>(</w:t>
      </w:r>
      <w:r w:rsidR="00600075" w:rsidRPr="004D045E">
        <w:rPr>
          <w:rFonts w:ascii="Arial" w:eastAsia="Times New Roman" w:hAnsi="Arial" w:cs="Arial"/>
          <w:lang w:val="en-US"/>
        </w:rPr>
        <w:t>Kalia A et al 2023)</w:t>
      </w:r>
      <w:r w:rsidRPr="004D045E">
        <w:rPr>
          <w:rFonts w:ascii="Arial" w:eastAsia="Times New Roman" w:hAnsi="Arial" w:cs="Arial"/>
        </w:rPr>
        <w:t>. However, research has shown that many pension funds in Ghana lack effective corporate governance practices, including inadequate board composition, lack of transparency and accountability, and inadequate risk management practices (</w:t>
      </w:r>
      <w:proofErr w:type="spellStart"/>
      <w:r w:rsidRPr="004D045E">
        <w:rPr>
          <w:rFonts w:ascii="Arial" w:eastAsia="Times New Roman" w:hAnsi="Arial" w:cs="Arial"/>
        </w:rPr>
        <w:t>Akomea</w:t>
      </w:r>
      <w:proofErr w:type="spellEnd"/>
      <w:r w:rsidRPr="004D045E">
        <w:rPr>
          <w:rFonts w:ascii="Arial" w:eastAsia="Times New Roman" w:hAnsi="Arial" w:cs="Arial"/>
        </w:rPr>
        <w:t>-Frimpong et al., 2022).</w:t>
      </w:r>
    </w:p>
    <w:p w14:paraId="0AD98F42"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lack of effective corporate governance practices in the pension industry in Ghana has significant implications for the financial security of retirees and the sustainability of the industry. Poor investment decisions and market volatilities can result in significant financial losses for pension funds, reducing the amount of money available to pay retirement benefits (</w:t>
      </w:r>
      <w:proofErr w:type="spellStart"/>
      <w:r w:rsidRPr="004D045E">
        <w:rPr>
          <w:rFonts w:ascii="Arial" w:eastAsia="Times New Roman" w:hAnsi="Arial" w:cs="Arial"/>
        </w:rPr>
        <w:t>Kpessa</w:t>
      </w:r>
      <w:proofErr w:type="spellEnd"/>
      <w:r w:rsidRPr="004D045E">
        <w:rPr>
          <w:rFonts w:ascii="Arial" w:eastAsia="Times New Roman" w:hAnsi="Arial" w:cs="Arial"/>
        </w:rPr>
        <w:t xml:space="preserve">-Whyte &amp; </w:t>
      </w:r>
      <w:proofErr w:type="spellStart"/>
      <w:r w:rsidRPr="004D045E">
        <w:rPr>
          <w:rFonts w:ascii="Arial" w:eastAsia="Times New Roman" w:hAnsi="Arial" w:cs="Arial"/>
        </w:rPr>
        <w:t>Tsekpo</w:t>
      </w:r>
      <w:proofErr w:type="spellEnd"/>
      <w:r w:rsidRPr="004D045E">
        <w:rPr>
          <w:rFonts w:ascii="Arial" w:eastAsia="Times New Roman" w:hAnsi="Arial" w:cs="Arial"/>
        </w:rPr>
        <w:t>, 2020). This can have a significant impact on the financial security of retirees, who rely on their pension benefits to support themselves in retirement.</w:t>
      </w:r>
    </w:p>
    <w:p w14:paraId="57598AE7" w14:textId="391976C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Furthermore, the lack of effective corporate governance practices in the pension industry can also undermine the sustainability of the industry. Pension funds that are poorly managed may not be able to generate sufficient returns to meet their liabilities, leading to a shortfall in funding </w:t>
      </w:r>
      <w:r w:rsidR="00B50074" w:rsidRPr="004D045E">
        <w:rPr>
          <w:rFonts w:ascii="Arial" w:eastAsia="Times New Roman" w:hAnsi="Arial" w:cs="Arial"/>
        </w:rPr>
        <w:t>(</w:t>
      </w:r>
      <w:r w:rsidR="00B50074" w:rsidRPr="004D045E">
        <w:rPr>
          <w:rFonts w:ascii="Arial" w:eastAsia="Times New Roman" w:hAnsi="Arial" w:cs="Arial"/>
          <w:lang w:val="en-US"/>
        </w:rPr>
        <w:t>Kyereboah-Coleman et al 2007</w:t>
      </w:r>
      <w:r w:rsidRPr="004D045E">
        <w:rPr>
          <w:rFonts w:ascii="Arial" w:eastAsia="Times New Roman" w:hAnsi="Arial" w:cs="Arial"/>
        </w:rPr>
        <w:t>. This can result in a significant burden on the government and the economy as a whole, as the government may be required to step in to bail out the pension fund.</w:t>
      </w:r>
    </w:p>
    <w:p w14:paraId="2132950A" w14:textId="2411D0A5"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One empirical gap in the literature is the limited investigation of specific corporate governance mechanisms that are most effective in managing financial risk in Ghana's pension industry</w:t>
      </w:r>
      <w:r w:rsidR="00622832" w:rsidRPr="004D045E">
        <w:rPr>
          <w:rFonts w:ascii="Arial" w:eastAsia="Times New Roman" w:hAnsi="Arial" w:cs="Arial"/>
        </w:rPr>
        <w:t xml:space="preserve"> </w:t>
      </w:r>
      <w:bookmarkStart w:id="5" w:name="_Hlk213948914"/>
      <w:r w:rsidR="00622832" w:rsidRPr="004D045E">
        <w:rPr>
          <w:rFonts w:ascii="Arial" w:eastAsia="Times New Roman" w:hAnsi="Arial" w:cs="Arial"/>
        </w:rPr>
        <w:t>(</w:t>
      </w:r>
      <w:proofErr w:type="spellStart"/>
      <w:r w:rsidR="00622832" w:rsidRPr="004D045E">
        <w:rPr>
          <w:rFonts w:ascii="Arial" w:eastAsia="Times New Roman" w:hAnsi="Arial" w:cs="Arial"/>
        </w:rPr>
        <w:t>Akomea</w:t>
      </w:r>
      <w:proofErr w:type="spellEnd"/>
      <w:r w:rsidR="00622832" w:rsidRPr="004D045E">
        <w:rPr>
          <w:rFonts w:ascii="Arial" w:eastAsia="Times New Roman" w:hAnsi="Arial" w:cs="Arial"/>
        </w:rPr>
        <w:t>-Frimpong et al 2022</w:t>
      </w:r>
      <w:bookmarkEnd w:id="5"/>
      <w:r w:rsidR="00622832" w:rsidRPr="004D045E">
        <w:rPr>
          <w:rFonts w:ascii="Arial" w:eastAsia="Times New Roman" w:hAnsi="Arial" w:cs="Arial"/>
        </w:rPr>
        <w:t>)</w:t>
      </w:r>
      <w:r w:rsidRPr="004D045E">
        <w:rPr>
          <w:rFonts w:ascii="Arial" w:eastAsia="Times New Roman" w:hAnsi="Arial" w:cs="Arial"/>
        </w:rPr>
        <w:t>.</w:t>
      </w:r>
      <w:r w:rsidR="00CD4FB5" w:rsidRPr="004D045E">
        <w:rPr>
          <w:rFonts w:ascii="Arial" w:eastAsia="Times New Roman" w:hAnsi="Arial" w:cs="Arial"/>
        </w:rPr>
        <w:t xml:space="preserve"> </w:t>
      </w:r>
      <w:r w:rsidRPr="004D045E">
        <w:rPr>
          <w:rFonts w:ascii="Arial" w:eastAsia="Times New Roman" w:hAnsi="Arial" w:cs="Arial"/>
        </w:rPr>
        <w:t xml:space="preserve">While studies have shown that good corporate governance practices positively impact pension fund performance, there is a need for more research on the specific mechanisms that drive this relationship </w:t>
      </w:r>
      <w:bookmarkStart w:id="6" w:name="_Hlk213952586"/>
      <w:r w:rsidRPr="004D045E">
        <w:rPr>
          <w:rFonts w:ascii="Arial" w:eastAsia="Times New Roman" w:hAnsi="Arial" w:cs="Arial"/>
        </w:rPr>
        <w:t>(</w:t>
      </w:r>
      <w:proofErr w:type="spellStart"/>
      <w:r w:rsidR="007547A6" w:rsidRPr="004D045E">
        <w:rPr>
          <w:rFonts w:ascii="Arial" w:eastAsia="Times New Roman" w:hAnsi="Arial" w:cs="Arial"/>
          <w:lang w:val="en-US"/>
        </w:rPr>
        <w:t>Akwimbi</w:t>
      </w:r>
      <w:proofErr w:type="spellEnd"/>
      <w:r w:rsidRPr="004D045E">
        <w:rPr>
          <w:rFonts w:ascii="Arial" w:eastAsia="Times New Roman" w:hAnsi="Arial" w:cs="Arial"/>
        </w:rPr>
        <w:t xml:space="preserve"> et al., 202</w:t>
      </w:r>
      <w:r w:rsidR="007547A6" w:rsidRPr="004D045E">
        <w:rPr>
          <w:rFonts w:ascii="Arial" w:eastAsia="Times New Roman" w:hAnsi="Arial" w:cs="Arial"/>
        </w:rPr>
        <w:t>4</w:t>
      </w:r>
      <w:r w:rsidRPr="004D045E">
        <w:rPr>
          <w:rFonts w:ascii="Arial" w:eastAsia="Times New Roman" w:hAnsi="Arial" w:cs="Arial"/>
        </w:rPr>
        <w:t>).</w:t>
      </w:r>
      <w:bookmarkEnd w:id="6"/>
    </w:p>
    <w:p w14:paraId="2C8C614C" w14:textId="7D4D9774"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literature also reveals a bias towards public sector pension schemes, with limited research on private sector schemes. This gap is significant, as private employer-sponsored pension schemes face unique challenges and may require different corporate governance mechanisms to manage financial risk effectively (Osei et al., 2020).</w:t>
      </w:r>
    </w:p>
    <w:p w14:paraId="24B83CAC" w14:textId="0180C8DC" w:rsidR="006A5072" w:rsidRPr="004D045E" w:rsidRDefault="006A5072" w:rsidP="00A042C4">
      <w:pPr>
        <w:spacing w:line="240" w:lineRule="auto"/>
        <w:jc w:val="both"/>
        <w:rPr>
          <w:rFonts w:ascii="Arial" w:eastAsia="Times New Roman" w:hAnsi="Arial" w:cs="Arial"/>
        </w:rPr>
      </w:pPr>
      <w:r w:rsidRPr="004D045E">
        <w:rPr>
          <w:rFonts w:ascii="Arial" w:eastAsia="Times New Roman" w:hAnsi="Arial" w:cs="Arial"/>
        </w:rPr>
        <w:t>A study by E. Asiedu et al (2024) reveal that that effective risk management practices indeed contribute to better performance of private pension schemes in Ghana.</w:t>
      </w:r>
    </w:p>
    <w:p w14:paraId="207D7116" w14:textId="4099EE84"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lastRenderedPageBreak/>
        <w:t>Furthermore, the impact of external factors, such as regulatory reforms and economic downturns, on corporate governance and financial risk management in Ghana's pension industry has not been thoroughly explored</w:t>
      </w:r>
      <w:r w:rsidR="00CD4FB5" w:rsidRPr="004D045E">
        <w:rPr>
          <w:rFonts w:ascii="Arial" w:eastAsia="Times New Roman" w:hAnsi="Arial" w:cs="Arial"/>
        </w:rPr>
        <w:t xml:space="preserve"> (</w:t>
      </w:r>
      <w:proofErr w:type="spellStart"/>
      <w:r w:rsidR="00CD4FB5" w:rsidRPr="004D045E">
        <w:rPr>
          <w:rFonts w:ascii="Arial" w:eastAsia="Times New Roman" w:hAnsi="Arial" w:cs="Arial"/>
        </w:rPr>
        <w:t>Akomea</w:t>
      </w:r>
      <w:proofErr w:type="spellEnd"/>
      <w:r w:rsidR="00CD4FB5" w:rsidRPr="004D045E">
        <w:rPr>
          <w:rFonts w:ascii="Arial" w:eastAsia="Times New Roman" w:hAnsi="Arial" w:cs="Arial"/>
        </w:rPr>
        <w:t>-Frimpong et al 2022)</w:t>
      </w:r>
      <w:r w:rsidRPr="004D045E">
        <w:rPr>
          <w:rFonts w:ascii="Arial" w:eastAsia="Times New Roman" w:hAnsi="Arial" w:cs="Arial"/>
        </w:rPr>
        <w:t xml:space="preserve">. This gap is significant, as external factors can significantly influence the relationship between corporate governance and financial risk management </w:t>
      </w:r>
      <w:r w:rsidR="007547A6" w:rsidRPr="004D045E">
        <w:rPr>
          <w:rFonts w:ascii="Arial" w:eastAsia="Times New Roman" w:hAnsi="Arial" w:cs="Arial"/>
        </w:rPr>
        <w:t>(</w:t>
      </w:r>
      <w:proofErr w:type="spellStart"/>
      <w:r w:rsidR="007547A6" w:rsidRPr="004D045E">
        <w:rPr>
          <w:rFonts w:ascii="Arial" w:eastAsia="Times New Roman" w:hAnsi="Arial" w:cs="Arial"/>
          <w:lang w:val="en-US"/>
        </w:rPr>
        <w:t>Akwimbi</w:t>
      </w:r>
      <w:proofErr w:type="spellEnd"/>
      <w:r w:rsidR="007547A6" w:rsidRPr="004D045E">
        <w:rPr>
          <w:rFonts w:ascii="Arial" w:eastAsia="Times New Roman" w:hAnsi="Arial" w:cs="Arial"/>
        </w:rPr>
        <w:t xml:space="preserve"> et al., 2024).</w:t>
      </w:r>
      <w:r w:rsidRPr="004D045E">
        <w:rPr>
          <w:rFonts w:ascii="Arial" w:eastAsia="Times New Roman" w:hAnsi="Arial" w:cs="Arial"/>
        </w:rPr>
        <w:t xml:space="preserve"> In addition, there is a need for more quantitative studies using robust methodologies to provide generalizable results (</w:t>
      </w:r>
      <w:proofErr w:type="spellStart"/>
      <w:r w:rsidR="005C25E1" w:rsidRPr="004D045E">
        <w:rPr>
          <w:rFonts w:ascii="Arial" w:eastAsia="Times New Roman" w:hAnsi="Arial" w:cs="Arial"/>
        </w:rPr>
        <w:t>Shengyu</w:t>
      </w:r>
      <w:proofErr w:type="spellEnd"/>
      <w:r w:rsidR="005C25E1" w:rsidRPr="004D045E">
        <w:rPr>
          <w:rFonts w:ascii="Arial" w:eastAsia="Times New Roman" w:hAnsi="Arial" w:cs="Arial"/>
        </w:rPr>
        <w:t xml:space="preserve"> Tang</w:t>
      </w:r>
      <w:r w:rsidRPr="004D045E">
        <w:rPr>
          <w:rFonts w:ascii="Arial" w:eastAsia="Times New Roman" w:hAnsi="Arial" w:cs="Arial"/>
        </w:rPr>
        <w:t>, 20</w:t>
      </w:r>
      <w:r w:rsidR="00EF61A5" w:rsidRPr="004D045E">
        <w:rPr>
          <w:rFonts w:ascii="Arial" w:eastAsia="Times New Roman" w:hAnsi="Arial" w:cs="Arial"/>
        </w:rPr>
        <w:t>2</w:t>
      </w:r>
      <w:r w:rsidR="005C25E1" w:rsidRPr="004D045E">
        <w:rPr>
          <w:rFonts w:ascii="Arial" w:eastAsia="Times New Roman" w:hAnsi="Arial" w:cs="Arial"/>
        </w:rPr>
        <w:t>4</w:t>
      </w:r>
      <w:r w:rsidRPr="004D045E">
        <w:rPr>
          <w:rFonts w:ascii="Arial" w:eastAsia="Times New Roman" w:hAnsi="Arial" w:cs="Arial"/>
        </w:rPr>
        <w:t>). Many studies have relied on descriptive statistics and bivariate analysis, neglecting the potential benefits of more advanced statistical techniques (</w:t>
      </w:r>
      <w:r w:rsidR="00574B9A" w:rsidRPr="004D045E">
        <w:rPr>
          <w:rFonts w:ascii="Arial" w:eastAsia="Times New Roman" w:hAnsi="Arial" w:cs="Arial"/>
          <w:lang w:val="en-US"/>
        </w:rPr>
        <w:t>Sarpong-</w:t>
      </w:r>
      <w:proofErr w:type="gramStart"/>
      <w:r w:rsidR="00574B9A" w:rsidRPr="004D045E">
        <w:rPr>
          <w:rFonts w:ascii="Arial" w:eastAsia="Times New Roman" w:hAnsi="Arial" w:cs="Arial"/>
          <w:lang w:val="en-US"/>
        </w:rPr>
        <w:t>Danquah,</w:t>
      </w:r>
      <w:r w:rsidRPr="004D045E">
        <w:rPr>
          <w:rFonts w:ascii="Arial" w:eastAsia="Times New Roman" w:hAnsi="Arial" w:cs="Arial"/>
        </w:rPr>
        <w:t>,</w:t>
      </w:r>
      <w:proofErr w:type="gramEnd"/>
      <w:r w:rsidRPr="004D045E">
        <w:rPr>
          <w:rFonts w:ascii="Arial" w:eastAsia="Times New Roman" w:hAnsi="Arial" w:cs="Arial"/>
        </w:rPr>
        <w:t xml:space="preserve"> 20</w:t>
      </w:r>
      <w:r w:rsidR="00574B9A" w:rsidRPr="004D045E">
        <w:rPr>
          <w:rFonts w:ascii="Arial" w:eastAsia="Times New Roman" w:hAnsi="Arial" w:cs="Arial"/>
        </w:rPr>
        <w:t>18</w:t>
      </w:r>
      <w:r w:rsidRPr="004D045E">
        <w:rPr>
          <w:rFonts w:ascii="Arial" w:eastAsia="Times New Roman" w:hAnsi="Arial" w:cs="Arial"/>
        </w:rPr>
        <w:t xml:space="preserve">). To address these gaps, this aims to conduct a comparative analysis of public and private employer-sponsored pension schemes in Ghana. </w:t>
      </w:r>
    </w:p>
    <w:p w14:paraId="07680F9E" w14:textId="1AB7F31F" w:rsidR="00810699" w:rsidRPr="004D045E" w:rsidRDefault="00701FD7" w:rsidP="00A042C4">
      <w:pPr>
        <w:pStyle w:val="Heading3"/>
        <w:spacing w:line="240" w:lineRule="auto"/>
        <w:rPr>
          <w:rFonts w:ascii="Arial" w:hAnsi="Arial" w:cs="Arial"/>
          <w:color w:val="auto"/>
          <w:sz w:val="22"/>
          <w:szCs w:val="22"/>
        </w:rPr>
      </w:pPr>
      <w:bookmarkStart w:id="7" w:name="_26in1rg" w:colFirst="0" w:colLast="0"/>
      <w:bookmarkEnd w:id="7"/>
      <w:r w:rsidRPr="004D045E">
        <w:rPr>
          <w:rFonts w:ascii="Arial" w:hAnsi="Arial" w:cs="Arial"/>
          <w:color w:val="auto"/>
          <w:sz w:val="22"/>
          <w:szCs w:val="22"/>
        </w:rPr>
        <w:t>1.3 Objectives of the Study</w:t>
      </w:r>
    </w:p>
    <w:p w14:paraId="36606276" w14:textId="77777777" w:rsidR="00810699" w:rsidRPr="004D045E" w:rsidRDefault="00701FD7" w:rsidP="00A042C4">
      <w:pPr>
        <w:numPr>
          <w:ilvl w:val="0"/>
          <w:numId w:val="8"/>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rPr>
        <w:t>To examine the impact of corporate governance in financial risk management in the employer-sponsored pension schemes in Ghana.</w:t>
      </w:r>
    </w:p>
    <w:p w14:paraId="2AAE1A2A" w14:textId="77777777" w:rsidR="00810699" w:rsidRPr="004D045E" w:rsidRDefault="00701FD7" w:rsidP="00A042C4">
      <w:pPr>
        <w:numPr>
          <w:ilvl w:val="0"/>
          <w:numId w:val="8"/>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rPr>
        <w:t>To find out the statistical difference between corporate governance practices in the public and private employer-sponsored pension schemes in Ghana.</w:t>
      </w:r>
    </w:p>
    <w:p w14:paraId="742E9A2B" w14:textId="77777777" w:rsidR="00810699" w:rsidRPr="004D045E" w:rsidRDefault="00701FD7" w:rsidP="00A042C4">
      <w:pPr>
        <w:numPr>
          <w:ilvl w:val="0"/>
          <w:numId w:val="8"/>
        </w:numPr>
        <w:pBdr>
          <w:top w:val="nil"/>
          <w:left w:val="nil"/>
          <w:bottom w:val="nil"/>
          <w:right w:val="nil"/>
          <w:between w:val="nil"/>
        </w:pBdr>
        <w:spacing w:line="240" w:lineRule="auto"/>
        <w:jc w:val="both"/>
        <w:rPr>
          <w:rFonts w:ascii="Arial" w:eastAsia="Times New Roman" w:hAnsi="Arial" w:cs="Arial"/>
        </w:rPr>
      </w:pPr>
      <w:r w:rsidRPr="004D045E">
        <w:rPr>
          <w:rFonts w:ascii="Arial" w:eastAsia="Times New Roman" w:hAnsi="Arial" w:cs="Arial"/>
        </w:rPr>
        <w:t>Determine the effectiveness of corporate governance systems in public employer-sponsored pensions in managing financial risk in the industry, relative to the private sector pensions.</w:t>
      </w:r>
    </w:p>
    <w:p w14:paraId="3ADD4674" w14:textId="77777777" w:rsidR="00810699" w:rsidRPr="004D045E" w:rsidRDefault="00701FD7" w:rsidP="00A042C4">
      <w:pPr>
        <w:pStyle w:val="Heading3"/>
        <w:numPr>
          <w:ilvl w:val="1"/>
          <w:numId w:val="9"/>
        </w:numPr>
        <w:spacing w:line="240" w:lineRule="auto"/>
        <w:rPr>
          <w:rFonts w:ascii="Arial" w:hAnsi="Arial" w:cs="Arial"/>
          <w:color w:val="auto"/>
          <w:sz w:val="22"/>
          <w:szCs w:val="22"/>
        </w:rPr>
      </w:pPr>
      <w:bookmarkStart w:id="8" w:name="_lnxbz9" w:colFirst="0" w:colLast="0"/>
      <w:bookmarkEnd w:id="8"/>
      <w:r w:rsidRPr="004D045E">
        <w:rPr>
          <w:rFonts w:ascii="Arial" w:hAnsi="Arial" w:cs="Arial"/>
          <w:color w:val="auto"/>
          <w:sz w:val="22"/>
          <w:szCs w:val="22"/>
        </w:rPr>
        <w:t>Hypotheses</w:t>
      </w:r>
    </w:p>
    <w:p w14:paraId="55E49A18" w14:textId="77777777" w:rsidR="00810699" w:rsidRPr="004D045E" w:rsidRDefault="00701FD7" w:rsidP="00A042C4">
      <w:pPr>
        <w:numPr>
          <w:ilvl w:val="0"/>
          <w:numId w:val="4"/>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rPr>
        <w:t>H</w:t>
      </w:r>
      <w:r w:rsidRPr="004D045E">
        <w:rPr>
          <w:rFonts w:ascii="Arial" w:eastAsia="Times New Roman" w:hAnsi="Arial" w:cs="Arial"/>
          <w:vertAlign w:val="subscript"/>
        </w:rPr>
        <w:t>0</w:t>
      </w:r>
      <w:r w:rsidRPr="004D045E">
        <w:rPr>
          <w:rFonts w:ascii="Arial" w:eastAsia="Times New Roman" w:hAnsi="Arial" w:cs="Arial"/>
        </w:rPr>
        <w:t>1: Corporate governance has no impact on financial risk management in the employer-sponsored pension schemes in Ghana.</w:t>
      </w:r>
    </w:p>
    <w:p w14:paraId="7ED1A120" w14:textId="77777777" w:rsidR="00810699" w:rsidRPr="004D045E" w:rsidRDefault="00701FD7" w:rsidP="00A042C4">
      <w:pPr>
        <w:numPr>
          <w:ilvl w:val="0"/>
          <w:numId w:val="4"/>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rPr>
        <w:t>H</w:t>
      </w:r>
      <w:r w:rsidRPr="004D045E">
        <w:rPr>
          <w:rFonts w:ascii="Arial" w:eastAsia="Times New Roman" w:hAnsi="Arial" w:cs="Arial"/>
          <w:vertAlign w:val="subscript"/>
        </w:rPr>
        <w:t>0</w:t>
      </w:r>
      <w:r w:rsidRPr="004D045E">
        <w:rPr>
          <w:rFonts w:ascii="Arial" w:eastAsia="Times New Roman" w:hAnsi="Arial" w:cs="Arial"/>
        </w:rPr>
        <w:t>2: There is no statistical difference between corporate governance practices in the public and private employer-sponsored pension schemes in Ghana.</w:t>
      </w:r>
    </w:p>
    <w:p w14:paraId="0814B764" w14:textId="77777777" w:rsidR="00810699" w:rsidRPr="004D045E" w:rsidRDefault="00701FD7" w:rsidP="00A042C4">
      <w:pPr>
        <w:numPr>
          <w:ilvl w:val="0"/>
          <w:numId w:val="4"/>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rPr>
        <w:t>H</w:t>
      </w:r>
      <w:r w:rsidRPr="004D045E">
        <w:rPr>
          <w:rFonts w:ascii="Arial" w:eastAsia="Times New Roman" w:hAnsi="Arial" w:cs="Arial"/>
          <w:vertAlign w:val="subscript"/>
        </w:rPr>
        <w:t>0</w:t>
      </w:r>
      <w:r w:rsidRPr="004D045E">
        <w:rPr>
          <w:rFonts w:ascii="Arial" w:eastAsia="Times New Roman" w:hAnsi="Arial" w:cs="Arial"/>
        </w:rPr>
        <w:t xml:space="preserve">3: Corporate governance systems in public sector pensions are ineffective in managing the industry's financial risk compared to private employer-sponsored pensions. </w:t>
      </w:r>
    </w:p>
    <w:p w14:paraId="25A89FC8" w14:textId="77777777" w:rsidR="00810699" w:rsidRPr="004D045E" w:rsidRDefault="00810699" w:rsidP="00A042C4">
      <w:pPr>
        <w:spacing w:line="240" w:lineRule="auto"/>
        <w:jc w:val="both"/>
        <w:rPr>
          <w:rFonts w:ascii="Arial" w:eastAsia="Times New Roman" w:hAnsi="Arial" w:cs="Arial"/>
          <w:sz w:val="24"/>
          <w:szCs w:val="24"/>
        </w:rPr>
      </w:pPr>
      <w:bookmarkStart w:id="9" w:name="_35nkun2" w:colFirst="0" w:colLast="0"/>
      <w:bookmarkEnd w:id="9"/>
    </w:p>
    <w:p w14:paraId="14ACCD02" w14:textId="77777777" w:rsidR="00810699" w:rsidRPr="004D045E" w:rsidRDefault="00701FD7" w:rsidP="00A042C4">
      <w:pPr>
        <w:pStyle w:val="Heading2"/>
        <w:spacing w:line="240" w:lineRule="auto"/>
        <w:jc w:val="left"/>
        <w:rPr>
          <w:rFonts w:ascii="Arial" w:hAnsi="Arial" w:cs="Arial"/>
          <w:color w:val="auto"/>
          <w:sz w:val="22"/>
          <w:szCs w:val="22"/>
        </w:rPr>
      </w:pPr>
      <w:bookmarkStart w:id="10" w:name="_44sinio" w:colFirst="0" w:colLast="0"/>
      <w:bookmarkStart w:id="11" w:name="_2jxsxqh" w:colFirst="0" w:colLast="0"/>
      <w:bookmarkStart w:id="12" w:name="_z337ya" w:colFirst="0" w:colLast="0"/>
      <w:bookmarkStart w:id="13" w:name="_3j2qqm3" w:colFirst="0" w:colLast="0"/>
      <w:bookmarkEnd w:id="10"/>
      <w:bookmarkEnd w:id="11"/>
      <w:bookmarkEnd w:id="12"/>
      <w:bookmarkEnd w:id="13"/>
      <w:r w:rsidRPr="004D045E">
        <w:rPr>
          <w:rFonts w:ascii="Arial" w:hAnsi="Arial" w:cs="Arial"/>
          <w:color w:val="auto"/>
          <w:sz w:val="22"/>
          <w:szCs w:val="22"/>
        </w:rPr>
        <w:t>LITERATURE REVIEW</w:t>
      </w:r>
    </w:p>
    <w:p w14:paraId="40649FF1" w14:textId="4136A20D" w:rsidR="00810699" w:rsidRPr="004D045E" w:rsidRDefault="00701FD7" w:rsidP="00A042C4">
      <w:pPr>
        <w:pStyle w:val="Heading3"/>
        <w:spacing w:line="240" w:lineRule="auto"/>
        <w:rPr>
          <w:rFonts w:ascii="Arial" w:hAnsi="Arial" w:cs="Arial"/>
          <w:color w:val="auto"/>
          <w:sz w:val="22"/>
          <w:szCs w:val="22"/>
        </w:rPr>
      </w:pPr>
      <w:bookmarkStart w:id="14" w:name="_1y810tw" w:colFirst="0" w:colLast="0"/>
      <w:bookmarkStart w:id="15" w:name="_4i7ojhp" w:colFirst="0" w:colLast="0"/>
      <w:bookmarkEnd w:id="14"/>
      <w:bookmarkEnd w:id="15"/>
      <w:r w:rsidRPr="004D045E">
        <w:rPr>
          <w:rFonts w:ascii="Arial" w:hAnsi="Arial" w:cs="Arial"/>
          <w:color w:val="auto"/>
          <w:sz w:val="22"/>
          <w:szCs w:val="22"/>
        </w:rPr>
        <w:t xml:space="preserve">2.1 Theoretical </w:t>
      </w:r>
      <w:r w:rsidR="00F82568" w:rsidRPr="004D045E">
        <w:rPr>
          <w:rFonts w:ascii="Arial" w:hAnsi="Arial" w:cs="Arial"/>
          <w:color w:val="auto"/>
          <w:sz w:val="22"/>
          <w:szCs w:val="22"/>
        </w:rPr>
        <w:t>Review</w:t>
      </w:r>
    </w:p>
    <w:p w14:paraId="6F58B5AB" w14:textId="096321E7" w:rsidR="00810699" w:rsidRPr="004D045E" w:rsidRDefault="000B3DC1" w:rsidP="00A042C4">
      <w:pPr>
        <w:spacing w:line="240" w:lineRule="auto"/>
        <w:jc w:val="both"/>
        <w:rPr>
          <w:rFonts w:ascii="Arial" w:eastAsia="Times New Roman" w:hAnsi="Arial" w:cs="Arial"/>
        </w:rPr>
      </w:pPr>
      <w:r w:rsidRPr="004D045E">
        <w:rPr>
          <w:rFonts w:ascii="Arial" w:eastAsia="Times New Roman" w:hAnsi="Arial" w:cs="Arial"/>
        </w:rPr>
        <w:t>The theories underpinning this study are Agency Theory and Risk Management Theory</w:t>
      </w:r>
    </w:p>
    <w:p w14:paraId="393E4826" w14:textId="24511A14" w:rsidR="00810699" w:rsidRPr="004D045E" w:rsidRDefault="00701FD7" w:rsidP="00A042C4">
      <w:pPr>
        <w:pStyle w:val="Heading4"/>
        <w:spacing w:line="240" w:lineRule="auto"/>
        <w:rPr>
          <w:rFonts w:ascii="Arial" w:hAnsi="Arial" w:cs="Arial"/>
          <w:color w:val="auto"/>
          <w:sz w:val="22"/>
          <w:szCs w:val="22"/>
        </w:rPr>
      </w:pPr>
      <w:r w:rsidRPr="004D045E">
        <w:rPr>
          <w:rFonts w:ascii="Arial" w:hAnsi="Arial" w:cs="Arial"/>
          <w:color w:val="auto"/>
          <w:sz w:val="22"/>
          <w:szCs w:val="22"/>
        </w:rPr>
        <w:t>Agency Theory</w:t>
      </w:r>
    </w:p>
    <w:p w14:paraId="2562AA5B"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Agency Theory was proposed by Stephen Ross and Barry Mitnick in 1973. Ross is responsible for the economic theory of agency (Jensen &amp; Meckling, 1976).  while Mitnick is responsible for the institutional theory of agency (Mitnick, 2006; Ross, 1973)</w:t>
      </w:r>
    </w:p>
    <w:p w14:paraId="552E22A6"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Agency theory posits that the separation of ownership and control in firms leads to conflicts between shareholders (principals) and managers (agents). This theory is relevant to corporate governance, as it highlights the need for mechanisms to align manager interests with those of shareholders. According to Jensen and Meckling (1976), the agency problem arises when managers prioritize their own interests over those of shareholders, leading to inefficient decision-making.</w:t>
      </w:r>
    </w:p>
    <w:p w14:paraId="65F41FFB"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The agency problem can be mitigated through various mechanisms, such as board oversight, executive compensation, and shareholder activism (Fama, 1980). Board oversight involves the </w:t>
      </w:r>
      <w:r w:rsidRPr="004D045E">
        <w:rPr>
          <w:rFonts w:ascii="Arial" w:eastAsia="Times New Roman" w:hAnsi="Arial" w:cs="Arial"/>
        </w:rPr>
        <w:lastRenderedPageBreak/>
        <w:t>board of directors monitoring managerial decisions to ensure they align with shareholder interests. Executive compensation involves tying manager pay to performance metrics that align with shareholder interests. Shareholder activism involves shareholders actively engaging with managers to influence decision-making.</w:t>
      </w:r>
    </w:p>
    <w:p w14:paraId="656809A6"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According to the agency theory, the principal and agent have different interests, and the agent's decisions may not always align with the principal's goals (Jensen &amp; Meckling, 1976). In the context of pension funds, the agency theory suggests that pension fund managers may prioritize their own interests over those of the beneficiaries, potentially leading to poor financial risk management decisions (Ross, 1973).</w:t>
      </w:r>
    </w:p>
    <w:p w14:paraId="6347085C" w14:textId="1F39BEE9"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Effective corporate governance can help mitigate this agency problem by ensuring that pension fund managers are held accountable for their decisions (Shleifer &amp; </w:t>
      </w:r>
      <w:proofErr w:type="spellStart"/>
      <w:r w:rsidRPr="004D045E">
        <w:rPr>
          <w:rFonts w:ascii="Arial" w:eastAsia="Times New Roman" w:hAnsi="Arial" w:cs="Arial"/>
        </w:rPr>
        <w:t>Vishny</w:t>
      </w:r>
      <w:proofErr w:type="spellEnd"/>
      <w:r w:rsidRPr="004D045E">
        <w:rPr>
          <w:rFonts w:ascii="Arial" w:eastAsia="Times New Roman" w:hAnsi="Arial" w:cs="Arial"/>
        </w:rPr>
        <w:t>, 1997). This can be achieved through mechanisms such as board composition, audit committees, and risk management practices (OECD, 201</w:t>
      </w:r>
      <w:r w:rsidR="00C376F1" w:rsidRPr="004D045E">
        <w:rPr>
          <w:rFonts w:ascii="Arial" w:eastAsia="Times New Roman" w:hAnsi="Arial" w:cs="Arial"/>
        </w:rPr>
        <w:t>5</w:t>
      </w:r>
      <w:r w:rsidRPr="004D045E">
        <w:rPr>
          <w:rFonts w:ascii="Arial" w:eastAsia="Times New Roman" w:hAnsi="Arial" w:cs="Arial"/>
        </w:rPr>
        <w:t>).</w:t>
      </w:r>
    </w:p>
    <w:p w14:paraId="37189035"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In the pension industry, corporate governance plays a crucial role in ensuring that financial risk management practices align with the interests of beneficiaries (Hauptmann &amp; Becker, 2016). Therefore, the agency theory provides a framework for understanding the importance of effective corporate governance in managing financial risk in the pension industry.</w:t>
      </w:r>
    </w:p>
    <w:p w14:paraId="2D8CCA89" w14:textId="4FA84B6B" w:rsidR="00810699" w:rsidRPr="004D045E" w:rsidRDefault="00701FD7" w:rsidP="00A042C4">
      <w:pPr>
        <w:pStyle w:val="Heading4"/>
        <w:spacing w:line="240" w:lineRule="auto"/>
        <w:rPr>
          <w:rFonts w:ascii="Arial" w:hAnsi="Arial" w:cs="Arial"/>
          <w:color w:val="auto"/>
          <w:sz w:val="22"/>
          <w:szCs w:val="22"/>
        </w:rPr>
      </w:pPr>
      <w:r w:rsidRPr="004D045E">
        <w:rPr>
          <w:rFonts w:ascii="Arial" w:hAnsi="Arial" w:cs="Arial"/>
          <w:color w:val="auto"/>
          <w:sz w:val="22"/>
          <w:szCs w:val="22"/>
        </w:rPr>
        <w:t xml:space="preserve"> Risk Management Theory</w:t>
      </w:r>
    </w:p>
    <w:p w14:paraId="0D42B1DB"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Risk Management Theory was proposed by International Organization for Standardization (ISO, 2009) and later developed by various scholars such as Hillson (2013) and Olson and Wu (2017). This theory emphasizes the importance of identifying, assessing, and mitigating potential risks to achieve organizational objectives.</w:t>
      </w:r>
    </w:p>
    <w:p w14:paraId="52ADC7FE"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Risk management theory views risk as an inherent aspect of business operations. Firms must identify, assess, and mitigate risks to ensure financial stability. This theory is fundamental to financial risk management, highlighting the need for effective risk management practices.</w:t>
      </w:r>
    </w:p>
    <w:p w14:paraId="3D3AAD98" w14:textId="7E9365E1"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Pension funds are exposed to various risks such as investment risk, liquidity risk, and operational risk, which can impact their ability to meet their financial obligations (Hillson, 2013). Effective corporate governance practices such as risk management committees, internal controls, and audit practices can help identify and mitigate these risks (Olson &amp; Wu, 2017).</w:t>
      </w:r>
    </w:p>
    <w:p w14:paraId="35308B79"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In the pension industry, the Risk Management Theory provides a framework for understanding the importance of corporate governance in managing financial risk. By adopting a risk management approach, pension funds can ensure that financial risks are identified and mitigated, and that the interests of beneficiaries are protected.</w:t>
      </w:r>
    </w:p>
    <w:p w14:paraId="3DB7E178" w14:textId="52518A31" w:rsidR="00187BF2" w:rsidRPr="004D045E" w:rsidRDefault="00187BF2" w:rsidP="004714C7">
      <w:pPr>
        <w:pStyle w:val="NoSpacing"/>
        <w:jc w:val="both"/>
        <w:rPr>
          <w:rFonts w:ascii="Arial" w:hAnsi="Arial" w:cs="Arial"/>
          <w:b/>
        </w:rPr>
      </w:pPr>
      <w:bookmarkStart w:id="16" w:name="_2xcytpi" w:colFirst="0" w:colLast="0"/>
      <w:bookmarkStart w:id="17" w:name="_3as4poj" w:colFirst="0" w:colLast="0"/>
      <w:bookmarkEnd w:id="16"/>
      <w:bookmarkEnd w:id="17"/>
    </w:p>
    <w:p w14:paraId="025008B1" w14:textId="77777777" w:rsidR="00187BF2" w:rsidRPr="004D045E" w:rsidRDefault="00187BF2" w:rsidP="00187BF2">
      <w:pPr>
        <w:spacing w:before="120" w:after="280" w:line="240" w:lineRule="auto"/>
        <w:jc w:val="both"/>
        <w:outlineLvl w:val="2"/>
        <w:rPr>
          <w:rFonts w:ascii="Arial" w:eastAsia="Times New Roman" w:hAnsi="Arial" w:cs="Arial"/>
          <w:b/>
        </w:rPr>
      </w:pPr>
      <w:r w:rsidRPr="004D045E">
        <w:rPr>
          <w:rFonts w:ascii="Arial" w:eastAsia="Times New Roman" w:hAnsi="Arial" w:cs="Arial"/>
          <w:b/>
        </w:rPr>
        <w:t>2.2 Empirical Review</w:t>
      </w:r>
    </w:p>
    <w:p w14:paraId="14EB4A10" w14:textId="5F06744F" w:rsidR="00187BF2" w:rsidRPr="004D045E" w:rsidRDefault="005F1A36" w:rsidP="004714C7">
      <w:pPr>
        <w:pStyle w:val="NoSpacing"/>
        <w:jc w:val="both"/>
        <w:rPr>
          <w:rFonts w:ascii="Arial" w:hAnsi="Arial" w:cs="Arial"/>
          <w:b/>
        </w:rPr>
      </w:pPr>
      <w:r w:rsidRPr="004D045E">
        <w:rPr>
          <w:rFonts w:ascii="Arial" w:eastAsia="Times New Roman" w:hAnsi="Arial" w:cs="Arial"/>
        </w:rPr>
        <w:t>The empirical literature on board size and financial risk management presents mixed findings. Some studies indicate a positive relationship, suggesting that larger boards enhance financial risk management (</w:t>
      </w:r>
      <w:proofErr w:type="spellStart"/>
      <w:r w:rsidRPr="004D045E">
        <w:rPr>
          <w:rFonts w:ascii="Arial" w:eastAsia="Times New Roman" w:hAnsi="Arial" w:cs="Arial"/>
        </w:rPr>
        <w:t>Mohammadi</w:t>
      </w:r>
      <w:proofErr w:type="spellEnd"/>
      <w:r w:rsidRPr="004D045E">
        <w:rPr>
          <w:rFonts w:ascii="Arial" w:eastAsia="Times New Roman" w:hAnsi="Arial" w:cs="Arial"/>
        </w:rPr>
        <w:t xml:space="preserve"> &amp; </w:t>
      </w:r>
      <w:proofErr w:type="spellStart"/>
      <w:r w:rsidRPr="004D045E">
        <w:rPr>
          <w:rFonts w:ascii="Arial" w:eastAsia="Times New Roman" w:hAnsi="Arial" w:cs="Arial"/>
        </w:rPr>
        <w:t>Lotfi</w:t>
      </w:r>
      <w:proofErr w:type="spellEnd"/>
      <w:r w:rsidRPr="004D045E">
        <w:rPr>
          <w:rFonts w:ascii="Arial" w:eastAsia="Times New Roman" w:hAnsi="Arial" w:cs="Arial"/>
        </w:rPr>
        <w:t xml:space="preserve">, 2013; </w:t>
      </w:r>
      <w:proofErr w:type="spellStart"/>
      <w:r w:rsidRPr="004D045E">
        <w:rPr>
          <w:rFonts w:ascii="Arial" w:eastAsia="Times New Roman" w:hAnsi="Arial" w:cs="Arial"/>
        </w:rPr>
        <w:t>Maruhun</w:t>
      </w:r>
      <w:proofErr w:type="spellEnd"/>
      <w:r w:rsidRPr="004D045E">
        <w:rPr>
          <w:rFonts w:ascii="Arial" w:eastAsia="Times New Roman" w:hAnsi="Arial" w:cs="Arial"/>
        </w:rPr>
        <w:t xml:space="preserve"> et al., 2018). Conversely, Tarus (2021) found no significant correlation between board size and risk management, indicating that this relationship may depend on contextual factors and the presence of other governance </w:t>
      </w:r>
      <w:proofErr w:type="spellStart"/>
      <w:proofErr w:type="gramStart"/>
      <w:r w:rsidRPr="004D045E">
        <w:rPr>
          <w:rFonts w:ascii="Arial" w:eastAsia="Times New Roman" w:hAnsi="Arial" w:cs="Arial"/>
        </w:rPr>
        <w:t>mechanisms.Board</w:t>
      </w:r>
      <w:proofErr w:type="spellEnd"/>
      <w:proofErr w:type="gramEnd"/>
      <w:r w:rsidRPr="004D045E">
        <w:rPr>
          <w:rFonts w:ascii="Arial" w:eastAsia="Times New Roman" w:hAnsi="Arial" w:cs="Arial"/>
        </w:rPr>
        <w:t xml:space="preserve"> tenure has also been positively correlated with effective corporate risk management (Kanene et al., 2023). Fu and Li (2014) suggest that a board's mandate positively influences risk management when managers possess private knowledge of their capabilities. The presence of independent non-executive directors is crucial, as studies illustrate a link between </w:t>
      </w:r>
      <w:r w:rsidRPr="004D045E">
        <w:rPr>
          <w:rFonts w:ascii="Arial" w:eastAsia="Times New Roman" w:hAnsi="Arial" w:cs="Arial"/>
        </w:rPr>
        <w:lastRenderedPageBreak/>
        <w:t>board independence and firm performance (</w:t>
      </w:r>
      <w:r w:rsidR="00096DE9" w:rsidRPr="004D045E">
        <w:rPr>
          <w:rFonts w:eastAsia="Times New Roman" w:cs="Times New Roman"/>
          <w:kern w:val="2"/>
          <w:lang w:val="en-US" w:eastAsia="en-US"/>
        </w:rPr>
        <w:t>Rashid, 2020</w:t>
      </w:r>
      <w:r w:rsidR="00096DE9" w:rsidRPr="004D045E">
        <w:rPr>
          <w:rFonts w:ascii="Arial" w:eastAsia="Times New Roman" w:hAnsi="Arial" w:cs="Arial"/>
        </w:rPr>
        <w:t>)</w:t>
      </w:r>
      <w:r w:rsidRPr="004D045E">
        <w:rPr>
          <w:rFonts w:ascii="Arial" w:eastAsia="Times New Roman" w:hAnsi="Arial" w:cs="Arial"/>
        </w:rPr>
        <w:t>. However, conflicting results exist; for example, Wahba (2015) found that an increase in non-executive directors could negatively impact financial performance.</w:t>
      </w:r>
      <w:r w:rsidR="00C376F1" w:rsidRPr="004D045E">
        <w:rPr>
          <w:rFonts w:ascii="Arial" w:eastAsia="Times New Roman" w:hAnsi="Arial" w:cs="Arial"/>
        </w:rPr>
        <w:t xml:space="preserve"> </w:t>
      </w:r>
      <w:r w:rsidRPr="004D045E">
        <w:rPr>
          <w:rFonts w:ascii="Arial" w:eastAsia="Times New Roman" w:hAnsi="Arial" w:cs="Arial"/>
        </w:rPr>
        <w:t>Research indicates that frequent board meetings improve financial risk management (Liu et al., 2020). El-Masry et al. (2020) noted that firms with more frequent meetings experienced lower market risks and better liquidity. Studies also explore the impact of CEO duality on risk management, showing mixed results. While some studies found CEO duality linked to lower credit risk (El-Masry et al., 2019), others (Ahmed et al., 2018) found no significant relationship. Recent research by Abu et al. (2022) emphasizes that board characteristics like independence and meeting frequency significantly impact risk management practices.</w:t>
      </w:r>
    </w:p>
    <w:p w14:paraId="0B68CF95" w14:textId="156E9894" w:rsidR="00810699" w:rsidRPr="004D045E" w:rsidRDefault="00701FD7" w:rsidP="004714C7">
      <w:pPr>
        <w:pStyle w:val="Heading3"/>
        <w:spacing w:line="240" w:lineRule="auto"/>
        <w:rPr>
          <w:rFonts w:ascii="Arial" w:hAnsi="Arial" w:cs="Arial"/>
          <w:color w:val="auto"/>
          <w:sz w:val="22"/>
          <w:szCs w:val="22"/>
        </w:rPr>
      </w:pPr>
      <w:r w:rsidRPr="004D045E">
        <w:rPr>
          <w:rFonts w:ascii="Arial" w:hAnsi="Arial" w:cs="Arial"/>
          <w:color w:val="auto"/>
          <w:sz w:val="22"/>
          <w:szCs w:val="22"/>
        </w:rPr>
        <w:t>2.</w:t>
      </w:r>
      <w:r w:rsidR="004714C7" w:rsidRPr="004D045E">
        <w:rPr>
          <w:rFonts w:ascii="Arial" w:hAnsi="Arial" w:cs="Arial"/>
          <w:color w:val="auto"/>
          <w:sz w:val="22"/>
          <w:szCs w:val="22"/>
        </w:rPr>
        <w:t>3</w:t>
      </w:r>
      <w:r w:rsidRPr="004D045E">
        <w:rPr>
          <w:rFonts w:ascii="Arial" w:hAnsi="Arial" w:cs="Arial"/>
          <w:color w:val="auto"/>
          <w:sz w:val="22"/>
          <w:szCs w:val="22"/>
        </w:rPr>
        <w:t xml:space="preserve"> Conceptual Framework</w:t>
      </w:r>
    </w:p>
    <w:p w14:paraId="4EF03941" w14:textId="62D9192D"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The conceptual framework as illustrated in Figure 1 is grounded in the agency theory, which posits that the relationship between the pension fund manager and the beneficiaries is one of agency, where the manager has a fiduciary duty to act in the best interests of the beneficiaries (Jensen &amp; Meckling, 1976). </w:t>
      </w:r>
    </w:p>
    <w:p w14:paraId="2B688D8B"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Independent Variable: Corporate Governance</w:t>
      </w:r>
    </w:p>
    <w:p w14:paraId="650AD50D" w14:textId="33F00AF2"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Corporate governance refers to the system of rules, practices, and processes that govern a company's operations and ensure accountability to stakeholders (OECD, 201</w:t>
      </w:r>
      <w:r w:rsidR="00D21418" w:rsidRPr="004D045E">
        <w:rPr>
          <w:rFonts w:ascii="Arial" w:eastAsia="Times New Roman" w:hAnsi="Arial" w:cs="Arial"/>
        </w:rPr>
        <w:t>5</w:t>
      </w:r>
      <w:r w:rsidRPr="004D045E">
        <w:rPr>
          <w:rFonts w:ascii="Arial" w:eastAsia="Times New Roman" w:hAnsi="Arial" w:cs="Arial"/>
        </w:rPr>
        <w:t>). Effective corporate governance is essential for ensuring that companies are managed in a way that benefits all stakeholders, including shareholders, employees, and customers.</w:t>
      </w:r>
    </w:p>
    <w:p w14:paraId="6B9C3F78" w14:textId="6E6CAE37" w:rsidR="00810699" w:rsidRPr="004D045E" w:rsidRDefault="00701FD7" w:rsidP="00A042C4">
      <w:pPr>
        <w:numPr>
          <w:ilvl w:val="0"/>
          <w:numId w:val="1"/>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b/>
        </w:rPr>
        <w:t>Board Size:</w:t>
      </w:r>
      <w:r w:rsidRPr="004D045E">
        <w:rPr>
          <w:rFonts w:ascii="Arial" w:eastAsia="Times New Roman" w:hAnsi="Arial" w:cs="Arial"/>
        </w:rPr>
        <w:t xml:space="preserve"> The number of board members can impact the effectiveness of oversight and decision-making (Klein, 20</w:t>
      </w:r>
      <w:r w:rsidR="002461F8" w:rsidRPr="004D045E">
        <w:rPr>
          <w:rFonts w:ascii="Arial" w:eastAsia="Times New Roman" w:hAnsi="Arial" w:cs="Arial"/>
        </w:rPr>
        <w:t>23</w:t>
      </w:r>
      <w:r w:rsidRPr="004D045E">
        <w:rPr>
          <w:rFonts w:ascii="Arial" w:eastAsia="Times New Roman" w:hAnsi="Arial" w:cs="Arial"/>
        </w:rPr>
        <w:t>). A larger board may provide diverse perspectives and expertise, but may also lead to inefficiencies and conflicts.</w:t>
      </w:r>
    </w:p>
    <w:p w14:paraId="643BC013" w14:textId="79634BAE" w:rsidR="00810699" w:rsidRPr="004D045E" w:rsidRDefault="00701FD7" w:rsidP="00A042C4">
      <w:pPr>
        <w:numPr>
          <w:ilvl w:val="0"/>
          <w:numId w:val="1"/>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b/>
        </w:rPr>
        <w:t>Board Independence:</w:t>
      </w:r>
      <w:r w:rsidRPr="004D045E">
        <w:rPr>
          <w:rFonts w:ascii="Arial" w:eastAsia="Times New Roman" w:hAnsi="Arial" w:cs="Arial"/>
        </w:rPr>
        <w:t xml:space="preserve"> The percentage of independent directors can influence the board's ability to make objective decisions (Cohen et al., 2019). Independent directors can provide checks and balances on management and ensure that the company is managed in the best interests of all stakeholders.</w:t>
      </w:r>
      <w:r w:rsidR="00D67655" w:rsidRPr="004D045E">
        <w:rPr>
          <w:rFonts w:ascii="Arial" w:eastAsia="Times New Roman" w:hAnsi="Arial" w:cs="Arial"/>
        </w:rPr>
        <w:t xml:space="preserve"> The accuracy of expected pension contributions is linked to board independence and female diversity at the audit committee and board level, but not to being both CEO and Chairman. (Khalil et al, 2025)</w:t>
      </w:r>
    </w:p>
    <w:p w14:paraId="63447EE1" w14:textId="77777777" w:rsidR="00810699" w:rsidRPr="004D045E" w:rsidRDefault="00701FD7" w:rsidP="00A042C4">
      <w:pPr>
        <w:numPr>
          <w:ilvl w:val="0"/>
          <w:numId w:val="1"/>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b/>
        </w:rPr>
        <w:t>Board Meetings:</w:t>
      </w:r>
      <w:r w:rsidRPr="004D045E">
        <w:rPr>
          <w:rFonts w:ascii="Arial" w:eastAsia="Times New Roman" w:hAnsi="Arial" w:cs="Arial"/>
        </w:rPr>
        <w:t xml:space="preserve"> The frequency of board meetings can affect the board's ability to monitor and address risk management issues (Liu et al., 2020). Regular board meetings can ensure that risk management is a regular agenda item and that the board is informed and engaged in risk management decisions.</w:t>
      </w:r>
    </w:p>
    <w:p w14:paraId="55C45FBE" w14:textId="5A30F032" w:rsidR="00810699" w:rsidRPr="004D045E" w:rsidRDefault="00701FD7" w:rsidP="00A042C4">
      <w:pPr>
        <w:numPr>
          <w:ilvl w:val="0"/>
          <w:numId w:val="1"/>
        </w:numPr>
        <w:pBdr>
          <w:top w:val="nil"/>
          <w:left w:val="nil"/>
          <w:bottom w:val="nil"/>
          <w:right w:val="nil"/>
          <w:between w:val="nil"/>
        </w:pBdr>
        <w:spacing w:line="240" w:lineRule="auto"/>
        <w:jc w:val="both"/>
        <w:rPr>
          <w:rFonts w:ascii="Arial" w:eastAsia="Times New Roman" w:hAnsi="Arial" w:cs="Arial"/>
        </w:rPr>
      </w:pPr>
      <w:r w:rsidRPr="004D045E">
        <w:rPr>
          <w:rFonts w:ascii="Arial" w:eastAsia="Times New Roman" w:hAnsi="Arial" w:cs="Arial"/>
          <w:b/>
        </w:rPr>
        <w:t>CEO Duality:</w:t>
      </w:r>
      <w:r w:rsidRPr="004D045E">
        <w:rPr>
          <w:rFonts w:ascii="Arial" w:eastAsia="Times New Roman" w:hAnsi="Arial" w:cs="Arial"/>
        </w:rPr>
        <w:t xml:space="preserve"> Whether the CEO also serves as Chairman can impact the balance of power and oversight (Klein, 20</w:t>
      </w:r>
      <w:r w:rsidR="002461F8" w:rsidRPr="004D045E">
        <w:rPr>
          <w:rFonts w:ascii="Arial" w:eastAsia="Times New Roman" w:hAnsi="Arial" w:cs="Arial"/>
        </w:rPr>
        <w:t>23</w:t>
      </w:r>
      <w:r w:rsidRPr="004D045E">
        <w:rPr>
          <w:rFonts w:ascii="Arial" w:eastAsia="Times New Roman" w:hAnsi="Arial" w:cs="Arial"/>
        </w:rPr>
        <w:t>). CEO duality can lead to a concentration of power and reduce the effectiveness of board oversight.</w:t>
      </w:r>
    </w:p>
    <w:p w14:paraId="6999EC57"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Dependent Variable: Financial Risk Management</w:t>
      </w:r>
    </w:p>
    <w:p w14:paraId="510CAA29"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Financial risk management refers to the processes and strategies used to identify, assess, and mitigate financial risks that could impact the pension fund's assets and liabilities (CFA Institute, 2020).</w:t>
      </w:r>
    </w:p>
    <w:p w14:paraId="6DE8B797" w14:textId="7EB4120A" w:rsidR="00810699" w:rsidRPr="004D045E" w:rsidRDefault="00701FD7" w:rsidP="00A042C4">
      <w:pPr>
        <w:numPr>
          <w:ilvl w:val="0"/>
          <w:numId w:val="2"/>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b/>
        </w:rPr>
        <w:t>Market Risk</w:t>
      </w:r>
      <w:r w:rsidRPr="004D045E">
        <w:rPr>
          <w:rFonts w:ascii="Arial" w:eastAsia="Times New Roman" w:hAnsi="Arial" w:cs="Arial"/>
        </w:rPr>
        <w:t xml:space="preserve"> - a measure of the risk of losses due to changes in market prices or rates.</w:t>
      </w:r>
    </w:p>
    <w:p w14:paraId="13D80DC0" w14:textId="0F2A151E" w:rsidR="00810699" w:rsidRPr="004D045E" w:rsidRDefault="00701FD7" w:rsidP="00A042C4">
      <w:pPr>
        <w:numPr>
          <w:ilvl w:val="0"/>
          <w:numId w:val="2"/>
        </w:numPr>
        <w:pBdr>
          <w:top w:val="nil"/>
          <w:left w:val="nil"/>
          <w:bottom w:val="nil"/>
          <w:right w:val="nil"/>
          <w:between w:val="nil"/>
        </w:pBdr>
        <w:spacing w:after="0" w:line="240" w:lineRule="auto"/>
        <w:jc w:val="both"/>
        <w:rPr>
          <w:rFonts w:ascii="Arial" w:eastAsia="Times New Roman" w:hAnsi="Arial" w:cs="Arial"/>
        </w:rPr>
      </w:pPr>
      <w:r w:rsidRPr="004D045E">
        <w:rPr>
          <w:rFonts w:ascii="Arial" w:eastAsia="Times New Roman" w:hAnsi="Arial" w:cs="Arial"/>
          <w:b/>
        </w:rPr>
        <w:t>Liquidity Risk</w:t>
      </w:r>
      <w:r w:rsidRPr="004D045E">
        <w:rPr>
          <w:rFonts w:ascii="Arial" w:eastAsia="Times New Roman" w:hAnsi="Arial" w:cs="Arial"/>
        </w:rPr>
        <w:t xml:space="preserve"> - a measure of the risk of not having sufficient liquidity to meet obligations.</w:t>
      </w:r>
    </w:p>
    <w:p w14:paraId="629435D2" w14:textId="5F021C06" w:rsidR="00810699" w:rsidRPr="004D045E" w:rsidRDefault="00701FD7" w:rsidP="00A042C4">
      <w:pPr>
        <w:numPr>
          <w:ilvl w:val="0"/>
          <w:numId w:val="2"/>
        </w:numPr>
        <w:pBdr>
          <w:top w:val="nil"/>
          <w:left w:val="nil"/>
          <w:bottom w:val="nil"/>
          <w:right w:val="nil"/>
          <w:between w:val="nil"/>
        </w:pBdr>
        <w:spacing w:line="240" w:lineRule="auto"/>
        <w:jc w:val="both"/>
        <w:rPr>
          <w:rFonts w:ascii="Arial" w:eastAsia="Times New Roman" w:hAnsi="Arial" w:cs="Arial"/>
        </w:rPr>
      </w:pPr>
      <w:r w:rsidRPr="004D045E">
        <w:rPr>
          <w:rFonts w:ascii="Arial" w:eastAsia="Times New Roman" w:hAnsi="Arial" w:cs="Arial"/>
          <w:b/>
        </w:rPr>
        <w:t>Operational Risk</w:t>
      </w:r>
      <w:r w:rsidRPr="004D045E">
        <w:rPr>
          <w:rFonts w:ascii="Arial" w:eastAsia="Times New Roman" w:hAnsi="Arial" w:cs="Arial"/>
        </w:rPr>
        <w:t xml:space="preserve"> - a measure of the risk of losses due to inadequate or failed internal processes, systems, and people, or from external event.</w:t>
      </w:r>
    </w:p>
    <w:p w14:paraId="6AE1A688"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lastRenderedPageBreak/>
        <w:t>Moderating Variables: Firm and Industry Factors</w:t>
      </w:r>
    </w:p>
    <w:p w14:paraId="55C9A44B" w14:textId="4D28B29B" w:rsidR="00C376F1"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Firm size and industry regulation can moderate the impact of corporate governance on financial risk management in the pension </w:t>
      </w:r>
      <w:r w:rsidR="00573886" w:rsidRPr="004D045E">
        <w:rPr>
          <w:rFonts w:ascii="Arial" w:eastAsia="Times New Roman" w:hAnsi="Arial" w:cs="Arial"/>
        </w:rPr>
        <w:t>induct</w:t>
      </w:r>
    </w:p>
    <w:p w14:paraId="24972589" w14:textId="3E10B730" w:rsidR="002A73D7" w:rsidRPr="004D045E" w:rsidRDefault="00701FD7" w:rsidP="005129AC">
      <w:pPr>
        <w:spacing w:line="240" w:lineRule="auto"/>
        <w:jc w:val="both"/>
        <w:rPr>
          <w:rFonts w:ascii="Arial" w:eastAsia="Times New Roman" w:hAnsi="Arial" w:cs="Arial"/>
        </w:rPr>
      </w:pPr>
      <w:r w:rsidRPr="004D045E">
        <w:rPr>
          <w:rFonts w:ascii="Arial" w:eastAsia="Times New Roman" w:hAnsi="Arial" w:cs="Arial"/>
        </w:rPr>
        <w:t>ry. Firm size can impact the resources and expertise available for risk management (Baxter et al., 2017). Also, industry regulation can impact the stringency of regulatory requirements and oversight.</w:t>
      </w:r>
    </w:p>
    <w:p w14:paraId="4F74D1D9" w14:textId="77777777" w:rsidR="002A73D7" w:rsidRPr="004D045E" w:rsidRDefault="002A73D7" w:rsidP="00A042C4">
      <w:pPr>
        <w:spacing w:line="240" w:lineRule="auto"/>
        <w:rPr>
          <w:rFonts w:ascii="Arial" w:eastAsia="Times New Roman" w:hAnsi="Arial" w:cs="Arial"/>
        </w:rPr>
      </w:pPr>
    </w:p>
    <w:p w14:paraId="0AB3D16C" w14:textId="1EC6E611" w:rsidR="00810699" w:rsidRPr="004D045E" w:rsidRDefault="008A5FC2" w:rsidP="00A042C4">
      <w:pPr>
        <w:spacing w:line="240" w:lineRule="auto"/>
        <w:rPr>
          <w:rFonts w:ascii="Arial" w:eastAsia="Times New Roman" w:hAnsi="Arial" w:cs="Arial"/>
        </w:rPr>
      </w:pPr>
      <w:r w:rsidRPr="004D045E">
        <w:rPr>
          <w:rFonts w:ascii="Arial" w:hAnsi="Arial" w:cs="Arial"/>
          <w:noProof/>
          <w:lang w:val="en-US" w:eastAsia="en-US"/>
        </w:rPr>
        <mc:AlternateContent>
          <mc:Choice Requires="wpg">
            <w:drawing>
              <wp:anchor distT="0" distB="0" distL="114300" distR="114300" simplePos="0" relativeHeight="251658240" behindDoc="0" locked="0" layoutInCell="1" hidden="0" allowOverlap="1" wp14:anchorId="668F8E3F" wp14:editId="32946B64">
                <wp:simplePos x="0" y="0"/>
                <wp:positionH relativeFrom="column">
                  <wp:posOffset>99060</wp:posOffset>
                </wp:positionH>
                <wp:positionV relativeFrom="paragraph">
                  <wp:posOffset>8890</wp:posOffset>
                </wp:positionV>
                <wp:extent cx="5547995" cy="3840479"/>
                <wp:effectExtent l="0" t="0" r="14605" b="27305"/>
                <wp:wrapNone/>
                <wp:docPr id="2" name="Group 2"/>
                <wp:cNvGraphicFramePr/>
                <a:graphic xmlns:a="http://schemas.openxmlformats.org/drawingml/2006/main">
                  <a:graphicData uri="http://schemas.microsoft.com/office/word/2010/wordprocessingGroup">
                    <wpg:wgp>
                      <wpg:cNvGrpSpPr/>
                      <wpg:grpSpPr>
                        <a:xfrm>
                          <a:off x="0" y="0"/>
                          <a:ext cx="5547995" cy="3840479"/>
                          <a:chOff x="0" y="0"/>
                          <a:chExt cx="5548313" cy="3638216"/>
                        </a:xfrm>
                      </wpg:grpSpPr>
                      <wps:wsp>
                        <wps:cNvPr id="725678932" name="Rounded Rectangle 725678932"/>
                        <wps:cNvSpPr/>
                        <wps:spPr>
                          <a:xfrm>
                            <a:off x="2017400" y="3304841"/>
                            <a:ext cx="1704975" cy="33337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3F48B9E" w14:textId="77777777" w:rsidR="005273F2" w:rsidRPr="00C10936" w:rsidRDefault="005273F2" w:rsidP="00AD2204">
                              <w:pPr>
                                <w:jc w:val="center"/>
                                <w:rPr>
                                  <w:rFonts w:ascii="Times New Roman" w:hAnsi="Times New Roman" w:cs="Times New Roman"/>
                                  <w:b/>
                                  <w:sz w:val="24"/>
                                  <w:szCs w:val="24"/>
                                </w:rPr>
                              </w:pPr>
                              <w:r>
                                <w:rPr>
                                  <w:rFonts w:ascii="Times New Roman" w:hAnsi="Times New Roman" w:cs="Times New Roman"/>
                                  <w:b/>
                                  <w:sz w:val="24"/>
                                  <w:szCs w:val="24"/>
                                </w:rPr>
                                <w:t>Moderating</w:t>
                              </w:r>
                              <w:r w:rsidRPr="00C10936">
                                <w:rPr>
                                  <w:rFonts w:ascii="Times New Roman" w:hAnsi="Times New Roman" w:cs="Times New Roman"/>
                                  <w:b/>
                                  <w:sz w:val="24"/>
                                  <w:szCs w:val="24"/>
                                </w:rPr>
                                <w:t xml:space="preserve">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95616557" name="Group 1695616557"/>
                        <wpg:cNvGrpSpPr/>
                        <wpg:grpSpPr>
                          <a:xfrm>
                            <a:off x="0" y="0"/>
                            <a:ext cx="5548313" cy="3269232"/>
                            <a:chOff x="0" y="0"/>
                            <a:chExt cx="5548313" cy="3269232"/>
                          </a:xfrm>
                        </wpg:grpSpPr>
                        <wps:wsp>
                          <wps:cNvPr id="14491650" name="Rounded Rectangle 14491650"/>
                          <wps:cNvSpPr/>
                          <wps:spPr>
                            <a:xfrm>
                              <a:off x="30482" y="380969"/>
                              <a:ext cx="1526849" cy="2744721"/>
                            </a:xfrm>
                            <a:prstGeom prst="roundRect">
                              <a:avLst/>
                            </a:prstGeom>
                          </wps:spPr>
                          <wps:style>
                            <a:lnRef idx="2">
                              <a:schemeClr val="dk1"/>
                            </a:lnRef>
                            <a:fillRef idx="1">
                              <a:schemeClr val="lt1"/>
                            </a:fillRef>
                            <a:effectRef idx="0">
                              <a:schemeClr val="dk1"/>
                            </a:effectRef>
                            <a:fontRef idx="minor">
                              <a:schemeClr val="dk1"/>
                            </a:fontRef>
                          </wps:style>
                          <wps:txbx>
                            <w:txbxContent>
                              <w:p w14:paraId="6E16630E" w14:textId="77777777" w:rsidR="005273F2" w:rsidRPr="00C10936" w:rsidRDefault="005273F2" w:rsidP="00AD2204">
                                <w:pPr>
                                  <w:rPr>
                                    <w:rFonts w:ascii="Times New Roman" w:hAnsi="Times New Roman" w:cs="Times New Roman"/>
                                    <w:b/>
                                    <w:sz w:val="24"/>
                                    <w:szCs w:val="24"/>
                                  </w:rPr>
                                </w:pPr>
                                <w:r w:rsidRPr="00C10936">
                                  <w:rPr>
                                    <w:rFonts w:ascii="Times New Roman" w:hAnsi="Times New Roman" w:cs="Times New Roman"/>
                                    <w:b/>
                                    <w:sz w:val="24"/>
                                    <w:szCs w:val="24"/>
                                  </w:rPr>
                                  <w:t>Corporate Governance</w:t>
                                </w:r>
                                <w:r>
                                  <w:rPr>
                                    <w:rFonts w:ascii="Times New Roman" w:hAnsi="Times New Roman" w:cs="Times New Roman"/>
                                    <w:b/>
                                    <w:sz w:val="24"/>
                                    <w:szCs w:val="24"/>
                                  </w:rPr>
                                  <w:t>:</w:t>
                                </w:r>
                              </w:p>
                              <w:p w14:paraId="6BE2F71C" w14:textId="77777777" w:rsidR="005273F2" w:rsidRDefault="005273F2" w:rsidP="00AD2204">
                                <w:pPr>
                                  <w:numPr>
                                    <w:ilvl w:val="0"/>
                                    <w:numId w:val="7"/>
                                  </w:numPr>
                                </w:pPr>
                                <w:r w:rsidRPr="00C10936">
                                  <w:rPr>
                                    <w:rFonts w:ascii="Times New Roman" w:hAnsi="Times New Roman" w:cs="Times New Roman"/>
                                    <w:sz w:val="24"/>
                                    <w:szCs w:val="24"/>
                                  </w:rPr>
                                  <w:t>Board Size</w:t>
                                </w:r>
                              </w:p>
                              <w:p w14:paraId="7D2EE414" w14:textId="77777777" w:rsidR="005273F2" w:rsidRDefault="005273F2" w:rsidP="00AD2204">
                                <w:pPr>
                                  <w:numPr>
                                    <w:ilvl w:val="0"/>
                                    <w:numId w:val="7"/>
                                  </w:numPr>
                                </w:pPr>
                                <w:r w:rsidRPr="00C10936">
                                  <w:rPr>
                                    <w:rFonts w:ascii="Times New Roman" w:hAnsi="Times New Roman" w:cs="Times New Roman"/>
                                    <w:sz w:val="24"/>
                                    <w:szCs w:val="24"/>
                                  </w:rPr>
                                  <w:t>Board Independence</w:t>
                                </w:r>
                              </w:p>
                              <w:p w14:paraId="0AF0DDA9" w14:textId="77777777" w:rsidR="005273F2" w:rsidRPr="00510708" w:rsidRDefault="005273F2" w:rsidP="00AD2204">
                                <w:pPr>
                                  <w:numPr>
                                    <w:ilvl w:val="0"/>
                                    <w:numId w:val="7"/>
                                  </w:numPr>
                                </w:pPr>
                                <w:r w:rsidRPr="00C10936">
                                  <w:rPr>
                                    <w:rFonts w:ascii="Times New Roman" w:hAnsi="Times New Roman" w:cs="Times New Roman"/>
                                    <w:sz w:val="24"/>
                                    <w:szCs w:val="24"/>
                                  </w:rPr>
                                  <w:t>Board Meetings</w:t>
                                </w:r>
                              </w:p>
                              <w:p w14:paraId="557462C0" w14:textId="77777777" w:rsidR="005273F2" w:rsidRDefault="005273F2" w:rsidP="00AD2204">
                                <w:pPr>
                                  <w:numPr>
                                    <w:ilvl w:val="0"/>
                                    <w:numId w:val="7"/>
                                  </w:numPr>
                                </w:pPr>
                                <w:r w:rsidRPr="00510708">
                                  <w:rPr>
                                    <w:rFonts w:ascii="Times New Roman" w:hAnsi="Times New Roman" w:cs="Times New Roman"/>
                                    <w:sz w:val="24"/>
                                    <w:szCs w:val="24"/>
                                  </w:rPr>
                                  <w:t>CEO Duality</w:t>
                                </w:r>
                              </w:p>
                              <w:p w14:paraId="6CFD4F17" w14:textId="77777777" w:rsidR="005273F2" w:rsidRDefault="005273F2" w:rsidP="00AD22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1361514" name="Rounded Rectangle 1751361514"/>
                          <wps:cNvSpPr/>
                          <wps:spPr>
                            <a:xfrm>
                              <a:off x="4013834" y="419064"/>
                              <a:ext cx="1488121" cy="2389005"/>
                            </a:xfrm>
                            <a:prstGeom prst="roundRect">
                              <a:avLst/>
                            </a:prstGeom>
                          </wps:spPr>
                          <wps:style>
                            <a:lnRef idx="2">
                              <a:schemeClr val="dk1"/>
                            </a:lnRef>
                            <a:fillRef idx="1">
                              <a:schemeClr val="lt1"/>
                            </a:fillRef>
                            <a:effectRef idx="0">
                              <a:schemeClr val="dk1"/>
                            </a:effectRef>
                            <a:fontRef idx="minor">
                              <a:schemeClr val="dk1"/>
                            </a:fontRef>
                          </wps:style>
                          <wps:txbx>
                            <w:txbxContent>
                              <w:p w14:paraId="67C4F620" w14:textId="77777777" w:rsidR="005273F2" w:rsidRPr="00B5503E" w:rsidRDefault="005273F2" w:rsidP="00AD2204">
                                <w:pPr>
                                  <w:rPr>
                                    <w:rFonts w:ascii="Times New Roman" w:hAnsi="Times New Roman" w:cs="Times New Roman"/>
                                    <w:b/>
                                    <w:sz w:val="24"/>
                                    <w:szCs w:val="24"/>
                                  </w:rPr>
                                </w:pPr>
                                <w:r w:rsidRPr="00B5503E">
                                  <w:rPr>
                                    <w:rFonts w:ascii="Times New Roman" w:hAnsi="Times New Roman" w:cs="Times New Roman"/>
                                    <w:b/>
                                    <w:sz w:val="24"/>
                                    <w:szCs w:val="24"/>
                                  </w:rPr>
                                  <w:t>Financial Risk Management:</w:t>
                                </w:r>
                              </w:p>
                              <w:p w14:paraId="0A231D9E" w14:textId="77777777" w:rsidR="005273F2" w:rsidRDefault="005273F2" w:rsidP="00AD2204">
                                <w:pPr>
                                  <w:numPr>
                                    <w:ilvl w:val="0"/>
                                    <w:numId w:val="6"/>
                                  </w:numPr>
                                </w:pPr>
                                <w:r w:rsidRPr="00C10936">
                                  <w:rPr>
                                    <w:rFonts w:ascii="Times New Roman" w:hAnsi="Times New Roman" w:cs="Times New Roman"/>
                                    <w:sz w:val="24"/>
                                    <w:szCs w:val="24"/>
                                  </w:rPr>
                                  <w:t xml:space="preserve">Market Risk </w:t>
                                </w:r>
                              </w:p>
                              <w:p w14:paraId="0033F0C6" w14:textId="77777777" w:rsidR="005273F2" w:rsidRDefault="005273F2" w:rsidP="00AD2204">
                                <w:pPr>
                                  <w:numPr>
                                    <w:ilvl w:val="0"/>
                                    <w:numId w:val="6"/>
                                  </w:numPr>
                                </w:pPr>
                                <w:r w:rsidRPr="00C10936">
                                  <w:rPr>
                                    <w:rFonts w:ascii="Times New Roman" w:hAnsi="Times New Roman" w:cs="Times New Roman"/>
                                    <w:sz w:val="24"/>
                                    <w:szCs w:val="24"/>
                                  </w:rPr>
                                  <w:t xml:space="preserve">Liquidity Risk </w:t>
                                </w:r>
                              </w:p>
                              <w:p w14:paraId="63A87C26" w14:textId="77777777" w:rsidR="005273F2" w:rsidRDefault="005273F2" w:rsidP="00AD2204">
                                <w:pPr>
                                  <w:numPr>
                                    <w:ilvl w:val="0"/>
                                    <w:numId w:val="6"/>
                                  </w:numPr>
                                </w:pPr>
                                <w:r w:rsidRPr="00C10936">
                                  <w:rPr>
                                    <w:rFonts w:ascii="Times New Roman" w:hAnsi="Times New Roman" w:cs="Times New Roman"/>
                                    <w:sz w:val="24"/>
                                    <w:szCs w:val="24"/>
                                  </w:rPr>
                                  <w:t xml:space="preserve">Operational Risk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5322924" name="Rounded Rectangle 2035322924"/>
                          <wps:cNvSpPr/>
                          <wps:spPr>
                            <a:xfrm>
                              <a:off x="1985962" y="1710828"/>
                              <a:ext cx="1801394" cy="1558404"/>
                            </a:xfrm>
                            <a:prstGeom prst="roundRect">
                              <a:avLst/>
                            </a:prstGeom>
                          </wps:spPr>
                          <wps:style>
                            <a:lnRef idx="2">
                              <a:schemeClr val="dk1"/>
                            </a:lnRef>
                            <a:fillRef idx="1">
                              <a:schemeClr val="lt1"/>
                            </a:fillRef>
                            <a:effectRef idx="0">
                              <a:schemeClr val="dk1"/>
                            </a:effectRef>
                            <a:fontRef idx="minor">
                              <a:schemeClr val="dk1"/>
                            </a:fontRef>
                          </wps:style>
                          <wps:txbx>
                            <w:txbxContent>
                              <w:p w14:paraId="58F4AE04" w14:textId="77777777" w:rsidR="005273F2" w:rsidRPr="00C10936" w:rsidRDefault="005273F2" w:rsidP="00AD2204">
                                <w:pPr>
                                  <w:rPr>
                                    <w:rFonts w:ascii="Times New Roman" w:hAnsi="Times New Roman" w:cs="Times New Roman"/>
                                    <w:b/>
                                    <w:sz w:val="24"/>
                                    <w:szCs w:val="24"/>
                                  </w:rPr>
                                </w:pPr>
                                <w:r>
                                  <w:rPr>
                                    <w:rFonts w:ascii="Times New Roman" w:hAnsi="Times New Roman" w:cs="Times New Roman"/>
                                    <w:b/>
                                    <w:sz w:val="24"/>
                                    <w:szCs w:val="24"/>
                                  </w:rPr>
                                  <w:t>Firm &amp; Industry Factors:</w:t>
                                </w:r>
                              </w:p>
                              <w:p w14:paraId="3DC4ABB1" w14:textId="77777777" w:rsidR="005273F2" w:rsidRDefault="005273F2" w:rsidP="00AD2204">
                                <w:pPr>
                                  <w:numPr>
                                    <w:ilvl w:val="0"/>
                                    <w:numId w:val="8"/>
                                  </w:numPr>
                                </w:pPr>
                                <w:r>
                                  <w:rPr>
                                    <w:rFonts w:ascii="Times New Roman" w:hAnsi="Times New Roman" w:cs="Times New Roman"/>
                                    <w:sz w:val="24"/>
                                    <w:szCs w:val="24"/>
                                  </w:rPr>
                                  <w:t xml:space="preserve">Firm Size </w:t>
                                </w:r>
                              </w:p>
                              <w:p w14:paraId="3CFB6FC8" w14:textId="77777777" w:rsidR="005273F2" w:rsidRDefault="005273F2" w:rsidP="00AD2204">
                                <w:pPr>
                                  <w:numPr>
                                    <w:ilvl w:val="0"/>
                                    <w:numId w:val="8"/>
                                  </w:numPr>
                                </w:pPr>
                                <w:r w:rsidRPr="00C10936">
                                  <w:rPr>
                                    <w:rFonts w:ascii="Times New Roman" w:hAnsi="Times New Roman" w:cs="Times New Roman"/>
                                    <w:sz w:val="24"/>
                                    <w:szCs w:val="24"/>
                                  </w:rPr>
                                  <w:t xml:space="preserve">Industry regulation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6171560" name="Rounded Rectangle 1226171560"/>
                          <wps:cNvSpPr/>
                          <wps:spPr>
                            <a:xfrm>
                              <a:off x="0" y="0"/>
                              <a:ext cx="1814195" cy="33337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5A2288E" w14:textId="77777777" w:rsidR="005273F2" w:rsidRPr="00C10936" w:rsidRDefault="005273F2" w:rsidP="00AD2204">
                                <w:pPr>
                                  <w:rPr>
                                    <w:rFonts w:ascii="Times New Roman" w:hAnsi="Times New Roman" w:cs="Times New Roman"/>
                                    <w:b/>
                                    <w:sz w:val="24"/>
                                    <w:szCs w:val="24"/>
                                  </w:rPr>
                                </w:pPr>
                                <w:r w:rsidRPr="00C10936">
                                  <w:rPr>
                                    <w:rFonts w:ascii="Times New Roman" w:hAnsi="Times New Roman" w:cs="Times New Roman"/>
                                    <w:b/>
                                    <w:sz w:val="24"/>
                                    <w:szCs w:val="24"/>
                                  </w:rPr>
                                  <w:t>Independent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7936191" name="Rounded Rectangle 1247936191"/>
                          <wps:cNvSpPr/>
                          <wps:spPr>
                            <a:xfrm>
                              <a:off x="3962400" y="0"/>
                              <a:ext cx="1585913" cy="33337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1822072" w14:textId="77777777" w:rsidR="005273F2" w:rsidRPr="00C10936" w:rsidRDefault="005273F2" w:rsidP="00AD2204">
                                <w:pPr>
                                  <w:rPr>
                                    <w:rFonts w:ascii="Times New Roman" w:hAnsi="Times New Roman" w:cs="Times New Roman"/>
                                    <w:b/>
                                    <w:sz w:val="24"/>
                                    <w:szCs w:val="24"/>
                                  </w:rPr>
                                </w:pPr>
                                <w:r w:rsidRPr="00C10936">
                                  <w:rPr>
                                    <w:rFonts w:ascii="Times New Roman" w:hAnsi="Times New Roman" w:cs="Times New Roman"/>
                                    <w:b/>
                                    <w:sz w:val="24"/>
                                    <w:szCs w:val="24"/>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191270" name="Straight Arrow Connector 1444191270"/>
                          <wps:cNvCnPr/>
                          <wps:spPr>
                            <a:xfrm>
                              <a:off x="1557338" y="1323975"/>
                              <a:ext cx="2471737"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668321168" name="Straight Arrow Connector 1668321168"/>
                          <wps:cNvCnPr/>
                          <wps:spPr>
                            <a:xfrm flipV="1">
                              <a:off x="2771775" y="1323976"/>
                              <a:ext cx="1" cy="394071"/>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68F8E3F" id="Group 2" o:spid="_x0000_s1026" style="position:absolute;margin-left:7.8pt;margin-top:.7pt;width:436.85pt;height:302.4pt;z-index:251658240;mso-height-relative:margin" coordsize="55483,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">
                <v:roundrect id="Rounded Rectangle 725678932" o:spid="_x0000_s1027" style="position:absolute;left:20174;top:33048;width:1704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" fillcolor="white [3201]" strokecolor="white [3212]" strokeweight="2pt">
                  <v:textbox>
                    <w:txbxContent>
                      <w:p w14:paraId="33F48B9E" w14:textId="77777777" w:rsidR="005273F2" w:rsidRPr="00C10936" w:rsidRDefault="005273F2" w:rsidP="00AD2204">
                        <w:pPr>
                          <w:jc w:val="center"/>
                          <w:rPr>
                            <w:rFonts w:ascii="Times New Roman" w:hAnsi="Times New Roman" w:cs="Times New Roman"/>
                            <w:b/>
                            <w:sz w:val="24"/>
                            <w:szCs w:val="24"/>
                          </w:rPr>
                        </w:pPr>
                        <w:r>
                          <w:rPr>
                            <w:rFonts w:ascii="Times New Roman" w:hAnsi="Times New Roman" w:cs="Times New Roman"/>
                            <w:b/>
                            <w:sz w:val="24"/>
                            <w:szCs w:val="24"/>
                          </w:rPr>
                          <w:t>Moderating</w:t>
                        </w:r>
                        <w:r w:rsidRPr="00C10936">
                          <w:rPr>
                            <w:rFonts w:ascii="Times New Roman" w:hAnsi="Times New Roman" w:cs="Times New Roman"/>
                            <w:b/>
                            <w:sz w:val="24"/>
                            <w:szCs w:val="24"/>
                          </w:rPr>
                          <w:t xml:space="preserve"> Variable</w:t>
                        </w:r>
                      </w:p>
                    </w:txbxContent>
                  </v:textbox>
                </v:roundrect>
                <v:group id="Group 1695616557" o:spid="_x0000_s1028" style="position:absolute;width:55483;height:32692" coordsize="55483,3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">
                  <v:roundrect id="Rounded Rectangle 14491650" o:spid="_x0000_s1029" style="position:absolute;left:304;top:3809;width:15269;height:27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" fillcolor="white [3201]" strokecolor="black [3200]" strokeweight="2pt">
                    <v:textbox>
                      <w:txbxContent>
                        <w:p w14:paraId="6E16630E" w14:textId="77777777" w:rsidR="005273F2" w:rsidRPr="00C10936" w:rsidRDefault="005273F2" w:rsidP="00AD2204">
                          <w:pPr>
                            <w:rPr>
                              <w:rFonts w:ascii="Times New Roman" w:hAnsi="Times New Roman" w:cs="Times New Roman"/>
                              <w:b/>
                              <w:sz w:val="24"/>
                              <w:szCs w:val="24"/>
                            </w:rPr>
                          </w:pPr>
                          <w:r w:rsidRPr="00C10936">
                            <w:rPr>
                              <w:rFonts w:ascii="Times New Roman" w:hAnsi="Times New Roman" w:cs="Times New Roman"/>
                              <w:b/>
                              <w:sz w:val="24"/>
                              <w:szCs w:val="24"/>
                            </w:rPr>
                            <w:t>Corporate Governance</w:t>
                          </w:r>
                          <w:r>
                            <w:rPr>
                              <w:rFonts w:ascii="Times New Roman" w:hAnsi="Times New Roman" w:cs="Times New Roman"/>
                              <w:b/>
                              <w:sz w:val="24"/>
                              <w:szCs w:val="24"/>
                            </w:rPr>
                            <w:t>:</w:t>
                          </w:r>
                        </w:p>
                        <w:p w14:paraId="6BE2F71C" w14:textId="77777777" w:rsidR="005273F2" w:rsidRDefault="005273F2" w:rsidP="00AD2204">
                          <w:pPr>
                            <w:numPr>
                              <w:ilvl w:val="0"/>
                              <w:numId w:val="7"/>
                            </w:numPr>
                          </w:pPr>
                          <w:r w:rsidRPr="00C10936">
                            <w:rPr>
                              <w:rFonts w:ascii="Times New Roman" w:hAnsi="Times New Roman" w:cs="Times New Roman"/>
                              <w:sz w:val="24"/>
                              <w:szCs w:val="24"/>
                            </w:rPr>
                            <w:t>Board Size</w:t>
                          </w:r>
                        </w:p>
                        <w:p w14:paraId="7D2EE414" w14:textId="77777777" w:rsidR="005273F2" w:rsidRDefault="005273F2" w:rsidP="00AD2204">
                          <w:pPr>
                            <w:numPr>
                              <w:ilvl w:val="0"/>
                              <w:numId w:val="7"/>
                            </w:numPr>
                          </w:pPr>
                          <w:r w:rsidRPr="00C10936">
                            <w:rPr>
                              <w:rFonts w:ascii="Times New Roman" w:hAnsi="Times New Roman" w:cs="Times New Roman"/>
                              <w:sz w:val="24"/>
                              <w:szCs w:val="24"/>
                            </w:rPr>
                            <w:t>Board Independence</w:t>
                          </w:r>
                        </w:p>
                        <w:p w14:paraId="0AF0DDA9" w14:textId="77777777" w:rsidR="005273F2" w:rsidRPr="00510708" w:rsidRDefault="005273F2" w:rsidP="00AD2204">
                          <w:pPr>
                            <w:numPr>
                              <w:ilvl w:val="0"/>
                              <w:numId w:val="7"/>
                            </w:numPr>
                          </w:pPr>
                          <w:r w:rsidRPr="00C10936">
                            <w:rPr>
                              <w:rFonts w:ascii="Times New Roman" w:hAnsi="Times New Roman" w:cs="Times New Roman"/>
                              <w:sz w:val="24"/>
                              <w:szCs w:val="24"/>
                            </w:rPr>
                            <w:t>Board Meetings</w:t>
                          </w:r>
                        </w:p>
                        <w:p w14:paraId="557462C0" w14:textId="77777777" w:rsidR="005273F2" w:rsidRDefault="005273F2" w:rsidP="00AD2204">
                          <w:pPr>
                            <w:numPr>
                              <w:ilvl w:val="0"/>
                              <w:numId w:val="7"/>
                            </w:numPr>
                          </w:pPr>
                          <w:r w:rsidRPr="00510708">
                            <w:rPr>
                              <w:rFonts w:ascii="Times New Roman" w:hAnsi="Times New Roman" w:cs="Times New Roman"/>
                              <w:sz w:val="24"/>
                              <w:szCs w:val="24"/>
                            </w:rPr>
                            <w:t>CEO Duality</w:t>
                          </w:r>
                        </w:p>
                        <w:p w14:paraId="6CFD4F17" w14:textId="77777777" w:rsidR="005273F2" w:rsidRDefault="005273F2" w:rsidP="00AD2204">
                          <w:pPr>
                            <w:jc w:val="center"/>
                          </w:pPr>
                        </w:p>
                      </w:txbxContent>
                    </v:textbox>
                  </v:roundrect>
                  <v:roundrect id="Rounded Rectangle 1751361514" o:spid="_x0000_s1030" style="position:absolute;left:40138;top:4190;width:14881;height:23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" fillcolor="white [3201]" strokecolor="black [3200]" strokeweight="2pt">
                    <v:textbox>
                      <w:txbxContent>
                        <w:p w14:paraId="67C4F620" w14:textId="77777777" w:rsidR="005273F2" w:rsidRPr="00B5503E" w:rsidRDefault="005273F2" w:rsidP="00AD2204">
                          <w:pPr>
                            <w:rPr>
                              <w:rFonts w:ascii="Times New Roman" w:hAnsi="Times New Roman" w:cs="Times New Roman"/>
                              <w:b/>
                              <w:sz w:val="24"/>
                              <w:szCs w:val="24"/>
                            </w:rPr>
                          </w:pPr>
                          <w:r w:rsidRPr="00B5503E">
                            <w:rPr>
                              <w:rFonts w:ascii="Times New Roman" w:hAnsi="Times New Roman" w:cs="Times New Roman"/>
                              <w:b/>
                              <w:sz w:val="24"/>
                              <w:szCs w:val="24"/>
                            </w:rPr>
                            <w:t>Financial Risk Management:</w:t>
                          </w:r>
                        </w:p>
                        <w:p w14:paraId="0A231D9E" w14:textId="77777777" w:rsidR="005273F2" w:rsidRDefault="005273F2" w:rsidP="00AD2204">
                          <w:pPr>
                            <w:numPr>
                              <w:ilvl w:val="0"/>
                              <w:numId w:val="6"/>
                            </w:numPr>
                          </w:pPr>
                          <w:r w:rsidRPr="00C10936">
                            <w:rPr>
                              <w:rFonts w:ascii="Times New Roman" w:hAnsi="Times New Roman" w:cs="Times New Roman"/>
                              <w:sz w:val="24"/>
                              <w:szCs w:val="24"/>
                            </w:rPr>
                            <w:t xml:space="preserve">Market Risk </w:t>
                          </w:r>
                        </w:p>
                        <w:p w14:paraId="0033F0C6" w14:textId="77777777" w:rsidR="005273F2" w:rsidRDefault="005273F2" w:rsidP="00AD2204">
                          <w:pPr>
                            <w:numPr>
                              <w:ilvl w:val="0"/>
                              <w:numId w:val="6"/>
                            </w:numPr>
                          </w:pPr>
                          <w:r w:rsidRPr="00C10936">
                            <w:rPr>
                              <w:rFonts w:ascii="Times New Roman" w:hAnsi="Times New Roman" w:cs="Times New Roman"/>
                              <w:sz w:val="24"/>
                              <w:szCs w:val="24"/>
                            </w:rPr>
                            <w:t xml:space="preserve">Liquidity Risk </w:t>
                          </w:r>
                        </w:p>
                        <w:p w14:paraId="63A87C26" w14:textId="77777777" w:rsidR="005273F2" w:rsidRDefault="005273F2" w:rsidP="00AD2204">
                          <w:pPr>
                            <w:numPr>
                              <w:ilvl w:val="0"/>
                              <w:numId w:val="6"/>
                            </w:numPr>
                          </w:pPr>
                          <w:r w:rsidRPr="00C10936">
                            <w:rPr>
                              <w:rFonts w:ascii="Times New Roman" w:hAnsi="Times New Roman" w:cs="Times New Roman"/>
                              <w:sz w:val="24"/>
                              <w:szCs w:val="24"/>
                            </w:rPr>
                            <w:t xml:space="preserve">Operational Risk </w:t>
                          </w:r>
                        </w:p>
                      </w:txbxContent>
                    </v:textbox>
                  </v:roundrect>
                  <v:roundrect id="Rounded Rectangle 2035322924" o:spid="_x0000_s1031" style="position:absolute;left:19859;top:17108;width:18014;height:155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" fillcolor="white [3201]" strokecolor="black [3200]" strokeweight="2pt">
                    <v:textbox>
                      <w:txbxContent>
                        <w:p w14:paraId="58F4AE04" w14:textId="77777777" w:rsidR="005273F2" w:rsidRPr="00C10936" w:rsidRDefault="005273F2" w:rsidP="00AD2204">
                          <w:pPr>
                            <w:rPr>
                              <w:rFonts w:ascii="Times New Roman" w:hAnsi="Times New Roman" w:cs="Times New Roman"/>
                              <w:b/>
                              <w:sz w:val="24"/>
                              <w:szCs w:val="24"/>
                            </w:rPr>
                          </w:pPr>
                          <w:r>
                            <w:rPr>
                              <w:rFonts w:ascii="Times New Roman" w:hAnsi="Times New Roman" w:cs="Times New Roman"/>
                              <w:b/>
                              <w:sz w:val="24"/>
                              <w:szCs w:val="24"/>
                            </w:rPr>
                            <w:t>Firm &amp; Industry Factors:</w:t>
                          </w:r>
                        </w:p>
                        <w:p w14:paraId="3DC4ABB1" w14:textId="77777777" w:rsidR="005273F2" w:rsidRDefault="005273F2" w:rsidP="00AD2204">
                          <w:pPr>
                            <w:numPr>
                              <w:ilvl w:val="0"/>
                              <w:numId w:val="8"/>
                            </w:numPr>
                          </w:pPr>
                          <w:r>
                            <w:rPr>
                              <w:rFonts w:ascii="Times New Roman" w:hAnsi="Times New Roman" w:cs="Times New Roman"/>
                              <w:sz w:val="24"/>
                              <w:szCs w:val="24"/>
                            </w:rPr>
                            <w:t xml:space="preserve">Firm Size </w:t>
                          </w:r>
                        </w:p>
                        <w:p w14:paraId="3CFB6FC8" w14:textId="77777777" w:rsidR="005273F2" w:rsidRDefault="005273F2" w:rsidP="00AD2204">
                          <w:pPr>
                            <w:numPr>
                              <w:ilvl w:val="0"/>
                              <w:numId w:val="8"/>
                            </w:numPr>
                          </w:pPr>
                          <w:r w:rsidRPr="00C10936">
                            <w:rPr>
                              <w:rFonts w:ascii="Times New Roman" w:hAnsi="Times New Roman" w:cs="Times New Roman"/>
                              <w:sz w:val="24"/>
                              <w:szCs w:val="24"/>
                            </w:rPr>
                            <w:t xml:space="preserve">Industry regulation </w:t>
                          </w:r>
                        </w:p>
                      </w:txbxContent>
                    </v:textbox>
                  </v:roundrect>
                  <v:roundrect id="Rounded Rectangle 1226171560" o:spid="_x0000_s1032" style="position:absolute;width:18141;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" fillcolor="white [3201]" strokecolor="white [3212]" strokeweight="2pt">
                    <v:textbox>
                      <w:txbxContent>
                        <w:p w14:paraId="25A2288E" w14:textId="77777777" w:rsidR="005273F2" w:rsidRPr="00C10936" w:rsidRDefault="005273F2" w:rsidP="00AD2204">
                          <w:pPr>
                            <w:rPr>
                              <w:rFonts w:ascii="Times New Roman" w:hAnsi="Times New Roman" w:cs="Times New Roman"/>
                              <w:b/>
                              <w:sz w:val="24"/>
                              <w:szCs w:val="24"/>
                            </w:rPr>
                          </w:pPr>
                          <w:r w:rsidRPr="00C10936">
                            <w:rPr>
                              <w:rFonts w:ascii="Times New Roman" w:hAnsi="Times New Roman" w:cs="Times New Roman"/>
                              <w:b/>
                              <w:sz w:val="24"/>
                              <w:szCs w:val="24"/>
                            </w:rPr>
                            <w:t>Independent Variable</w:t>
                          </w:r>
                        </w:p>
                      </w:txbxContent>
                    </v:textbox>
                  </v:roundrect>
                  <v:roundrect id="Rounded Rectangle 1247936191" o:spid="_x0000_s1033" style="position:absolute;left:39624;width:1585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" fillcolor="white [3201]" strokecolor="white [3212]" strokeweight="2pt">
                    <v:textbox>
                      <w:txbxContent>
                        <w:p w14:paraId="21822072" w14:textId="77777777" w:rsidR="005273F2" w:rsidRPr="00C10936" w:rsidRDefault="005273F2" w:rsidP="00AD2204">
                          <w:pPr>
                            <w:rPr>
                              <w:rFonts w:ascii="Times New Roman" w:hAnsi="Times New Roman" w:cs="Times New Roman"/>
                              <w:b/>
                              <w:sz w:val="24"/>
                              <w:szCs w:val="24"/>
                            </w:rPr>
                          </w:pPr>
                          <w:r w:rsidRPr="00C10936">
                            <w:rPr>
                              <w:rFonts w:ascii="Times New Roman" w:hAnsi="Times New Roman" w:cs="Times New Roman"/>
                              <w:b/>
                              <w:sz w:val="24"/>
                              <w:szCs w:val="24"/>
                            </w:rPr>
                            <w:t>Dependent Variable</w:t>
                          </w:r>
                        </w:p>
                      </w:txbxContent>
                    </v:textbox>
                  </v:roundrect>
                  <v:shapetype id="_x0000_t32" coordsize="21600,21600" o:spt="32" o:oned="t" path="m,l21600,21600e" filled="f">
                    <v:path arrowok="t" fillok="f" o:connecttype="none"/>
                    <o:lock v:ext="edit" shapetype="t"/>
                  </v:shapetype>
                  <v:shape id="Straight Arrow Connector 1444191270" o:spid="_x0000_s1034" type="#_x0000_t32" style="position:absolute;left:15573;top:13239;width:24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" strokecolor="black [3040]" strokeweight="1pt">
                    <v:stroke endarrow="block"/>
                  </v:shape>
                  <v:shape id="Straight Arrow Connector 1668321168" o:spid="_x0000_s1035" type="#_x0000_t32" style="position:absolute;left:27717;top:13239;width:0;height:39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" strokecolor="black [3040]">
                    <v:stroke endarrow="block"/>
                  </v:shape>
                </v:group>
              </v:group>
            </w:pict>
          </mc:Fallback>
        </mc:AlternateContent>
      </w:r>
    </w:p>
    <w:p w14:paraId="2F75C60C" w14:textId="77777777" w:rsidR="00810699" w:rsidRPr="004D045E" w:rsidRDefault="00810699" w:rsidP="00A042C4">
      <w:pPr>
        <w:spacing w:line="240" w:lineRule="auto"/>
        <w:rPr>
          <w:rFonts w:ascii="Arial" w:eastAsia="Times New Roman" w:hAnsi="Arial" w:cs="Arial"/>
        </w:rPr>
      </w:pPr>
    </w:p>
    <w:p w14:paraId="543B7B79" w14:textId="77777777" w:rsidR="00810699" w:rsidRPr="004D045E" w:rsidRDefault="00810699" w:rsidP="00A042C4">
      <w:pPr>
        <w:spacing w:line="240" w:lineRule="auto"/>
        <w:rPr>
          <w:rFonts w:ascii="Arial" w:eastAsia="Times New Roman" w:hAnsi="Arial" w:cs="Arial"/>
        </w:rPr>
      </w:pPr>
    </w:p>
    <w:p w14:paraId="08FCA4E1" w14:textId="77777777" w:rsidR="00810699" w:rsidRPr="004D045E" w:rsidRDefault="00810699" w:rsidP="00A042C4">
      <w:pPr>
        <w:spacing w:line="240" w:lineRule="auto"/>
        <w:rPr>
          <w:rFonts w:ascii="Arial" w:eastAsia="Times New Roman" w:hAnsi="Arial" w:cs="Arial"/>
        </w:rPr>
      </w:pPr>
    </w:p>
    <w:p w14:paraId="5F4E0FFF" w14:textId="77777777" w:rsidR="00810699" w:rsidRPr="004D045E" w:rsidRDefault="00810699" w:rsidP="00A042C4">
      <w:pPr>
        <w:spacing w:line="240" w:lineRule="auto"/>
        <w:rPr>
          <w:rFonts w:ascii="Arial" w:eastAsia="Times New Roman" w:hAnsi="Arial" w:cs="Arial"/>
        </w:rPr>
      </w:pPr>
    </w:p>
    <w:p w14:paraId="50C895AF" w14:textId="77777777" w:rsidR="00810699" w:rsidRPr="004D045E" w:rsidRDefault="00810699" w:rsidP="00A042C4">
      <w:pPr>
        <w:spacing w:line="240" w:lineRule="auto"/>
        <w:rPr>
          <w:rFonts w:ascii="Arial" w:eastAsia="Times New Roman" w:hAnsi="Arial" w:cs="Arial"/>
        </w:rPr>
      </w:pPr>
    </w:p>
    <w:p w14:paraId="3A233191" w14:textId="77777777" w:rsidR="00810699" w:rsidRPr="004D045E" w:rsidRDefault="00810699" w:rsidP="00A042C4">
      <w:pPr>
        <w:spacing w:line="240" w:lineRule="auto"/>
        <w:rPr>
          <w:rFonts w:ascii="Arial" w:eastAsia="Times New Roman" w:hAnsi="Arial" w:cs="Arial"/>
        </w:rPr>
      </w:pPr>
    </w:p>
    <w:p w14:paraId="73315D17" w14:textId="77777777" w:rsidR="00810699" w:rsidRPr="004D045E" w:rsidRDefault="00810699" w:rsidP="00A042C4">
      <w:pPr>
        <w:spacing w:line="240" w:lineRule="auto"/>
        <w:rPr>
          <w:rFonts w:ascii="Arial" w:eastAsia="Times New Roman" w:hAnsi="Arial" w:cs="Arial"/>
        </w:rPr>
      </w:pPr>
    </w:p>
    <w:p w14:paraId="47CD3E41" w14:textId="77777777" w:rsidR="00810699" w:rsidRPr="004D045E" w:rsidRDefault="00810699" w:rsidP="00A042C4">
      <w:pPr>
        <w:spacing w:line="240" w:lineRule="auto"/>
        <w:rPr>
          <w:rFonts w:ascii="Arial" w:eastAsia="Times New Roman" w:hAnsi="Arial" w:cs="Arial"/>
        </w:rPr>
      </w:pPr>
    </w:p>
    <w:p w14:paraId="27DA2A0B" w14:textId="77777777" w:rsidR="00810699" w:rsidRPr="004D045E" w:rsidRDefault="00810699" w:rsidP="00A042C4">
      <w:pPr>
        <w:spacing w:line="240" w:lineRule="auto"/>
        <w:rPr>
          <w:rFonts w:ascii="Arial" w:eastAsia="Times New Roman" w:hAnsi="Arial" w:cs="Arial"/>
        </w:rPr>
      </w:pPr>
    </w:p>
    <w:p w14:paraId="778BA715" w14:textId="77777777" w:rsidR="00810699" w:rsidRPr="004D045E" w:rsidRDefault="00810699" w:rsidP="00A042C4">
      <w:pPr>
        <w:spacing w:line="240" w:lineRule="auto"/>
        <w:rPr>
          <w:rFonts w:ascii="Arial" w:eastAsia="Times New Roman" w:hAnsi="Arial" w:cs="Arial"/>
        </w:rPr>
      </w:pPr>
    </w:p>
    <w:p w14:paraId="4395CE95" w14:textId="77777777" w:rsidR="00810699" w:rsidRPr="004D045E" w:rsidRDefault="00810699" w:rsidP="00A042C4">
      <w:pPr>
        <w:spacing w:line="240" w:lineRule="auto"/>
        <w:rPr>
          <w:rFonts w:ascii="Arial" w:eastAsia="Times New Roman" w:hAnsi="Arial" w:cs="Arial"/>
        </w:rPr>
      </w:pPr>
    </w:p>
    <w:p w14:paraId="65231101" w14:textId="77777777" w:rsidR="00810699" w:rsidRPr="004D045E" w:rsidRDefault="00810699" w:rsidP="00A042C4">
      <w:pPr>
        <w:spacing w:line="240" w:lineRule="auto"/>
        <w:jc w:val="both"/>
        <w:rPr>
          <w:rFonts w:ascii="Arial" w:eastAsia="Times New Roman" w:hAnsi="Arial" w:cs="Arial"/>
        </w:rPr>
      </w:pPr>
    </w:p>
    <w:p w14:paraId="649526F3" w14:textId="261EE623" w:rsidR="00A042C4" w:rsidRPr="004D045E" w:rsidRDefault="00A042C4" w:rsidP="00A042C4">
      <w:pPr>
        <w:pBdr>
          <w:top w:val="nil"/>
          <w:left w:val="nil"/>
          <w:bottom w:val="nil"/>
          <w:right w:val="nil"/>
          <w:between w:val="nil"/>
        </w:pBdr>
        <w:spacing w:after="200" w:line="240" w:lineRule="auto"/>
        <w:rPr>
          <w:rFonts w:ascii="Arial" w:eastAsia="Times New Roman" w:hAnsi="Arial" w:cs="Arial"/>
          <w:b/>
        </w:rPr>
      </w:pPr>
    </w:p>
    <w:p w14:paraId="0A6F8DE8" w14:textId="77777777" w:rsidR="006767A3" w:rsidRPr="004D045E" w:rsidRDefault="006767A3" w:rsidP="00A042C4">
      <w:pPr>
        <w:pBdr>
          <w:top w:val="nil"/>
          <w:left w:val="nil"/>
          <w:bottom w:val="nil"/>
          <w:right w:val="nil"/>
          <w:between w:val="nil"/>
        </w:pBdr>
        <w:spacing w:after="200" w:line="240" w:lineRule="auto"/>
        <w:rPr>
          <w:rFonts w:ascii="Arial" w:eastAsia="Times New Roman" w:hAnsi="Arial" w:cs="Arial"/>
          <w:b/>
        </w:rPr>
      </w:pPr>
    </w:p>
    <w:p w14:paraId="0D503C44" w14:textId="49042440" w:rsidR="00810699" w:rsidRPr="004D045E" w:rsidRDefault="00701FD7" w:rsidP="00A042C4">
      <w:pPr>
        <w:pBdr>
          <w:top w:val="nil"/>
          <w:left w:val="nil"/>
          <w:bottom w:val="nil"/>
          <w:right w:val="nil"/>
          <w:between w:val="nil"/>
        </w:pBdr>
        <w:spacing w:after="200" w:line="240" w:lineRule="auto"/>
        <w:rPr>
          <w:rFonts w:ascii="Arial" w:eastAsia="Times New Roman" w:hAnsi="Arial" w:cs="Arial"/>
          <w:b/>
        </w:rPr>
      </w:pPr>
      <w:r w:rsidRPr="004D045E">
        <w:rPr>
          <w:rFonts w:ascii="Arial" w:eastAsia="Times New Roman" w:hAnsi="Arial" w:cs="Arial"/>
          <w:b/>
        </w:rPr>
        <w:t>Figure 1 -Conceptual Framework</w:t>
      </w:r>
    </w:p>
    <w:p w14:paraId="04D5B660" w14:textId="1D6AD093" w:rsidR="00810699" w:rsidRPr="004D045E" w:rsidRDefault="00701FD7" w:rsidP="00A042C4">
      <w:pPr>
        <w:spacing w:line="240" w:lineRule="auto"/>
        <w:rPr>
          <w:rFonts w:ascii="Arial" w:hAnsi="Arial" w:cs="Arial"/>
          <w:b/>
        </w:rPr>
      </w:pPr>
      <w:r w:rsidRPr="004D045E">
        <w:rPr>
          <w:rFonts w:ascii="Arial" w:hAnsi="Arial" w:cs="Arial"/>
        </w:rPr>
        <w:br w:type="page"/>
      </w:r>
      <w:bookmarkStart w:id="18" w:name="_2p2csry" w:colFirst="0" w:colLast="0"/>
      <w:bookmarkStart w:id="19" w:name="_147n2zr" w:colFirst="0" w:colLast="0"/>
      <w:bookmarkEnd w:id="18"/>
      <w:bookmarkEnd w:id="19"/>
      <w:r w:rsidRPr="004D045E">
        <w:rPr>
          <w:rFonts w:ascii="Arial" w:hAnsi="Arial" w:cs="Arial"/>
          <w:b/>
        </w:rPr>
        <w:lastRenderedPageBreak/>
        <w:t>METHODOLOGY</w:t>
      </w:r>
    </w:p>
    <w:p w14:paraId="179F7F7E" w14:textId="6B9BF857" w:rsidR="00810699" w:rsidRPr="004D045E" w:rsidRDefault="00701FD7" w:rsidP="00A042C4">
      <w:pPr>
        <w:spacing w:line="240" w:lineRule="auto"/>
        <w:jc w:val="both"/>
        <w:rPr>
          <w:rFonts w:ascii="Arial" w:eastAsia="Times New Roman" w:hAnsi="Arial" w:cs="Arial"/>
        </w:rPr>
      </w:pPr>
      <w:bookmarkStart w:id="20" w:name="_3o7alnk" w:colFirst="0" w:colLast="0"/>
      <w:bookmarkStart w:id="21" w:name="_23ckvvd" w:colFirst="0" w:colLast="0"/>
      <w:bookmarkEnd w:id="20"/>
      <w:bookmarkEnd w:id="21"/>
      <w:r w:rsidRPr="004D045E">
        <w:rPr>
          <w:rFonts w:ascii="Arial" w:eastAsia="Times New Roman" w:hAnsi="Arial" w:cs="Arial"/>
        </w:rPr>
        <w:t>The</w:t>
      </w:r>
      <w:r w:rsidR="00601778" w:rsidRPr="004D045E">
        <w:rPr>
          <w:rFonts w:ascii="Arial" w:eastAsia="Times New Roman" w:hAnsi="Arial" w:cs="Arial"/>
        </w:rPr>
        <w:t xml:space="preserve"> Philosophy that underpin this study was Positivism</w:t>
      </w:r>
      <w:r w:rsidR="004E2B28" w:rsidRPr="004D045E">
        <w:rPr>
          <w:rFonts w:ascii="Arial" w:eastAsia="Times New Roman" w:hAnsi="Arial" w:cs="Arial"/>
        </w:rPr>
        <w:t xml:space="preserve">, </w:t>
      </w:r>
      <w:r w:rsidRPr="004D045E">
        <w:rPr>
          <w:rFonts w:ascii="Arial" w:eastAsia="Times New Roman" w:hAnsi="Arial" w:cs="Arial"/>
        </w:rPr>
        <w:t>which seeks to identify patterns and correlations between variables</w:t>
      </w:r>
      <w:r w:rsidR="004E2B28" w:rsidRPr="004D045E">
        <w:rPr>
          <w:rFonts w:ascii="Arial" w:eastAsia="Times New Roman" w:hAnsi="Arial" w:cs="Arial"/>
        </w:rPr>
        <w:t>.</w:t>
      </w:r>
    </w:p>
    <w:p w14:paraId="6CB810A3" w14:textId="73F9E7F2"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This study employed a descriptive research design, characterized by a formalized and structured approach, with clear hypotheses and investigative questions. The primary goal was to answer the research questions and test the relationships between the dependent variable (Financial Risk Management) and independent variables (Corporate Governance) using hypotheses.</w:t>
      </w:r>
    </w:p>
    <w:p w14:paraId="4A138765" w14:textId="0F5E1743" w:rsidR="00810699" w:rsidRPr="004D045E" w:rsidRDefault="00701FD7" w:rsidP="00A042C4">
      <w:pPr>
        <w:spacing w:line="240" w:lineRule="auto"/>
        <w:jc w:val="both"/>
        <w:rPr>
          <w:rFonts w:ascii="Arial" w:eastAsia="Times New Roman" w:hAnsi="Arial" w:cs="Arial"/>
        </w:rPr>
      </w:pPr>
      <w:bookmarkStart w:id="22" w:name="_32hioqz" w:colFirst="0" w:colLast="0"/>
      <w:bookmarkStart w:id="23" w:name="_Hlk214138871"/>
      <w:bookmarkEnd w:id="22"/>
      <w:r w:rsidRPr="004D045E">
        <w:rPr>
          <w:rFonts w:ascii="Arial" w:eastAsia="Times New Roman" w:hAnsi="Arial" w:cs="Arial"/>
        </w:rPr>
        <w:t xml:space="preserve">A quantitative research approach </w:t>
      </w:r>
      <w:r w:rsidR="008359C5" w:rsidRPr="004D045E">
        <w:rPr>
          <w:rFonts w:ascii="Arial" w:eastAsia="Times New Roman" w:hAnsi="Arial" w:cs="Arial"/>
        </w:rPr>
        <w:t>was</w:t>
      </w:r>
      <w:r w:rsidRPr="004D045E">
        <w:rPr>
          <w:rFonts w:ascii="Arial" w:eastAsia="Times New Roman" w:hAnsi="Arial" w:cs="Arial"/>
        </w:rPr>
        <w:t xml:space="preserve"> employed to assess the impact of corporate governance on financial risk management in Ghana's pension industry. </w:t>
      </w:r>
    </w:p>
    <w:p w14:paraId="3A66EDB7" w14:textId="65E17A4F" w:rsidR="00810699" w:rsidRPr="004D045E" w:rsidRDefault="00701FD7" w:rsidP="00A042C4">
      <w:pPr>
        <w:spacing w:line="240" w:lineRule="auto"/>
        <w:jc w:val="both"/>
        <w:rPr>
          <w:rFonts w:ascii="Arial" w:eastAsia="Times New Roman" w:hAnsi="Arial" w:cs="Arial"/>
        </w:rPr>
      </w:pPr>
      <w:bookmarkStart w:id="24" w:name="_1hmsyys" w:colFirst="0" w:colLast="0"/>
      <w:bookmarkEnd w:id="23"/>
      <w:bookmarkEnd w:id="24"/>
      <w:r w:rsidRPr="004D045E">
        <w:rPr>
          <w:rFonts w:ascii="Arial" w:eastAsia="Times New Roman" w:hAnsi="Arial" w:cs="Arial"/>
        </w:rPr>
        <w:t xml:space="preserve">The target population for this study </w:t>
      </w:r>
      <w:r w:rsidR="008359C5" w:rsidRPr="004D045E">
        <w:rPr>
          <w:rFonts w:ascii="Arial" w:eastAsia="Times New Roman" w:hAnsi="Arial" w:cs="Arial"/>
        </w:rPr>
        <w:t>were</w:t>
      </w:r>
      <w:r w:rsidRPr="004D045E">
        <w:rPr>
          <w:rFonts w:ascii="Arial" w:eastAsia="Times New Roman" w:hAnsi="Arial" w:cs="Arial"/>
        </w:rPr>
        <w:t xml:space="preserve"> pension funds and their management teams, including pension fund managers, investment officers, risk managers, trustees, and investment committee members. </w:t>
      </w:r>
    </w:p>
    <w:p w14:paraId="1ACE4228" w14:textId="7CE81CEA"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The </w:t>
      </w:r>
      <w:r w:rsidR="004E2B28" w:rsidRPr="004D045E">
        <w:rPr>
          <w:rFonts w:ascii="Arial" w:eastAsia="Times New Roman" w:hAnsi="Arial" w:cs="Arial"/>
        </w:rPr>
        <w:t>research</w:t>
      </w:r>
      <w:r w:rsidRPr="004D045E">
        <w:rPr>
          <w:rFonts w:ascii="Arial" w:eastAsia="Times New Roman" w:hAnsi="Arial" w:cs="Arial"/>
        </w:rPr>
        <w:t xml:space="preserve"> employed a stratified sampling technique to select participants from both public and private employer-sponsored pension schemes in Ghana. This technique ensures that the sample is representative of the population, with equal proportions of public and private sector schemes (Bryman, 2016).</w:t>
      </w:r>
    </w:p>
    <w:p w14:paraId="75CCC46E"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population consists of 225 pension schemes in Ghana, comprising both public and private employer-sponsored schemes (Ghana Pension Regulatory Authority, 2020). To determine the sample size, the study used Cochran's Formula (Cochran, 1977) as follows:</w:t>
      </w:r>
    </w:p>
    <w:p w14:paraId="4B98B03D"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n = (Z^2 * p * (1-p) * N) / (E^2 * (N-1) + Z^2 * p * (1-p))</w:t>
      </w:r>
    </w:p>
    <w:p w14:paraId="3BADECCD"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Where n = sample size, Z = 1.96 (95% confidence level), p = 0.5 (estimated proportion of schemes with effective corporate governance), N = 225 (population size), and E = 0.05 (margin of error).</w:t>
      </w:r>
    </w:p>
    <w:p w14:paraId="1A6249BE"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computed sample size was 145 (n = 145).</w:t>
      </w:r>
    </w:p>
    <w:p w14:paraId="15C51C81" w14:textId="72ECD318" w:rsidR="00810699" w:rsidRPr="004D045E" w:rsidRDefault="00701FD7" w:rsidP="00A042C4">
      <w:pPr>
        <w:spacing w:line="240" w:lineRule="auto"/>
        <w:jc w:val="both"/>
        <w:rPr>
          <w:rFonts w:ascii="Arial" w:eastAsia="Times New Roman" w:hAnsi="Arial" w:cs="Arial"/>
        </w:rPr>
      </w:pPr>
      <w:bookmarkStart w:id="25" w:name="_2grqrue" w:colFirst="0" w:colLast="0"/>
      <w:bookmarkEnd w:id="25"/>
      <w:r w:rsidRPr="004D045E">
        <w:rPr>
          <w:rFonts w:ascii="Arial" w:eastAsia="Times New Roman" w:hAnsi="Arial" w:cs="Arial"/>
        </w:rPr>
        <w:t xml:space="preserve">The questionnaire employed a Likert-scale questions to capture quantitative data. The Likert-scale questions are designed to measure the respondents' perceptions and attitudes towards corporate governance and financial risk management practices. </w:t>
      </w:r>
    </w:p>
    <w:p w14:paraId="3AABE4A3" w14:textId="01E48909" w:rsidR="00810699" w:rsidRPr="004D045E" w:rsidRDefault="00D36760" w:rsidP="00A042C4">
      <w:pPr>
        <w:spacing w:line="240" w:lineRule="auto"/>
        <w:jc w:val="both"/>
        <w:rPr>
          <w:rFonts w:ascii="Arial" w:eastAsia="Times New Roman" w:hAnsi="Arial" w:cs="Arial"/>
        </w:rPr>
      </w:pPr>
      <w:bookmarkStart w:id="26" w:name="_vx1227" w:colFirst="0" w:colLast="0"/>
      <w:bookmarkEnd w:id="26"/>
      <w:r w:rsidRPr="004D045E">
        <w:rPr>
          <w:rFonts w:ascii="Arial" w:eastAsia="Times New Roman" w:hAnsi="Arial" w:cs="Arial"/>
        </w:rPr>
        <w:t>D</w:t>
      </w:r>
      <w:r w:rsidR="00701FD7" w:rsidRPr="004D045E">
        <w:rPr>
          <w:rFonts w:ascii="Arial" w:eastAsia="Times New Roman" w:hAnsi="Arial" w:cs="Arial"/>
        </w:rPr>
        <w:t xml:space="preserve">escriptive statistics, inferential statistics, and regression analysis </w:t>
      </w:r>
      <w:r w:rsidRPr="004D045E">
        <w:rPr>
          <w:rFonts w:ascii="Arial" w:eastAsia="Times New Roman" w:hAnsi="Arial" w:cs="Arial"/>
        </w:rPr>
        <w:t xml:space="preserve">were employed </w:t>
      </w:r>
      <w:r w:rsidR="00701FD7" w:rsidRPr="004D045E">
        <w:rPr>
          <w:rFonts w:ascii="Arial" w:eastAsia="Times New Roman" w:hAnsi="Arial" w:cs="Arial"/>
        </w:rPr>
        <w:t>to examine the impact of corporate governance on financial risk management in Ghana's pension industry</w:t>
      </w:r>
      <w:r w:rsidRPr="004D045E">
        <w:rPr>
          <w:rFonts w:ascii="Arial" w:eastAsia="Times New Roman" w:hAnsi="Arial" w:cs="Arial"/>
        </w:rPr>
        <w:t>.</w:t>
      </w:r>
    </w:p>
    <w:p w14:paraId="4CAE58BD" w14:textId="5A7470D8"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A correlation matrix was examined to show the interrelationships within the variables under study. This helped show any serial correlations. A multiple regression analysis was then carried out. ANOVA and F-test showed the fitness of the model used in the study. The coefficients showed how each of the variables influence performance. The results of significance </w:t>
      </w:r>
      <w:r w:rsidR="00D36760" w:rsidRPr="004D045E">
        <w:rPr>
          <w:rFonts w:ascii="Arial" w:eastAsia="Times New Roman" w:hAnsi="Arial" w:cs="Arial"/>
        </w:rPr>
        <w:t>were</w:t>
      </w:r>
      <w:r w:rsidRPr="004D045E">
        <w:rPr>
          <w:rFonts w:ascii="Arial" w:eastAsia="Times New Roman" w:hAnsi="Arial" w:cs="Arial"/>
        </w:rPr>
        <w:t xml:space="preserve"> interpreted at 5% level of significance. Both p-values and t-tests were interpreted.</w:t>
      </w:r>
    </w:p>
    <w:p w14:paraId="1BC2C09B" w14:textId="7FE939E2" w:rsidR="00C1179F" w:rsidRPr="004D045E" w:rsidRDefault="00C1179F" w:rsidP="00A042C4">
      <w:pPr>
        <w:spacing w:line="240" w:lineRule="auto"/>
        <w:rPr>
          <w:rFonts w:ascii="Arial" w:eastAsia="Times New Roman" w:hAnsi="Arial" w:cs="Arial"/>
        </w:rPr>
      </w:pPr>
      <w:bookmarkStart w:id="27" w:name="_3fwokq0" w:colFirst="0" w:colLast="0"/>
      <w:bookmarkEnd w:id="27"/>
      <w:r w:rsidRPr="004D045E">
        <w:rPr>
          <w:rFonts w:ascii="Arial" w:eastAsia="Times New Roman" w:hAnsi="Arial" w:cs="Arial"/>
        </w:rPr>
        <w:t xml:space="preserve">The Empirical model specification for the study is given as follows </w:t>
      </w:r>
    </w:p>
    <w:p w14:paraId="296F7490"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FRM = β</w:t>
      </w:r>
      <w:r w:rsidRPr="004D045E">
        <w:rPr>
          <w:rFonts w:ascii="Arial" w:eastAsia="Times New Roman" w:hAnsi="Arial" w:cs="Arial"/>
          <w:vertAlign w:val="subscript"/>
        </w:rPr>
        <w:t>0</w:t>
      </w:r>
      <w:r w:rsidRPr="004D045E">
        <w:rPr>
          <w:rFonts w:ascii="Arial" w:eastAsia="Times New Roman" w:hAnsi="Arial" w:cs="Arial"/>
        </w:rPr>
        <w:t xml:space="preserve"> + β</w:t>
      </w:r>
      <w:r w:rsidRPr="004D045E">
        <w:rPr>
          <w:rFonts w:ascii="Arial" w:eastAsia="Times New Roman" w:hAnsi="Arial" w:cs="Arial"/>
          <w:vertAlign w:val="subscript"/>
        </w:rPr>
        <w:t>1</w:t>
      </w:r>
      <w:r w:rsidRPr="004D045E">
        <w:rPr>
          <w:rFonts w:ascii="Arial" w:eastAsia="Times New Roman" w:hAnsi="Arial" w:cs="Arial"/>
        </w:rPr>
        <w:t>BS + β</w:t>
      </w:r>
      <w:r w:rsidRPr="004D045E">
        <w:rPr>
          <w:rFonts w:ascii="Arial" w:eastAsia="Times New Roman" w:hAnsi="Arial" w:cs="Arial"/>
          <w:vertAlign w:val="subscript"/>
        </w:rPr>
        <w:t>2</w:t>
      </w:r>
      <w:r w:rsidRPr="004D045E">
        <w:rPr>
          <w:rFonts w:ascii="Arial" w:eastAsia="Times New Roman" w:hAnsi="Arial" w:cs="Arial"/>
        </w:rPr>
        <w:t>BI + β</w:t>
      </w:r>
      <w:r w:rsidRPr="004D045E">
        <w:rPr>
          <w:rFonts w:ascii="Arial" w:eastAsia="Times New Roman" w:hAnsi="Arial" w:cs="Arial"/>
          <w:vertAlign w:val="subscript"/>
        </w:rPr>
        <w:t>3</w:t>
      </w:r>
      <w:r w:rsidRPr="004D045E">
        <w:rPr>
          <w:rFonts w:ascii="Arial" w:eastAsia="Times New Roman" w:hAnsi="Arial" w:cs="Arial"/>
        </w:rPr>
        <w:t>BM + β</w:t>
      </w:r>
      <w:r w:rsidRPr="004D045E">
        <w:rPr>
          <w:rFonts w:ascii="Arial" w:eastAsia="Times New Roman" w:hAnsi="Arial" w:cs="Arial"/>
          <w:vertAlign w:val="subscript"/>
        </w:rPr>
        <w:t>4</w:t>
      </w:r>
      <w:r w:rsidRPr="004D045E">
        <w:rPr>
          <w:rFonts w:ascii="Arial" w:eastAsia="Times New Roman" w:hAnsi="Arial" w:cs="Arial"/>
        </w:rPr>
        <w:t>CD + β</w:t>
      </w:r>
      <w:r w:rsidRPr="004D045E">
        <w:rPr>
          <w:rFonts w:ascii="Arial" w:eastAsia="Times New Roman" w:hAnsi="Arial" w:cs="Arial"/>
          <w:vertAlign w:val="subscript"/>
        </w:rPr>
        <w:t>5</w:t>
      </w:r>
      <w:r w:rsidRPr="004D045E">
        <w:rPr>
          <w:rFonts w:ascii="Arial" w:eastAsia="Times New Roman" w:hAnsi="Arial" w:cs="Arial"/>
        </w:rPr>
        <w:t>FS + β</w:t>
      </w:r>
      <w:r w:rsidRPr="004D045E">
        <w:rPr>
          <w:rFonts w:ascii="Arial" w:eastAsia="Times New Roman" w:hAnsi="Arial" w:cs="Arial"/>
          <w:vertAlign w:val="subscript"/>
        </w:rPr>
        <w:t>6</w:t>
      </w:r>
      <w:r w:rsidRPr="004D045E">
        <w:rPr>
          <w:rFonts w:ascii="Arial" w:eastAsia="Times New Roman" w:hAnsi="Arial" w:cs="Arial"/>
        </w:rPr>
        <w:t>IR + ε</w:t>
      </w:r>
    </w:p>
    <w:p w14:paraId="33D777B4"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Where:</w:t>
      </w:r>
    </w:p>
    <w:p w14:paraId="6C18017D" w14:textId="77777777" w:rsidR="00810699" w:rsidRPr="004D045E"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4D045E">
        <w:rPr>
          <w:rFonts w:ascii="Arial" w:eastAsia="Times New Roman" w:hAnsi="Arial" w:cs="Arial"/>
        </w:rPr>
        <w:t>FRM = Financial Risk Management (dependent variable)</w:t>
      </w:r>
    </w:p>
    <w:p w14:paraId="6FFE1517" w14:textId="77777777" w:rsidR="00810699" w:rsidRPr="004D045E"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4D045E">
        <w:rPr>
          <w:rFonts w:ascii="Arial" w:eastAsia="Times New Roman" w:hAnsi="Arial" w:cs="Arial"/>
        </w:rPr>
        <w:t>BS = Board Size (independent variable)</w:t>
      </w:r>
    </w:p>
    <w:p w14:paraId="017BF6CA" w14:textId="77777777" w:rsidR="00810699" w:rsidRPr="004D045E"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4D045E">
        <w:rPr>
          <w:rFonts w:ascii="Arial" w:eastAsia="Times New Roman" w:hAnsi="Arial" w:cs="Arial"/>
        </w:rPr>
        <w:t>BI = Board Independence (independent variable)</w:t>
      </w:r>
    </w:p>
    <w:p w14:paraId="0BB7585C" w14:textId="77777777" w:rsidR="00810699" w:rsidRPr="004D045E"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4D045E">
        <w:rPr>
          <w:rFonts w:ascii="Arial" w:eastAsia="Times New Roman" w:hAnsi="Arial" w:cs="Arial"/>
        </w:rPr>
        <w:t>BM = Board Meetings (independent variable)</w:t>
      </w:r>
    </w:p>
    <w:p w14:paraId="13C58503" w14:textId="77777777" w:rsidR="00810699" w:rsidRPr="004D045E"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4D045E">
        <w:rPr>
          <w:rFonts w:ascii="Arial" w:eastAsia="Times New Roman" w:hAnsi="Arial" w:cs="Arial"/>
        </w:rPr>
        <w:t>CD = CEO Duality (independent variable)</w:t>
      </w:r>
    </w:p>
    <w:p w14:paraId="1B8C7CED" w14:textId="77777777" w:rsidR="00810699" w:rsidRPr="004D045E"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4D045E">
        <w:rPr>
          <w:rFonts w:ascii="Arial" w:eastAsia="Times New Roman" w:hAnsi="Arial" w:cs="Arial"/>
        </w:rPr>
        <w:lastRenderedPageBreak/>
        <w:t>FS = Firm Size (moderating variable)</w:t>
      </w:r>
    </w:p>
    <w:p w14:paraId="77A14E19" w14:textId="77777777" w:rsidR="00810699" w:rsidRPr="004D045E"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4D045E">
        <w:rPr>
          <w:rFonts w:ascii="Arial" w:eastAsia="Times New Roman" w:hAnsi="Arial" w:cs="Arial"/>
        </w:rPr>
        <w:t>IR = Industry Regulation (moderating variable)</w:t>
      </w:r>
    </w:p>
    <w:p w14:paraId="023E0DE8" w14:textId="77777777" w:rsidR="00810699" w:rsidRPr="004D045E"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4D045E">
        <w:rPr>
          <w:rFonts w:ascii="Arial" w:eastAsia="Times New Roman" w:hAnsi="Arial" w:cs="Arial"/>
        </w:rPr>
        <w:t>β0 = intercept</w:t>
      </w:r>
    </w:p>
    <w:p w14:paraId="21A83FE5" w14:textId="77777777" w:rsidR="00810699" w:rsidRPr="004D045E"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4D045E">
        <w:rPr>
          <w:rFonts w:ascii="Arial" w:eastAsia="Times New Roman" w:hAnsi="Arial" w:cs="Arial"/>
        </w:rPr>
        <w:t>β1-β9 = regression coefficients</w:t>
      </w:r>
    </w:p>
    <w:p w14:paraId="67A70D08" w14:textId="6CEACB03" w:rsidR="00AF5468" w:rsidRPr="004D045E" w:rsidRDefault="00701FD7" w:rsidP="00A042C4">
      <w:pPr>
        <w:numPr>
          <w:ilvl w:val="0"/>
          <w:numId w:val="3"/>
        </w:numPr>
        <w:pBdr>
          <w:top w:val="nil"/>
          <w:left w:val="nil"/>
          <w:bottom w:val="nil"/>
          <w:right w:val="nil"/>
          <w:between w:val="nil"/>
        </w:pBdr>
        <w:spacing w:line="240" w:lineRule="auto"/>
        <w:jc w:val="both"/>
        <w:rPr>
          <w:rFonts w:ascii="Arial" w:hAnsi="Arial" w:cs="Arial"/>
        </w:rPr>
      </w:pPr>
      <w:r w:rsidRPr="004D045E">
        <w:rPr>
          <w:rFonts w:ascii="Arial" w:eastAsia="Times New Roman" w:hAnsi="Arial" w:cs="Arial"/>
        </w:rPr>
        <w:t>ε = error term</w:t>
      </w:r>
    </w:p>
    <w:p w14:paraId="2082F4E6" w14:textId="77777777" w:rsidR="00810699" w:rsidRPr="004D045E" w:rsidRDefault="00701FD7" w:rsidP="00A042C4">
      <w:pPr>
        <w:pStyle w:val="Heading2"/>
        <w:spacing w:line="240" w:lineRule="auto"/>
        <w:rPr>
          <w:rFonts w:ascii="Arial" w:hAnsi="Arial" w:cs="Arial"/>
          <w:color w:val="auto"/>
          <w:sz w:val="22"/>
          <w:szCs w:val="22"/>
        </w:rPr>
      </w:pPr>
      <w:bookmarkStart w:id="28" w:name="_1v1yuxt" w:colFirst="0" w:colLast="0"/>
      <w:bookmarkStart w:id="29" w:name="_4f1mdlm" w:colFirst="0" w:colLast="0"/>
      <w:bookmarkStart w:id="30" w:name="_2u6wntf" w:colFirst="0" w:colLast="0"/>
      <w:bookmarkStart w:id="31" w:name="_19c6y18" w:colFirst="0" w:colLast="0"/>
      <w:bookmarkEnd w:id="28"/>
      <w:bookmarkEnd w:id="29"/>
      <w:bookmarkEnd w:id="30"/>
      <w:bookmarkEnd w:id="31"/>
      <w:r w:rsidRPr="004D045E">
        <w:rPr>
          <w:rFonts w:ascii="Arial" w:hAnsi="Arial" w:cs="Arial"/>
          <w:color w:val="auto"/>
          <w:sz w:val="22"/>
          <w:szCs w:val="22"/>
        </w:rPr>
        <w:t>RESULTS AND DISCUSSIONS</w:t>
      </w:r>
    </w:p>
    <w:p w14:paraId="073D1803" w14:textId="77777777" w:rsidR="00810699" w:rsidRPr="004D045E" w:rsidRDefault="00701FD7" w:rsidP="00A042C4">
      <w:pPr>
        <w:pStyle w:val="Heading3"/>
        <w:spacing w:line="240" w:lineRule="auto"/>
        <w:rPr>
          <w:rFonts w:ascii="Arial" w:hAnsi="Arial" w:cs="Arial"/>
          <w:color w:val="auto"/>
          <w:sz w:val="22"/>
          <w:szCs w:val="22"/>
        </w:rPr>
      </w:pPr>
      <w:bookmarkStart w:id="32" w:name="_3tbugp1" w:colFirst="0" w:colLast="0"/>
      <w:bookmarkStart w:id="33" w:name="_28h4qwu" w:colFirst="0" w:colLast="0"/>
      <w:bookmarkStart w:id="34" w:name="_nmf14n" w:colFirst="0" w:colLast="0"/>
      <w:bookmarkEnd w:id="32"/>
      <w:bookmarkEnd w:id="33"/>
      <w:bookmarkEnd w:id="34"/>
      <w:r w:rsidRPr="004D045E">
        <w:rPr>
          <w:rFonts w:ascii="Arial" w:hAnsi="Arial" w:cs="Arial"/>
          <w:color w:val="auto"/>
          <w:sz w:val="22"/>
          <w:szCs w:val="22"/>
        </w:rPr>
        <w:t xml:space="preserve">4.2 Descriptive Statistics </w:t>
      </w:r>
    </w:p>
    <w:p w14:paraId="4DCED1C1" w14:textId="72947C2F"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The data as shown in Table </w:t>
      </w:r>
      <w:r w:rsidR="00E461A4">
        <w:rPr>
          <w:rFonts w:ascii="Arial" w:eastAsia="Times New Roman" w:hAnsi="Arial" w:cs="Arial"/>
        </w:rPr>
        <w:t>1</w:t>
      </w:r>
      <w:r w:rsidRPr="004D045E">
        <w:rPr>
          <w:rFonts w:ascii="Arial" w:eastAsia="Times New Roman" w:hAnsi="Arial" w:cs="Arial"/>
        </w:rPr>
        <w:t xml:space="preserve"> includes responses from 145 participants on various aspects of corporate governance, including board size, board independence, board meetings, CEO duality, firm size, and industry regulation.</w:t>
      </w:r>
    </w:p>
    <w:p w14:paraId="61B89E6B"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By examining the descriptive statistics, we can gain a better understanding of the characteristics of the respondents and the organizations they represent, and identify potential areas for further investigation. This analysis will also help to ensure that the data is reliable and valid, and that the results are generalizable to the broader population of public and private employer-sponsored pension schemes in Ghana.</w:t>
      </w:r>
    </w:p>
    <w:p w14:paraId="02A249C3"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Board Size</w:t>
      </w:r>
    </w:p>
    <w:p w14:paraId="26F47DFB" w14:textId="039BE222"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According to Table </w:t>
      </w:r>
      <w:r w:rsidR="00E461A4">
        <w:rPr>
          <w:rFonts w:ascii="Arial" w:eastAsia="Times New Roman" w:hAnsi="Arial" w:cs="Arial"/>
        </w:rPr>
        <w:t>1</w:t>
      </w:r>
      <w:r w:rsidRPr="004D045E">
        <w:rPr>
          <w:rFonts w:ascii="Arial" w:eastAsia="Times New Roman" w:hAnsi="Arial" w:cs="Arial"/>
        </w:rPr>
        <w:t>, the board size ranges from a minimum of 1 to a maximum of 5, with a mean of 4.29 and a standard deviation of 0.73. The skewness value of -1.404 indicates that the data is slightly skewed to the left, while the kurtosis value of 3.638 indicates that the data is platykurtic (Bryman, 2016). The standard error of 0.248 suggests that the mean is a reliable estimate of the population mean.</w:t>
      </w:r>
    </w:p>
    <w:p w14:paraId="0C91CC3F"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Board Independence</w:t>
      </w:r>
    </w:p>
    <w:p w14:paraId="505550FF" w14:textId="1CBEF64E"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Table </w:t>
      </w:r>
      <w:r w:rsidR="00E461A4">
        <w:rPr>
          <w:rFonts w:ascii="Arial" w:eastAsia="Times New Roman" w:hAnsi="Arial" w:cs="Arial"/>
        </w:rPr>
        <w:t>1</w:t>
      </w:r>
      <w:r w:rsidRPr="004D045E">
        <w:rPr>
          <w:rFonts w:ascii="Arial" w:eastAsia="Times New Roman" w:hAnsi="Arial" w:cs="Arial"/>
        </w:rPr>
        <w:t xml:space="preserve"> show that the board independence scores range from 1 to 5, with a mean of 4.35 and a standard deviation of 0.80. The skewness value of -1.706 indicates that the data is slightly skewed to the left, while the kurtosis value of 4.011 indicates that the data is leptokurtic (</w:t>
      </w:r>
      <w:proofErr w:type="spellStart"/>
      <w:r w:rsidRPr="004D045E">
        <w:rPr>
          <w:rFonts w:ascii="Arial" w:eastAsia="Times New Roman" w:hAnsi="Arial" w:cs="Arial"/>
        </w:rPr>
        <w:t>Gravetter</w:t>
      </w:r>
      <w:proofErr w:type="spellEnd"/>
      <w:r w:rsidRPr="004D045E">
        <w:rPr>
          <w:rFonts w:ascii="Arial" w:eastAsia="Times New Roman" w:hAnsi="Arial" w:cs="Arial"/>
        </w:rPr>
        <w:t xml:space="preserve"> &amp; </w:t>
      </w:r>
      <w:proofErr w:type="spellStart"/>
      <w:r w:rsidRPr="004D045E">
        <w:rPr>
          <w:rFonts w:ascii="Arial" w:eastAsia="Times New Roman" w:hAnsi="Arial" w:cs="Arial"/>
        </w:rPr>
        <w:t>Forzano</w:t>
      </w:r>
      <w:proofErr w:type="spellEnd"/>
      <w:r w:rsidRPr="004D045E">
        <w:rPr>
          <w:rFonts w:ascii="Arial" w:eastAsia="Times New Roman" w:hAnsi="Arial" w:cs="Arial"/>
        </w:rPr>
        <w:t>, 2015). The standard error of 0.248 suggests that the mean is a reliable estimate of the population mean.</w:t>
      </w:r>
    </w:p>
    <w:p w14:paraId="43178870" w14:textId="77777777" w:rsidR="00A042C4" w:rsidRPr="004D045E" w:rsidRDefault="00A042C4" w:rsidP="00A042C4">
      <w:pPr>
        <w:spacing w:line="240" w:lineRule="auto"/>
        <w:jc w:val="both"/>
        <w:rPr>
          <w:rFonts w:ascii="Arial" w:eastAsia="Times New Roman" w:hAnsi="Arial" w:cs="Arial"/>
        </w:rPr>
      </w:pPr>
    </w:p>
    <w:p w14:paraId="741124BE"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Board Meetings</w:t>
      </w:r>
    </w:p>
    <w:p w14:paraId="50BB929F" w14:textId="2A01F1D4"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It is shown in Table </w:t>
      </w:r>
      <w:r w:rsidR="00E461A4">
        <w:rPr>
          <w:rFonts w:ascii="Arial" w:eastAsia="Times New Roman" w:hAnsi="Arial" w:cs="Arial"/>
        </w:rPr>
        <w:t>1</w:t>
      </w:r>
      <w:r w:rsidRPr="004D045E">
        <w:rPr>
          <w:rFonts w:ascii="Arial" w:eastAsia="Times New Roman" w:hAnsi="Arial" w:cs="Arial"/>
        </w:rPr>
        <w:t xml:space="preserve"> that the board meeting scores range from 1 to 5, with a mean of 4.35 and a standard deviation of 0.75. The skewness value of -1.496 indicates that the data is slightly skewed to the left, while the kurtosis value of 3.437 indicates that the data is platykurtic (Bryman, 2016). The standard error of 0.249 suggests that the mean is a reliable estimate of the population mean.</w:t>
      </w:r>
    </w:p>
    <w:p w14:paraId="46F4B281"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CEO Duality</w:t>
      </w:r>
    </w:p>
    <w:p w14:paraId="3470E96A" w14:textId="5352E1D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The results in Table </w:t>
      </w:r>
      <w:r w:rsidR="00E461A4">
        <w:rPr>
          <w:rFonts w:ascii="Arial" w:eastAsia="Times New Roman" w:hAnsi="Arial" w:cs="Arial"/>
        </w:rPr>
        <w:t>1</w:t>
      </w:r>
      <w:r w:rsidRPr="004D045E">
        <w:rPr>
          <w:rFonts w:ascii="Arial" w:eastAsia="Times New Roman" w:hAnsi="Arial" w:cs="Arial"/>
        </w:rPr>
        <w:t xml:space="preserve"> indicate CEO duality scores range from 1 to 5, with a mean of 4.32 and a standard deviation of 0.77. The skewness value of -1.579 indicates that the data is slightly skewed to the left, while the kurtosis value of 3.801 indicates that the data is platykurtic (Bryman, 2016). The standard error of 0.248 suggests that the mean is a reliable estimate of the population mean.</w:t>
      </w:r>
    </w:p>
    <w:p w14:paraId="6AB74638"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Firm Size</w:t>
      </w:r>
    </w:p>
    <w:p w14:paraId="140DD3D3" w14:textId="2A1A1F7D"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lastRenderedPageBreak/>
        <w:t xml:space="preserve">According to the results in Table </w:t>
      </w:r>
      <w:r w:rsidR="00E461A4">
        <w:rPr>
          <w:rFonts w:ascii="Arial" w:eastAsia="Times New Roman" w:hAnsi="Arial" w:cs="Arial"/>
        </w:rPr>
        <w:t>1</w:t>
      </w:r>
      <w:r w:rsidRPr="004D045E">
        <w:rPr>
          <w:rFonts w:ascii="Arial" w:eastAsia="Times New Roman" w:hAnsi="Arial" w:cs="Arial"/>
        </w:rPr>
        <w:t>, the firm size scores range from 1 to 5, with a mean of 4.27 and a standard deviation of 0.80. The skewness value of -1.740 indicates that the data is slightly skewed to the left, while the kurtosis value of 4.644 indicates that the data is leptokurtic (</w:t>
      </w:r>
      <w:proofErr w:type="spellStart"/>
      <w:r w:rsidRPr="004D045E">
        <w:rPr>
          <w:rFonts w:ascii="Arial" w:eastAsia="Times New Roman" w:hAnsi="Arial" w:cs="Arial"/>
        </w:rPr>
        <w:t>Gravetter</w:t>
      </w:r>
      <w:proofErr w:type="spellEnd"/>
      <w:r w:rsidRPr="004D045E">
        <w:rPr>
          <w:rFonts w:ascii="Arial" w:eastAsia="Times New Roman" w:hAnsi="Arial" w:cs="Arial"/>
        </w:rPr>
        <w:t xml:space="preserve"> &amp; </w:t>
      </w:r>
      <w:proofErr w:type="spellStart"/>
      <w:r w:rsidRPr="004D045E">
        <w:rPr>
          <w:rFonts w:ascii="Arial" w:eastAsia="Times New Roman" w:hAnsi="Arial" w:cs="Arial"/>
        </w:rPr>
        <w:t>Forzano</w:t>
      </w:r>
      <w:proofErr w:type="spellEnd"/>
      <w:r w:rsidRPr="004D045E">
        <w:rPr>
          <w:rFonts w:ascii="Arial" w:eastAsia="Times New Roman" w:hAnsi="Arial" w:cs="Arial"/>
        </w:rPr>
        <w:t>, 2015). The standard error of 0.248 suggests that the mean is a reliable estimate of the population mean.</w:t>
      </w:r>
    </w:p>
    <w:p w14:paraId="7183F454"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Industry Regulation</w:t>
      </w:r>
    </w:p>
    <w:p w14:paraId="6E4140EF" w14:textId="1A612B79"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Per the results as in Table </w:t>
      </w:r>
      <w:r w:rsidR="00E461A4">
        <w:rPr>
          <w:rFonts w:ascii="Arial" w:eastAsia="Times New Roman" w:hAnsi="Arial" w:cs="Arial"/>
        </w:rPr>
        <w:t>1</w:t>
      </w:r>
      <w:r w:rsidRPr="004D045E">
        <w:rPr>
          <w:rFonts w:ascii="Arial" w:eastAsia="Times New Roman" w:hAnsi="Arial" w:cs="Arial"/>
        </w:rPr>
        <w:t>, the industry regulation scores range from 1 to 5, with a mean of 4.26 and a standard deviation of 0.79. The skewness value of -1.637 indicates that the data is slightly skewed to the left, while the kurtosis value of 4.188 indicates that the data is leptokurtic (</w:t>
      </w:r>
      <w:proofErr w:type="spellStart"/>
      <w:r w:rsidRPr="004D045E">
        <w:rPr>
          <w:rFonts w:ascii="Arial" w:eastAsia="Times New Roman" w:hAnsi="Arial" w:cs="Arial"/>
        </w:rPr>
        <w:t>Gravetter</w:t>
      </w:r>
      <w:proofErr w:type="spellEnd"/>
      <w:r w:rsidRPr="004D045E">
        <w:rPr>
          <w:rFonts w:ascii="Arial" w:eastAsia="Times New Roman" w:hAnsi="Arial" w:cs="Arial"/>
        </w:rPr>
        <w:t xml:space="preserve"> &amp; </w:t>
      </w:r>
      <w:proofErr w:type="spellStart"/>
      <w:r w:rsidRPr="004D045E">
        <w:rPr>
          <w:rFonts w:ascii="Arial" w:eastAsia="Times New Roman" w:hAnsi="Arial" w:cs="Arial"/>
        </w:rPr>
        <w:t>Forzano</w:t>
      </w:r>
      <w:proofErr w:type="spellEnd"/>
      <w:r w:rsidRPr="004D045E">
        <w:rPr>
          <w:rFonts w:ascii="Arial" w:eastAsia="Times New Roman" w:hAnsi="Arial" w:cs="Arial"/>
        </w:rPr>
        <w:t>, 2015). The standard error of 0.248 suggests that the mean is a reliable estimate of the population mean.</w:t>
      </w:r>
    </w:p>
    <w:p w14:paraId="58650BC8"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Valid N (listwise)</w:t>
      </w:r>
    </w:p>
    <w:p w14:paraId="3781D458"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valid N (listwise) indicates that all 145 respondents completed all the questions, suggesting a high response rate and a reliable dataset.</w:t>
      </w:r>
    </w:p>
    <w:p w14:paraId="0ABC01E6" w14:textId="77777777" w:rsidR="00810699" w:rsidRPr="004D045E" w:rsidRDefault="00810699" w:rsidP="00A042C4">
      <w:pPr>
        <w:spacing w:line="240" w:lineRule="auto"/>
        <w:rPr>
          <w:rFonts w:ascii="Arial" w:eastAsia="Times New Roman" w:hAnsi="Arial" w:cs="Arial"/>
        </w:rPr>
      </w:pPr>
    </w:p>
    <w:p w14:paraId="69A1846F" w14:textId="77777777" w:rsidR="00810699" w:rsidRPr="004D045E" w:rsidRDefault="00701FD7" w:rsidP="00A042C4">
      <w:pPr>
        <w:spacing w:line="240" w:lineRule="auto"/>
        <w:rPr>
          <w:rFonts w:ascii="Arial" w:eastAsia="Times New Roman" w:hAnsi="Arial" w:cs="Arial"/>
          <w:b/>
        </w:rPr>
        <w:sectPr w:rsidR="00810699" w:rsidRPr="004D045E">
          <w:headerReference w:type="default" r:id="rId7"/>
          <w:footerReference w:type="default" r:id="rId8"/>
          <w:pgSz w:w="12240" w:h="15840"/>
          <w:pgMar w:top="1440" w:right="1440" w:bottom="1440" w:left="1440" w:header="708" w:footer="708" w:gutter="0"/>
          <w:pgNumType w:start="1"/>
          <w:cols w:space="720"/>
        </w:sectPr>
      </w:pPr>
      <w:r w:rsidRPr="004D045E">
        <w:rPr>
          <w:rFonts w:ascii="Arial" w:hAnsi="Arial" w:cs="Arial"/>
        </w:rPr>
        <w:br w:type="page"/>
      </w:r>
    </w:p>
    <w:p w14:paraId="746272C8" w14:textId="12DE6225" w:rsidR="00810699" w:rsidRPr="004D045E" w:rsidRDefault="00701FD7" w:rsidP="00A042C4">
      <w:pPr>
        <w:pBdr>
          <w:top w:val="nil"/>
          <w:left w:val="nil"/>
          <w:bottom w:val="nil"/>
          <w:right w:val="nil"/>
          <w:between w:val="nil"/>
        </w:pBdr>
        <w:spacing w:after="200" w:line="240" w:lineRule="auto"/>
        <w:rPr>
          <w:rFonts w:ascii="Arial" w:eastAsia="Times New Roman" w:hAnsi="Arial" w:cs="Arial"/>
          <w:b/>
        </w:rPr>
      </w:pPr>
      <w:bookmarkStart w:id="35" w:name="_2r0uhxc" w:colFirst="0" w:colLast="0"/>
      <w:bookmarkEnd w:id="35"/>
      <w:r w:rsidRPr="004D045E">
        <w:rPr>
          <w:rFonts w:ascii="Arial" w:eastAsia="Times New Roman" w:hAnsi="Arial" w:cs="Arial"/>
          <w:b/>
        </w:rPr>
        <w:lastRenderedPageBreak/>
        <w:t xml:space="preserve">Table </w:t>
      </w:r>
      <w:r w:rsidR="00E461A4">
        <w:rPr>
          <w:rFonts w:ascii="Arial" w:eastAsia="Times New Roman" w:hAnsi="Arial" w:cs="Arial"/>
          <w:b/>
        </w:rPr>
        <w:t>1</w:t>
      </w:r>
      <w:r w:rsidRPr="004D045E">
        <w:rPr>
          <w:rFonts w:ascii="Arial" w:eastAsia="Times New Roman" w:hAnsi="Arial" w:cs="Arial"/>
          <w:b/>
        </w:rPr>
        <w:t xml:space="preserve"> - Descriptive Statistics</w:t>
      </w:r>
    </w:p>
    <w:tbl>
      <w:tblPr>
        <w:tblStyle w:val="a0"/>
        <w:tblW w:w="12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6"/>
        <w:gridCol w:w="1060"/>
        <w:gridCol w:w="1135"/>
        <w:gridCol w:w="1114"/>
        <w:gridCol w:w="1193"/>
        <w:gridCol w:w="1360"/>
        <w:gridCol w:w="1062"/>
        <w:gridCol w:w="1314"/>
        <w:gridCol w:w="1098"/>
        <w:gridCol w:w="877"/>
        <w:gridCol w:w="241"/>
      </w:tblGrid>
      <w:tr w:rsidR="00810699" w:rsidRPr="004D045E" w14:paraId="35ADADCF"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5"/>
        </w:trPr>
        <w:tc>
          <w:tcPr>
            <w:cnfStyle w:val="000010000000" w:firstRow="0" w:lastRow="0" w:firstColumn="0" w:lastColumn="0" w:oddVBand="1" w:evenVBand="0" w:oddHBand="0" w:evenHBand="0" w:firstRowFirstColumn="0" w:firstRowLastColumn="0" w:lastRowFirstColumn="0" w:lastRowLastColumn="0"/>
            <w:tcW w:w="1756" w:type="dxa"/>
            <w:vMerge w:val="restart"/>
            <w:shd w:val="clear" w:color="auto" w:fill="auto"/>
          </w:tcPr>
          <w:p w14:paraId="7FDA6866" w14:textId="77777777" w:rsidR="00810699" w:rsidRPr="004D045E" w:rsidRDefault="00810699" w:rsidP="00A042C4">
            <w:pPr>
              <w:rPr>
                <w:rFonts w:ascii="Arial" w:eastAsia="Times New Roman" w:hAnsi="Arial" w:cs="Arial"/>
                <w:color w:val="auto"/>
              </w:rPr>
            </w:pPr>
          </w:p>
        </w:tc>
        <w:tc>
          <w:tcPr>
            <w:tcW w:w="1060" w:type="dxa"/>
            <w:shd w:val="clear" w:color="auto" w:fill="auto"/>
          </w:tcPr>
          <w:p w14:paraId="78E41A18"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61CA1376"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Min.</w:t>
            </w:r>
          </w:p>
        </w:tc>
        <w:tc>
          <w:tcPr>
            <w:tcW w:w="1114" w:type="dxa"/>
            <w:shd w:val="clear" w:color="auto" w:fill="auto"/>
          </w:tcPr>
          <w:p w14:paraId="205982BE"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Max.</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24F96394"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Mean</w:t>
            </w:r>
          </w:p>
        </w:tc>
        <w:tc>
          <w:tcPr>
            <w:tcW w:w="1360" w:type="dxa"/>
            <w:shd w:val="clear" w:color="auto" w:fill="auto"/>
          </w:tcPr>
          <w:p w14:paraId="0E6DF338"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Std. Deviation</w:t>
            </w:r>
          </w:p>
        </w:tc>
        <w:tc>
          <w:tcPr>
            <w:cnfStyle w:val="000010000000" w:firstRow="0" w:lastRow="0" w:firstColumn="0" w:lastColumn="0" w:oddVBand="1" w:evenVBand="0" w:oddHBand="0" w:evenHBand="0" w:firstRowFirstColumn="0" w:firstRowLastColumn="0" w:lastRowFirstColumn="0" w:lastRowLastColumn="0"/>
            <w:tcW w:w="2376" w:type="dxa"/>
            <w:gridSpan w:val="2"/>
            <w:shd w:val="clear" w:color="auto" w:fill="auto"/>
          </w:tcPr>
          <w:p w14:paraId="2B1865A4"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Skewness</w:t>
            </w:r>
          </w:p>
        </w:tc>
        <w:tc>
          <w:tcPr>
            <w:tcW w:w="1975" w:type="dxa"/>
            <w:gridSpan w:val="2"/>
            <w:shd w:val="clear" w:color="auto" w:fill="auto"/>
          </w:tcPr>
          <w:p w14:paraId="62000431"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Kurtosis</w:t>
            </w:r>
          </w:p>
        </w:tc>
      </w:tr>
      <w:tr w:rsidR="00810699" w:rsidRPr="004D045E" w14:paraId="23F33C90" w14:textId="77777777" w:rsidTr="00810699">
        <w:trPr>
          <w:trHeight w:val="155"/>
        </w:trPr>
        <w:tc>
          <w:tcPr>
            <w:cnfStyle w:val="000010000000" w:firstRow="0" w:lastRow="0" w:firstColumn="0" w:lastColumn="0" w:oddVBand="1" w:evenVBand="0" w:oddHBand="0" w:evenHBand="0" w:firstRowFirstColumn="0" w:firstRowLastColumn="0" w:lastRowFirstColumn="0" w:lastRowLastColumn="0"/>
            <w:tcW w:w="1756" w:type="dxa"/>
            <w:vMerge/>
            <w:shd w:val="clear" w:color="auto" w:fill="auto"/>
          </w:tcPr>
          <w:p w14:paraId="62F1A827"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1060" w:type="dxa"/>
            <w:tcBorders>
              <w:bottom w:val="single" w:sz="4" w:space="0" w:color="000000"/>
            </w:tcBorders>
          </w:tcPr>
          <w:p w14:paraId="6BCCC4B8" w14:textId="77777777" w:rsidR="00810699" w:rsidRPr="004D045E"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Statistic</w:t>
            </w:r>
          </w:p>
        </w:tc>
        <w:tc>
          <w:tcPr>
            <w:cnfStyle w:val="000010000000" w:firstRow="0" w:lastRow="0" w:firstColumn="0" w:lastColumn="0" w:oddVBand="1" w:evenVBand="0" w:oddHBand="0" w:evenHBand="0" w:firstRowFirstColumn="0" w:firstRowLastColumn="0" w:lastRowFirstColumn="0" w:lastRowLastColumn="0"/>
            <w:tcW w:w="1135" w:type="dxa"/>
            <w:tcBorders>
              <w:bottom w:val="single" w:sz="4" w:space="0" w:color="000000"/>
            </w:tcBorders>
            <w:shd w:val="clear" w:color="auto" w:fill="auto"/>
          </w:tcPr>
          <w:p w14:paraId="29A3BDE8"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Statistic</w:t>
            </w:r>
          </w:p>
        </w:tc>
        <w:tc>
          <w:tcPr>
            <w:tcW w:w="1114" w:type="dxa"/>
            <w:tcBorders>
              <w:bottom w:val="single" w:sz="4" w:space="0" w:color="000000"/>
            </w:tcBorders>
          </w:tcPr>
          <w:p w14:paraId="09B938E3" w14:textId="77777777" w:rsidR="00810699" w:rsidRPr="004D045E"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Statistic</w:t>
            </w:r>
          </w:p>
        </w:tc>
        <w:tc>
          <w:tcPr>
            <w:cnfStyle w:val="000010000000" w:firstRow="0" w:lastRow="0" w:firstColumn="0" w:lastColumn="0" w:oddVBand="1" w:evenVBand="0" w:oddHBand="0" w:evenHBand="0" w:firstRowFirstColumn="0" w:firstRowLastColumn="0" w:lastRowFirstColumn="0" w:lastRowLastColumn="0"/>
            <w:tcW w:w="1193" w:type="dxa"/>
            <w:tcBorders>
              <w:bottom w:val="single" w:sz="4" w:space="0" w:color="000000"/>
            </w:tcBorders>
            <w:shd w:val="clear" w:color="auto" w:fill="auto"/>
          </w:tcPr>
          <w:p w14:paraId="21C81A82"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Statistic</w:t>
            </w:r>
          </w:p>
        </w:tc>
        <w:tc>
          <w:tcPr>
            <w:tcW w:w="1360" w:type="dxa"/>
            <w:tcBorders>
              <w:bottom w:val="single" w:sz="4" w:space="0" w:color="000000"/>
            </w:tcBorders>
          </w:tcPr>
          <w:p w14:paraId="14ADAFFE" w14:textId="77777777" w:rsidR="00810699" w:rsidRPr="004D045E"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Statistic</w:t>
            </w:r>
          </w:p>
        </w:tc>
        <w:tc>
          <w:tcPr>
            <w:cnfStyle w:val="000010000000" w:firstRow="0" w:lastRow="0" w:firstColumn="0" w:lastColumn="0" w:oddVBand="1" w:evenVBand="0" w:oddHBand="0" w:evenHBand="0" w:firstRowFirstColumn="0" w:firstRowLastColumn="0" w:lastRowFirstColumn="0" w:lastRowLastColumn="0"/>
            <w:tcW w:w="1062" w:type="dxa"/>
            <w:tcBorders>
              <w:bottom w:val="single" w:sz="4" w:space="0" w:color="000000"/>
            </w:tcBorders>
            <w:shd w:val="clear" w:color="auto" w:fill="auto"/>
          </w:tcPr>
          <w:p w14:paraId="664550AE"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Statistic</w:t>
            </w:r>
          </w:p>
        </w:tc>
        <w:tc>
          <w:tcPr>
            <w:tcW w:w="1314" w:type="dxa"/>
            <w:tcBorders>
              <w:bottom w:val="single" w:sz="4" w:space="0" w:color="000000"/>
            </w:tcBorders>
          </w:tcPr>
          <w:p w14:paraId="0C34FFE7" w14:textId="77777777" w:rsidR="00810699" w:rsidRPr="004D045E"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Std. Error</w:t>
            </w:r>
          </w:p>
        </w:tc>
        <w:tc>
          <w:tcPr>
            <w:cnfStyle w:val="000010000000" w:firstRow="0" w:lastRow="0" w:firstColumn="0" w:lastColumn="0" w:oddVBand="1" w:evenVBand="0" w:oddHBand="0" w:evenHBand="0" w:firstRowFirstColumn="0" w:firstRowLastColumn="0" w:lastRowFirstColumn="0" w:lastRowLastColumn="0"/>
            <w:tcW w:w="1098" w:type="dxa"/>
            <w:tcBorders>
              <w:bottom w:val="single" w:sz="4" w:space="0" w:color="000000"/>
            </w:tcBorders>
            <w:shd w:val="clear" w:color="auto" w:fill="auto"/>
          </w:tcPr>
          <w:p w14:paraId="6849E87A"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Statistic</w:t>
            </w:r>
          </w:p>
        </w:tc>
        <w:tc>
          <w:tcPr>
            <w:tcW w:w="1118" w:type="dxa"/>
            <w:gridSpan w:val="2"/>
            <w:tcBorders>
              <w:bottom w:val="single" w:sz="4" w:space="0" w:color="000000"/>
            </w:tcBorders>
          </w:tcPr>
          <w:p w14:paraId="76688CEC" w14:textId="77777777" w:rsidR="00810699" w:rsidRPr="004D045E"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Std. Error</w:t>
            </w:r>
          </w:p>
        </w:tc>
      </w:tr>
      <w:tr w:rsidR="00810699" w:rsidRPr="004D045E" w14:paraId="78CE4B9E"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2"/>
        </w:trPr>
        <w:tc>
          <w:tcPr>
            <w:cnfStyle w:val="000010000000" w:firstRow="0" w:lastRow="0" w:firstColumn="0" w:lastColumn="0" w:oddVBand="1" w:evenVBand="0" w:oddHBand="0" w:evenHBand="0" w:firstRowFirstColumn="0" w:firstRowLastColumn="0" w:lastRowFirstColumn="0" w:lastRowLastColumn="0"/>
            <w:tcW w:w="1756" w:type="dxa"/>
            <w:tcBorders>
              <w:top w:val="single" w:sz="4" w:space="0" w:color="000000"/>
            </w:tcBorders>
            <w:shd w:val="clear" w:color="auto" w:fill="auto"/>
          </w:tcPr>
          <w:p w14:paraId="45671955"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Board Size</w:t>
            </w:r>
          </w:p>
        </w:tc>
        <w:tc>
          <w:tcPr>
            <w:tcW w:w="1060" w:type="dxa"/>
            <w:tcBorders>
              <w:top w:val="single" w:sz="4" w:space="0" w:color="000000"/>
            </w:tcBorders>
            <w:shd w:val="clear" w:color="auto" w:fill="auto"/>
          </w:tcPr>
          <w:p w14:paraId="1F43B47D"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tcBorders>
              <w:top w:val="single" w:sz="4" w:space="0" w:color="000000"/>
            </w:tcBorders>
            <w:shd w:val="clear" w:color="auto" w:fill="auto"/>
          </w:tcPr>
          <w:p w14:paraId="036FD463"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1.00</w:t>
            </w:r>
          </w:p>
        </w:tc>
        <w:tc>
          <w:tcPr>
            <w:tcW w:w="1114" w:type="dxa"/>
            <w:tcBorders>
              <w:top w:val="single" w:sz="4" w:space="0" w:color="000000"/>
            </w:tcBorders>
            <w:shd w:val="clear" w:color="auto" w:fill="auto"/>
          </w:tcPr>
          <w:p w14:paraId="74339D8C"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tcBorders>
              <w:top w:val="single" w:sz="4" w:space="0" w:color="000000"/>
            </w:tcBorders>
            <w:shd w:val="clear" w:color="auto" w:fill="auto"/>
          </w:tcPr>
          <w:p w14:paraId="7B2FFDEA"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4.2891</w:t>
            </w:r>
          </w:p>
        </w:tc>
        <w:tc>
          <w:tcPr>
            <w:tcW w:w="1360" w:type="dxa"/>
            <w:tcBorders>
              <w:top w:val="single" w:sz="4" w:space="0" w:color="000000"/>
            </w:tcBorders>
            <w:shd w:val="clear" w:color="auto" w:fill="auto"/>
          </w:tcPr>
          <w:p w14:paraId="7B2CF629"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0.72787</w:t>
            </w:r>
          </w:p>
        </w:tc>
        <w:tc>
          <w:tcPr>
            <w:cnfStyle w:val="000010000000" w:firstRow="0" w:lastRow="0" w:firstColumn="0" w:lastColumn="0" w:oddVBand="1" w:evenVBand="0" w:oddHBand="0" w:evenHBand="0" w:firstRowFirstColumn="0" w:firstRowLastColumn="0" w:lastRowFirstColumn="0" w:lastRowLastColumn="0"/>
            <w:tcW w:w="1062" w:type="dxa"/>
            <w:tcBorders>
              <w:top w:val="single" w:sz="4" w:space="0" w:color="000000"/>
            </w:tcBorders>
            <w:shd w:val="clear" w:color="auto" w:fill="auto"/>
          </w:tcPr>
          <w:p w14:paraId="06EC825A"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-1.404</w:t>
            </w:r>
          </w:p>
        </w:tc>
        <w:tc>
          <w:tcPr>
            <w:tcW w:w="1314" w:type="dxa"/>
            <w:tcBorders>
              <w:top w:val="single" w:sz="4" w:space="0" w:color="000000"/>
            </w:tcBorders>
            <w:shd w:val="clear" w:color="auto" w:fill="auto"/>
          </w:tcPr>
          <w:p w14:paraId="3A51691F"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tcBorders>
              <w:top w:val="single" w:sz="4" w:space="0" w:color="000000"/>
            </w:tcBorders>
            <w:shd w:val="clear" w:color="auto" w:fill="auto"/>
          </w:tcPr>
          <w:p w14:paraId="603AAD77"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3.638</w:t>
            </w:r>
          </w:p>
        </w:tc>
        <w:tc>
          <w:tcPr>
            <w:tcW w:w="877" w:type="dxa"/>
            <w:tcBorders>
              <w:top w:val="single" w:sz="4" w:space="0" w:color="000000"/>
            </w:tcBorders>
            <w:shd w:val="clear" w:color="auto" w:fill="auto"/>
          </w:tcPr>
          <w:p w14:paraId="461D9AF4"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0.248</w:t>
            </w:r>
          </w:p>
        </w:tc>
      </w:tr>
      <w:tr w:rsidR="00810699" w:rsidRPr="004D045E" w14:paraId="07AAF280" w14:textId="77777777" w:rsidTr="00810699">
        <w:trPr>
          <w:gridAfter w:val="1"/>
          <w:wAfter w:w="241" w:type="dxa"/>
          <w:trHeight w:val="287"/>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1D37E975"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Board Independence</w:t>
            </w:r>
          </w:p>
        </w:tc>
        <w:tc>
          <w:tcPr>
            <w:tcW w:w="1060" w:type="dxa"/>
          </w:tcPr>
          <w:p w14:paraId="0503E721" w14:textId="77777777" w:rsidR="00810699" w:rsidRPr="004D045E" w:rsidRDefault="00701FD7" w:rsidP="00A042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01C68441"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1.00</w:t>
            </w:r>
          </w:p>
        </w:tc>
        <w:tc>
          <w:tcPr>
            <w:tcW w:w="1114" w:type="dxa"/>
          </w:tcPr>
          <w:p w14:paraId="37CC6BFC"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38576922"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4.3490</w:t>
            </w:r>
          </w:p>
        </w:tc>
        <w:tc>
          <w:tcPr>
            <w:tcW w:w="1360" w:type="dxa"/>
          </w:tcPr>
          <w:p w14:paraId="0C690BE1"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0.79693</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34F97800"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-1.706</w:t>
            </w:r>
          </w:p>
        </w:tc>
        <w:tc>
          <w:tcPr>
            <w:tcW w:w="1314" w:type="dxa"/>
          </w:tcPr>
          <w:p w14:paraId="617D79DB"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25B8A8F1"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4.011</w:t>
            </w:r>
          </w:p>
        </w:tc>
        <w:tc>
          <w:tcPr>
            <w:tcW w:w="877" w:type="dxa"/>
          </w:tcPr>
          <w:p w14:paraId="3835EBFC"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0.248</w:t>
            </w:r>
          </w:p>
        </w:tc>
      </w:tr>
      <w:tr w:rsidR="00810699" w:rsidRPr="004D045E" w14:paraId="28BD88C8"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2"/>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4425C4B5"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Board Meetings</w:t>
            </w:r>
          </w:p>
        </w:tc>
        <w:tc>
          <w:tcPr>
            <w:tcW w:w="1060" w:type="dxa"/>
            <w:shd w:val="clear" w:color="auto" w:fill="auto"/>
          </w:tcPr>
          <w:p w14:paraId="77F83409" w14:textId="77777777" w:rsidR="00810699" w:rsidRPr="004D045E" w:rsidRDefault="00701FD7" w:rsidP="00A042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07F126C6"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1.00</w:t>
            </w:r>
          </w:p>
        </w:tc>
        <w:tc>
          <w:tcPr>
            <w:tcW w:w="1114" w:type="dxa"/>
            <w:shd w:val="clear" w:color="auto" w:fill="auto"/>
          </w:tcPr>
          <w:p w14:paraId="496923D0"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618FD101"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4.3499</w:t>
            </w:r>
          </w:p>
        </w:tc>
        <w:tc>
          <w:tcPr>
            <w:tcW w:w="1360" w:type="dxa"/>
            <w:shd w:val="clear" w:color="auto" w:fill="auto"/>
          </w:tcPr>
          <w:p w14:paraId="65520986"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0.75042</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174444AE"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-1.496</w:t>
            </w:r>
          </w:p>
        </w:tc>
        <w:tc>
          <w:tcPr>
            <w:tcW w:w="1314" w:type="dxa"/>
            <w:shd w:val="clear" w:color="auto" w:fill="auto"/>
          </w:tcPr>
          <w:p w14:paraId="310B8960"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22A1EA43"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3.437</w:t>
            </w:r>
          </w:p>
        </w:tc>
        <w:tc>
          <w:tcPr>
            <w:tcW w:w="877" w:type="dxa"/>
            <w:shd w:val="clear" w:color="auto" w:fill="auto"/>
          </w:tcPr>
          <w:p w14:paraId="38A4E3A2"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0.249</w:t>
            </w:r>
          </w:p>
        </w:tc>
      </w:tr>
      <w:tr w:rsidR="00810699" w:rsidRPr="004D045E" w14:paraId="3D211926" w14:textId="77777777" w:rsidTr="00810699">
        <w:trPr>
          <w:gridAfter w:val="1"/>
          <w:wAfter w:w="241" w:type="dxa"/>
          <w:trHeight w:val="152"/>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0A352CB6"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CEO Duality</w:t>
            </w:r>
          </w:p>
        </w:tc>
        <w:tc>
          <w:tcPr>
            <w:tcW w:w="1060" w:type="dxa"/>
          </w:tcPr>
          <w:p w14:paraId="3501039B" w14:textId="77777777" w:rsidR="00810699" w:rsidRPr="004D045E" w:rsidRDefault="00701FD7" w:rsidP="00A042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02F421B6"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1.00</w:t>
            </w:r>
          </w:p>
        </w:tc>
        <w:tc>
          <w:tcPr>
            <w:tcW w:w="1114" w:type="dxa"/>
          </w:tcPr>
          <w:p w14:paraId="6ABDF2C5"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14175D7E"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4.3177</w:t>
            </w:r>
          </w:p>
        </w:tc>
        <w:tc>
          <w:tcPr>
            <w:tcW w:w="1360" w:type="dxa"/>
          </w:tcPr>
          <w:p w14:paraId="5F6A60CC"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0.77027</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0F104A87"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-1.579</w:t>
            </w:r>
          </w:p>
        </w:tc>
        <w:tc>
          <w:tcPr>
            <w:tcW w:w="1314" w:type="dxa"/>
          </w:tcPr>
          <w:p w14:paraId="7F07DD67"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6BC5B9BE"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3.801</w:t>
            </w:r>
          </w:p>
        </w:tc>
        <w:tc>
          <w:tcPr>
            <w:tcW w:w="877" w:type="dxa"/>
          </w:tcPr>
          <w:p w14:paraId="1B739B7F"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0.248</w:t>
            </w:r>
          </w:p>
        </w:tc>
      </w:tr>
      <w:tr w:rsidR="00810699" w:rsidRPr="004D045E" w14:paraId="028AF29F"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5"/>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39CEA19E"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Firm Size</w:t>
            </w:r>
          </w:p>
        </w:tc>
        <w:tc>
          <w:tcPr>
            <w:tcW w:w="1060" w:type="dxa"/>
            <w:shd w:val="clear" w:color="auto" w:fill="auto"/>
          </w:tcPr>
          <w:p w14:paraId="471B09EF" w14:textId="77777777" w:rsidR="00810699" w:rsidRPr="004D045E" w:rsidRDefault="00701FD7" w:rsidP="00A042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7358E000"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1.00</w:t>
            </w:r>
          </w:p>
        </w:tc>
        <w:tc>
          <w:tcPr>
            <w:tcW w:w="1114" w:type="dxa"/>
            <w:shd w:val="clear" w:color="auto" w:fill="auto"/>
          </w:tcPr>
          <w:p w14:paraId="33965976"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29F2C847"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4.2708</w:t>
            </w:r>
          </w:p>
        </w:tc>
        <w:tc>
          <w:tcPr>
            <w:tcW w:w="1360" w:type="dxa"/>
            <w:shd w:val="clear" w:color="auto" w:fill="auto"/>
          </w:tcPr>
          <w:p w14:paraId="61FA1F69"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0.80442</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5393F442"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-1.740</w:t>
            </w:r>
          </w:p>
        </w:tc>
        <w:tc>
          <w:tcPr>
            <w:tcW w:w="1314" w:type="dxa"/>
            <w:shd w:val="clear" w:color="auto" w:fill="auto"/>
          </w:tcPr>
          <w:p w14:paraId="6E0E5E24"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383E86EF"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4.644</w:t>
            </w:r>
          </w:p>
        </w:tc>
        <w:tc>
          <w:tcPr>
            <w:tcW w:w="877" w:type="dxa"/>
            <w:shd w:val="clear" w:color="auto" w:fill="auto"/>
          </w:tcPr>
          <w:p w14:paraId="51CB6267"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0.248</w:t>
            </w:r>
          </w:p>
        </w:tc>
      </w:tr>
      <w:tr w:rsidR="00810699" w:rsidRPr="004D045E" w14:paraId="61517438" w14:textId="77777777" w:rsidTr="00810699">
        <w:trPr>
          <w:gridAfter w:val="1"/>
          <w:wAfter w:w="241" w:type="dxa"/>
          <w:trHeight w:val="310"/>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278A7223"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Industry Regulation</w:t>
            </w:r>
          </w:p>
        </w:tc>
        <w:tc>
          <w:tcPr>
            <w:tcW w:w="1060" w:type="dxa"/>
          </w:tcPr>
          <w:p w14:paraId="05498149" w14:textId="77777777" w:rsidR="00810699" w:rsidRPr="004D045E" w:rsidRDefault="00701FD7" w:rsidP="00A042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6FF18C75"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1.00</w:t>
            </w:r>
          </w:p>
        </w:tc>
        <w:tc>
          <w:tcPr>
            <w:tcW w:w="1114" w:type="dxa"/>
          </w:tcPr>
          <w:p w14:paraId="20A65486"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28056170"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4.2552</w:t>
            </w:r>
          </w:p>
        </w:tc>
        <w:tc>
          <w:tcPr>
            <w:tcW w:w="1360" w:type="dxa"/>
          </w:tcPr>
          <w:p w14:paraId="7177C779"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0.78993</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1B2C593B"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-1.637</w:t>
            </w:r>
          </w:p>
        </w:tc>
        <w:tc>
          <w:tcPr>
            <w:tcW w:w="1314" w:type="dxa"/>
          </w:tcPr>
          <w:p w14:paraId="0F67F20C"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21BD6006"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4.188</w:t>
            </w:r>
          </w:p>
        </w:tc>
        <w:tc>
          <w:tcPr>
            <w:tcW w:w="877" w:type="dxa"/>
          </w:tcPr>
          <w:p w14:paraId="7919795A"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0.248</w:t>
            </w:r>
          </w:p>
        </w:tc>
      </w:tr>
      <w:tr w:rsidR="00810699" w:rsidRPr="004D045E" w14:paraId="1956946E"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5"/>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0CE47239"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Valid N (listwise)</w:t>
            </w:r>
          </w:p>
        </w:tc>
        <w:tc>
          <w:tcPr>
            <w:tcW w:w="1060" w:type="dxa"/>
            <w:shd w:val="clear" w:color="auto" w:fill="auto"/>
          </w:tcPr>
          <w:p w14:paraId="32FE9B12" w14:textId="77777777" w:rsidR="00810699" w:rsidRPr="004D045E" w:rsidRDefault="00701FD7" w:rsidP="00A042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6C8FDB60" w14:textId="77777777" w:rsidR="00810699" w:rsidRPr="004D045E" w:rsidRDefault="00810699" w:rsidP="00A042C4">
            <w:pPr>
              <w:rPr>
                <w:rFonts w:ascii="Arial" w:eastAsia="Times New Roman" w:hAnsi="Arial" w:cs="Arial"/>
                <w:color w:val="auto"/>
              </w:rPr>
            </w:pPr>
          </w:p>
        </w:tc>
        <w:tc>
          <w:tcPr>
            <w:tcW w:w="1114" w:type="dxa"/>
            <w:shd w:val="clear" w:color="auto" w:fill="auto"/>
          </w:tcPr>
          <w:p w14:paraId="65DFE9E8" w14:textId="77777777" w:rsidR="00810699" w:rsidRPr="004D045E"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5A1D6908" w14:textId="77777777" w:rsidR="00810699" w:rsidRPr="004D045E" w:rsidRDefault="00810699" w:rsidP="00A042C4">
            <w:pPr>
              <w:rPr>
                <w:rFonts w:ascii="Arial" w:eastAsia="Times New Roman" w:hAnsi="Arial" w:cs="Arial"/>
                <w:color w:val="auto"/>
              </w:rPr>
            </w:pPr>
          </w:p>
        </w:tc>
        <w:tc>
          <w:tcPr>
            <w:tcW w:w="1360" w:type="dxa"/>
            <w:shd w:val="clear" w:color="auto" w:fill="auto"/>
          </w:tcPr>
          <w:p w14:paraId="35534C7F" w14:textId="77777777" w:rsidR="00810699" w:rsidRPr="004D045E"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57AA6FE3" w14:textId="77777777" w:rsidR="00810699" w:rsidRPr="004D045E" w:rsidRDefault="00810699" w:rsidP="00A042C4">
            <w:pPr>
              <w:rPr>
                <w:rFonts w:ascii="Arial" w:eastAsia="Times New Roman" w:hAnsi="Arial" w:cs="Arial"/>
                <w:color w:val="auto"/>
              </w:rPr>
            </w:pPr>
          </w:p>
        </w:tc>
        <w:tc>
          <w:tcPr>
            <w:tcW w:w="1314" w:type="dxa"/>
            <w:shd w:val="clear" w:color="auto" w:fill="auto"/>
          </w:tcPr>
          <w:p w14:paraId="409349CE" w14:textId="77777777" w:rsidR="00810699" w:rsidRPr="004D045E"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6D8344B7" w14:textId="77777777" w:rsidR="00810699" w:rsidRPr="004D045E" w:rsidRDefault="00810699" w:rsidP="00A042C4">
            <w:pPr>
              <w:rPr>
                <w:rFonts w:ascii="Arial" w:eastAsia="Times New Roman" w:hAnsi="Arial" w:cs="Arial"/>
                <w:color w:val="auto"/>
              </w:rPr>
            </w:pPr>
          </w:p>
        </w:tc>
        <w:tc>
          <w:tcPr>
            <w:tcW w:w="877" w:type="dxa"/>
            <w:shd w:val="clear" w:color="auto" w:fill="auto"/>
          </w:tcPr>
          <w:p w14:paraId="5FF01B5C" w14:textId="77777777" w:rsidR="00810699" w:rsidRPr="004D045E"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r>
    </w:tbl>
    <w:p w14:paraId="29890B0A" w14:textId="5D5BEBF3" w:rsidR="00810699" w:rsidRPr="004D045E" w:rsidRDefault="00701FD7" w:rsidP="00A042C4">
      <w:pPr>
        <w:spacing w:line="240" w:lineRule="auto"/>
        <w:rPr>
          <w:rFonts w:ascii="Arial" w:eastAsia="Times New Roman" w:hAnsi="Arial" w:cs="Arial"/>
        </w:rPr>
        <w:sectPr w:rsidR="00810699" w:rsidRPr="004D045E">
          <w:pgSz w:w="15840" w:h="12240" w:orient="landscape"/>
          <w:pgMar w:top="1440" w:right="1440" w:bottom="1440" w:left="1440" w:header="706" w:footer="706" w:gutter="0"/>
          <w:cols w:space="720"/>
        </w:sectPr>
      </w:pPr>
      <w:r w:rsidRPr="004D045E">
        <w:rPr>
          <w:rFonts w:ascii="Arial" w:eastAsia="Times New Roman" w:hAnsi="Arial" w:cs="Arial"/>
        </w:rPr>
        <w:t>Source: Field Survey, 202</w:t>
      </w:r>
      <w:r w:rsidR="000E3763" w:rsidRPr="004D045E">
        <w:rPr>
          <w:rFonts w:ascii="Arial" w:eastAsia="Times New Roman" w:hAnsi="Arial" w:cs="Arial"/>
        </w:rPr>
        <w:t>5</w:t>
      </w:r>
    </w:p>
    <w:p w14:paraId="097958A0" w14:textId="77777777" w:rsidR="00810699" w:rsidRPr="004D045E" w:rsidRDefault="00701FD7" w:rsidP="00A042C4">
      <w:pPr>
        <w:pStyle w:val="Heading3"/>
        <w:spacing w:line="240" w:lineRule="auto"/>
        <w:rPr>
          <w:rFonts w:ascii="Arial" w:hAnsi="Arial" w:cs="Arial"/>
          <w:color w:val="auto"/>
          <w:sz w:val="22"/>
          <w:szCs w:val="22"/>
        </w:rPr>
      </w:pPr>
      <w:bookmarkStart w:id="36" w:name="_37m2jsg" w:colFirst="0" w:colLast="0"/>
      <w:bookmarkEnd w:id="36"/>
      <w:r w:rsidRPr="004D045E">
        <w:rPr>
          <w:rFonts w:ascii="Arial" w:hAnsi="Arial" w:cs="Arial"/>
          <w:color w:val="auto"/>
          <w:sz w:val="22"/>
          <w:szCs w:val="22"/>
        </w:rPr>
        <w:lastRenderedPageBreak/>
        <w:t>4.3 Diagnostic Testing</w:t>
      </w:r>
    </w:p>
    <w:p w14:paraId="0F49AB60" w14:textId="42052C09"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The correlation matrix analysis is used to test the variable to find out issues of collinearity. The correlation matrix reveals significant positive correlations among the independent variables, indicating that they are related to each other. Specifically, Board Size is positively correlated with Board Independence (r = 0.314, p &lt; 0.01) and CEO Duality (r = 0.438, p &lt; 0.05). Board Independence is positively correlated with Board Meetings (r = 0.543, p &lt; 0.06) and Firm Size (r = 0.440, p &lt; 0.06). CEO Duality is positively correlated with Board Meetings (r = 0.515, p &lt; 0.06) and Firm Size (r = 0.266, p &lt; 0.10). Firm Size is positively correlated with Industry Regulation (r = 0.410, p &lt; 0.05). The results are shown in Table </w:t>
      </w:r>
      <w:r w:rsidR="00E461A4">
        <w:rPr>
          <w:rFonts w:ascii="Arial" w:eastAsia="Times New Roman" w:hAnsi="Arial" w:cs="Arial"/>
        </w:rPr>
        <w:t>2</w:t>
      </w:r>
      <w:r w:rsidRPr="004D045E">
        <w:rPr>
          <w:rFonts w:ascii="Arial" w:eastAsia="Times New Roman" w:hAnsi="Arial" w:cs="Arial"/>
        </w:rPr>
        <w:t xml:space="preserve"> and it reveals several key insights into the relationships between the independent variables. Firstly, the positive correlation between Board Size and Board Independence suggests that larger boards tend to be more independent, which is consistent with the idea that larger boards are more likely to have a greater diversity of perspectives and experiences.</w:t>
      </w:r>
    </w:p>
    <w:p w14:paraId="18402CA9"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Secondly, the positive correlation between Board Independence and Board Meetings suggests that more independent boards tend to meet more frequently, which is consistent with the idea that independent boards are more active and engaged in oversight. Thirdly, the positive correlation between CEO Duality and Board Meetings suggests that CEOs who also serve as chairmen tend to have more frequent board meetings, which may indicate a more centralized decision-making process. Fourthly, the positive correlation between Firm Size and Industry Regulation suggests that larger firms tend to be more heavily regulated, which is consistent with the idea that larger firms have a greater impact on the industry and are therefore subject to more scrutiny.</w:t>
      </w:r>
    </w:p>
    <w:p w14:paraId="70FE1E5E"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Finally, the correlations between Board Size, Board Independence, CEO Duality, Firm Size, and Industry Regulation suggest that these variables are interrelated and may influence each other. For example, a larger board size may lead to more independence, which in turn may lead to more frequent board meetings. Similarly, a larger firm size may lead to more regulation, which in turn may lead to a greater need for independent oversight.</w:t>
      </w:r>
    </w:p>
    <w:p w14:paraId="5FDFE738" w14:textId="07094ED4" w:rsidR="00810699" w:rsidRPr="004D045E" w:rsidRDefault="00701FD7" w:rsidP="00A042C4">
      <w:pPr>
        <w:pBdr>
          <w:top w:val="nil"/>
          <w:left w:val="nil"/>
          <w:bottom w:val="nil"/>
          <w:right w:val="nil"/>
          <w:between w:val="nil"/>
        </w:pBdr>
        <w:spacing w:after="200" w:line="240" w:lineRule="auto"/>
        <w:rPr>
          <w:rFonts w:ascii="Arial" w:eastAsia="Times New Roman" w:hAnsi="Arial" w:cs="Arial"/>
          <w:b/>
        </w:rPr>
      </w:pPr>
      <w:bookmarkStart w:id="37" w:name="_1664s55" w:colFirst="0" w:colLast="0"/>
      <w:bookmarkEnd w:id="37"/>
      <w:r w:rsidRPr="004D045E">
        <w:rPr>
          <w:rFonts w:ascii="Arial" w:eastAsia="Times New Roman" w:hAnsi="Arial" w:cs="Arial"/>
          <w:b/>
        </w:rPr>
        <w:t xml:space="preserve">Table </w:t>
      </w:r>
      <w:r w:rsidR="00E461A4">
        <w:rPr>
          <w:rFonts w:ascii="Arial" w:eastAsia="Times New Roman" w:hAnsi="Arial" w:cs="Arial"/>
          <w:b/>
        </w:rPr>
        <w:t>2</w:t>
      </w:r>
      <w:r w:rsidRPr="004D045E">
        <w:rPr>
          <w:rFonts w:ascii="Arial" w:eastAsia="Times New Roman" w:hAnsi="Arial" w:cs="Arial"/>
          <w:b/>
        </w:rPr>
        <w:t xml:space="preserve"> - Correlation Matrix</w:t>
      </w:r>
    </w:p>
    <w:tbl>
      <w:tblPr>
        <w:tblStyle w:val="a1"/>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9"/>
        <w:gridCol w:w="2285"/>
        <w:gridCol w:w="1178"/>
        <w:gridCol w:w="1178"/>
        <w:gridCol w:w="1178"/>
        <w:gridCol w:w="1178"/>
        <w:gridCol w:w="1178"/>
      </w:tblGrid>
      <w:tr w:rsidR="00810699" w:rsidRPr="004D045E" w14:paraId="38FFEAA1" w14:textId="77777777" w:rsidTr="00810699">
        <w:trPr>
          <w:cnfStyle w:val="000000100000" w:firstRow="0" w:lastRow="0" w:firstColumn="0" w:lastColumn="0" w:oddVBand="0" w:evenVBand="0" w:oddHBand="1" w:evenHBand="0" w:firstRowFirstColumn="0" w:firstRowLastColumn="0" w:lastRowFirstColumn="0" w:lastRowLastColumn="0"/>
          <w:trHeight w:val="1118"/>
        </w:trPr>
        <w:tc>
          <w:tcPr>
            <w:cnfStyle w:val="000010000000" w:firstRow="0" w:lastRow="0" w:firstColumn="0" w:lastColumn="0" w:oddVBand="1" w:evenVBand="0" w:oddHBand="0" w:evenHBand="0" w:firstRowFirstColumn="0" w:firstRowLastColumn="0" w:lastRowFirstColumn="0" w:lastRowLastColumn="0"/>
            <w:tcW w:w="3445" w:type="dxa"/>
            <w:gridSpan w:val="2"/>
            <w:tcBorders>
              <w:bottom w:val="single" w:sz="4" w:space="0" w:color="000000"/>
            </w:tcBorders>
            <w:shd w:val="clear" w:color="auto" w:fill="auto"/>
          </w:tcPr>
          <w:p w14:paraId="2BB63EEA" w14:textId="77777777" w:rsidR="00810699" w:rsidRPr="004D045E" w:rsidRDefault="00810699" w:rsidP="00A042C4">
            <w:pPr>
              <w:rPr>
                <w:rFonts w:ascii="Arial" w:eastAsia="Times New Roman" w:hAnsi="Arial" w:cs="Arial"/>
                <w:color w:val="auto"/>
              </w:rPr>
            </w:pPr>
          </w:p>
        </w:tc>
        <w:tc>
          <w:tcPr>
            <w:tcW w:w="1178" w:type="dxa"/>
            <w:tcBorders>
              <w:bottom w:val="single" w:sz="4" w:space="0" w:color="000000"/>
            </w:tcBorders>
            <w:shd w:val="clear" w:color="auto" w:fill="auto"/>
          </w:tcPr>
          <w:p w14:paraId="09985C3F"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Board Size</w:t>
            </w:r>
          </w:p>
        </w:tc>
        <w:tc>
          <w:tcPr>
            <w:cnfStyle w:val="000010000000" w:firstRow="0" w:lastRow="0" w:firstColumn="0" w:lastColumn="0" w:oddVBand="1" w:evenVBand="0" w:oddHBand="0" w:evenHBand="0" w:firstRowFirstColumn="0" w:firstRowLastColumn="0" w:lastRowFirstColumn="0" w:lastRowLastColumn="0"/>
            <w:tcW w:w="1178" w:type="dxa"/>
            <w:tcBorders>
              <w:bottom w:val="single" w:sz="4" w:space="0" w:color="000000"/>
            </w:tcBorders>
            <w:shd w:val="clear" w:color="auto" w:fill="auto"/>
          </w:tcPr>
          <w:p w14:paraId="35178A12"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Board Independence</w:t>
            </w:r>
          </w:p>
        </w:tc>
        <w:tc>
          <w:tcPr>
            <w:tcW w:w="1178" w:type="dxa"/>
            <w:tcBorders>
              <w:bottom w:val="single" w:sz="4" w:space="0" w:color="000000"/>
            </w:tcBorders>
            <w:shd w:val="clear" w:color="auto" w:fill="auto"/>
          </w:tcPr>
          <w:p w14:paraId="63189C52"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CEO Duality</w:t>
            </w:r>
          </w:p>
        </w:tc>
        <w:tc>
          <w:tcPr>
            <w:cnfStyle w:val="000010000000" w:firstRow="0" w:lastRow="0" w:firstColumn="0" w:lastColumn="0" w:oddVBand="1" w:evenVBand="0" w:oddHBand="0" w:evenHBand="0" w:firstRowFirstColumn="0" w:firstRowLastColumn="0" w:lastRowFirstColumn="0" w:lastRowLastColumn="0"/>
            <w:tcW w:w="1178" w:type="dxa"/>
            <w:tcBorders>
              <w:bottom w:val="single" w:sz="4" w:space="0" w:color="000000"/>
            </w:tcBorders>
            <w:shd w:val="clear" w:color="auto" w:fill="auto"/>
          </w:tcPr>
          <w:p w14:paraId="4231D014"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Firm Size</w:t>
            </w:r>
          </w:p>
        </w:tc>
        <w:tc>
          <w:tcPr>
            <w:tcW w:w="1178" w:type="dxa"/>
            <w:tcBorders>
              <w:bottom w:val="single" w:sz="4" w:space="0" w:color="000000"/>
            </w:tcBorders>
            <w:shd w:val="clear" w:color="auto" w:fill="auto"/>
          </w:tcPr>
          <w:p w14:paraId="0C086463"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Industry Regulation</w:t>
            </w:r>
          </w:p>
        </w:tc>
      </w:tr>
      <w:tr w:rsidR="00810699" w:rsidRPr="004D045E" w14:paraId="183FC41E" w14:textId="77777777" w:rsidTr="00810699">
        <w:trPr>
          <w:trHeight w:val="562"/>
        </w:trPr>
        <w:tc>
          <w:tcPr>
            <w:cnfStyle w:val="000010000000" w:firstRow="0" w:lastRow="0" w:firstColumn="0" w:lastColumn="0" w:oddVBand="1" w:evenVBand="0" w:oddHBand="0" w:evenHBand="0" w:firstRowFirstColumn="0" w:firstRowLastColumn="0" w:lastRowFirstColumn="0" w:lastRowLastColumn="0"/>
            <w:tcW w:w="1160" w:type="dxa"/>
            <w:vMerge w:val="restart"/>
            <w:tcBorders>
              <w:top w:val="single" w:sz="4" w:space="0" w:color="000000"/>
            </w:tcBorders>
            <w:shd w:val="clear" w:color="auto" w:fill="auto"/>
          </w:tcPr>
          <w:p w14:paraId="4CD8F2F6"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Board Size</w:t>
            </w:r>
          </w:p>
        </w:tc>
        <w:tc>
          <w:tcPr>
            <w:tcW w:w="2285" w:type="dxa"/>
            <w:tcBorders>
              <w:top w:val="single" w:sz="4" w:space="0" w:color="000000"/>
            </w:tcBorders>
          </w:tcPr>
          <w:p w14:paraId="39EDA45B"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tcBorders>
              <w:top w:val="single" w:sz="4" w:space="0" w:color="000000"/>
            </w:tcBorders>
            <w:shd w:val="clear" w:color="auto" w:fill="auto"/>
          </w:tcPr>
          <w:p w14:paraId="6CC6FA7E"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w:t>
            </w:r>
          </w:p>
        </w:tc>
        <w:tc>
          <w:tcPr>
            <w:tcW w:w="1178" w:type="dxa"/>
            <w:tcBorders>
              <w:top w:val="single" w:sz="4" w:space="0" w:color="000000"/>
            </w:tcBorders>
          </w:tcPr>
          <w:p w14:paraId="28849FE6" w14:textId="77777777" w:rsidR="00810699" w:rsidRPr="004D045E" w:rsidRDefault="00810699"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tcBorders>
              <w:top w:val="single" w:sz="4" w:space="0" w:color="000000"/>
            </w:tcBorders>
            <w:shd w:val="clear" w:color="auto" w:fill="auto"/>
          </w:tcPr>
          <w:p w14:paraId="02F6F23B" w14:textId="77777777" w:rsidR="00810699" w:rsidRPr="004D045E" w:rsidRDefault="00810699" w:rsidP="00A042C4">
            <w:pPr>
              <w:ind w:left="60" w:right="60"/>
              <w:jc w:val="right"/>
              <w:rPr>
                <w:rFonts w:ascii="Arial" w:eastAsia="Times New Roman" w:hAnsi="Arial" w:cs="Arial"/>
                <w:color w:val="auto"/>
              </w:rPr>
            </w:pPr>
          </w:p>
        </w:tc>
        <w:tc>
          <w:tcPr>
            <w:tcW w:w="1178" w:type="dxa"/>
            <w:tcBorders>
              <w:top w:val="single" w:sz="4" w:space="0" w:color="000000"/>
            </w:tcBorders>
          </w:tcPr>
          <w:p w14:paraId="56B77356" w14:textId="77777777" w:rsidR="00810699" w:rsidRPr="004D045E" w:rsidRDefault="00810699"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tcBorders>
              <w:top w:val="single" w:sz="4" w:space="0" w:color="000000"/>
            </w:tcBorders>
            <w:shd w:val="clear" w:color="auto" w:fill="auto"/>
          </w:tcPr>
          <w:p w14:paraId="56D08309" w14:textId="77777777" w:rsidR="00810699" w:rsidRPr="004D045E" w:rsidRDefault="00810699" w:rsidP="00A042C4">
            <w:pPr>
              <w:ind w:left="60" w:right="60"/>
              <w:jc w:val="right"/>
              <w:rPr>
                <w:rFonts w:ascii="Arial" w:eastAsia="Times New Roman" w:hAnsi="Arial" w:cs="Arial"/>
                <w:color w:val="auto"/>
              </w:rPr>
            </w:pPr>
          </w:p>
        </w:tc>
      </w:tr>
      <w:tr w:rsidR="00810699" w:rsidRPr="004D045E" w14:paraId="5B8F42C0" w14:textId="77777777" w:rsidTr="00810699">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1160" w:type="dxa"/>
            <w:vMerge/>
            <w:tcBorders>
              <w:top w:val="single" w:sz="4" w:space="0" w:color="000000"/>
            </w:tcBorders>
            <w:shd w:val="clear" w:color="auto" w:fill="auto"/>
          </w:tcPr>
          <w:p w14:paraId="61537030"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5903D19B"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28CFDEE" w14:textId="77777777" w:rsidR="00810699" w:rsidRPr="004D045E" w:rsidRDefault="00810699" w:rsidP="00A042C4">
            <w:pPr>
              <w:rPr>
                <w:rFonts w:ascii="Arial" w:eastAsia="Times New Roman" w:hAnsi="Arial" w:cs="Arial"/>
                <w:color w:val="auto"/>
              </w:rPr>
            </w:pPr>
          </w:p>
        </w:tc>
        <w:tc>
          <w:tcPr>
            <w:tcW w:w="1178" w:type="dxa"/>
            <w:shd w:val="clear" w:color="auto" w:fill="auto"/>
          </w:tcPr>
          <w:p w14:paraId="75F64609" w14:textId="77777777" w:rsidR="00810699" w:rsidRPr="004D045E" w:rsidRDefault="00810699"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3E9B86B" w14:textId="77777777" w:rsidR="00810699" w:rsidRPr="004D045E" w:rsidRDefault="00810699" w:rsidP="00A042C4">
            <w:pPr>
              <w:ind w:left="60" w:right="60"/>
              <w:jc w:val="right"/>
              <w:rPr>
                <w:rFonts w:ascii="Arial" w:eastAsia="Times New Roman" w:hAnsi="Arial" w:cs="Arial"/>
                <w:color w:val="auto"/>
              </w:rPr>
            </w:pPr>
          </w:p>
        </w:tc>
        <w:tc>
          <w:tcPr>
            <w:tcW w:w="1178" w:type="dxa"/>
            <w:shd w:val="clear" w:color="auto" w:fill="auto"/>
          </w:tcPr>
          <w:p w14:paraId="38548F8D" w14:textId="77777777" w:rsidR="00810699" w:rsidRPr="004D045E" w:rsidRDefault="00810699"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1F13F448" w14:textId="77777777" w:rsidR="00810699" w:rsidRPr="004D045E" w:rsidRDefault="00810699" w:rsidP="00A042C4">
            <w:pPr>
              <w:ind w:left="60" w:right="60"/>
              <w:jc w:val="right"/>
              <w:rPr>
                <w:rFonts w:ascii="Arial" w:eastAsia="Times New Roman" w:hAnsi="Arial" w:cs="Arial"/>
                <w:color w:val="auto"/>
              </w:rPr>
            </w:pPr>
          </w:p>
        </w:tc>
      </w:tr>
      <w:tr w:rsidR="00810699" w:rsidRPr="004D045E" w14:paraId="2A72AE3A" w14:textId="77777777" w:rsidTr="00810699">
        <w:trPr>
          <w:trHeight w:val="281"/>
        </w:trPr>
        <w:tc>
          <w:tcPr>
            <w:cnfStyle w:val="000010000000" w:firstRow="0" w:lastRow="0" w:firstColumn="0" w:lastColumn="0" w:oddVBand="1" w:evenVBand="0" w:oddHBand="0" w:evenHBand="0" w:firstRowFirstColumn="0" w:firstRowLastColumn="0" w:lastRowFirstColumn="0" w:lastRowLastColumn="0"/>
            <w:tcW w:w="1160" w:type="dxa"/>
            <w:vMerge/>
            <w:tcBorders>
              <w:top w:val="single" w:sz="4" w:space="0" w:color="000000"/>
            </w:tcBorders>
            <w:shd w:val="clear" w:color="auto" w:fill="auto"/>
          </w:tcPr>
          <w:p w14:paraId="22009C5D"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0C7B62BF"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487ED62"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145</w:t>
            </w:r>
          </w:p>
        </w:tc>
        <w:tc>
          <w:tcPr>
            <w:tcW w:w="1178" w:type="dxa"/>
          </w:tcPr>
          <w:p w14:paraId="1DAACB0E" w14:textId="77777777" w:rsidR="00810699" w:rsidRPr="004D045E"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C3C94B4" w14:textId="77777777" w:rsidR="00810699" w:rsidRPr="004D045E" w:rsidRDefault="00810699" w:rsidP="00A042C4">
            <w:pPr>
              <w:rPr>
                <w:rFonts w:ascii="Arial" w:eastAsia="Times New Roman" w:hAnsi="Arial" w:cs="Arial"/>
                <w:color w:val="auto"/>
              </w:rPr>
            </w:pPr>
          </w:p>
        </w:tc>
        <w:tc>
          <w:tcPr>
            <w:tcW w:w="1178" w:type="dxa"/>
          </w:tcPr>
          <w:p w14:paraId="7B219534" w14:textId="77777777" w:rsidR="00810699" w:rsidRPr="004D045E"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5265E799" w14:textId="77777777" w:rsidR="00810699" w:rsidRPr="004D045E" w:rsidRDefault="00810699" w:rsidP="00A042C4">
            <w:pPr>
              <w:rPr>
                <w:rFonts w:ascii="Arial" w:eastAsia="Times New Roman" w:hAnsi="Arial" w:cs="Arial"/>
                <w:color w:val="auto"/>
              </w:rPr>
            </w:pPr>
          </w:p>
        </w:tc>
      </w:tr>
      <w:tr w:rsidR="00810699" w:rsidRPr="004D045E" w14:paraId="2DF1D5AB" w14:textId="77777777" w:rsidTr="00810699">
        <w:trPr>
          <w:cnfStyle w:val="000000100000" w:firstRow="0" w:lastRow="0" w:firstColumn="0" w:lastColumn="0" w:oddVBand="0" w:evenVBand="0" w:oddHBand="1" w:evenHBand="0" w:firstRowFirstColumn="0" w:firstRowLastColumn="0" w:lastRowFirstColumn="0" w:lastRowLastColumn="0"/>
          <w:trHeight w:val="556"/>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0C92B227"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Board Independence</w:t>
            </w:r>
          </w:p>
        </w:tc>
        <w:tc>
          <w:tcPr>
            <w:tcW w:w="2285" w:type="dxa"/>
            <w:shd w:val="clear" w:color="auto" w:fill="auto"/>
          </w:tcPr>
          <w:p w14:paraId="72C935CA"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C218C5B"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.314</w:t>
            </w:r>
            <w:r w:rsidRPr="004D045E">
              <w:rPr>
                <w:rFonts w:ascii="Arial" w:eastAsia="Times New Roman" w:hAnsi="Arial" w:cs="Arial"/>
                <w:color w:val="auto"/>
                <w:vertAlign w:val="superscript"/>
              </w:rPr>
              <w:t>**</w:t>
            </w:r>
          </w:p>
        </w:tc>
        <w:tc>
          <w:tcPr>
            <w:tcW w:w="1178" w:type="dxa"/>
            <w:shd w:val="clear" w:color="auto" w:fill="auto"/>
          </w:tcPr>
          <w:p w14:paraId="1E125035"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F9BD03B" w14:textId="77777777" w:rsidR="00810699" w:rsidRPr="004D045E" w:rsidRDefault="00810699" w:rsidP="00A042C4">
            <w:pPr>
              <w:ind w:left="60" w:right="60"/>
              <w:jc w:val="right"/>
              <w:rPr>
                <w:rFonts w:ascii="Arial" w:eastAsia="Times New Roman" w:hAnsi="Arial" w:cs="Arial"/>
                <w:color w:val="auto"/>
              </w:rPr>
            </w:pPr>
          </w:p>
        </w:tc>
        <w:tc>
          <w:tcPr>
            <w:tcW w:w="1178" w:type="dxa"/>
            <w:shd w:val="clear" w:color="auto" w:fill="auto"/>
          </w:tcPr>
          <w:p w14:paraId="57902C24" w14:textId="77777777" w:rsidR="00810699" w:rsidRPr="004D045E" w:rsidRDefault="00810699"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50FA5092" w14:textId="77777777" w:rsidR="00810699" w:rsidRPr="004D045E" w:rsidRDefault="00810699" w:rsidP="00A042C4">
            <w:pPr>
              <w:ind w:left="60" w:right="60"/>
              <w:jc w:val="right"/>
              <w:rPr>
                <w:rFonts w:ascii="Arial" w:eastAsia="Times New Roman" w:hAnsi="Arial" w:cs="Arial"/>
                <w:color w:val="auto"/>
              </w:rPr>
            </w:pPr>
          </w:p>
        </w:tc>
      </w:tr>
      <w:tr w:rsidR="00810699" w:rsidRPr="004D045E" w14:paraId="51C376D1" w14:textId="77777777" w:rsidTr="00810699">
        <w:trPr>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319ED8CA"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35EF84CA"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0C61731"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.000</w:t>
            </w:r>
          </w:p>
        </w:tc>
        <w:tc>
          <w:tcPr>
            <w:tcW w:w="1178" w:type="dxa"/>
          </w:tcPr>
          <w:p w14:paraId="0A749C87" w14:textId="77777777" w:rsidR="00810699" w:rsidRPr="004D045E"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6A5A5D5" w14:textId="77777777" w:rsidR="00810699" w:rsidRPr="004D045E" w:rsidRDefault="00810699" w:rsidP="00A042C4">
            <w:pPr>
              <w:ind w:left="60" w:right="60"/>
              <w:jc w:val="right"/>
              <w:rPr>
                <w:rFonts w:ascii="Arial" w:eastAsia="Times New Roman" w:hAnsi="Arial" w:cs="Arial"/>
                <w:color w:val="auto"/>
              </w:rPr>
            </w:pPr>
          </w:p>
        </w:tc>
        <w:tc>
          <w:tcPr>
            <w:tcW w:w="1178" w:type="dxa"/>
          </w:tcPr>
          <w:p w14:paraId="0BD7BE77" w14:textId="77777777" w:rsidR="00810699" w:rsidRPr="004D045E" w:rsidRDefault="00810699"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EB285CA" w14:textId="77777777" w:rsidR="00810699" w:rsidRPr="004D045E" w:rsidRDefault="00810699" w:rsidP="00A042C4">
            <w:pPr>
              <w:ind w:left="60" w:right="60"/>
              <w:jc w:val="right"/>
              <w:rPr>
                <w:rFonts w:ascii="Arial" w:eastAsia="Times New Roman" w:hAnsi="Arial" w:cs="Arial"/>
                <w:color w:val="auto"/>
              </w:rPr>
            </w:pPr>
          </w:p>
        </w:tc>
      </w:tr>
      <w:tr w:rsidR="00810699" w:rsidRPr="004D045E" w14:paraId="56741B67" w14:textId="77777777" w:rsidTr="00810699">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52B20113"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11E004E1"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5A27F072"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c>
          <w:tcPr>
            <w:tcW w:w="1178" w:type="dxa"/>
            <w:shd w:val="clear" w:color="auto" w:fill="auto"/>
          </w:tcPr>
          <w:p w14:paraId="494034E8" w14:textId="77777777" w:rsidR="00810699" w:rsidRPr="004D045E"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F3A8CE9" w14:textId="77777777" w:rsidR="00810699" w:rsidRPr="004D045E" w:rsidRDefault="00810699" w:rsidP="00A042C4">
            <w:pPr>
              <w:rPr>
                <w:rFonts w:ascii="Arial" w:eastAsia="Times New Roman" w:hAnsi="Arial" w:cs="Arial"/>
                <w:color w:val="auto"/>
              </w:rPr>
            </w:pPr>
          </w:p>
        </w:tc>
        <w:tc>
          <w:tcPr>
            <w:tcW w:w="1178" w:type="dxa"/>
            <w:shd w:val="clear" w:color="auto" w:fill="auto"/>
          </w:tcPr>
          <w:p w14:paraId="443C9E50" w14:textId="77777777" w:rsidR="00810699" w:rsidRPr="004D045E"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4922A78" w14:textId="77777777" w:rsidR="00810699" w:rsidRPr="004D045E" w:rsidRDefault="00810699" w:rsidP="00A042C4">
            <w:pPr>
              <w:rPr>
                <w:rFonts w:ascii="Arial" w:eastAsia="Times New Roman" w:hAnsi="Arial" w:cs="Arial"/>
                <w:color w:val="auto"/>
              </w:rPr>
            </w:pPr>
          </w:p>
        </w:tc>
      </w:tr>
      <w:tr w:rsidR="00810699" w:rsidRPr="004D045E" w14:paraId="62A5BC84" w14:textId="77777777" w:rsidTr="00810699">
        <w:trPr>
          <w:trHeight w:val="556"/>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3F4C2824"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Board Meetings</w:t>
            </w:r>
          </w:p>
        </w:tc>
        <w:tc>
          <w:tcPr>
            <w:tcW w:w="2285" w:type="dxa"/>
          </w:tcPr>
          <w:p w14:paraId="67ACD23B"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C0A0383"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.488</w:t>
            </w:r>
            <w:r w:rsidRPr="004D045E">
              <w:rPr>
                <w:rFonts w:ascii="Arial" w:eastAsia="Times New Roman" w:hAnsi="Arial" w:cs="Arial"/>
                <w:color w:val="auto"/>
                <w:vertAlign w:val="superscript"/>
              </w:rPr>
              <w:t>**</w:t>
            </w:r>
          </w:p>
        </w:tc>
        <w:tc>
          <w:tcPr>
            <w:tcW w:w="1178" w:type="dxa"/>
          </w:tcPr>
          <w:p w14:paraId="5735AFE0"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.543</w:t>
            </w:r>
            <w:r w:rsidRPr="004D045E">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1A904CF"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w:t>
            </w:r>
          </w:p>
        </w:tc>
        <w:tc>
          <w:tcPr>
            <w:tcW w:w="1178" w:type="dxa"/>
          </w:tcPr>
          <w:p w14:paraId="0C2A4A46" w14:textId="77777777" w:rsidR="00810699" w:rsidRPr="004D045E" w:rsidRDefault="00810699"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D70276F" w14:textId="77777777" w:rsidR="00810699" w:rsidRPr="004D045E" w:rsidRDefault="00810699" w:rsidP="00A042C4">
            <w:pPr>
              <w:ind w:left="60" w:right="60"/>
              <w:jc w:val="right"/>
              <w:rPr>
                <w:rFonts w:ascii="Arial" w:eastAsia="Times New Roman" w:hAnsi="Arial" w:cs="Arial"/>
                <w:color w:val="auto"/>
              </w:rPr>
            </w:pPr>
          </w:p>
        </w:tc>
      </w:tr>
      <w:tr w:rsidR="00810699" w:rsidRPr="004D045E" w14:paraId="104A2A39" w14:textId="77777777" w:rsidTr="00810699">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0B3E0313"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6508B1B0"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19959936"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.200</w:t>
            </w:r>
          </w:p>
        </w:tc>
        <w:tc>
          <w:tcPr>
            <w:tcW w:w="1178" w:type="dxa"/>
            <w:shd w:val="clear" w:color="auto" w:fill="auto"/>
          </w:tcPr>
          <w:p w14:paraId="1B237227"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.060</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9DF0B39" w14:textId="77777777" w:rsidR="00810699" w:rsidRPr="004D045E" w:rsidRDefault="00810699" w:rsidP="00A042C4">
            <w:pPr>
              <w:rPr>
                <w:rFonts w:ascii="Arial" w:eastAsia="Times New Roman" w:hAnsi="Arial" w:cs="Arial"/>
                <w:color w:val="auto"/>
              </w:rPr>
            </w:pPr>
          </w:p>
        </w:tc>
        <w:tc>
          <w:tcPr>
            <w:tcW w:w="1178" w:type="dxa"/>
            <w:shd w:val="clear" w:color="auto" w:fill="auto"/>
          </w:tcPr>
          <w:p w14:paraId="3CBE675E" w14:textId="77777777" w:rsidR="00810699" w:rsidRPr="004D045E" w:rsidRDefault="00810699"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F905CEF" w14:textId="77777777" w:rsidR="00810699" w:rsidRPr="004D045E" w:rsidRDefault="00810699" w:rsidP="00A042C4">
            <w:pPr>
              <w:ind w:left="60" w:right="60"/>
              <w:jc w:val="right"/>
              <w:rPr>
                <w:rFonts w:ascii="Arial" w:eastAsia="Times New Roman" w:hAnsi="Arial" w:cs="Arial"/>
                <w:color w:val="auto"/>
              </w:rPr>
            </w:pPr>
          </w:p>
        </w:tc>
      </w:tr>
      <w:tr w:rsidR="00810699" w:rsidRPr="004D045E" w14:paraId="043395F2" w14:textId="77777777" w:rsidTr="00810699">
        <w:trPr>
          <w:trHeight w:val="274"/>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084287AE"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7B5BCFCF"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C4041D9"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c>
          <w:tcPr>
            <w:tcW w:w="1178" w:type="dxa"/>
          </w:tcPr>
          <w:p w14:paraId="182AC8DF" w14:textId="77777777" w:rsidR="00810699" w:rsidRPr="004D045E" w:rsidRDefault="00701FD7"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C68DED7"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c>
          <w:tcPr>
            <w:tcW w:w="1178" w:type="dxa"/>
          </w:tcPr>
          <w:p w14:paraId="1E39B10E" w14:textId="77777777" w:rsidR="00810699" w:rsidRPr="004D045E" w:rsidRDefault="00701FD7"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64A1C7C" w14:textId="77777777" w:rsidR="00810699" w:rsidRPr="004D045E" w:rsidRDefault="00810699" w:rsidP="00A042C4">
            <w:pPr>
              <w:rPr>
                <w:rFonts w:ascii="Arial" w:eastAsia="Times New Roman" w:hAnsi="Arial" w:cs="Arial"/>
                <w:color w:val="auto"/>
              </w:rPr>
            </w:pPr>
          </w:p>
        </w:tc>
      </w:tr>
      <w:tr w:rsidR="00810699" w:rsidRPr="004D045E" w14:paraId="2B267688" w14:textId="77777777" w:rsidTr="00810699">
        <w:trPr>
          <w:cnfStyle w:val="000000100000" w:firstRow="0" w:lastRow="0" w:firstColumn="0" w:lastColumn="0" w:oddVBand="0" w:evenVBand="0" w:oddHBand="1" w:evenHBand="0" w:firstRowFirstColumn="0" w:firstRowLastColumn="0" w:lastRowFirstColumn="0" w:lastRowLastColumn="0"/>
          <w:trHeight w:val="562"/>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4A0C10AC"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CEO Duality</w:t>
            </w:r>
          </w:p>
        </w:tc>
        <w:tc>
          <w:tcPr>
            <w:tcW w:w="2285" w:type="dxa"/>
            <w:shd w:val="clear" w:color="auto" w:fill="auto"/>
          </w:tcPr>
          <w:p w14:paraId="4BE87352"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F9CECA7"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.438</w:t>
            </w:r>
            <w:r w:rsidRPr="004D045E">
              <w:rPr>
                <w:rFonts w:ascii="Arial" w:eastAsia="Times New Roman" w:hAnsi="Arial" w:cs="Arial"/>
                <w:color w:val="auto"/>
                <w:vertAlign w:val="superscript"/>
              </w:rPr>
              <w:t>**</w:t>
            </w:r>
          </w:p>
        </w:tc>
        <w:tc>
          <w:tcPr>
            <w:tcW w:w="1178" w:type="dxa"/>
            <w:shd w:val="clear" w:color="auto" w:fill="auto"/>
          </w:tcPr>
          <w:p w14:paraId="322F90AB"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.412</w:t>
            </w:r>
            <w:r w:rsidRPr="004D045E">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5CDCD54"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.515</w:t>
            </w:r>
            <w:r w:rsidRPr="004D045E">
              <w:rPr>
                <w:rFonts w:ascii="Arial" w:eastAsia="Times New Roman" w:hAnsi="Arial" w:cs="Arial"/>
                <w:color w:val="auto"/>
                <w:vertAlign w:val="superscript"/>
              </w:rPr>
              <w:t>**</w:t>
            </w:r>
          </w:p>
        </w:tc>
        <w:tc>
          <w:tcPr>
            <w:tcW w:w="1178" w:type="dxa"/>
            <w:shd w:val="clear" w:color="auto" w:fill="auto"/>
          </w:tcPr>
          <w:p w14:paraId="234B0E39"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116D5A1B" w14:textId="77777777" w:rsidR="00810699" w:rsidRPr="004D045E" w:rsidRDefault="00810699" w:rsidP="00A042C4">
            <w:pPr>
              <w:ind w:left="60" w:right="60"/>
              <w:jc w:val="right"/>
              <w:rPr>
                <w:rFonts w:ascii="Arial" w:eastAsia="Times New Roman" w:hAnsi="Arial" w:cs="Arial"/>
                <w:color w:val="auto"/>
              </w:rPr>
            </w:pPr>
          </w:p>
        </w:tc>
      </w:tr>
      <w:tr w:rsidR="00810699" w:rsidRPr="004D045E" w14:paraId="2BFBB417" w14:textId="77777777" w:rsidTr="00810699">
        <w:trPr>
          <w:trHeight w:val="274"/>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7D9E0623"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325E588A"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877684B"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.230</w:t>
            </w:r>
          </w:p>
        </w:tc>
        <w:tc>
          <w:tcPr>
            <w:tcW w:w="1178" w:type="dxa"/>
          </w:tcPr>
          <w:p w14:paraId="47E8EDFF"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.0510</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DFF26ED"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.062</w:t>
            </w:r>
          </w:p>
        </w:tc>
        <w:tc>
          <w:tcPr>
            <w:tcW w:w="1178" w:type="dxa"/>
          </w:tcPr>
          <w:p w14:paraId="50854363" w14:textId="77777777" w:rsidR="00810699" w:rsidRPr="004D045E"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3771F62"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w:t>
            </w:r>
          </w:p>
        </w:tc>
      </w:tr>
      <w:tr w:rsidR="00810699" w:rsidRPr="004D045E" w14:paraId="5AFF2FB6" w14:textId="77777777" w:rsidTr="00810699">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7238A6C0"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02621023"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711AFE9"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c>
          <w:tcPr>
            <w:tcW w:w="1178" w:type="dxa"/>
            <w:shd w:val="clear" w:color="auto" w:fill="auto"/>
          </w:tcPr>
          <w:p w14:paraId="4C964308" w14:textId="77777777" w:rsidR="00810699" w:rsidRPr="004D045E"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B965C05"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c>
          <w:tcPr>
            <w:tcW w:w="1178" w:type="dxa"/>
            <w:shd w:val="clear" w:color="auto" w:fill="auto"/>
          </w:tcPr>
          <w:p w14:paraId="1254F95F" w14:textId="77777777" w:rsidR="00810699" w:rsidRPr="004D045E"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0EF64E9" w14:textId="77777777" w:rsidR="00810699" w:rsidRPr="004D045E" w:rsidRDefault="00810699" w:rsidP="00A042C4">
            <w:pPr>
              <w:ind w:left="60" w:right="60"/>
              <w:jc w:val="right"/>
              <w:rPr>
                <w:rFonts w:ascii="Arial" w:eastAsia="Times New Roman" w:hAnsi="Arial" w:cs="Arial"/>
                <w:color w:val="auto"/>
              </w:rPr>
            </w:pPr>
          </w:p>
        </w:tc>
      </w:tr>
      <w:tr w:rsidR="00810699" w:rsidRPr="004D045E" w14:paraId="702E8808" w14:textId="77777777" w:rsidTr="00810699">
        <w:trPr>
          <w:trHeight w:val="556"/>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0AD636A2"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Firm Size</w:t>
            </w:r>
          </w:p>
        </w:tc>
        <w:tc>
          <w:tcPr>
            <w:tcW w:w="2285" w:type="dxa"/>
          </w:tcPr>
          <w:p w14:paraId="56FA8C56"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4E6B4E1"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.329</w:t>
            </w:r>
            <w:r w:rsidRPr="004D045E">
              <w:rPr>
                <w:rFonts w:ascii="Arial" w:eastAsia="Times New Roman" w:hAnsi="Arial" w:cs="Arial"/>
                <w:color w:val="auto"/>
                <w:vertAlign w:val="superscript"/>
              </w:rPr>
              <w:t>**</w:t>
            </w:r>
          </w:p>
        </w:tc>
        <w:tc>
          <w:tcPr>
            <w:tcW w:w="1178" w:type="dxa"/>
          </w:tcPr>
          <w:p w14:paraId="01B5FC53"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.440</w:t>
            </w:r>
            <w:r w:rsidRPr="004D045E">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D9DB4CC"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.413</w:t>
            </w:r>
            <w:r w:rsidRPr="004D045E">
              <w:rPr>
                <w:rFonts w:ascii="Arial" w:eastAsia="Times New Roman" w:hAnsi="Arial" w:cs="Arial"/>
                <w:color w:val="auto"/>
                <w:vertAlign w:val="superscript"/>
              </w:rPr>
              <w:t>**</w:t>
            </w:r>
          </w:p>
        </w:tc>
        <w:tc>
          <w:tcPr>
            <w:tcW w:w="1178" w:type="dxa"/>
          </w:tcPr>
          <w:p w14:paraId="662DDC3D"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.266</w:t>
            </w:r>
            <w:r w:rsidRPr="004D045E">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866F0BF"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w:t>
            </w:r>
          </w:p>
        </w:tc>
      </w:tr>
      <w:tr w:rsidR="00810699" w:rsidRPr="004D045E" w14:paraId="0AF589D3" w14:textId="77777777" w:rsidTr="0081069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44258109"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6DD3FFEC"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90DEFC6"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.080</w:t>
            </w:r>
          </w:p>
        </w:tc>
        <w:tc>
          <w:tcPr>
            <w:tcW w:w="1178" w:type="dxa"/>
            <w:shd w:val="clear" w:color="auto" w:fill="auto"/>
          </w:tcPr>
          <w:p w14:paraId="26B4867A"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.630</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697C06C"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.120</w:t>
            </w:r>
          </w:p>
        </w:tc>
        <w:tc>
          <w:tcPr>
            <w:tcW w:w="1178" w:type="dxa"/>
            <w:shd w:val="clear" w:color="auto" w:fill="auto"/>
          </w:tcPr>
          <w:p w14:paraId="36BDE1BA"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.102</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D896507" w14:textId="77777777" w:rsidR="00810699" w:rsidRPr="004D045E" w:rsidRDefault="00810699" w:rsidP="00A042C4">
            <w:pPr>
              <w:rPr>
                <w:rFonts w:ascii="Arial" w:eastAsia="Times New Roman" w:hAnsi="Arial" w:cs="Arial"/>
                <w:color w:val="auto"/>
              </w:rPr>
            </w:pPr>
          </w:p>
        </w:tc>
      </w:tr>
      <w:tr w:rsidR="00810699" w:rsidRPr="004D045E" w14:paraId="51C516D2" w14:textId="77777777" w:rsidTr="00810699">
        <w:trPr>
          <w:trHeight w:val="556"/>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08B513AF"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25C0E49C"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40F0BD0"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c>
          <w:tcPr>
            <w:tcW w:w="1178" w:type="dxa"/>
          </w:tcPr>
          <w:p w14:paraId="00450DEC" w14:textId="77777777" w:rsidR="00810699" w:rsidRPr="004D045E" w:rsidRDefault="00701FD7"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433C4AA"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c>
          <w:tcPr>
            <w:tcW w:w="1178" w:type="dxa"/>
          </w:tcPr>
          <w:p w14:paraId="010C94DD" w14:textId="77777777" w:rsidR="00810699" w:rsidRPr="004D045E" w:rsidRDefault="00701FD7"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5AB7A1C0"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r>
      <w:tr w:rsidR="00810699" w:rsidRPr="004D045E" w14:paraId="7059B264" w14:textId="77777777" w:rsidTr="00810699">
        <w:trPr>
          <w:cnfStyle w:val="000000100000" w:firstRow="0" w:lastRow="0" w:firstColumn="0" w:lastColumn="0" w:oddVBand="0" w:evenVBand="0" w:oddHBand="1" w:evenHBand="0" w:firstRowFirstColumn="0" w:firstRowLastColumn="0" w:lastRowFirstColumn="0" w:lastRowLastColumn="0"/>
          <w:trHeight w:val="556"/>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110953F4"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Industry Regulation</w:t>
            </w:r>
          </w:p>
        </w:tc>
        <w:tc>
          <w:tcPr>
            <w:tcW w:w="2285" w:type="dxa"/>
            <w:shd w:val="clear" w:color="auto" w:fill="auto"/>
          </w:tcPr>
          <w:p w14:paraId="2DE66D11"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BF2EC34"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.333</w:t>
            </w:r>
            <w:r w:rsidRPr="004D045E">
              <w:rPr>
                <w:rFonts w:ascii="Arial" w:eastAsia="Times New Roman" w:hAnsi="Arial" w:cs="Arial"/>
                <w:color w:val="auto"/>
                <w:vertAlign w:val="superscript"/>
              </w:rPr>
              <w:t>**</w:t>
            </w:r>
          </w:p>
        </w:tc>
        <w:tc>
          <w:tcPr>
            <w:tcW w:w="1178" w:type="dxa"/>
            <w:shd w:val="clear" w:color="auto" w:fill="auto"/>
          </w:tcPr>
          <w:p w14:paraId="315C8E96"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.451</w:t>
            </w:r>
            <w:r w:rsidRPr="004D045E">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6D6E888"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.504</w:t>
            </w:r>
            <w:r w:rsidRPr="004D045E">
              <w:rPr>
                <w:rFonts w:ascii="Arial" w:eastAsia="Times New Roman" w:hAnsi="Arial" w:cs="Arial"/>
                <w:color w:val="auto"/>
                <w:vertAlign w:val="superscript"/>
              </w:rPr>
              <w:t>**</w:t>
            </w:r>
          </w:p>
        </w:tc>
        <w:tc>
          <w:tcPr>
            <w:tcW w:w="1178" w:type="dxa"/>
            <w:shd w:val="clear" w:color="auto" w:fill="auto"/>
          </w:tcPr>
          <w:p w14:paraId="3DA393A8"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.278</w:t>
            </w:r>
            <w:r w:rsidRPr="004D045E">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7645D3C"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.410</w:t>
            </w:r>
            <w:r w:rsidRPr="004D045E">
              <w:rPr>
                <w:rFonts w:ascii="Arial" w:eastAsia="Times New Roman" w:hAnsi="Arial" w:cs="Arial"/>
                <w:color w:val="auto"/>
                <w:vertAlign w:val="superscript"/>
              </w:rPr>
              <w:t>**</w:t>
            </w:r>
          </w:p>
        </w:tc>
      </w:tr>
      <w:tr w:rsidR="00810699" w:rsidRPr="004D045E" w14:paraId="54B2D12D" w14:textId="77777777" w:rsidTr="00810699">
        <w:trPr>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3C1DA03D"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57990C04"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56ED6B6"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.950</w:t>
            </w:r>
          </w:p>
        </w:tc>
        <w:tc>
          <w:tcPr>
            <w:tcW w:w="1178" w:type="dxa"/>
          </w:tcPr>
          <w:p w14:paraId="282FD51E"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.070</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E0FA0F0"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.0078</w:t>
            </w:r>
          </w:p>
        </w:tc>
        <w:tc>
          <w:tcPr>
            <w:tcW w:w="1178" w:type="dxa"/>
          </w:tcPr>
          <w:p w14:paraId="489DE423"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.006</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C460175"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.013</w:t>
            </w:r>
          </w:p>
        </w:tc>
      </w:tr>
      <w:tr w:rsidR="00810699" w:rsidRPr="004D045E" w14:paraId="22ECABA7" w14:textId="77777777" w:rsidTr="00810699">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6B0F85EF"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4D9212D1"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7E8B277"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c>
          <w:tcPr>
            <w:tcW w:w="1178" w:type="dxa"/>
            <w:shd w:val="clear" w:color="auto" w:fill="auto"/>
          </w:tcPr>
          <w:p w14:paraId="35137791" w14:textId="77777777" w:rsidR="00810699" w:rsidRPr="004D045E"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6DEC493"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c>
          <w:tcPr>
            <w:tcW w:w="1178" w:type="dxa"/>
            <w:shd w:val="clear" w:color="auto" w:fill="auto"/>
          </w:tcPr>
          <w:p w14:paraId="6B281F81" w14:textId="77777777" w:rsidR="00810699" w:rsidRPr="004D045E"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D4D8B79"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145</w:t>
            </w:r>
          </w:p>
        </w:tc>
      </w:tr>
    </w:tbl>
    <w:p w14:paraId="6C81E189" w14:textId="4BFB7916"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Source: Field Survey, 202</w:t>
      </w:r>
      <w:r w:rsidR="000E3763" w:rsidRPr="004D045E">
        <w:rPr>
          <w:rFonts w:ascii="Arial" w:eastAsia="Times New Roman" w:hAnsi="Arial" w:cs="Arial"/>
        </w:rPr>
        <w:t>5</w:t>
      </w:r>
    </w:p>
    <w:p w14:paraId="4DB623A1" w14:textId="10CE0756"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Overall, the correlation matrix analysis suggests that the independent variables are related in complex ways and that a more detailed analysis is needed to fully understand the relationships between these variables. This analysis can be used to inform the development of a regression model that </w:t>
      </w:r>
      <w:r w:rsidR="00A13593" w:rsidRPr="004D045E">
        <w:rPr>
          <w:rFonts w:ascii="Arial" w:eastAsia="Times New Roman" w:hAnsi="Arial" w:cs="Arial"/>
        </w:rPr>
        <w:t>considers</w:t>
      </w:r>
      <w:r w:rsidRPr="004D045E">
        <w:rPr>
          <w:rFonts w:ascii="Arial" w:eastAsia="Times New Roman" w:hAnsi="Arial" w:cs="Arial"/>
        </w:rPr>
        <w:t xml:space="preserve"> the interrelationships between these variables.</w:t>
      </w:r>
    </w:p>
    <w:p w14:paraId="5F81AFAD" w14:textId="77777777" w:rsidR="00810699" w:rsidRPr="004D045E" w:rsidRDefault="00701FD7" w:rsidP="00A042C4">
      <w:pPr>
        <w:pStyle w:val="Heading3"/>
        <w:spacing w:line="240" w:lineRule="auto"/>
        <w:rPr>
          <w:rFonts w:ascii="Arial" w:hAnsi="Arial" w:cs="Arial"/>
          <w:color w:val="auto"/>
          <w:sz w:val="22"/>
          <w:szCs w:val="22"/>
        </w:rPr>
      </w:pPr>
      <w:bookmarkStart w:id="38" w:name="_1mrcu09" w:colFirst="0" w:colLast="0"/>
      <w:bookmarkEnd w:id="38"/>
      <w:r w:rsidRPr="004D045E">
        <w:rPr>
          <w:rFonts w:ascii="Arial" w:hAnsi="Arial" w:cs="Arial"/>
          <w:color w:val="auto"/>
          <w:sz w:val="22"/>
          <w:szCs w:val="22"/>
        </w:rPr>
        <w:t>4.4 The Impact of Corporate Governance in Financial Risk Management</w:t>
      </w:r>
    </w:p>
    <w:p w14:paraId="0D3D7809" w14:textId="2CDE73B8"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The regression results in Table </w:t>
      </w:r>
      <w:r w:rsidR="00E461A4">
        <w:rPr>
          <w:rFonts w:ascii="Arial" w:eastAsia="Times New Roman" w:hAnsi="Arial" w:cs="Arial"/>
        </w:rPr>
        <w:t>3</w:t>
      </w:r>
      <w:r w:rsidRPr="004D045E">
        <w:rPr>
          <w:rFonts w:ascii="Arial" w:eastAsia="Times New Roman" w:hAnsi="Arial" w:cs="Arial"/>
        </w:rPr>
        <w:t xml:space="preserve"> regarding the model summary reveal a strong fit between the predictors and the outcome variable, with an R-value of 0.784 and an R-square value of 0.615. This indicates that approximately 61.5% of the variation in financial risk management can be explained by the predictors. The adjusted R square value of 0.608 suggests that the model is a good fit even after accounting for the number of predictors.</w:t>
      </w:r>
    </w:p>
    <w:p w14:paraId="0A32B23C" w14:textId="77777777" w:rsidR="00810699" w:rsidRPr="004D045E" w:rsidRDefault="00701FD7" w:rsidP="00A042C4">
      <w:pPr>
        <w:spacing w:after="0" w:line="240" w:lineRule="auto"/>
        <w:jc w:val="both"/>
        <w:rPr>
          <w:rFonts w:ascii="Arial" w:eastAsia="Times New Roman" w:hAnsi="Arial" w:cs="Arial"/>
        </w:rPr>
      </w:pPr>
      <w:r w:rsidRPr="004D045E">
        <w:rPr>
          <w:rFonts w:ascii="Arial" w:eastAsia="Times New Roman" w:hAnsi="Arial" w:cs="Arial"/>
        </w:rPr>
        <w:t>The model includes seven predictors: Board Size, Board Independence, Board Meetings, CEO Duality, Firm Size, Industry Regulation, and a constant term. The coefficients of these predictors are not shown in this summary, but they can be examined in the coefficients table to determine the direction and significance of their relationships with financial risk management.</w:t>
      </w:r>
    </w:p>
    <w:p w14:paraId="55EC6DC7" w14:textId="77777777" w:rsidR="00810699" w:rsidRPr="004D045E" w:rsidRDefault="00701FD7" w:rsidP="00A042C4">
      <w:pPr>
        <w:spacing w:before="240" w:line="240" w:lineRule="auto"/>
        <w:jc w:val="both"/>
        <w:rPr>
          <w:rFonts w:ascii="Arial" w:eastAsia="Times New Roman" w:hAnsi="Arial" w:cs="Arial"/>
        </w:rPr>
      </w:pPr>
      <w:r w:rsidRPr="004D045E">
        <w:rPr>
          <w:rFonts w:ascii="Arial" w:eastAsia="Times New Roman" w:hAnsi="Arial" w:cs="Arial"/>
        </w:rPr>
        <w:t>The standard error of the estimate is 0.50383, which indicates the average amount of variation in financial risk management that is not explained by the predictors. This value can be used to construct confidence intervals and perform hypothesis tests.</w:t>
      </w:r>
    </w:p>
    <w:p w14:paraId="6A3C5E28" w14:textId="77777777" w:rsidR="00810699" w:rsidRPr="004D045E" w:rsidRDefault="00701FD7" w:rsidP="00A042C4">
      <w:pPr>
        <w:spacing w:after="0" w:line="240" w:lineRule="auto"/>
        <w:jc w:val="both"/>
        <w:rPr>
          <w:rFonts w:ascii="Arial" w:eastAsia="Times New Roman" w:hAnsi="Arial" w:cs="Arial"/>
        </w:rPr>
      </w:pPr>
      <w:r w:rsidRPr="004D045E">
        <w:rPr>
          <w:rFonts w:ascii="Arial" w:eastAsia="Times New Roman" w:hAnsi="Arial" w:cs="Arial"/>
        </w:rPr>
        <w:t>The model summary suggests that the predictors have a significant impact on financial risk management, and that the model is a good fit to the data. The results of this analysis can be used to inform the development of corporate governance practices that are effective in managing financial risk.</w:t>
      </w:r>
    </w:p>
    <w:p w14:paraId="28F50FD5" w14:textId="77777777" w:rsidR="00810699" w:rsidRPr="004D045E" w:rsidRDefault="00810699" w:rsidP="00A042C4">
      <w:pPr>
        <w:spacing w:after="0" w:line="240" w:lineRule="auto"/>
        <w:rPr>
          <w:rFonts w:ascii="Arial" w:eastAsia="Times New Roman" w:hAnsi="Arial" w:cs="Arial"/>
        </w:rPr>
      </w:pPr>
    </w:p>
    <w:p w14:paraId="5C6D160D" w14:textId="094FEB8F" w:rsidR="00810699" w:rsidRPr="004D045E" w:rsidRDefault="00701FD7" w:rsidP="00A042C4">
      <w:pPr>
        <w:pBdr>
          <w:top w:val="nil"/>
          <w:left w:val="nil"/>
          <w:bottom w:val="nil"/>
          <w:right w:val="nil"/>
          <w:between w:val="nil"/>
        </w:pBdr>
        <w:spacing w:after="200" w:line="240" w:lineRule="auto"/>
        <w:rPr>
          <w:rFonts w:ascii="Arial" w:eastAsia="Times New Roman" w:hAnsi="Arial" w:cs="Arial"/>
          <w:b/>
        </w:rPr>
      </w:pPr>
      <w:bookmarkStart w:id="39" w:name="_3q5sasy" w:colFirst="0" w:colLast="0"/>
      <w:bookmarkEnd w:id="39"/>
      <w:r w:rsidRPr="004D045E">
        <w:rPr>
          <w:rFonts w:ascii="Arial" w:eastAsia="Times New Roman" w:hAnsi="Arial" w:cs="Arial"/>
          <w:b/>
        </w:rPr>
        <w:t xml:space="preserve">Table </w:t>
      </w:r>
      <w:r w:rsidR="00E461A4">
        <w:rPr>
          <w:rFonts w:ascii="Arial" w:eastAsia="Times New Roman" w:hAnsi="Arial" w:cs="Arial"/>
          <w:b/>
        </w:rPr>
        <w:t>3</w:t>
      </w:r>
      <w:r w:rsidRPr="004D045E">
        <w:rPr>
          <w:rFonts w:ascii="Arial" w:eastAsia="Times New Roman" w:hAnsi="Arial" w:cs="Arial"/>
          <w:b/>
        </w:rPr>
        <w:t>- Model Summary</w:t>
      </w:r>
    </w:p>
    <w:tbl>
      <w:tblPr>
        <w:tblStyle w:val="a2"/>
        <w:tblW w:w="8569" w:type="dxa"/>
        <w:tblLayout w:type="fixed"/>
        <w:tblLook w:val="0000" w:firstRow="0" w:lastRow="0" w:firstColumn="0" w:lastColumn="0" w:noHBand="0" w:noVBand="0"/>
      </w:tblPr>
      <w:tblGrid>
        <w:gridCol w:w="1165"/>
        <w:gridCol w:w="1501"/>
        <w:gridCol w:w="1592"/>
        <w:gridCol w:w="2154"/>
        <w:gridCol w:w="2157"/>
      </w:tblGrid>
      <w:tr w:rsidR="00810699" w:rsidRPr="004D045E" w14:paraId="084CBF49" w14:textId="77777777">
        <w:trPr>
          <w:cantSplit/>
          <w:trHeight w:val="489"/>
        </w:trPr>
        <w:tc>
          <w:tcPr>
            <w:tcW w:w="1165" w:type="dxa"/>
            <w:tcBorders>
              <w:top w:val="single" w:sz="4" w:space="0" w:color="000000"/>
              <w:left w:val="nil"/>
              <w:bottom w:val="single" w:sz="8" w:space="0" w:color="152935"/>
              <w:right w:val="nil"/>
            </w:tcBorders>
            <w:vAlign w:val="bottom"/>
          </w:tcPr>
          <w:p w14:paraId="5FF3C8FD"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Model</w:t>
            </w:r>
          </w:p>
        </w:tc>
        <w:tc>
          <w:tcPr>
            <w:tcW w:w="1501" w:type="dxa"/>
            <w:tcBorders>
              <w:top w:val="single" w:sz="4" w:space="0" w:color="000000"/>
              <w:left w:val="nil"/>
              <w:bottom w:val="single" w:sz="8" w:space="0" w:color="152935"/>
              <w:right w:val="single" w:sz="8" w:space="0" w:color="E0E0E0"/>
            </w:tcBorders>
            <w:vAlign w:val="bottom"/>
          </w:tcPr>
          <w:p w14:paraId="26726AB4" w14:textId="77777777" w:rsidR="00810699" w:rsidRPr="004D045E" w:rsidRDefault="00701FD7" w:rsidP="00A042C4">
            <w:pPr>
              <w:spacing w:after="0" w:line="240" w:lineRule="auto"/>
              <w:ind w:left="60" w:right="60"/>
              <w:jc w:val="center"/>
              <w:rPr>
                <w:rFonts w:ascii="Arial" w:eastAsia="Times New Roman" w:hAnsi="Arial" w:cs="Arial"/>
              </w:rPr>
            </w:pPr>
            <w:r w:rsidRPr="004D045E">
              <w:rPr>
                <w:rFonts w:ascii="Arial" w:eastAsia="Times New Roman" w:hAnsi="Arial" w:cs="Arial"/>
              </w:rPr>
              <w:t>R</w:t>
            </w:r>
          </w:p>
        </w:tc>
        <w:tc>
          <w:tcPr>
            <w:tcW w:w="1592" w:type="dxa"/>
            <w:tcBorders>
              <w:top w:val="single" w:sz="4" w:space="0" w:color="000000"/>
              <w:left w:val="single" w:sz="8" w:space="0" w:color="E0E0E0"/>
              <w:bottom w:val="single" w:sz="8" w:space="0" w:color="152935"/>
              <w:right w:val="single" w:sz="8" w:space="0" w:color="E0E0E0"/>
            </w:tcBorders>
            <w:vAlign w:val="bottom"/>
          </w:tcPr>
          <w:p w14:paraId="0E74383C" w14:textId="77777777" w:rsidR="00810699" w:rsidRPr="004D045E" w:rsidRDefault="00701FD7" w:rsidP="00A042C4">
            <w:pPr>
              <w:spacing w:after="0" w:line="240" w:lineRule="auto"/>
              <w:ind w:left="60" w:right="60"/>
              <w:jc w:val="center"/>
              <w:rPr>
                <w:rFonts w:ascii="Arial" w:eastAsia="Times New Roman" w:hAnsi="Arial" w:cs="Arial"/>
              </w:rPr>
            </w:pPr>
            <w:r w:rsidRPr="004D045E">
              <w:rPr>
                <w:rFonts w:ascii="Arial" w:eastAsia="Times New Roman" w:hAnsi="Arial" w:cs="Arial"/>
              </w:rPr>
              <w:t>R Square</w:t>
            </w:r>
          </w:p>
        </w:tc>
        <w:tc>
          <w:tcPr>
            <w:tcW w:w="2154" w:type="dxa"/>
            <w:tcBorders>
              <w:top w:val="single" w:sz="4" w:space="0" w:color="000000"/>
              <w:left w:val="single" w:sz="8" w:space="0" w:color="E0E0E0"/>
              <w:bottom w:val="single" w:sz="8" w:space="0" w:color="152935"/>
              <w:right w:val="single" w:sz="8" w:space="0" w:color="E0E0E0"/>
            </w:tcBorders>
            <w:vAlign w:val="bottom"/>
          </w:tcPr>
          <w:p w14:paraId="1B9E1C28" w14:textId="77777777" w:rsidR="00810699" w:rsidRPr="004D045E" w:rsidRDefault="00701FD7" w:rsidP="00A042C4">
            <w:pPr>
              <w:spacing w:after="0" w:line="240" w:lineRule="auto"/>
              <w:ind w:left="60" w:right="60"/>
              <w:jc w:val="center"/>
              <w:rPr>
                <w:rFonts w:ascii="Arial" w:eastAsia="Times New Roman" w:hAnsi="Arial" w:cs="Arial"/>
              </w:rPr>
            </w:pPr>
            <w:r w:rsidRPr="004D045E">
              <w:rPr>
                <w:rFonts w:ascii="Arial" w:eastAsia="Times New Roman" w:hAnsi="Arial" w:cs="Arial"/>
              </w:rPr>
              <w:t>Adjusted R Square</w:t>
            </w:r>
          </w:p>
        </w:tc>
        <w:tc>
          <w:tcPr>
            <w:tcW w:w="2157" w:type="dxa"/>
            <w:tcBorders>
              <w:top w:val="single" w:sz="4" w:space="0" w:color="000000"/>
              <w:left w:val="single" w:sz="8" w:space="0" w:color="E0E0E0"/>
              <w:bottom w:val="single" w:sz="8" w:space="0" w:color="152935"/>
              <w:right w:val="nil"/>
            </w:tcBorders>
            <w:vAlign w:val="bottom"/>
          </w:tcPr>
          <w:p w14:paraId="1BAAF384" w14:textId="77777777" w:rsidR="00810699" w:rsidRPr="004D045E" w:rsidRDefault="00701FD7" w:rsidP="00A042C4">
            <w:pPr>
              <w:spacing w:after="0" w:line="240" w:lineRule="auto"/>
              <w:ind w:left="60" w:right="60"/>
              <w:jc w:val="center"/>
              <w:rPr>
                <w:rFonts w:ascii="Arial" w:eastAsia="Times New Roman" w:hAnsi="Arial" w:cs="Arial"/>
              </w:rPr>
            </w:pPr>
            <w:r w:rsidRPr="004D045E">
              <w:rPr>
                <w:rFonts w:ascii="Arial" w:eastAsia="Times New Roman" w:hAnsi="Arial" w:cs="Arial"/>
              </w:rPr>
              <w:t>Std. Error of the Estimate</w:t>
            </w:r>
          </w:p>
        </w:tc>
      </w:tr>
      <w:tr w:rsidR="00810699" w:rsidRPr="004D045E" w14:paraId="117ADAF0" w14:textId="77777777">
        <w:trPr>
          <w:cantSplit/>
          <w:trHeight w:val="236"/>
        </w:trPr>
        <w:tc>
          <w:tcPr>
            <w:tcW w:w="1165" w:type="dxa"/>
            <w:tcBorders>
              <w:top w:val="single" w:sz="8" w:space="0" w:color="152935"/>
              <w:left w:val="nil"/>
              <w:bottom w:val="single" w:sz="8" w:space="0" w:color="152935"/>
              <w:right w:val="nil"/>
            </w:tcBorders>
          </w:tcPr>
          <w:p w14:paraId="03530D12"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1</w:t>
            </w:r>
          </w:p>
        </w:tc>
        <w:tc>
          <w:tcPr>
            <w:tcW w:w="1501" w:type="dxa"/>
            <w:tcBorders>
              <w:top w:val="single" w:sz="8" w:space="0" w:color="152935"/>
              <w:left w:val="nil"/>
              <w:bottom w:val="single" w:sz="8" w:space="0" w:color="152935"/>
              <w:right w:val="single" w:sz="8" w:space="0" w:color="E0E0E0"/>
            </w:tcBorders>
          </w:tcPr>
          <w:p w14:paraId="24290BD6"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0.784</w:t>
            </w:r>
            <w:r w:rsidRPr="004D045E">
              <w:rPr>
                <w:rFonts w:ascii="Arial" w:eastAsia="Times New Roman" w:hAnsi="Arial" w:cs="Arial"/>
                <w:vertAlign w:val="superscript"/>
              </w:rPr>
              <w:t>a</w:t>
            </w:r>
          </w:p>
        </w:tc>
        <w:tc>
          <w:tcPr>
            <w:tcW w:w="1592" w:type="dxa"/>
            <w:tcBorders>
              <w:top w:val="single" w:sz="8" w:space="0" w:color="152935"/>
              <w:left w:val="single" w:sz="8" w:space="0" w:color="E0E0E0"/>
              <w:bottom w:val="single" w:sz="8" w:space="0" w:color="152935"/>
              <w:right w:val="single" w:sz="8" w:space="0" w:color="E0E0E0"/>
            </w:tcBorders>
          </w:tcPr>
          <w:p w14:paraId="55B7CF3C"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0.615</w:t>
            </w:r>
          </w:p>
        </w:tc>
        <w:tc>
          <w:tcPr>
            <w:tcW w:w="2154" w:type="dxa"/>
            <w:tcBorders>
              <w:top w:val="single" w:sz="8" w:space="0" w:color="152935"/>
              <w:left w:val="single" w:sz="8" w:space="0" w:color="E0E0E0"/>
              <w:bottom w:val="single" w:sz="8" w:space="0" w:color="152935"/>
              <w:right w:val="single" w:sz="8" w:space="0" w:color="E0E0E0"/>
            </w:tcBorders>
          </w:tcPr>
          <w:p w14:paraId="07960E03"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0.608</w:t>
            </w:r>
          </w:p>
        </w:tc>
        <w:tc>
          <w:tcPr>
            <w:tcW w:w="2157" w:type="dxa"/>
            <w:tcBorders>
              <w:top w:val="single" w:sz="8" w:space="0" w:color="152935"/>
              <w:left w:val="single" w:sz="8" w:space="0" w:color="E0E0E0"/>
              <w:bottom w:val="single" w:sz="8" w:space="0" w:color="152935"/>
              <w:right w:val="nil"/>
            </w:tcBorders>
          </w:tcPr>
          <w:p w14:paraId="22A43B12"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0.50383</w:t>
            </w:r>
          </w:p>
        </w:tc>
      </w:tr>
      <w:tr w:rsidR="00810699" w:rsidRPr="004D045E" w14:paraId="48406E60" w14:textId="77777777">
        <w:trPr>
          <w:cantSplit/>
          <w:trHeight w:val="804"/>
        </w:trPr>
        <w:tc>
          <w:tcPr>
            <w:tcW w:w="8569" w:type="dxa"/>
            <w:gridSpan w:val="5"/>
            <w:tcBorders>
              <w:top w:val="nil"/>
              <w:left w:val="nil"/>
              <w:bottom w:val="nil"/>
              <w:right w:val="nil"/>
            </w:tcBorders>
          </w:tcPr>
          <w:p w14:paraId="312DE1E9" w14:textId="77777777" w:rsidR="00810699" w:rsidRPr="004D045E" w:rsidRDefault="00701FD7" w:rsidP="00A042C4">
            <w:pPr>
              <w:spacing w:line="240" w:lineRule="auto"/>
              <w:rPr>
                <w:rFonts w:ascii="Arial" w:eastAsia="Times New Roman" w:hAnsi="Arial" w:cs="Arial"/>
              </w:rPr>
            </w:pPr>
            <w:r w:rsidRPr="004D045E">
              <w:rPr>
                <w:rFonts w:ascii="Arial" w:eastAsia="Times New Roman" w:hAnsi="Arial" w:cs="Arial"/>
              </w:rPr>
              <w:t xml:space="preserve">a. Predictors: (Constant), </w:t>
            </w:r>
            <w:r w:rsidRPr="004D045E">
              <w:rPr>
                <w:rFonts w:ascii="Arial" w:eastAsia="Times New Roman" w:hAnsi="Arial" w:cs="Arial"/>
                <w:i/>
              </w:rPr>
              <w:t>Board Size, Board Independence, Board Meetings, CEO Duality, Firm Size, Industry Regulation</w:t>
            </w:r>
          </w:p>
        </w:tc>
      </w:tr>
    </w:tbl>
    <w:p w14:paraId="6AD744B2" w14:textId="77777777" w:rsidR="00810699" w:rsidRPr="004D045E" w:rsidRDefault="00810699" w:rsidP="00A042C4">
      <w:pPr>
        <w:spacing w:after="0" w:line="240" w:lineRule="auto"/>
        <w:rPr>
          <w:rFonts w:ascii="Arial" w:eastAsia="Times New Roman" w:hAnsi="Arial" w:cs="Arial"/>
        </w:rPr>
      </w:pPr>
    </w:p>
    <w:p w14:paraId="5F73491D" w14:textId="2EFAAC80" w:rsidR="00810699" w:rsidRPr="004D045E" w:rsidRDefault="00701FD7" w:rsidP="00A042C4">
      <w:pPr>
        <w:spacing w:after="0" w:line="240" w:lineRule="auto"/>
        <w:jc w:val="both"/>
        <w:rPr>
          <w:rFonts w:ascii="Arial" w:eastAsia="Times New Roman" w:hAnsi="Arial" w:cs="Arial"/>
        </w:rPr>
      </w:pPr>
      <w:r w:rsidRPr="004D045E">
        <w:rPr>
          <w:rFonts w:ascii="Arial" w:eastAsia="Times New Roman" w:hAnsi="Arial" w:cs="Arial"/>
        </w:rPr>
        <w:lastRenderedPageBreak/>
        <w:t xml:space="preserve">The ANOVA table (Table </w:t>
      </w:r>
      <w:r w:rsidR="00E461A4">
        <w:rPr>
          <w:rFonts w:ascii="Arial" w:eastAsia="Times New Roman" w:hAnsi="Arial" w:cs="Arial"/>
        </w:rPr>
        <w:t>4</w:t>
      </w:r>
      <w:r w:rsidRPr="004D045E">
        <w:rPr>
          <w:rFonts w:ascii="Arial" w:eastAsia="Times New Roman" w:hAnsi="Arial" w:cs="Arial"/>
        </w:rPr>
        <w:t>) shows the results of the regression model, with the dependent variable being Financial Risk Management and the predictors being Board Size, Board Independence, Board Meetings, CEO Duality, Firm Size, and Industry Regulation. The model explains a significant amount of variation in Financial Risk Management, with an R square value of 0.615 (from the model summary table).</w:t>
      </w:r>
    </w:p>
    <w:p w14:paraId="64C8BF51" w14:textId="4401B8BE" w:rsidR="00810699" w:rsidRPr="004D045E" w:rsidRDefault="00701FD7" w:rsidP="00A042C4">
      <w:pPr>
        <w:spacing w:after="0" w:line="240" w:lineRule="auto"/>
        <w:jc w:val="both"/>
        <w:rPr>
          <w:rFonts w:ascii="Arial" w:eastAsia="Times New Roman" w:hAnsi="Arial" w:cs="Arial"/>
        </w:rPr>
      </w:pPr>
      <w:r w:rsidRPr="004D045E">
        <w:rPr>
          <w:rFonts w:ascii="Arial" w:eastAsia="Times New Roman" w:hAnsi="Arial" w:cs="Arial"/>
        </w:rPr>
        <w:t xml:space="preserve">The regression model in Table </w:t>
      </w:r>
      <w:r w:rsidR="00E461A4">
        <w:rPr>
          <w:rFonts w:ascii="Arial" w:eastAsia="Times New Roman" w:hAnsi="Arial" w:cs="Arial"/>
        </w:rPr>
        <w:t>4</w:t>
      </w:r>
      <w:r w:rsidRPr="004D045E">
        <w:rPr>
          <w:rFonts w:ascii="Arial" w:eastAsia="Times New Roman" w:hAnsi="Arial" w:cs="Arial"/>
        </w:rPr>
        <w:t xml:space="preserve"> has a sum of squares of 152.058, with a mean square of 21.723. The residual sum of squares is 95.190, with a mean square of 0.254. The F statistic is 85.575, which is significant at the 0.000 level. The significance test indicates that the regression model is significant, with a p-value of 0.000. This suggests that the predictors have a significant impact on Financial Risk Management.</w:t>
      </w:r>
    </w:p>
    <w:p w14:paraId="046061D8" w14:textId="77777777" w:rsidR="00810699" w:rsidRPr="004D045E" w:rsidRDefault="00701FD7" w:rsidP="00A042C4">
      <w:pPr>
        <w:spacing w:after="0" w:line="240" w:lineRule="auto"/>
        <w:jc w:val="both"/>
        <w:rPr>
          <w:rFonts w:ascii="Arial" w:eastAsia="Times New Roman" w:hAnsi="Arial" w:cs="Arial"/>
        </w:rPr>
      </w:pPr>
      <w:r w:rsidRPr="004D045E">
        <w:rPr>
          <w:rFonts w:ascii="Arial" w:eastAsia="Times New Roman" w:hAnsi="Arial" w:cs="Arial"/>
        </w:rPr>
        <w:t>The hypothesis "Corporate governance has no impact on financial risk management in the sector pension schemes in Ghana" can be rejected. The results of the ANOVA analysis show that the predictors have a significant impact on Financial Risk Management, indicating that corporate governance does have an impact on financial risk management in the sector pension schemes in Ghana. The decision to reject the hypothesis is based on the significant F statistic and the low p value. According to Cohen (1988), a p-value of less than 0.05 indicates statistical significance. In this case, the p-value is 0.000, which is much lower than the critical value of 0.05. Therefore, the null hypothesis can be rejected, and it can be concluded that corporate governance has a significant impact on financial risk management in the sector pension schemes in Ghana.</w:t>
      </w:r>
    </w:p>
    <w:p w14:paraId="00963FAA" w14:textId="77777777" w:rsidR="00810699" w:rsidRPr="004D045E" w:rsidRDefault="00810699" w:rsidP="00A042C4">
      <w:pPr>
        <w:spacing w:after="0" w:line="240" w:lineRule="auto"/>
        <w:rPr>
          <w:rFonts w:ascii="Arial" w:eastAsia="Times New Roman" w:hAnsi="Arial" w:cs="Arial"/>
        </w:rPr>
      </w:pPr>
    </w:p>
    <w:p w14:paraId="1F1505F9" w14:textId="6D0FC1A0" w:rsidR="00810699" w:rsidRPr="004D045E" w:rsidRDefault="00701FD7" w:rsidP="00A042C4">
      <w:pPr>
        <w:pBdr>
          <w:top w:val="nil"/>
          <w:left w:val="nil"/>
          <w:bottom w:val="nil"/>
          <w:right w:val="nil"/>
          <w:between w:val="nil"/>
        </w:pBdr>
        <w:spacing w:after="200" w:line="240" w:lineRule="auto"/>
        <w:rPr>
          <w:rFonts w:ascii="Arial" w:eastAsia="Times New Roman" w:hAnsi="Arial" w:cs="Arial"/>
          <w:b/>
        </w:rPr>
      </w:pPr>
      <w:bookmarkStart w:id="40" w:name="_25b2l0r" w:colFirst="0" w:colLast="0"/>
      <w:bookmarkEnd w:id="40"/>
      <w:r w:rsidRPr="004D045E">
        <w:rPr>
          <w:rFonts w:ascii="Arial" w:eastAsia="Times New Roman" w:hAnsi="Arial" w:cs="Arial"/>
          <w:b/>
        </w:rPr>
        <w:t xml:space="preserve">Table </w:t>
      </w:r>
      <w:r w:rsidR="00E461A4">
        <w:rPr>
          <w:rFonts w:ascii="Arial" w:eastAsia="Times New Roman" w:hAnsi="Arial" w:cs="Arial"/>
          <w:b/>
        </w:rPr>
        <w:t>4</w:t>
      </w:r>
      <w:r w:rsidRPr="004D045E">
        <w:rPr>
          <w:rFonts w:ascii="Arial" w:eastAsia="Times New Roman" w:hAnsi="Arial" w:cs="Arial"/>
          <w:b/>
        </w:rPr>
        <w:t xml:space="preserve"> - </w:t>
      </w:r>
      <w:proofErr w:type="spellStart"/>
      <w:proofErr w:type="gramStart"/>
      <w:r w:rsidRPr="004D045E">
        <w:rPr>
          <w:rFonts w:ascii="Arial" w:eastAsia="Times New Roman" w:hAnsi="Arial" w:cs="Arial"/>
          <w:b/>
        </w:rPr>
        <w:t>ANOVA</w:t>
      </w:r>
      <w:r w:rsidRPr="004D045E">
        <w:rPr>
          <w:rFonts w:ascii="Arial" w:eastAsia="Times New Roman" w:hAnsi="Arial" w:cs="Arial"/>
          <w:b/>
          <w:vertAlign w:val="subscript"/>
        </w:rPr>
        <w:t>a</w:t>
      </w:r>
      <w:proofErr w:type="spellEnd"/>
      <w:r w:rsidR="009C267D">
        <w:rPr>
          <w:rFonts w:ascii="Arial" w:eastAsia="Times New Roman" w:hAnsi="Arial" w:cs="Arial"/>
          <w:b/>
          <w:vertAlign w:val="subscript"/>
        </w:rPr>
        <w:t xml:space="preserve">  </w:t>
      </w:r>
      <w:r w:rsidR="009C267D">
        <w:rPr>
          <w:rFonts w:ascii="Arial" w:eastAsia="Times New Roman" w:hAnsi="Arial" w:cs="Arial"/>
          <w:b/>
        </w:rPr>
        <w:t>Table</w:t>
      </w:r>
      <w:proofErr w:type="gramEnd"/>
    </w:p>
    <w:tbl>
      <w:tblPr>
        <w:tblStyle w:val="a3"/>
        <w:tblW w:w="8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1445"/>
        <w:gridCol w:w="1653"/>
        <w:gridCol w:w="1153"/>
        <w:gridCol w:w="1584"/>
        <w:gridCol w:w="1153"/>
        <w:gridCol w:w="1155"/>
      </w:tblGrid>
      <w:tr w:rsidR="00810699" w:rsidRPr="004D045E" w14:paraId="15BDCEF3" w14:textId="77777777" w:rsidTr="00810699">
        <w:trPr>
          <w:cnfStyle w:val="000000100000" w:firstRow="0" w:lastRow="0" w:firstColumn="0" w:lastColumn="0" w:oddVBand="0" w:evenVBand="0" w:oddHBand="1" w:evenHBand="0" w:firstRowFirstColumn="0" w:firstRowLastColumn="0" w:lastRowFirstColumn="0" w:lastRowLastColumn="0"/>
          <w:trHeight w:val="590"/>
        </w:trPr>
        <w:tc>
          <w:tcPr>
            <w:cnfStyle w:val="000010000000" w:firstRow="0" w:lastRow="0" w:firstColumn="0" w:lastColumn="0" w:oddVBand="1" w:evenVBand="0" w:oddHBand="0" w:evenHBand="0" w:firstRowFirstColumn="0" w:firstRowLastColumn="0" w:lastRowFirstColumn="0" w:lastRowLastColumn="0"/>
            <w:tcW w:w="2269" w:type="dxa"/>
            <w:gridSpan w:val="2"/>
            <w:tcBorders>
              <w:bottom w:val="single" w:sz="4" w:space="0" w:color="000000"/>
            </w:tcBorders>
            <w:shd w:val="clear" w:color="auto" w:fill="auto"/>
          </w:tcPr>
          <w:p w14:paraId="0492D131"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Model</w:t>
            </w:r>
          </w:p>
        </w:tc>
        <w:tc>
          <w:tcPr>
            <w:tcW w:w="1653" w:type="dxa"/>
            <w:tcBorders>
              <w:bottom w:val="single" w:sz="4" w:space="0" w:color="000000"/>
            </w:tcBorders>
            <w:shd w:val="clear" w:color="auto" w:fill="auto"/>
          </w:tcPr>
          <w:p w14:paraId="0F6FF878"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Sum of Squares</w:t>
            </w:r>
          </w:p>
        </w:tc>
        <w:tc>
          <w:tcPr>
            <w:cnfStyle w:val="000010000000" w:firstRow="0" w:lastRow="0" w:firstColumn="0" w:lastColumn="0" w:oddVBand="1" w:evenVBand="0" w:oddHBand="0" w:evenHBand="0" w:firstRowFirstColumn="0" w:firstRowLastColumn="0" w:lastRowFirstColumn="0" w:lastRowLastColumn="0"/>
            <w:tcW w:w="1153" w:type="dxa"/>
            <w:tcBorders>
              <w:bottom w:val="single" w:sz="4" w:space="0" w:color="000000"/>
            </w:tcBorders>
            <w:shd w:val="clear" w:color="auto" w:fill="auto"/>
          </w:tcPr>
          <w:p w14:paraId="559BBD24"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df</w:t>
            </w:r>
          </w:p>
        </w:tc>
        <w:tc>
          <w:tcPr>
            <w:tcW w:w="1584" w:type="dxa"/>
            <w:tcBorders>
              <w:bottom w:val="single" w:sz="4" w:space="0" w:color="000000"/>
            </w:tcBorders>
            <w:shd w:val="clear" w:color="auto" w:fill="auto"/>
          </w:tcPr>
          <w:p w14:paraId="52B3F059"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Mean Square</w:t>
            </w:r>
          </w:p>
        </w:tc>
        <w:tc>
          <w:tcPr>
            <w:cnfStyle w:val="000010000000" w:firstRow="0" w:lastRow="0" w:firstColumn="0" w:lastColumn="0" w:oddVBand="1" w:evenVBand="0" w:oddHBand="0" w:evenHBand="0" w:firstRowFirstColumn="0" w:firstRowLastColumn="0" w:lastRowFirstColumn="0" w:lastRowLastColumn="0"/>
            <w:tcW w:w="1153" w:type="dxa"/>
            <w:tcBorders>
              <w:bottom w:val="single" w:sz="4" w:space="0" w:color="000000"/>
            </w:tcBorders>
            <w:shd w:val="clear" w:color="auto" w:fill="auto"/>
          </w:tcPr>
          <w:p w14:paraId="5C185588"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F</w:t>
            </w:r>
          </w:p>
        </w:tc>
        <w:tc>
          <w:tcPr>
            <w:tcW w:w="1155" w:type="dxa"/>
            <w:shd w:val="clear" w:color="auto" w:fill="auto"/>
          </w:tcPr>
          <w:p w14:paraId="2C961C06"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Sig.</w:t>
            </w:r>
          </w:p>
        </w:tc>
      </w:tr>
      <w:tr w:rsidR="00810699" w:rsidRPr="004D045E" w14:paraId="159401E3" w14:textId="77777777" w:rsidTr="00810699">
        <w:trPr>
          <w:trHeight w:val="291"/>
        </w:trPr>
        <w:tc>
          <w:tcPr>
            <w:cnfStyle w:val="000010000000" w:firstRow="0" w:lastRow="0" w:firstColumn="0" w:lastColumn="0" w:oddVBand="1" w:evenVBand="0" w:oddHBand="0" w:evenHBand="0" w:firstRowFirstColumn="0" w:firstRowLastColumn="0" w:lastRowFirstColumn="0" w:lastRowLastColumn="0"/>
            <w:tcW w:w="824" w:type="dxa"/>
            <w:vMerge w:val="restart"/>
            <w:tcBorders>
              <w:top w:val="single" w:sz="4" w:space="0" w:color="000000"/>
            </w:tcBorders>
            <w:shd w:val="clear" w:color="auto" w:fill="auto"/>
          </w:tcPr>
          <w:p w14:paraId="2DB8FFAB"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1</w:t>
            </w:r>
          </w:p>
        </w:tc>
        <w:tc>
          <w:tcPr>
            <w:tcW w:w="1445" w:type="dxa"/>
            <w:tcBorders>
              <w:top w:val="single" w:sz="4" w:space="0" w:color="000000"/>
            </w:tcBorders>
          </w:tcPr>
          <w:p w14:paraId="2D351039"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Regression</w:t>
            </w:r>
          </w:p>
        </w:tc>
        <w:tc>
          <w:tcPr>
            <w:cnfStyle w:val="000010000000" w:firstRow="0" w:lastRow="0" w:firstColumn="0" w:lastColumn="0" w:oddVBand="1" w:evenVBand="0" w:oddHBand="0" w:evenHBand="0" w:firstRowFirstColumn="0" w:firstRowLastColumn="0" w:lastRowFirstColumn="0" w:lastRowLastColumn="0"/>
            <w:tcW w:w="1653" w:type="dxa"/>
            <w:tcBorders>
              <w:top w:val="single" w:sz="4" w:space="0" w:color="000000"/>
            </w:tcBorders>
            <w:shd w:val="clear" w:color="auto" w:fill="auto"/>
          </w:tcPr>
          <w:p w14:paraId="67BC3106"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152.058</w:t>
            </w:r>
          </w:p>
        </w:tc>
        <w:tc>
          <w:tcPr>
            <w:tcW w:w="1153" w:type="dxa"/>
            <w:tcBorders>
              <w:top w:val="single" w:sz="4" w:space="0" w:color="000000"/>
            </w:tcBorders>
          </w:tcPr>
          <w:p w14:paraId="39B1969C"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7</w:t>
            </w:r>
          </w:p>
        </w:tc>
        <w:tc>
          <w:tcPr>
            <w:cnfStyle w:val="000010000000" w:firstRow="0" w:lastRow="0" w:firstColumn="0" w:lastColumn="0" w:oddVBand="1" w:evenVBand="0" w:oddHBand="0" w:evenHBand="0" w:firstRowFirstColumn="0" w:firstRowLastColumn="0" w:lastRowFirstColumn="0" w:lastRowLastColumn="0"/>
            <w:tcW w:w="1584" w:type="dxa"/>
            <w:tcBorders>
              <w:top w:val="single" w:sz="4" w:space="0" w:color="000000"/>
            </w:tcBorders>
            <w:shd w:val="clear" w:color="auto" w:fill="auto"/>
          </w:tcPr>
          <w:p w14:paraId="6CEBB9EF"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21.723</w:t>
            </w:r>
          </w:p>
        </w:tc>
        <w:tc>
          <w:tcPr>
            <w:tcW w:w="1153" w:type="dxa"/>
            <w:tcBorders>
              <w:top w:val="single" w:sz="4" w:space="0" w:color="000000"/>
            </w:tcBorders>
          </w:tcPr>
          <w:p w14:paraId="2A48E8CE"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85.575</w:t>
            </w:r>
          </w:p>
        </w:tc>
        <w:tc>
          <w:tcPr>
            <w:cnfStyle w:val="000010000000" w:firstRow="0" w:lastRow="0" w:firstColumn="0" w:lastColumn="0" w:oddVBand="1" w:evenVBand="0" w:oddHBand="0" w:evenHBand="0" w:firstRowFirstColumn="0" w:firstRowLastColumn="0" w:lastRowFirstColumn="0" w:lastRowLastColumn="0"/>
            <w:tcW w:w="1155" w:type="dxa"/>
            <w:shd w:val="clear" w:color="auto" w:fill="auto"/>
          </w:tcPr>
          <w:p w14:paraId="4A17FEBA"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0.000</w:t>
            </w:r>
            <w:r w:rsidRPr="004D045E">
              <w:rPr>
                <w:rFonts w:ascii="Arial" w:eastAsia="Times New Roman" w:hAnsi="Arial" w:cs="Arial"/>
                <w:color w:val="auto"/>
                <w:vertAlign w:val="superscript"/>
              </w:rPr>
              <w:t>b</w:t>
            </w:r>
          </w:p>
        </w:tc>
      </w:tr>
      <w:tr w:rsidR="00810699" w:rsidRPr="004D045E" w14:paraId="06199CCB" w14:textId="77777777" w:rsidTr="00810699">
        <w:trPr>
          <w:cnfStyle w:val="000000100000" w:firstRow="0" w:lastRow="0" w:firstColumn="0" w:lastColumn="0" w:oddVBand="0" w:evenVBand="0" w:oddHBand="1" w:evenHBand="0" w:firstRowFirstColumn="0" w:firstRowLastColumn="0" w:lastRowFirstColumn="0" w:lastRowLastColumn="0"/>
          <w:trHeight w:val="326"/>
        </w:trPr>
        <w:tc>
          <w:tcPr>
            <w:cnfStyle w:val="000010000000" w:firstRow="0" w:lastRow="0" w:firstColumn="0" w:lastColumn="0" w:oddVBand="1" w:evenVBand="0" w:oddHBand="0" w:evenHBand="0" w:firstRowFirstColumn="0" w:firstRowLastColumn="0" w:lastRowFirstColumn="0" w:lastRowLastColumn="0"/>
            <w:tcW w:w="824" w:type="dxa"/>
            <w:vMerge/>
            <w:tcBorders>
              <w:top w:val="single" w:sz="4" w:space="0" w:color="000000"/>
            </w:tcBorders>
            <w:shd w:val="clear" w:color="auto" w:fill="auto"/>
          </w:tcPr>
          <w:p w14:paraId="6A190C8C"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1445" w:type="dxa"/>
            <w:shd w:val="clear" w:color="auto" w:fill="auto"/>
          </w:tcPr>
          <w:p w14:paraId="5E0341B5" w14:textId="77777777" w:rsidR="00810699" w:rsidRPr="004D045E"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Residual</w:t>
            </w:r>
          </w:p>
        </w:tc>
        <w:tc>
          <w:tcPr>
            <w:cnfStyle w:val="000010000000" w:firstRow="0" w:lastRow="0" w:firstColumn="0" w:lastColumn="0" w:oddVBand="1" w:evenVBand="0" w:oddHBand="0" w:evenHBand="0" w:firstRowFirstColumn="0" w:firstRowLastColumn="0" w:lastRowFirstColumn="0" w:lastRowLastColumn="0"/>
            <w:tcW w:w="1653" w:type="dxa"/>
            <w:shd w:val="clear" w:color="auto" w:fill="auto"/>
          </w:tcPr>
          <w:p w14:paraId="3DFC9758"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95.190</w:t>
            </w:r>
          </w:p>
        </w:tc>
        <w:tc>
          <w:tcPr>
            <w:tcW w:w="1153" w:type="dxa"/>
            <w:shd w:val="clear" w:color="auto" w:fill="auto"/>
          </w:tcPr>
          <w:p w14:paraId="1E46D59A" w14:textId="77777777" w:rsidR="00810699" w:rsidRPr="004D045E"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135</w:t>
            </w:r>
          </w:p>
        </w:tc>
        <w:tc>
          <w:tcPr>
            <w:cnfStyle w:val="000010000000" w:firstRow="0" w:lastRow="0" w:firstColumn="0" w:lastColumn="0" w:oddVBand="1" w:evenVBand="0" w:oddHBand="0" w:evenHBand="0" w:firstRowFirstColumn="0" w:firstRowLastColumn="0" w:lastRowFirstColumn="0" w:lastRowLastColumn="0"/>
            <w:tcW w:w="1584" w:type="dxa"/>
            <w:shd w:val="clear" w:color="auto" w:fill="auto"/>
          </w:tcPr>
          <w:p w14:paraId="1E7D2520"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0.254</w:t>
            </w:r>
          </w:p>
        </w:tc>
        <w:tc>
          <w:tcPr>
            <w:tcW w:w="1153" w:type="dxa"/>
            <w:shd w:val="clear" w:color="auto" w:fill="auto"/>
          </w:tcPr>
          <w:p w14:paraId="42060E99" w14:textId="77777777" w:rsidR="00810699" w:rsidRPr="004D045E"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55" w:type="dxa"/>
            <w:shd w:val="clear" w:color="auto" w:fill="auto"/>
          </w:tcPr>
          <w:p w14:paraId="7D6AD27A" w14:textId="77777777" w:rsidR="00810699" w:rsidRPr="004D045E" w:rsidRDefault="00810699" w:rsidP="00A042C4">
            <w:pPr>
              <w:rPr>
                <w:rFonts w:ascii="Arial" w:eastAsia="Times New Roman" w:hAnsi="Arial" w:cs="Arial"/>
                <w:color w:val="auto"/>
              </w:rPr>
            </w:pPr>
          </w:p>
        </w:tc>
      </w:tr>
      <w:tr w:rsidR="00810699" w:rsidRPr="004D045E" w14:paraId="12AECC5F" w14:textId="77777777" w:rsidTr="00810699">
        <w:trPr>
          <w:trHeight w:val="291"/>
        </w:trPr>
        <w:tc>
          <w:tcPr>
            <w:cnfStyle w:val="000010000000" w:firstRow="0" w:lastRow="0" w:firstColumn="0" w:lastColumn="0" w:oddVBand="1" w:evenVBand="0" w:oddHBand="0" w:evenHBand="0" w:firstRowFirstColumn="0" w:firstRowLastColumn="0" w:lastRowFirstColumn="0" w:lastRowLastColumn="0"/>
            <w:tcW w:w="824" w:type="dxa"/>
            <w:vMerge/>
            <w:tcBorders>
              <w:top w:val="single" w:sz="4" w:space="0" w:color="000000"/>
            </w:tcBorders>
            <w:shd w:val="clear" w:color="auto" w:fill="auto"/>
          </w:tcPr>
          <w:p w14:paraId="1FA0BEA3"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1445" w:type="dxa"/>
            <w:tcBorders>
              <w:bottom w:val="single" w:sz="4" w:space="0" w:color="000000"/>
            </w:tcBorders>
          </w:tcPr>
          <w:p w14:paraId="74BE311A" w14:textId="77777777" w:rsidR="00810699" w:rsidRPr="004D045E"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Total</w:t>
            </w:r>
          </w:p>
        </w:tc>
        <w:tc>
          <w:tcPr>
            <w:cnfStyle w:val="000010000000" w:firstRow="0" w:lastRow="0" w:firstColumn="0" w:lastColumn="0" w:oddVBand="1" w:evenVBand="0" w:oddHBand="0" w:evenHBand="0" w:firstRowFirstColumn="0" w:firstRowLastColumn="0" w:lastRowFirstColumn="0" w:lastRowLastColumn="0"/>
            <w:tcW w:w="1653" w:type="dxa"/>
            <w:tcBorders>
              <w:bottom w:val="single" w:sz="4" w:space="0" w:color="000000"/>
            </w:tcBorders>
            <w:shd w:val="clear" w:color="auto" w:fill="auto"/>
          </w:tcPr>
          <w:p w14:paraId="3F6EB3FF" w14:textId="77777777" w:rsidR="00810699" w:rsidRPr="004D045E" w:rsidRDefault="00701FD7" w:rsidP="00A042C4">
            <w:pPr>
              <w:ind w:left="60" w:right="60"/>
              <w:jc w:val="right"/>
              <w:rPr>
                <w:rFonts w:ascii="Arial" w:eastAsia="Times New Roman" w:hAnsi="Arial" w:cs="Arial"/>
                <w:color w:val="auto"/>
              </w:rPr>
            </w:pPr>
            <w:r w:rsidRPr="004D045E">
              <w:rPr>
                <w:rFonts w:ascii="Arial" w:eastAsia="Times New Roman" w:hAnsi="Arial" w:cs="Arial"/>
                <w:color w:val="auto"/>
              </w:rPr>
              <w:t>247.248</w:t>
            </w:r>
          </w:p>
        </w:tc>
        <w:tc>
          <w:tcPr>
            <w:tcW w:w="1153" w:type="dxa"/>
            <w:tcBorders>
              <w:bottom w:val="single" w:sz="4" w:space="0" w:color="000000"/>
            </w:tcBorders>
          </w:tcPr>
          <w:p w14:paraId="14FC19BA" w14:textId="77777777" w:rsidR="00810699" w:rsidRPr="004D045E"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584" w:type="dxa"/>
            <w:tcBorders>
              <w:bottom w:val="single" w:sz="4" w:space="0" w:color="000000"/>
            </w:tcBorders>
            <w:shd w:val="clear" w:color="auto" w:fill="auto"/>
          </w:tcPr>
          <w:p w14:paraId="2673B11D" w14:textId="77777777" w:rsidR="00810699" w:rsidRPr="004D045E" w:rsidRDefault="00810699" w:rsidP="00A042C4">
            <w:pPr>
              <w:rPr>
                <w:rFonts w:ascii="Arial" w:eastAsia="Times New Roman" w:hAnsi="Arial" w:cs="Arial"/>
                <w:color w:val="auto"/>
              </w:rPr>
            </w:pPr>
          </w:p>
        </w:tc>
        <w:tc>
          <w:tcPr>
            <w:tcW w:w="1153" w:type="dxa"/>
            <w:tcBorders>
              <w:bottom w:val="single" w:sz="4" w:space="0" w:color="000000"/>
            </w:tcBorders>
          </w:tcPr>
          <w:p w14:paraId="3F5E7662" w14:textId="77777777" w:rsidR="00810699" w:rsidRPr="004D045E"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55" w:type="dxa"/>
            <w:tcBorders>
              <w:bottom w:val="single" w:sz="4" w:space="0" w:color="000000"/>
            </w:tcBorders>
            <w:shd w:val="clear" w:color="auto" w:fill="auto"/>
          </w:tcPr>
          <w:p w14:paraId="25F06711" w14:textId="77777777" w:rsidR="00810699" w:rsidRPr="004D045E" w:rsidRDefault="00810699" w:rsidP="00A042C4">
            <w:pPr>
              <w:rPr>
                <w:rFonts w:ascii="Arial" w:eastAsia="Times New Roman" w:hAnsi="Arial" w:cs="Arial"/>
                <w:color w:val="auto"/>
              </w:rPr>
            </w:pPr>
          </w:p>
        </w:tc>
      </w:tr>
      <w:tr w:rsidR="00810699" w:rsidRPr="004D045E" w14:paraId="6254F7CB" w14:textId="77777777" w:rsidTr="00810699">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8967" w:type="dxa"/>
            <w:gridSpan w:val="7"/>
            <w:tcBorders>
              <w:top w:val="single" w:sz="4" w:space="0" w:color="000000"/>
            </w:tcBorders>
            <w:shd w:val="clear" w:color="auto" w:fill="auto"/>
          </w:tcPr>
          <w:p w14:paraId="56E32024" w14:textId="77777777" w:rsidR="00810699" w:rsidRPr="004D045E" w:rsidRDefault="00701FD7" w:rsidP="00A042C4">
            <w:pPr>
              <w:ind w:right="60"/>
              <w:rPr>
                <w:rFonts w:ascii="Arial" w:eastAsia="Times New Roman" w:hAnsi="Arial" w:cs="Arial"/>
                <w:color w:val="auto"/>
              </w:rPr>
            </w:pPr>
            <w:r w:rsidRPr="004D045E">
              <w:rPr>
                <w:rFonts w:ascii="Arial" w:eastAsia="Times New Roman" w:hAnsi="Arial" w:cs="Arial"/>
                <w:color w:val="auto"/>
              </w:rPr>
              <w:t>a. Dependent Variable: Financial Risk Management</w:t>
            </w:r>
          </w:p>
        </w:tc>
      </w:tr>
      <w:tr w:rsidR="00B40A16" w:rsidRPr="004D045E" w14:paraId="1EB16617" w14:textId="77777777" w:rsidTr="00C47F80">
        <w:trPr>
          <w:trHeight w:val="585"/>
        </w:trPr>
        <w:tc>
          <w:tcPr>
            <w:cnfStyle w:val="000010000000" w:firstRow="0" w:lastRow="0" w:firstColumn="0" w:lastColumn="0" w:oddVBand="1" w:evenVBand="0" w:oddHBand="0" w:evenHBand="0" w:firstRowFirstColumn="0" w:firstRowLastColumn="0" w:lastRowFirstColumn="0" w:lastRowLastColumn="0"/>
            <w:tcW w:w="8967" w:type="dxa"/>
            <w:gridSpan w:val="7"/>
            <w:shd w:val="clear" w:color="auto" w:fill="auto"/>
          </w:tcPr>
          <w:p w14:paraId="70B3041B" w14:textId="77777777" w:rsidR="00810699" w:rsidRPr="004D045E" w:rsidRDefault="00701FD7" w:rsidP="00A042C4">
            <w:pPr>
              <w:spacing w:after="160"/>
              <w:rPr>
                <w:rFonts w:ascii="Arial" w:eastAsia="Times New Roman" w:hAnsi="Arial" w:cs="Arial"/>
                <w:i/>
                <w:color w:val="auto"/>
              </w:rPr>
            </w:pPr>
            <w:r w:rsidRPr="004D045E">
              <w:rPr>
                <w:rFonts w:ascii="Arial" w:eastAsia="Times New Roman" w:hAnsi="Arial" w:cs="Arial"/>
                <w:color w:val="auto"/>
              </w:rPr>
              <w:t xml:space="preserve">b. Predictors: (Constant), </w:t>
            </w:r>
            <w:r w:rsidRPr="004D045E">
              <w:rPr>
                <w:rFonts w:ascii="Arial" w:eastAsia="Times New Roman" w:hAnsi="Arial" w:cs="Arial"/>
                <w:i/>
                <w:color w:val="auto"/>
              </w:rPr>
              <w:t>Board Size, Board Independence, Board Meetings, CEO Duality, Firm Size, Industry Regulation</w:t>
            </w:r>
          </w:p>
        </w:tc>
      </w:tr>
    </w:tbl>
    <w:p w14:paraId="16A63196" w14:textId="77777777" w:rsidR="00810699" w:rsidRPr="004D045E" w:rsidRDefault="00810699" w:rsidP="00A042C4">
      <w:pPr>
        <w:spacing w:line="240" w:lineRule="auto"/>
        <w:jc w:val="both"/>
        <w:rPr>
          <w:rFonts w:ascii="Arial" w:eastAsia="Times New Roman" w:hAnsi="Arial" w:cs="Arial"/>
        </w:rPr>
      </w:pPr>
    </w:p>
    <w:p w14:paraId="00C907EF"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Regression Coefficients</w:t>
      </w:r>
    </w:p>
    <w:p w14:paraId="3B421765" w14:textId="6B04FFB2"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coefficient</w:t>
      </w:r>
      <w:r w:rsidRPr="004D045E">
        <w:rPr>
          <w:rFonts w:ascii="Arial" w:eastAsia="Times New Roman" w:hAnsi="Arial" w:cs="Arial"/>
          <w:b/>
        </w:rPr>
        <w:t xml:space="preserve"> </w:t>
      </w:r>
      <w:r w:rsidRPr="004D045E">
        <w:rPr>
          <w:rFonts w:ascii="Arial" w:eastAsia="Times New Roman" w:hAnsi="Arial" w:cs="Arial"/>
        </w:rPr>
        <w:t xml:space="preserve">in Table </w:t>
      </w:r>
      <w:r w:rsidR="00E461A4">
        <w:rPr>
          <w:rFonts w:ascii="Arial" w:eastAsia="Times New Roman" w:hAnsi="Arial" w:cs="Arial"/>
        </w:rPr>
        <w:t>5</w:t>
      </w:r>
      <w:r w:rsidRPr="004D045E">
        <w:rPr>
          <w:rFonts w:ascii="Arial" w:eastAsia="Times New Roman" w:hAnsi="Arial" w:cs="Arial"/>
        </w:rPr>
        <w:t xml:space="preserve"> shows the results of the regression analysis, with the dependent variable being Financial Risk Management. The table provides the unstandardized coefficients (B), standard errors, standardized coefficients (Beta), t-values, and significance levels (Sig.) for each predictor.</w:t>
      </w:r>
    </w:p>
    <w:p w14:paraId="718840AD" w14:textId="77777777"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b/>
        </w:rPr>
        <w:t>Significant Predictors</w:t>
      </w:r>
    </w:p>
    <w:p w14:paraId="132620FD" w14:textId="0C1B62A5" w:rsidR="00810699" w:rsidRPr="004D045E" w:rsidRDefault="00701FD7" w:rsidP="00A042C4">
      <w:pPr>
        <w:spacing w:line="240" w:lineRule="auto"/>
        <w:jc w:val="both"/>
        <w:rPr>
          <w:rFonts w:ascii="Arial" w:eastAsia="Times New Roman" w:hAnsi="Arial" w:cs="Arial"/>
          <w:b/>
        </w:rPr>
      </w:pPr>
      <w:r w:rsidRPr="004D045E">
        <w:rPr>
          <w:rFonts w:ascii="Arial" w:eastAsia="Times New Roman" w:hAnsi="Arial" w:cs="Arial"/>
        </w:rPr>
        <w:t>The results</w:t>
      </w:r>
      <w:r w:rsidRPr="004D045E">
        <w:rPr>
          <w:rFonts w:ascii="Arial" w:eastAsia="Times New Roman" w:hAnsi="Arial" w:cs="Arial"/>
          <w:b/>
        </w:rPr>
        <w:t xml:space="preserve"> </w:t>
      </w:r>
      <w:r w:rsidRPr="004D045E">
        <w:rPr>
          <w:rFonts w:ascii="Arial" w:eastAsia="Times New Roman" w:hAnsi="Arial" w:cs="Arial"/>
        </w:rPr>
        <w:t xml:space="preserve">in Table </w:t>
      </w:r>
      <w:r w:rsidR="00E461A4">
        <w:rPr>
          <w:rFonts w:ascii="Arial" w:eastAsia="Times New Roman" w:hAnsi="Arial" w:cs="Arial"/>
        </w:rPr>
        <w:t>5</w:t>
      </w:r>
      <w:r w:rsidRPr="004D045E">
        <w:rPr>
          <w:rFonts w:ascii="Arial" w:eastAsia="Times New Roman" w:hAnsi="Arial" w:cs="Arial"/>
        </w:rPr>
        <w:t xml:space="preserve"> show that all predictors have significant coefficients, indicating that they have a significant impact on Financial Risk Management. Specifically, Board Size (B = 0.159, p &lt; 0.001), Board Independence (B = 0.349, p &lt; 0.001), Board Meetings (B = 0.377, p &lt; 0.001), CEO Duality (B = 0.285, p &lt; 0.001), Firm Size (B = 0.279, p &lt; 0.001), and Industry Regulation (B = 0.223, p &lt; 0.001) all have significant positive coefficients.</w:t>
      </w:r>
    </w:p>
    <w:p w14:paraId="117AECB0" w14:textId="514A1339" w:rsidR="00810699" w:rsidRPr="004D045E" w:rsidRDefault="00701FD7" w:rsidP="00A042C4">
      <w:pPr>
        <w:spacing w:line="240" w:lineRule="auto"/>
        <w:rPr>
          <w:rFonts w:ascii="Arial" w:eastAsia="Times New Roman" w:hAnsi="Arial" w:cs="Arial"/>
          <w:b/>
        </w:rPr>
      </w:pPr>
      <w:r w:rsidRPr="004D045E">
        <w:rPr>
          <w:rFonts w:ascii="Arial" w:eastAsia="Times New Roman" w:hAnsi="Arial" w:cs="Arial"/>
          <w:b/>
        </w:rPr>
        <w:t>Hypothesis Testing</w:t>
      </w:r>
    </w:p>
    <w:p w14:paraId="33D6D436" w14:textId="65D5537C" w:rsidR="00810699" w:rsidRPr="004D045E" w:rsidRDefault="00A82191" w:rsidP="00A042C4">
      <w:pPr>
        <w:spacing w:line="240" w:lineRule="auto"/>
        <w:jc w:val="both"/>
        <w:rPr>
          <w:rFonts w:ascii="Arial" w:eastAsia="Times New Roman" w:hAnsi="Arial" w:cs="Arial"/>
          <w:b/>
        </w:rPr>
      </w:pPr>
      <w:r w:rsidRPr="004D045E">
        <w:rPr>
          <w:rFonts w:ascii="Arial" w:eastAsia="Times New Roman" w:hAnsi="Arial" w:cs="Arial"/>
        </w:rPr>
        <w:lastRenderedPageBreak/>
        <w:t>T</w:t>
      </w:r>
      <w:r w:rsidR="00701FD7" w:rsidRPr="004D045E">
        <w:rPr>
          <w:rFonts w:ascii="Arial" w:eastAsia="Times New Roman" w:hAnsi="Arial" w:cs="Arial"/>
        </w:rPr>
        <w:t xml:space="preserve">he null hypothesis can be rejected, and it can be concluded that corporate governance has a significant impact on financial risk management in the sector pension schemes in Ghana. The decision to reject the hypothesis is based on the significant coefficients of the predictors. According to Cohen (1988), a p-value of less than 0.05 indicates statistical significance. In this case, all predictors have p-values less than 0.001, which is much lower than the critical value of 0.05. </w:t>
      </w:r>
    </w:p>
    <w:p w14:paraId="5397DEE7" w14:textId="6BDAC90C" w:rsidR="00810699" w:rsidRPr="004D045E" w:rsidRDefault="00701FD7" w:rsidP="00A042C4">
      <w:pPr>
        <w:pBdr>
          <w:top w:val="nil"/>
          <w:left w:val="nil"/>
          <w:bottom w:val="nil"/>
          <w:right w:val="nil"/>
          <w:between w:val="nil"/>
        </w:pBdr>
        <w:spacing w:after="200" w:line="240" w:lineRule="auto"/>
        <w:rPr>
          <w:rFonts w:ascii="Arial" w:eastAsia="Times New Roman" w:hAnsi="Arial" w:cs="Arial"/>
          <w:b/>
        </w:rPr>
      </w:pPr>
      <w:bookmarkStart w:id="41" w:name="_kgcv8k" w:colFirst="0" w:colLast="0"/>
      <w:bookmarkEnd w:id="41"/>
      <w:r w:rsidRPr="004D045E">
        <w:rPr>
          <w:rFonts w:ascii="Arial" w:eastAsia="Times New Roman" w:hAnsi="Arial" w:cs="Arial"/>
          <w:b/>
        </w:rPr>
        <w:t xml:space="preserve">Table </w:t>
      </w:r>
      <w:r w:rsidR="00E461A4">
        <w:rPr>
          <w:rFonts w:ascii="Arial" w:eastAsia="Times New Roman" w:hAnsi="Arial" w:cs="Arial"/>
          <w:b/>
        </w:rPr>
        <w:t>5</w:t>
      </w:r>
      <w:r w:rsidRPr="004D045E">
        <w:rPr>
          <w:rFonts w:ascii="Arial" w:eastAsia="Times New Roman" w:hAnsi="Arial" w:cs="Arial"/>
          <w:b/>
        </w:rPr>
        <w:t xml:space="preserve"> </w:t>
      </w:r>
      <w:r w:rsidR="009C267D">
        <w:rPr>
          <w:rFonts w:ascii="Arial" w:eastAsia="Times New Roman" w:hAnsi="Arial" w:cs="Arial"/>
          <w:b/>
        </w:rPr>
        <w:t>–</w:t>
      </w:r>
      <w:r w:rsidRPr="004D045E">
        <w:rPr>
          <w:rFonts w:ascii="Arial" w:eastAsia="Times New Roman" w:hAnsi="Arial" w:cs="Arial"/>
          <w:b/>
        </w:rPr>
        <w:t xml:space="preserve"> Coefficients</w:t>
      </w:r>
      <w:r w:rsidR="009C267D">
        <w:rPr>
          <w:rFonts w:ascii="Arial" w:eastAsia="Times New Roman" w:hAnsi="Arial" w:cs="Arial"/>
          <w:b/>
        </w:rPr>
        <w:t xml:space="preserve"> Results</w:t>
      </w:r>
    </w:p>
    <w:tbl>
      <w:tblPr>
        <w:tblStyle w:val="a4"/>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2231"/>
        <w:gridCol w:w="1440"/>
        <w:gridCol w:w="1440"/>
        <w:gridCol w:w="1530"/>
        <w:gridCol w:w="990"/>
        <w:gridCol w:w="810"/>
      </w:tblGrid>
      <w:tr w:rsidR="00810699" w:rsidRPr="004D045E" w14:paraId="45C28C12" w14:textId="77777777" w:rsidTr="00810699">
        <w:trPr>
          <w:cnfStyle w:val="000000100000" w:firstRow="0" w:lastRow="0" w:firstColumn="0" w:lastColumn="0" w:oddVBand="0" w:evenVBand="0" w:oddHBand="1" w:evenHBand="0" w:firstRowFirstColumn="0" w:firstRowLastColumn="0" w:lastRowFirstColumn="0" w:lastRowLastColumn="0"/>
          <w:trHeight w:val="643"/>
        </w:trPr>
        <w:tc>
          <w:tcPr>
            <w:cnfStyle w:val="000010000000" w:firstRow="0" w:lastRow="0" w:firstColumn="0" w:lastColumn="0" w:oddVBand="1" w:evenVBand="0" w:oddHBand="0" w:evenHBand="0" w:firstRowFirstColumn="0" w:firstRowLastColumn="0" w:lastRowFirstColumn="0" w:lastRowLastColumn="0"/>
            <w:tcW w:w="3060" w:type="dxa"/>
            <w:gridSpan w:val="2"/>
            <w:vMerge w:val="restart"/>
            <w:shd w:val="clear" w:color="auto" w:fill="auto"/>
          </w:tcPr>
          <w:p w14:paraId="044F221B" w14:textId="77777777" w:rsidR="00810699" w:rsidRPr="004D045E" w:rsidRDefault="00701FD7" w:rsidP="00A042C4">
            <w:pPr>
              <w:pBdr>
                <w:top w:val="nil"/>
                <w:left w:val="nil"/>
                <w:bottom w:val="nil"/>
                <w:right w:val="nil"/>
                <w:between w:val="nil"/>
              </w:pBdr>
              <w:jc w:val="center"/>
              <w:rPr>
                <w:rFonts w:ascii="Arial" w:eastAsia="Times New Roman" w:hAnsi="Arial" w:cs="Arial"/>
                <w:b/>
                <w:color w:val="auto"/>
              </w:rPr>
            </w:pPr>
            <w:r w:rsidRPr="004D045E">
              <w:rPr>
                <w:rFonts w:ascii="Arial" w:eastAsia="Times New Roman" w:hAnsi="Arial" w:cs="Arial"/>
                <w:b/>
                <w:color w:val="auto"/>
              </w:rPr>
              <w:t>Model</w:t>
            </w:r>
          </w:p>
        </w:tc>
        <w:tc>
          <w:tcPr>
            <w:tcW w:w="2880" w:type="dxa"/>
            <w:gridSpan w:val="2"/>
            <w:shd w:val="clear" w:color="auto" w:fill="auto"/>
          </w:tcPr>
          <w:p w14:paraId="6ADC25A5" w14:textId="77777777" w:rsidR="00810699" w:rsidRPr="004D045E" w:rsidRDefault="00701FD7" w:rsidP="00A042C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4D045E">
              <w:rPr>
                <w:rFonts w:ascii="Arial" w:eastAsia="Times New Roman" w:hAnsi="Arial" w:cs="Arial"/>
                <w:b/>
                <w:color w:val="auto"/>
              </w:rPr>
              <w:t>Unstandardized Coefficients</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1A9D21DB" w14:textId="77777777" w:rsidR="00810699" w:rsidRPr="004D045E" w:rsidRDefault="00701FD7" w:rsidP="00A042C4">
            <w:pPr>
              <w:pBdr>
                <w:top w:val="nil"/>
                <w:left w:val="nil"/>
                <w:bottom w:val="nil"/>
                <w:right w:val="nil"/>
                <w:between w:val="nil"/>
              </w:pBdr>
              <w:jc w:val="center"/>
              <w:rPr>
                <w:rFonts w:ascii="Arial" w:eastAsia="Times New Roman" w:hAnsi="Arial" w:cs="Arial"/>
                <w:b/>
                <w:color w:val="auto"/>
              </w:rPr>
            </w:pPr>
            <w:r w:rsidRPr="004D045E">
              <w:rPr>
                <w:rFonts w:ascii="Arial" w:eastAsia="Times New Roman" w:hAnsi="Arial" w:cs="Arial"/>
                <w:b/>
                <w:color w:val="auto"/>
              </w:rPr>
              <w:t>Standardized Coefficients</w:t>
            </w:r>
          </w:p>
        </w:tc>
        <w:tc>
          <w:tcPr>
            <w:tcW w:w="990" w:type="dxa"/>
            <w:vMerge w:val="restart"/>
            <w:shd w:val="clear" w:color="auto" w:fill="auto"/>
          </w:tcPr>
          <w:p w14:paraId="19288C3A" w14:textId="77777777" w:rsidR="00810699" w:rsidRPr="004D045E" w:rsidRDefault="00701FD7" w:rsidP="00A042C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4D045E">
              <w:rPr>
                <w:rFonts w:ascii="Arial" w:eastAsia="Times New Roman" w:hAnsi="Arial" w:cs="Arial"/>
                <w:b/>
                <w:color w:val="auto"/>
              </w:rPr>
              <w:t>t</w:t>
            </w:r>
          </w:p>
        </w:tc>
        <w:tc>
          <w:tcPr>
            <w:cnfStyle w:val="000010000000" w:firstRow="0" w:lastRow="0" w:firstColumn="0" w:lastColumn="0" w:oddVBand="1" w:evenVBand="0" w:oddHBand="0" w:evenHBand="0" w:firstRowFirstColumn="0" w:firstRowLastColumn="0" w:lastRowFirstColumn="0" w:lastRowLastColumn="0"/>
            <w:tcW w:w="810" w:type="dxa"/>
            <w:vMerge w:val="restart"/>
            <w:shd w:val="clear" w:color="auto" w:fill="auto"/>
          </w:tcPr>
          <w:p w14:paraId="4398535A" w14:textId="77777777" w:rsidR="00810699" w:rsidRPr="004D045E" w:rsidRDefault="00701FD7" w:rsidP="00A042C4">
            <w:pPr>
              <w:pBdr>
                <w:top w:val="nil"/>
                <w:left w:val="nil"/>
                <w:bottom w:val="nil"/>
                <w:right w:val="nil"/>
                <w:between w:val="nil"/>
              </w:pBdr>
              <w:jc w:val="center"/>
              <w:rPr>
                <w:rFonts w:ascii="Arial" w:eastAsia="Times New Roman" w:hAnsi="Arial" w:cs="Arial"/>
                <w:b/>
                <w:color w:val="auto"/>
              </w:rPr>
            </w:pPr>
            <w:r w:rsidRPr="004D045E">
              <w:rPr>
                <w:rFonts w:ascii="Arial" w:eastAsia="Times New Roman" w:hAnsi="Arial" w:cs="Arial"/>
                <w:b/>
                <w:color w:val="auto"/>
              </w:rPr>
              <w:t>Sig.</w:t>
            </w:r>
          </w:p>
        </w:tc>
      </w:tr>
      <w:tr w:rsidR="00810699" w:rsidRPr="004D045E" w14:paraId="2F02CBBA" w14:textId="77777777" w:rsidTr="00810699">
        <w:trPr>
          <w:trHeight w:val="378"/>
        </w:trPr>
        <w:tc>
          <w:tcPr>
            <w:cnfStyle w:val="000010000000" w:firstRow="0" w:lastRow="0" w:firstColumn="0" w:lastColumn="0" w:oddVBand="1" w:evenVBand="0" w:oddHBand="0" w:evenHBand="0" w:firstRowFirstColumn="0" w:firstRowLastColumn="0" w:lastRowFirstColumn="0" w:lastRowLastColumn="0"/>
            <w:tcW w:w="3060" w:type="dxa"/>
            <w:gridSpan w:val="2"/>
            <w:vMerge/>
            <w:shd w:val="clear" w:color="auto" w:fill="auto"/>
          </w:tcPr>
          <w:p w14:paraId="5384695A" w14:textId="77777777" w:rsidR="00810699" w:rsidRPr="004D045E" w:rsidRDefault="00810699" w:rsidP="00A042C4">
            <w:pPr>
              <w:widowControl w:val="0"/>
              <w:pBdr>
                <w:top w:val="nil"/>
                <w:left w:val="nil"/>
                <w:bottom w:val="nil"/>
                <w:right w:val="nil"/>
                <w:between w:val="nil"/>
              </w:pBdr>
              <w:rPr>
                <w:rFonts w:ascii="Arial" w:eastAsia="Times New Roman" w:hAnsi="Arial" w:cs="Arial"/>
                <w:b/>
                <w:color w:val="auto"/>
              </w:rPr>
            </w:pPr>
          </w:p>
        </w:tc>
        <w:tc>
          <w:tcPr>
            <w:tcW w:w="1440" w:type="dxa"/>
            <w:tcBorders>
              <w:bottom w:val="single" w:sz="4" w:space="0" w:color="000000"/>
            </w:tcBorders>
          </w:tcPr>
          <w:p w14:paraId="19CA813B" w14:textId="77777777" w:rsidR="00810699" w:rsidRPr="004D045E" w:rsidRDefault="00701FD7" w:rsidP="00A042C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rPr>
            </w:pPr>
            <w:r w:rsidRPr="004D045E">
              <w:rPr>
                <w:rFonts w:ascii="Arial" w:eastAsia="Times New Roman" w:hAnsi="Arial" w:cs="Arial"/>
                <w:b/>
                <w:color w:val="auto"/>
              </w:rPr>
              <w:t>B</w:t>
            </w:r>
          </w:p>
        </w:tc>
        <w:tc>
          <w:tcPr>
            <w:cnfStyle w:val="000010000000" w:firstRow="0" w:lastRow="0" w:firstColumn="0" w:lastColumn="0" w:oddVBand="1" w:evenVBand="0" w:oddHBand="0" w:evenHBand="0" w:firstRowFirstColumn="0" w:firstRowLastColumn="0" w:lastRowFirstColumn="0" w:lastRowLastColumn="0"/>
            <w:tcW w:w="1440" w:type="dxa"/>
            <w:tcBorders>
              <w:bottom w:val="single" w:sz="4" w:space="0" w:color="000000"/>
            </w:tcBorders>
            <w:shd w:val="clear" w:color="auto" w:fill="auto"/>
          </w:tcPr>
          <w:p w14:paraId="08CC7E9E" w14:textId="77777777" w:rsidR="00810699" w:rsidRPr="004D045E" w:rsidRDefault="00701FD7" w:rsidP="00A042C4">
            <w:pPr>
              <w:pBdr>
                <w:top w:val="nil"/>
                <w:left w:val="nil"/>
                <w:bottom w:val="nil"/>
                <w:right w:val="nil"/>
                <w:between w:val="nil"/>
              </w:pBdr>
              <w:jc w:val="center"/>
              <w:rPr>
                <w:rFonts w:ascii="Arial" w:eastAsia="Times New Roman" w:hAnsi="Arial" w:cs="Arial"/>
                <w:b/>
                <w:color w:val="auto"/>
              </w:rPr>
            </w:pPr>
            <w:r w:rsidRPr="004D045E">
              <w:rPr>
                <w:rFonts w:ascii="Arial" w:eastAsia="Times New Roman" w:hAnsi="Arial" w:cs="Arial"/>
                <w:b/>
                <w:color w:val="auto"/>
              </w:rPr>
              <w:t>Std. Error</w:t>
            </w:r>
          </w:p>
        </w:tc>
        <w:tc>
          <w:tcPr>
            <w:tcW w:w="1530" w:type="dxa"/>
            <w:tcBorders>
              <w:bottom w:val="single" w:sz="4" w:space="0" w:color="000000"/>
            </w:tcBorders>
          </w:tcPr>
          <w:p w14:paraId="28222022" w14:textId="77777777" w:rsidR="00810699" w:rsidRPr="004D045E" w:rsidRDefault="00701FD7" w:rsidP="00A042C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rPr>
            </w:pPr>
            <w:r w:rsidRPr="004D045E">
              <w:rPr>
                <w:rFonts w:ascii="Arial" w:eastAsia="Times New Roman" w:hAnsi="Arial" w:cs="Arial"/>
                <w:b/>
                <w:color w:val="auto"/>
              </w:rPr>
              <w:t>Beta</w:t>
            </w:r>
          </w:p>
        </w:tc>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40377CB0" w14:textId="77777777" w:rsidR="00810699" w:rsidRPr="004D045E" w:rsidRDefault="00810699" w:rsidP="00A042C4">
            <w:pPr>
              <w:widowControl w:val="0"/>
              <w:pBdr>
                <w:top w:val="nil"/>
                <w:left w:val="nil"/>
                <w:bottom w:val="nil"/>
                <w:right w:val="nil"/>
                <w:between w:val="nil"/>
              </w:pBdr>
              <w:rPr>
                <w:rFonts w:ascii="Arial" w:eastAsia="Times New Roman" w:hAnsi="Arial" w:cs="Arial"/>
                <w:b/>
                <w:color w:val="auto"/>
              </w:rPr>
            </w:pPr>
          </w:p>
        </w:tc>
        <w:tc>
          <w:tcPr>
            <w:tcW w:w="810" w:type="dxa"/>
            <w:vMerge/>
          </w:tcPr>
          <w:p w14:paraId="2BB73897" w14:textId="77777777" w:rsidR="00810699" w:rsidRPr="004D045E" w:rsidRDefault="00810699" w:rsidP="00A042C4">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rPr>
            </w:pPr>
          </w:p>
        </w:tc>
      </w:tr>
      <w:tr w:rsidR="00810699" w:rsidRPr="004D045E" w14:paraId="5B5AD28A" w14:textId="77777777" w:rsidTr="00810699">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829" w:type="dxa"/>
            <w:vMerge w:val="restart"/>
            <w:tcBorders>
              <w:top w:val="single" w:sz="4" w:space="0" w:color="000000"/>
            </w:tcBorders>
            <w:shd w:val="clear" w:color="auto" w:fill="auto"/>
          </w:tcPr>
          <w:p w14:paraId="194E745E"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1</w:t>
            </w:r>
          </w:p>
        </w:tc>
        <w:tc>
          <w:tcPr>
            <w:tcW w:w="2231" w:type="dxa"/>
            <w:tcBorders>
              <w:top w:val="single" w:sz="4" w:space="0" w:color="000000"/>
            </w:tcBorders>
            <w:shd w:val="clear" w:color="auto" w:fill="auto"/>
          </w:tcPr>
          <w:p w14:paraId="71D2ECCC"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(Constant)</w:t>
            </w:r>
          </w:p>
        </w:tc>
        <w:tc>
          <w:tcPr>
            <w:cnfStyle w:val="000010000000" w:firstRow="0" w:lastRow="0" w:firstColumn="0" w:lastColumn="0" w:oddVBand="1" w:evenVBand="0" w:oddHBand="0" w:evenHBand="0" w:firstRowFirstColumn="0" w:firstRowLastColumn="0" w:lastRowFirstColumn="0" w:lastRowLastColumn="0"/>
            <w:tcW w:w="1440" w:type="dxa"/>
            <w:tcBorders>
              <w:top w:val="single" w:sz="4" w:space="0" w:color="000000"/>
            </w:tcBorders>
            <w:shd w:val="clear" w:color="auto" w:fill="auto"/>
          </w:tcPr>
          <w:p w14:paraId="43D34638"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0.524</w:t>
            </w:r>
          </w:p>
        </w:tc>
        <w:tc>
          <w:tcPr>
            <w:tcW w:w="1440" w:type="dxa"/>
            <w:tcBorders>
              <w:top w:val="single" w:sz="4" w:space="0" w:color="000000"/>
            </w:tcBorders>
            <w:shd w:val="clear" w:color="auto" w:fill="auto"/>
          </w:tcPr>
          <w:p w14:paraId="1B39B2C7"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0.163</w:t>
            </w:r>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000000"/>
            </w:tcBorders>
            <w:shd w:val="clear" w:color="auto" w:fill="auto"/>
          </w:tcPr>
          <w:p w14:paraId="0F8C4D5E" w14:textId="77777777" w:rsidR="00810699" w:rsidRPr="004D045E" w:rsidRDefault="00810699" w:rsidP="00A042C4">
            <w:pPr>
              <w:pBdr>
                <w:top w:val="nil"/>
                <w:left w:val="nil"/>
                <w:bottom w:val="nil"/>
                <w:right w:val="nil"/>
                <w:between w:val="nil"/>
              </w:pBdr>
              <w:rPr>
                <w:rFonts w:ascii="Arial" w:eastAsia="Times New Roman" w:hAnsi="Arial" w:cs="Arial"/>
                <w:color w:val="auto"/>
              </w:rPr>
            </w:pPr>
          </w:p>
        </w:tc>
        <w:tc>
          <w:tcPr>
            <w:tcW w:w="990" w:type="dxa"/>
            <w:tcBorders>
              <w:top w:val="single" w:sz="4" w:space="0" w:color="000000"/>
            </w:tcBorders>
            <w:shd w:val="clear" w:color="auto" w:fill="auto"/>
          </w:tcPr>
          <w:p w14:paraId="1480D728"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3.218</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000000"/>
            </w:tcBorders>
            <w:shd w:val="clear" w:color="auto" w:fill="auto"/>
          </w:tcPr>
          <w:p w14:paraId="2DCAE25D"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0.001</w:t>
            </w:r>
          </w:p>
        </w:tc>
      </w:tr>
      <w:tr w:rsidR="00810699" w:rsidRPr="004D045E" w14:paraId="62264225" w14:textId="77777777" w:rsidTr="00810699">
        <w:trPr>
          <w:trHeight w:val="395"/>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464BE048"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tcPr>
          <w:p w14:paraId="67E8166D" w14:textId="77777777" w:rsidR="00810699" w:rsidRPr="004D045E"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Board Size</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4DB13F7E"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0.159</w:t>
            </w:r>
          </w:p>
        </w:tc>
        <w:tc>
          <w:tcPr>
            <w:tcW w:w="1440" w:type="dxa"/>
          </w:tcPr>
          <w:p w14:paraId="23DDB432" w14:textId="77777777" w:rsidR="00810699" w:rsidRPr="004D045E"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0.035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0B569977"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0.180</w:t>
            </w:r>
          </w:p>
        </w:tc>
        <w:tc>
          <w:tcPr>
            <w:tcW w:w="990" w:type="dxa"/>
          </w:tcPr>
          <w:p w14:paraId="144A1FA8" w14:textId="77777777" w:rsidR="00810699" w:rsidRPr="004D045E"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4.507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AAD370F"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0.000</w:t>
            </w:r>
          </w:p>
        </w:tc>
      </w:tr>
      <w:tr w:rsidR="00810699" w:rsidRPr="004D045E" w14:paraId="146BFC98" w14:textId="77777777" w:rsidTr="00810699">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70C45D7B"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shd w:val="clear" w:color="auto" w:fill="auto"/>
          </w:tcPr>
          <w:p w14:paraId="384321EF"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Board Independence</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02799709"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0.349</w:t>
            </w:r>
          </w:p>
        </w:tc>
        <w:tc>
          <w:tcPr>
            <w:tcW w:w="1440" w:type="dxa"/>
            <w:shd w:val="clear" w:color="auto" w:fill="auto"/>
          </w:tcPr>
          <w:p w14:paraId="0DA3D325"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0.035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60E7DFA0"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0.413</w:t>
            </w:r>
          </w:p>
        </w:tc>
        <w:tc>
          <w:tcPr>
            <w:tcW w:w="990" w:type="dxa"/>
            <w:shd w:val="clear" w:color="auto" w:fill="auto"/>
          </w:tcPr>
          <w:p w14:paraId="3A7ADBE9"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9.957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6534ADF"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0.000</w:t>
            </w:r>
          </w:p>
        </w:tc>
      </w:tr>
      <w:tr w:rsidR="00810699" w:rsidRPr="004D045E" w14:paraId="24C45590" w14:textId="77777777" w:rsidTr="00810699">
        <w:trPr>
          <w:trHeight w:val="259"/>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0DC613CF"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tcPr>
          <w:p w14:paraId="02F2B5B5" w14:textId="77777777" w:rsidR="00810699" w:rsidRPr="004D045E"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Board Meetings</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34319B80"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0.377</w:t>
            </w:r>
          </w:p>
        </w:tc>
        <w:tc>
          <w:tcPr>
            <w:tcW w:w="1440" w:type="dxa"/>
          </w:tcPr>
          <w:p w14:paraId="6E274090" w14:textId="77777777" w:rsidR="00810699" w:rsidRPr="004D045E"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0.055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72E4B498"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0.397</w:t>
            </w:r>
          </w:p>
        </w:tc>
        <w:tc>
          <w:tcPr>
            <w:tcW w:w="990" w:type="dxa"/>
          </w:tcPr>
          <w:p w14:paraId="4AF114CB" w14:textId="77777777" w:rsidR="00810699" w:rsidRPr="004D045E"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6.888</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DB7870A"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0.000</w:t>
            </w:r>
          </w:p>
        </w:tc>
      </w:tr>
      <w:tr w:rsidR="00810699" w:rsidRPr="004D045E" w14:paraId="672E6AC1" w14:textId="77777777" w:rsidTr="00810699">
        <w:trPr>
          <w:cnfStyle w:val="000000100000" w:firstRow="0" w:lastRow="0" w:firstColumn="0" w:lastColumn="0" w:oddVBand="0" w:evenVBand="0" w:oddHBand="1" w:evenHBand="0" w:firstRowFirstColumn="0" w:firstRowLastColumn="0" w:lastRowFirstColumn="0" w:lastRowLastColumn="0"/>
          <w:trHeight w:val="322"/>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1B13415E"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shd w:val="clear" w:color="auto" w:fill="auto"/>
          </w:tcPr>
          <w:p w14:paraId="4CBF74A3"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CEO Duality</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67EA619C"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0.285</w:t>
            </w:r>
          </w:p>
        </w:tc>
        <w:tc>
          <w:tcPr>
            <w:tcW w:w="1440" w:type="dxa"/>
            <w:shd w:val="clear" w:color="auto" w:fill="auto"/>
          </w:tcPr>
          <w:p w14:paraId="25AF9A0E"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0.051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5CB5D2A4"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0.294</w:t>
            </w:r>
          </w:p>
        </w:tc>
        <w:tc>
          <w:tcPr>
            <w:tcW w:w="990" w:type="dxa"/>
            <w:shd w:val="clear" w:color="auto" w:fill="auto"/>
          </w:tcPr>
          <w:p w14:paraId="465EC953"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5.647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D5E56A2"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0.000</w:t>
            </w:r>
          </w:p>
        </w:tc>
      </w:tr>
      <w:tr w:rsidR="00810699" w:rsidRPr="004D045E" w14:paraId="0D559916" w14:textId="77777777" w:rsidTr="00810699">
        <w:trPr>
          <w:trHeight w:val="383"/>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7AC24926"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tcPr>
          <w:p w14:paraId="0A7D2B3F" w14:textId="77777777" w:rsidR="00810699" w:rsidRPr="004D045E"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Firm Size</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7EF0CDB3"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0.279</w:t>
            </w:r>
          </w:p>
        </w:tc>
        <w:tc>
          <w:tcPr>
            <w:tcW w:w="1440" w:type="dxa"/>
          </w:tcPr>
          <w:p w14:paraId="7710469B" w14:textId="77777777" w:rsidR="00810699" w:rsidRPr="004D045E"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0.052</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4671AECE"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0.276</w:t>
            </w:r>
          </w:p>
        </w:tc>
        <w:tc>
          <w:tcPr>
            <w:tcW w:w="990" w:type="dxa"/>
          </w:tcPr>
          <w:p w14:paraId="124BF07A" w14:textId="77777777" w:rsidR="00810699" w:rsidRPr="004D045E"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5.341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0655316B"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0.000</w:t>
            </w:r>
          </w:p>
        </w:tc>
      </w:tr>
      <w:tr w:rsidR="00810699" w:rsidRPr="004D045E" w14:paraId="1F18AD18" w14:textId="77777777" w:rsidTr="00810699">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27DE91D9"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tcBorders>
              <w:bottom w:val="single" w:sz="4" w:space="0" w:color="000000"/>
            </w:tcBorders>
            <w:shd w:val="clear" w:color="auto" w:fill="auto"/>
          </w:tcPr>
          <w:p w14:paraId="208DF5CB"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 xml:space="preserve">Industry Regulation </w:t>
            </w:r>
          </w:p>
        </w:tc>
        <w:tc>
          <w:tcPr>
            <w:cnfStyle w:val="000010000000" w:firstRow="0" w:lastRow="0" w:firstColumn="0" w:lastColumn="0" w:oddVBand="1" w:evenVBand="0" w:oddHBand="0" w:evenHBand="0" w:firstRowFirstColumn="0" w:firstRowLastColumn="0" w:lastRowFirstColumn="0" w:lastRowLastColumn="0"/>
            <w:tcW w:w="1440" w:type="dxa"/>
            <w:tcBorders>
              <w:bottom w:val="single" w:sz="4" w:space="0" w:color="000000"/>
            </w:tcBorders>
            <w:shd w:val="clear" w:color="auto" w:fill="auto"/>
          </w:tcPr>
          <w:p w14:paraId="011B3CEC"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0.223</w:t>
            </w:r>
          </w:p>
        </w:tc>
        <w:tc>
          <w:tcPr>
            <w:tcW w:w="1440" w:type="dxa"/>
            <w:tcBorders>
              <w:bottom w:val="single" w:sz="4" w:space="0" w:color="000000"/>
            </w:tcBorders>
            <w:shd w:val="clear" w:color="auto" w:fill="auto"/>
          </w:tcPr>
          <w:p w14:paraId="0CFCEADA"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0.058</w:t>
            </w:r>
          </w:p>
        </w:tc>
        <w:tc>
          <w:tcPr>
            <w:cnfStyle w:val="000010000000" w:firstRow="0" w:lastRow="0" w:firstColumn="0" w:lastColumn="0" w:oddVBand="1" w:evenVBand="0" w:oddHBand="0" w:evenHBand="0" w:firstRowFirstColumn="0" w:firstRowLastColumn="0" w:lastRowFirstColumn="0" w:lastRowLastColumn="0"/>
            <w:tcW w:w="1530" w:type="dxa"/>
            <w:tcBorders>
              <w:bottom w:val="single" w:sz="4" w:space="0" w:color="000000"/>
            </w:tcBorders>
            <w:shd w:val="clear" w:color="auto" w:fill="auto"/>
          </w:tcPr>
          <w:p w14:paraId="5DCA5AC0"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0.232</w:t>
            </w:r>
          </w:p>
        </w:tc>
        <w:tc>
          <w:tcPr>
            <w:tcW w:w="990" w:type="dxa"/>
            <w:tcBorders>
              <w:bottom w:val="single" w:sz="4" w:space="0" w:color="000000"/>
            </w:tcBorders>
            <w:shd w:val="clear" w:color="auto" w:fill="auto"/>
          </w:tcPr>
          <w:p w14:paraId="37086DE0" w14:textId="77777777" w:rsidR="00810699" w:rsidRPr="004D045E"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3.858</w:t>
            </w:r>
          </w:p>
        </w:tc>
        <w:tc>
          <w:tcPr>
            <w:cnfStyle w:val="000010000000" w:firstRow="0" w:lastRow="0" w:firstColumn="0" w:lastColumn="0" w:oddVBand="1" w:evenVBand="0" w:oddHBand="0" w:evenHBand="0" w:firstRowFirstColumn="0" w:firstRowLastColumn="0" w:lastRowFirstColumn="0" w:lastRowLastColumn="0"/>
            <w:tcW w:w="810" w:type="dxa"/>
            <w:tcBorders>
              <w:bottom w:val="single" w:sz="4" w:space="0" w:color="000000"/>
            </w:tcBorders>
            <w:shd w:val="clear" w:color="auto" w:fill="auto"/>
          </w:tcPr>
          <w:p w14:paraId="596BFEBE" w14:textId="77777777" w:rsidR="00810699" w:rsidRPr="004D045E" w:rsidRDefault="00701FD7" w:rsidP="00A042C4">
            <w:pPr>
              <w:rPr>
                <w:rFonts w:ascii="Arial" w:eastAsia="Times New Roman" w:hAnsi="Arial" w:cs="Arial"/>
                <w:color w:val="auto"/>
              </w:rPr>
            </w:pPr>
            <w:r w:rsidRPr="004D045E">
              <w:rPr>
                <w:rFonts w:ascii="Arial" w:eastAsia="Times New Roman" w:hAnsi="Arial" w:cs="Arial"/>
                <w:color w:val="auto"/>
              </w:rPr>
              <w:t>0.000</w:t>
            </w:r>
          </w:p>
        </w:tc>
      </w:tr>
      <w:tr w:rsidR="00B40A16" w:rsidRPr="004D045E" w14:paraId="152669E0" w14:textId="77777777" w:rsidTr="00C47F80">
        <w:trPr>
          <w:trHeight w:val="383"/>
        </w:trPr>
        <w:tc>
          <w:tcPr>
            <w:cnfStyle w:val="000010000000" w:firstRow="0" w:lastRow="0" w:firstColumn="0" w:lastColumn="0" w:oddVBand="1" w:evenVBand="0" w:oddHBand="0" w:evenHBand="0" w:firstRowFirstColumn="0" w:firstRowLastColumn="0" w:lastRowFirstColumn="0" w:lastRowLastColumn="0"/>
            <w:tcW w:w="9270" w:type="dxa"/>
            <w:gridSpan w:val="7"/>
            <w:shd w:val="clear" w:color="auto" w:fill="auto"/>
          </w:tcPr>
          <w:p w14:paraId="10B5450B" w14:textId="77777777" w:rsidR="00810699" w:rsidRPr="004D045E" w:rsidRDefault="00701FD7" w:rsidP="00A042C4">
            <w:pPr>
              <w:pBdr>
                <w:top w:val="nil"/>
                <w:left w:val="nil"/>
                <w:bottom w:val="nil"/>
                <w:right w:val="nil"/>
                <w:between w:val="nil"/>
              </w:pBdr>
              <w:rPr>
                <w:rFonts w:ascii="Arial" w:eastAsia="Times New Roman" w:hAnsi="Arial" w:cs="Arial"/>
                <w:color w:val="auto"/>
              </w:rPr>
            </w:pPr>
            <w:r w:rsidRPr="004D045E">
              <w:rPr>
                <w:rFonts w:ascii="Arial" w:eastAsia="Times New Roman" w:hAnsi="Arial" w:cs="Arial"/>
                <w:color w:val="auto"/>
              </w:rPr>
              <w:t>a. Dependent Variable: Financial Risk Management</w:t>
            </w:r>
          </w:p>
        </w:tc>
      </w:tr>
    </w:tbl>
    <w:p w14:paraId="7DB876A9" w14:textId="77777777" w:rsidR="00810699" w:rsidRPr="004D045E" w:rsidRDefault="00810699" w:rsidP="00A042C4">
      <w:pPr>
        <w:spacing w:line="240" w:lineRule="auto"/>
        <w:rPr>
          <w:rFonts w:ascii="Arial" w:eastAsia="Times New Roman" w:hAnsi="Arial" w:cs="Arial"/>
        </w:rPr>
      </w:pPr>
    </w:p>
    <w:p w14:paraId="28AD2BC1" w14:textId="77777777" w:rsidR="00810699" w:rsidRPr="004D045E" w:rsidRDefault="00810699" w:rsidP="00A042C4">
      <w:pPr>
        <w:spacing w:line="240" w:lineRule="auto"/>
        <w:rPr>
          <w:rFonts w:ascii="Arial" w:eastAsia="Times New Roman" w:hAnsi="Arial" w:cs="Arial"/>
        </w:rPr>
      </w:pPr>
    </w:p>
    <w:p w14:paraId="1674566B" w14:textId="77777777" w:rsidR="00810699" w:rsidRPr="004D045E" w:rsidRDefault="00701FD7" w:rsidP="00A042C4">
      <w:pPr>
        <w:pStyle w:val="Heading3"/>
        <w:spacing w:line="240" w:lineRule="auto"/>
        <w:rPr>
          <w:rFonts w:ascii="Arial" w:hAnsi="Arial" w:cs="Arial"/>
          <w:color w:val="auto"/>
          <w:sz w:val="22"/>
          <w:szCs w:val="22"/>
        </w:rPr>
      </w:pPr>
      <w:bookmarkStart w:id="42" w:name="_46r0co2" w:colFirst="0" w:colLast="0"/>
      <w:bookmarkEnd w:id="42"/>
      <w:r w:rsidRPr="004D045E">
        <w:rPr>
          <w:rFonts w:ascii="Arial" w:hAnsi="Arial" w:cs="Arial"/>
          <w:color w:val="auto"/>
          <w:sz w:val="22"/>
          <w:szCs w:val="22"/>
        </w:rPr>
        <w:t>4.6 Difference between Corporate Governance Practices in the Public and Private Sector Schemes</w:t>
      </w:r>
    </w:p>
    <w:p w14:paraId="08240F68" w14:textId="43F09882"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The independent sample t-test was employed to determine the difference between corporate governance practices in the public and private employer-sponsored pension schemes in Ghana. </w:t>
      </w:r>
    </w:p>
    <w:p w14:paraId="7E76FC19" w14:textId="7D2859D3" w:rsidR="0064704E" w:rsidRPr="004D045E" w:rsidRDefault="0064704E" w:rsidP="00A042C4">
      <w:pPr>
        <w:pBdr>
          <w:top w:val="nil"/>
          <w:left w:val="nil"/>
          <w:bottom w:val="nil"/>
          <w:right w:val="nil"/>
          <w:between w:val="nil"/>
        </w:pBdr>
        <w:spacing w:after="200" w:line="240" w:lineRule="auto"/>
        <w:jc w:val="both"/>
        <w:rPr>
          <w:rFonts w:ascii="Arial" w:eastAsia="Times New Roman" w:hAnsi="Arial" w:cs="Arial"/>
        </w:rPr>
      </w:pPr>
      <w:bookmarkStart w:id="43" w:name="_34g0dwd" w:colFirst="0" w:colLast="0"/>
      <w:bookmarkEnd w:id="43"/>
      <w:r w:rsidRPr="004D045E">
        <w:rPr>
          <w:rFonts w:ascii="Arial" w:eastAsia="Times New Roman" w:hAnsi="Arial" w:cs="Arial"/>
        </w:rPr>
        <w:t xml:space="preserve">Table </w:t>
      </w:r>
      <w:r w:rsidR="00E461A4">
        <w:rPr>
          <w:rFonts w:ascii="Arial" w:eastAsia="Times New Roman" w:hAnsi="Arial" w:cs="Arial"/>
        </w:rPr>
        <w:t>6</w:t>
      </w:r>
      <w:r w:rsidRPr="004D045E">
        <w:rPr>
          <w:rFonts w:ascii="Arial" w:eastAsia="Times New Roman" w:hAnsi="Arial" w:cs="Arial"/>
        </w:rPr>
        <w:t xml:space="preserve"> shows that private sector corporate governance has a mean score of 1.3333, a standard deviation of 0.51640, and a standard error of 0.21082. This implies that private employer-sponsored has weaker corporate governance, with modest score fluctuation. </w:t>
      </w:r>
      <w:r w:rsidRPr="004D045E">
        <w:rPr>
          <w:rFonts w:ascii="Arial" w:eastAsia="Times New Roman" w:hAnsi="Arial" w:cs="Arial"/>
        </w:rPr>
        <w:br/>
        <w:t xml:space="preserve">Table </w:t>
      </w:r>
      <w:r w:rsidR="00E461A4">
        <w:rPr>
          <w:rFonts w:ascii="Arial" w:eastAsia="Times New Roman" w:hAnsi="Arial" w:cs="Arial"/>
        </w:rPr>
        <w:t>6</w:t>
      </w:r>
      <w:r w:rsidRPr="004D045E">
        <w:rPr>
          <w:rFonts w:ascii="Arial" w:eastAsia="Times New Roman" w:hAnsi="Arial" w:cs="Arial"/>
        </w:rPr>
        <w:t xml:space="preserve"> shows that public sector corporate governance has a mean score of 1.4333, a standard deviation of 0.70711, and a standard error of 0.23570. The public employer-sponsored has a greater corporate governance structure and more score variation than the private sector. Mean corporate governance scores in private and public employer-sponsored pension systems differ significantly, with the public sector scoring better. This affects corporate governance practices in private employer-sponsored pension systems and calls for more research and regulation. </w:t>
      </w:r>
    </w:p>
    <w:p w14:paraId="5599E70B" w14:textId="0C292DB1" w:rsidR="00810699" w:rsidRPr="004D045E" w:rsidRDefault="00701FD7" w:rsidP="00A042C4">
      <w:pPr>
        <w:pBdr>
          <w:top w:val="nil"/>
          <w:left w:val="nil"/>
          <w:bottom w:val="nil"/>
          <w:right w:val="nil"/>
          <w:between w:val="nil"/>
        </w:pBdr>
        <w:spacing w:after="200" w:line="240" w:lineRule="auto"/>
        <w:rPr>
          <w:rFonts w:ascii="Arial" w:eastAsia="Times New Roman" w:hAnsi="Arial" w:cs="Arial"/>
          <w:b/>
        </w:rPr>
      </w:pPr>
      <w:r w:rsidRPr="004D045E">
        <w:rPr>
          <w:rFonts w:ascii="Arial" w:eastAsia="Times New Roman" w:hAnsi="Arial" w:cs="Arial"/>
          <w:b/>
        </w:rPr>
        <w:t xml:space="preserve">Table </w:t>
      </w:r>
      <w:r w:rsidR="00E461A4">
        <w:rPr>
          <w:rFonts w:ascii="Arial" w:eastAsia="Times New Roman" w:hAnsi="Arial" w:cs="Arial"/>
          <w:b/>
        </w:rPr>
        <w:t>6</w:t>
      </w:r>
      <w:r w:rsidRPr="004D045E">
        <w:rPr>
          <w:rFonts w:ascii="Arial" w:eastAsia="Times New Roman" w:hAnsi="Arial" w:cs="Arial"/>
          <w:b/>
        </w:rPr>
        <w:t xml:space="preserve"> - Group Statistics</w:t>
      </w:r>
    </w:p>
    <w:tbl>
      <w:tblPr>
        <w:tblStyle w:val="a5"/>
        <w:tblW w:w="9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1621"/>
        <w:gridCol w:w="898"/>
        <w:gridCol w:w="1425"/>
        <w:gridCol w:w="2002"/>
        <w:gridCol w:w="2049"/>
      </w:tblGrid>
      <w:tr w:rsidR="00B40A16" w:rsidRPr="004D045E" w14:paraId="6A5A0FC0" w14:textId="77777777" w:rsidTr="0064704E">
        <w:trPr>
          <w:cnfStyle w:val="000000100000" w:firstRow="0" w:lastRow="0" w:firstColumn="0" w:lastColumn="0" w:oddVBand="0" w:evenVBand="0" w:oddHBand="1" w:evenHBand="0" w:firstRowFirstColumn="0" w:firstRowLastColumn="0" w:lastRowFirstColumn="0" w:lastRowLastColumn="0"/>
          <w:trHeight w:val="1365"/>
        </w:trPr>
        <w:tc>
          <w:tcPr>
            <w:cnfStyle w:val="000010000000" w:firstRow="0" w:lastRow="0" w:firstColumn="0" w:lastColumn="0" w:oddVBand="1" w:evenVBand="0" w:oddHBand="0" w:evenHBand="0" w:firstRowFirstColumn="0" w:firstRowLastColumn="0" w:lastRowFirstColumn="0" w:lastRowLastColumn="0"/>
            <w:tcW w:w="1525" w:type="dxa"/>
            <w:tcBorders>
              <w:bottom w:val="single" w:sz="4" w:space="0" w:color="000000"/>
            </w:tcBorders>
            <w:shd w:val="clear" w:color="auto" w:fill="auto"/>
          </w:tcPr>
          <w:p w14:paraId="0C41861D" w14:textId="77777777" w:rsidR="00810699" w:rsidRPr="004D045E" w:rsidRDefault="00810699" w:rsidP="00A042C4">
            <w:pPr>
              <w:rPr>
                <w:rFonts w:ascii="Arial" w:eastAsia="Times New Roman" w:hAnsi="Arial" w:cs="Arial"/>
                <w:b/>
                <w:color w:val="auto"/>
              </w:rPr>
            </w:pPr>
          </w:p>
        </w:tc>
        <w:tc>
          <w:tcPr>
            <w:tcW w:w="1621" w:type="dxa"/>
            <w:tcBorders>
              <w:bottom w:val="single" w:sz="4" w:space="0" w:color="000000"/>
            </w:tcBorders>
            <w:shd w:val="clear" w:color="auto" w:fill="auto"/>
          </w:tcPr>
          <w:p w14:paraId="48C2B657"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4D045E">
              <w:rPr>
                <w:rFonts w:ascii="Arial" w:eastAsia="Times New Roman" w:hAnsi="Arial" w:cs="Arial"/>
                <w:b/>
                <w:color w:val="auto"/>
              </w:rPr>
              <w:t>Corporate Governance in the Private Sector</w:t>
            </w:r>
          </w:p>
        </w:tc>
        <w:tc>
          <w:tcPr>
            <w:cnfStyle w:val="000010000000" w:firstRow="0" w:lastRow="0" w:firstColumn="0" w:lastColumn="0" w:oddVBand="1" w:evenVBand="0" w:oddHBand="0" w:evenHBand="0" w:firstRowFirstColumn="0" w:firstRowLastColumn="0" w:lastRowFirstColumn="0" w:lastRowLastColumn="0"/>
            <w:tcW w:w="898" w:type="dxa"/>
            <w:tcBorders>
              <w:bottom w:val="single" w:sz="4" w:space="0" w:color="000000"/>
            </w:tcBorders>
            <w:shd w:val="clear" w:color="auto" w:fill="auto"/>
          </w:tcPr>
          <w:p w14:paraId="70D9FD19" w14:textId="77777777" w:rsidR="00810699" w:rsidRPr="004D045E" w:rsidRDefault="00701FD7" w:rsidP="00A042C4">
            <w:pPr>
              <w:ind w:left="60" w:right="60"/>
              <w:jc w:val="center"/>
              <w:rPr>
                <w:rFonts w:ascii="Arial" w:eastAsia="Times New Roman" w:hAnsi="Arial" w:cs="Arial"/>
                <w:b/>
                <w:color w:val="auto"/>
              </w:rPr>
            </w:pPr>
            <w:r w:rsidRPr="004D045E">
              <w:rPr>
                <w:rFonts w:ascii="Arial" w:eastAsia="Times New Roman" w:hAnsi="Arial" w:cs="Arial"/>
                <w:b/>
                <w:color w:val="auto"/>
              </w:rPr>
              <w:t>N</w:t>
            </w:r>
          </w:p>
          <w:p w14:paraId="75CF8B95" w14:textId="77777777" w:rsidR="00810699" w:rsidRPr="004D045E" w:rsidRDefault="00810699" w:rsidP="00A042C4">
            <w:pPr>
              <w:ind w:left="60" w:right="60"/>
              <w:jc w:val="center"/>
              <w:rPr>
                <w:rFonts w:ascii="Arial" w:eastAsia="Times New Roman" w:hAnsi="Arial" w:cs="Arial"/>
                <w:b/>
                <w:color w:val="auto"/>
              </w:rPr>
            </w:pPr>
          </w:p>
        </w:tc>
        <w:tc>
          <w:tcPr>
            <w:tcW w:w="1425" w:type="dxa"/>
            <w:tcBorders>
              <w:bottom w:val="single" w:sz="4" w:space="0" w:color="000000"/>
            </w:tcBorders>
            <w:shd w:val="clear" w:color="auto" w:fill="auto"/>
          </w:tcPr>
          <w:p w14:paraId="362ADBB9"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4D045E">
              <w:rPr>
                <w:rFonts w:ascii="Arial" w:eastAsia="Times New Roman" w:hAnsi="Arial" w:cs="Arial"/>
                <w:b/>
                <w:color w:val="auto"/>
              </w:rPr>
              <w:t>Mean</w:t>
            </w:r>
          </w:p>
          <w:p w14:paraId="253C2725" w14:textId="77777777" w:rsidR="00810699" w:rsidRPr="004D045E" w:rsidRDefault="00810699"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p>
        </w:tc>
        <w:tc>
          <w:tcPr>
            <w:cnfStyle w:val="000010000000" w:firstRow="0" w:lastRow="0" w:firstColumn="0" w:lastColumn="0" w:oddVBand="1" w:evenVBand="0" w:oddHBand="0" w:evenHBand="0" w:firstRowFirstColumn="0" w:firstRowLastColumn="0" w:lastRowFirstColumn="0" w:lastRowLastColumn="0"/>
            <w:tcW w:w="2002" w:type="dxa"/>
            <w:tcBorders>
              <w:bottom w:val="single" w:sz="4" w:space="0" w:color="000000"/>
            </w:tcBorders>
            <w:shd w:val="clear" w:color="auto" w:fill="auto"/>
          </w:tcPr>
          <w:p w14:paraId="0FB66F3E" w14:textId="77777777" w:rsidR="00810699" w:rsidRPr="004D045E" w:rsidRDefault="00701FD7" w:rsidP="00A042C4">
            <w:pPr>
              <w:ind w:left="60" w:right="60"/>
              <w:jc w:val="center"/>
              <w:rPr>
                <w:rFonts w:ascii="Arial" w:eastAsia="Times New Roman" w:hAnsi="Arial" w:cs="Arial"/>
                <w:b/>
                <w:color w:val="auto"/>
              </w:rPr>
            </w:pPr>
            <w:r w:rsidRPr="004D045E">
              <w:rPr>
                <w:rFonts w:ascii="Arial" w:eastAsia="Times New Roman" w:hAnsi="Arial" w:cs="Arial"/>
                <w:b/>
                <w:color w:val="auto"/>
              </w:rPr>
              <w:t>Std. Deviation</w:t>
            </w:r>
          </w:p>
          <w:p w14:paraId="64D644DC" w14:textId="77777777" w:rsidR="00810699" w:rsidRPr="004D045E" w:rsidRDefault="00810699" w:rsidP="00A042C4">
            <w:pPr>
              <w:ind w:left="60" w:right="60"/>
              <w:jc w:val="center"/>
              <w:rPr>
                <w:rFonts w:ascii="Arial" w:eastAsia="Times New Roman" w:hAnsi="Arial" w:cs="Arial"/>
                <w:b/>
                <w:color w:val="auto"/>
              </w:rPr>
            </w:pPr>
          </w:p>
        </w:tc>
        <w:tc>
          <w:tcPr>
            <w:tcW w:w="2049" w:type="dxa"/>
            <w:tcBorders>
              <w:bottom w:val="single" w:sz="4" w:space="0" w:color="000000"/>
            </w:tcBorders>
            <w:shd w:val="clear" w:color="auto" w:fill="auto"/>
          </w:tcPr>
          <w:p w14:paraId="0B1C93A0"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4D045E">
              <w:rPr>
                <w:rFonts w:ascii="Arial" w:eastAsia="Times New Roman" w:hAnsi="Arial" w:cs="Arial"/>
                <w:b/>
                <w:color w:val="auto"/>
              </w:rPr>
              <w:t>Std. Error Mean</w:t>
            </w:r>
          </w:p>
          <w:p w14:paraId="62582396" w14:textId="77777777" w:rsidR="00810699" w:rsidRPr="004D045E" w:rsidRDefault="00810699"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p>
        </w:tc>
      </w:tr>
      <w:tr w:rsidR="00B40A16" w:rsidRPr="004D045E" w14:paraId="70EF30D7" w14:textId="77777777" w:rsidTr="0064704E">
        <w:trPr>
          <w:trHeight w:val="367"/>
        </w:trPr>
        <w:tc>
          <w:tcPr>
            <w:cnfStyle w:val="000010000000" w:firstRow="0" w:lastRow="0" w:firstColumn="0" w:lastColumn="0" w:oddVBand="1" w:evenVBand="0" w:oddHBand="0" w:evenHBand="0" w:firstRowFirstColumn="0" w:firstRowLastColumn="0" w:lastRowFirstColumn="0" w:lastRowLastColumn="0"/>
            <w:tcW w:w="1525" w:type="dxa"/>
            <w:vMerge w:val="restart"/>
            <w:tcBorders>
              <w:top w:val="single" w:sz="4" w:space="0" w:color="000000"/>
            </w:tcBorders>
            <w:shd w:val="clear" w:color="auto" w:fill="auto"/>
          </w:tcPr>
          <w:p w14:paraId="1C1B25EC" w14:textId="77777777" w:rsidR="00810699" w:rsidRPr="004D045E" w:rsidRDefault="00701FD7" w:rsidP="00A042C4">
            <w:pPr>
              <w:ind w:left="60" w:right="60"/>
              <w:rPr>
                <w:rFonts w:ascii="Arial" w:eastAsia="Times New Roman" w:hAnsi="Arial" w:cs="Arial"/>
                <w:color w:val="auto"/>
              </w:rPr>
            </w:pPr>
            <w:r w:rsidRPr="004D045E">
              <w:rPr>
                <w:rFonts w:ascii="Arial" w:eastAsia="Times New Roman" w:hAnsi="Arial" w:cs="Arial"/>
                <w:color w:val="auto"/>
              </w:rPr>
              <w:t>Corporate Governance in the Public Sector</w:t>
            </w:r>
          </w:p>
        </w:tc>
        <w:tc>
          <w:tcPr>
            <w:tcW w:w="1621" w:type="dxa"/>
            <w:tcBorders>
              <w:top w:val="single" w:sz="4" w:space="0" w:color="000000"/>
            </w:tcBorders>
          </w:tcPr>
          <w:p w14:paraId="588A9B29" w14:textId="77777777" w:rsidR="00810699" w:rsidRPr="004D045E"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1.00</w:t>
            </w:r>
          </w:p>
        </w:tc>
        <w:tc>
          <w:tcPr>
            <w:cnfStyle w:val="000010000000" w:firstRow="0" w:lastRow="0" w:firstColumn="0" w:lastColumn="0" w:oddVBand="1" w:evenVBand="0" w:oddHBand="0" w:evenHBand="0" w:firstRowFirstColumn="0" w:firstRowLastColumn="0" w:lastRowFirstColumn="0" w:lastRowLastColumn="0"/>
            <w:tcW w:w="898" w:type="dxa"/>
            <w:tcBorders>
              <w:top w:val="single" w:sz="4" w:space="0" w:color="000000"/>
            </w:tcBorders>
            <w:shd w:val="clear" w:color="auto" w:fill="auto"/>
          </w:tcPr>
          <w:p w14:paraId="586F5839"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72</w:t>
            </w:r>
          </w:p>
        </w:tc>
        <w:tc>
          <w:tcPr>
            <w:tcW w:w="1425" w:type="dxa"/>
            <w:tcBorders>
              <w:top w:val="single" w:sz="4" w:space="0" w:color="000000"/>
            </w:tcBorders>
          </w:tcPr>
          <w:p w14:paraId="429864DD" w14:textId="77777777" w:rsidR="00810699" w:rsidRPr="004D045E"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1.3333</w:t>
            </w:r>
          </w:p>
        </w:tc>
        <w:tc>
          <w:tcPr>
            <w:cnfStyle w:val="000010000000" w:firstRow="0" w:lastRow="0" w:firstColumn="0" w:lastColumn="0" w:oddVBand="1" w:evenVBand="0" w:oddHBand="0" w:evenHBand="0" w:firstRowFirstColumn="0" w:firstRowLastColumn="0" w:lastRowFirstColumn="0" w:lastRowLastColumn="0"/>
            <w:tcW w:w="2002" w:type="dxa"/>
            <w:tcBorders>
              <w:top w:val="single" w:sz="4" w:space="0" w:color="000000"/>
            </w:tcBorders>
            <w:shd w:val="clear" w:color="auto" w:fill="auto"/>
          </w:tcPr>
          <w:p w14:paraId="6B624A2C"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0.51640</w:t>
            </w:r>
          </w:p>
        </w:tc>
        <w:tc>
          <w:tcPr>
            <w:tcW w:w="2049" w:type="dxa"/>
            <w:tcBorders>
              <w:top w:val="single" w:sz="4" w:space="0" w:color="000000"/>
            </w:tcBorders>
          </w:tcPr>
          <w:p w14:paraId="34C47CA9" w14:textId="77777777" w:rsidR="00810699" w:rsidRPr="004D045E"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0.21082</w:t>
            </w:r>
          </w:p>
        </w:tc>
      </w:tr>
      <w:tr w:rsidR="00B40A16" w:rsidRPr="004D045E" w14:paraId="41A425D5" w14:textId="77777777" w:rsidTr="0064704E">
        <w:trPr>
          <w:cnfStyle w:val="000000100000" w:firstRow="0" w:lastRow="0" w:firstColumn="0" w:lastColumn="0" w:oddVBand="0" w:evenVBand="0" w:oddHBand="1" w:evenHBand="0" w:firstRowFirstColumn="0" w:firstRowLastColumn="0" w:lastRowFirstColumn="0" w:lastRowLastColumn="0"/>
          <w:trHeight w:val="998"/>
        </w:trPr>
        <w:tc>
          <w:tcPr>
            <w:cnfStyle w:val="000010000000" w:firstRow="0" w:lastRow="0" w:firstColumn="0" w:lastColumn="0" w:oddVBand="1" w:evenVBand="0" w:oddHBand="0" w:evenHBand="0" w:firstRowFirstColumn="0" w:firstRowLastColumn="0" w:lastRowFirstColumn="0" w:lastRowLastColumn="0"/>
            <w:tcW w:w="1525" w:type="dxa"/>
            <w:vMerge/>
            <w:tcBorders>
              <w:top w:val="single" w:sz="4" w:space="0" w:color="000000"/>
            </w:tcBorders>
            <w:shd w:val="clear" w:color="auto" w:fill="auto"/>
          </w:tcPr>
          <w:p w14:paraId="233192F5" w14:textId="77777777" w:rsidR="00810699" w:rsidRPr="004D045E" w:rsidRDefault="00810699" w:rsidP="00A042C4">
            <w:pPr>
              <w:widowControl w:val="0"/>
              <w:pBdr>
                <w:top w:val="nil"/>
                <w:left w:val="nil"/>
                <w:bottom w:val="nil"/>
                <w:right w:val="nil"/>
                <w:between w:val="nil"/>
              </w:pBdr>
              <w:rPr>
                <w:rFonts w:ascii="Arial" w:eastAsia="Times New Roman" w:hAnsi="Arial" w:cs="Arial"/>
                <w:color w:val="auto"/>
              </w:rPr>
            </w:pPr>
          </w:p>
        </w:tc>
        <w:tc>
          <w:tcPr>
            <w:tcW w:w="1621" w:type="dxa"/>
            <w:shd w:val="clear" w:color="auto" w:fill="auto"/>
          </w:tcPr>
          <w:p w14:paraId="3FDF753B"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2.00</w:t>
            </w:r>
          </w:p>
        </w:tc>
        <w:tc>
          <w:tcPr>
            <w:cnfStyle w:val="000010000000" w:firstRow="0" w:lastRow="0" w:firstColumn="0" w:lastColumn="0" w:oddVBand="1" w:evenVBand="0" w:oddHBand="0" w:evenHBand="0" w:firstRowFirstColumn="0" w:firstRowLastColumn="0" w:lastRowFirstColumn="0" w:lastRowLastColumn="0"/>
            <w:tcW w:w="898" w:type="dxa"/>
            <w:shd w:val="clear" w:color="auto" w:fill="auto"/>
          </w:tcPr>
          <w:p w14:paraId="7AA1230F"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73</w:t>
            </w:r>
          </w:p>
        </w:tc>
        <w:tc>
          <w:tcPr>
            <w:tcW w:w="1425" w:type="dxa"/>
            <w:shd w:val="clear" w:color="auto" w:fill="auto"/>
          </w:tcPr>
          <w:p w14:paraId="12CAF35C"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1.4333</w:t>
            </w:r>
          </w:p>
        </w:tc>
        <w:tc>
          <w:tcPr>
            <w:cnfStyle w:val="000010000000" w:firstRow="0" w:lastRow="0" w:firstColumn="0" w:lastColumn="0" w:oddVBand="1" w:evenVBand="0" w:oddHBand="0" w:evenHBand="0" w:firstRowFirstColumn="0" w:firstRowLastColumn="0" w:lastRowFirstColumn="0" w:lastRowLastColumn="0"/>
            <w:tcW w:w="2002" w:type="dxa"/>
            <w:shd w:val="clear" w:color="auto" w:fill="auto"/>
          </w:tcPr>
          <w:p w14:paraId="0EE6BC1C" w14:textId="77777777" w:rsidR="00810699" w:rsidRPr="004D045E" w:rsidRDefault="00701FD7" w:rsidP="00A042C4">
            <w:pPr>
              <w:ind w:left="60" w:right="60"/>
              <w:jc w:val="center"/>
              <w:rPr>
                <w:rFonts w:ascii="Arial" w:eastAsia="Times New Roman" w:hAnsi="Arial" w:cs="Arial"/>
                <w:color w:val="auto"/>
              </w:rPr>
            </w:pPr>
            <w:r w:rsidRPr="004D045E">
              <w:rPr>
                <w:rFonts w:ascii="Arial" w:eastAsia="Times New Roman" w:hAnsi="Arial" w:cs="Arial"/>
                <w:color w:val="auto"/>
              </w:rPr>
              <w:t>0.70711</w:t>
            </w:r>
          </w:p>
        </w:tc>
        <w:tc>
          <w:tcPr>
            <w:tcW w:w="2049" w:type="dxa"/>
            <w:shd w:val="clear" w:color="auto" w:fill="auto"/>
          </w:tcPr>
          <w:p w14:paraId="44CB2DAD" w14:textId="77777777" w:rsidR="00810699" w:rsidRPr="004D045E"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4D045E">
              <w:rPr>
                <w:rFonts w:ascii="Arial" w:eastAsia="Times New Roman" w:hAnsi="Arial" w:cs="Arial"/>
                <w:color w:val="auto"/>
              </w:rPr>
              <w:t>0.23570</w:t>
            </w:r>
          </w:p>
        </w:tc>
      </w:tr>
    </w:tbl>
    <w:p w14:paraId="514C2A01" w14:textId="6D0FF1E5"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Source: Field Survey, 202</w:t>
      </w:r>
      <w:r w:rsidR="000E3763" w:rsidRPr="004D045E">
        <w:rPr>
          <w:rFonts w:ascii="Arial" w:eastAsia="Times New Roman" w:hAnsi="Arial" w:cs="Arial"/>
        </w:rPr>
        <w:t>5</w:t>
      </w:r>
    </w:p>
    <w:p w14:paraId="43A50AAA" w14:textId="76F42D44"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independent samples test results indicate that there is a significant difference in the means of corporate governance between the public and private employer-sponsored pension schemes. The t-test statistic (-2.962) is significant at the 0.011 level, which is less than the typical significance level of 0.05. This suggests that the difference in means is not due to chance, and that the public employer-sponsored pension schemes has a significantly higher level of corporate governance compared to the private sector. The mean difference of -1.00000 indicates that the public employer-sponsored pension schemes has a higher level of corporate governance by approximately 1 unit compared to the private sector. The standard error of 0.33758 suggests that the estimate is relatively precise, and the 95% confidence interval provides a range within which the true mean difference is likely to lie.</w:t>
      </w:r>
    </w:p>
    <w:p w14:paraId="2D96F9A5" w14:textId="4E93634E" w:rsidR="00810699" w:rsidRPr="004D045E" w:rsidRDefault="00701FD7" w:rsidP="00A042C4">
      <w:pPr>
        <w:pBdr>
          <w:top w:val="nil"/>
          <w:left w:val="nil"/>
          <w:bottom w:val="nil"/>
          <w:right w:val="nil"/>
          <w:between w:val="nil"/>
        </w:pBdr>
        <w:spacing w:after="200" w:line="240" w:lineRule="auto"/>
        <w:rPr>
          <w:rFonts w:ascii="Arial" w:eastAsia="Times New Roman" w:hAnsi="Arial" w:cs="Arial"/>
          <w:b/>
        </w:rPr>
      </w:pPr>
      <w:bookmarkStart w:id="44" w:name="_1jlao46" w:colFirst="0" w:colLast="0"/>
      <w:bookmarkEnd w:id="44"/>
      <w:r w:rsidRPr="004D045E">
        <w:rPr>
          <w:rFonts w:ascii="Arial" w:eastAsia="Times New Roman" w:hAnsi="Arial" w:cs="Arial"/>
          <w:b/>
        </w:rPr>
        <w:t xml:space="preserve">Table </w:t>
      </w:r>
      <w:r w:rsidR="00E461A4">
        <w:rPr>
          <w:rFonts w:ascii="Arial" w:eastAsia="Times New Roman" w:hAnsi="Arial" w:cs="Arial"/>
          <w:b/>
        </w:rPr>
        <w:t>7</w:t>
      </w:r>
      <w:r w:rsidRPr="004D045E">
        <w:rPr>
          <w:rFonts w:ascii="Arial" w:eastAsia="Times New Roman" w:hAnsi="Arial" w:cs="Arial"/>
          <w:b/>
        </w:rPr>
        <w:t xml:space="preserve"> - Independent Samples Test</w:t>
      </w:r>
      <w:r w:rsidRPr="004D045E">
        <w:rPr>
          <w:rFonts w:ascii="Arial" w:hAnsi="Arial" w:cs="Arial"/>
          <w:noProof/>
          <w:lang w:val="en-US" w:eastAsia="en-US"/>
        </w:rPr>
        <w:drawing>
          <wp:anchor distT="0" distB="0" distL="114300" distR="114300" simplePos="0" relativeHeight="251659264" behindDoc="0" locked="0" layoutInCell="1" hidden="0" allowOverlap="1" wp14:anchorId="3B788FCE" wp14:editId="1B319D97">
            <wp:simplePos x="0" y="0"/>
            <wp:positionH relativeFrom="column">
              <wp:posOffset>-61911</wp:posOffset>
            </wp:positionH>
            <wp:positionV relativeFrom="paragraph">
              <wp:posOffset>385763</wp:posOffset>
            </wp:positionV>
            <wp:extent cx="5919470" cy="295275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6331" t="37510" r="33406" b="20399"/>
                    <a:stretch>
                      <a:fillRect/>
                    </a:stretch>
                  </pic:blipFill>
                  <pic:spPr>
                    <a:xfrm>
                      <a:off x="0" y="0"/>
                      <a:ext cx="5919470" cy="2952750"/>
                    </a:xfrm>
                    <a:prstGeom prst="rect">
                      <a:avLst/>
                    </a:prstGeom>
                    <a:ln/>
                  </pic:spPr>
                </pic:pic>
              </a:graphicData>
            </a:graphic>
          </wp:anchor>
        </w:drawing>
      </w:r>
    </w:p>
    <w:p w14:paraId="13F3F946" w14:textId="77777777" w:rsidR="00810699" w:rsidRPr="004D045E" w:rsidRDefault="00810699" w:rsidP="00A042C4">
      <w:pPr>
        <w:spacing w:line="240" w:lineRule="auto"/>
        <w:jc w:val="both"/>
        <w:rPr>
          <w:rFonts w:ascii="Arial" w:eastAsia="Times New Roman" w:hAnsi="Arial" w:cs="Arial"/>
        </w:rPr>
      </w:pPr>
    </w:p>
    <w:p w14:paraId="11AEAD1A" w14:textId="77777777" w:rsidR="00810699" w:rsidRPr="004D045E" w:rsidRDefault="00701FD7" w:rsidP="00A042C4">
      <w:pPr>
        <w:pStyle w:val="Heading3"/>
        <w:spacing w:line="240" w:lineRule="auto"/>
        <w:rPr>
          <w:rFonts w:ascii="Arial" w:hAnsi="Arial" w:cs="Arial"/>
          <w:color w:val="auto"/>
          <w:sz w:val="22"/>
          <w:szCs w:val="22"/>
        </w:rPr>
      </w:pPr>
      <w:bookmarkStart w:id="45" w:name="_2lwamvv" w:colFirst="0" w:colLast="0"/>
      <w:bookmarkEnd w:id="45"/>
      <w:r w:rsidRPr="004D045E">
        <w:rPr>
          <w:rFonts w:ascii="Arial" w:hAnsi="Arial" w:cs="Arial"/>
          <w:color w:val="auto"/>
          <w:sz w:val="22"/>
          <w:szCs w:val="22"/>
        </w:rPr>
        <w:t>4.7 Effectiveness of Corporate Governance Practices</w:t>
      </w:r>
    </w:p>
    <w:p w14:paraId="75337A89" w14:textId="7708DBD2" w:rsidR="00810699" w:rsidRPr="004D045E" w:rsidRDefault="00701FD7" w:rsidP="00A042C4">
      <w:pPr>
        <w:spacing w:line="240" w:lineRule="auto"/>
        <w:jc w:val="both"/>
        <w:rPr>
          <w:rFonts w:ascii="Arial" w:eastAsia="Times New Roman" w:hAnsi="Arial" w:cs="Arial"/>
          <w:lang w:val="en-US" w:eastAsia="en-US"/>
        </w:rPr>
      </w:pPr>
      <w:r w:rsidRPr="004D045E">
        <w:rPr>
          <w:rFonts w:ascii="Arial" w:eastAsia="Times New Roman" w:hAnsi="Arial" w:cs="Arial"/>
          <w:lang w:val="en-US" w:eastAsia="en-US"/>
        </w:rPr>
        <w:t xml:space="preserve">The results in Table </w:t>
      </w:r>
      <w:r w:rsidR="00E461A4">
        <w:rPr>
          <w:rFonts w:ascii="Arial" w:eastAsia="Times New Roman" w:hAnsi="Arial" w:cs="Arial"/>
          <w:lang w:val="en-US" w:eastAsia="en-US"/>
        </w:rPr>
        <w:t>7</w:t>
      </w:r>
      <w:r w:rsidRPr="004D045E">
        <w:rPr>
          <w:rFonts w:ascii="Arial" w:eastAsia="Times New Roman" w:hAnsi="Arial" w:cs="Arial"/>
          <w:lang w:val="en-US" w:eastAsia="en-US"/>
        </w:rPr>
        <w:t xml:space="preserve"> suggest that the public employer-sponsored pension schemes </w:t>
      </w:r>
      <w:proofErr w:type="gramStart"/>
      <w:r w:rsidRPr="004D045E">
        <w:rPr>
          <w:rFonts w:ascii="Arial" w:eastAsia="Times New Roman" w:hAnsi="Arial" w:cs="Arial"/>
          <w:lang w:val="en-US" w:eastAsia="en-US"/>
        </w:rPr>
        <w:t>has</w:t>
      </w:r>
      <w:proofErr w:type="gramEnd"/>
      <w:r w:rsidRPr="004D045E">
        <w:rPr>
          <w:rFonts w:ascii="Arial" w:eastAsia="Times New Roman" w:hAnsi="Arial" w:cs="Arial"/>
          <w:lang w:val="en-US" w:eastAsia="en-US"/>
        </w:rPr>
        <w:t xml:space="preserve"> a more effective system of corporate governance in place compared to the private employer-sponsored pension schemes. This could be due to various factors such as stricter regulations, greater </w:t>
      </w:r>
      <w:r w:rsidRPr="004D045E">
        <w:rPr>
          <w:rFonts w:ascii="Arial" w:eastAsia="Times New Roman" w:hAnsi="Arial" w:cs="Arial"/>
          <w:lang w:val="en-US" w:eastAsia="en-US"/>
        </w:rPr>
        <w:lastRenderedPageBreak/>
        <w:t xml:space="preserve">transparency, and accountability in the public employer-sponsored pension schemes. The results in Table </w:t>
      </w:r>
      <w:r w:rsidR="00E461A4">
        <w:rPr>
          <w:rFonts w:ascii="Arial" w:eastAsia="Times New Roman" w:hAnsi="Arial" w:cs="Arial"/>
          <w:lang w:val="en-US" w:eastAsia="en-US"/>
        </w:rPr>
        <w:t>7</w:t>
      </w:r>
      <w:r w:rsidRPr="004D045E">
        <w:rPr>
          <w:rFonts w:ascii="Arial" w:eastAsia="Times New Roman" w:hAnsi="Arial" w:cs="Arial"/>
          <w:lang w:val="en-US" w:eastAsia="en-US"/>
        </w:rPr>
        <w:t xml:space="preserve"> show that Levene's test statistic (F = 0.149, Sig. = 0.706) indicates that the assumption of equal variances is not violated. </w:t>
      </w:r>
    </w:p>
    <w:p w14:paraId="52F0CD88" w14:textId="77777777" w:rsidR="00810699" w:rsidRPr="004D045E" w:rsidRDefault="00701FD7" w:rsidP="00A042C4">
      <w:pPr>
        <w:spacing w:line="240" w:lineRule="auto"/>
        <w:jc w:val="both"/>
        <w:rPr>
          <w:rFonts w:ascii="Arial" w:eastAsia="Times New Roman" w:hAnsi="Arial" w:cs="Arial"/>
          <w:lang w:val="en-US" w:eastAsia="en-US"/>
        </w:rPr>
      </w:pPr>
      <w:r w:rsidRPr="004D045E">
        <w:rPr>
          <w:rFonts w:ascii="Arial" w:eastAsia="Times New Roman" w:hAnsi="Arial" w:cs="Arial"/>
          <w:lang w:val="en-US" w:eastAsia="en-US"/>
        </w:rPr>
        <w:t xml:space="preserve"> Therefore, the study provides enough evidence to reject the null hypothesis in place of the alternate hypothesis that “corporate governance systems in public employer-sponsored pension schemes are effective in managing financial risk in the industry compared to private employer-sponsored pension schemes.</w:t>
      </w:r>
    </w:p>
    <w:p w14:paraId="4BF4AA03" w14:textId="2780E9DB" w:rsidR="000D6F04" w:rsidRPr="004D045E" w:rsidRDefault="000D6F04" w:rsidP="00A042C4">
      <w:pPr>
        <w:spacing w:line="240" w:lineRule="auto"/>
        <w:jc w:val="both"/>
        <w:rPr>
          <w:rFonts w:ascii="Arial" w:eastAsia="Times New Roman" w:hAnsi="Arial" w:cs="Arial"/>
          <w:lang w:val="en-US" w:eastAsia="en-US"/>
        </w:rPr>
      </w:pPr>
      <w:bookmarkStart w:id="46" w:name="_43ky6rz" w:colFirst="0" w:colLast="0"/>
      <w:bookmarkEnd w:id="46"/>
      <w:r w:rsidRPr="004D045E">
        <w:rPr>
          <w:rFonts w:ascii="Arial" w:eastAsia="Times New Roman" w:hAnsi="Arial" w:cs="Arial"/>
          <w:lang w:val="en-US" w:eastAsia="en-US"/>
        </w:rPr>
        <w:t xml:space="preserve">Effect size analysis standardizes the difference in corporate governance between public and private employer-sponsored pension plans. Cohen's d is 0.64051, indicating a medium-to-large effect. Table </w:t>
      </w:r>
      <w:r w:rsidR="00E461A4">
        <w:rPr>
          <w:rFonts w:ascii="Arial" w:eastAsia="Times New Roman" w:hAnsi="Arial" w:cs="Arial"/>
          <w:lang w:val="en-US" w:eastAsia="en-US"/>
        </w:rPr>
        <w:t>8</w:t>
      </w:r>
      <w:r w:rsidRPr="004D045E">
        <w:rPr>
          <w:rFonts w:ascii="Arial" w:eastAsia="Times New Roman" w:hAnsi="Arial" w:cs="Arial"/>
          <w:lang w:val="en-US" w:eastAsia="en-US"/>
        </w:rPr>
        <w:t xml:space="preserve"> shows the 95% confidence interval is (-1.561, -0.347), indicating the true effect size is within this range. Table </w:t>
      </w:r>
      <w:r w:rsidR="00E12428">
        <w:rPr>
          <w:rFonts w:ascii="Arial" w:eastAsia="Times New Roman" w:hAnsi="Arial" w:cs="Arial"/>
          <w:lang w:val="en-US" w:eastAsia="en-US"/>
        </w:rPr>
        <w:t>8</w:t>
      </w:r>
      <w:r w:rsidRPr="004D045E">
        <w:rPr>
          <w:rFonts w:ascii="Arial" w:eastAsia="Times New Roman" w:hAnsi="Arial" w:cs="Arial"/>
          <w:lang w:val="en-US" w:eastAsia="en-US"/>
        </w:rPr>
        <w:t xml:space="preserve"> shows Hedges' correction statistic 0.68068, similar to Cohen's d. This 95% confidence interval (-1.469, -0.327) suggests the true effect size is within this range. Glass's delta statistic is 0.70711, indicating a substantial effect. The 95% confidence interval is (-1.414, -0.147), implying the true effect size is within this range. The effect size study reveals that public and private corporate governance means differ significantly. Cohen's d predicts a medium to big impact size, while Hedges' correction and Glass's delta suggest high. Confidence intervals represent the anticipated effect </w:t>
      </w:r>
      <w:bookmarkStart w:id="47" w:name="_GoBack"/>
      <w:bookmarkEnd w:id="47"/>
      <w:r w:rsidRPr="004D045E">
        <w:rPr>
          <w:rFonts w:ascii="Arial" w:eastAsia="Times New Roman" w:hAnsi="Arial" w:cs="Arial"/>
          <w:lang w:val="en-US" w:eastAsia="en-US"/>
        </w:rPr>
        <w:t xml:space="preserve">size range. The results indicate that public employer-sponsored pension systems have much better corporate governance than private schemes. The findings affect policymakers and regulators trying to strengthen private employer-sponsored pension scheme corporate governance. </w:t>
      </w:r>
    </w:p>
    <w:p w14:paraId="094A1AF0" w14:textId="721EE011" w:rsidR="00810699" w:rsidRPr="004D045E" w:rsidRDefault="00701FD7" w:rsidP="00A042C4">
      <w:pPr>
        <w:pBdr>
          <w:top w:val="nil"/>
          <w:left w:val="nil"/>
          <w:bottom w:val="nil"/>
          <w:right w:val="nil"/>
          <w:between w:val="nil"/>
        </w:pBdr>
        <w:spacing w:after="200" w:line="240" w:lineRule="auto"/>
        <w:rPr>
          <w:rFonts w:ascii="Arial" w:eastAsia="Times New Roman" w:hAnsi="Arial" w:cs="Arial"/>
          <w:b/>
        </w:rPr>
      </w:pPr>
      <w:r w:rsidRPr="004D045E">
        <w:rPr>
          <w:rFonts w:ascii="Arial" w:eastAsia="Times New Roman" w:hAnsi="Arial" w:cs="Arial"/>
          <w:b/>
        </w:rPr>
        <w:t xml:space="preserve">Table </w:t>
      </w:r>
      <w:r w:rsidR="00E461A4">
        <w:rPr>
          <w:rFonts w:ascii="Arial" w:eastAsia="Times New Roman" w:hAnsi="Arial" w:cs="Arial"/>
          <w:b/>
        </w:rPr>
        <w:t>8</w:t>
      </w:r>
      <w:r w:rsidRPr="004D045E">
        <w:rPr>
          <w:rFonts w:ascii="Arial" w:eastAsia="Times New Roman" w:hAnsi="Arial" w:cs="Arial"/>
          <w:b/>
        </w:rPr>
        <w:t xml:space="preserve"> - Independent Samples Effect Sizes</w:t>
      </w:r>
    </w:p>
    <w:tbl>
      <w:tblPr>
        <w:tblStyle w:val="a6"/>
        <w:tblW w:w="9365" w:type="dxa"/>
        <w:tblLayout w:type="fixed"/>
        <w:tblLook w:val="0000" w:firstRow="0" w:lastRow="0" w:firstColumn="0" w:lastColumn="0" w:noHBand="0" w:noVBand="0"/>
      </w:tblPr>
      <w:tblGrid>
        <w:gridCol w:w="1440"/>
        <w:gridCol w:w="1790"/>
        <w:gridCol w:w="1686"/>
        <w:gridCol w:w="1723"/>
        <w:gridCol w:w="1362"/>
        <w:gridCol w:w="1364"/>
      </w:tblGrid>
      <w:tr w:rsidR="00810699" w:rsidRPr="004D045E" w14:paraId="506DEA23" w14:textId="77777777">
        <w:trPr>
          <w:cantSplit/>
          <w:trHeight w:val="520"/>
        </w:trPr>
        <w:tc>
          <w:tcPr>
            <w:tcW w:w="3230" w:type="dxa"/>
            <w:gridSpan w:val="2"/>
            <w:vMerge w:val="restart"/>
            <w:tcBorders>
              <w:top w:val="single" w:sz="4" w:space="0" w:color="000000"/>
              <w:left w:val="nil"/>
              <w:bottom w:val="nil"/>
              <w:right w:val="nil"/>
            </w:tcBorders>
            <w:vAlign w:val="bottom"/>
          </w:tcPr>
          <w:p w14:paraId="7AF8116C" w14:textId="77777777" w:rsidR="00810699" w:rsidRPr="004D045E" w:rsidRDefault="00810699" w:rsidP="00A042C4">
            <w:pPr>
              <w:spacing w:after="0" w:line="240" w:lineRule="auto"/>
              <w:rPr>
                <w:rFonts w:ascii="Arial" w:eastAsia="Times New Roman" w:hAnsi="Arial" w:cs="Arial"/>
              </w:rPr>
            </w:pPr>
          </w:p>
        </w:tc>
        <w:tc>
          <w:tcPr>
            <w:tcW w:w="1686" w:type="dxa"/>
            <w:vMerge w:val="restart"/>
            <w:tcBorders>
              <w:top w:val="single" w:sz="4" w:space="0" w:color="000000"/>
              <w:left w:val="nil"/>
              <w:bottom w:val="nil"/>
              <w:right w:val="single" w:sz="8" w:space="0" w:color="E0E0E0"/>
            </w:tcBorders>
            <w:vAlign w:val="bottom"/>
          </w:tcPr>
          <w:p w14:paraId="19C14AD5" w14:textId="77777777" w:rsidR="00810699" w:rsidRPr="004D045E" w:rsidRDefault="00701FD7" w:rsidP="00A042C4">
            <w:pPr>
              <w:spacing w:after="0" w:line="240" w:lineRule="auto"/>
              <w:ind w:left="60" w:right="60"/>
              <w:jc w:val="center"/>
              <w:rPr>
                <w:rFonts w:ascii="Arial" w:eastAsia="Times New Roman" w:hAnsi="Arial" w:cs="Arial"/>
              </w:rPr>
            </w:pPr>
            <w:proofErr w:type="spellStart"/>
            <w:r w:rsidRPr="004D045E">
              <w:rPr>
                <w:rFonts w:ascii="Arial" w:eastAsia="Times New Roman" w:hAnsi="Arial" w:cs="Arial"/>
              </w:rPr>
              <w:t>Standardizer</w:t>
            </w:r>
            <w:r w:rsidRPr="004D045E">
              <w:rPr>
                <w:rFonts w:ascii="Arial" w:eastAsia="Times New Roman" w:hAnsi="Arial" w:cs="Arial"/>
                <w:vertAlign w:val="superscript"/>
              </w:rPr>
              <w:t>a</w:t>
            </w:r>
            <w:proofErr w:type="spellEnd"/>
          </w:p>
        </w:tc>
        <w:tc>
          <w:tcPr>
            <w:tcW w:w="1723" w:type="dxa"/>
            <w:vMerge w:val="restart"/>
            <w:tcBorders>
              <w:top w:val="single" w:sz="4" w:space="0" w:color="000000"/>
              <w:left w:val="single" w:sz="8" w:space="0" w:color="E0E0E0"/>
              <w:bottom w:val="nil"/>
              <w:right w:val="single" w:sz="8" w:space="0" w:color="E0E0E0"/>
            </w:tcBorders>
            <w:vAlign w:val="bottom"/>
          </w:tcPr>
          <w:p w14:paraId="276084C1" w14:textId="77777777" w:rsidR="00810699" w:rsidRPr="004D045E" w:rsidRDefault="00701FD7" w:rsidP="00A042C4">
            <w:pPr>
              <w:spacing w:after="0" w:line="240" w:lineRule="auto"/>
              <w:ind w:left="60" w:right="60"/>
              <w:jc w:val="center"/>
              <w:rPr>
                <w:rFonts w:ascii="Arial" w:eastAsia="Times New Roman" w:hAnsi="Arial" w:cs="Arial"/>
              </w:rPr>
            </w:pPr>
            <w:r w:rsidRPr="004D045E">
              <w:rPr>
                <w:rFonts w:ascii="Arial" w:eastAsia="Times New Roman" w:hAnsi="Arial" w:cs="Arial"/>
              </w:rPr>
              <w:t>Point Estimate</w:t>
            </w:r>
          </w:p>
        </w:tc>
        <w:tc>
          <w:tcPr>
            <w:tcW w:w="2726" w:type="dxa"/>
            <w:gridSpan w:val="2"/>
            <w:tcBorders>
              <w:top w:val="single" w:sz="4" w:space="0" w:color="000000"/>
              <w:left w:val="single" w:sz="8" w:space="0" w:color="E0E0E0"/>
              <w:bottom w:val="nil"/>
              <w:right w:val="nil"/>
            </w:tcBorders>
            <w:vAlign w:val="bottom"/>
          </w:tcPr>
          <w:p w14:paraId="3CD19C82" w14:textId="77777777" w:rsidR="00810699" w:rsidRPr="004D045E" w:rsidRDefault="00701FD7" w:rsidP="00A042C4">
            <w:pPr>
              <w:spacing w:after="0" w:line="240" w:lineRule="auto"/>
              <w:ind w:left="60" w:right="60"/>
              <w:jc w:val="center"/>
              <w:rPr>
                <w:rFonts w:ascii="Arial" w:eastAsia="Times New Roman" w:hAnsi="Arial" w:cs="Arial"/>
              </w:rPr>
            </w:pPr>
            <w:r w:rsidRPr="004D045E">
              <w:rPr>
                <w:rFonts w:ascii="Arial" w:eastAsia="Times New Roman" w:hAnsi="Arial" w:cs="Arial"/>
              </w:rPr>
              <w:t>95% Confidence Interval</w:t>
            </w:r>
          </w:p>
        </w:tc>
      </w:tr>
      <w:tr w:rsidR="00810699" w:rsidRPr="004D045E" w14:paraId="627643A4" w14:textId="77777777">
        <w:trPr>
          <w:cantSplit/>
          <w:trHeight w:val="248"/>
        </w:trPr>
        <w:tc>
          <w:tcPr>
            <w:tcW w:w="3230" w:type="dxa"/>
            <w:gridSpan w:val="2"/>
            <w:vMerge/>
            <w:tcBorders>
              <w:top w:val="single" w:sz="4" w:space="0" w:color="000000"/>
              <w:left w:val="nil"/>
              <w:bottom w:val="nil"/>
              <w:right w:val="nil"/>
            </w:tcBorders>
            <w:vAlign w:val="bottom"/>
          </w:tcPr>
          <w:p w14:paraId="23BC226C" w14:textId="77777777" w:rsidR="00810699" w:rsidRPr="004D045E"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686" w:type="dxa"/>
            <w:vMerge/>
            <w:tcBorders>
              <w:top w:val="single" w:sz="4" w:space="0" w:color="000000"/>
              <w:left w:val="nil"/>
              <w:bottom w:val="nil"/>
              <w:right w:val="single" w:sz="8" w:space="0" w:color="E0E0E0"/>
            </w:tcBorders>
            <w:vAlign w:val="bottom"/>
          </w:tcPr>
          <w:p w14:paraId="03815DAF" w14:textId="77777777" w:rsidR="00810699" w:rsidRPr="004D045E"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723" w:type="dxa"/>
            <w:vMerge/>
            <w:tcBorders>
              <w:top w:val="single" w:sz="4" w:space="0" w:color="000000"/>
              <w:left w:val="single" w:sz="8" w:space="0" w:color="E0E0E0"/>
              <w:bottom w:val="nil"/>
              <w:right w:val="single" w:sz="8" w:space="0" w:color="E0E0E0"/>
            </w:tcBorders>
            <w:vAlign w:val="bottom"/>
          </w:tcPr>
          <w:p w14:paraId="14F3AAE3" w14:textId="77777777" w:rsidR="00810699" w:rsidRPr="004D045E"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362" w:type="dxa"/>
            <w:tcBorders>
              <w:top w:val="nil"/>
              <w:left w:val="single" w:sz="8" w:space="0" w:color="E0E0E0"/>
              <w:bottom w:val="single" w:sz="8" w:space="0" w:color="152935"/>
              <w:right w:val="single" w:sz="8" w:space="0" w:color="E0E0E0"/>
            </w:tcBorders>
            <w:vAlign w:val="bottom"/>
          </w:tcPr>
          <w:p w14:paraId="62EF95AA" w14:textId="77777777" w:rsidR="00810699" w:rsidRPr="004D045E" w:rsidRDefault="00701FD7" w:rsidP="00A042C4">
            <w:pPr>
              <w:spacing w:after="0" w:line="240" w:lineRule="auto"/>
              <w:ind w:left="60" w:right="60"/>
              <w:jc w:val="center"/>
              <w:rPr>
                <w:rFonts w:ascii="Arial" w:eastAsia="Times New Roman" w:hAnsi="Arial" w:cs="Arial"/>
              </w:rPr>
            </w:pPr>
            <w:r w:rsidRPr="004D045E">
              <w:rPr>
                <w:rFonts w:ascii="Arial" w:eastAsia="Times New Roman" w:hAnsi="Arial" w:cs="Arial"/>
              </w:rPr>
              <w:t>Lower</w:t>
            </w:r>
          </w:p>
        </w:tc>
        <w:tc>
          <w:tcPr>
            <w:tcW w:w="1364" w:type="dxa"/>
            <w:tcBorders>
              <w:top w:val="nil"/>
              <w:left w:val="single" w:sz="8" w:space="0" w:color="E0E0E0"/>
              <w:bottom w:val="single" w:sz="8" w:space="0" w:color="152935"/>
              <w:right w:val="nil"/>
            </w:tcBorders>
            <w:vAlign w:val="bottom"/>
          </w:tcPr>
          <w:p w14:paraId="1C4D7460" w14:textId="77777777" w:rsidR="00810699" w:rsidRPr="004D045E" w:rsidRDefault="00701FD7" w:rsidP="00A042C4">
            <w:pPr>
              <w:spacing w:after="0" w:line="240" w:lineRule="auto"/>
              <w:ind w:left="60" w:right="60"/>
              <w:jc w:val="center"/>
              <w:rPr>
                <w:rFonts w:ascii="Arial" w:eastAsia="Times New Roman" w:hAnsi="Arial" w:cs="Arial"/>
              </w:rPr>
            </w:pPr>
            <w:r w:rsidRPr="004D045E">
              <w:rPr>
                <w:rFonts w:ascii="Arial" w:eastAsia="Times New Roman" w:hAnsi="Arial" w:cs="Arial"/>
              </w:rPr>
              <w:t>Upper</w:t>
            </w:r>
          </w:p>
        </w:tc>
      </w:tr>
      <w:tr w:rsidR="00810699" w:rsidRPr="004D045E" w14:paraId="62DD569F" w14:textId="77777777">
        <w:trPr>
          <w:cantSplit/>
          <w:trHeight w:val="260"/>
        </w:trPr>
        <w:tc>
          <w:tcPr>
            <w:tcW w:w="1440" w:type="dxa"/>
            <w:vMerge w:val="restart"/>
            <w:tcBorders>
              <w:top w:val="single" w:sz="8" w:space="0" w:color="152935"/>
              <w:left w:val="nil"/>
              <w:bottom w:val="single" w:sz="8" w:space="0" w:color="152935"/>
              <w:right w:val="nil"/>
            </w:tcBorders>
          </w:tcPr>
          <w:p w14:paraId="6E0DD054"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Corporate Governance in the Public Sector</w:t>
            </w:r>
          </w:p>
        </w:tc>
        <w:tc>
          <w:tcPr>
            <w:tcW w:w="1790" w:type="dxa"/>
            <w:tcBorders>
              <w:top w:val="single" w:sz="8" w:space="0" w:color="152935"/>
              <w:left w:val="nil"/>
              <w:bottom w:val="single" w:sz="8" w:space="0" w:color="AEAEAE"/>
              <w:right w:val="nil"/>
            </w:tcBorders>
          </w:tcPr>
          <w:p w14:paraId="22FE19FB"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Cohen's d</w:t>
            </w:r>
          </w:p>
        </w:tc>
        <w:tc>
          <w:tcPr>
            <w:tcW w:w="1686" w:type="dxa"/>
            <w:tcBorders>
              <w:top w:val="single" w:sz="8" w:space="0" w:color="152935"/>
              <w:left w:val="nil"/>
              <w:bottom w:val="single" w:sz="8" w:space="0" w:color="AEAEAE"/>
              <w:right w:val="single" w:sz="8" w:space="0" w:color="E0E0E0"/>
            </w:tcBorders>
          </w:tcPr>
          <w:p w14:paraId="09378894"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0.64051</w:t>
            </w:r>
          </w:p>
        </w:tc>
        <w:tc>
          <w:tcPr>
            <w:tcW w:w="1723" w:type="dxa"/>
            <w:tcBorders>
              <w:top w:val="single" w:sz="8" w:space="0" w:color="152935"/>
              <w:left w:val="single" w:sz="8" w:space="0" w:color="E0E0E0"/>
              <w:bottom w:val="single" w:sz="8" w:space="0" w:color="AEAEAE"/>
              <w:right w:val="single" w:sz="8" w:space="0" w:color="E0E0E0"/>
            </w:tcBorders>
          </w:tcPr>
          <w:p w14:paraId="327F59CD"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-1.561</w:t>
            </w:r>
          </w:p>
        </w:tc>
        <w:tc>
          <w:tcPr>
            <w:tcW w:w="1362" w:type="dxa"/>
            <w:tcBorders>
              <w:top w:val="single" w:sz="8" w:space="0" w:color="152935"/>
              <w:left w:val="single" w:sz="8" w:space="0" w:color="E0E0E0"/>
              <w:bottom w:val="single" w:sz="8" w:space="0" w:color="AEAEAE"/>
              <w:right w:val="single" w:sz="8" w:space="0" w:color="E0E0E0"/>
            </w:tcBorders>
          </w:tcPr>
          <w:p w14:paraId="5AA4E49D"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-2.730</w:t>
            </w:r>
          </w:p>
        </w:tc>
        <w:tc>
          <w:tcPr>
            <w:tcW w:w="1364" w:type="dxa"/>
            <w:tcBorders>
              <w:top w:val="single" w:sz="8" w:space="0" w:color="152935"/>
              <w:left w:val="single" w:sz="8" w:space="0" w:color="E0E0E0"/>
              <w:bottom w:val="single" w:sz="8" w:space="0" w:color="AEAEAE"/>
              <w:right w:val="nil"/>
            </w:tcBorders>
          </w:tcPr>
          <w:p w14:paraId="02E33E65"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-0.347</w:t>
            </w:r>
          </w:p>
        </w:tc>
      </w:tr>
      <w:tr w:rsidR="00810699" w:rsidRPr="004D045E" w14:paraId="5E2441E6" w14:textId="77777777">
        <w:trPr>
          <w:cantSplit/>
          <w:trHeight w:val="532"/>
        </w:trPr>
        <w:tc>
          <w:tcPr>
            <w:tcW w:w="1440" w:type="dxa"/>
            <w:vMerge/>
            <w:tcBorders>
              <w:top w:val="single" w:sz="8" w:space="0" w:color="152935"/>
              <w:left w:val="nil"/>
              <w:bottom w:val="single" w:sz="8" w:space="0" w:color="152935"/>
              <w:right w:val="nil"/>
            </w:tcBorders>
          </w:tcPr>
          <w:p w14:paraId="6050F8DD" w14:textId="77777777" w:rsidR="00810699" w:rsidRPr="004D045E"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790" w:type="dxa"/>
            <w:tcBorders>
              <w:top w:val="single" w:sz="8" w:space="0" w:color="AEAEAE"/>
              <w:left w:val="nil"/>
              <w:bottom w:val="single" w:sz="8" w:space="0" w:color="AEAEAE"/>
              <w:right w:val="nil"/>
            </w:tcBorders>
          </w:tcPr>
          <w:p w14:paraId="1D6824BB"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Hedges' correction</w:t>
            </w:r>
          </w:p>
        </w:tc>
        <w:tc>
          <w:tcPr>
            <w:tcW w:w="1686" w:type="dxa"/>
            <w:tcBorders>
              <w:top w:val="single" w:sz="8" w:space="0" w:color="AEAEAE"/>
              <w:left w:val="nil"/>
              <w:bottom w:val="single" w:sz="8" w:space="0" w:color="AEAEAE"/>
              <w:right w:val="single" w:sz="8" w:space="0" w:color="E0E0E0"/>
            </w:tcBorders>
          </w:tcPr>
          <w:p w14:paraId="3F55E9BC"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0.68068</w:t>
            </w:r>
          </w:p>
        </w:tc>
        <w:tc>
          <w:tcPr>
            <w:tcW w:w="1723" w:type="dxa"/>
            <w:tcBorders>
              <w:top w:val="single" w:sz="8" w:space="0" w:color="AEAEAE"/>
              <w:left w:val="single" w:sz="8" w:space="0" w:color="E0E0E0"/>
              <w:bottom w:val="single" w:sz="8" w:space="0" w:color="AEAEAE"/>
              <w:right w:val="single" w:sz="8" w:space="0" w:color="E0E0E0"/>
            </w:tcBorders>
          </w:tcPr>
          <w:p w14:paraId="5DF495EE"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-1.469</w:t>
            </w:r>
          </w:p>
        </w:tc>
        <w:tc>
          <w:tcPr>
            <w:tcW w:w="1362" w:type="dxa"/>
            <w:tcBorders>
              <w:top w:val="single" w:sz="8" w:space="0" w:color="AEAEAE"/>
              <w:left w:val="single" w:sz="8" w:space="0" w:color="E0E0E0"/>
              <w:bottom w:val="single" w:sz="8" w:space="0" w:color="AEAEAE"/>
              <w:right w:val="single" w:sz="8" w:space="0" w:color="E0E0E0"/>
            </w:tcBorders>
          </w:tcPr>
          <w:p w14:paraId="0B28B3FD"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-2.569</w:t>
            </w:r>
          </w:p>
        </w:tc>
        <w:tc>
          <w:tcPr>
            <w:tcW w:w="1364" w:type="dxa"/>
            <w:tcBorders>
              <w:top w:val="single" w:sz="8" w:space="0" w:color="AEAEAE"/>
              <w:left w:val="single" w:sz="8" w:space="0" w:color="E0E0E0"/>
              <w:bottom w:val="single" w:sz="8" w:space="0" w:color="AEAEAE"/>
              <w:right w:val="nil"/>
            </w:tcBorders>
          </w:tcPr>
          <w:p w14:paraId="338DB34C"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-0.327</w:t>
            </w:r>
          </w:p>
        </w:tc>
      </w:tr>
      <w:tr w:rsidR="00810699" w:rsidRPr="004D045E" w14:paraId="70745074" w14:textId="77777777">
        <w:trPr>
          <w:cantSplit/>
          <w:trHeight w:val="750"/>
        </w:trPr>
        <w:tc>
          <w:tcPr>
            <w:tcW w:w="1440" w:type="dxa"/>
            <w:vMerge/>
            <w:tcBorders>
              <w:top w:val="single" w:sz="8" w:space="0" w:color="152935"/>
              <w:left w:val="nil"/>
              <w:bottom w:val="single" w:sz="8" w:space="0" w:color="152935"/>
              <w:right w:val="nil"/>
            </w:tcBorders>
          </w:tcPr>
          <w:p w14:paraId="300105D9" w14:textId="77777777" w:rsidR="00810699" w:rsidRPr="004D045E"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790" w:type="dxa"/>
            <w:tcBorders>
              <w:top w:val="single" w:sz="8" w:space="0" w:color="AEAEAE"/>
              <w:left w:val="nil"/>
              <w:bottom w:val="single" w:sz="8" w:space="0" w:color="152935"/>
              <w:right w:val="nil"/>
            </w:tcBorders>
          </w:tcPr>
          <w:p w14:paraId="324A21E3"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Glass's delta</w:t>
            </w:r>
          </w:p>
        </w:tc>
        <w:tc>
          <w:tcPr>
            <w:tcW w:w="1686" w:type="dxa"/>
            <w:tcBorders>
              <w:top w:val="single" w:sz="8" w:space="0" w:color="AEAEAE"/>
              <w:left w:val="nil"/>
              <w:bottom w:val="single" w:sz="8" w:space="0" w:color="152935"/>
              <w:right w:val="single" w:sz="8" w:space="0" w:color="E0E0E0"/>
            </w:tcBorders>
          </w:tcPr>
          <w:p w14:paraId="6102C2F3"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0.70711</w:t>
            </w:r>
          </w:p>
        </w:tc>
        <w:tc>
          <w:tcPr>
            <w:tcW w:w="1723" w:type="dxa"/>
            <w:tcBorders>
              <w:top w:val="single" w:sz="8" w:space="0" w:color="AEAEAE"/>
              <w:left w:val="single" w:sz="8" w:space="0" w:color="E0E0E0"/>
              <w:bottom w:val="single" w:sz="8" w:space="0" w:color="152935"/>
              <w:right w:val="single" w:sz="8" w:space="0" w:color="E0E0E0"/>
            </w:tcBorders>
          </w:tcPr>
          <w:p w14:paraId="41FDDB0A"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-1.414</w:t>
            </w:r>
          </w:p>
        </w:tc>
        <w:tc>
          <w:tcPr>
            <w:tcW w:w="1362" w:type="dxa"/>
            <w:tcBorders>
              <w:top w:val="single" w:sz="8" w:space="0" w:color="AEAEAE"/>
              <w:left w:val="single" w:sz="8" w:space="0" w:color="E0E0E0"/>
              <w:bottom w:val="single" w:sz="8" w:space="0" w:color="152935"/>
              <w:right w:val="single" w:sz="8" w:space="0" w:color="E0E0E0"/>
            </w:tcBorders>
          </w:tcPr>
          <w:p w14:paraId="42C8E4A7"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-2.622</w:t>
            </w:r>
          </w:p>
        </w:tc>
        <w:tc>
          <w:tcPr>
            <w:tcW w:w="1364" w:type="dxa"/>
            <w:tcBorders>
              <w:top w:val="single" w:sz="8" w:space="0" w:color="AEAEAE"/>
              <w:left w:val="single" w:sz="8" w:space="0" w:color="E0E0E0"/>
              <w:bottom w:val="single" w:sz="8" w:space="0" w:color="152935"/>
              <w:right w:val="nil"/>
            </w:tcBorders>
          </w:tcPr>
          <w:p w14:paraId="2FF8A23A" w14:textId="77777777" w:rsidR="00810699" w:rsidRPr="004D045E" w:rsidRDefault="00701FD7" w:rsidP="00A042C4">
            <w:pPr>
              <w:spacing w:after="0" w:line="240" w:lineRule="auto"/>
              <w:ind w:left="60" w:right="60"/>
              <w:jc w:val="right"/>
              <w:rPr>
                <w:rFonts w:ascii="Arial" w:eastAsia="Times New Roman" w:hAnsi="Arial" w:cs="Arial"/>
              </w:rPr>
            </w:pPr>
            <w:r w:rsidRPr="004D045E">
              <w:rPr>
                <w:rFonts w:ascii="Arial" w:eastAsia="Times New Roman" w:hAnsi="Arial" w:cs="Arial"/>
              </w:rPr>
              <w:t>-0.147</w:t>
            </w:r>
          </w:p>
        </w:tc>
      </w:tr>
      <w:tr w:rsidR="00810699" w:rsidRPr="004D045E" w14:paraId="00D57376" w14:textId="77777777">
        <w:trPr>
          <w:cantSplit/>
          <w:trHeight w:val="1029"/>
        </w:trPr>
        <w:tc>
          <w:tcPr>
            <w:tcW w:w="9365" w:type="dxa"/>
            <w:gridSpan w:val="6"/>
            <w:tcBorders>
              <w:top w:val="nil"/>
              <w:left w:val="nil"/>
              <w:bottom w:val="nil"/>
              <w:right w:val="nil"/>
            </w:tcBorders>
          </w:tcPr>
          <w:p w14:paraId="393F53A0"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 xml:space="preserve">a. The denominator used in estimating the effect sizes. </w:t>
            </w:r>
          </w:p>
          <w:p w14:paraId="4D77E0BD"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 xml:space="preserve">Cohen's d uses the pooled standard deviation. </w:t>
            </w:r>
          </w:p>
          <w:p w14:paraId="0AF594AC"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 xml:space="preserve">Hedges' correction uses the pooled standard deviation, plus a correction factor. </w:t>
            </w:r>
          </w:p>
          <w:p w14:paraId="0A552E14" w14:textId="77777777" w:rsidR="00810699" w:rsidRPr="004D045E" w:rsidRDefault="00701FD7" w:rsidP="00A042C4">
            <w:pPr>
              <w:spacing w:after="0" w:line="240" w:lineRule="auto"/>
              <w:ind w:left="60" w:right="60"/>
              <w:rPr>
                <w:rFonts w:ascii="Arial" w:eastAsia="Times New Roman" w:hAnsi="Arial" w:cs="Arial"/>
              </w:rPr>
            </w:pPr>
            <w:r w:rsidRPr="004D045E">
              <w:rPr>
                <w:rFonts w:ascii="Arial" w:eastAsia="Times New Roman" w:hAnsi="Arial" w:cs="Arial"/>
              </w:rPr>
              <w:t>Glass's delta uses the sample standard deviation of the control group.</w:t>
            </w:r>
          </w:p>
        </w:tc>
      </w:tr>
    </w:tbl>
    <w:p w14:paraId="17BB2034" w14:textId="77777777" w:rsidR="00810699" w:rsidRPr="004D045E" w:rsidRDefault="00810699" w:rsidP="00A042C4">
      <w:pPr>
        <w:spacing w:line="240" w:lineRule="auto"/>
        <w:rPr>
          <w:rFonts w:ascii="Arial" w:eastAsia="Times New Roman" w:hAnsi="Arial" w:cs="Arial"/>
        </w:rPr>
      </w:pPr>
    </w:p>
    <w:p w14:paraId="00CF366C" w14:textId="77777777" w:rsidR="00810699" w:rsidRPr="004D045E" w:rsidRDefault="00701FD7" w:rsidP="00A042C4">
      <w:pPr>
        <w:pStyle w:val="Heading3"/>
        <w:spacing w:line="240" w:lineRule="auto"/>
        <w:rPr>
          <w:rFonts w:ascii="Arial" w:hAnsi="Arial" w:cs="Arial"/>
          <w:color w:val="auto"/>
          <w:sz w:val="22"/>
          <w:szCs w:val="22"/>
        </w:rPr>
      </w:pPr>
      <w:bookmarkStart w:id="48" w:name="_111kx3o" w:colFirst="0" w:colLast="0"/>
      <w:bookmarkEnd w:id="48"/>
      <w:r w:rsidRPr="004D045E">
        <w:rPr>
          <w:rFonts w:ascii="Arial" w:hAnsi="Arial" w:cs="Arial"/>
          <w:color w:val="auto"/>
          <w:sz w:val="22"/>
          <w:szCs w:val="22"/>
        </w:rPr>
        <w:t>4.8 Discussion of Key Findings</w:t>
      </w:r>
    </w:p>
    <w:p w14:paraId="2804CDBC" w14:textId="77777777" w:rsidR="00810699" w:rsidRPr="004D045E" w:rsidRDefault="00701FD7" w:rsidP="00A042C4">
      <w:pPr>
        <w:pStyle w:val="Heading4"/>
        <w:spacing w:line="240" w:lineRule="auto"/>
        <w:rPr>
          <w:rFonts w:ascii="Arial" w:hAnsi="Arial" w:cs="Arial"/>
          <w:color w:val="auto"/>
          <w:sz w:val="22"/>
          <w:szCs w:val="22"/>
        </w:rPr>
      </w:pPr>
      <w:r w:rsidRPr="004D045E">
        <w:rPr>
          <w:rFonts w:ascii="Arial" w:hAnsi="Arial" w:cs="Arial"/>
          <w:color w:val="auto"/>
          <w:sz w:val="22"/>
          <w:szCs w:val="22"/>
        </w:rPr>
        <w:t>4.8.1 The Impact of Corporate Governance on Financial Risk Management</w:t>
      </w:r>
    </w:p>
    <w:p w14:paraId="5B555E3E" w14:textId="421C88B4" w:rsidR="00810699" w:rsidRPr="004D045E" w:rsidRDefault="007C46D8" w:rsidP="00A042C4">
      <w:pPr>
        <w:spacing w:line="240" w:lineRule="auto"/>
        <w:jc w:val="both"/>
        <w:rPr>
          <w:rFonts w:ascii="Arial" w:eastAsia="Times New Roman" w:hAnsi="Arial" w:cs="Arial"/>
        </w:rPr>
      </w:pPr>
      <w:r w:rsidRPr="004D045E">
        <w:rPr>
          <w:rFonts w:ascii="Arial" w:eastAsia="Times New Roman" w:hAnsi="Arial" w:cs="Arial"/>
        </w:rPr>
        <w:t>C</w:t>
      </w:r>
      <w:r w:rsidR="00701FD7" w:rsidRPr="004D045E">
        <w:rPr>
          <w:rFonts w:ascii="Arial" w:eastAsia="Times New Roman" w:hAnsi="Arial" w:cs="Arial"/>
        </w:rPr>
        <w:t>orporate governance has a significant positive impact on financial risk management in the employer-sponsored pension schemes in Ghana. The research finding that corporate governance has a significant positive impact on financial risk management in the employer-sponsored pension schemes in Ghana is consistent with existing literature. According to a study by Owusu et al. (2017), effective corporate governance practices are crucial for managing financial risk in pension schemes. The study found that corporate governance variables such as board size, board independence, and audit committee effectiveness are significantly related to financial risk management in pension schemes.</w:t>
      </w:r>
    </w:p>
    <w:p w14:paraId="750D4C28" w14:textId="3076F7D8"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lastRenderedPageBreak/>
        <w:t xml:space="preserve">Another study by Amoako et al. (2020) also found that corporate governance has a positive impact on financial risk management in Ghana's pension industry. The study revealed that pension schemes with strong corporate governance practices tend to have lower levels of financial risk. This finding is supported by a study by </w:t>
      </w:r>
      <w:r w:rsidR="00C67F2E" w:rsidRPr="004D045E">
        <w:rPr>
          <w:rFonts w:ascii="Arial" w:eastAsia="Times New Roman" w:hAnsi="Arial" w:cs="Arial"/>
        </w:rPr>
        <w:t>Siaw</w:t>
      </w:r>
      <w:r w:rsidRPr="004D045E">
        <w:rPr>
          <w:rFonts w:ascii="Arial" w:eastAsia="Times New Roman" w:hAnsi="Arial" w:cs="Arial"/>
        </w:rPr>
        <w:t xml:space="preserve"> et al. (20</w:t>
      </w:r>
      <w:r w:rsidR="00C67F2E" w:rsidRPr="004D045E">
        <w:rPr>
          <w:rFonts w:ascii="Arial" w:eastAsia="Times New Roman" w:hAnsi="Arial" w:cs="Arial"/>
        </w:rPr>
        <w:t>25</w:t>
      </w:r>
      <w:r w:rsidRPr="004D045E">
        <w:rPr>
          <w:rFonts w:ascii="Arial" w:eastAsia="Times New Roman" w:hAnsi="Arial" w:cs="Arial"/>
        </w:rPr>
        <w:t>) which found that effective corporate governance is essential for managing financial</w:t>
      </w:r>
      <w:r w:rsidR="00C67F2E" w:rsidRPr="004D045E">
        <w:rPr>
          <w:rFonts w:ascii="Arial" w:eastAsia="Times New Roman" w:hAnsi="Arial" w:cs="Arial"/>
        </w:rPr>
        <w:t xml:space="preserve"> and Operational</w:t>
      </w:r>
      <w:r w:rsidRPr="004D045E">
        <w:rPr>
          <w:rFonts w:ascii="Arial" w:eastAsia="Times New Roman" w:hAnsi="Arial" w:cs="Arial"/>
        </w:rPr>
        <w:t xml:space="preserve"> risk in Ghana's financial sector.</w:t>
      </w:r>
    </w:p>
    <w:p w14:paraId="1A2FA05B" w14:textId="6F9D285E" w:rsidR="00810699" w:rsidRPr="004D045E" w:rsidRDefault="001A199E" w:rsidP="00A042C4">
      <w:pPr>
        <w:spacing w:line="240" w:lineRule="auto"/>
        <w:jc w:val="both"/>
        <w:rPr>
          <w:rFonts w:ascii="Arial" w:eastAsia="Times New Roman" w:hAnsi="Arial" w:cs="Arial"/>
        </w:rPr>
      </w:pPr>
      <w:r w:rsidRPr="004D045E">
        <w:rPr>
          <w:rFonts w:ascii="Arial" w:eastAsia="Times New Roman" w:hAnsi="Arial" w:cs="Arial"/>
        </w:rPr>
        <w:t>C</w:t>
      </w:r>
      <w:r w:rsidR="00701FD7" w:rsidRPr="004D045E">
        <w:rPr>
          <w:rFonts w:ascii="Arial" w:eastAsia="Times New Roman" w:hAnsi="Arial" w:cs="Arial"/>
        </w:rPr>
        <w:t xml:space="preserve">orporate governance is an important determinant of financial risk management in pension schemes. </w:t>
      </w:r>
      <w:r w:rsidRPr="004D045E">
        <w:rPr>
          <w:rFonts w:ascii="Arial" w:eastAsia="Times New Roman" w:hAnsi="Arial" w:cs="Arial"/>
        </w:rPr>
        <w:t>Hence</w:t>
      </w:r>
      <w:r w:rsidR="00701FD7" w:rsidRPr="004D045E">
        <w:rPr>
          <w:rFonts w:ascii="Arial" w:eastAsia="Times New Roman" w:hAnsi="Arial" w:cs="Arial"/>
        </w:rPr>
        <w:t xml:space="preserve"> effective corporate governance practices can help reduce financial risk and improve the overall performance of pension schemes.</w:t>
      </w:r>
    </w:p>
    <w:p w14:paraId="30278645" w14:textId="1512DF66"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board of directors plays a critical role in corporate governance, and its composition and independence are essential for effective governance. In Ghana, the Companies Act 2019 requires that at least one-third of the board be independent non-executive directors (Ghana Statistical Service, 2020). This requirement is intended to ensure that the board is independent and able to make decisions in the best interests of the company, rather than being influenced by management or other interests</w:t>
      </w:r>
      <w:r w:rsidR="0008637F" w:rsidRPr="004D045E">
        <w:rPr>
          <w:rFonts w:ascii="Arial" w:eastAsia="Times New Roman" w:hAnsi="Arial" w:cs="Arial"/>
        </w:rPr>
        <w:t>.</w:t>
      </w:r>
      <w:r w:rsidR="00016F86" w:rsidRPr="004D045E">
        <w:rPr>
          <w:rFonts w:ascii="Arial" w:eastAsia="Times New Roman" w:hAnsi="Arial" w:cs="Arial"/>
        </w:rPr>
        <w:t xml:space="preserve"> </w:t>
      </w:r>
      <w:r w:rsidRPr="004D045E">
        <w:rPr>
          <w:rFonts w:ascii="Arial" w:eastAsia="Times New Roman" w:hAnsi="Arial" w:cs="Arial"/>
        </w:rPr>
        <w:t>The study found that many boards in Ghana are dominated by executive directors, which can lead to a lack of independence and objectivity in decision-making.</w:t>
      </w:r>
    </w:p>
    <w:p w14:paraId="7756DC48"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In conclusion, the research finding that corporate governance has a significant positive impact on financial risk management in the sector pension schemes in Ghana is consistent with existing literature. Effective corporate governance practices are essential for managing financial risk in pension schemes, and this finding is supported by both local and international literature.</w:t>
      </w:r>
    </w:p>
    <w:p w14:paraId="5A4DA07A" w14:textId="5284EB68"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With regards to the moderating variables, the study found that firm size is a significant moderator, as larger firms may have more resources and expertise to devote to risk management, making corporate governance more effective in reducing financial risk (Baxter et al., 2017). Additionally, larger firms may have more complex risk management needs, requiring more robust corporate governance practices to manage financial risk effectively (</w:t>
      </w:r>
      <w:r w:rsidR="002A3D1A" w:rsidRPr="004D045E">
        <w:rPr>
          <w:rFonts w:ascii="Arial" w:eastAsia="Times New Roman" w:hAnsi="Arial" w:cs="Arial"/>
          <w:lang w:val="en-US"/>
        </w:rPr>
        <w:t>Gericke</w:t>
      </w:r>
      <w:r w:rsidRPr="004D045E">
        <w:rPr>
          <w:rFonts w:ascii="Arial" w:eastAsia="Times New Roman" w:hAnsi="Arial" w:cs="Arial"/>
        </w:rPr>
        <w:t xml:space="preserve"> et al., 20</w:t>
      </w:r>
      <w:r w:rsidR="002A3D1A" w:rsidRPr="004D045E">
        <w:rPr>
          <w:rFonts w:ascii="Arial" w:eastAsia="Times New Roman" w:hAnsi="Arial" w:cs="Arial"/>
        </w:rPr>
        <w:t>18</w:t>
      </w:r>
      <w:r w:rsidRPr="004D045E">
        <w:rPr>
          <w:rFonts w:ascii="Arial" w:eastAsia="Times New Roman" w:hAnsi="Arial" w:cs="Arial"/>
        </w:rPr>
        <w:t>).</w:t>
      </w:r>
    </w:p>
    <w:p w14:paraId="6F125EEE" w14:textId="2560481F"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More so, industry regulation is also a crucial moderator, as stringent regulations may require pension funds to adopt more robust risk management practices, making corporate governance more effective in reducing financial risk. Lax regulations, on the other hand, may lead to a lack of accountability and oversight, making corporate governance less effective in managing financial risk. Moreover, regulations may require pension funds to disclose more information about their risk management practices, making corporate governance more transparent and effective (CFA Institute, 2020).</w:t>
      </w:r>
    </w:p>
    <w:p w14:paraId="2ED0BEE8" w14:textId="0C86F510" w:rsidR="00810699" w:rsidRPr="004D045E" w:rsidRDefault="00701FD7" w:rsidP="00A042C4">
      <w:pPr>
        <w:pStyle w:val="Heading4"/>
        <w:spacing w:line="240" w:lineRule="auto"/>
        <w:rPr>
          <w:rFonts w:ascii="Arial" w:hAnsi="Arial" w:cs="Arial"/>
          <w:color w:val="auto"/>
          <w:sz w:val="22"/>
          <w:szCs w:val="22"/>
        </w:rPr>
      </w:pPr>
      <w:r w:rsidRPr="004D045E">
        <w:rPr>
          <w:rFonts w:ascii="Arial" w:hAnsi="Arial" w:cs="Arial"/>
          <w:color w:val="auto"/>
          <w:sz w:val="22"/>
          <w:szCs w:val="22"/>
        </w:rPr>
        <w:t xml:space="preserve">4.8.2 Difference between Corporate Governance Practices in the Public </w:t>
      </w:r>
      <w:r w:rsidR="007547A6" w:rsidRPr="004D045E">
        <w:rPr>
          <w:rFonts w:ascii="Arial" w:hAnsi="Arial" w:cs="Arial"/>
          <w:color w:val="auto"/>
          <w:sz w:val="22"/>
          <w:szCs w:val="22"/>
        </w:rPr>
        <w:t>a</w:t>
      </w:r>
      <w:r w:rsidRPr="004D045E">
        <w:rPr>
          <w:rFonts w:ascii="Arial" w:hAnsi="Arial" w:cs="Arial"/>
          <w:color w:val="auto"/>
          <w:sz w:val="22"/>
          <w:szCs w:val="22"/>
        </w:rPr>
        <w:t>nd Private Sector Pension Schemes</w:t>
      </w:r>
    </w:p>
    <w:p w14:paraId="19389A15" w14:textId="7B6B9F0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research finding that there is a statistical difference between corporate governance practices in the public and private employer-sponsored pension schemes in Ghana</w:t>
      </w:r>
      <w:r w:rsidR="007547A6" w:rsidRPr="004D045E">
        <w:rPr>
          <w:rFonts w:ascii="Arial" w:eastAsia="Times New Roman" w:hAnsi="Arial" w:cs="Arial"/>
        </w:rPr>
        <w:t xml:space="preserve">, </w:t>
      </w:r>
      <w:r w:rsidRPr="004D045E">
        <w:rPr>
          <w:rFonts w:ascii="Arial" w:eastAsia="Times New Roman" w:hAnsi="Arial" w:cs="Arial"/>
        </w:rPr>
        <w:t>suggests that the two sectors have distinct approaches to managing their pension funds.</w:t>
      </w:r>
    </w:p>
    <w:p w14:paraId="2B7BDC44" w14:textId="391870DD"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The public employer-sponsored pension schemes in Ghana have a more effective system of corporate governance compared to the private employer-sponsored pension schemes. This is because the public schemes are governed by a robust legal framework, which ensures transparency, accountability, and good governance (National Pensions Act, 2008). This ensures that the management of the schemes is transparent, and that the interests of beneficiaries are protected. </w:t>
      </w:r>
    </w:p>
    <w:p w14:paraId="49BDDEDD" w14:textId="50730222"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In contrast, private employer-sponsored pension schemes in Ghana are not subject to the same level of regulation and oversight as the public schemes (Ghana Investment Funds Association, 2020). This lack of regulation can lead to poor governance practices, such as conflicts of interest, </w:t>
      </w:r>
      <w:r w:rsidRPr="004D045E">
        <w:rPr>
          <w:rFonts w:ascii="Arial" w:eastAsia="Times New Roman" w:hAnsi="Arial" w:cs="Arial"/>
        </w:rPr>
        <w:lastRenderedPageBreak/>
        <w:t>mismanagement of funds, and lack of transparency. Furthermore, the public schemes have a more effective system of corporate governance because they are governed by a board of trustees that is responsible for ensuring that the schemes are managed in the best interests of beneficiaries (SSNIT, n.d.). The board of trustees is composed of representatives from the government, employers, and employees, which ensures that the interests of all stakeholders are represented (National Pensions Act, 2008). In contrast, private employer-sponsored pension schemes in Ghana often have a less representative board of trustees, which can lead to decisions that are not in the best interests of beneficiaries (Ghana Investment Funds Association, 2020).</w:t>
      </w:r>
    </w:p>
    <w:p w14:paraId="141BAD0A" w14:textId="19D89AE2"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Public employer-</w:t>
      </w:r>
      <w:r w:rsidR="00A60226" w:rsidRPr="004D045E">
        <w:rPr>
          <w:rFonts w:ascii="Arial" w:eastAsia="Times New Roman" w:hAnsi="Arial" w:cs="Arial"/>
        </w:rPr>
        <w:t>sponsored</w:t>
      </w:r>
      <w:r w:rsidRPr="004D045E">
        <w:rPr>
          <w:rFonts w:ascii="Arial" w:eastAsia="Times New Roman" w:hAnsi="Arial" w:cs="Arial"/>
        </w:rPr>
        <w:t xml:space="preserve"> pension schemes in Ghana tend to have stronger corporate governance practices (Owusu et al., 2017). This includes having more independent boards, more frequent audit committee meetings, and stronger risk management practices (Verhoeven et al., 2022). This is likely due to the fact that public employer-sponsored pension schemes are subject to greater regulatory oversight and accountability</w:t>
      </w:r>
      <w:r w:rsidR="0094539A" w:rsidRPr="004D045E">
        <w:rPr>
          <w:rFonts w:ascii="Arial" w:eastAsia="Times New Roman" w:hAnsi="Arial" w:cs="Arial"/>
        </w:rPr>
        <w:t xml:space="preserve">, </w:t>
      </w:r>
      <w:r w:rsidRPr="004D045E">
        <w:rPr>
          <w:rFonts w:ascii="Arial" w:eastAsia="Times New Roman" w:hAnsi="Arial" w:cs="Arial"/>
        </w:rPr>
        <w:t>which can lead to more transparent and responsible management of funds.</w:t>
      </w:r>
    </w:p>
    <w:p w14:paraId="04CA0991" w14:textId="403A0A13"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On the other hand, private employer-sponsored pension schemes in Ghana, which are typically managed by private companies, tend to have weaker corporate governance </w:t>
      </w:r>
      <w:proofErr w:type="spellStart"/>
      <w:proofErr w:type="gramStart"/>
      <w:r w:rsidRPr="004D045E">
        <w:rPr>
          <w:rFonts w:ascii="Arial" w:eastAsia="Times New Roman" w:hAnsi="Arial" w:cs="Arial"/>
        </w:rPr>
        <w:t>practices</w:t>
      </w:r>
      <w:r w:rsidR="002B3369" w:rsidRPr="004D045E">
        <w:rPr>
          <w:rFonts w:ascii="Arial" w:eastAsia="Times New Roman" w:hAnsi="Arial" w:cs="Arial"/>
        </w:rPr>
        <w:t>.</w:t>
      </w:r>
      <w:r w:rsidRPr="004D045E">
        <w:rPr>
          <w:rFonts w:ascii="Arial" w:eastAsia="Times New Roman" w:hAnsi="Arial" w:cs="Arial"/>
        </w:rPr>
        <w:t>This</w:t>
      </w:r>
      <w:proofErr w:type="spellEnd"/>
      <w:proofErr w:type="gramEnd"/>
      <w:r w:rsidRPr="004D045E">
        <w:rPr>
          <w:rFonts w:ascii="Arial" w:eastAsia="Times New Roman" w:hAnsi="Arial" w:cs="Arial"/>
        </w:rPr>
        <w:t xml:space="preserve"> includes having weaker board independence, less frequent audit committee meetings (Owusu et al., 2017), and poorer risk management practices (Verhoeven et al., 2022). This may be due to the fact that private sector pension schemes are subject to less regulatory oversight and accountability</w:t>
      </w:r>
      <w:r w:rsidR="0094539A" w:rsidRPr="004D045E">
        <w:rPr>
          <w:rFonts w:ascii="Arial" w:eastAsia="Times New Roman" w:hAnsi="Arial" w:cs="Arial"/>
        </w:rPr>
        <w:t>,</w:t>
      </w:r>
      <w:r w:rsidRPr="004D045E">
        <w:rPr>
          <w:rFonts w:ascii="Arial" w:eastAsia="Times New Roman" w:hAnsi="Arial" w:cs="Arial"/>
        </w:rPr>
        <w:t xml:space="preserve"> which can lead to more opaque and risky management of funds.</w:t>
      </w:r>
    </w:p>
    <w:p w14:paraId="32F2AA94" w14:textId="0067AA28"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difference in corporate governance practices between public and private employer-sponsored pension schemes in Ghana may have significant implications for their financial risk management and overall performance (Verhoeven et al., 2022). Stronger corporate governance practices are associated with better financial risk management and higher performance in pension schemes</w:t>
      </w:r>
      <w:r w:rsidR="00A05C8A" w:rsidRPr="004D045E">
        <w:rPr>
          <w:rFonts w:ascii="Arial" w:eastAsia="Times New Roman" w:hAnsi="Arial" w:cs="Arial"/>
        </w:rPr>
        <w:t>.</w:t>
      </w:r>
      <w:r w:rsidR="00A60226" w:rsidRPr="004D045E">
        <w:rPr>
          <w:rFonts w:ascii="Arial" w:eastAsia="Times New Roman" w:hAnsi="Arial" w:cs="Arial"/>
        </w:rPr>
        <w:t xml:space="preserve"> </w:t>
      </w:r>
      <w:r w:rsidRPr="004D045E">
        <w:rPr>
          <w:rFonts w:ascii="Arial" w:eastAsia="Times New Roman" w:hAnsi="Arial" w:cs="Arial"/>
        </w:rPr>
        <w:t>Therefore, public sector pension schemes in Ghana may be better positioned to manage financial risk and achieve higher performance, while private employer-sponsored pension schemes may be more vulnerable to financial risk and poor performance.</w:t>
      </w:r>
    </w:p>
    <w:p w14:paraId="2286B141" w14:textId="77777777" w:rsidR="00810699" w:rsidRPr="004D045E" w:rsidRDefault="00701FD7" w:rsidP="00A042C4">
      <w:pPr>
        <w:pStyle w:val="Heading4"/>
        <w:spacing w:line="240" w:lineRule="auto"/>
        <w:rPr>
          <w:rFonts w:ascii="Arial" w:hAnsi="Arial" w:cs="Arial"/>
          <w:color w:val="auto"/>
          <w:sz w:val="22"/>
          <w:szCs w:val="22"/>
        </w:rPr>
      </w:pPr>
      <w:r w:rsidRPr="004D045E">
        <w:rPr>
          <w:rFonts w:ascii="Arial" w:hAnsi="Arial" w:cs="Arial"/>
          <w:color w:val="auto"/>
          <w:sz w:val="22"/>
          <w:szCs w:val="22"/>
        </w:rPr>
        <w:t>4.8.3 Effectiveness of Corporate Governance Systems in the Public and Private Employer-Sponsored Pensions</w:t>
      </w:r>
    </w:p>
    <w:p w14:paraId="244ADB03" w14:textId="518CA189"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It was revealed that corporate governance systems in public employer-sponsored pension schemes are effective in managing financial risk in the industry compared to private employer-sponsored pension schemes in Ghana. The finding that corporate governance systems in public sector pensions are effective in managing financial risk in the industry compared to private sector pensions is a significant discovery. This finding suggests that the approach to corporate governance in public employer-sponsored pension schemes is more effective in mitigating financial risk, which is a critical concern in the pension industry.</w:t>
      </w:r>
    </w:p>
    <w:p w14:paraId="0F2F71BB" w14:textId="47586303"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A</w:t>
      </w:r>
      <w:r w:rsidR="0008637F" w:rsidRPr="004D045E">
        <w:rPr>
          <w:rFonts w:ascii="Arial" w:eastAsia="Times New Roman" w:hAnsi="Arial" w:cs="Arial"/>
        </w:rPr>
        <w:t xml:space="preserve"> </w:t>
      </w:r>
      <w:r w:rsidRPr="004D045E">
        <w:rPr>
          <w:rFonts w:ascii="Arial" w:eastAsia="Times New Roman" w:hAnsi="Arial" w:cs="Arial"/>
        </w:rPr>
        <w:t xml:space="preserve">study by </w:t>
      </w:r>
      <w:r w:rsidR="00A05C8A" w:rsidRPr="004D045E">
        <w:rPr>
          <w:rFonts w:ascii="Arial" w:eastAsia="Times New Roman" w:hAnsi="Arial" w:cs="Arial"/>
        </w:rPr>
        <w:t>Ntiamoah Doku</w:t>
      </w:r>
      <w:r w:rsidRPr="004D045E">
        <w:rPr>
          <w:rFonts w:ascii="Arial" w:eastAsia="Times New Roman" w:hAnsi="Arial" w:cs="Arial"/>
        </w:rPr>
        <w:t xml:space="preserve"> et al. (202</w:t>
      </w:r>
      <w:r w:rsidR="00352CF1" w:rsidRPr="004D045E">
        <w:rPr>
          <w:rFonts w:ascii="Arial" w:eastAsia="Times New Roman" w:hAnsi="Arial" w:cs="Arial"/>
        </w:rPr>
        <w:t>2</w:t>
      </w:r>
      <w:r w:rsidRPr="004D045E">
        <w:rPr>
          <w:rFonts w:ascii="Arial" w:eastAsia="Times New Roman" w:hAnsi="Arial" w:cs="Arial"/>
        </w:rPr>
        <w:t>) found that public employer-sponsored pension schemes in Ghana have better corporate governance practices compared to private employer-sponsored pension schemes. The study found that public employer-sponsored pension schemes have more transparent investment practices, better risk management practices, and more effective internal controls. This is consistent with the finding that corporate governance systems in public employer-sponsored pension schemes are effective in managing financial risk.</w:t>
      </w:r>
    </w:p>
    <w:p w14:paraId="2A2AD852" w14:textId="29C1155B"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In contrast, private employer-sponsored pension schemes have weaker corporate governance practices, which can lead to poorer financial risk management. A study by </w:t>
      </w:r>
      <w:r w:rsidR="00956FEE" w:rsidRPr="004D045E">
        <w:rPr>
          <w:rFonts w:ascii="Arial" w:eastAsia="Times New Roman" w:hAnsi="Arial" w:cs="Arial"/>
        </w:rPr>
        <w:t>Ali</w:t>
      </w:r>
      <w:r w:rsidRPr="004D045E">
        <w:rPr>
          <w:rFonts w:ascii="Arial" w:eastAsia="Times New Roman" w:hAnsi="Arial" w:cs="Arial"/>
        </w:rPr>
        <w:t xml:space="preserve"> et al. (20</w:t>
      </w:r>
      <w:r w:rsidR="00956FEE" w:rsidRPr="004D045E">
        <w:rPr>
          <w:rFonts w:ascii="Arial" w:eastAsia="Times New Roman" w:hAnsi="Arial" w:cs="Arial"/>
        </w:rPr>
        <w:t>20</w:t>
      </w:r>
      <w:r w:rsidRPr="004D045E">
        <w:rPr>
          <w:rFonts w:ascii="Arial" w:eastAsia="Times New Roman" w:hAnsi="Arial" w:cs="Arial"/>
        </w:rPr>
        <w:t xml:space="preserve">) found that private employer-sponsored pension schemes in Ghana have weaker board independence, less frequent audit committee meetings, and poorer risk management practices. This is consistent </w:t>
      </w:r>
      <w:r w:rsidRPr="004D045E">
        <w:rPr>
          <w:rFonts w:ascii="Arial" w:eastAsia="Times New Roman" w:hAnsi="Arial" w:cs="Arial"/>
        </w:rPr>
        <w:lastRenderedPageBreak/>
        <w:t>with the finding that corporate governance systems in private employer-sponsored pension schemes are less effective in managing financial risk.</w:t>
      </w:r>
    </w:p>
    <w:p w14:paraId="48B97CE8"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 finding that corporate governance systems in public employer-sponsored pension schemes are effective in managing financial risk is also consistent with international literature. A study by Verhoeven et al. (2022) found that public employer-sponsored pension schemes in developed countries have stronger corporate governance practices compared to private sector pension schemes. The study found that public employer-sponsored pension schemes have more transparent investment practices, better risk management practices, and more effective internal controls.</w:t>
      </w:r>
    </w:p>
    <w:p w14:paraId="0EF9B630"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In effect, the research finding that corporate governance systems in public employer-sponsored pension schemes are effective in managing financial risk in the industry compared to private sector pensions is consistent with related literature. The public employer-sponsored pension schemes approach to corporate governance is more effective in mitigating financial risk, which is a critical concern in the pension industry.</w:t>
      </w:r>
    </w:p>
    <w:p w14:paraId="34221D6A" w14:textId="15DBC819" w:rsidR="00810699" w:rsidRPr="004D045E" w:rsidRDefault="009752E8" w:rsidP="00A042C4">
      <w:pPr>
        <w:spacing w:line="240" w:lineRule="auto"/>
        <w:jc w:val="both"/>
        <w:rPr>
          <w:rFonts w:ascii="Arial" w:hAnsi="Arial" w:cs="Arial"/>
          <w:b/>
        </w:rPr>
      </w:pPr>
      <w:bookmarkStart w:id="49" w:name="_3l18frh" w:colFirst="0" w:colLast="0"/>
      <w:bookmarkStart w:id="50" w:name="_206ipza" w:colFirst="0" w:colLast="0"/>
      <w:bookmarkEnd w:id="49"/>
      <w:bookmarkEnd w:id="50"/>
      <w:r w:rsidRPr="004D045E">
        <w:rPr>
          <w:rFonts w:ascii="Arial" w:hAnsi="Arial" w:cs="Arial"/>
          <w:b/>
        </w:rPr>
        <w:t xml:space="preserve">5.0 </w:t>
      </w:r>
      <w:r w:rsidR="00701FD7" w:rsidRPr="004D045E">
        <w:rPr>
          <w:rFonts w:ascii="Arial" w:hAnsi="Arial" w:cs="Arial"/>
          <w:b/>
        </w:rPr>
        <w:t>CONCLUSION</w:t>
      </w:r>
      <w:r w:rsidR="009C267D">
        <w:rPr>
          <w:rFonts w:ascii="Arial" w:hAnsi="Arial" w:cs="Arial"/>
          <w:b/>
        </w:rPr>
        <w:t xml:space="preserve">, </w:t>
      </w:r>
      <w:r w:rsidR="00701FD7" w:rsidRPr="004D045E">
        <w:rPr>
          <w:rFonts w:ascii="Arial" w:hAnsi="Arial" w:cs="Arial"/>
          <w:b/>
        </w:rPr>
        <w:t>RECOMMENDATIONS</w:t>
      </w:r>
      <w:r w:rsidR="009C267D">
        <w:rPr>
          <w:rFonts w:ascii="Arial" w:hAnsi="Arial" w:cs="Arial"/>
          <w:b/>
        </w:rPr>
        <w:t xml:space="preserve"> &amp; </w:t>
      </w:r>
      <w:r w:rsidR="009C267D" w:rsidRPr="009C267D">
        <w:rPr>
          <w:rFonts w:ascii="Arial" w:hAnsi="Arial" w:cs="Arial"/>
          <w:b/>
        </w:rPr>
        <w:t>Future Research</w:t>
      </w:r>
    </w:p>
    <w:p w14:paraId="1459EBD1" w14:textId="6E701A46" w:rsidR="00810699" w:rsidRPr="004D045E" w:rsidRDefault="00701FD7" w:rsidP="00A042C4">
      <w:pPr>
        <w:pStyle w:val="Heading3"/>
        <w:spacing w:line="240" w:lineRule="auto"/>
        <w:rPr>
          <w:rFonts w:ascii="Arial" w:hAnsi="Arial" w:cs="Arial"/>
          <w:color w:val="auto"/>
          <w:sz w:val="22"/>
          <w:szCs w:val="22"/>
        </w:rPr>
      </w:pPr>
      <w:bookmarkStart w:id="51" w:name="_4k668n3" w:colFirst="0" w:colLast="0"/>
      <w:bookmarkStart w:id="52" w:name="_2zbgiuw" w:colFirst="0" w:colLast="0"/>
      <w:bookmarkStart w:id="53" w:name="_1egqt2p" w:colFirst="0" w:colLast="0"/>
      <w:bookmarkEnd w:id="51"/>
      <w:bookmarkEnd w:id="52"/>
      <w:bookmarkEnd w:id="53"/>
      <w:r w:rsidRPr="004D045E">
        <w:rPr>
          <w:rFonts w:ascii="Arial" w:hAnsi="Arial" w:cs="Arial"/>
          <w:color w:val="auto"/>
          <w:sz w:val="22"/>
          <w:szCs w:val="22"/>
        </w:rPr>
        <w:t>5.</w:t>
      </w:r>
      <w:r w:rsidR="00046120" w:rsidRPr="004D045E">
        <w:rPr>
          <w:rFonts w:ascii="Arial" w:hAnsi="Arial" w:cs="Arial"/>
          <w:color w:val="auto"/>
          <w:sz w:val="22"/>
          <w:szCs w:val="22"/>
        </w:rPr>
        <w:t>1</w:t>
      </w:r>
      <w:r w:rsidRPr="004D045E">
        <w:rPr>
          <w:rFonts w:ascii="Arial" w:hAnsi="Arial" w:cs="Arial"/>
          <w:color w:val="auto"/>
          <w:sz w:val="22"/>
          <w:szCs w:val="22"/>
        </w:rPr>
        <w:t xml:space="preserve"> Conclusion</w:t>
      </w:r>
    </w:p>
    <w:p w14:paraId="58B86F31"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This study set out to investigate the impact of corporate governance on financial risk management in Ghana's pension industry, with a specific focus on comparing public and private employer-sponsored pension schemes. The findings of this study are clear: corporate governance has a significant positive impact on financial risk management in pension schemes in Ghana. Moreover, there are significant differences in corporate governance practices between public and private employer-sponsored pension schemes, with public employer-sponsored pension schemes exhibiting stronger governance practices. Most importantly, this study finds that corporate governance systems in public employer-sponsored pension schemes are more effective in managing financial risk compared to private employer-sponsored pension schemes.</w:t>
      </w:r>
    </w:p>
    <w:p w14:paraId="368E8278"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These findings have important implications for policymakers, regulators, and industry stakeholders. Firstly, they highlight the need for stronger corporate governance practices in private sector pension schemes to improve their financial risk management capabilities. Secondly, they underscore the importance of regulatory oversight and accountability in ensuring effective corporate governance practices in the pension industry. Finally, they suggest that public sector pension schemes can serve as a model for best practices in corporate governance and financial risk management in the industry.</w:t>
      </w:r>
    </w:p>
    <w:p w14:paraId="142FFD01"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Overall, this study contributes to understanding of the critical role of corporate governance in managing financial risk in the pension industry and highlights the need for ongoing efforts to strengthen governance practices in this sector. By promoting effective corporate governance practices, the financial stability and sustainability of pension schemes can be improved, ultimately protecting the interests of pension fund members and beneficiaries.</w:t>
      </w:r>
    </w:p>
    <w:p w14:paraId="1009C6D0" w14:textId="426C9AB6" w:rsidR="00810699" w:rsidRPr="004D045E" w:rsidRDefault="00701FD7" w:rsidP="00A042C4">
      <w:pPr>
        <w:pStyle w:val="Heading3"/>
        <w:spacing w:line="240" w:lineRule="auto"/>
        <w:rPr>
          <w:rFonts w:ascii="Arial" w:hAnsi="Arial" w:cs="Arial"/>
          <w:color w:val="auto"/>
          <w:sz w:val="22"/>
          <w:szCs w:val="22"/>
        </w:rPr>
      </w:pPr>
      <w:bookmarkStart w:id="54" w:name="_3ygebqi" w:colFirst="0" w:colLast="0"/>
      <w:bookmarkEnd w:id="54"/>
      <w:r w:rsidRPr="004D045E">
        <w:rPr>
          <w:rFonts w:ascii="Arial" w:hAnsi="Arial" w:cs="Arial"/>
          <w:color w:val="auto"/>
          <w:sz w:val="22"/>
          <w:szCs w:val="22"/>
        </w:rPr>
        <w:t>5.</w:t>
      </w:r>
      <w:r w:rsidR="00CB6BF9" w:rsidRPr="004D045E">
        <w:rPr>
          <w:rFonts w:ascii="Arial" w:hAnsi="Arial" w:cs="Arial"/>
          <w:color w:val="auto"/>
          <w:sz w:val="22"/>
          <w:szCs w:val="22"/>
        </w:rPr>
        <w:t>2</w:t>
      </w:r>
      <w:r w:rsidRPr="004D045E">
        <w:rPr>
          <w:rFonts w:ascii="Arial" w:hAnsi="Arial" w:cs="Arial"/>
          <w:color w:val="auto"/>
          <w:sz w:val="22"/>
          <w:szCs w:val="22"/>
        </w:rPr>
        <w:t xml:space="preserve"> Recommendations for Policy and Practice</w:t>
      </w:r>
    </w:p>
    <w:p w14:paraId="08E3EFCF" w14:textId="6EF8F907" w:rsidR="00046120" w:rsidRPr="004D045E" w:rsidRDefault="00046120" w:rsidP="00046120">
      <w:pPr>
        <w:pStyle w:val="NoSpacing"/>
        <w:jc w:val="both"/>
        <w:rPr>
          <w:rFonts w:ascii="Arial" w:hAnsi="Arial" w:cs="Arial"/>
        </w:rPr>
      </w:pPr>
      <w:bookmarkStart w:id="55" w:name="_2dlolyb" w:colFirst="0" w:colLast="0"/>
      <w:bookmarkEnd w:id="55"/>
      <w:r w:rsidRPr="004D045E">
        <w:rPr>
          <w:rFonts w:ascii="Arial" w:hAnsi="Arial" w:cs="Arial"/>
        </w:rPr>
        <w:t>Given that corporate governance improves financial risk management in Ghanaian pension schemes, regulators should set and enforce strict standards for board composition, risk management, and internal controls. Pension system trustees and managers should prioritize corporate governance, including training and capacity building, to improve financial risk management.</w:t>
      </w:r>
    </w:p>
    <w:p w14:paraId="60768411" w14:textId="77777777" w:rsidR="00046120" w:rsidRPr="004D045E" w:rsidRDefault="00046120" w:rsidP="00046120">
      <w:pPr>
        <w:pStyle w:val="NoSpacing"/>
        <w:jc w:val="both"/>
        <w:rPr>
          <w:rFonts w:ascii="Arial" w:hAnsi="Arial" w:cs="Arial"/>
        </w:rPr>
      </w:pPr>
    </w:p>
    <w:p w14:paraId="2B738D40" w14:textId="77777777" w:rsidR="00046120" w:rsidRPr="004D045E" w:rsidRDefault="00046120" w:rsidP="00046120">
      <w:pPr>
        <w:pStyle w:val="NoSpacing"/>
        <w:jc w:val="both"/>
        <w:rPr>
          <w:rFonts w:ascii="Arial" w:hAnsi="Arial" w:cs="Arial"/>
        </w:rPr>
      </w:pPr>
      <w:r w:rsidRPr="004D045E">
        <w:rPr>
          <w:rFonts w:ascii="Arial" w:hAnsi="Arial" w:cs="Arial"/>
        </w:rPr>
        <w:lastRenderedPageBreak/>
        <w:t>Since public and private pension schemes in Ghana have statistically different corporate governance practices, regulators should regularly assess both types of pension schemes to identify areas for improvement and implement corrective actions. Private employer-sponsored pension schemes should emulate public pension schemes' increased board independence, more audit committee meetings, and improved risk management.</w:t>
      </w:r>
    </w:p>
    <w:p w14:paraId="0AFE9ACF" w14:textId="77777777" w:rsidR="00046120" w:rsidRPr="004D045E" w:rsidRDefault="00046120" w:rsidP="00046120">
      <w:pPr>
        <w:pStyle w:val="NoSpacing"/>
        <w:jc w:val="both"/>
        <w:rPr>
          <w:rFonts w:ascii="Arial" w:hAnsi="Arial" w:cs="Arial"/>
        </w:rPr>
      </w:pPr>
      <w:r w:rsidRPr="004D045E">
        <w:rPr>
          <w:rFonts w:ascii="Arial" w:hAnsi="Arial" w:cs="Arial"/>
        </w:rPr>
        <w:t>The effectiveness of corporate governance systems in public employer-sponsored pension schemes in managing financial risk suggests that regulators should adopt them as a model for the industry, with appropriate modifications for private sector schemes. Private pension schemes could benefit from public employer-sponsored pension schemes' governance and financial risk management experience.</w:t>
      </w:r>
    </w:p>
    <w:p w14:paraId="6485A068" w14:textId="77777777" w:rsidR="00046120" w:rsidRPr="004D045E" w:rsidRDefault="00046120" w:rsidP="00046120">
      <w:pPr>
        <w:pStyle w:val="NoSpacing"/>
        <w:jc w:val="both"/>
        <w:rPr>
          <w:rFonts w:ascii="Arial" w:hAnsi="Arial" w:cs="Arial"/>
        </w:rPr>
      </w:pPr>
    </w:p>
    <w:p w14:paraId="3EE0CD33" w14:textId="3C89D40A" w:rsidR="00046120" w:rsidRPr="004D045E" w:rsidRDefault="00046120" w:rsidP="00046120">
      <w:pPr>
        <w:pStyle w:val="NoSpacing"/>
        <w:jc w:val="both"/>
        <w:rPr>
          <w:rFonts w:ascii="Arial" w:hAnsi="Arial" w:cs="Arial"/>
          <w:b/>
        </w:rPr>
      </w:pPr>
      <w:r w:rsidRPr="004D045E">
        <w:rPr>
          <w:rFonts w:ascii="Arial" w:hAnsi="Arial" w:cs="Arial"/>
        </w:rPr>
        <w:t xml:space="preserve">Regulators should also build a strong framework for pension scheme corporate governance monitoring and enforcement. </w:t>
      </w:r>
      <w:r w:rsidR="00E00427" w:rsidRPr="004D045E">
        <w:rPr>
          <w:rFonts w:ascii="Arial" w:hAnsi="Arial" w:cs="Arial"/>
        </w:rPr>
        <w:t>W</w:t>
      </w:r>
      <w:r w:rsidRPr="004D045E">
        <w:rPr>
          <w:rFonts w:ascii="Arial" w:hAnsi="Arial" w:cs="Arial"/>
        </w:rPr>
        <w:t>orldwide best practices pension scheme governance code should be created and implemented by industry players. In governance, pension system trustees and managers should prioritize openness, accountability, and stakeholder involvement. Ghana's pension business may improve corporate governance, financial risk management, and member and beneficiary protection by following these guidelines.</w:t>
      </w:r>
    </w:p>
    <w:p w14:paraId="63C91416" w14:textId="28D1501E" w:rsidR="00810699" w:rsidRPr="004D045E" w:rsidRDefault="00701FD7" w:rsidP="00046120">
      <w:pPr>
        <w:pStyle w:val="Heading3"/>
        <w:spacing w:line="240" w:lineRule="auto"/>
        <w:rPr>
          <w:rFonts w:ascii="Arial" w:hAnsi="Arial" w:cs="Arial"/>
          <w:color w:val="auto"/>
          <w:sz w:val="22"/>
          <w:szCs w:val="22"/>
        </w:rPr>
      </w:pPr>
      <w:r w:rsidRPr="004D045E">
        <w:rPr>
          <w:rFonts w:ascii="Arial" w:hAnsi="Arial" w:cs="Arial"/>
          <w:color w:val="auto"/>
          <w:sz w:val="22"/>
          <w:szCs w:val="22"/>
        </w:rPr>
        <w:t>5.</w:t>
      </w:r>
      <w:r w:rsidR="00CB6BF9" w:rsidRPr="004D045E">
        <w:rPr>
          <w:rFonts w:ascii="Arial" w:hAnsi="Arial" w:cs="Arial"/>
          <w:color w:val="auto"/>
          <w:sz w:val="22"/>
          <w:szCs w:val="22"/>
        </w:rPr>
        <w:t>3</w:t>
      </w:r>
      <w:r w:rsidRPr="004D045E">
        <w:rPr>
          <w:rFonts w:ascii="Arial" w:hAnsi="Arial" w:cs="Arial"/>
          <w:color w:val="auto"/>
          <w:sz w:val="22"/>
          <w:szCs w:val="22"/>
        </w:rPr>
        <w:t xml:space="preserve"> Direction for Future Research</w:t>
      </w:r>
    </w:p>
    <w:p w14:paraId="34148781"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This study had several limitations that should be acknowledged. Firstly, the study only focused on Ghana's pension industry, which may not be representative of other industries or countries. Secondly, the study relied on self-reported data from pension scheme trustees and managers, which may be subject to bias. Thirdly, the study did not investigate the impact of corporate governance on investment performance, which is an important aspect of pension scheme management.</w:t>
      </w:r>
    </w:p>
    <w:p w14:paraId="129F2ED7" w14:textId="5A606D9E"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 xml:space="preserve">Future research should aim to address these limitations and explore other aspects of corporate governance in Ghana's pension industry. For instance, a comparative study of corporate governance practices in different industries or countries could provide valuable insights into best practices and areas for improvement. Additionally, a study on the impact of corporate governance on investment performance could help to understand the financial implications of effective governance. </w:t>
      </w:r>
    </w:p>
    <w:p w14:paraId="7FD4B2D0" w14:textId="77777777" w:rsidR="00810699" w:rsidRPr="004D045E" w:rsidRDefault="00701FD7" w:rsidP="00A042C4">
      <w:pPr>
        <w:spacing w:line="240" w:lineRule="auto"/>
        <w:jc w:val="both"/>
        <w:rPr>
          <w:rFonts w:ascii="Arial" w:eastAsia="Times New Roman" w:hAnsi="Arial" w:cs="Arial"/>
        </w:rPr>
      </w:pPr>
      <w:r w:rsidRPr="004D045E">
        <w:rPr>
          <w:rFonts w:ascii="Arial" w:eastAsia="Times New Roman" w:hAnsi="Arial" w:cs="Arial"/>
        </w:rPr>
        <w:t>By addressing these limitations and exploring new research directions, future studies can build on the findings of this research and provide a more comprehensive understanding of corporate governance in Ghana's pension industry. This can ultimately inform policy and practice, leading to improved governance and sustainability of pension schemes in Ghana.</w:t>
      </w:r>
    </w:p>
    <w:p w14:paraId="1DDCC50F" w14:textId="77777777" w:rsidR="00810699" w:rsidRPr="004D045E" w:rsidRDefault="00810699" w:rsidP="00A042C4">
      <w:pPr>
        <w:spacing w:line="240" w:lineRule="auto"/>
        <w:rPr>
          <w:rFonts w:ascii="Arial" w:eastAsia="Times New Roman" w:hAnsi="Arial" w:cs="Arial"/>
        </w:rPr>
      </w:pPr>
    </w:p>
    <w:p w14:paraId="2B01F186" w14:textId="77777777" w:rsidR="00E461A4" w:rsidRPr="009C267D" w:rsidRDefault="00E461A4" w:rsidP="00E461A4">
      <w:pPr>
        <w:rPr>
          <w:b/>
        </w:rPr>
      </w:pPr>
      <w:r w:rsidRPr="009C267D">
        <w:rPr>
          <w:b/>
        </w:rPr>
        <w:t>Disclaimer (Artificial intelligence)</w:t>
      </w:r>
    </w:p>
    <w:p w14:paraId="049B7767" w14:textId="77777777" w:rsidR="00E461A4" w:rsidRDefault="00E461A4" w:rsidP="00E461A4">
      <w:r>
        <w:t xml:space="preserve">Option 1: </w:t>
      </w:r>
    </w:p>
    <w:p w14:paraId="5B40561A" w14:textId="77777777" w:rsidR="00E461A4" w:rsidRDefault="00E461A4" w:rsidP="00E461A4">
      <w:r>
        <w:t xml:space="preserve">Author(s) hereby declare that NO generative AI technologies such as Large Language Models (ChatGPT, COPILOT, etc.) and text-to-image generators have been used during the writing or editing of this manuscript. </w:t>
      </w:r>
    </w:p>
    <w:p w14:paraId="4E33F950" w14:textId="77777777" w:rsidR="00E461A4" w:rsidRDefault="00E461A4" w:rsidP="00E461A4">
      <w:r>
        <w:t xml:space="preserve">Option 2: </w:t>
      </w:r>
    </w:p>
    <w:p w14:paraId="3AF0520C" w14:textId="77777777" w:rsidR="00E461A4" w:rsidRDefault="00E461A4" w:rsidP="00E461A4">
      <w:r>
        <w:t xml:space="preserve">Author(s) hereby declare that generative AI technologies such as Large Language Models, etc. have been used during the writing or editing of manuscripts. This explanation will include the name, version, </w:t>
      </w:r>
      <w:r>
        <w:lastRenderedPageBreak/>
        <w:t>model, and source of the generative AI technology and as well as all input prompts provided to the generative AI technology</w:t>
      </w:r>
    </w:p>
    <w:p w14:paraId="308863FD" w14:textId="77777777" w:rsidR="00E461A4" w:rsidRDefault="00E461A4" w:rsidP="00E461A4">
      <w:r>
        <w:t>Details of the AI usage are given below:</w:t>
      </w:r>
    </w:p>
    <w:p w14:paraId="7B709B47" w14:textId="77777777" w:rsidR="00E461A4" w:rsidRDefault="00E461A4" w:rsidP="00E461A4">
      <w:r>
        <w:t>1.</w:t>
      </w:r>
    </w:p>
    <w:p w14:paraId="2A01DFBE" w14:textId="77777777" w:rsidR="00E461A4" w:rsidRDefault="00E461A4" w:rsidP="00E461A4">
      <w:r>
        <w:t>2.</w:t>
      </w:r>
    </w:p>
    <w:p w14:paraId="24F133B2" w14:textId="77777777" w:rsidR="00E461A4" w:rsidRPr="0053103C" w:rsidRDefault="00E461A4" w:rsidP="00E461A4">
      <w:r>
        <w:t>3.</w:t>
      </w:r>
    </w:p>
    <w:p w14:paraId="39808EB7" w14:textId="77777777" w:rsidR="00810699" w:rsidRPr="004D045E" w:rsidRDefault="00701FD7" w:rsidP="00A042C4">
      <w:pPr>
        <w:spacing w:line="240" w:lineRule="auto"/>
        <w:rPr>
          <w:rFonts w:ascii="Arial" w:eastAsia="Times New Roman" w:hAnsi="Arial" w:cs="Arial"/>
        </w:rPr>
      </w:pPr>
      <w:r w:rsidRPr="004D045E">
        <w:rPr>
          <w:rFonts w:ascii="Arial" w:hAnsi="Arial" w:cs="Arial"/>
        </w:rPr>
        <w:br w:type="page"/>
      </w:r>
    </w:p>
    <w:p w14:paraId="13EFDA26" w14:textId="77777777" w:rsidR="00810699" w:rsidRPr="004D045E" w:rsidRDefault="00701FD7" w:rsidP="00A042C4">
      <w:pPr>
        <w:pStyle w:val="Heading1"/>
        <w:spacing w:line="240" w:lineRule="auto"/>
        <w:rPr>
          <w:rFonts w:ascii="Arial" w:hAnsi="Arial" w:cs="Arial"/>
          <w:color w:val="auto"/>
          <w:sz w:val="22"/>
          <w:szCs w:val="22"/>
        </w:rPr>
      </w:pPr>
      <w:bookmarkStart w:id="56" w:name="_sqyw64" w:colFirst="0" w:colLast="0"/>
      <w:bookmarkEnd w:id="56"/>
      <w:r w:rsidRPr="004D045E">
        <w:rPr>
          <w:rFonts w:ascii="Arial" w:hAnsi="Arial" w:cs="Arial"/>
          <w:color w:val="auto"/>
          <w:sz w:val="22"/>
          <w:szCs w:val="22"/>
        </w:rPr>
        <w:lastRenderedPageBreak/>
        <w:t>REFERENCES</w:t>
      </w:r>
    </w:p>
    <w:p w14:paraId="05FB86B9" w14:textId="77777777" w:rsidR="003176F5" w:rsidRPr="004D045E" w:rsidRDefault="003176F5" w:rsidP="009E62C6">
      <w:pPr>
        <w:spacing w:line="240" w:lineRule="auto"/>
        <w:ind w:left="720" w:hanging="720"/>
        <w:jc w:val="both"/>
        <w:rPr>
          <w:rFonts w:ascii="Arial" w:eastAsia="Times New Roman" w:hAnsi="Arial" w:cs="Arial"/>
          <w:lang w:val="en-US"/>
        </w:rPr>
      </w:pPr>
    </w:p>
    <w:p w14:paraId="59BE00EC" w14:textId="11C59E38" w:rsidR="003176F5" w:rsidRPr="004D045E" w:rsidRDefault="003176F5" w:rsidP="009E62C6">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Ali, D. A., Letting, N. K., &amp; </w:t>
      </w:r>
      <w:proofErr w:type="spellStart"/>
      <w:r w:rsidRPr="004D045E">
        <w:rPr>
          <w:rFonts w:ascii="Arial" w:eastAsia="Times New Roman" w:hAnsi="Arial" w:cs="Arial"/>
          <w:lang w:val="en-US"/>
        </w:rPr>
        <w:t>Cheluget</w:t>
      </w:r>
      <w:proofErr w:type="spellEnd"/>
      <w:r w:rsidRPr="004D045E">
        <w:rPr>
          <w:rFonts w:ascii="Arial" w:eastAsia="Times New Roman" w:hAnsi="Arial" w:cs="Arial"/>
          <w:lang w:val="en-US"/>
        </w:rPr>
        <w:t>, J. (2020). The Relationship between Pillars of Corporate Governance and Performance of Pension Fund Managers in Kenya. Journal of Human Resource &amp; Leadership, 4(6), 40–55.</w:t>
      </w:r>
    </w:p>
    <w:p w14:paraId="179CB2D7" w14:textId="1D6C2B18" w:rsidR="009E62C6" w:rsidRPr="004D045E" w:rsidRDefault="009E62C6" w:rsidP="009E62C6">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Anthony </w:t>
      </w:r>
      <w:bookmarkStart w:id="57" w:name="_Hlk213948072"/>
      <w:r w:rsidRPr="004D045E">
        <w:rPr>
          <w:rFonts w:ascii="Arial" w:eastAsia="Times New Roman" w:hAnsi="Arial" w:cs="Arial"/>
          <w:lang w:val="en-US"/>
        </w:rPr>
        <w:t>Kyereboah-Coleman</w:t>
      </w:r>
      <w:bookmarkEnd w:id="57"/>
      <w:r w:rsidRPr="004D045E">
        <w:rPr>
          <w:rFonts w:ascii="Arial" w:eastAsia="Times New Roman" w:hAnsi="Arial" w:cs="Arial"/>
          <w:lang w:val="en-US"/>
        </w:rPr>
        <w:t xml:space="preserve">, Charles K.D. Adjasi, Joshua Abor, J. (2007). </w:t>
      </w:r>
      <w:r w:rsidRPr="004D045E">
        <w:rPr>
          <w:rFonts w:ascii="Arial" w:eastAsia="Times New Roman" w:hAnsi="Arial" w:cs="Arial"/>
          <w:i/>
          <w:lang w:val="en-US"/>
        </w:rPr>
        <w:t xml:space="preserve">Corporate Governance and Firm Performance: Evidence </w:t>
      </w:r>
      <w:proofErr w:type="gramStart"/>
      <w:r w:rsidRPr="004D045E">
        <w:rPr>
          <w:rFonts w:ascii="Arial" w:eastAsia="Times New Roman" w:hAnsi="Arial" w:cs="Arial"/>
          <w:i/>
          <w:lang w:val="en-US"/>
        </w:rPr>
        <w:t>From</w:t>
      </w:r>
      <w:proofErr w:type="gramEnd"/>
      <w:r w:rsidRPr="004D045E">
        <w:rPr>
          <w:rFonts w:ascii="Arial" w:eastAsia="Times New Roman" w:hAnsi="Arial" w:cs="Arial"/>
          <w:i/>
          <w:lang w:val="en-US"/>
        </w:rPr>
        <w:t xml:space="preserve"> Ghanaian Listed Companies. Journal: Corporate Ownership &amp; Control / Volume 4, Issue 2, Winter 2006-2007</w:t>
      </w:r>
    </w:p>
    <w:p w14:paraId="66F9890B" w14:textId="4C568303" w:rsidR="009E62C6" w:rsidRPr="004D045E" w:rsidRDefault="00FA62C0" w:rsidP="007E2663">
      <w:pPr>
        <w:spacing w:line="240" w:lineRule="auto"/>
        <w:ind w:left="720" w:hanging="720"/>
        <w:jc w:val="both"/>
        <w:rPr>
          <w:rFonts w:ascii="Arial" w:eastAsia="Times New Roman" w:hAnsi="Arial" w:cs="Arial"/>
          <w:i/>
          <w:lang w:val="en-US"/>
        </w:rPr>
      </w:pPr>
      <w:bookmarkStart w:id="58" w:name="_Hlk213948749"/>
      <w:proofErr w:type="spellStart"/>
      <w:r w:rsidRPr="004D045E">
        <w:rPr>
          <w:rFonts w:ascii="Arial" w:eastAsia="Times New Roman" w:hAnsi="Arial" w:cs="Arial"/>
          <w:lang w:val="en-US"/>
        </w:rPr>
        <w:t>Akomea</w:t>
      </w:r>
      <w:proofErr w:type="spellEnd"/>
      <w:r w:rsidRPr="004D045E">
        <w:rPr>
          <w:rFonts w:ascii="Arial" w:eastAsia="Times New Roman" w:hAnsi="Arial" w:cs="Arial"/>
          <w:lang w:val="en-US"/>
        </w:rPr>
        <w:t>-Frimpong</w:t>
      </w:r>
      <w:bookmarkEnd w:id="58"/>
      <w:r w:rsidRPr="004D045E">
        <w:rPr>
          <w:rFonts w:ascii="Arial" w:eastAsia="Times New Roman" w:hAnsi="Arial" w:cs="Arial"/>
          <w:lang w:val="en-US"/>
        </w:rPr>
        <w:t xml:space="preserve">, I., </w:t>
      </w:r>
      <w:proofErr w:type="spellStart"/>
      <w:r w:rsidRPr="004D045E">
        <w:rPr>
          <w:rFonts w:ascii="Arial" w:eastAsia="Times New Roman" w:hAnsi="Arial" w:cs="Arial"/>
          <w:lang w:val="en-US"/>
        </w:rPr>
        <w:t>Tenakwah</w:t>
      </w:r>
      <w:proofErr w:type="spellEnd"/>
      <w:r w:rsidRPr="004D045E">
        <w:rPr>
          <w:rFonts w:ascii="Arial" w:eastAsia="Times New Roman" w:hAnsi="Arial" w:cs="Arial"/>
          <w:lang w:val="en-US"/>
        </w:rPr>
        <w:t xml:space="preserve">, E. S., </w:t>
      </w:r>
      <w:proofErr w:type="spellStart"/>
      <w:r w:rsidRPr="004D045E">
        <w:rPr>
          <w:rFonts w:ascii="Arial" w:eastAsia="Times New Roman" w:hAnsi="Arial" w:cs="Arial"/>
          <w:lang w:val="en-US"/>
        </w:rPr>
        <w:t>Tenakwah</w:t>
      </w:r>
      <w:proofErr w:type="spellEnd"/>
      <w:r w:rsidRPr="004D045E">
        <w:rPr>
          <w:rFonts w:ascii="Arial" w:eastAsia="Times New Roman" w:hAnsi="Arial" w:cs="Arial"/>
          <w:lang w:val="en-US"/>
        </w:rPr>
        <w:t xml:space="preserve">, E. J., &amp; Amponsah, M. (2022). </w:t>
      </w:r>
      <w:r w:rsidRPr="004D045E">
        <w:rPr>
          <w:rFonts w:ascii="Arial" w:eastAsia="Times New Roman" w:hAnsi="Arial" w:cs="Arial"/>
          <w:i/>
          <w:lang w:val="en-US"/>
        </w:rPr>
        <w:t>Corporate Governance and Performance of Pension Funds in Ghana: A Mixed-Method Study. International Journal of Financial Studies, 10(3), 52.</w:t>
      </w:r>
    </w:p>
    <w:p w14:paraId="7FC0DEF3" w14:textId="6845385B" w:rsidR="00FC6BBA" w:rsidRPr="004D045E" w:rsidRDefault="00FC6BBA" w:rsidP="00FC6BBA">
      <w:pPr>
        <w:spacing w:line="240" w:lineRule="auto"/>
        <w:ind w:left="720" w:hanging="720"/>
        <w:jc w:val="both"/>
        <w:rPr>
          <w:rFonts w:ascii="Arial" w:eastAsia="Times New Roman" w:hAnsi="Arial" w:cs="Arial"/>
          <w:lang w:val="en-US"/>
        </w:rPr>
      </w:pPr>
      <w:proofErr w:type="spellStart"/>
      <w:r w:rsidRPr="004D045E">
        <w:rPr>
          <w:rFonts w:ascii="Arial" w:eastAsia="Times New Roman" w:hAnsi="Arial" w:cs="Arial"/>
          <w:lang w:val="en-US"/>
        </w:rPr>
        <w:t>Akomea</w:t>
      </w:r>
      <w:proofErr w:type="spellEnd"/>
      <w:r w:rsidRPr="004D045E">
        <w:rPr>
          <w:rFonts w:ascii="Arial" w:eastAsia="Times New Roman" w:hAnsi="Arial" w:cs="Arial"/>
          <w:lang w:val="en-US"/>
        </w:rPr>
        <w:t xml:space="preserve">-Frimpong, I., Appiah, S. K., &amp; Osei, K. A. (2022). The impact of corporate governance on financial risk management in Ghana's pension industry. </w:t>
      </w:r>
      <w:r w:rsidRPr="004D045E">
        <w:rPr>
          <w:rFonts w:ascii="Arial" w:eastAsia="Times New Roman" w:hAnsi="Arial" w:cs="Arial"/>
          <w:i/>
          <w:iCs/>
          <w:lang w:val="en-US"/>
        </w:rPr>
        <w:t>Ghana Journal of Financial Management, 10</w:t>
      </w:r>
      <w:r w:rsidRPr="004D045E">
        <w:rPr>
          <w:rFonts w:ascii="Arial" w:eastAsia="Times New Roman" w:hAnsi="Arial" w:cs="Arial"/>
          <w:lang w:val="en-US"/>
        </w:rPr>
        <w:t>(2), 95-112.</w:t>
      </w:r>
    </w:p>
    <w:p w14:paraId="428FF9D6" w14:textId="7FA26DC8" w:rsidR="00FA3317" w:rsidRPr="004D045E" w:rsidRDefault="006962F0" w:rsidP="00FC6BBA">
      <w:pPr>
        <w:spacing w:line="240" w:lineRule="auto"/>
        <w:ind w:left="720" w:hanging="720"/>
        <w:jc w:val="both"/>
        <w:rPr>
          <w:rFonts w:ascii="Arial" w:eastAsia="Times New Roman" w:hAnsi="Arial" w:cs="Arial"/>
          <w:lang w:val="en-US"/>
        </w:rPr>
      </w:pPr>
      <w:r w:rsidRPr="00E461A4">
        <w:rPr>
          <w:rFonts w:ascii="Arial" w:eastAsia="Times New Roman" w:hAnsi="Arial" w:cs="Arial"/>
          <w:lang w:val="nl-BE"/>
        </w:rPr>
        <w:t>Arena, M.P., Merker, C.K., Peck, S.W. </w:t>
      </w:r>
      <w:r w:rsidRPr="00E461A4">
        <w:rPr>
          <w:rFonts w:ascii="Arial" w:eastAsia="Times New Roman" w:hAnsi="Arial" w:cs="Arial"/>
          <w:i/>
          <w:iCs/>
          <w:lang w:val="nl-BE"/>
        </w:rPr>
        <w:t>et al.</w:t>
      </w:r>
      <w:r w:rsidRPr="00E461A4">
        <w:rPr>
          <w:rFonts w:ascii="Arial" w:eastAsia="Times New Roman" w:hAnsi="Arial" w:cs="Arial"/>
          <w:lang w:val="nl-BE"/>
        </w:rPr>
        <w:t> </w:t>
      </w:r>
      <w:r w:rsidRPr="004D045E">
        <w:rPr>
          <w:rFonts w:ascii="Arial" w:eastAsia="Times New Roman" w:hAnsi="Arial" w:cs="Arial"/>
          <w:lang w:val="en-US"/>
        </w:rPr>
        <w:t xml:space="preserve">Does the Board Engagement of Public Pension Plans </w:t>
      </w:r>
      <w:proofErr w:type="gramStart"/>
      <w:r w:rsidRPr="004D045E">
        <w:rPr>
          <w:rFonts w:ascii="Arial" w:eastAsia="Times New Roman" w:hAnsi="Arial" w:cs="Arial"/>
          <w:lang w:val="en-US"/>
        </w:rPr>
        <w:t>Matter?.</w:t>
      </w:r>
      <w:proofErr w:type="gramEnd"/>
      <w:r w:rsidRPr="004D045E">
        <w:rPr>
          <w:rFonts w:ascii="Arial" w:eastAsia="Times New Roman" w:hAnsi="Arial" w:cs="Arial"/>
          <w:lang w:val="en-US"/>
        </w:rPr>
        <w:t> </w:t>
      </w:r>
      <w:r w:rsidRPr="004D045E">
        <w:rPr>
          <w:rFonts w:ascii="Arial" w:eastAsia="Times New Roman" w:hAnsi="Arial" w:cs="Arial"/>
          <w:i/>
          <w:iCs/>
          <w:lang w:val="en-US"/>
        </w:rPr>
        <w:t xml:space="preserve">J </w:t>
      </w:r>
      <w:proofErr w:type="spellStart"/>
      <w:r w:rsidRPr="004D045E">
        <w:rPr>
          <w:rFonts w:ascii="Arial" w:eastAsia="Times New Roman" w:hAnsi="Arial" w:cs="Arial"/>
          <w:i/>
          <w:iCs/>
          <w:lang w:val="en-US"/>
        </w:rPr>
        <w:t>Financ</w:t>
      </w:r>
      <w:proofErr w:type="spellEnd"/>
      <w:r w:rsidRPr="004D045E">
        <w:rPr>
          <w:rFonts w:ascii="Arial" w:eastAsia="Times New Roman" w:hAnsi="Arial" w:cs="Arial"/>
          <w:i/>
          <w:iCs/>
          <w:lang w:val="en-US"/>
        </w:rPr>
        <w:t xml:space="preserve"> Serv Res</w:t>
      </w:r>
      <w:r w:rsidRPr="004D045E">
        <w:rPr>
          <w:rFonts w:ascii="Arial" w:eastAsia="Times New Roman" w:hAnsi="Arial" w:cs="Arial"/>
          <w:lang w:val="en-US"/>
        </w:rPr>
        <w:t> (2025).</w:t>
      </w:r>
    </w:p>
    <w:p w14:paraId="52C4B06F" w14:textId="77777777" w:rsidR="002B3369" w:rsidRPr="004D045E" w:rsidRDefault="002B3369" w:rsidP="002B3369">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Benjamin Siaw Ofori, Abigail Padi, Alhassan Musah. (2025) Corporate governance effectiveness and operational risk of banks. </w:t>
      </w:r>
      <w:r w:rsidRPr="004D045E">
        <w:rPr>
          <w:rFonts w:ascii="Arial" w:eastAsia="Times New Roman" w:hAnsi="Arial" w:cs="Arial"/>
          <w:i/>
          <w:lang w:val="en-US"/>
        </w:rPr>
        <w:t>Discover Global Society</w:t>
      </w:r>
      <w:r w:rsidRPr="004D045E">
        <w:rPr>
          <w:rFonts w:ascii="Arial" w:eastAsia="Times New Roman" w:hAnsi="Arial" w:cs="Arial"/>
          <w:lang w:val="en-US"/>
        </w:rPr>
        <w:t xml:space="preserve">  </w:t>
      </w:r>
    </w:p>
    <w:p w14:paraId="24C06F8F" w14:textId="77777777" w:rsidR="002B3369" w:rsidRPr="004D045E" w:rsidRDefault="002B3369" w:rsidP="00FC6BBA">
      <w:pPr>
        <w:spacing w:line="240" w:lineRule="auto"/>
        <w:ind w:left="720" w:hanging="720"/>
        <w:jc w:val="both"/>
        <w:rPr>
          <w:rFonts w:ascii="Arial" w:eastAsia="Times New Roman" w:hAnsi="Arial" w:cs="Arial"/>
          <w:lang w:val="en-US"/>
        </w:rPr>
      </w:pPr>
    </w:p>
    <w:p w14:paraId="489E933F" w14:textId="023D9E57" w:rsidR="008332E6" w:rsidRPr="004D045E" w:rsidRDefault="008332E6" w:rsidP="00FC6BBA">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Cocco, J. F., &amp; </w:t>
      </w:r>
      <w:proofErr w:type="spellStart"/>
      <w:r w:rsidRPr="004D045E">
        <w:rPr>
          <w:rFonts w:ascii="Arial" w:eastAsia="Times New Roman" w:hAnsi="Arial" w:cs="Arial"/>
          <w:lang w:val="en-US"/>
        </w:rPr>
        <w:t>Volpin</w:t>
      </w:r>
      <w:proofErr w:type="spellEnd"/>
      <w:r w:rsidRPr="004D045E">
        <w:rPr>
          <w:rFonts w:ascii="Arial" w:eastAsia="Times New Roman" w:hAnsi="Arial" w:cs="Arial"/>
          <w:lang w:val="en-US"/>
        </w:rPr>
        <w:t xml:space="preserve">, P. F. (2007). Corporate Governance of Pension Plans: The U.K. Evidence. Financial Analysts Journal, 63(1), 70–83. </w:t>
      </w:r>
    </w:p>
    <w:p w14:paraId="3B5BC76B" w14:textId="4AE25855" w:rsidR="006A5072" w:rsidRPr="004D045E" w:rsidRDefault="006A5072" w:rsidP="006A5072">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Esther Asiedu, Nana Kwame Owusu Ansah, Afia Nyarko Boakye, Ebenezer Malcalm. (2024). Financial Performance of Private Pension Funds in Ghana: The Effect of Risk Management. </w:t>
      </w:r>
      <w:r w:rsidRPr="004D045E">
        <w:rPr>
          <w:rFonts w:ascii="Arial" w:eastAsia="Times New Roman" w:hAnsi="Arial" w:cs="Arial"/>
          <w:i/>
          <w:lang w:val="en-US"/>
        </w:rPr>
        <w:t>Journal of Financial Risk Management</w:t>
      </w:r>
      <w:r w:rsidRPr="004D045E">
        <w:rPr>
          <w:rFonts w:ascii="Arial" w:eastAsia="Times New Roman" w:hAnsi="Arial" w:cs="Arial"/>
          <w:lang w:val="en-US"/>
        </w:rPr>
        <w:t xml:space="preserve">  </w:t>
      </w:r>
    </w:p>
    <w:p w14:paraId="6AD4644B" w14:textId="03872B9C" w:rsidR="00744F6B" w:rsidRPr="004D045E" w:rsidRDefault="00744F6B" w:rsidP="00FC6BBA">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Gericke, R. C., Gericke, T., &amp; Torregrosa. (2018). Corporate governance and risk management in financial institutions. Springer International Publishing Ag, Part </w:t>
      </w:r>
      <w:proofErr w:type="gramStart"/>
      <w:r w:rsidRPr="004D045E">
        <w:rPr>
          <w:rFonts w:ascii="Arial" w:eastAsia="Times New Roman" w:hAnsi="Arial" w:cs="Arial"/>
          <w:lang w:val="en-US"/>
        </w:rPr>
        <w:t>Of</w:t>
      </w:r>
      <w:proofErr w:type="gramEnd"/>
      <w:r w:rsidRPr="004D045E">
        <w:rPr>
          <w:rFonts w:ascii="Arial" w:eastAsia="Times New Roman" w:hAnsi="Arial" w:cs="Arial"/>
          <w:lang w:val="en-US"/>
        </w:rPr>
        <w:t xml:space="preserve"> Springer Nature</w:t>
      </w:r>
    </w:p>
    <w:p w14:paraId="2CBBC2CE" w14:textId="52076EC5" w:rsidR="00FC6BBA" w:rsidRPr="004D045E" w:rsidRDefault="00FC6BBA" w:rsidP="00FC6BBA">
      <w:pPr>
        <w:spacing w:line="240" w:lineRule="auto"/>
        <w:ind w:left="720" w:hanging="720"/>
        <w:jc w:val="both"/>
        <w:rPr>
          <w:rFonts w:ascii="Arial" w:eastAsia="Times New Roman" w:hAnsi="Arial" w:cs="Arial"/>
          <w:lang w:val="en-US"/>
        </w:rPr>
      </w:pPr>
      <w:proofErr w:type="spellStart"/>
      <w:r w:rsidRPr="004D045E">
        <w:rPr>
          <w:rFonts w:ascii="Arial" w:eastAsia="Times New Roman" w:hAnsi="Arial" w:cs="Arial"/>
          <w:lang w:val="en-US"/>
        </w:rPr>
        <w:t>Gravetter</w:t>
      </w:r>
      <w:proofErr w:type="spellEnd"/>
      <w:r w:rsidRPr="004D045E">
        <w:rPr>
          <w:rFonts w:ascii="Arial" w:eastAsia="Times New Roman" w:hAnsi="Arial" w:cs="Arial"/>
          <w:lang w:val="en-US"/>
        </w:rPr>
        <w:t xml:space="preserve">, F. J., &amp; Forzano, L. (2015). </w:t>
      </w:r>
      <w:r w:rsidRPr="004D045E">
        <w:rPr>
          <w:rFonts w:ascii="Arial" w:eastAsia="Times New Roman" w:hAnsi="Arial" w:cs="Arial"/>
          <w:i/>
          <w:iCs/>
          <w:lang w:val="en-US"/>
        </w:rPr>
        <w:t>Research methods for the behavioral sciences</w:t>
      </w:r>
      <w:r w:rsidRPr="004D045E">
        <w:rPr>
          <w:rFonts w:ascii="Arial" w:eastAsia="Times New Roman" w:hAnsi="Arial" w:cs="Arial"/>
          <w:lang w:val="en-US"/>
        </w:rPr>
        <w:t xml:space="preserve"> (6th ed.). Belmont, CA: Wadsworth Cengage Learning.</w:t>
      </w:r>
    </w:p>
    <w:p w14:paraId="3A2D1D9F" w14:textId="77777777" w:rsidR="00FC6BBA" w:rsidRPr="004D045E" w:rsidRDefault="00FC6BBA" w:rsidP="00FC6BBA">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Hillson, D. (2013). </w:t>
      </w:r>
      <w:r w:rsidRPr="004D045E">
        <w:rPr>
          <w:rFonts w:ascii="Arial" w:eastAsia="Times New Roman" w:hAnsi="Arial" w:cs="Arial"/>
          <w:i/>
          <w:iCs/>
          <w:lang w:val="en-US"/>
        </w:rPr>
        <w:t>Understanding risk management: A guide to risk management for project managers</w:t>
      </w:r>
      <w:r w:rsidRPr="004D045E">
        <w:rPr>
          <w:rFonts w:ascii="Arial" w:eastAsia="Times New Roman" w:hAnsi="Arial" w:cs="Arial"/>
          <w:lang w:val="en-US"/>
        </w:rPr>
        <w:t>. Project Management Institute.</w:t>
      </w:r>
    </w:p>
    <w:p w14:paraId="6FD62CDC" w14:textId="6A7553FD" w:rsidR="00FC6BBA" w:rsidRPr="004D045E" w:rsidRDefault="00FC6BBA" w:rsidP="00FC6BBA">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Jensen, M. C., &amp; Meckling, W. H. (1976). Theory of the firm: Managerial behavior, agency costs, and ownership structure. </w:t>
      </w:r>
      <w:r w:rsidRPr="004D045E">
        <w:rPr>
          <w:rFonts w:ascii="Arial" w:eastAsia="Times New Roman" w:hAnsi="Arial" w:cs="Arial"/>
          <w:i/>
          <w:iCs/>
          <w:lang w:val="en-US"/>
        </w:rPr>
        <w:t>Journal of Financial Economics, 3</w:t>
      </w:r>
      <w:r w:rsidRPr="004D045E">
        <w:rPr>
          <w:rFonts w:ascii="Arial" w:eastAsia="Times New Roman" w:hAnsi="Arial" w:cs="Arial"/>
          <w:lang w:val="en-US"/>
        </w:rPr>
        <w:t>(4), 305-360.</w:t>
      </w:r>
    </w:p>
    <w:p w14:paraId="23FD3DF5" w14:textId="13FB4B6A" w:rsidR="00FC4980" w:rsidRPr="004D045E" w:rsidRDefault="002E5E11" w:rsidP="00744F6B">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James </w:t>
      </w:r>
      <w:proofErr w:type="spellStart"/>
      <w:r w:rsidRPr="004D045E">
        <w:rPr>
          <w:rFonts w:ascii="Arial" w:eastAsia="Times New Roman" w:hAnsi="Arial" w:cs="Arial"/>
          <w:lang w:val="en-US"/>
        </w:rPr>
        <w:t>Ntiamoah</w:t>
      </w:r>
      <w:proofErr w:type="spellEnd"/>
      <w:r w:rsidRPr="004D045E">
        <w:rPr>
          <w:rFonts w:ascii="Arial" w:eastAsia="Times New Roman" w:hAnsi="Arial" w:cs="Arial"/>
          <w:lang w:val="en-US"/>
        </w:rPr>
        <w:t xml:space="preserve"> </w:t>
      </w:r>
      <w:proofErr w:type="spellStart"/>
      <w:r w:rsidRPr="004D045E">
        <w:rPr>
          <w:rFonts w:ascii="Arial" w:eastAsia="Times New Roman" w:hAnsi="Arial" w:cs="Arial"/>
          <w:lang w:val="en-US"/>
        </w:rPr>
        <w:t>Doku</w:t>
      </w:r>
      <w:proofErr w:type="spellEnd"/>
      <w:r w:rsidRPr="004D045E">
        <w:rPr>
          <w:rFonts w:ascii="Arial" w:eastAsia="Times New Roman" w:hAnsi="Arial" w:cs="Arial"/>
          <w:lang w:val="en-US"/>
        </w:rPr>
        <w:t xml:space="preserve">, </w:t>
      </w:r>
      <w:proofErr w:type="spellStart"/>
      <w:r w:rsidRPr="004D045E">
        <w:rPr>
          <w:rFonts w:ascii="Arial" w:eastAsia="Times New Roman" w:hAnsi="Arial" w:cs="Arial"/>
          <w:lang w:val="en-US"/>
        </w:rPr>
        <w:t>Godsway</w:t>
      </w:r>
      <w:proofErr w:type="spellEnd"/>
      <w:r w:rsidRPr="004D045E">
        <w:rPr>
          <w:rFonts w:ascii="Arial" w:eastAsia="Times New Roman" w:hAnsi="Arial" w:cs="Arial"/>
          <w:lang w:val="en-US"/>
        </w:rPr>
        <w:t xml:space="preserve"> Kofi </w:t>
      </w:r>
      <w:proofErr w:type="spellStart"/>
      <w:r w:rsidRPr="004D045E">
        <w:rPr>
          <w:rFonts w:ascii="Arial" w:eastAsia="Times New Roman" w:hAnsi="Arial" w:cs="Arial"/>
          <w:lang w:val="en-US"/>
        </w:rPr>
        <w:t>Ametorwobla</w:t>
      </w:r>
      <w:proofErr w:type="spellEnd"/>
      <w:r w:rsidRPr="004D045E">
        <w:rPr>
          <w:rFonts w:ascii="Arial" w:eastAsia="Times New Roman" w:hAnsi="Arial" w:cs="Arial"/>
          <w:lang w:val="en-US"/>
        </w:rPr>
        <w:t xml:space="preserve">, Isaac </w:t>
      </w:r>
      <w:proofErr w:type="spellStart"/>
      <w:r w:rsidRPr="004D045E">
        <w:rPr>
          <w:rFonts w:ascii="Arial" w:eastAsia="Times New Roman" w:hAnsi="Arial" w:cs="Arial"/>
          <w:lang w:val="en-US"/>
        </w:rPr>
        <w:t>Boadi</w:t>
      </w:r>
      <w:proofErr w:type="spellEnd"/>
      <w:r w:rsidRPr="004D045E">
        <w:rPr>
          <w:rFonts w:ascii="Arial" w:eastAsia="Times New Roman" w:hAnsi="Arial" w:cs="Arial"/>
          <w:lang w:val="en-US"/>
        </w:rPr>
        <w:t xml:space="preserve">, Francisca </w:t>
      </w:r>
      <w:proofErr w:type="spellStart"/>
      <w:r w:rsidRPr="004D045E">
        <w:rPr>
          <w:rFonts w:ascii="Arial" w:eastAsia="Times New Roman" w:hAnsi="Arial" w:cs="Arial"/>
          <w:lang w:val="en-US"/>
        </w:rPr>
        <w:t>Adzoa</w:t>
      </w:r>
      <w:proofErr w:type="spellEnd"/>
      <w:r w:rsidRPr="004D045E">
        <w:rPr>
          <w:rFonts w:ascii="Arial" w:eastAsia="Times New Roman" w:hAnsi="Arial" w:cs="Arial"/>
          <w:lang w:val="en-US"/>
        </w:rPr>
        <w:t xml:space="preserve"> </w:t>
      </w:r>
      <w:proofErr w:type="spellStart"/>
      <w:r w:rsidRPr="004D045E">
        <w:rPr>
          <w:rFonts w:ascii="Arial" w:eastAsia="Times New Roman" w:hAnsi="Arial" w:cs="Arial"/>
          <w:lang w:val="en-US"/>
        </w:rPr>
        <w:t>Adzoh</w:t>
      </w:r>
      <w:proofErr w:type="spellEnd"/>
      <w:r w:rsidRPr="004D045E">
        <w:rPr>
          <w:rFonts w:ascii="Arial" w:eastAsia="Times New Roman" w:hAnsi="Arial" w:cs="Arial"/>
          <w:lang w:val="en-US"/>
        </w:rPr>
        <w:t xml:space="preserve"> (2022</w:t>
      </w:r>
      <w:proofErr w:type="gramStart"/>
      <w:r w:rsidRPr="004D045E">
        <w:rPr>
          <w:rFonts w:ascii="Arial" w:eastAsia="Times New Roman" w:hAnsi="Arial" w:cs="Arial"/>
          <w:lang w:val="en-US"/>
        </w:rPr>
        <w:t>)</w:t>
      </w:r>
      <w:r w:rsidR="00744F6B" w:rsidRPr="004D045E">
        <w:rPr>
          <w:rFonts w:ascii="Arial" w:eastAsia="Times New Roman" w:hAnsi="Arial" w:cs="Arial"/>
          <w:lang w:val="en-US"/>
        </w:rPr>
        <w:t>,</w:t>
      </w:r>
      <w:r w:rsidRPr="004D045E">
        <w:rPr>
          <w:rFonts w:ascii="Arial" w:eastAsia="Times New Roman" w:hAnsi="Arial" w:cs="Arial"/>
          <w:i/>
          <w:lang w:val="en-US"/>
        </w:rPr>
        <w:t>Corporate</w:t>
      </w:r>
      <w:proofErr w:type="gramEnd"/>
      <w:r w:rsidRPr="004D045E">
        <w:rPr>
          <w:rFonts w:ascii="Arial" w:eastAsia="Times New Roman" w:hAnsi="Arial" w:cs="Arial"/>
          <w:i/>
          <w:lang w:val="en-US"/>
        </w:rPr>
        <w:t xml:space="preserve"> Governance Characteristics and Financing Decisions of Listed Firms in Ghana. Journal of Comparative International Management, </w:t>
      </w:r>
      <w:proofErr w:type="spellStart"/>
      <w:r w:rsidRPr="004D045E">
        <w:rPr>
          <w:rFonts w:ascii="Arial" w:eastAsia="Times New Roman" w:hAnsi="Arial" w:cs="Arial"/>
          <w:i/>
          <w:lang w:val="en-US"/>
        </w:rPr>
        <w:t>Ntiamoah</w:t>
      </w:r>
      <w:proofErr w:type="spellEnd"/>
      <w:r w:rsidRPr="004D045E">
        <w:rPr>
          <w:rFonts w:ascii="Arial" w:eastAsia="Times New Roman" w:hAnsi="Arial" w:cs="Arial"/>
          <w:i/>
          <w:lang w:val="en-US"/>
        </w:rPr>
        <w:t xml:space="preserve"> </w:t>
      </w:r>
      <w:proofErr w:type="spellStart"/>
      <w:r w:rsidRPr="004D045E">
        <w:rPr>
          <w:rFonts w:ascii="Arial" w:eastAsia="Times New Roman" w:hAnsi="Arial" w:cs="Arial"/>
          <w:i/>
          <w:lang w:val="en-US"/>
        </w:rPr>
        <w:t>Doku</w:t>
      </w:r>
      <w:proofErr w:type="spellEnd"/>
      <w:r w:rsidRPr="004D045E">
        <w:rPr>
          <w:rFonts w:ascii="Arial" w:eastAsia="Times New Roman" w:hAnsi="Arial" w:cs="Arial"/>
          <w:i/>
          <w:lang w:val="en-US"/>
        </w:rPr>
        <w:t xml:space="preserve"> et </w:t>
      </w:r>
      <w:proofErr w:type="spellStart"/>
      <w:r w:rsidRPr="004D045E">
        <w:rPr>
          <w:rFonts w:ascii="Arial" w:eastAsia="Times New Roman" w:hAnsi="Arial" w:cs="Arial"/>
          <w:i/>
          <w:lang w:val="en-US"/>
        </w:rPr>
        <w:t>al.Vol</w:t>
      </w:r>
      <w:proofErr w:type="spellEnd"/>
      <w:r w:rsidRPr="004D045E">
        <w:rPr>
          <w:rFonts w:ascii="Arial" w:eastAsia="Times New Roman" w:hAnsi="Arial" w:cs="Arial"/>
          <w:i/>
          <w:lang w:val="en-US"/>
        </w:rPr>
        <w:t>. 25, No2, 194-220 (2022)</w:t>
      </w:r>
    </w:p>
    <w:p w14:paraId="2A2C4E14" w14:textId="114A1F84" w:rsidR="00744F6B" w:rsidRPr="004D045E" w:rsidRDefault="00744F6B" w:rsidP="00FC6BBA">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Kalia A, Gill S (2023), "Corporate governance and risk management: a systematic review and synthesis for future research". Journal of Advances in Management Research, Vol. 20 No. 3 pp. 409–461,</w:t>
      </w:r>
    </w:p>
    <w:p w14:paraId="10641C8D" w14:textId="5E70D871" w:rsidR="00FC4980" w:rsidRPr="004D045E" w:rsidRDefault="00FC4980" w:rsidP="00FC6BBA">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lastRenderedPageBreak/>
        <w:t xml:space="preserve">Khalil S, Naaman C, Sahyoun N, Twardus I (2025), "Corporate governance structures, managerial attributes and the accuracy of expected pension contributions". </w:t>
      </w:r>
      <w:r w:rsidRPr="004D045E">
        <w:rPr>
          <w:rFonts w:ascii="Arial" w:eastAsia="Times New Roman" w:hAnsi="Arial" w:cs="Arial"/>
          <w:i/>
          <w:lang w:val="en-US"/>
        </w:rPr>
        <w:t>Journal of Applied Accounting Research, Vol. 26 No. 5 pp. 1028–1046</w:t>
      </w:r>
      <w:r w:rsidRPr="004D045E">
        <w:rPr>
          <w:rFonts w:ascii="Arial" w:eastAsia="Times New Roman" w:hAnsi="Arial" w:cs="Arial"/>
          <w:lang w:val="en-US"/>
        </w:rPr>
        <w:t>.</w:t>
      </w:r>
    </w:p>
    <w:p w14:paraId="1A134830" w14:textId="490D7FD9" w:rsidR="006E5765" w:rsidRPr="004D045E" w:rsidRDefault="006E5765" w:rsidP="00FC6BBA">
      <w:pPr>
        <w:spacing w:line="240" w:lineRule="auto"/>
        <w:ind w:left="720" w:hanging="720"/>
        <w:jc w:val="both"/>
        <w:rPr>
          <w:rFonts w:ascii="Arial" w:eastAsia="Times New Roman" w:hAnsi="Arial" w:cs="Arial"/>
          <w:lang w:val="en-US"/>
        </w:rPr>
      </w:pPr>
    </w:p>
    <w:p w14:paraId="25EE7409" w14:textId="12F13374" w:rsidR="006E5765" w:rsidRPr="004D045E" w:rsidRDefault="006E5765" w:rsidP="00FC6BBA">
      <w:pPr>
        <w:spacing w:line="240" w:lineRule="auto"/>
        <w:ind w:left="720" w:hanging="720"/>
        <w:jc w:val="both"/>
        <w:rPr>
          <w:rFonts w:ascii="Arial" w:eastAsia="Times New Roman" w:hAnsi="Arial" w:cs="Arial"/>
          <w:lang w:val="en-US"/>
        </w:rPr>
      </w:pPr>
      <w:proofErr w:type="spellStart"/>
      <w:r w:rsidRPr="004D045E">
        <w:rPr>
          <w:rFonts w:ascii="Arial" w:eastAsia="Times New Roman" w:hAnsi="Arial" w:cs="Arial"/>
          <w:lang w:val="en-US"/>
        </w:rPr>
        <w:t>Kpessa</w:t>
      </w:r>
      <w:proofErr w:type="spellEnd"/>
      <w:r w:rsidRPr="004D045E">
        <w:rPr>
          <w:rFonts w:ascii="Arial" w:eastAsia="Times New Roman" w:hAnsi="Arial" w:cs="Arial"/>
          <w:lang w:val="en-US"/>
        </w:rPr>
        <w:t xml:space="preserve">-Whyte, Michael, and </w:t>
      </w:r>
      <w:proofErr w:type="spellStart"/>
      <w:r w:rsidRPr="004D045E">
        <w:rPr>
          <w:rFonts w:ascii="Arial" w:eastAsia="Times New Roman" w:hAnsi="Arial" w:cs="Arial"/>
          <w:lang w:val="en-US"/>
        </w:rPr>
        <w:t>Kafui</w:t>
      </w:r>
      <w:proofErr w:type="spellEnd"/>
      <w:r w:rsidRPr="004D045E">
        <w:rPr>
          <w:rFonts w:ascii="Arial" w:eastAsia="Times New Roman" w:hAnsi="Arial" w:cs="Arial"/>
          <w:lang w:val="en-US"/>
        </w:rPr>
        <w:t xml:space="preserve"> </w:t>
      </w:r>
      <w:proofErr w:type="spellStart"/>
      <w:r w:rsidRPr="004D045E">
        <w:rPr>
          <w:rFonts w:ascii="Arial" w:eastAsia="Times New Roman" w:hAnsi="Arial" w:cs="Arial"/>
          <w:lang w:val="en-US"/>
        </w:rPr>
        <w:t>Tsekpo</w:t>
      </w:r>
      <w:proofErr w:type="spellEnd"/>
      <w:r w:rsidRPr="004D045E">
        <w:rPr>
          <w:rFonts w:ascii="Arial" w:eastAsia="Times New Roman" w:hAnsi="Arial" w:cs="Arial"/>
          <w:lang w:val="en-US"/>
        </w:rPr>
        <w:t>. "Lived experiences of the elderly in Ghana: Analysis of ageing policies and options for reform." Journal of Cross-Cultural Gerontology 35.3 (2020): 341-352.</w:t>
      </w:r>
    </w:p>
    <w:p w14:paraId="3B8C5B83" w14:textId="77777777" w:rsidR="002461F8" w:rsidRPr="004D045E" w:rsidRDefault="002461F8" w:rsidP="002461F8">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Klein, M. (2023). Key drivers of corporate governance influencing firm performance: capital structure's mediating role. National Sustainable Development Studies, 2(2). </w:t>
      </w:r>
    </w:p>
    <w:p w14:paraId="55366FF0" w14:textId="77777777" w:rsidR="00744F6B" w:rsidRPr="004D045E" w:rsidRDefault="00744F6B" w:rsidP="00744F6B">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Mitnick, B. M. (2006). Origin of the theory of agency: An account by one of the theory’s originators. </w:t>
      </w:r>
      <w:r w:rsidRPr="004D045E">
        <w:rPr>
          <w:rFonts w:ascii="Arial" w:eastAsia="Times New Roman" w:hAnsi="Arial" w:cs="Arial"/>
          <w:i/>
          <w:iCs/>
          <w:lang w:val="en-US"/>
        </w:rPr>
        <w:t>The Journal of Management Studies, 43</w:t>
      </w:r>
      <w:r w:rsidRPr="004D045E">
        <w:rPr>
          <w:rFonts w:ascii="Arial" w:eastAsia="Times New Roman" w:hAnsi="Arial" w:cs="Arial"/>
          <w:lang w:val="en-US"/>
        </w:rPr>
        <w:t>(5), 1039-1055.</w:t>
      </w:r>
    </w:p>
    <w:p w14:paraId="5CEC8A81" w14:textId="77777777" w:rsidR="00744F6B" w:rsidRPr="004D045E" w:rsidRDefault="00744F6B" w:rsidP="00744F6B">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OECD. (2015). </w:t>
      </w:r>
      <w:r w:rsidRPr="004D045E">
        <w:rPr>
          <w:rFonts w:ascii="Arial" w:eastAsia="Times New Roman" w:hAnsi="Arial" w:cs="Arial"/>
          <w:i/>
          <w:iCs/>
          <w:lang w:val="en-US"/>
        </w:rPr>
        <w:t>G20/OECD principles of corporate governance</w:t>
      </w:r>
      <w:r w:rsidRPr="004D045E">
        <w:rPr>
          <w:rFonts w:ascii="Arial" w:eastAsia="Times New Roman" w:hAnsi="Arial" w:cs="Arial"/>
          <w:lang w:val="en-US"/>
        </w:rPr>
        <w:t>. Paris: OECD Publishing.</w:t>
      </w:r>
    </w:p>
    <w:p w14:paraId="58C20842" w14:textId="7C424EBE" w:rsidR="002E5E11" w:rsidRPr="004D045E" w:rsidRDefault="002E5E11" w:rsidP="00FC6BBA">
      <w:pPr>
        <w:spacing w:line="240" w:lineRule="auto"/>
        <w:ind w:left="720" w:hanging="720"/>
        <w:jc w:val="both"/>
        <w:rPr>
          <w:rFonts w:ascii="Arial" w:eastAsia="Times New Roman" w:hAnsi="Arial" w:cs="Arial"/>
          <w:lang w:val="en-US"/>
        </w:rPr>
      </w:pPr>
    </w:p>
    <w:p w14:paraId="16D3CAE2" w14:textId="798A55A5" w:rsidR="00096DE9" w:rsidRPr="004D045E" w:rsidRDefault="00096DE9" w:rsidP="00FC6BBA">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Rashid, M. H. U., Zobair, S. A. M., Chowdhury, M. A. I., &amp; Islam, A. (2020). Corporate governance and banks’ productivity: evidence from the banking industry in Bangladesh. Business Research, 13(2), 615-637.</w:t>
      </w:r>
    </w:p>
    <w:p w14:paraId="4B049287" w14:textId="1CFF4DF5" w:rsidR="00744F6B" w:rsidRPr="004D045E" w:rsidRDefault="00744F6B" w:rsidP="00744F6B">
      <w:pPr>
        <w:spacing w:line="240" w:lineRule="auto"/>
        <w:ind w:left="720" w:hanging="720"/>
        <w:jc w:val="both"/>
        <w:rPr>
          <w:rFonts w:ascii="Arial" w:eastAsia="Times New Roman" w:hAnsi="Arial" w:cs="Arial"/>
          <w:lang w:val="en-US"/>
        </w:rPr>
      </w:pPr>
      <w:bookmarkStart w:id="59" w:name="_Hlk214133137"/>
      <w:r w:rsidRPr="004D045E">
        <w:rPr>
          <w:rFonts w:ascii="Arial" w:eastAsia="Times New Roman" w:hAnsi="Arial" w:cs="Arial"/>
          <w:lang w:val="en-US"/>
        </w:rPr>
        <w:t xml:space="preserve">Sarpong-Danquah, </w:t>
      </w:r>
      <w:bookmarkEnd w:id="59"/>
      <w:r w:rsidRPr="004D045E">
        <w:rPr>
          <w:rFonts w:ascii="Arial" w:eastAsia="Times New Roman" w:hAnsi="Arial" w:cs="Arial"/>
          <w:lang w:val="en-US"/>
        </w:rPr>
        <w:t>B., Gyimah, P., Afriyie, R. O., &amp; Asiamah, A. (2018). Corporate governance and firm performance: An empirical analysis of manufacturing listed firms in Ghana. </w:t>
      </w:r>
      <w:r w:rsidRPr="004D045E">
        <w:rPr>
          <w:rFonts w:ascii="Arial" w:eastAsia="Times New Roman" w:hAnsi="Arial" w:cs="Arial"/>
          <w:i/>
          <w:iCs/>
          <w:lang w:val="en-US"/>
        </w:rPr>
        <w:t>Accounting and Finance Research</w:t>
      </w:r>
      <w:r w:rsidRPr="004D045E">
        <w:rPr>
          <w:rFonts w:ascii="Arial" w:eastAsia="Times New Roman" w:hAnsi="Arial" w:cs="Arial"/>
          <w:lang w:val="en-US"/>
        </w:rPr>
        <w:t>, </w:t>
      </w:r>
      <w:r w:rsidRPr="004D045E">
        <w:rPr>
          <w:rFonts w:ascii="Arial" w:eastAsia="Times New Roman" w:hAnsi="Arial" w:cs="Arial"/>
          <w:i/>
          <w:iCs/>
          <w:lang w:val="en-US"/>
        </w:rPr>
        <w:t>7</w:t>
      </w:r>
      <w:r w:rsidRPr="004D045E">
        <w:rPr>
          <w:rFonts w:ascii="Arial" w:eastAsia="Times New Roman" w:hAnsi="Arial" w:cs="Arial"/>
          <w:lang w:val="en-US"/>
        </w:rPr>
        <w:t>(3), 111-118.</w:t>
      </w:r>
    </w:p>
    <w:p w14:paraId="6D5C5981" w14:textId="166F2FAE" w:rsidR="009C14AD" w:rsidRPr="004D045E" w:rsidRDefault="009C14AD" w:rsidP="00FC6BBA">
      <w:pPr>
        <w:spacing w:line="240" w:lineRule="auto"/>
        <w:ind w:left="720" w:hanging="720"/>
        <w:jc w:val="both"/>
        <w:rPr>
          <w:rFonts w:ascii="Arial" w:eastAsia="Times New Roman" w:hAnsi="Arial" w:cs="Arial"/>
          <w:lang w:val="en-US"/>
        </w:rPr>
      </w:pPr>
      <w:proofErr w:type="spellStart"/>
      <w:r w:rsidRPr="004D045E">
        <w:rPr>
          <w:rFonts w:ascii="Arial" w:eastAsia="Times New Roman" w:hAnsi="Arial" w:cs="Arial"/>
          <w:lang w:val="en-US"/>
        </w:rPr>
        <w:t>Shengyu</w:t>
      </w:r>
      <w:proofErr w:type="spellEnd"/>
      <w:r w:rsidRPr="004D045E">
        <w:rPr>
          <w:rFonts w:ascii="Arial" w:eastAsia="Times New Roman" w:hAnsi="Arial" w:cs="Arial"/>
          <w:lang w:val="en-US"/>
        </w:rPr>
        <w:t xml:space="preserve"> Tang (2024) The Risk Assessment of Banks and Financial Institutions.</w:t>
      </w:r>
    </w:p>
    <w:p w14:paraId="539E0BC5" w14:textId="77777777" w:rsidR="00FC6BBA" w:rsidRPr="004D045E" w:rsidRDefault="00FC6BBA" w:rsidP="00FC6BBA">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Shleifer, A., &amp; </w:t>
      </w:r>
      <w:proofErr w:type="spellStart"/>
      <w:r w:rsidRPr="004D045E">
        <w:rPr>
          <w:rFonts w:ascii="Arial" w:eastAsia="Times New Roman" w:hAnsi="Arial" w:cs="Arial"/>
          <w:lang w:val="en-US"/>
        </w:rPr>
        <w:t>Vishny</w:t>
      </w:r>
      <w:proofErr w:type="spellEnd"/>
      <w:r w:rsidRPr="004D045E">
        <w:rPr>
          <w:rFonts w:ascii="Arial" w:eastAsia="Times New Roman" w:hAnsi="Arial" w:cs="Arial"/>
          <w:lang w:val="en-US"/>
        </w:rPr>
        <w:t xml:space="preserve">, R. W. (1997). A survey of corporate governance. </w:t>
      </w:r>
      <w:r w:rsidRPr="004D045E">
        <w:rPr>
          <w:rFonts w:ascii="Arial" w:eastAsia="Times New Roman" w:hAnsi="Arial" w:cs="Arial"/>
          <w:i/>
          <w:iCs/>
          <w:lang w:val="en-US"/>
        </w:rPr>
        <w:t>The Journal of Finance, 52</w:t>
      </w:r>
      <w:r w:rsidRPr="004D045E">
        <w:rPr>
          <w:rFonts w:ascii="Arial" w:eastAsia="Times New Roman" w:hAnsi="Arial" w:cs="Arial"/>
          <w:lang w:val="en-US"/>
        </w:rPr>
        <w:t>(2), 737-783.</w:t>
      </w:r>
    </w:p>
    <w:p w14:paraId="3279DC27" w14:textId="77777777" w:rsidR="00D45E61" w:rsidRPr="004D045E" w:rsidRDefault="00D45E61" w:rsidP="00FC6BBA">
      <w:pPr>
        <w:spacing w:line="240" w:lineRule="auto"/>
        <w:ind w:left="720" w:hanging="720"/>
        <w:jc w:val="both"/>
        <w:rPr>
          <w:rFonts w:ascii="Arial" w:eastAsia="Times New Roman" w:hAnsi="Arial" w:cs="Arial"/>
          <w:lang w:val="en-US"/>
        </w:rPr>
      </w:pPr>
      <w:r w:rsidRPr="004D045E">
        <w:rPr>
          <w:rFonts w:ascii="Arial" w:eastAsia="Times New Roman" w:hAnsi="Arial" w:cs="Arial"/>
          <w:lang w:val="en-US"/>
        </w:rPr>
        <w:t xml:space="preserve">Wahba, H. (2015). The joint effect of board characteristics on financial performance: Empirical evidence from Egypt. Review of Accounting and Finance, 14(1), 20-40 </w:t>
      </w:r>
    </w:p>
    <w:p w14:paraId="6FF0EDD6" w14:textId="0310B199" w:rsidR="002A43A9" w:rsidRPr="004D045E" w:rsidRDefault="002A43A9" w:rsidP="00FC6BBA">
      <w:pPr>
        <w:spacing w:line="240" w:lineRule="auto"/>
        <w:ind w:left="720" w:hanging="720"/>
        <w:jc w:val="both"/>
        <w:rPr>
          <w:rFonts w:ascii="Arial" w:eastAsia="Times New Roman" w:hAnsi="Arial" w:cs="Arial"/>
          <w:i/>
          <w:lang w:val="en-US"/>
        </w:rPr>
      </w:pPr>
      <w:r w:rsidRPr="004D045E">
        <w:rPr>
          <w:rFonts w:ascii="Arial" w:eastAsia="Times New Roman" w:hAnsi="Arial" w:cs="Arial"/>
          <w:lang w:val="en-US"/>
        </w:rPr>
        <w:t xml:space="preserve">William Akwimbi, Duncan Ochieng, and Josephat </w:t>
      </w:r>
      <w:proofErr w:type="spellStart"/>
      <w:r w:rsidRPr="004D045E">
        <w:rPr>
          <w:rFonts w:ascii="Arial" w:eastAsia="Times New Roman" w:hAnsi="Arial" w:cs="Arial"/>
          <w:lang w:val="en-US"/>
        </w:rPr>
        <w:t>Lishenga</w:t>
      </w:r>
      <w:proofErr w:type="spellEnd"/>
      <w:r w:rsidRPr="004D045E">
        <w:rPr>
          <w:rFonts w:ascii="Arial" w:eastAsia="Times New Roman" w:hAnsi="Arial" w:cs="Arial"/>
          <w:lang w:val="en-US"/>
        </w:rPr>
        <w:t xml:space="preserve"> (2022). Corporate Governance, Investment Strategy, Macroeconomic Variables and Financial Performance of Pension Schemes in Kenya. </w:t>
      </w:r>
      <w:r w:rsidRPr="004D045E">
        <w:rPr>
          <w:rFonts w:ascii="Arial" w:eastAsia="Times New Roman" w:hAnsi="Arial" w:cs="Arial"/>
          <w:i/>
          <w:lang w:val="en-US"/>
        </w:rPr>
        <w:t>Journal of Finance and Accounting in 2024, volume 12(1), pages 1-34.</w:t>
      </w:r>
    </w:p>
    <w:p w14:paraId="09761AFD" w14:textId="77777777" w:rsidR="00744F6B" w:rsidRPr="004D045E" w:rsidRDefault="00744F6B">
      <w:pPr>
        <w:spacing w:line="240" w:lineRule="auto"/>
        <w:ind w:left="720" w:hanging="720"/>
        <w:jc w:val="both"/>
        <w:rPr>
          <w:rFonts w:ascii="Arial" w:eastAsia="Times New Roman" w:hAnsi="Arial" w:cs="Arial"/>
          <w:lang w:val="en-US"/>
        </w:rPr>
      </w:pPr>
    </w:p>
    <w:sectPr w:rsidR="00744F6B" w:rsidRPr="004D045E">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AF920" w14:textId="77777777" w:rsidR="00510B64" w:rsidRDefault="00510B64">
      <w:pPr>
        <w:spacing w:after="0" w:line="240" w:lineRule="auto"/>
      </w:pPr>
      <w:r>
        <w:separator/>
      </w:r>
    </w:p>
  </w:endnote>
  <w:endnote w:type="continuationSeparator" w:id="0">
    <w:p w14:paraId="6ABBB577" w14:textId="77777777" w:rsidR="00510B64" w:rsidRDefault="0051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3C0C5" w14:textId="329553A1" w:rsidR="005273F2" w:rsidRDefault="005273F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14:paraId="61570EC5" w14:textId="77777777" w:rsidR="005273F2" w:rsidRDefault="005273F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3F29B" w14:textId="77777777" w:rsidR="00510B64" w:rsidRDefault="00510B64">
      <w:pPr>
        <w:spacing w:after="0" w:line="240" w:lineRule="auto"/>
      </w:pPr>
      <w:r>
        <w:separator/>
      </w:r>
    </w:p>
  </w:footnote>
  <w:footnote w:type="continuationSeparator" w:id="0">
    <w:p w14:paraId="797ABAFD" w14:textId="77777777" w:rsidR="00510B64" w:rsidRDefault="0051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315C" w14:textId="77777777" w:rsidR="005273F2" w:rsidRDefault="005273F2">
    <w:pPr>
      <w:pBdr>
        <w:top w:val="nil"/>
        <w:left w:val="nil"/>
        <w:bottom w:val="nil"/>
        <w:right w:val="nil"/>
        <w:between w:val="nil"/>
      </w:pBdr>
      <w:tabs>
        <w:tab w:val="center" w:pos="4680"/>
        <w:tab w:val="right" w:pos="9360"/>
      </w:tabs>
      <w:spacing w:after="0" w:line="240" w:lineRule="auto"/>
      <w:rPr>
        <w:color w:val="000000"/>
      </w:rPr>
    </w:pPr>
  </w:p>
  <w:p w14:paraId="186A9D4C" w14:textId="77777777" w:rsidR="005273F2" w:rsidRDefault="005273F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3D40"/>
    <w:multiLevelType w:val="multilevel"/>
    <w:tmpl w:val="05B06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1B1206"/>
    <w:multiLevelType w:val="hybridMultilevel"/>
    <w:tmpl w:val="3204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2CA8"/>
    <w:multiLevelType w:val="multilevel"/>
    <w:tmpl w:val="E5101AA8"/>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AC3C68"/>
    <w:multiLevelType w:val="multilevel"/>
    <w:tmpl w:val="46967B0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BB6E41"/>
    <w:multiLevelType w:val="multilevel"/>
    <w:tmpl w:val="13DAD5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8E1571B"/>
    <w:multiLevelType w:val="multilevel"/>
    <w:tmpl w:val="04A80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14A6C7F"/>
    <w:multiLevelType w:val="multilevel"/>
    <w:tmpl w:val="3EEC2E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3CA6900"/>
    <w:multiLevelType w:val="multilevel"/>
    <w:tmpl w:val="FEB2C1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3F49B6"/>
    <w:multiLevelType w:val="multilevel"/>
    <w:tmpl w:val="2BC2027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BE7C13"/>
    <w:multiLevelType w:val="multilevel"/>
    <w:tmpl w:val="4DA878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51A7187"/>
    <w:multiLevelType w:val="multilevel"/>
    <w:tmpl w:val="219A66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8171268"/>
    <w:multiLevelType w:val="multilevel"/>
    <w:tmpl w:val="9A1246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9872706"/>
    <w:multiLevelType w:val="multilevel"/>
    <w:tmpl w:val="8570A0EE"/>
    <w:lvl w:ilvl="0">
      <w:start w:val="1"/>
      <w:numFmt w:val="lowerRoman"/>
      <w:lvlText w:val="%1."/>
      <w:lvlJc w:val="left"/>
      <w:pPr>
        <w:ind w:left="1080" w:hanging="72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392672"/>
    <w:multiLevelType w:val="hybridMultilevel"/>
    <w:tmpl w:val="12AA46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1895B70"/>
    <w:multiLevelType w:val="multilevel"/>
    <w:tmpl w:val="34EEE9E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5"/>
  </w:num>
  <w:num w:numId="4">
    <w:abstractNumId w:val="2"/>
  </w:num>
  <w:num w:numId="5">
    <w:abstractNumId w:val="7"/>
  </w:num>
  <w:num w:numId="6">
    <w:abstractNumId w:val="4"/>
  </w:num>
  <w:num w:numId="7">
    <w:abstractNumId w:val="11"/>
  </w:num>
  <w:num w:numId="8">
    <w:abstractNumId w:val="12"/>
  </w:num>
  <w:num w:numId="9">
    <w:abstractNumId w:val="3"/>
  </w:num>
  <w:num w:numId="10">
    <w:abstractNumId w:val="0"/>
  </w:num>
  <w:num w:numId="11">
    <w:abstractNumId w:val="10"/>
  </w:num>
  <w:num w:numId="12">
    <w:abstractNumId w:val="6"/>
  </w:num>
  <w:num w:numId="13">
    <w:abstractNumId w:val="9"/>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99"/>
    <w:rsid w:val="00001811"/>
    <w:rsid w:val="000030C1"/>
    <w:rsid w:val="00016F86"/>
    <w:rsid w:val="00046120"/>
    <w:rsid w:val="0008637F"/>
    <w:rsid w:val="00096DE9"/>
    <w:rsid w:val="000B3DC1"/>
    <w:rsid w:val="000D6F04"/>
    <w:rsid w:val="000E3763"/>
    <w:rsid w:val="000E38BD"/>
    <w:rsid w:val="00100C7C"/>
    <w:rsid w:val="00153B93"/>
    <w:rsid w:val="001801F6"/>
    <w:rsid w:val="00181994"/>
    <w:rsid w:val="001828C0"/>
    <w:rsid w:val="00183A30"/>
    <w:rsid w:val="00187BF2"/>
    <w:rsid w:val="001922C1"/>
    <w:rsid w:val="001A199E"/>
    <w:rsid w:val="001A6351"/>
    <w:rsid w:val="00236C23"/>
    <w:rsid w:val="002461F8"/>
    <w:rsid w:val="002575A6"/>
    <w:rsid w:val="002A3D1A"/>
    <w:rsid w:val="002A43A9"/>
    <w:rsid w:val="002A73D7"/>
    <w:rsid w:val="002B3369"/>
    <w:rsid w:val="002C1C9E"/>
    <w:rsid w:val="002C4C72"/>
    <w:rsid w:val="002C6C80"/>
    <w:rsid w:val="002D038E"/>
    <w:rsid w:val="002E5E11"/>
    <w:rsid w:val="003176F5"/>
    <w:rsid w:val="00352CF1"/>
    <w:rsid w:val="003757FF"/>
    <w:rsid w:val="00376ACF"/>
    <w:rsid w:val="00391AE1"/>
    <w:rsid w:val="003935EB"/>
    <w:rsid w:val="003D410B"/>
    <w:rsid w:val="003E600E"/>
    <w:rsid w:val="00414ED5"/>
    <w:rsid w:val="00447085"/>
    <w:rsid w:val="004714C7"/>
    <w:rsid w:val="004D045E"/>
    <w:rsid w:val="004E2B28"/>
    <w:rsid w:val="00510B64"/>
    <w:rsid w:val="005129AC"/>
    <w:rsid w:val="005273F2"/>
    <w:rsid w:val="00573886"/>
    <w:rsid w:val="00574B9A"/>
    <w:rsid w:val="0058126E"/>
    <w:rsid w:val="00596BE7"/>
    <w:rsid w:val="005B2E18"/>
    <w:rsid w:val="005C25E1"/>
    <w:rsid w:val="005D30F1"/>
    <w:rsid w:val="005D7A94"/>
    <w:rsid w:val="005E79FE"/>
    <w:rsid w:val="005F1A36"/>
    <w:rsid w:val="005F4D0E"/>
    <w:rsid w:val="00600075"/>
    <w:rsid w:val="00601778"/>
    <w:rsid w:val="00605BCC"/>
    <w:rsid w:val="00610917"/>
    <w:rsid w:val="00622832"/>
    <w:rsid w:val="0064704E"/>
    <w:rsid w:val="00652228"/>
    <w:rsid w:val="00656F37"/>
    <w:rsid w:val="006709DA"/>
    <w:rsid w:val="006767A3"/>
    <w:rsid w:val="006962F0"/>
    <w:rsid w:val="006A5072"/>
    <w:rsid w:val="006E5765"/>
    <w:rsid w:val="006F379F"/>
    <w:rsid w:val="00701FD7"/>
    <w:rsid w:val="00737AFE"/>
    <w:rsid w:val="00744F6B"/>
    <w:rsid w:val="007547A6"/>
    <w:rsid w:val="00780F71"/>
    <w:rsid w:val="007815C4"/>
    <w:rsid w:val="007970C9"/>
    <w:rsid w:val="007A2552"/>
    <w:rsid w:val="007C46D8"/>
    <w:rsid w:val="007C77C5"/>
    <w:rsid w:val="007D7325"/>
    <w:rsid w:val="007E2663"/>
    <w:rsid w:val="007E757B"/>
    <w:rsid w:val="00810699"/>
    <w:rsid w:val="008304C8"/>
    <w:rsid w:val="008332E6"/>
    <w:rsid w:val="008359C5"/>
    <w:rsid w:val="008553AA"/>
    <w:rsid w:val="0085648E"/>
    <w:rsid w:val="008565BC"/>
    <w:rsid w:val="00856A71"/>
    <w:rsid w:val="0087256A"/>
    <w:rsid w:val="008A37D0"/>
    <w:rsid w:val="008A3953"/>
    <w:rsid w:val="008A5FC2"/>
    <w:rsid w:val="00925666"/>
    <w:rsid w:val="0094539A"/>
    <w:rsid w:val="00956FEE"/>
    <w:rsid w:val="009752E8"/>
    <w:rsid w:val="009A17E8"/>
    <w:rsid w:val="009C14AD"/>
    <w:rsid w:val="009C267D"/>
    <w:rsid w:val="009E62C6"/>
    <w:rsid w:val="009F2C57"/>
    <w:rsid w:val="00A042C4"/>
    <w:rsid w:val="00A05C8A"/>
    <w:rsid w:val="00A13593"/>
    <w:rsid w:val="00A40130"/>
    <w:rsid w:val="00A60226"/>
    <w:rsid w:val="00A6341C"/>
    <w:rsid w:val="00A82191"/>
    <w:rsid w:val="00AD2204"/>
    <w:rsid w:val="00AF5468"/>
    <w:rsid w:val="00B00C77"/>
    <w:rsid w:val="00B049BD"/>
    <w:rsid w:val="00B37BC3"/>
    <w:rsid w:val="00B40A16"/>
    <w:rsid w:val="00B50074"/>
    <w:rsid w:val="00B671B3"/>
    <w:rsid w:val="00B8765E"/>
    <w:rsid w:val="00B93433"/>
    <w:rsid w:val="00BB0960"/>
    <w:rsid w:val="00BC6FB3"/>
    <w:rsid w:val="00BE7E5F"/>
    <w:rsid w:val="00C1179F"/>
    <w:rsid w:val="00C22EB9"/>
    <w:rsid w:val="00C36C57"/>
    <w:rsid w:val="00C376F1"/>
    <w:rsid w:val="00C47F80"/>
    <w:rsid w:val="00C67F2E"/>
    <w:rsid w:val="00C718D1"/>
    <w:rsid w:val="00C75E8C"/>
    <w:rsid w:val="00C949AB"/>
    <w:rsid w:val="00CB335F"/>
    <w:rsid w:val="00CB6BF9"/>
    <w:rsid w:val="00CD4FB5"/>
    <w:rsid w:val="00CF34CA"/>
    <w:rsid w:val="00D21418"/>
    <w:rsid w:val="00D36760"/>
    <w:rsid w:val="00D45E61"/>
    <w:rsid w:val="00D63CFF"/>
    <w:rsid w:val="00D67655"/>
    <w:rsid w:val="00D73A45"/>
    <w:rsid w:val="00DA0943"/>
    <w:rsid w:val="00DB26D6"/>
    <w:rsid w:val="00E00427"/>
    <w:rsid w:val="00E0508E"/>
    <w:rsid w:val="00E12428"/>
    <w:rsid w:val="00E461A4"/>
    <w:rsid w:val="00E524AE"/>
    <w:rsid w:val="00E67432"/>
    <w:rsid w:val="00E9391B"/>
    <w:rsid w:val="00EE261B"/>
    <w:rsid w:val="00EF0DB3"/>
    <w:rsid w:val="00EF61A5"/>
    <w:rsid w:val="00F1794B"/>
    <w:rsid w:val="00F22D29"/>
    <w:rsid w:val="00F23684"/>
    <w:rsid w:val="00F35B5D"/>
    <w:rsid w:val="00F82568"/>
    <w:rsid w:val="00FA3317"/>
    <w:rsid w:val="00FA5DD7"/>
    <w:rsid w:val="00FA62C0"/>
    <w:rsid w:val="00FC4980"/>
    <w:rsid w:val="00FC6BBA"/>
    <w:rsid w:val="00FD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5E274"/>
  <w15:docId w15:val="{1EAA7BB1-4778-B642-8E5B-555A77C8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DC1"/>
  </w:style>
  <w:style w:type="paragraph" w:styleId="Heading1">
    <w:name w:val="heading 1"/>
    <w:basedOn w:val="Normal"/>
    <w:next w:val="Normal"/>
    <w:uiPriority w:val="9"/>
    <w:qFormat/>
    <w:pPr>
      <w:keepNext/>
      <w:keepLines/>
      <w:spacing w:before="360" w:after="120" w:line="480" w:lineRule="auto"/>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unhideWhenUsed/>
    <w:qFormat/>
    <w:pPr>
      <w:spacing w:before="120" w:after="280" w:line="480" w:lineRule="auto"/>
      <w:jc w:val="center"/>
      <w:outlineLvl w:val="1"/>
    </w:pPr>
    <w:rPr>
      <w:rFonts w:ascii="Times New Roman" w:eastAsia="Times New Roman" w:hAnsi="Times New Roman" w:cs="Times New Roman"/>
      <w:b/>
      <w:color w:val="000000"/>
      <w:sz w:val="24"/>
      <w:szCs w:val="24"/>
    </w:rPr>
  </w:style>
  <w:style w:type="paragraph" w:styleId="Heading3">
    <w:name w:val="heading 3"/>
    <w:basedOn w:val="Normal"/>
    <w:next w:val="Normal"/>
    <w:uiPriority w:val="9"/>
    <w:unhideWhenUsed/>
    <w:qFormat/>
    <w:pPr>
      <w:spacing w:before="120" w:after="280" w:line="480" w:lineRule="auto"/>
      <w:jc w:val="both"/>
      <w:outlineLvl w:val="2"/>
    </w:pPr>
    <w:rPr>
      <w:rFonts w:ascii="Times New Roman" w:eastAsia="Times New Roman" w:hAnsi="Times New Roman" w:cs="Times New Roman"/>
      <w:b/>
      <w:color w:val="000000"/>
      <w:sz w:val="24"/>
      <w:szCs w:val="24"/>
    </w:rPr>
  </w:style>
  <w:style w:type="paragraph" w:styleId="Heading4">
    <w:name w:val="heading 4"/>
    <w:basedOn w:val="Normal"/>
    <w:next w:val="Normal"/>
    <w:uiPriority w:val="9"/>
    <w:unhideWhenUsed/>
    <w:qFormat/>
    <w:pPr>
      <w:keepNext/>
      <w:keepLines/>
      <w:spacing w:before="160" w:after="120" w:line="480" w:lineRule="auto"/>
      <w:jc w:val="both"/>
      <w:outlineLvl w:val="3"/>
    </w:pPr>
    <w:rPr>
      <w:rFonts w:ascii="Times New Roman" w:eastAsia="Times New Roman" w:hAnsi="Times New Roman" w:cs="Times New Roman"/>
      <w:b/>
      <w:color w:val="000000"/>
      <w:sz w:val="24"/>
      <w:szCs w:val="24"/>
    </w:rPr>
  </w:style>
  <w:style w:type="paragraph" w:styleId="Heading5">
    <w:name w:val="heading 5"/>
    <w:basedOn w:val="Normal"/>
    <w:next w:val="Normal"/>
    <w:uiPriority w:val="9"/>
    <w:unhideWhenUsed/>
    <w:qFormat/>
    <w:pPr>
      <w:keepNext/>
      <w:keepLines/>
      <w:spacing w:before="160" w:after="120" w:line="480" w:lineRule="auto"/>
      <w:jc w:val="both"/>
      <w:outlineLvl w:val="4"/>
    </w:pPr>
    <w:rPr>
      <w:rFonts w:ascii="Times New Roman" w:eastAsia="Times New Roman" w:hAnsi="Times New Roman" w:cs="Times New Roman"/>
      <w:b/>
      <w:color w:val="000000"/>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0" w:line="240" w:lineRule="auto"/>
    </w:pPr>
    <w:rPr>
      <w:color w:val="000000"/>
    </w:rPr>
    <w:tblPr>
      <w:tblStyleRowBandSize w:val="1"/>
      <w:tblStyleColBandSize w:val="1"/>
    </w:tblPr>
  </w:style>
  <w:style w:type="table" w:customStyle="1" w:styleId="a8">
    <w:basedOn w:val="TableNormal"/>
    <w:pPr>
      <w:spacing w:after="0" w:line="240" w:lineRule="auto"/>
    </w:pPr>
    <w:rPr>
      <w:color w:val="000000"/>
    </w:rPr>
    <w:tblPr>
      <w:tblStyleRowBandSize w:val="1"/>
      <w:tblStyleColBandSize w:val="1"/>
    </w:tblPr>
  </w:style>
  <w:style w:type="table" w:customStyle="1" w:styleId="a9">
    <w:basedOn w:val="TableNormal"/>
    <w:pPr>
      <w:spacing w:after="0" w:line="240" w:lineRule="auto"/>
    </w:pPr>
    <w:rPr>
      <w:color w:val="000000"/>
    </w:rPr>
    <w:tblPr>
      <w:tblStyleRowBandSize w:val="1"/>
      <w:tblStyleColBandSize w:val="1"/>
    </w:tblPr>
  </w:style>
  <w:style w:type="table" w:customStyle="1" w:styleId="aa">
    <w:basedOn w:val="TableNormal"/>
    <w:pPr>
      <w:spacing w:after="0" w:line="240" w:lineRule="auto"/>
    </w:pPr>
    <w:rPr>
      <w:color w:val="000000"/>
    </w:rPr>
    <w:tblPr>
      <w:tblStyleRowBandSize w:val="1"/>
      <w:tblStyleColBandSize w:val="1"/>
    </w:tblPr>
  </w:style>
  <w:style w:type="paragraph" w:styleId="ListParagraph">
    <w:name w:val="List Paragraph"/>
    <w:basedOn w:val="Normal"/>
    <w:uiPriority w:val="34"/>
    <w:qFormat/>
    <w:rsid w:val="00610917"/>
    <w:pPr>
      <w:ind w:left="720"/>
      <w:contextualSpacing/>
    </w:pPr>
  </w:style>
  <w:style w:type="character" w:styleId="Hyperlink">
    <w:name w:val="Hyperlink"/>
    <w:basedOn w:val="DefaultParagraphFont"/>
    <w:uiPriority w:val="99"/>
    <w:unhideWhenUsed/>
    <w:rsid w:val="00610917"/>
    <w:rPr>
      <w:color w:val="0000FF" w:themeColor="hyperlink"/>
      <w:u w:val="single"/>
    </w:rPr>
  </w:style>
  <w:style w:type="character" w:styleId="UnresolvedMention">
    <w:name w:val="Unresolved Mention"/>
    <w:basedOn w:val="DefaultParagraphFont"/>
    <w:uiPriority w:val="99"/>
    <w:semiHidden/>
    <w:unhideWhenUsed/>
    <w:rsid w:val="00610917"/>
    <w:rPr>
      <w:color w:val="605E5C"/>
      <w:shd w:val="clear" w:color="auto" w:fill="E1DFDD"/>
    </w:rPr>
  </w:style>
  <w:style w:type="paragraph" w:styleId="NoSpacing">
    <w:name w:val="No Spacing"/>
    <w:uiPriority w:val="1"/>
    <w:qFormat/>
    <w:rsid w:val="00471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845257">
      <w:bodyDiv w:val="1"/>
      <w:marLeft w:val="0"/>
      <w:marRight w:val="0"/>
      <w:marTop w:val="0"/>
      <w:marBottom w:val="0"/>
      <w:divBdr>
        <w:top w:val="none" w:sz="0" w:space="0" w:color="auto"/>
        <w:left w:val="none" w:sz="0" w:space="0" w:color="auto"/>
        <w:bottom w:val="none" w:sz="0" w:space="0" w:color="auto"/>
        <w:right w:val="none" w:sz="0" w:space="0" w:color="auto"/>
      </w:divBdr>
    </w:div>
    <w:div w:id="1998454936">
      <w:bodyDiv w:val="1"/>
      <w:marLeft w:val="0"/>
      <w:marRight w:val="0"/>
      <w:marTop w:val="0"/>
      <w:marBottom w:val="0"/>
      <w:divBdr>
        <w:top w:val="none" w:sz="0" w:space="0" w:color="auto"/>
        <w:left w:val="none" w:sz="0" w:space="0" w:color="auto"/>
        <w:bottom w:val="none" w:sz="0" w:space="0" w:color="auto"/>
        <w:right w:val="none" w:sz="0" w:space="0" w:color="auto"/>
      </w:divBdr>
    </w:div>
    <w:div w:id="2035572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9083</Words>
  <Characters>51776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Asiamah</dc:creator>
  <cp:lastModifiedBy>Editor-1183</cp:lastModifiedBy>
  <cp:revision>7</cp:revision>
  <dcterms:created xsi:type="dcterms:W3CDTF">2025-11-16T04:15:00Z</dcterms:created>
  <dcterms:modified xsi:type="dcterms:W3CDTF">2025-11-24T12:30:00Z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23b7076984f82e083e2d41c6aab6391154f6280400ce332ff9d73563c8ed8c77</vt:lpwstr>
  </property>
</Properties>
</file>