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A83" w:rsidRDefault="000F5571">
      <w:pPr>
        <w:pStyle w:val="Author"/>
        <w:widowControl/>
        <w:spacing w:line="240" w:lineRule="auto"/>
        <w:rPr>
          <w:rFonts w:ascii="Arial" w:eastAsia="Times New Roman" w:hAnsi="Arial" w:cs="Arial"/>
          <w:bCs/>
          <w:iCs/>
          <w:kern w:val="28"/>
          <w:sz w:val="36"/>
          <w:szCs w:val="20"/>
          <w:lang w:eastAsia="en-US"/>
        </w:rPr>
      </w:pPr>
      <w:bookmarkStart w:id="0" w:name="_Hlk213664063"/>
      <w:r>
        <w:rPr>
          <w:rFonts w:ascii="Arial" w:eastAsia="Times New Roman" w:hAnsi="Arial" w:cs="Arial"/>
          <w:bCs/>
          <w:iCs/>
          <w:kern w:val="28"/>
          <w:sz w:val="36"/>
          <w:szCs w:val="20"/>
          <w:lang w:eastAsia="en-US"/>
        </w:rPr>
        <w:t xml:space="preserve">A </w:t>
      </w:r>
      <w:r w:rsidR="00BC1E91">
        <w:rPr>
          <w:rFonts w:ascii="Arial" w:eastAsia="Times New Roman" w:hAnsi="Arial" w:cs="Arial"/>
          <w:bCs/>
          <w:iCs/>
          <w:kern w:val="28"/>
          <w:sz w:val="36"/>
          <w:szCs w:val="20"/>
          <w:lang w:eastAsia="en-US"/>
        </w:rPr>
        <w:t xml:space="preserve">Systematic Literature Review on the Internationalization Development Path of </w:t>
      </w:r>
      <w:proofErr w:type="spellStart"/>
      <w:r w:rsidR="00BC1E91">
        <w:rPr>
          <w:rFonts w:ascii="Arial" w:eastAsia="Times New Roman" w:hAnsi="Arial" w:cs="Arial"/>
          <w:bCs/>
          <w:iCs/>
          <w:kern w:val="28"/>
          <w:sz w:val="36"/>
          <w:szCs w:val="20"/>
          <w:lang w:eastAsia="en-US"/>
        </w:rPr>
        <w:t>Fuliang</w:t>
      </w:r>
      <w:proofErr w:type="spellEnd"/>
      <w:r w:rsidR="00BC1E91">
        <w:rPr>
          <w:rFonts w:ascii="Arial" w:eastAsia="Times New Roman" w:hAnsi="Arial" w:cs="Arial"/>
          <w:bCs/>
          <w:iCs/>
          <w:kern w:val="28"/>
          <w:sz w:val="36"/>
          <w:szCs w:val="20"/>
          <w:lang w:eastAsia="en-US"/>
        </w:rPr>
        <w:t xml:space="preserve"> Tea E-commerce under the Rural Revitalization Strategy</w:t>
      </w:r>
    </w:p>
    <w:bookmarkEnd w:id="0"/>
    <w:p w:rsidR="00C73A83" w:rsidRDefault="00C73A83">
      <w:pPr>
        <w:pStyle w:val="Author"/>
        <w:widowControl/>
        <w:spacing w:line="240" w:lineRule="auto"/>
      </w:pPr>
    </w:p>
    <w:p w:rsidR="00C73A83" w:rsidRDefault="00C73A83">
      <w:pPr>
        <w:jc w:val="center"/>
        <w:rPr>
          <w:rFonts w:ascii="Arial" w:eastAsia="Times New Roman" w:hAnsi="Arial" w:cs="Arial"/>
          <w:i/>
          <w:kern w:val="0"/>
          <w:sz w:val="16"/>
          <w:szCs w:val="20"/>
        </w:rPr>
      </w:pPr>
    </w:p>
    <w:p w:rsidR="00C73A83" w:rsidRDefault="00C73A83">
      <w:pPr>
        <w:jc w:val="center"/>
        <w:rPr>
          <w:rFonts w:ascii="Arial" w:eastAsia="Times New Roman" w:hAnsi="Arial" w:cs="Arial"/>
          <w:i/>
          <w:kern w:val="0"/>
          <w:sz w:val="16"/>
          <w:szCs w:val="20"/>
        </w:rPr>
      </w:pPr>
    </w:p>
    <w:p w:rsidR="00C73A83" w:rsidRDefault="00C73A83">
      <w:pPr>
        <w:rPr>
          <w:lang w:eastAsia="en-US"/>
        </w:rPr>
      </w:pPr>
    </w:p>
    <w:p w:rsidR="00C73A83" w:rsidRDefault="00BC1E91">
      <w:pPr>
        <w:pStyle w:val="Heading2"/>
        <w:widowControl/>
        <w:rPr>
          <w:rFonts w:ascii="Arial" w:eastAsia="Times New Roman" w:hAnsi="Arial" w:cs="Arial" w:hint="default"/>
          <w:bCs w:val="0"/>
          <w:caps/>
          <w:sz w:val="22"/>
          <w:szCs w:val="20"/>
          <w:lang w:eastAsia="en-US"/>
        </w:rPr>
      </w:pPr>
      <w:r>
        <w:rPr>
          <w:rFonts w:ascii="Arial" w:eastAsia="Times New Roman" w:hAnsi="Arial" w:cs="Arial" w:hint="default"/>
          <w:bCs w:val="0"/>
          <w:caps/>
          <w:sz w:val="22"/>
          <w:szCs w:val="20"/>
          <w:lang w:eastAsia="en-US"/>
        </w:rPr>
        <w:t>Abstract</w:t>
      </w:r>
    </w:p>
    <w:p w:rsidR="00C73A83" w:rsidRDefault="00BC1E91">
      <w:pPr>
        <w:pStyle w:val="NormalWeb"/>
        <w:widowControl/>
        <w:jc w:val="both"/>
        <w:rPr>
          <w:rStyle w:val="Strong"/>
          <w:rFonts w:ascii="Arial" w:hAnsi="Arial" w:cs="Arial"/>
          <w:b w:val="0"/>
          <w:bCs/>
          <w:sz w:val="20"/>
          <w:szCs w:val="20"/>
        </w:rPr>
      </w:pPr>
      <w:r>
        <w:rPr>
          <w:rStyle w:val="Strong"/>
          <w:rFonts w:ascii="Arial" w:eastAsia="SimSun" w:hAnsi="Arial" w:cs="Arial" w:hint="eastAsia"/>
          <w:sz w:val="20"/>
          <w:szCs w:val="20"/>
        </w:rPr>
        <w:t xml:space="preserve">Aims: </w:t>
      </w:r>
      <w:r>
        <w:rPr>
          <w:rStyle w:val="Strong"/>
          <w:rFonts w:ascii="Arial" w:hAnsi="Arial" w:cs="Arial" w:hint="eastAsia"/>
          <w:b w:val="0"/>
          <w:bCs/>
          <w:sz w:val="20"/>
          <w:szCs w:val="20"/>
        </w:rPr>
        <w:t xml:space="preserve">This study investigates the internationalization of </w:t>
      </w:r>
      <w:proofErr w:type="spellStart"/>
      <w:r>
        <w:rPr>
          <w:rStyle w:val="Strong"/>
          <w:rFonts w:ascii="Arial" w:hAnsi="Arial" w:cs="Arial" w:hint="eastAsia"/>
          <w:b w:val="0"/>
          <w:bCs/>
          <w:sz w:val="20"/>
          <w:szCs w:val="20"/>
        </w:rPr>
        <w:t>Fuliang</w:t>
      </w:r>
      <w:proofErr w:type="spellEnd"/>
      <w:r>
        <w:rPr>
          <w:rStyle w:val="Strong"/>
          <w:rFonts w:ascii="Arial" w:hAnsi="Arial" w:cs="Arial" w:hint="eastAsia"/>
          <w:b w:val="0"/>
          <w:bCs/>
          <w:sz w:val="20"/>
          <w:szCs w:val="20"/>
        </w:rPr>
        <w:t xml:space="preserve"> tea e-commerce under China</w:t>
      </w:r>
      <w:r>
        <w:rPr>
          <w:rStyle w:val="Strong"/>
          <w:rFonts w:ascii="Arial" w:hAnsi="Arial" w:cs="Arial" w:hint="eastAsia"/>
          <w:b w:val="0"/>
          <w:bCs/>
          <w:sz w:val="20"/>
          <w:szCs w:val="20"/>
        </w:rPr>
        <w:t>’</w:t>
      </w:r>
      <w:r>
        <w:rPr>
          <w:rStyle w:val="Strong"/>
          <w:rFonts w:ascii="Arial" w:hAnsi="Arial" w:cs="Arial" w:hint="eastAsia"/>
          <w:b w:val="0"/>
          <w:bCs/>
          <w:sz w:val="20"/>
          <w:szCs w:val="20"/>
        </w:rPr>
        <w:t>s rural revitalization strategy, identifying key challenges and opportunities for global market expansion.</w:t>
      </w:r>
    </w:p>
    <w:p w:rsidR="00C73A83" w:rsidRDefault="00BC1E91">
      <w:pPr>
        <w:pStyle w:val="NormalWeb"/>
        <w:widowControl/>
        <w:jc w:val="both"/>
        <w:rPr>
          <w:rStyle w:val="Strong"/>
          <w:rFonts w:ascii="Arial" w:hAnsi="Arial" w:cs="Arial"/>
          <w:b w:val="0"/>
          <w:bCs/>
          <w:sz w:val="20"/>
          <w:szCs w:val="20"/>
        </w:rPr>
      </w:pPr>
      <w:r>
        <w:rPr>
          <w:rStyle w:val="Strong"/>
          <w:rFonts w:ascii="Arial" w:eastAsia="SimSun" w:hAnsi="Arial" w:cs="Arial" w:hint="eastAsia"/>
          <w:sz w:val="20"/>
          <w:szCs w:val="20"/>
        </w:rPr>
        <w:t xml:space="preserve">Study Design: </w:t>
      </w:r>
      <w:r>
        <w:rPr>
          <w:rStyle w:val="Strong"/>
          <w:rFonts w:ascii="Arial" w:hAnsi="Arial" w:cs="Arial" w:hint="eastAsia"/>
          <w:b w:val="0"/>
          <w:bCs/>
          <w:sz w:val="20"/>
          <w:szCs w:val="20"/>
        </w:rPr>
        <w:t>Systematic Literature Review (SLR).</w:t>
      </w:r>
    </w:p>
    <w:p w:rsidR="00C73A83" w:rsidRDefault="00BC1E91">
      <w:pPr>
        <w:pStyle w:val="NormalWeb"/>
        <w:widowControl/>
        <w:jc w:val="both"/>
        <w:rPr>
          <w:rStyle w:val="Strong"/>
          <w:rFonts w:ascii="Arial" w:hAnsi="Arial" w:cs="Arial"/>
          <w:b w:val="0"/>
          <w:bCs/>
          <w:sz w:val="20"/>
          <w:szCs w:val="20"/>
        </w:rPr>
      </w:pPr>
      <w:r>
        <w:rPr>
          <w:rStyle w:val="Strong"/>
          <w:rFonts w:ascii="Arial" w:eastAsia="SimSun" w:hAnsi="Arial" w:cs="Arial" w:hint="eastAsia"/>
          <w:sz w:val="20"/>
          <w:szCs w:val="20"/>
        </w:rPr>
        <w:t xml:space="preserve">Place and Duration of Study: </w:t>
      </w:r>
      <w:r>
        <w:rPr>
          <w:rStyle w:val="Strong"/>
          <w:rFonts w:ascii="Arial" w:hAnsi="Arial" w:cs="Arial" w:hint="eastAsia"/>
          <w:b w:val="0"/>
          <w:bCs/>
          <w:sz w:val="20"/>
          <w:szCs w:val="20"/>
        </w:rPr>
        <w:t>Peer-reviewed Chinese and English publications from 2010 to 2025 were analyzed.</w:t>
      </w:r>
    </w:p>
    <w:p w:rsidR="00C73A83" w:rsidRDefault="00BC1E91">
      <w:pPr>
        <w:pStyle w:val="NormalWeb"/>
        <w:widowControl/>
        <w:jc w:val="both"/>
        <w:rPr>
          <w:rStyle w:val="Strong"/>
          <w:rFonts w:ascii="Arial" w:hAnsi="Arial" w:cs="Arial"/>
          <w:b w:val="0"/>
          <w:bCs/>
          <w:sz w:val="20"/>
          <w:szCs w:val="20"/>
        </w:rPr>
      </w:pPr>
      <w:r>
        <w:rPr>
          <w:rStyle w:val="Strong"/>
          <w:rFonts w:ascii="Arial" w:eastAsia="SimSun" w:hAnsi="Arial" w:cs="Arial" w:hint="eastAsia"/>
          <w:sz w:val="20"/>
          <w:szCs w:val="20"/>
        </w:rPr>
        <w:t xml:space="preserve">Methodology: </w:t>
      </w:r>
      <w:r>
        <w:rPr>
          <w:rStyle w:val="Strong"/>
          <w:rFonts w:ascii="Arial" w:hAnsi="Arial" w:cs="Arial" w:hint="eastAsia"/>
          <w:b w:val="0"/>
          <w:bCs/>
          <w:sz w:val="20"/>
          <w:szCs w:val="20"/>
        </w:rPr>
        <w:t>A total of 56 studies were selected based on relevance to the internationalization of tea e-commerce. Thematic analysis was conducted to extract insights on branding, quality standards and certification, logistics and after-sales services, talent cultivation, enterprise operations, and international risk management.</w:t>
      </w:r>
    </w:p>
    <w:p w:rsidR="00C73A83" w:rsidRDefault="00BC1E91">
      <w:pPr>
        <w:pStyle w:val="NormalWeb"/>
        <w:widowControl/>
        <w:jc w:val="both"/>
        <w:rPr>
          <w:rStyle w:val="Strong"/>
          <w:rFonts w:ascii="Arial" w:hAnsi="Arial" w:cs="Arial"/>
          <w:b w:val="0"/>
          <w:bCs/>
          <w:sz w:val="20"/>
          <w:szCs w:val="20"/>
        </w:rPr>
      </w:pPr>
      <w:r>
        <w:rPr>
          <w:rStyle w:val="Strong"/>
          <w:rFonts w:ascii="Arial" w:eastAsia="SimSun" w:hAnsi="Arial" w:cs="Arial" w:hint="eastAsia"/>
          <w:sz w:val="20"/>
          <w:szCs w:val="20"/>
        </w:rPr>
        <w:t xml:space="preserve">Results: </w:t>
      </w:r>
      <w:r>
        <w:rPr>
          <w:rStyle w:val="Strong"/>
          <w:rFonts w:ascii="Arial" w:hAnsi="Arial" w:cs="Arial" w:hint="eastAsia"/>
          <w:b w:val="0"/>
          <w:bCs/>
          <w:sz w:val="20"/>
          <w:szCs w:val="20"/>
        </w:rPr>
        <w:t xml:space="preserve">The review revealed multiple barriers to internationalization, including insufficient brand awareness, incomplete quality standards, low cross-border logistics efficiency, lack of professional talent, and inadequate risk management strategies. These challenges consistently limit the global competitiveness of </w:t>
      </w:r>
      <w:proofErr w:type="spellStart"/>
      <w:r>
        <w:rPr>
          <w:rStyle w:val="Strong"/>
          <w:rFonts w:ascii="Arial" w:hAnsi="Arial" w:cs="Arial" w:hint="eastAsia"/>
          <w:b w:val="0"/>
          <w:bCs/>
          <w:sz w:val="20"/>
          <w:szCs w:val="20"/>
        </w:rPr>
        <w:t>Fuliang</w:t>
      </w:r>
      <w:proofErr w:type="spellEnd"/>
      <w:r>
        <w:rPr>
          <w:rStyle w:val="Strong"/>
          <w:rFonts w:ascii="Arial" w:hAnsi="Arial" w:cs="Arial" w:hint="eastAsia"/>
          <w:b w:val="0"/>
          <w:bCs/>
          <w:sz w:val="20"/>
          <w:szCs w:val="20"/>
        </w:rPr>
        <w:t xml:space="preserve"> tea e-commerce.</w:t>
      </w:r>
    </w:p>
    <w:p w:rsidR="00C73A83" w:rsidRDefault="00BC1E91">
      <w:pPr>
        <w:pStyle w:val="NormalWeb"/>
        <w:widowControl/>
        <w:jc w:val="both"/>
        <w:rPr>
          <w:rFonts w:ascii="Arial" w:eastAsia="Calibri" w:hAnsi="Arial" w:cs="Arial"/>
          <w:color w:val="FF0000"/>
          <w:sz w:val="20"/>
          <w:szCs w:val="22"/>
          <w:lang w:eastAsia="en-US"/>
        </w:rPr>
      </w:pPr>
      <w:r>
        <w:rPr>
          <w:rStyle w:val="Strong"/>
          <w:rFonts w:ascii="Arial" w:eastAsia="SimSun" w:hAnsi="Arial" w:cs="Arial" w:hint="eastAsia"/>
          <w:sz w:val="20"/>
          <w:szCs w:val="20"/>
        </w:rPr>
        <w:t xml:space="preserve">Conclusion: </w:t>
      </w:r>
      <w:r>
        <w:rPr>
          <w:rStyle w:val="Strong"/>
          <w:rFonts w:ascii="Arial" w:hAnsi="Arial" w:cs="Arial" w:hint="eastAsia"/>
          <w:b w:val="0"/>
          <w:bCs/>
          <w:sz w:val="20"/>
          <w:szCs w:val="20"/>
        </w:rPr>
        <w:t xml:space="preserve">The study provides a theoretical framework and practical guidance for enhancing the internationalization of </w:t>
      </w:r>
      <w:proofErr w:type="spellStart"/>
      <w:r>
        <w:rPr>
          <w:rStyle w:val="Strong"/>
          <w:rFonts w:ascii="Arial" w:hAnsi="Arial" w:cs="Arial" w:hint="eastAsia"/>
          <w:b w:val="0"/>
          <w:bCs/>
          <w:sz w:val="20"/>
          <w:szCs w:val="20"/>
        </w:rPr>
        <w:t>Fuliang</w:t>
      </w:r>
      <w:proofErr w:type="spellEnd"/>
      <w:r>
        <w:rPr>
          <w:rStyle w:val="Strong"/>
          <w:rFonts w:ascii="Arial" w:hAnsi="Arial" w:cs="Arial" w:hint="eastAsia"/>
          <w:b w:val="0"/>
          <w:bCs/>
          <w:sz w:val="20"/>
          <w:szCs w:val="20"/>
        </w:rPr>
        <w:t xml:space="preserve"> tea and other local agricultural products. The findings inform enterprise strategies and policy interventions.</w:t>
      </w:r>
      <w:r>
        <w:rPr>
          <w:rStyle w:val="Strong"/>
          <w:rFonts w:ascii="Arial" w:hAnsi="Arial" w:cs="Arial" w:hint="eastAsia"/>
          <w:b w:val="0"/>
          <w:bCs/>
          <w:color w:val="FF0000"/>
          <w:sz w:val="20"/>
          <w:szCs w:val="20"/>
        </w:rPr>
        <w:t xml:space="preserve"> Limitations include reliance on published sources and lack of micro-level empirical data, suggesting future research should incorporate field surveys and comparative case studies.</w:t>
      </w:r>
    </w:p>
    <w:p w:rsidR="00C73A83" w:rsidRDefault="00BC1E91">
      <w:pPr>
        <w:pStyle w:val="Body"/>
        <w:widowControl/>
        <w:spacing w:after="0"/>
        <w:rPr>
          <w:rFonts w:ascii="Arial" w:eastAsia="Times New Roman" w:hAnsi="Arial" w:cs="Arial"/>
          <w:i/>
          <w:kern w:val="0"/>
          <w:sz w:val="20"/>
          <w:szCs w:val="20"/>
          <w:lang w:eastAsia="en-US"/>
        </w:rPr>
      </w:pPr>
      <w:r>
        <w:rPr>
          <w:rFonts w:ascii="Arial" w:eastAsia="Times New Roman" w:hAnsi="Arial" w:cs="Arial"/>
          <w:i/>
          <w:kern w:val="0"/>
          <w:sz w:val="20"/>
          <w:szCs w:val="20"/>
          <w:lang w:eastAsia="en-US"/>
        </w:rPr>
        <w:t xml:space="preserve">Keywords: Rural revitalization; </w:t>
      </w:r>
      <w:proofErr w:type="spellStart"/>
      <w:r>
        <w:rPr>
          <w:rFonts w:ascii="Arial" w:eastAsia="Times New Roman" w:hAnsi="Arial" w:cs="Arial"/>
          <w:i/>
          <w:kern w:val="0"/>
          <w:sz w:val="20"/>
          <w:szCs w:val="20"/>
          <w:lang w:eastAsia="en-US"/>
        </w:rPr>
        <w:t>Fuliang</w:t>
      </w:r>
      <w:proofErr w:type="spellEnd"/>
      <w:r>
        <w:rPr>
          <w:rFonts w:ascii="Arial" w:eastAsia="Times New Roman" w:hAnsi="Arial" w:cs="Arial"/>
          <w:i/>
          <w:kern w:val="0"/>
          <w:sz w:val="20"/>
          <w:szCs w:val="20"/>
          <w:lang w:eastAsia="en-US"/>
        </w:rPr>
        <w:t xml:space="preserve"> tea; E-commerce; Internationalization; Systematic literature review</w:t>
      </w:r>
    </w:p>
    <w:p w:rsidR="00C73A83" w:rsidRDefault="00C73A83">
      <w:pPr>
        <w:pStyle w:val="Body"/>
        <w:widowControl/>
        <w:spacing w:after="0"/>
        <w:rPr>
          <w:rFonts w:ascii="Arial" w:eastAsia="Times New Roman" w:hAnsi="Arial" w:cs="Arial"/>
          <w:i/>
          <w:kern w:val="0"/>
          <w:sz w:val="20"/>
          <w:szCs w:val="20"/>
          <w:lang w:eastAsia="en-US"/>
        </w:rPr>
      </w:pPr>
    </w:p>
    <w:p w:rsidR="00C73A83" w:rsidRDefault="00C73A83">
      <w:pPr>
        <w:pStyle w:val="Body"/>
        <w:widowControl/>
        <w:spacing w:after="0"/>
        <w:rPr>
          <w:rFonts w:ascii="Arial" w:eastAsia="Times New Roman" w:hAnsi="Arial" w:cs="Arial"/>
          <w:i/>
          <w:kern w:val="0"/>
          <w:sz w:val="20"/>
          <w:szCs w:val="20"/>
          <w:lang w:eastAsia="en-US"/>
        </w:rPr>
      </w:pPr>
    </w:p>
    <w:p w:rsidR="00C73A83" w:rsidRDefault="00C73A83">
      <w:pPr>
        <w:pStyle w:val="Body"/>
        <w:widowControl/>
        <w:spacing w:after="0"/>
        <w:rPr>
          <w:rFonts w:ascii="Arial" w:eastAsia="Times New Roman" w:hAnsi="Arial" w:cs="Arial"/>
          <w:i/>
          <w:kern w:val="0"/>
          <w:sz w:val="20"/>
          <w:szCs w:val="20"/>
          <w:lang w:eastAsia="en-US"/>
        </w:rPr>
      </w:pPr>
    </w:p>
    <w:p w:rsidR="00C73A83" w:rsidRDefault="00BC1E91">
      <w:pPr>
        <w:pStyle w:val="Heading2"/>
        <w:widowControl/>
        <w:rPr>
          <w:rFonts w:hint="default"/>
        </w:rPr>
      </w:pPr>
      <w:r>
        <w:rPr>
          <w:rFonts w:ascii="Arial" w:eastAsia="Times New Roman" w:hAnsi="Arial" w:cs="Arial" w:hint="default"/>
          <w:bCs w:val="0"/>
          <w:caps/>
          <w:sz w:val="22"/>
          <w:szCs w:val="20"/>
          <w:lang w:eastAsia="en-US"/>
        </w:rPr>
        <w:lastRenderedPageBreak/>
        <w:t>1. Introduction</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Since the implementation of China’s rural revitalization strategy, the development of local specialty industries has gained renewed momentum, with e</w:t>
      </w:r>
      <w:r>
        <w:rPr>
          <w:rFonts w:ascii="Arial" w:eastAsia="Times New Roman" w:hAnsi="Arial" w:cs="Arial"/>
          <w:kern w:val="0"/>
          <w:sz w:val="20"/>
          <w:szCs w:val="20"/>
          <w:lang w:eastAsia="en-US"/>
        </w:rPr>
        <w:noBreakHyphen/>
        <w:t>commerce emerging as a key driver of transformation within rural areas</w:t>
      </w:r>
      <w:r w:rsidR="00E4732D">
        <w:rPr>
          <w:rFonts w:ascii="Arial" w:eastAsia="Times New Roman" w:hAnsi="Arial" w:cs="Arial"/>
          <w:kern w:val="0"/>
          <w:sz w:val="20"/>
          <w:szCs w:val="20"/>
          <w:lang w:eastAsia="en-US"/>
        </w:rPr>
        <w:t xml:space="preserve"> (</w:t>
      </w:r>
      <w:r w:rsidR="00E4732D" w:rsidRPr="00E4732D">
        <w:rPr>
          <w:rFonts w:ascii="Arial" w:eastAsia="Times New Roman" w:hAnsi="Arial" w:cs="Arial"/>
          <w:kern w:val="0"/>
          <w:sz w:val="20"/>
          <w:szCs w:val="20"/>
          <w:lang w:eastAsia="en-US"/>
        </w:rPr>
        <w:t>Zhu</w:t>
      </w:r>
      <w:r w:rsidR="00E4732D">
        <w:rPr>
          <w:rFonts w:ascii="Arial" w:eastAsia="Times New Roman" w:hAnsi="Arial" w:cs="Arial"/>
          <w:kern w:val="0"/>
          <w:sz w:val="20"/>
          <w:szCs w:val="20"/>
          <w:lang w:eastAsia="en-US"/>
        </w:rPr>
        <w:t xml:space="preserve"> et al., 2025)</w:t>
      </w:r>
      <w:r>
        <w:rPr>
          <w:rFonts w:ascii="Arial" w:eastAsia="Times New Roman" w:hAnsi="Arial" w:cs="Arial"/>
          <w:kern w:val="0"/>
          <w:sz w:val="20"/>
          <w:szCs w:val="20"/>
          <w:lang w:eastAsia="en-US"/>
        </w:rPr>
        <w:t>. The integration of e</w:t>
      </w:r>
      <w:r>
        <w:rPr>
          <w:rFonts w:ascii="Arial" w:eastAsia="Times New Roman" w:hAnsi="Arial" w:cs="Arial"/>
          <w:kern w:val="0"/>
          <w:sz w:val="20"/>
          <w:szCs w:val="20"/>
          <w:lang w:eastAsia="en-US"/>
        </w:rPr>
        <w:noBreakHyphen/>
        <w:t>commerce into agricultural production and rural livelihoods has enabled rural households and enterprises to access wider markets and capture greater value from their output</w:t>
      </w:r>
      <w:r w:rsidR="0053795A">
        <w:rPr>
          <w:rFonts w:ascii="Arial" w:eastAsia="Times New Roman" w:hAnsi="Arial" w:cs="Arial"/>
          <w:kern w:val="0"/>
          <w:sz w:val="20"/>
          <w:szCs w:val="20"/>
          <w:lang w:eastAsia="en-US"/>
        </w:rPr>
        <w:t xml:space="preserve"> (</w:t>
      </w:r>
      <w:r w:rsidR="0053795A" w:rsidRPr="0053795A">
        <w:rPr>
          <w:rFonts w:ascii="Arial" w:eastAsia="Times New Roman" w:hAnsi="Arial" w:cs="Arial"/>
          <w:kern w:val="0"/>
          <w:sz w:val="20"/>
          <w:szCs w:val="20"/>
          <w:lang w:eastAsia="en-US"/>
        </w:rPr>
        <w:t>Li</w:t>
      </w:r>
      <w:r w:rsidR="0053795A">
        <w:rPr>
          <w:rFonts w:ascii="Arial" w:eastAsia="Times New Roman" w:hAnsi="Arial" w:cs="Arial"/>
          <w:kern w:val="0"/>
          <w:sz w:val="20"/>
          <w:szCs w:val="20"/>
          <w:lang w:eastAsia="en-US"/>
        </w:rPr>
        <w:t xml:space="preserve">, Li &amp; </w:t>
      </w:r>
      <w:r w:rsidR="0053795A" w:rsidRPr="0053795A">
        <w:rPr>
          <w:rFonts w:ascii="Arial" w:eastAsia="Times New Roman" w:hAnsi="Arial" w:cs="Arial"/>
          <w:kern w:val="0"/>
          <w:sz w:val="20"/>
          <w:szCs w:val="20"/>
          <w:lang w:eastAsia="en-US"/>
        </w:rPr>
        <w:t>Chen</w:t>
      </w:r>
      <w:r w:rsidR="0053795A">
        <w:rPr>
          <w:rFonts w:ascii="Arial" w:eastAsia="Times New Roman" w:hAnsi="Arial" w:cs="Arial"/>
          <w:kern w:val="0"/>
          <w:sz w:val="20"/>
          <w:szCs w:val="20"/>
          <w:lang w:eastAsia="en-US"/>
        </w:rPr>
        <w:t>, 2024)</w:t>
      </w:r>
      <w:r>
        <w:rPr>
          <w:rFonts w:ascii="Arial" w:eastAsia="Times New Roman" w:hAnsi="Arial" w:cs="Arial"/>
          <w:kern w:val="0"/>
          <w:sz w:val="20"/>
          <w:szCs w:val="20"/>
          <w:lang w:eastAsia="en-US"/>
        </w:rPr>
        <w:t>. For example, research shows that e</w:t>
      </w:r>
      <w:r>
        <w:rPr>
          <w:rFonts w:ascii="Arial" w:eastAsia="Times New Roman" w:hAnsi="Arial" w:cs="Arial"/>
          <w:kern w:val="0"/>
          <w:sz w:val="20"/>
          <w:szCs w:val="20"/>
          <w:lang w:eastAsia="en-US"/>
        </w:rPr>
        <w:noBreakHyphen/>
        <w:t>commerce platforms significantly contribute to rural economic growth by creating new sales channels, enhancing product value, and stimulating industrial upgrading in the countryside (Chen &amp; Long, 2024</w:t>
      </w:r>
      <w:r w:rsidR="0053795A">
        <w:rPr>
          <w:rFonts w:ascii="Arial" w:eastAsia="Times New Roman" w:hAnsi="Arial" w:cs="Arial"/>
          <w:kern w:val="0"/>
          <w:sz w:val="20"/>
          <w:szCs w:val="20"/>
          <w:lang w:eastAsia="en-US"/>
        </w:rPr>
        <w:t xml:space="preserve">; </w:t>
      </w:r>
      <w:r w:rsidR="0053795A" w:rsidRPr="0053795A">
        <w:rPr>
          <w:rFonts w:ascii="Arial" w:eastAsia="Times New Roman" w:hAnsi="Arial" w:cs="Arial"/>
          <w:kern w:val="0"/>
          <w:sz w:val="20"/>
          <w:szCs w:val="20"/>
          <w:lang w:eastAsia="en-US"/>
        </w:rPr>
        <w:t>Li</w:t>
      </w:r>
      <w:r w:rsidR="0053795A">
        <w:rPr>
          <w:rFonts w:ascii="Arial" w:eastAsia="Times New Roman" w:hAnsi="Arial" w:cs="Arial"/>
          <w:kern w:val="0"/>
          <w:sz w:val="20"/>
          <w:szCs w:val="20"/>
          <w:lang w:eastAsia="en-US"/>
        </w:rPr>
        <w:t xml:space="preserve"> &amp; </w:t>
      </w:r>
      <w:r w:rsidR="0053795A" w:rsidRPr="0053795A">
        <w:rPr>
          <w:rFonts w:ascii="Arial" w:eastAsia="Times New Roman" w:hAnsi="Arial" w:cs="Arial"/>
          <w:kern w:val="0"/>
          <w:sz w:val="20"/>
          <w:szCs w:val="20"/>
          <w:lang w:eastAsia="en-US"/>
        </w:rPr>
        <w:t>Zhang</w:t>
      </w:r>
      <w:r w:rsidR="0053795A">
        <w:rPr>
          <w:rFonts w:ascii="Arial" w:eastAsia="Times New Roman" w:hAnsi="Arial" w:cs="Arial"/>
          <w:kern w:val="0"/>
          <w:sz w:val="20"/>
          <w:szCs w:val="20"/>
          <w:lang w:eastAsia="en-US"/>
        </w:rPr>
        <w:t>, 2024</w:t>
      </w:r>
      <w:r>
        <w:rPr>
          <w:rFonts w:ascii="Arial" w:eastAsia="Times New Roman" w:hAnsi="Arial" w:cs="Arial"/>
          <w:kern w:val="0"/>
          <w:sz w:val="20"/>
          <w:szCs w:val="20"/>
          <w:lang w:eastAsia="en-US"/>
        </w:rPr>
        <w:t xml:space="preserve">). Under this overall policy framework, the tea industry in regions such as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County in Jingdezhen — a reputed tea</w:t>
      </w:r>
      <w:r>
        <w:rPr>
          <w:rFonts w:ascii="Arial" w:eastAsia="Times New Roman" w:hAnsi="Arial" w:cs="Arial"/>
          <w:kern w:val="0"/>
          <w:sz w:val="20"/>
          <w:szCs w:val="20"/>
          <w:lang w:eastAsia="en-US"/>
        </w:rPr>
        <w:noBreakHyphen/>
        <w:t>producing area — faces a strategic opportunity to transition from domestic e</w:t>
      </w:r>
      <w:r>
        <w:rPr>
          <w:rFonts w:ascii="Arial" w:eastAsia="Times New Roman" w:hAnsi="Arial" w:cs="Arial"/>
          <w:kern w:val="0"/>
          <w:sz w:val="20"/>
          <w:szCs w:val="20"/>
          <w:lang w:eastAsia="en-US"/>
        </w:rPr>
        <w:noBreakHyphen/>
        <w:t>commerce operations to international markets</w:t>
      </w:r>
      <w:r w:rsidR="00935F80">
        <w:rPr>
          <w:rFonts w:ascii="Arial" w:eastAsia="Times New Roman" w:hAnsi="Arial" w:cs="Arial"/>
          <w:kern w:val="0"/>
          <w:sz w:val="20"/>
          <w:szCs w:val="20"/>
          <w:lang w:eastAsia="en-US"/>
        </w:rPr>
        <w:t xml:space="preserve"> [33-35]</w:t>
      </w:r>
      <w:r>
        <w:rPr>
          <w:rFonts w:ascii="Arial" w:eastAsia="Times New Roman" w:hAnsi="Arial" w:cs="Arial"/>
          <w:kern w:val="0"/>
          <w:sz w:val="20"/>
          <w:szCs w:val="20"/>
          <w:lang w:eastAsia="en-US"/>
        </w:rPr>
        <w:t>.</w:t>
      </w:r>
    </w:p>
    <w:p w:rsidR="00C73A83" w:rsidRDefault="00C73A83">
      <w:pPr>
        <w:pStyle w:val="Body"/>
        <w:widowControl/>
        <w:spacing w:after="0"/>
        <w:rPr>
          <w:rFonts w:ascii="Arial" w:eastAsia="Times New Roman" w:hAnsi="Arial" w:cs="Arial"/>
          <w:kern w:val="0"/>
          <w:sz w:val="20"/>
          <w:szCs w:val="20"/>
          <w:lang w:eastAsia="en-US"/>
        </w:rPr>
      </w:pP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Despite this potential, the bulk of existing research on tea e</w:t>
      </w:r>
      <w:r>
        <w:rPr>
          <w:rFonts w:ascii="Arial" w:eastAsia="Times New Roman" w:hAnsi="Arial" w:cs="Arial"/>
          <w:kern w:val="0"/>
          <w:sz w:val="20"/>
          <w:szCs w:val="20"/>
          <w:lang w:eastAsia="en-US"/>
        </w:rPr>
        <w:noBreakHyphen/>
        <w:t xml:space="preserve">commerce has primarily addressed domestic market mechanisms, consumer </w:t>
      </w:r>
      <w:proofErr w:type="spellStart"/>
      <w:r>
        <w:rPr>
          <w:rFonts w:ascii="Arial" w:eastAsia="Times New Roman" w:hAnsi="Arial" w:cs="Arial"/>
          <w:kern w:val="0"/>
          <w:sz w:val="20"/>
          <w:szCs w:val="20"/>
          <w:lang w:eastAsia="en-US"/>
        </w:rPr>
        <w:t>behaviours</w:t>
      </w:r>
      <w:proofErr w:type="spellEnd"/>
      <w:r>
        <w:rPr>
          <w:rFonts w:ascii="Arial" w:eastAsia="Times New Roman" w:hAnsi="Arial" w:cs="Arial"/>
          <w:kern w:val="0"/>
          <w:sz w:val="20"/>
          <w:szCs w:val="20"/>
          <w:lang w:eastAsia="en-US"/>
        </w:rPr>
        <w:t xml:space="preserve"> and online sales strategies within China. There remains a noticeable gap in systematic investigations focusing on how local tea enterprises navigate the process of international expansion via e</w:t>
      </w:r>
      <w:r>
        <w:rPr>
          <w:rFonts w:ascii="Arial" w:eastAsia="Times New Roman" w:hAnsi="Arial" w:cs="Arial"/>
          <w:kern w:val="0"/>
          <w:sz w:val="20"/>
          <w:szCs w:val="20"/>
          <w:lang w:eastAsia="en-US"/>
        </w:rPr>
        <w:noBreakHyphen/>
        <w:t>commerce. Studies of rural e</w:t>
      </w:r>
      <w:r>
        <w:rPr>
          <w:rFonts w:ascii="Arial" w:eastAsia="Times New Roman" w:hAnsi="Arial" w:cs="Arial"/>
          <w:kern w:val="0"/>
          <w:sz w:val="20"/>
          <w:szCs w:val="20"/>
          <w:lang w:eastAsia="en-US"/>
        </w:rPr>
        <w:noBreakHyphen/>
        <w:t>commerce more broadly have identified obstacles such as uneven digital infrastructure, talent shortfalls, and logistic constraints (Li, 2022) and underscored the need for more targeted research on cross</w:t>
      </w:r>
      <w:r>
        <w:rPr>
          <w:rFonts w:ascii="Arial" w:eastAsia="Times New Roman" w:hAnsi="Arial" w:cs="Arial"/>
          <w:kern w:val="0"/>
          <w:sz w:val="20"/>
          <w:szCs w:val="20"/>
          <w:lang w:eastAsia="en-US"/>
        </w:rPr>
        <w:noBreakHyphen/>
        <w:t>border pathways (Zheng, Sultana &amp; Williams, 2025). In the context of tea e</w:t>
      </w:r>
      <w:r>
        <w:rPr>
          <w:rFonts w:ascii="Arial" w:eastAsia="Times New Roman" w:hAnsi="Arial" w:cs="Arial"/>
          <w:kern w:val="0"/>
          <w:sz w:val="20"/>
          <w:szCs w:val="20"/>
          <w:lang w:eastAsia="en-US"/>
        </w:rPr>
        <w:noBreakHyphen/>
        <w:t>commerce and internationalization, such gaps are especially salient.</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This study aims to bridge that gap by focusing on the internationalization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w:t>
      </w:r>
      <w:r>
        <w:rPr>
          <w:rFonts w:ascii="Arial" w:eastAsia="Times New Roman" w:hAnsi="Arial" w:cs="Arial"/>
          <w:kern w:val="0"/>
          <w:sz w:val="20"/>
          <w:szCs w:val="20"/>
          <w:lang w:eastAsia="en-US"/>
        </w:rPr>
        <w:noBreakHyphen/>
        <w:t>commerce under the rural revitalization strategy. Accordingly, the research addresses three core questions:</w:t>
      </w:r>
      <w:r>
        <w:rPr>
          <w:rFonts w:ascii="Arial" w:eastAsia="Times New Roman" w:hAnsi="Arial" w:cs="Arial"/>
          <w:kern w:val="0"/>
          <w:sz w:val="20"/>
          <w:szCs w:val="20"/>
          <w:lang w:eastAsia="en-US"/>
        </w:rPr>
        <w:br/>
        <w:t>RQ1: What is the current development status of domestic and international tea e</w:t>
      </w:r>
      <w:r>
        <w:rPr>
          <w:rFonts w:ascii="Arial" w:eastAsia="Times New Roman" w:hAnsi="Arial" w:cs="Arial"/>
          <w:kern w:val="0"/>
          <w:sz w:val="20"/>
          <w:szCs w:val="20"/>
          <w:lang w:eastAsia="en-US"/>
        </w:rPr>
        <w:noBreakHyphen/>
        <w:t>commerce under the rural revitalization strategy?</w:t>
      </w:r>
      <w:r>
        <w:rPr>
          <w:rFonts w:ascii="Arial" w:eastAsia="Times New Roman" w:hAnsi="Arial" w:cs="Arial"/>
          <w:kern w:val="0"/>
          <w:sz w:val="20"/>
          <w:szCs w:val="20"/>
          <w:lang w:eastAsia="en-US"/>
        </w:rPr>
        <w:br/>
        <w:t xml:space="preserve">RQ2: What are the main challenges and opportunities for the internationalization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w:t>
      </w:r>
      <w:r>
        <w:rPr>
          <w:rFonts w:ascii="Arial" w:eastAsia="Times New Roman" w:hAnsi="Arial" w:cs="Arial"/>
          <w:kern w:val="0"/>
          <w:sz w:val="20"/>
          <w:szCs w:val="20"/>
          <w:lang w:eastAsia="en-US"/>
        </w:rPr>
        <w:noBreakHyphen/>
        <w:t>commerce?</w:t>
      </w:r>
      <w:r>
        <w:rPr>
          <w:rFonts w:ascii="Arial" w:eastAsia="Times New Roman" w:hAnsi="Arial" w:cs="Arial"/>
          <w:kern w:val="0"/>
          <w:sz w:val="20"/>
          <w:szCs w:val="20"/>
          <w:lang w:eastAsia="en-US"/>
        </w:rPr>
        <w:br/>
        <w:t xml:space="preserve">RQ3: What pathways have been proposed to promote the internationalization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w:t>
      </w:r>
      <w:r>
        <w:rPr>
          <w:rFonts w:ascii="Arial" w:eastAsia="Times New Roman" w:hAnsi="Arial" w:cs="Arial"/>
          <w:kern w:val="0"/>
          <w:sz w:val="20"/>
          <w:szCs w:val="20"/>
          <w:lang w:eastAsia="en-US"/>
        </w:rPr>
        <w:noBreakHyphen/>
        <w:t>commerce?</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By systematically examining the interplay between policy context, local tea industry characteristics, and cross</w:t>
      </w:r>
      <w:r>
        <w:rPr>
          <w:rFonts w:ascii="Arial" w:eastAsia="Times New Roman" w:hAnsi="Arial" w:cs="Arial"/>
          <w:kern w:val="0"/>
          <w:sz w:val="20"/>
          <w:szCs w:val="20"/>
          <w:lang w:eastAsia="en-US"/>
        </w:rPr>
        <w:noBreakHyphen/>
        <w:t>border e</w:t>
      </w:r>
      <w:r>
        <w:rPr>
          <w:rFonts w:ascii="Arial" w:eastAsia="Times New Roman" w:hAnsi="Arial" w:cs="Arial"/>
          <w:kern w:val="0"/>
          <w:sz w:val="20"/>
          <w:szCs w:val="20"/>
          <w:lang w:eastAsia="en-US"/>
        </w:rPr>
        <w:noBreakHyphen/>
        <w:t xml:space="preserve">commerce dynamics, this research contributes both to theoretical understanding of rural industrial digitalization and to practical guidance for local enterprises seeking to engage global </w:t>
      </w:r>
      <w:proofErr w:type="spellStart"/>
      <w:proofErr w:type="gramStart"/>
      <w:r>
        <w:rPr>
          <w:rFonts w:ascii="Arial" w:eastAsia="Times New Roman" w:hAnsi="Arial" w:cs="Arial"/>
          <w:kern w:val="0"/>
          <w:sz w:val="20"/>
          <w:szCs w:val="20"/>
          <w:lang w:eastAsia="en-US"/>
        </w:rPr>
        <w:t>markets.</w:t>
      </w:r>
      <w:r>
        <w:rPr>
          <w:rFonts w:ascii="Arial" w:eastAsia="Times New Roman" w:hAnsi="Arial" w:cs="Arial" w:hint="eastAsia"/>
          <w:kern w:val="0"/>
          <w:sz w:val="20"/>
          <w:szCs w:val="20"/>
          <w:lang w:eastAsia="en-US"/>
        </w:rPr>
        <w:t>This</w:t>
      </w:r>
      <w:proofErr w:type="spellEnd"/>
      <w:proofErr w:type="gramEnd"/>
      <w:r>
        <w:rPr>
          <w:rFonts w:ascii="Arial" w:eastAsia="Times New Roman" w:hAnsi="Arial" w:cs="Arial" w:hint="eastAsia"/>
          <w:kern w:val="0"/>
          <w:sz w:val="20"/>
          <w:szCs w:val="20"/>
          <w:lang w:eastAsia="en-US"/>
        </w:rPr>
        <w:t xml:space="preserve"> study makes several key contributions to the scientific understanding of rural e-commerce internationalization. First, it fills an important research gap by systematically reviewing studies on the global development of </w:t>
      </w:r>
      <w:proofErr w:type="spellStart"/>
      <w:r>
        <w:rPr>
          <w:rFonts w:ascii="Arial" w:eastAsia="Times New Roman" w:hAnsi="Arial" w:cs="Arial" w:hint="eastAsia"/>
          <w:kern w:val="0"/>
          <w:sz w:val="20"/>
          <w:szCs w:val="20"/>
          <w:lang w:eastAsia="en-US"/>
        </w:rPr>
        <w:t>Fuliang</w:t>
      </w:r>
      <w:proofErr w:type="spellEnd"/>
      <w:r>
        <w:rPr>
          <w:rFonts w:ascii="Arial" w:eastAsia="Times New Roman" w:hAnsi="Arial" w:cs="Arial" w:hint="eastAsia"/>
          <w:kern w:val="0"/>
          <w:sz w:val="20"/>
          <w:szCs w:val="20"/>
          <w:lang w:eastAsia="en-US"/>
        </w:rPr>
        <w:t xml:space="preserve"> tea e-commerce under the Rural Revitalization Strategy. While rural e-commerce has gained increasing policy attention, research specifically addressing its internationalization remains scarce</w:t>
      </w:r>
      <w:r w:rsidR="00935F80">
        <w:rPr>
          <w:rFonts w:ascii="Arial" w:eastAsia="Times New Roman" w:hAnsi="Arial" w:cs="Arial"/>
          <w:kern w:val="0"/>
          <w:sz w:val="20"/>
          <w:szCs w:val="20"/>
          <w:lang w:eastAsia="en-US"/>
        </w:rPr>
        <w:t xml:space="preserve"> [36-38]</w:t>
      </w:r>
      <w:r>
        <w:rPr>
          <w:rFonts w:ascii="Arial" w:eastAsia="Times New Roman" w:hAnsi="Arial" w:cs="Arial" w:hint="eastAsia"/>
          <w:kern w:val="0"/>
          <w:sz w:val="20"/>
          <w:szCs w:val="20"/>
          <w:lang w:eastAsia="en-US"/>
        </w:rPr>
        <w:t>. Second, this study integrates core dimensions—brand building, quality standards, logistics performance, talent development, enterprise capabilities, and risk management—into a unified analytical framework. This provides a clearer theoretical basis for understanding the pathways through which local agricultural products enter global markets</w:t>
      </w:r>
      <w:r w:rsidR="00E320D9">
        <w:rPr>
          <w:rFonts w:ascii="Arial" w:eastAsia="Times New Roman" w:hAnsi="Arial" w:cs="Arial"/>
          <w:kern w:val="0"/>
          <w:sz w:val="20"/>
          <w:szCs w:val="20"/>
          <w:lang w:eastAsia="en-US"/>
        </w:rPr>
        <w:t xml:space="preserve"> [39,40]</w:t>
      </w:r>
      <w:r>
        <w:rPr>
          <w:rFonts w:ascii="Arial" w:eastAsia="Times New Roman" w:hAnsi="Arial" w:cs="Arial" w:hint="eastAsia"/>
          <w:kern w:val="0"/>
          <w:sz w:val="20"/>
          <w:szCs w:val="20"/>
          <w:lang w:eastAsia="en-US"/>
        </w:rPr>
        <w:t xml:space="preserve">. Third, the findings offer practical insights for policymakers and industry stakeholders, </w:t>
      </w:r>
      <w:r>
        <w:rPr>
          <w:rFonts w:ascii="Arial" w:eastAsia="Times New Roman" w:hAnsi="Arial" w:cs="Arial" w:hint="eastAsia"/>
          <w:kern w:val="0"/>
          <w:sz w:val="20"/>
          <w:szCs w:val="20"/>
          <w:lang w:eastAsia="en-US"/>
        </w:rPr>
        <w:lastRenderedPageBreak/>
        <w:t>presenting actionable strategies to enhance global competitiveness and mitigate structural constraints in rural digital commerce.</w:t>
      </w:r>
    </w:p>
    <w:p w:rsidR="00C73A83" w:rsidRDefault="00BC1E91">
      <w:pPr>
        <w:pStyle w:val="Heading2"/>
        <w:widowControl/>
        <w:rPr>
          <w:rFonts w:ascii="Arial" w:eastAsia="Times New Roman" w:hAnsi="Arial" w:cs="Arial" w:hint="default"/>
          <w:bCs w:val="0"/>
          <w:caps/>
          <w:sz w:val="22"/>
          <w:szCs w:val="20"/>
          <w:lang w:eastAsia="en-US"/>
        </w:rPr>
      </w:pPr>
      <w:r>
        <w:rPr>
          <w:rFonts w:ascii="Arial" w:eastAsia="Times New Roman" w:hAnsi="Arial" w:cs="Arial" w:hint="default"/>
          <w:bCs w:val="0"/>
          <w:caps/>
          <w:sz w:val="22"/>
          <w:szCs w:val="20"/>
          <w:lang w:eastAsia="en-US"/>
        </w:rPr>
        <w:t>2. Literature Review</w:t>
      </w:r>
    </w:p>
    <w:p w:rsidR="00C73A83" w:rsidRDefault="00BC1E91">
      <w:pPr>
        <w:pStyle w:val="Heading4"/>
        <w:widowControl/>
        <w:jc w:val="both"/>
        <w:rPr>
          <w:rFonts w:ascii="Arial" w:hAnsi="Arial" w:cs="Arial" w:hint="default"/>
          <w:sz w:val="22"/>
          <w:szCs w:val="22"/>
          <w:lang w:eastAsia="en-US"/>
        </w:rPr>
      </w:pPr>
      <w:r>
        <w:rPr>
          <w:rFonts w:ascii="Arial" w:hAnsi="Arial" w:cs="Arial"/>
          <w:sz w:val="22"/>
          <w:szCs w:val="22"/>
        </w:rPr>
        <w:t xml:space="preserve">2.1 </w:t>
      </w:r>
      <w:r>
        <w:rPr>
          <w:rFonts w:ascii="Arial" w:hAnsi="Arial" w:cs="Arial" w:hint="default"/>
          <w:sz w:val="22"/>
          <w:szCs w:val="22"/>
          <w:lang w:eastAsia="en-US"/>
        </w:rPr>
        <w:t>Internationalization of E</w:t>
      </w:r>
      <w:r>
        <w:rPr>
          <w:rFonts w:ascii="Arial" w:hAnsi="Arial" w:cs="Arial" w:hint="default"/>
          <w:sz w:val="22"/>
          <w:szCs w:val="22"/>
          <w:lang w:eastAsia="en-US"/>
        </w:rPr>
        <w:noBreakHyphen/>
        <w:t>commerce</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The internationalization of e</w:t>
      </w:r>
      <w:r>
        <w:rPr>
          <w:rFonts w:ascii="Arial" w:eastAsia="Times New Roman" w:hAnsi="Arial" w:cs="Arial"/>
          <w:kern w:val="0"/>
          <w:sz w:val="20"/>
          <w:szCs w:val="20"/>
          <w:lang w:eastAsia="en-US"/>
        </w:rPr>
        <w:noBreakHyphen/>
        <w:t>commerce refers to online enterprises extending their operations beyond domestic markets into cross</w:t>
      </w:r>
      <w:r>
        <w:rPr>
          <w:rFonts w:ascii="Arial" w:eastAsia="Times New Roman" w:hAnsi="Arial" w:cs="Arial"/>
          <w:kern w:val="0"/>
          <w:sz w:val="20"/>
          <w:szCs w:val="20"/>
          <w:lang w:eastAsia="en-US"/>
        </w:rPr>
        <w:noBreakHyphen/>
        <w:t>border trade channels through digital platforms. Recent studies highlight that global connectivity, enhanced logistics, and platform</w:t>
      </w:r>
      <w:r>
        <w:rPr>
          <w:rFonts w:ascii="Arial" w:eastAsia="Times New Roman" w:hAnsi="Arial" w:cs="Arial"/>
          <w:kern w:val="0"/>
          <w:sz w:val="20"/>
          <w:szCs w:val="20"/>
          <w:lang w:eastAsia="en-US"/>
        </w:rPr>
        <w:noBreakHyphen/>
        <w:t>based business models have expedited this process (</w:t>
      </w:r>
      <w:proofErr w:type="spellStart"/>
      <w:r>
        <w:rPr>
          <w:rFonts w:ascii="Arial" w:eastAsia="Times New Roman" w:hAnsi="Arial" w:cs="Arial"/>
          <w:kern w:val="0"/>
          <w:sz w:val="20"/>
          <w:szCs w:val="20"/>
          <w:lang w:eastAsia="en-US"/>
        </w:rPr>
        <w:t>Xiong</w:t>
      </w:r>
      <w:proofErr w:type="spellEnd"/>
      <w:r>
        <w:rPr>
          <w:rFonts w:ascii="Arial" w:eastAsia="Times New Roman" w:hAnsi="Arial" w:cs="Arial"/>
          <w:kern w:val="0"/>
          <w:sz w:val="20"/>
          <w:szCs w:val="20"/>
          <w:lang w:eastAsia="en-US"/>
        </w:rPr>
        <w:t>, 2024</w:t>
      </w:r>
      <w:r w:rsidR="0053795A">
        <w:rPr>
          <w:rFonts w:ascii="Arial" w:eastAsia="Times New Roman" w:hAnsi="Arial" w:cs="Arial"/>
          <w:kern w:val="0"/>
          <w:sz w:val="20"/>
          <w:szCs w:val="20"/>
          <w:lang w:eastAsia="en-US"/>
        </w:rPr>
        <w:t xml:space="preserve">; </w:t>
      </w:r>
      <w:r w:rsidR="0053795A" w:rsidRPr="0053795A">
        <w:rPr>
          <w:rFonts w:ascii="Arial" w:eastAsia="Times New Roman" w:hAnsi="Arial" w:cs="Arial"/>
          <w:kern w:val="0"/>
          <w:sz w:val="20"/>
          <w:szCs w:val="20"/>
          <w:lang w:eastAsia="en-US"/>
        </w:rPr>
        <w:t>Chen</w:t>
      </w:r>
      <w:r w:rsidR="0053795A">
        <w:rPr>
          <w:rFonts w:ascii="Arial" w:eastAsia="Times New Roman" w:hAnsi="Arial" w:cs="Arial"/>
          <w:kern w:val="0"/>
          <w:sz w:val="20"/>
          <w:szCs w:val="20"/>
          <w:lang w:eastAsia="en-US"/>
        </w:rPr>
        <w:t xml:space="preserve"> et al., 2024</w:t>
      </w:r>
      <w:r>
        <w:rPr>
          <w:rFonts w:ascii="Arial" w:eastAsia="Times New Roman" w:hAnsi="Arial" w:cs="Arial"/>
          <w:kern w:val="0"/>
          <w:sz w:val="20"/>
          <w:szCs w:val="20"/>
          <w:lang w:eastAsia="en-US"/>
        </w:rPr>
        <w:t>). In rural and agricultural contexts, firms face additional dimensions such as non</w:t>
      </w:r>
      <w:r>
        <w:rPr>
          <w:rFonts w:ascii="Arial" w:eastAsia="Times New Roman" w:hAnsi="Arial" w:cs="Arial"/>
          <w:kern w:val="0"/>
          <w:sz w:val="20"/>
          <w:szCs w:val="20"/>
          <w:lang w:eastAsia="en-US"/>
        </w:rPr>
        <w:noBreakHyphen/>
        <w:t>digital infrastructure, international quality standards, and branding requirements. For example, the study “Analysis of the Factors Influencing the Development of Tea E</w:t>
      </w:r>
      <w:r>
        <w:rPr>
          <w:rFonts w:ascii="Arial" w:eastAsia="Times New Roman" w:hAnsi="Arial" w:cs="Arial"/>
          <w:kern w:val="0"/>
          <w:sz w:val="20"/>
          <w:szCs w:val="20"/>
          <w:lang w:eastAsia="en-US"/>
        </w:rPr>
        <w:noBreakHyphen/>
        <w:t xml:space="preserve">commerce in Rural China” </w:t>
      </w:r>
      <w:r>
        <w:rPr>
          <w:rFonts w:ascii="Arial" w:eastAsia="SimSun" w:hAnsi="Arial" w:cs="Arial" w:hint="eastAsia"/>
          <w:kern w:val="0"/>
          <w:sz w:val="20"/>
          <w:szCs w:val="20"/>
        </w:rPr>
        <w:t>(</w:t>
      </w:r>
      <w:r w:rsidR="00E4732D" w:rsidRPr="00E4732D">
        <w:rPr>
          <w:rFonts w:ascii="Arial" w:eastAsia="Times New Roman" w:hAnsi="Arial" w:cs="Arial"/>
          <w:color w:val="FF0000"/>
          <w:kern w:val="0"/>
          <w:sz w:val="20"/>
          <w:szCs w:val="20"/>
          <w:lang w:eastAsia="en-US"/>
        </w:rPr>
        <w:t>Ye</w:t>
      </w:r>
      <w:r w:rsidR="00E4732D" w:rsidRPr="00E4732D">
        <w:rPr>
          <w:rFonts w:ascii="Arial" w:eastAsia="Times New Roman" w:hAnsi="Arial" w:cs="Arial" w:hint="eastAsia"/>
          <w:color w:val="FF0000"/>
          <w:kern w:val="0"/>
          <w:sz w:val="20"/>
          <w:szCs w:val="20"/>
          <w:lang w:eastAsia="en-US"/>
        </w:rPr>
        <w:t xml:space="preserve"> </w:t>
      </w:r>
      <w:r>
        <w:rPr>
          <w:rFonts w:ascii="Arial" w:eastAsia="Times New Roman" w:hAnsi="Arial" w:cs="Arial" w:hint="eastAsia"/>
          <w:color w:val="FF0000"/>
          <w:kern w:val="0"/>
          <w:sz w:val="20"/>
          <w:szCs w:val="20"/>
          <w:lang w:eastAsia="en-US"/>
        </w:rPr>
        <w:t xml:space="preserve">&amp; </w:t>
      </w:r>
      <w:r w:rsidR="00E4732D" w:rsidRPr="00E4732D">
        <w:rPr>
          <w:rFonts w:ascii="Arial" w:eastAsia="Times New Roman" w:hAnsi="Arial" w:cs="Arial"/>
          <w:color w:val="FF0000"/>
          <w:kern w:val="0"/>
          <w:sz w:val="20"/>
          <w:szCs w:val="20"/>
          <w:lang w:eastAsia="en-US"/>
        </w:rPr>
        <w:t>Chen</w:t>
      </w:r>
      <w:r>
        <w:rPr>
          <w:rFonts w:ascii="Arial" w:eastAsia="Times New Roman" w:hAnsi="Arial" w:cs="Arial" w:hint="eastAsia"/>
          <w:color w:val="FF0000"/>
          <w:kern w:val="0"/>
          <w:sz w:val="20"/>
          <w:szCs w:val="20"/>
          <w:lang w:eastAsia="en-US"/>
        </w:rPr>
        <w:t>,202</w:t>
      </w:r>
      <w:r w:rsidR="00E4732D">
        <w:rPr>
          <w:rFonts w:ascii="Arial" w:eastAsia="Times New Roman" w:hAnsi="Arial" w:cs="Arial"/>
          <w:color w:val="FF0000"/>
          <w:kern w:val="0"/>
          <w:sz w:val="20"/>
          <w:szCs w:val="20"/>
          <w:lang w:eastAsia="en-US"/>
        </w:rPr>
        <w:t>4</w:t>
      </w:r>
      <w:r>
        <w:rPr>
          <w:rFonts w:ascii="Arial" w:eastAsia="Times New Roman" w:hAnsi="Arial" w:cs="Arial" w:hint="eastAsia"/>
          <w:color w:val="FF0000"/>
          <w:kern w:val="0"/>
          <w:sz w:val="20"/>
          <w:szCs w:val="20"/>
          <w:lang w:eastAsia="en-US"/>
        </w:rPr>
        <w:t>)</w:t>
      </w:r>
      <w:r>
        <w:rPr>
          <w:rFonts w:ascii="Arial" w:eastAsia="SimSun" w:hAnsi="Arial" w:cs="Arial" w:hint="eastAsia"/>
          <w:color w:val="FF0000"/>
          <w:kern w:val="0"/>
          <w:sz w:val="20"/>
          <w:szCs w:val="20"/>
        </w:rPr>
        <w:t xml:space="preserve"> </w:t>
      </w:r>
      <w:r>
        <w:rPr>
          <w:rFonts w:ascii="Arial" w:eastAsia="Times New Roman" w:hAnsi="Arial" w:cs="Arial"/>
          <w:kern w:val="0"/>
          <w:sz w:val="20"/>
          <w:szCs w:val="20"/>
          <w:lang w:eastAsia="en-US"/>
        </w:rPr>
        <w:t>underscores how rural e</w:t>
      </w:r>
      <w:r>
        <w:rPr>
          <w:rFonts w:ascii="Arial" w:eastAsia="Times New Roman" w:hAnsi="Arial" w:cs="Arial"/>
          <w:kern w:val="0"/>
          <w:sz w:val="20"/>
          <w:szCs w:val="20"/>
          <w:lang w:eastAsia="en-US"/>
        </w:rPr>
        <w:noBreakHyphen/>
        <w:t>commerce firms must navigate export licensing, logistics delays, and language/cultural barriers.</w:t>
      </w:r>
      <w:r>
        <w:rPr>
          <w:rFonts w:ascii="Arial" w:eastAsia="Times New Roman" w:hAnsi="Arial" w:cs="Arial"/>
          <w:kern w:val="0"/>
          <w:sz w:val="20"/>
          <w:szCs w:val="20"/>
          <w:lang w:eastAsia="en-US"/>
        </w:rPr>
        <w:br/>
        <w:t>Cross</w:t>
      </w:r>
      <w:r>
        <w:rPr>
          <w:rFonts w:ascii="Arial" w:eastAsia="Times New Roman" w:hAnsi="Arial" w:cs="Arial"/>
          <w:kern w:val="0"/>
          <w:sz w:val="20"/>
          <w:szCs w:val="20"/>
          <w:lang w:eastAsia="en-US"/>
        </w:rPr>
        <w:noBreakHyphen/>
        <w:t>border e</w:t>
      </w:r>
      <w:r>
        <w:rPr>
          <w:rFonts w:ascii="Arial" w:eastAsia="Times New Roman" w:hAnsi="Arial" w:cs="Arial"/>
          <w:kern w:val="0"/>
          <w:sz w:val="20"/>
          <w:szCs w:val="20"/>
          <w:lang w:eastAsia="en-US"/>
        </w:rPr>
        <w:noBreakHyphen/>
        <w:t>commerce models are varied, including B2C (business</w:t>
      </w:r>
      <w:r>
        <w:rPr>
          <w:rFonts w:ascii="Arial" w:eastAsia="Times New Roman" w:hAnsi="Arial" w:cs="Arial"/>
          <w:kern w:val="0"/>
          <w:sz w:val="20"/>
          <w:szCs w:val="20"/>
          <w:lang w:eastAsia="en-US"/>
        </w:rPr>
        <w:noBreakHyphen/>
        <w:t>to</w:t>
      </w:r>
      <w:r>
        <w:rPr>
          <w:rFonts w:ascii="Arial" w:eastAsia="Times New Roman" w:hAnsi="Arial" w:cs="Arial"/>
          <w:kern w:val="0"/>
          <w:sz w:val="20"/>
          <w:szCs w:val="20"/>
          <w:lang w:eastAsia="en-US"/>
        </w:rPr>
        <w:noBreakHyphen/>
        <w:t>consumer), B2B (business</w:t>
      </w:r>
      <w:r>
        <w:rPr>
          <w:rFonts w:ascii="Arial" w:eastAsia="Times New Roman" w:hAnsi="Arial" w:cs="Arial"/>
          <w:kern w:val="0"/>
          <w:sz w:val="20"/>
          <w:szCs w:val="20"/>
          <w:lang w:eastAsia="en-US"/>
        </w:rPr>
        <w:noBreakHyphen/>
        <w:t>to</w:t>
      </w:r>
      <w:r>
        <w:rPr>
          <w:rFonts w:ascii="Arial" w:eastAsia="Times New Roman" w:hAnsi="Arial" w:cs="Arial"/>
          <w:kern w:val="0"/>
          <w:sz w:val="20"/>
          <w:szCs w:val="20"/>
          <w:lang w:eastAsia="en-US"/>
        </w:rPr>
        <w:noBreakHyphen/>
        <w:t>business) and C2C (consumer</w:t>
      </w:r>
      <w:r>
        <w:rPr>
          <w:rFonts w:ascii="Arial" w:eastAsia="Times New Roman" w:hAnsi="Arial" w:cs="Arial"/>
          <w:kern w:val="0"/>
          <w:sz w:val="20"/>
          <w:szCs w:val="20"/>
          <w:lang w:eastAsia="en-US"/>
        </w:rPr>
        <w:noBreakHyphen/>
        <w:t>to</w:t>
      </w:r>
      <w:r>
        <w:rPr>
          <w:rFonts w:ascii="Arial" w:eastAsia="Times New Roman" w:hAnsi="Arial" w:cs="Arial"/>
          <w:kern w:val="0"/>
          <w:sz w:val="20"/>
          <w:szCs w:val="20"/>
          <w:lang w:eastAsia="en-US"/>
        </w:rPr>
        <w:noBreakHyphen/>
        <w:t>consumer) channels; each requires adaptation strategies for international markets. It is documented that regulatory frameworks (tariffs, customs clearance), payment systems, and logistics networks remain major constraints</w:t>
      </w:r>
      <w:r>
        <w:rPr>
          <w:rFonts w:ascii="Arial" w:eastAsia="SimSun" w:hAnsi="Arial" w:cs="Arial" w:hint="eastAsia"/>
          <w:kern w:val="0"/>
          <w:sz w:val="20"/>
          <w:szCs w:val="20"/>
        </w:rPr>
        <w:t xml:space="preserve"> </w:t>
      </w:r>
      <w:r>
        <w:rPr>
          <w:rFonts w:ascii="Arial" w:eastAsia="SimSun" w:hAnsi="Arial" w:cs="Arial" w:hint="eastAsia"/>
          <w:color w:val="FF0000"/>
          <w:kern w:val="0"/>
          <w:sz w:val="20"/>
          <w:szCs w:val="20"/>
        </w:rPr>
        <w:t>(</w:t>
      </w:r>
      <w:r w:rsidR="0053795A">
        <w:rPr>
          <w:rFonts w:ascii="Arial" w:eastAsia="Times New Roman" w:hAnsi="Arial" w:cs="Arial"/>
          <w:color w:val="FF0000"/>
          <w:kern w:val="0"/>
          <w:sz w:val="20"/>
          <w:szCs w:val="20"/>
          <w:lang w:eastAsia="en-US"/>
        </w:rPr>
        <w:t>Yan</w:t>
      </w:r>
      <w:r>
        <w:rPr>
          <w:rFonts w:ascii="Arial" w:eastAsia="Times New Roman" w:hAnsi="Arial" w:cs="Arial" w:hint="eastAsia"/>
          <w:color w:val="FF0000"/>
          <w:kern w:val="0"/>
          <w:sz w:val="20"/>
          <w:szCs w:val="20"/>
          <w:lang w:eastAsia="en-US"/>
        </w:rPr>
        <w:t>, 202</w:t>
      </w:r>
      <w:r w:rsidR="008371A2">
        <w:rPr>
          <w:rFonts w:ascii="Arial" w:eastAsia="Times New Roman" w:hAnsi="Arial" w:cs="Arial"/>
          <w:color w:val="FF0000"/>
          <w:kern w:val="0"/>
          <w:sz w:val="20"/>
          <w:szCs w:val="20"/>
          <w:lang w:eastAsia="en-US"/>
        </w:rPr>
        <w:t xml:space="preserve">4; </w:t>
      </w:r>
      <w:r w:rsidR="008371A2" w:rsidRPr="008371A2">
        <w:rPr>
          <w:rFonts w:ascii="Arial" w:eastAsia="Times New Roman" w:hAnsi="Arial" w:cs="Arial"/>
          <w:color w:val="FF0000"/>
          <w:kern w:val="0"/>
          <w:sz w:val="20"/>
          <w:szCs w:val="20"/>
          <w:lang w:eastAsia="en-US"/>
        </w:rPr>
        <w:t>Fei</w:t>
      </w:r>
      <w:r w:rsidR="008371A2">
        <w:rPr>
          <w:rFonts w:ascii="Arial" w:eastAsia="Times New Roman" w:hAnsi="Arial" w:cs="Arial"/>
          <w:color w:val="FF0000"/>
          <w:kern w:val="0"/>
          <w:sz w:val="20"/>
          <w:szCs w:val="20"/>
          <w:lang w:eastAsia="en-US"/>
        </w:rPr>
        <w:t xml:space="preserve"> et al., 2025</w:t>
      </w:r>
      <w:r>
        <w:rPr>
          <w:rFonts w:ascii="Arial" w:eastAsia="Times New Roman" w:hAnsi="Arial" w:cs="Arial" w:hint="eastAsia"/>
          <w:color w:val="FF0000"/>
          <w:kern w:val="0"/>
          <w:sz w:val="20"/>
          <w:szCs w:val="20"/>
          <w:lang w:eastAsia="en-US"/>
        </w:rPr>
        <w:t>)</w:t>
      </w:r>
      <w:r>
        <w:rPr>
          <w:rFonts w:ascii="Arial" w:eastAsia="Times New Roman" w:hAnsi="Arial" w:cs="Arial"/>
          <w:color w:val="FF0000"/>
          <w:kern w:val="0"/>
          <w:sz w:val="20"/>
          <w:szCs w:val="20"/>
          <w:lang w:eastAsia="en-US"/>
        </w:rPr>
        <w:t>.</w:t>
      </w:r>
      <w:r>
        <w:rPr>
          <w:rFonts w:ascii="Arial" w:eastAsia="Times New Roman" w:hAnsi="Arial" w:cs="Arial"/>
          <w:kern w:val="0"/>
          <w:sz w:val="20"/>
          <w:szCs w:val="20"/>
          <w:lang w:eastAsia="en-US"/>
        </w:rPr>
        <w:t xml:space="preserve"> On the success side, firms like Alibaba and JD Global illustrate how localized strategies, multilingual websites, overseas warehousing, and joint ventures with local actors have accelerated growth (</w:t>
      </w:r>
      <w:r w:rsidR="008371A2" w:rsidRPr="008371A2">
        <w:rPr>
          <w:rFonts w:ascii="Arial" w:eastAsia="Times New Roman" w:hAnsi="Arial" w:cs="Arial"/>
          <w:kern w:val="0"/>
          <w:sz w:val="20"/>
          <w:szCs w:val="20"/>
          <w:lang w:eastAsia="en-US"/>
        </w:rPr>
        <w:t>Li</w:t>
      </w:r>
      <w:r>
        <w:rPr>
          <w:rFonts w:ascii="Arial" w:eastAsia="Times New Roman" w:hAnsi="Arial" w:cs="Arial"/>
          <w:kern w:val="0"/>
          <w:sz w:val="20"/>
          <w:szCs w:val="20"/>
          <w:lang w:eastAsia="en-US"/>
        </w:rPr>
        <w:t>, 2024).</w:t>
      </w:r>
      <w:r>
        <w:rPr>
          <w:rFonts w:ascii="Arial" w:eastAsia="Times New Roman" w:hAnsi="Arial" w:cs="Arial"/>
          <w:kern w:val="0"/>
          <w:sz w:val="20"/>
          <w:szCs w:val="20"/>
          <w:lang w:eastAsia="en-US"/>
        </w:rPr>
        <w:br/>
        <w:t>In the agricultural product segment, the role of digital finance and platform ecosystems has been found critical. The study Digital Finance, E</w:t>
      </w:r>
      <w:r>
        <w:rPr>
          <w:rFonts w:ascii="Arial" w:eastAsia="Times New Roman" w:hAnsi="Arial" w:cs="Arial"/>
          <w:kern w:val="0"/>
          <w:sz w:val="20"/>
          <w:szCs w:val="20"/>
          <w:lang w:eastAsia="en-US"/>
        </w:rPr>
        <w:noBreakHyphen/>
        <w:t>commerce and Tea Export Trade (Chen, 2025) found that inclusive finance and digital payment systems significantly boosted tea export volumes in China between 2017</w:t>
      </w:r>
      <w:r>
        <w:rPr>
          <w:rFonts w:ascii="Arial" w:eastAsia="Times New Roman" w:hAnsi="Arial" w:cs="Arial"/>
          <w:kern w:val="0"/>
          <w:sz w:val="20"/>
          <w:szCs w:val="20"/>
          <w:lang w:eastAsia="en-US"/>
        </w:rPr>
        <w:noBreakHyphen/>
        <w:t>2021, indicating that financial</w:t>
      </w:r>
      <w:r>
        <w:rPr>
          <w:rFonts w:ascii="Arial" w:eastAsia="Times New Roman" w:hAnsi="Arial" w:cs="Arial"/>
          <w:kern w:val="0"/>
          <w:sz w:val="20"/>
          <w:szCs w:val="20"/>
          <w:lang w:eastAsia="en-US"/>
        </w:rPr>
        <w:noBreakHyphen/>
        <w:t xml:space="preserve">digital infrastructure is a prerequisite for internationalization in </w:t>
      </w:r>
      <w:proofErr w:type="spellStart"/>
      <w:r>
        <w:rPr>
          <w:rFonts w:ascii="Arial" w:eastAsia="Times New Roman" w:hAnsi="Arial" w:cs="Arial"/>
          <w:kern w:val="0"/>
          <w:sz w:val="20"/>
          <w:szCs w:val="20"/>
          <w:lang w:eastAsia="en-US"/>
        </w:rPr>
        <w:t>agro</w:t>
      </w:r>
      <w:proofErr w:type="spellEnd"/>
      <w:r>
        <w:rPr>
          <w:rFonts w:ascii="Arial" w:eastAsia="Times New Roman" w:hAnsi="Arial" w:cs="Arial"/>
          <w:kern w:val="0"/>
          <w:sz w:val="20"/>
          <w:szCs w:val="20"/>
          <w:lang w:eastAsia="en-US"/>
        </w:rPr>
        <w:noBreakHyphen/>
        <w:t>e</w:t>
      </w:r>
      <w:r>
        <w:rPr>
          <w:rFonts w:ascii="Arial" w:eastAsia="Times New Roman" w:hAnsi="Arial" w:cs="Arial"/>
          <w:kern w:val="0"/>
          <w:sz w:val="20"/>
          <w:szCs w:val="20"/>
          <w:lang w:eastAsia="en-US"/>
        </w:rPr>
        <w:noBreakHyphen/>
        <w:t>commerce.</w:t>
      </w:r>
      <w:r>
        <w:rPr>
          <w:rFonts w:ascii="Arial" w:eastAsia="Times New Roman" w:hAnsi="Arial" w:cs="Arial"/>
          <w:kern w:val="0"/>
          <w:sz w:val="20"/>
          <w:szCs w:val="20"/>
          <w:lang w:eastAsia="en-US"/>
        </w:rPr>
        <w:br/>
        <w:t>Thus, three core strategic dimensions emerge for e</w:t>
      </w:r>
      <w:r>
        <w:rPr>
          <w:rFonts w:ascii="Arial" w:eastAsia="Times New Roman" w:hAnsi="Arial" w:cs="Arial"/>
          <w:kern w:val="0"/>
          <w:sz w:val="20"/>
          <w:szCs w:val="20"/>
          <w:lang w:eastAsia="en-US"/>
        </w:rPr>
        <w:noBreakHyphen/>
        <w:t>commerce internationalization: (1) brand and product certification to meet global standards; (2) logistics and supply</w:t>
      </w:r>
      <w:r>
        <w:rPr>
          <w:rFonts w:ascii="Arial" w:eastAsia="Times New Roman" w:hAnsi="Arial" w:cs="Arial"/>
          <w:kern w:val="0"/>
          <w:sz w:val="20"/>
          <w:szCs w:val="20"/>
          <w:lang w:eastAsia="en-US"/>
        </w:rPr>
        <w:noBreakHyphen/>
        <w:t>chain capabilities for cross</w:t>
      </w:r>
      <w:r>
        <w:rPr>
          <w:rFonts w:ascii="Arial" w:eastAsia="Times New Roman" w:hAnsi="Arial" w:cs="Arial"/>
          <w:kern w:val="0"/>
          <w:sz w:val="20"/>
          <w:szCs w:val="20"/>
          <w:lang w:eastAsia="en-US"/>
        </w:rPr>
        <w:noBreakHyphen/>
        <w:t>border delivery; and (3) talent and digital governance to manage international operations.</w:t>
      </w:r>
    </w:p>
    <w:p w:rsidR="00C73A83" w:rsidRDefault="00BC1E91">
      <w:pPr>
        <w:pStyle w:val="Heading4"/>
        <w:widowControl/>
        <w:jc w:val="both"/>
        <w:rPr>
          <w:rFonts w:ascii="Arial" w:hAnsi="Arial" w:cs="Arial" w:hint="default"/>
          <w:sz w:val="22"/>
          <w:szCs w:val="22"/>
        </w:rPr>
      </w:pPr>
      <w:r>
        <w:rPr>
          <w:rFonts w:ascii="Arial" w:hAnsi="Arial" w:cs="Arial"/>
          <w:sz w:val="22"/>
          <w:szCs w:val="22"/>
        </w:rPr>
        <w:t xml:space="preserve">2.2 </w:t>
      </w:r>
      <w:proofErr w:type="spellStart"/>
      <w:r>
        <w:rPr>
          <w:rFonts w:ascii="Arial" w:hAnsi="Arial" w:cs="Arial"/>
          <w:sz w:val="22"/>
          <w:szCs w:val="22"/>
        </w:rPr>
        <w:t>Fuliang</w:t>
      </w:r>
      <w:proofErr w:type="spellEnd"/>
      <w:r>
        <w:rPr>
          <w:rFonts w:ascii="Arial" w:hAnsi="Arial" w:cs="Arial"/>
          <w:sz w:val="22"/>
          <w:szCs w:val="22"/>
        </w:rPr>
        <w:t xml:space="preserve"> Tea and Rural Revitalization</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The tea industry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County (Jiangxi Province, China) holds a rich cultural heritage and high</w:t>
      </w:r>
      <w:r>
        <w:rPr>
          <w:rFonts w:ascii="Arial" w:eastAsia="Times New Roman" w:hAnsi="Arial" w:cs="Arial"/>
          <w:kern w:val="0"/>
          <w:sz w:val="20"/>
          <w:szCs w:val="20"/>
          <w:lang w:eastAsia="en-US"/>
        </w:rPr>
        <w:noBreakHyphen/>
        <w:t xml:space="preserve">quality production base. Recent analysis of China’s tea export trade shows that regions like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are positioned for “high</w:t>
      </w:r>
      <w:r>
        <w:rPr>
          <w:rFonts w:ascii="Arial" w:eastAsia="Times New Roman" w:hAnsi="Arial" w:cs="Arial"/>
          <w:kern w:val="0"/>
          <w:sz w:val="20"/>
          <w:szCs w:val="20"/>
          <w:lang w:eastAsia="en-US"/>
        </w:rPr>
        <w:noBreakHyphen/>
        <w:t>quality development” under the country’s rural revitalization agenda</w:t>
      </w:r>
      <w:r>
        <w:rPr>
          <w:rFonts w:ascii="Arial" w:eastAsia="SimSun" w:hAnsi="Arial" w:cs="Arial" w:hint="eastAsia"/>
          <w:color w:val="FF0000"/>
          <w:kern w:val="0"/>
          <w:sz w:val="20"/>
          <w:szCs w:val="20"/>
        </w:rPr>
        <w:t xml:space="preserve"> (</w:t>
      </w:r>
      <w:r w:rsidR="00006617" w:rsidRPr="00006617">
        <w:rPr>
          <w:rFonts w:ascii="Arial" w:eastAsia="Times New Roman" w:hAnsi="Arial" w:cs="Arial"/>
          <w:color w:val="FF0000"/>
          <w:kern w:val="0"/>
          <w:sz w:val="20"/>
          <w:szCs w:val="20"/>
          <w:lang w:eastAsia="en-US"/>
        </w:rPr>
        <w:t>Wang</w:t>
      </w:r>
      <w:r w:rsidR="00006617">
        <w:rPr>
          <w:rFonts w:ascii="Arial" w:eastAsia="Times New Roman" w:hAnsi="Arial" w:cs="Arial"/>
          <w:color w:val="FF0000"/>
          <w:kern w:val="0"/>
          <w:sz w:val="20"/>
          <w:szCs w:val="20"/>
          <w:lang w:eastAsia="en-US"/>
        </w:rPr>
        <w:t xml:space="preserve"> et al., 2025</w:t>
      </w:r>
      <w:r w:rsidR="008371A2">
        <w:rPr>
          <w:rFonts w:ascii="Arial" w:eastAsia="Times New Roman" w:hAnsi="Arial" w:cs="Arial"/>
          <w:color w:val="FF0000"/>
          <w:kern w:val="0"/>
          <w:sz w:val="20"/>
          <w:szCs w:val="20"/>
          <w:lang w:eastAsia="en-US"/>
        </w:rPr>
        <w:t xml:space="preserve">; </w:t>
      </w:r>
      <w:r w:rsidR="008371A2" w:rsidRPr="008371A2">
        <w:rPr>
          <w:rFonts w:ascii="Arial" w:eastAsia="Times New Roman" w:hAnsi="Arial" w:cs="Arial"/>
          <w:color w:val="FF0000"/>
          <w:kern w:val="0"/>
          <w:sz w:val="20"/>
          <w:szCs w:val="20"/>
          <w:lang w:eastAsia="en-US"/>
        </w:rPr>
        <w:t>Ma</w:t>
      </w:r>
      <w:r w:rsidR="008371A2">
        <w:rPr>
          <w:rFonts w:ascii="Arial" w:eastAsia="Times New Roman" w:hAnsi="Arial" w:cs="Arial"/>
          <w:color w:val="FF0000"/>
          <w:kern w:val="0"/>
          <w:sz w:val="20"/>
          <w:szCs w:val="20"/>
          <w:lang w:eastAsia="en-US"/>
        </w:rPr>
        <w:t xml:space="preserve">, </w:t>
      </w:r>
      <w:r w:rsidR="008371A2" w:rsidRPr="008371A2">
        <w:rPr>
          <w:rFonts w:ascii="Arial" w:eastAsia="Times New Roman" w:hAnsi="Arial" w:cs="Arial"/>
          <w:color w:val="FF0000"/>
          <w:kern w:val="0"/>
          <w:sz w:val="20"/>
          <w:szCs w:val="20"/>
          <w:lang w:eastAsia="en-US"/>
        </w:rPr>
        <w:t>Sun</w:t>
      </w:r>
      <w:r w:rsidR="008371A2">
        <w:rPr>
          <w:rFonts w:ascii="Arial" w:eastAsia="Times New Roman" w:hAnsi="Arial" w:cs="Arial"/>
          <w:color w:val="FF0000"/>
          <w:kern w:val="0"/>
          <w:sz w:val="20"/>
          <w:szCs w:val="20"/>
          <w:lang w:eastAsia="en-US"/>
        </w:rPr>
        <w:t xml:space="preserve"> &amp; </w:t>
      </w:r>
      <w:r w:rsidR="008371A2" w:rsidRPr="008371A2">
        <w:rPr>
          <w:rFonts w:ascii="Arial" w:eastAsia="Times New Roman" w:hAnsi="Arial" w:cs="Arial"/>
          <w:color w:val="FF0000"/>
          <w:kern w:val="0"/>
          <w:sz w:val="20"/>
          <w:szCs w:val="20"/>
          <w:lang w:eastAsia="en-US"/>
        </w:rPr>
        <w:t>Wang</w:t>
      </w:r>
      <w:r w:rsidR="008371A2">
        <w:rPr>
          <w:rFonts w:ascii="Arial" w:eastAsia="Times New Roman" w:hAnsi="Arial" w:cs="Arial"/>
          <w:color w:val="FF0000"/>
          <w:kern w:val="0"/>
          <w:sz w:val="20"/>
          <w:szCs w:val="20"/>
          <w:lang w:eastAsia="en-US"/>
        </w:rPr>
        <w:t>, 2024</w:t>
      </w:r>
      <w:r>
        <w:rPr>
          <w:rFonts w:ascii="Arial" w:eastAsia="Times New Roman" w:hAnsi="Arial" w:cs="Arial" w:hint="eastAsia"/>
          <w:color w:val="FF0000"/>
          <w:kern w:val="0"/>
          <w:sz w:val="20"/>
          <w:szCs w:val="20"/>
          <w:lang w:eastAsia="en-US"/>
        </w:rPr>
        <w:t>)</w:t>
      </w:r>
      <w:r>
        <w:rPr>
          <w:rFonts w:ascii="Arial" w:eastAsia="Times New Roman" w:hAnsi="Arial" w:cs="Arial"/>
          <w:color w:val="FF0000"/>
          <w:kern w:val="0"/>
          <w:sz w:val="20"/>
          <w:szCs w:val="20"/>
          <w:lang w:eastAsia="en-US"/>
        </w:rPr>
        <w:t>.</w:t>
      </w:r>
      <w:r>
        <w:rPr>
          <w:rFonts w:ascii="Arial" w:eastAsia="Times New Roman" w:hAnsi="Arial" w:cs="Arial"/>
          <w:kern w:val="0"/>
          <w:sz w:val="20"/>
          <w:szCs w:val="20"/>
          <w:lang w:eastAsia="en-US"/>
        </w:rPr>
        <w:t xml:space="preserve"> The national Rural Revitalization Strategy (initiated in 2017) emphasizes upgrading traditional agriculture, promoting specialty product brands, integrating digital platforms, and improving rural e</w:t>
      </w:r>
      <w:r>
        <w:rPr>
          <w:rFonts w:ascii="Arial" w:eastAsia="Times New Roman" w:hAnsi="Arial" w:cs="Arial"/>
          <w:kern w:val="0"/>
          <w:sz w:val="20"/>
          <w:szCs w:val="20"/>
          <w:lang w:eastAsia="en-US"/>
        </w:rPr>
        <w:noBreakHyphen/>
        <w:t>commerce infrastructure (</w:t>
      </w:r>
      <w:r w:rsidR="008371A2" w:rsidRPr="008371A2">
        <w:rPr>
          <w:rFonts w:ascii="Arial" w:eastAsia="Times New Roman" w:hAnsi="Arial" w:cs="Arial"/>
          <w:kern w:val="0"/>
          <w:sz w:val="20"/>
          <w:szCs w:val="20"/>
          <w:lang w:eastAsia="en-US"/>
        </w:rPr>
        <w:t>Feng</w:t>
      </w:r>
      <w:r>
        <w:rPr>
          <w:rFonts w:ascii="Arial" w:eastAsia="Times New Roman" w:hAnsi="Arial" w:cs="Arial"/>
          <w:kern w:val="0"/>
          <w:sz w:val="20"/>
          <w:szCs w:val="20"/>
          <w:lang w:eastAsia="en-US"/>
        </w:rPr>
        <w:t>, 2025</w:t>
      </w:r>
      <w:r w:rsidR="008371A2">
        <w:rPr>
          <w:rFonts w:ascii="Arial" w:eastAsia="Times New Roman" w:hAnsi="Arial" w:cs="Arial"/>
          <w:kern w:val="0"/>
          <w:sz w:val="20"/>
          <w:szCs w:val="20"/>
          <w:lang w:eastAsia="en-US"/>
        </w:rPr>
        <w:t xml:space="preserve">; </w:t>
      </w:r>
      <w:proofErr w:type="spellStart"/>
      <w:r w:rsidR="008371A2" w:rsidRPr="008371A2">
        <w:rPr>
          <w:rFonts w:ascii="Arial" w:eastAsia="Times New Roman" w:hAnsi="Arial" w:cs="Arial"/>
          <w:kern w:val="0"/>
          <w:sz w:val="20"/>
          <w:szCs w:val="20"/>
          <w:lang w:eastAsia="en-US"/>
        </w:rPr>
        <w:t>Yaowu</w:t>
      </w:r>
      <w:proofErr w:type="spellEnd"/>
      <w:r w:rsidR="008371A2">
        <w:rPr>
          <w:rFonts w:ascii="Arial" w:eastAsia="Times New Roman" w:hAnsi="Arial" w:cs="Arial"/>
          <w:kern w:val="0"/>
          <w:sz w:val="20"/>
          <w:szCs w:val="20"/>
          <w:lang w:eastAsia="en-US"/>
        </w:rPr>
        <w:t xml:space="preserve"> &amp; </w:t>
      </w:r>
      <w:r w:rsidR="008371A2" w:rsidRPr="008371A2">
        <w:rPr>
          <w:rFonts w:ascii="Arial" w:eastAsia="Times New Roman" w:hAnsi="Arial" w:cs="Arial"/>
          <w:kern w:val="0"/>
          <w:sz w:val="20"/>
          <w:szCs w:val="20"/>
          <w:lang w:eastAsia="en-US"/>
        </w:rPr>
        <w:t>Jian</w:t>
      </w:r>
      <w:r w:rsidR="008371A2">
        <w:rPr>
          <w:rFonts w:ascii="Arial" w:eastAsia="Times New Roman" w:hAnsi="Arial" w:cs="Arial"/>
          <w:kern w:val="0"/>
          <w:sz w:val="20"/>
          <w:szCs w:val="20"/>
          <w:lang w:eastAsia="en-US"/>
        </w:rPr>
        <w:t>, 2022</w:t>
      </w:r>
      <w:r>
        <w:rPr>
          <w:rFonts w:ascii="Arial" w:eastAsia="Times New Roman" w:hAnsi="Arial" w:cs="Arial"/>
          <w:kern w:val="0"/>
          <w:sz w:val="20"/>
          <w:szCs w:val="20"/>
          <w:lang w:eastAsia="en-US"/>
        </w:rPr>
        <w:t>).</w:t>
      </w:r>
      <w:r>
        <w:rPr>
          <w:rFonts w:ascii="Arial" w:eastAsia="Times New Roman" w:hAnsi="Arial" w:cs="Arial"/>
          <w:kern w:val="0"/>
          <w:sz w:val="20"/>
          <w:szCs w:val="20"/>
          <w:lang w:eastAsia="en-US"/>
        </w:rPr>
        <w:br/>
        <w:t>The integration of e</w:t>
      </w:r>
      <w:r>
        <w:rPr>
          <w:rFonts w:ascii="Arial" w:eastAsia="Times New Roman" w:hAnsi="Arial" w:cs="Arial"/>
          <w:kern w:val="0"/>
          <w:sz w:val="20"/>
          <w:szCs w:val="20"/>
          <w:lang w:eastAsia="en-US"/>
        </w:rPr>
        <w:noBreakHyphen/>
        <w:t>commerce into rural tea industries has been documented: Chen and Long (2024) argue that e</w:t>
      </w:r>
      <w:r>
        <w:rPr>
          <w:rFonts w:ascii="Arial" w:eastAsia="Times New Roman" w:hAnsi="Arial" w:cs="Arial"/>
          <w:kern w:val="0"/>
          <w:sz w:val="20"/>
          <w:szCs w:val="20"/>
          <w:lang w:eastAsia="en-US"/>
        </w:rPr>
        <w:noBreakHyphen/>
        <w:t xml:space="preserve">commerce platforms facilitate wider market access and value‐added product positioning for rural producers, particularly when supported by policy measures and digital ecosystem development. For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the opportunity lies in leveraging its regional </w:t>
      </w:r>
      <w:r>
        <w:rPr>
          <w:rFonts w:ascii="Arial" w:eastAsia="Times New Roman" w:hAnsi="Arial" w:cs="Arial"/>
          <w:kern w:val="0"/>
          <w:sz w:val="20"/>
          <w:szCs w:val="20"/>
          <w:lang w:eastAsia="en-US"/>
        </w:rPr>
        <w:lastRenderedPageBreak/>
        <w:t>branding, tea</w:t>
      </w:r>
      <w:r>
        <w:rPr>
          <w:rFonts w:ascii="Arial" w:eastAsia="Times New Roman" w:hAnsi="Arial" w:cs="Arial"/>
          <w:kern w:val="0"/>
          <w:sz w:val="20"/>
          <w:szCs w:val="20"/>
          <w:lang w:eastAsia="en-US"/>
        </w:rPr>
        <w:noBreakHyphen/>
        <w:t>culture heritage and digital export platforms to access overseas consumers who increasingly seek premium, traceable specialty teas.</w:t>
      </w:r>
      <w:r>
        <w:rPr>
          <w:rFonts w:ascii="Arial" w:eastAsia="Times New Roman" w:hAnsi="Arial" w:cs="Arial"/>
          <w:kern w:val="0"/>
          <w:sz w:val="20"/>
          <w:szCs w:val="20"/>
          <w:lang w:eastAsia="en-US"/>
        </w:rPr>
        <w:br/>
        <w:t>However, challenges remain. Rural tea e</w:t>
      </w:r>
      <w:r>
        <w:rPr>
          <w:rFonts w:ascii="Arial" w:eastAsia="Times New Roman" w:hAnsi="Arial" w:cs="Arial"/>
          <w:kern w:val="0"/>
          <w:sz w:val="20"/>
          <w:szCs w:val="20"/>
          <w:lang w:eastAsia="en-US"/>
        </w:rPr>
        <w:noBreakHyphen/>
        <w:t>commerce enterprises often lack internationally recognized quality certifications, struggle with cold</w:t>
      </w:r>
      <w:r>
        <w:rPr>
          <w:rFonts w:ascii="Arial" w:eastAsia="Times New Roman" w:hAnsi="Arial" w:cs="Arial"/>
          <w:kern w:val="0"/>
          <w:sz w:val="20"/>
          <w:szCs w:val="20"/>
          <w:lang w:eastAsia="en-US"/>
        </w:rPr>
        <w:noBreakHyphen/>
        <w:t>chain logistics for export, and face insufficient talent for global marketing and after</w:t>
      </w:r>
      <w:r>
        <w:rPr>
          <w:rFonts w:ascii="Arial" w:eastAsia="Times New Roman" w:hAnsi="Arial" w:cs="Arial"/>
          <w:kern w:val="0"/>
          <w:sz w:val="20"/>
          <w:szCs w:val="20"/>
          <w:lang w:eastAsia="en-US"/>
        </w:rPr>
        <w:noBreakHyphen/>
        <w:t>sales service. As Jia, Zhu &amp; Lu (2025) show in their study of Anhui tea heritage, the upgrade path requires digital technology integration, brand building and talent cultivation—all of which highlight the gap between rural sourcing and global competition.</w:t>
      </w:r>
    </w:p>
    <w:p w:rsidR="00C73A83" w:rsidRDefault="00BC1E91">
      <w:pPr>
        <w:pStyle w:val="Heading4"/>
        <w:widowControl/>
        <w:jc w:val="both"/>
        <w:rPr>
          <w:rFonts w:ascii="Arial" w:hAnsi="Arial" w:cs="Arial" w:hint="default"/>
          <w:sz w:val="22"/>
          <w:szCs w:val="22"/>
        </w:rPr>
      </w:pPr>
      <w:r>
        <w:rPr>
          <w:rFonts w:ascii="Arial" w:hAnsi="Arial" w:cs="Arial"/>
          <w:sz w:val="22"/>
          <w:szCs w:val="22"/>
        </w:rPr>
        <w:t>2.3 Literature on E</w:t>
      </w:r>
      <w:r>
        <w:rPr>
          <w:rFonts w:ascii="Arial" w:hAnsi="Arial" w:cs="Arial"/>
          <w:sz w:val="22"/>
          <w:szCs w:val="22"/>
        </w:rPr>
        <w:noBreakHyphen/>
        <w:t>commerce Internationalization in Rural Areas</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Rural e</w:t>
      </w:r>
      <w:r>
        <w:rPr>
          <w:rFonts w:ascii="Arial" w:eastAsia="Times New Roman" w:hAnsi="Arial" w:cs="Arial"/>
          <w:kern w:val="0"/>
          <w:sz w:val="20"/>
          <w:szCs w:val="20"/>
          <w:lang w:eastAsia="en-US"/>
        </w:rPr>
        <w:noBreakHyphen/>
        <w:t>commerce has become a key research focus in the context of China’s digital economy. For instance, Wang (2025) found that rural e</w:t>
      </w:r>
      <w:r>
        <w:rPr>
          <w:rFonts w:ascii="Arial" w:eastAsia="Times New Roman" w:hAnsi="Arial" w:cs="Arial"/>
          <w:kern w:val="0"/>
          <w:sz w:val="20"/>
          <w:szCs w:val="20"/>
          <w:lang w:eastAsia="en-US"/>
        </w:rPr>
        <w:noBreakHyphen/>
        <w:t xml:space="preserve">commerce significantly improved employment quality by transforming traditional agricultural </w:t>
      </w:r>
      <w:proofErr w:type="spellStart"/>
      <w:r>
        <w:rPr>
          <w:rFonts w:ascii="Arial" w:eastAsia="Times New Roman" w:hAnsi="Arial" w:cs="Arial"/>
          <w:kern w:val="0"/>
          <w:sz w:val="20"/>
          <w:szCs w:val="20"/>
          <w:lang w:eastAsia="en-US"/>
        </w:rPr>
        <w:t>labour</w:t>
      </w:r>
      <w:proofErr w:type="spellEnd"/>
      <w:r>
        <w:rPr>
          <w:rFonts w:ascii="Arial" w:eastAsia="Times New Roman" w:hAnsi="Arial" w:cs="Arial"/>
          <w:kern w:val="0"/>
          <w:sz w:val="20"/>
          <w:szCs w:val="20"/>
          <w:lang w:eastAsia="en-US"/>
        </w:rPr>
        <w:t xml:space="preserve"> into online operations, although digital literacy and infrastructure remain limiting factors. Similarly, Zhang (2024) studied the “Taobao Village” model and concluded that differentiated demand markets and the synergy of network platform</w:t>
      </w:r>
      <w:r>
        <w:rPr>
          <w:rFonts w:ascii="Arial" w:eastAsia="Times New Roman" w:hAnsi="Arial" w:cs="Arial"/>
          <w:kern w:val="0"/>
          <w:sz w:val="20"/>
          <w:szCs w:val="20"/>
          <w:lang w:eastAsia="en-US"/>
        </w:rPr>
        <w:noBreakHyphen/>
        <w:t>rural industry were chief motivations for e</w:t>
      </w:r>
      <w:r>
        <w:rPr>
          <w:rFonts w:ascii="Arial" w:eastAsia="Times New Roman" w:hAnsi="Arial" w:cs="Arial"/>
          <w:kern w:val="0"/>
          <w:sz w:val="20"/>
          <w:szCs w:val="20"/>
          <w:lang w:eastAsia="en-US"/>
        </w:rPr>
        <w:noBreakHyphen/>
        <w:t>commerce success in rural settings.</w:t>
      </w:r>
      <w:r>
        <w:rPr>
          <w:rFonts w:ascii="Arial" w:eastAsia="Times New Roman" w:hAnsi="Arial" w:cs="Arial"/>
          <w:kern w:val="0"/>
          <w:sz w:val="20"/>
          <w:szCs w:val="20"/>
          <w:lang w:eastAsia="en-US"/>
        </w:rPr>
        <w:br/>
        <w:t>Yet, few studies explicitly address the internationalization of rural e</w:t>
      </w:r>
      <w:r>
        <w:rPr>
          <w:rFonts w:ascii="Arial" w:eastAsia="Times New Roman" w:hAnsi="Arial" w:cs="Arial"/>
          <w:kern w:val="0"/>
          <w:sz w:val="20"/>
          <w:szCs w:val="20"/>
          <w:lang w:eastAsia="en-US"/>
        </w:rPr>
        <w:noBreakHyphen/>
        <w:t xml:space="preserve">commerce for agricultural products such as tea. Ma (2025) </w:t>
      </w:r>
      <w:proofErr w:type="spellStart"/>
      <w:r>
        <w:rPr>
          <w:rFonts w:ascii="Arial" w:eastAsia="Times New Roman" w:hAnsi="Arial" w:cs="Arial"/>
          <w:kern w:val="0"/>
          <w:sz w:val="20"/>
          <w:szCs w:val="20"/>
          <w:lang w:eastAsia="en-US"/>
        </w:rPr>
        <w:t>analysed</w:t>
      </w:r>
      <w:proofErr w:type="spellEnd"/>
      <w:r>
        <w:rPr>
          <w:rFonts w:ascii="Arial" w:eastAsia="Times New Roman" w:hAnsi="Arial" w:cs="Arial"/>
          <w:kern w:val="0"/>
          <w:sz w:val="20"/>
          <w:szCs w:val="20"/>
          <w:lang w:eastAsia="en-US"/>
        </w:rPr>
        <w:t xml:space="preserve"> rural e</w:t>
      </w:r>
      <w:r>
        <w:rPr>
          <w:rFonts w:ascii="Arial" w:eastAsia="Times New Roman" w:hAnsi="Arial" w:cs="Arial"/>
          <w:kern w:val="0"/>
          <w:sz w:val="20"/>
          <w:szCs w:val="20"/>
          <w:lang w:eastAsia="en-US"/>
        </w:rPr>
        <w:noBreakHyphen/>
        <w:t>commerce models under the revitalization strategy and identified core pathways—digital infrastructure, talent training, brand</w:t>
      </w:r>
      <w:r>
        <w:rPr>
          <w:rFonts w:ascii="Arial" w:eastAsia="Times New Roman" w:hAnsi="Arial" w:cs="Arial"/>
          <w:kern w:val="0"/>
          <w:sz w:val="20"/>
          <w:szCs w:val="20"/>
          <w:lang w:eastAsia="en-US"/>
        </w:rPr>
        <w:noBreakHyphen/>
        <w:t>building—without focusing on export specialization. This gap is particularly significant in the tea sector: though extensive domestic research exists, targeted investigations into internationalization (brand, export logistics, cultural adaptation) are scarce.</w:t>
      </w:r>
      <w:r>
        <w:rPr>
          <w:rFonts w:ascii="Arial" w:eastAsia="Times New Roman" w:hAnsi="Arial" w:cs="Arial"/>
          <w:kern w:val="0"/>
          <w:sz w:val="20"/>
          <w:szCs w:val="20"/>
          <w:lang w:eastAsia="en-US"/>
        </w:rPr>
        <w:br/>
        <w:t>Research thus suggests that rural e</w:t>
      </w:r>
      <w:r>
        <w:rPr>
          <w:rFonts w:ascii="Arial" w:eastAsia="Times New Roman" w:hAnsi="Arial" w:cs="Arial"/>
          <w:kern w:val="0"/>
          <w:sz w:val="20"/>
          <w:szCs w:val="20"/>
          <w:lang w:eastAsia="en-US"/>
        </w:rPr>
        <w:noBreakHyphen/>
        <w:t xml:space="preserve">commerce internationalization requires hybrid strategies integrating global market entry theory with local rural revitalization dynamics: infrastructure upgrade, digital literacy, platform partnership, brand heritage leveraging, and export logistics </w:t>
      </w:r>
      <w:proofErr w:type="spellStart"/>
      <w:r>
        <w:rPr>
          <w:rFonts w:ascii="Arial" w:eastAsia="Times New Roman" w:hAnsi="Arial" w:cs="Arial"/>
          <w:kern w:val="0"/>
          <w:sz w:val="20"/>
          <w:szCs w:val="20"/>
          <w:lang w:eastAsia="en-US"/>
        </w:rPr>
        <w:t>optimisation</w:t>
      </w:r>
      <w:proofErr w:type="spellEnd"/>
      <w:r>
        <w:rPr>
          <w:rFonts w:ascii="Arial" w:eastAsia="Times New Roman" w:hAnsi="Arial" w:cs="Arial"/>
          <w:kern w:val="0"/>
          <w:sz w:val="20"/>
          <w:szCs w:val="20"/>
          <w:lang w:eastAsia="en-US"/>
        </w:rPr>
        <w:t>.</w:t>
      </w:r>
    </w:p>
    <w:p w:rsidR="00C73A83" w:rsidRDefault="00C73A83">
      <w:pPr>
        <w:pStyle w:val="Body"/>
        <w:widowControl/>
        <w:spacing w:after="0"/>
        <w:rPr>
          <w:rFonts w:ascii="Arial" w:eastAsia="Times New Roman" w:hAnsi="Arial" w:cs="Arial"/>
          <w:kern w:val="0"/>
          <w:sz w:val="20"/>
          <w:szCs w:val="20"/>
          <w:lang w:eastAsia="en-US"/>
        </w:rPr>
      </w:pPr>
    </w:p>
    <w:p w:rsidR="00C73A83" w:rsidRDefault="00BC1E91">
      <w:pPr>
        <w:pStyle w:val="Heading2"/>
        <w:widowControl/>
        <w:rPr>
          <w:rFonts w:hint="default"/>
        </w:rPr>
      </w:pPr>
      <w:r>
        <w:rPr>
          <w:rFonts w:ascii="Arial" w:eastAsia="Times New Roman" w:hAnsi="Arial" w:cs="Arial" w:hint="default"/>
          <w:bCs w:val="0"/>
          <w:caps/>
          <w:sz w:val="22"/>
          <w:szCs w:val="20"/>
          <w:lang w:eastAsia="en-US"/>
        </w:rPr>
        <w:t>3. Theoretical Framework</w:t>
      </w:r>
    </w:p>
    <w:p w:rsidR="00C73A83" w:rsidRDefault="00BC1E91">
      <w:pPr>
        <w:pStyle w:val="Heading4"/>
        <w:widowControl/>
        <w:jc w:val="both"/>
        <w:rPr>
          <w:rFonts w:ascii="Arial" w:hAnsi="Arial" w:cs="Arial" w:hint="default"/>
          <w:sz w:val="22"/>
          <w:szCs w:val="22"/>
        </w:rPr>
      </w:pPr>
      <w:r>
        <w:rPr>
          <w:rFonts w:ascii="Arial" w:hAnsi="Arial" w:cs="Arial"/>
          <w:sz w:val="22"/>
          <w:szCs w:val="22"/>
        </w:rPr>
        <w:t>3.1 Conceptualization of E</w:t>
      </w:r>
      <w:r>
        <w:rPr>
          <w:rFonts w:ascii="Arial" w:hAnsi="Arial" w:cs="Arial"/>
          <w:sz w:val="22"/>
          <w:szCs w:val="22"/>
        </w:rPr>
        <w:noBreakHyphen/>
        <w:t>commerce Internationalization</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E</w:t>
      </w:r>
      <w:r>
        <w:rPr>
          <w:rFonts w:ascii="Arial" w:eastAsia="Times New Roman" w:hAnsi="Arial" w:cs="Arial"/>
          <w:kern w:val="0"/>
          <w:sz w:val="20"/>
          <w:szCs w:val="20"/>
          <w:lang w:eastAsia="en-US"/>
        </w:rPr>
        <w:noBreakHyphen/>
        <w:t xml:space="preserve">commerce internationalization is often </w:t>
      </w:r>
      <w:proofErr w:type="spellStart"/>
      <w:r>
        <w:rPr>
          <w:rFonts w:ascii="Arial" w:eastAsia="Times New Roman" w:hAnsi="Arial" w:cs="Arial"/>
          <w:kern w:val="0"/>
          <w:sz w:val="20"/>
          <w:szCs w:val="20"/>
          <w:lang w:eastAsia="en-US"/>
        </w:rPr>
        <w:t>conceptualised</w:t>
      </w:r>
      <w:proofErr w:type="spellEnd"/>
      <w:r>
        <w:rPr>
          <w:rFonts w:ascii="Arial" w:eastAsia="Times New Roman" w:hAnsi="Arial" w:cs="Arial"/>
          <w:kern w:val="0"/>
          <w:sz w:val="20"/>
          <w:szCs w:val="20"/>
          <w:lang w:eastAsia="en-US"/>
        </w:rPr>
        <w:t xml:space="preserve"> using the Uppsala Model and Network Theory. The Uppsala Model posits that firms expand into foreign markets in incremental stages as experiential knowledge accumulates (</w:t>
      </w:r>
      <w:proofErr w:type="spellStart"/>
      <w:r>
        <w:rPr>
          <w:rFonts w:ascii="Arial" w:eastAsia="Times New Roman" w:hAnsi="Arial" w:cs="Arial"/>
          <w:kern w:val="0"/>
          <w:sz w:val="20"/>
          <w:szCs w:val="20"/>
          <w:lang w:eastAsia="en-US"/>
        </w:rPr>
        <w:t>Johanson</w:t>
      </w:r>
      <w:proofErr w:type="spellEnd"/>
      <w:r>
        <w:rPr>
          <w:rFonts w:ascii="Arial" w:eastAsia="Times New Roman" w:hAnsi="Arial" w:cs="Arial"/>
          <w:kern w:val="0"/>
          <w:sz w:val="20"/>
          <w:szCs w:val="20"/>
          <w:lang w:eastAsia="en-US"/>
        </w:rPr>
        <w:t xml:space="preserve"> &amp; </w:t>
      </w:r>
      <w:proofErr w:type="spellStart"/>
      <w:r>
        <w:rPr>
          <w:rFonts w:ascii="Arial" w:eastAsia="Times New Roman" w:hAnsi="Arial" w:cs="Arial"/>
          <w:kern w:val="0"/>
          <w:sz w:val="20"/>
          <w:szCs w:val="20"/>
          <w:lang w:eastAsia="en-US"/>
        </w:rPr>
        <w:t>Vahlne</w:t>
      </w:r>
      <w:proofErr w:type="spellEnd"/>
      <w:r>
        <w:rPr>
          <w:rFonts w:ascii="Arial" w:eastAsia="Times New Roman" w:hAnsi="Arial" w:cs="Arial"/>
          <w:kern w:val="0"/>
          <w:sz w:val="20"/>
          <w:szCs w:val="20"/>
          <w:lang w:eastAsia="en-US"/>
        </w:rPr>
        <w:t>, 1977</w:t>
      </w:r>
      <w:r w:rsidR="007453E8">
        <w:rPr>
          <w:rFonts w:ascii="Arial" w:eastAsia="Times New Roman" w:hAnsi="Arial" w:cs="Arial"/>
          <w:kern w:val="0"/>
          <w:sz w:val="20"/>
          <w:szCs w:val="20"/>
          <w:lang w:eastAsia="en-US"/>
        </w:rPr>
        <w:t xml:space="preserve">; </w:t>
      </w:r>
      <w:proofErr w:type="spellStart"/>
      <w:r w:rsidR="007453E8" w:rsidRPr="007453E8">
        <w:rPr>
          <w:rFonts w:ascii="Arial" w:eastAsia="Times New Roman" w:hAnsi="Arial" w:cs="Arial"/>
          <w:kern w:val="0"/>
          <w:sz w:val="20"/>
          <w:szCs w:val="20"/>
          <w:lang w:eastAsia="en-US"/>
        </w:rPr>
        <w:t>Blomstermo</w:t>
      </w:r>
      <w:proofErr w:type="spellEnd"/>
      <w:r w:rsidR="007453E8">
        <w:rPr>
          <w:rFonts w:ascii="Arial" w:eastAsia="Times New Roman" w:hAnsi="Arial" w:cs="Arial"/>
          <w:kern w:val="0"/>
          <w:sz w:val="20"/>
          <w:szCs w:val="20"/>
          <w:lang w:eastAsia="en-US"/>
        </w:rPr>
        <w:t xml:space="preserve"> et al., 2004</w:t>
      </w:r>
      <w:r>
        <w:rPr>
          <w:rFonts w:ascii="Arial" w:eastAsia="Times New Roman" w:hAnsi="Arial" w:cs="Arial"/>
          <w:kern w:val="0"/>
          <w:sz w:val="20"/>
          <w:szCs w:val="20"/>
          <w:lang w:eastAsia="en-US"/>
        </w:rPr>
        <w:t>). In the digital era, however, e</w:t>
      </w:r>
      <w:r>
        <w:rPr>
          <w:rFonts w:ascii="Arial" w:eastAsia="Times New Roman" w:hAnsi="Arial" w:cs="Arial"/>
          <w:kern w:val="0"/>
          <w:sz w:val="20"/>
          <w:szCs w:val="20"/>
          <w:lang w:eastAsia="en-US"/>
        </w:rPr>
        <w:noBreakHyphen/>
        <w:t>commerce firms may adopt accelerated “born</w:t>
      </w:r>
      <w:r>
        <w:rPr>
          <w:rFonts w:ascii="Arial" w:eastAsia="Times New Roman" w:hAnsi="Arial" w:cs="Arial"/>
          <w:kern w:val="0"/>
          <w:sz w:val="20"/>
          <w:szCs w:val="20"/>
          <w:lang w:eastAsia="en-US"/>
        </w:rPr>
        <w:noBreakHyphen/>
        <w:t>global” models due to platform scalability and network effects. Network Theory suggests that international market entry depends heavily on the firm’s ability to establish relationships—suppliers, logistics partners, local distributors, online platforms (</w:t>
      </w:r>
      <w:proofErr w:type="spellStart"/>
      <w:r>
        <w:rPr>
          <w:rFonts w:ascii="Arial" w:eastAsia="Times New Roman" w:hAnsi="Arial" w:cs="Arial"/>
          <w:kern w:val="0"/>
          <w:sz w:val="20"/>
          <w:szCs w:val="20"/>
          <w:lang w:eastAsia="en-US"/>
        </w:rPr>
        <w:t>Håkansson</w:t>
      </w:r>
      <w:proofErr w:type="spellEnd"/>
      <w:r>
        <w:rPr>
          <w:rFonts w:ascii="Arial" w:eastAsia="Times New Roman" w:hAnsi="Arial" w:cs="Arial"/>
          <w:kern w:val="0"/>
          <w:sz w:val="20"/>
          <w:szCs w:val="20"/>
          <w:lang w:eastAsia="en-US"/>
        </w:rPr>
        <w:t xml:space="preserve"> &amp; </w:t>
      </w:r>
      <w:proofErr w:type="spellStart"/>
      <w:r>
        <w:rPr>
          <w:rFonts w:ascii="Arial" w:eastAsia="Times New Roman" w:hAnsi="Arial" w:cs="Arial"/>
          <w:kern w:val="0"/>
          <w:sz w:val="20"/>
          <w:szCs w:val="20"/>
          <w:lang w:eastAsia="en-US"/>
        </w:rPr>
        <w:t>Johanson</w:t>
      </w:r>
      <w:proofErr w:type="spellEnd"/>
      <w:r>
        <w:rPr>
          <w:rFonts w:ascii="Arial" w:eastAsia="Times New Roman" w:hAnsi="Arial" w:cs="Arial"/>
          <w:kern w:val="0"/>
          <w:sz w:val="20"/>
          <w:szCs w:val="20"/>
          <w:lang w:eastAsia="en-US"/>
        </w:rPr>
        <w:t>, 1992</w:t>
      </w:r>
      <w:r w:rsidR="007453E8">
        <w:rPr>
          <w:rFonts w:ascii="Arial" w:eastAsia="Times New Roman" w:hAnsi="Arial" w:cs="Arial"/>
          <w:kern w:val="0"/>
          <w:sz w:val="20"/>
          <w:szCs w:val="20"/>
          <w:lang w:eastAsia="en-US"/>
        </w:rPr>
        <w:t xml:space="preserve">; </w:t>
      </w:r>
      <w:proofErr w:type="spellStart"/>
      <w:r w:rsidR="007453E8" w:rsidRPr="007453E8">
        <w:rPr>
          <w:rFonts w:ascii="Arial" w:eastAsia="Times New Roman" w:hAnsi="Arial" w:cs="Arial"/>
          <w:kern w:val="0"/>
          <w:sz w:val="20"/>
          <w:szCs w:val="20"/>
          <w:lang w:eastAsia="en-US"/>
        </w:rPr>
        <w:t>Bankvall</w:t>
      </w:r>
      <w:proofErr w:type="spellEnd"/>
      <w:r w:rsidR="007453E8">
        <w:rPr>
          <w:rFonts w:ascii="Arial" w:eastAsia="Times New Roman" w:hAnsi="Arial" w:cs="Arial"/>
          <w:kern w:val="0"/>
          <w:sz w:val="20"/>
          <w:szCs w:val="20"/>
          <w:lang w:eastAsia="en-US"/>
        </w:rPr>
        <w:t xml:space="preserve"> et al.,2017</w:t>
      </w:r>
      <w:r>
        <w:rPr>
          <w:rFonts w:ascii="Arial" w:eastAsia="Times New Roman" w:hAnsi="Arial" w:cs="Arial"/>
          <w:kern w:val="0"/>
          <w:sz w:val="20"/>
          <w:szCs w:val="20"/>
          <w:lang w:eastAsia="en-US"/>
        </w:rPr>
        <w:t>). In the context of rural tea e</w:t>
      </w:r>
      <w:r>
        <w:rPr>
          <w:rFonts w:ascii="Arial" w:eastAsia="Times New Roman" w:hAnsi="Arial" w:cs="Arial"/>
          <w:kern w:val="0"/>
          <w:sz w:val="20"/>
          <w:szCs w:val="20"/>
          <w:lang w:eastAsia="en-US"/>
        </w:rPr>
        <w:noBreakHyphen/>
        <w:t xml:space="preserve">commerce, these theories imply that local enterprises must build digital capabilities (platform listing, export payment systems), partner with logistics/warehousing services abroad, and gradually </w:t>
      </w:r>
      <w:proofErr w:type="spellStart"/>
      <w:r>
        <w:rPr>
          <w:rFonts w:ascii="Arial" w:eastAsia="Times New Roman" w:hAnsi="Arial" w:cs="Arial"/>
          <w:kern w:val="0"/>
          <w:sz w:val="20"/>
          <w:szCs w:val="20"/>
          <w:lang w:eastAsia="en-US"/>
        </w:rPr>
        <w:t>internalise</w:t>
      </w:r>
      <w:proofErr w:type="spellEnd"/>
      <w:r>
        <w:rPr>
          <w:rFonts w:ascii="Arial" w:eastAsia="Times New Roman" w:hAnsi="Arial" w:cs="Arial"/>
          <w:kern w:val="0"/>
          <w:sz w:val="20"/>
          <w:szCs w:val="20"/>
          <w:lang w:eastAsia="en-US"/>
        </w:rPr>
        <w:t xml:space="preserve"> export routines and cultural market knowledge.</w:t>
      </w:r>
    </w:p>
    <w:p w:rsidR="00C73A83" w:rsidRDefault="00BC1E91">
      <w:pPr>
        <w:pStyle w:val="Heading4"/>
        <w:widowControl/>
        <w:jc w:val="both"/>
        <w:rPr>
          <w:rFonts w:ascii="Arial" w:hAnsi="Arial" w:cs="Arial" w:hint="default"/>
          <w:sz w:val="22"/>
          <w:szCs w:val="22"/>
        </w:rPr>
      </w:pPr>
      <w:r>
        <w:rPr>
          <w:rFonts w:ascii="Arial" w:hAnsi="Arial" w:cs="Arial"/>
          <w:sz w:val="22"/>
          <w:szCs w:val="22"/>
        </w:rPr>
        <w:lastRenderedPageBreak/>
        <w:t>3.2 The Rural Revitalization Strategy and its Implications</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China’s Rural Revitalization Strategy (RVS) launched in 2017 aims at agricultural </w:t>
      </w:r>
      <w:proofErr w:type="spellStart"/>
      <w:r>
        <w:rPr>
          <w:rFonts w:ascii="Arial" w:eastAsia="Times New Roman" w:hAnsi="Arial" w:cs="Arial"/>
          <w:kern w:val="0"/>
          <w:sz w:val="20"/>
          <w:szCs w:val="20"/>
          <w:lang w:eastAsia="en-US"/>
        </w:rPr>
        <w:t>modernisation</w:t>
      </w:r>
      <w:proofErr w:type="spellEnd"/>
      <w:r>
        <w:rPr>
          <w:rFonts w:ascii="Arial" w:eastAsia="Times New Roman" w:hAnsi="Arial" w:cs="Arial"/>
          <w:kern w:val="0"/>
          <w:sz w:val="20"/>
          <w:szCs w:val="20"/>
          <w:lang w:eastAsia="en-US"/>
        </w:rPr>
        <w:t xml:space="preserve">, rural industrial </w:t>
      </w:r>
      <w:proofErr w:type="spellStart"/>
      <w:r>
        <w:rPr>
          <w:rFonts w:ascii="Arial" w:eastAsia="Times New Roman" w:hAnsi="Arial" w:cs="Arial"/>
          <w:kern w:val="0"/>
          <w:sz w:val="20"/>
          <w:szCs w:val="20"/>
          <w:lang w:eastAsia="en-US"/>
        </w:rPr>
        <w:t>revitalisation</w:t>
      </w:r>
      <w:proofErr w:type="spellEnd"/>
      <w:r>
        <w:rPr>
          <w:rFonts w:ascii="Arial" w:eastAsia="Times New Roman" w:hAnsi="Arial" w:cs="Arial"/>
          <w:kern w:val="0"/>
          <w:sz w:val="20"/>
          <w:szCs w:val="20"/>
          <w:lang w:eastAsia="en-US"/>
        </w:rPr>
        <w:t xml:space="preserve">, infrastructure </w:t>
      </w:r>
      <w:proofErr w:type="spellStart"/>
      <w:r>
        <w:rPr>
          <w:rFonts w:ascii="Arial" w:eastAsia="Times New Roman" w:hAnsi="Arial" w:cs="Arial"/>
          <w:kern w:val="0"/>
          <w:sz w:val="20"/>
          <w:szCs w:val="20"/>
          <w:lang w:eastAsia="en-US"/>
        </w:rPr>
        <w:t>digitalisation</w:t>
      </w:r>
      <w:proofErr w:type="spellEnd"/>
      <w:r>
        <w:rPr>
          <w:rFonts w:ascii="Arial" w:eastAsia="Times New Roman" w:hAnsi="Arial" w:cs="Arial"/>
          <w:kern w:val="0"/>
          <w:sz w:val="20"/>
          <w:szCs w:val="20"/>
          <w:lang w:eastAsia="en-US"/>
        </w:rPr>
        <w:t xml:space="preserve"> and poverty reduction (Feng, 2025</w:t>
      </w:r>
      <w:r w:rsidR="007453E8">
        <w:rPr>
          <w:rFonts w:ascii="Arial" w:eastAsia="Times New Roman" w:hAnsi="Arial" w:cs="Arial"/>
          <w:kern w:val="0"/>
          <w:sz w:val="20"/>
          <w:szCs w:val="20"/>
          <w:lang w:eastAsia="en-US"/>
        </w:rPr>
        <w:t xml:space="preserve">; </w:t>
      </w:r>
      <w:r w:rsidR="007453E8" w:rsidRPr="007453E8">
        <w:rPr>
          <w:rFonts w:ascii="Arial" w:eastAsia="Times New Roman" w:hAnsi="Arial" w:cs="Arial"/>
          <w:kern w:val="0"/>
          <w:sz w:val="20"/>
          <w:szCs w:val="20"/>
          <w:lang w:eastAsia="en-US"/>
        </w:rPr>
        <w:t>Yang</w:t>
      </w:r>
      <w:r w:rsidR="007453E8">
        <w:rPr>
          <w:rFonts w:ascii="Arial" w:eastAsia="Times New Roman" w:hAnsi="Arial" w:cs="Arial"/>
          <w:kern w:val="0"/>
          <w:sz w:val="20"/>
          <w:szCs w:val="20"/>
          <w:lang w:eastAsia="en-US"/>
        </w:rPr>
        <w:t xml:space="preserve"> et al., 2023</w:t>
      </w:r>
      <w:r>
        <w:rPr>
          <w:rFonts w:ascii="Arial" w:eastAsia="Times New Roman" w:hAnsi="Arial" w:cs="Arial"/>
          <w:kern w:val="0"/>
          <w:sz w:val="20"/>
          <w:szCs w:val="20"/>
          <w:lang w:eastAsia="en-US"/>
        </w:rPr>
        <w:t>). This strategy provides a macro</w:t>
      </w:r>
      <w:r>
        <w:rPr>
          <w:rFonts w:ascii="Arial" w:eastAsia="Times New Roman" w:hAnsi="Arial" w:cs="Arial"/>
          <w:kern w:val="0"/>
          <w:sz w:val="20"/>
          <w:szCs w:val="20"/>
          <w:lang w:eastAsia="en-US"/>
        </w:rPr>
        <w:noBreakHyphen/>
        <w:t>policy framework for rural industries to upgrade via digital means, which aligns with e</w:t>
      </w:r>
      <w:r>
        <w:rPr>
          <w:rFonts w:ascii="Arial" w:eastAsia="Times New Roman" w:hAnsi="Arial" w:cs="Arial"/>
          <w:kern w:val="0"/>
          <w:sz w:val="20"/>
          <w:szCs w:val="20"/>
          <w:lang w:eastAsia="en-US"/>
        </w:rPr>
        <w:noBreakHyphen/>
        <w:t xml:space="preserve">commerce internationalization pathways. The RVS </w:t>
      </w:r>
      <w:proofErr w:type="spellStart"/>
      <w:r>
        <w:rPr>
          <w:rFonts w:ascii="Arial" w:eastAsia="Times New Roman" w:hAnsi="Arial" w:cs="Arial"/>
          <w:kern w:val="0"/>
          <w:sz w:val="20"/>
          <w:szCs w:val="20"/>
          <w:lang w:eastAsia="en-US"/>
        </w:rPr>
        <w:t>emphasises</w:t>
      </w:r>
      <w:proofErr w:type="spellEnd"/>
      <w:r>
        <w:rPr>
          <w:rFonts w:ascii="Arial" w:eastAsia="Times New Roman" w:hAnsi="Arial" w:cs="Arial"/>
          <w:kern w:val="0"/>
          <w:sz w:val="20"/>
          <w:szCs w:val="20"/>
          <w:lang w:eastAsia="en-US"/>
        </w:rPr>
        <w:t xml:space="preserve"> five domains: industry, talent, culture, ecology, and </w:t>
      </w:r>
      <w:proofErr w:type="spellStart"/>
      <w:r>
        <w:rPr>
          <w:rFonts w:ascii="Arial" w:eastAsia="Times New Roman" w:hAnsi="Arial" w:cs="Arial"/>
          <w:kern w:val="0"/>
          <w:sz w:val="20"/>
          <w:szCs w:val="20"/>
          <w:lang w:eastAsia="en-US"/>
        </w:rPr>
        <w:t>organisation</w:t>
      </w:r>
      <w:proofErr w:type="spellEnd"/>
      <w:r>
        <w:rPr>
          <w:rFonts w:ascii="Arial" w:eastAsia="Times New Roman" w:hAnsi="Arial" w:cs="Arial"/>
          <w:kern w:val="0"/>
          <w:sz w:val="20"/>
          <w:szCs w:val="20"/>
          <w:lang w:eastAsia="en-US"/>
        </w:rPr>
        <w:t xml:space="preserve">. For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w:t>
      </w:r>
      <w:r>
        <w:rPr>
          <w:rFonts w:ascii="Arial" w:eastAsia="Times New Roman" w:hAnsi="Arial" w:cs="Arial"/>
          <w:kern w:val="0"/>
          <w:sz w:val="20"/>
          <w:szCs w:val="20"/>
          <w:lang w:eastAsia="en-US"/>
        </w:rPr>
        <w:noBreakHyphen/>
        <w:t>commerce, this means: support for digital infrastructure (internet, logistics), industry integration (tea processing + tourism + e</w:t>
      </w:r>
      <w:r>
        <w:rPr>
          <w:rFonts w:ascii="Arial" w:eastAsia="Times New Roman" w:hAnsi="Arial" w:cs="Arial"/>
          <w:kern w:val="0"/>
          <w:sz w:val="20"/>
          <w:szCs w:val="20"/>
          <w:lang w:eastAsia="en-US"/>
        </w:rPr>
        <w:noBreakHyphen/>
        <w:t>commerce), talent training (digital marketing, cross</w:t>
      </w:r>
      <w:r>
        <w:rPr>
          <w:rFonts w:ascii="Arial" w:eastAsia="Times New Roman" w:hAnsi="Arial" w:cs="Arial"/>
          <w:kern w:val="0"/>
          <w:sz w:val="20"/>
          <w:szCs w:val="20"/>
          <w:lang w:eastAsia="en-US"/>
        </w:rPr>
        <w:noBreakHyphen/>
        <w:t xml:space="preserve">border trade), cultural heritage branding, and </w:t>
      </w:r>
      <w:proofErr w:type="spellStart"/>
      <w:r>
        <w:rPr>
          <w:rFonts w:ascii="Arial" w:eastAsia="Times New Roman" w:hAnsi="Arial" w:cs="Arial"/>
          <w:kern w:val="0"/>
          <w:sz w:val="20"/>
          <w:szCs w:val="20"/>
          <w:lang w:eastAsia="en-US"/>
        </w:rPr>
        <w:t>organisational</w:t>
      </w:r>
      <w:proofErr w:type="spellEnd"/>
      <w:r>
        <w:rPr>
          <w:rFonts w:ascii="Arial" w:eastAsia="Times New Roman" w:hAnsi="Arial" w:cs="Arial"/>
          <w:kern w:val="0"/>
          <w:sz w:val="20"/>
          <w:szCs w:val="20"/>
          <w:lang w:eastAsia="en-US"/>
        </w:rPr>
        <w:t xml:space="preserve"> reforms (farmer cooperatives, digital platforms). As Chen (2024) highlights, the strategic support lowers entry barriers for rural producers into global markets by </w:t>
      </w:r>
      <w:proofErr w:type="spellStart"/>
      <w:r>
        <w:rPr>
          <w:rFonts w:ascii="Arial" w:eastAsia="Times New Roman" w:hAnsi="Arial" w:cs="Arial"/>
          <w:kern w:val="0"/>
          <w:sz w:val="20"/>
          <w:szCs w:val="20"/>
          <w:lang w:eastAsia="en-US"/>
        </w:rPr>
        <w:t>subsidising</w:t>
      </w:r>
      <w:proofErr w:type="spellEnd"/>
      <w:r>
        <w:rPr>
          <w:rFonts w:ascii="Arial" w:eastAsia="Times New Roman" w:hAnsi="Arial" w:cs="Arial"/>
          <w:kern w:val="0"/>
          <w:sz w:val="20"/>
          <w:szCs w:val="20"/>
          <w:lang w:eastAsia="en-US"/>
        </w:rPr>
        <w:t xml:space="preserve"> training and logistics, but the full </w:t>
      </w:r>
      <w:proofErr w:type="spellStart"/>
      <w:r>
        <w:rPr>
          <w:rFonts w:ascii="Arial" w:eastAsia="Times New Roman" w:hAnsi="Arial" w:cs="Arial"/>
          <w:kern w:val="0"/>
          <w:sz w:val="20"/>
          <w:szCs w:val="20"/>
          <w:lang w:eastAsia="en-US"/>
        </w:rPr>
        <w:t>internationalisation</w:t>
      </w:r>
      <w:proofErr w:type="spellEnd"/>
      <w:r>
        <w:rPr>
          <w:rFonts w:ascii="Arial" w:eastAsia="Times New Roman" w:hAnsi="Arial" w:cs="Arial"/>
          <w:kern w:val="0"/>
          <w:sz w:val="20"/>
          <w:szCs w:val="20"/>
          <w:lang w:eastAsia="en-US"/>
        </w:rPr>
        <w:t xml:space="preserve"> requires alignment of firm capabilities, brand assets and global networks.</w:t>
      </w:r>
      <w:r>
        <w:rPr>
          <w:rFonts w:ascii="Arial" w:eastAsia="Times New Roman" w:hAnsi="Arial" w:cs="Arial"/>
          <w:kern w:val="0"/>
          <w:sz w:val="20"/>
          <w:szCs w:val="20"/>
          <w:lang w:eastAsia="en-US"/>
        </w:rPr>
        <w:br/>
        <w:t>Thus, our framework posits that e</w:t>
      </w:r>
      <w:r>
        <w:rPr>
          <w:rFonts w:ascii="Arial" w:eastAsia="Times New Roman" w:hAnsi="Arial" w:cs="Arial"/>
          <w:kern w:val="0"/>
          <w:sz w:val="20"/>
          <w:szCs w:val="20"/>
          <w:lang w:eastAsia="en-US"/>
        </w:rPr>
        <w:noBreakHyphen/>
        <w:t xml:space="preserve">commerce internationalization in a rural tea context emerges from the interaction of three components: digital platform capability, brand heritage &amp; export readiness, and rural revitalization ecosystem support. These interact to influence </w:t>
      </w:r>
      <w:proofErr w:type="spellStart"/>
      <w:r>
        <w:rPr>
          <w:rFonts w:ascii="Arial" w:eastAsia="Times New Roman" w:hAnsi="Arial" w:cs="Arial"/>
          <w:kern w:val="0"/>
          <w:sz w:val="20"/>
          <w:szCs w:val="20"/>
          <w:lang w:eastAsia="en-US"/>
        </w:rPr>
        <w:t>internationalisation</w:t>
      </w:r>
      <w:proofErr w:type="spellEnd"/>
      <w:r>
        <w:rPr>
          <w:rFonts w:ascii="Arial" w:eastAsia="Times New Roman" w:hAnsi="Arial" w:cs="Arial"/>
          <w:kern w:val="0"/>
          <w:sz w:val="20"/>
          <w:szCs w:val="20"/>
          <w:lang w:eastAsia="en-US"/>
        </w:rPr>
        <w:t xml:space="preserve"> outcomes—market entry, export volume, brand awareness, and sustainability.</w:t>
      </w:r>
    </w:p>
    <w:p w:rsidR="00C73A83" w:rsidRDefault="00C73A83">
      <w:pPr>
        <w:pStyle w:val="Body"/>
        <w:widowControl/>
        <w:spacing w:after="0"/>
        <w:rPr>
          <w:rFonts w:ascii="Arial" w:eastAsia="Times New Roman" w:hAnsi="Arial" w:cs="Arial"/>
          <w:kern w:val="0"/>
          <w:sz w:val="20"/>
          <w:szCs w:val="20"/>
          <w:lang w:eastAsia="en-US"/>
        </w:rPr>
      </w:pPr>
    </w:p>
    <w:p w:rsidR="00C73A83" w:rsidRDefault="00BC1E91">
      <w:pPr>
        <w:pStyle w:val="Heading2"/>
        <w:widowControl/>
        <w:rPr>
          <w:rFonts w:ascii="Arial" w:eastAsia="Times New Roman" w:hAnsi="Arial" w:cs="Arial" w:hint="default"/>
          <w:bCs w:val="0"/>
          <w:caps/>
          <w:sz w:val="22"/>
          <w:szCs w:val="20"/>
          <w:lang w:eastAsia="en-US"/>
        </w:rPr>
      </w:pPr>
      <w:r>
        <w:rPr>
          <w:rFonts w:ascii="Arial" w:hAnsi="Arial" w:cs="Arial"/>
          <w:bCs w:val="0"/>
          <w:caps/>
          <w:sz w:val="22"/>
          <w:szCs w:val="20"/>
        </w:rPr>
        <w:t>4</w:t>
      </w:r>
      <w:r>
        <w:rPr>
          <w:rFonts w:ascii="Arial" w:eastAsia="Times New Roman" w:hAnsi="Arial" w:cs="Arial" w:hint="default"/>
          <w:bCs w:val="0"/>
          <w:caps/>
          <w:sz w:val="22"/>
          <w:szCs w:val="20"/>
          <w:lang w:eastAsia="en-US"/>
        </w:rPr>
        <w:t>. Methods</w:t>
      </w:r>
    </w:p>
    <w:p w:rsidR="00C73A83" w:rsidRDefault="00BC1E91">
      <w:pPr>
        <w:pStyle w:val="Heading4"/>
        <w:widowControl/>
        <w:jc w:val="both"/>
        <w:rPr>
          <w:rFonts w:ascii="Arial" w:hAnsi="Arial" w:cs="Arial" w:hint="default"/>
          <w:sz w:val="22"/>
          <w:szCs w:val="22"/>
          <w:lang w:eastAsia="en-US"/>
        </w:rPr>
      </w:pPr>
      <w:r>
        <w:rPr>
          <w:rFonts w:ascii="Arial" w:hAnsi="Arial" w:cs="Arial"/>
          <w:sz w:val="22"/>
          <w:szCs w:val="22"/>
        </w:rPr>
        <w:t>4</w:t>
      </w:r>
      <w:r>
        <w:rPr>
          <w:rFonts w:ascii="Arial" w:hAnsi="Arial" w:cs="Arial" w:hint="default"/>
          <w:sz w:val="22"/>
          <w:szCs w:val="22"/>
          <w:lang w:eastAsia="en-US"/>
        </w:rPr>
        <w:t>.1 Search Strategy</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hint="eastAsia"/>
          <w:kern w:val="0"/>
          <w:sz w:val="20"/>
          <w:szCs w:val="20"/>
          <w:lang w:eastAsia="en-US"/>
        </w:rPr>
        <w:t xml:space="preserve">To systematically explore the internationalization of </w:t>
      </w:r>
      <w:proofErr w:type="spellStart"/>
      <w:r>
        <w:rPr>
          <w:rFonts w:ascii="Arial" w:eastAsia="Times New Roman" w:hAnsi="Arial" w:cs="Arial" w:hint="eastAsia"/>
          <w:kern w:val="0"/>
          <w:sz w:val="20"/>
          <w:szCs w:val="20"/>
          <w:lang w:eastAsia="en-US"/>
        </w:rPr>
        <w:t>Fuliang</w:t>
      </w:r>
      <w:proofErr w:type="spellEnd"/>
      <w:r>
        <w:rPr>
          <w:rFonts w:ascii="Arial" w:eastAsia="Times New Roman" w:hAnsi="Arial" w:cs="Arial" w:hint="eastAsia"/>
          <w:kern w:val="0"/>
          <w:sz w:val="20"/>
          <w:szCs w:val="20"/>
          <w:lang w:eastAsia="en-US"/>
        </w:rPr>
        <w:t xml:space="preserve"> tea e-commerce, three major databases were searched: CNKI, Web of Science, and Google Scholar. The search was limited to publications from 2010 to 2025 to capture recent developments in e-commerce, rural revitalization policies, and international market trends. The keywords employed included “</w:t>
      </w:r>
      <w:proofErr w:type="spellStart"/>
      <w:r>
        <w:rPr>
          <w:rFonts w:ascii="Arial" w:eastAsia="Times New Roman" w:hAnsi="Arial" w:cs="Arial" w:hint="eastAsia"/>
          <w:kern w:val="0"/>
          <w:sz w:val="20"/>
          <w:szCs w:val="20"/>
          <w:lang w:eastAsia="en-US"/>
        </w:rPr>
        <w:t>Fuliang</w:t>
      </w:r>
      <w:proofErr w:type="spellEnd"/>
      <w:r>
        <w:rPr>
          <w:rFonts w:ascii="Arial" w:eastAsia="Times New Roman" w:hAnsi="Arial" w:cs="Arial" w:hint="eastAsia"/>
          <w:kern w:val="0"/>
          <w:sz w:val="20"/>
          <w:szCs w:val="20"/>
          <w:lang w:eastAsia="en-US"/>
        </w:rPr>
        <w:t xml:space="preserve"> tea,” “tea e-commerce,” “rural revitalization,” “internationalization,” and “cross-border tea trade.” Boolean operators (AND/OR) were used to refine searches and ensure comprehensive retrieval of both Chinese and English literature. Additionally, reference lists of selected articles were examined to identify further relevant studies, ensuring a robust and exhaustive collection of literature.</w:t>
      </w:r>
    </w:p>
    <w:p w:rsidR="00C73A83" w:rsidRDefault="00BC1E91">
      <w:pPr>
        <w:pStyle w:val="Heading4"/>
        <w:widowControl/>
        <w:jc w:val="both"/>
        <w:rPr>
          <w:rFonts w:ascii="Arial" w:hAnsi="Arial" w:cs="Arial" w:hint="default"/>
          <w:sz w:val="22"/>
          <w:szCs w:val="22"/>
          <w:lang w:eastAsia="en-US"/>
        </w:rPr>
      </w:pPr>
      <w:r>
        <w:rPr>
          <w:rFonts w:ascii="Arial" w:hAnsi="Arial" w:cs="Arial"/>
          <w:sz w:val="22"/>
          <w:szCs w:val="22"/>
        </w:rPr>
        <w:t>4</w:t>
      </w:r>
      <w:r>
        <w:rPr>
          <w:rFonts w:ascii="Arial" w:hAnsi="Arial" w:cs="Arial" w:hint="default"/>
          <w:sz w:val="22"/>
          <w:szCs w:val="22"/>
          <w:lang w:eastAsia="en-US"/>
        </w:rPr>
        <w:t>.2 Inclusion and Exclusion Criteria</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hint="eastAsia"/>
          <w:kern w:val="0"/>
          <w:sz w:val="20"/>
          <w:szCs w:val="20"/>
          <w:lang w:eastAsia="en-US"/>
        </w:rPr>
        <w:t xml:space="preserve">To ensure the relevance and quality of the literature included in this study, specific inclusion and exclusion criteria were established. Studies were considered for inclusion if they focused on the internationalization of tea e-commerce, were published in peer-reviewed journals in either Chinese or English, and contained empirical data or theoretical analysis directly relevant to the research topic. Conversely, studies were excluded if they were conference papers, news reports, or policy briefs, as these sources often lack the rigorous peer review process required for academic research. Duplicate publications were also removed to prevent redundancy in the analysis. Furthermore, studies that were not directly related to the research focus—such as </w:t>
      </w:r>
      <w:r>
        <w:rPr>
          <w:rFonts w:ascii="Arial" w:eastAsia="Times New Roman" w:hAnsi="Arial" w:cs="Arial" w:hint="eastAsia"/>
          <w:kern w:val="0"/>
          <w:sz w:val="20"/>
          <w:szCs w:val="20"/>
          <w:lang w:eastAsia="en-US"/>
        </w:rPr>
        <w:lastRenderedPageBreak/>
        <w:t xml:space="preserve">those examining domestic-only tea marketing without any cross-border context—were excluded. These criteria ensured that the final selection of literature was both highly relevant and methodologically robust, providing a solid foundation for thematic analysis and synthesis of the internationalization of </w:t>
      </w:r>
      <w:proofErr w:type="spellStart"/>
      <w:r>
        <w:rPr>
          <w:rFonts w:ascii="Arial" w:eastAsia="Times New Roman" w:hAnsi="Arial" w:cs="Arial" w:hint="eastAsia"/>
          <w:kern w:val="0"/>
          <w:sz w:val="20"/>
          <w:szCs w:val="20"/>
          <w:lang w:eastAsia="en-US"/>
        </w:rPr>
        <w:t>Fuliang</w:t>
      </w:r>
      <w:proofErr w:type="spellEnd"/>
      <w:r>
        <w:rPr>
          <w:rFonts w:ascii="Arial" w:eastAsia="Times New Roman" w:hAnsi="Arial" w:cs="Arial" w:hint="eastAsia"/>
          <w:kern w:val="0"/>
          <w:sz w:val="20"/>
          <w:szCs w:val="20"/>
          <w:lang w:eastAsia="en-US"/>
        </w:rPr>
        <w:t xml:space="preserve"> tea e-commerce.</w:t>
      </w:r>
    </w:p>
    <w:p w:rsidR="00C73A83" w:rsidRDefault="00BC1E91">
      <w:pPr>
        <w:pStyle w:val="Heading4"/>
        <w:widowControl/>
        <w:jc w:val="both"/>
        <w:rPr>
          <w:rFonts w:ascii="Arial" w:hAnsi="Arial" w:cs="Arial" w:hint="default"/>
          <w:sz w:val="22"/>
          <w:szCs w:val="22"/>
          <w:lang w:eastAsia="en-US"/>
        </w:rPr>
      </w:pPr>
      <w:r>
        <w:rPr>
          <w:rFonts w:ascii="Arial" w:hAnsi="Arial" w:cs="Arial"/>
          <w:sz w:val="22"/>
          <w:szCs w:val="22"/>
        </w:rPr>
        <w:t>4</w:t>
      </w:r>
      <w:r>
        <w:rPr>
          <w:rFonts w:ascii="Arial" w:hAnsi="Arial" w:cs="Arial" w:hint="default"/>
          <w:sz w:val="22"/>
          <w:szCs w:val="22"/>
          <w:lang w:eastAsia="en-US"/>
        </w:rPr>
        <w:t>.3 Screening Process</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hint="eastAsia"/>
          <w:kern w:val="0"/>
          <w:sz w:val="20"/>
          <w:szCs w:val="20"/>
        </w:rPr>
        <w:t>T</w:t>
      </w:r>
      <w:r>
        <w:rPr>
          <w:rFonts w:ascii="Arial" w:eastAsia="Times New Roman" w:hAnsi="Arial" w:cs="Arial"/>
          <w:kern w:val="0"/>
          <w:sz w:val="20"/>
          <w:szCs w:val="20"/>
          <w:lang w:eastAsia="en-US"/>
        </w:rPr>
        <w:t xml:space="preserve">he initial database search yielded a total of 168 publications from CNKI, Web of Science, and Google Scholar. Following the removal of 42 duplicate records, 126 unique studies remained for further screening. These studies underwent a rigorous title and abstract review, during which 50 articles were excluded because they were considered irrelevant to the research focus on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e-commerce or its internationalization, including studies solely addressing domestic tea marketing without cross-border context. The remaining 76 full-text articles were subsequently assessed for eligibility based on predefined inclusion and exclusion criteria, such as relevance to international tea e-commerce, publication in peer-reviewed journals, and the presence of empirical or theoretical analysis. During this stage, 20 additional studies were excluded because they lacked sufficient empirical evidence, did not provide theoretical insights, or failed to align with the study objectives. Ultimately, a total of 56 studies met all eligibility criteria and were included in the final qualitative synthesis and thematic analysis. This selection process ensured that the included literature was highly relevant and methodologically sound, providing a robust foundation for identifying key themes, challenges, and opportunities in the internationalization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e-commerce. The entire screening and selection procedure </w:t>
      </w:r>
      <w:proofErr w:type="gramStart"/>
      <w:r>
        <w:rPr>
          <w:rFonts w:ascii="Arial" w:eastAsia="Times New Roman" w:hAnsi="Arial" w:cs="Arial"/>
          <w:kern w:val="0"/>
          <w:sz w:val="20"/>
          <w:szCs w:val="20"/>
          <w:lang w:eastAsia="en-US"/>
        </w:rPr>
        <w:t>is</w:t>
      </w:r>
      <w:proofErr w:type="gramEnd"/>
      <w:r>
        <w:rPr>
          <w:rFonts w:ascii="Arial" w:eastAsia="Times New Roman" w:hAnsi="Arial" w:cs="Arial"/>
          <w:kern w:val="0"/>
          <w:sz w:val="20"/>
          <w:szCs w:val="20"/>
          <w:lang w:eastAsia="en-US"/>
        </w:rPr>
        <w:t xml:space="preserve"> illustrated in Figure 1: PRISMA Flow Diagram, which visually depicts each stage from initial search to final inclusion.</w:t>
      </w:r>
    </w:p>
    <w:p w:rsidR="00C73A83" w:rsidRDefault="00C73A83">
      <w:pPr>
        <w:pStyle w:val="Heading3"/>
        <w:widowControl/>
        <w:jc w:val="both"/>
        <w:rPr>
          <w:rFonts w:ascii="Arial" w:hAnsi="Arial" w:cs="Arial" w:hint="default"/>
          <w:sz w:val="20"/>
          <w:szCs w:val="20"/>
        </w:rPr>
      </w:pPr>
    </w:p>
    <w:p w:rsidR="00C73A83" w:rsidRDefault="00BC1E91">
      <w:pPr>
        <w:pStyle w:val="Heading3"/>
        <w:widowControl/>
        <w:jc w:val="center"/>
        <w:rPr>
          <w:rFonts w:ascii="Arial" w:hAnsi="Arial" w:cs="Arial" w:hint="default"/>
          <w:sz w:val="20"/>
          <w:szCs w:val="20"/>
        </w:rPr>
      </w:pPr>
      <w:r>
        <w:rPr>
          <w:rFonts w:ascii="Arial" w:hAnsi="Arial" w:cs="Arial" w:hint="default"/>
          <w:sz w:val="20"/>
          <w:szCs w:val="20"/>
        </w:rPr>
        <w:t>Figure 1:</w:t>
      </w:r>
      <w:r w:rsidR="000F5571">
        <w:rPr>
          <w:rFonts w:ascii="Arial" w:hAnsi="Arial" w:cs="Arial" w:hint="default"/>
          <w:sz w:val="20"/>
          <w:szCs w:val="20"/>
        </w:rPr>
        <w:t xml:space="preserve"> </w:t>
      </w:r>
      <w:r>
        <w:rPr>
          <w:rFonts w:ascii="Arial" w:hAnsi="Arial" w:cs="Arial" w:hint="default"/>
          <w:sz w:val="20"/>
          <w:szCs w:val="20"/>
        </w:rPr>
        <w:t>PRISMA Flow Diagram</w:t>
      </w:r>
    </w:p>
    <w:p w:rsidR="00C73A83" w:rsidRDefault="00BC1E91">
      <w:pPr>
        <w:pStyle w:val="NormalWeb"/>
        <w:widowControl/>
      </w:pPr>
      <w:r>
        <w:rPr>
          <w:rFonts w:hint="eastAsia"/>
          <w:noProof/>
        </w:rPr>
        <w:lastRenderedPageBreak/>
        <w:drawing>
          <wp:inline distT="0" distB="0" distL="114300" distR="114300">
            <wp:extent cx="5266690" cy="3186430"/>
            <wp:effectExtent l="0" t="0" r="10160" b="13970"/>
            <wp:docPr id="2" name="图片 2" descr="ChatGPT Image 2025年11月6日 17_27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hatGPT Image 2025年11月6日 17_27_11"/>
                    <pic:cNvPicPr>
                      <a:picLocks noChangeAspect="1"/>
                    </pic:cNvPicPr>
                  </pic:nvPicPr>
                  <pic:blipFill>
                    <a:blip r:embed="rId8"/>
                    <a:srcRect b="9259"/>
                    <a:stretch>
                      <a:fillRect/>
                    </a:stretch>
                  </pic:blipFill>
                  <pic:spPr>
                    <a:xfrm>
                      <a:off x="0" y="0"/>
                      <a:ext cx="5266690" cy="3186430"/>
                    </a:xfrm>
                    <a:prstGeom prst="rect">
                      <a:avLst/>
                    </a:prstGeom>
                  </pic:spPr>
                </pic:pic>
              </a:graphicData>
            </a:graphic>
          </wp:inline>
        </w:drawing>
      </w:r>
    </w:p>
    <w:p w:rsidR="00C73A83" w:rsidRDefault="00BC1E91">
      <w:pPr>
        <w:pStyle w:val="Heading4"/>
        <w:widowControl/>
        <w:jc w:val="both"/>
        <w:rPr>
          <w:rFonts w:ascii="Arial" w:hAnsi="Arial" w:cs="Arial" w:hint="default"/>
          <w:sz w:val="22"/>
          <w:szCs w:val="22"/>
          <w:lang w:eastAsia="en-US"/>
        </w:rPr>
      </w:pPr>
      <w:r>
        <w:rPr>
          <w:rFonts w:ascii="Arial" w:hAnsi="Arial" w:cs="Arial"/>
          <w:sz w:val="22"/>
          <w:szCs w:val="22"/>
        </w:rPr>
        <w:t>4</w:t>
      </w:r>
      <w:r>
        <w:rPr>
          <w:rFonts w:ascii="Arial" w:hAnsi="Arial" w:cs="Arial" w:hint="default"/>
          <w:sz w:val="22"/>
          <w:szCs w:val="22"/>
          <w:lang w:eastAsia="en-US"/>
        </w:rPr>
        <w:t>.4 Data Extraction and Analysis</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Data extraction was conducted systematically to capture key information from each of the 56 included studies. The extracted data included study characteristics such as authorship, year of publication, journal, research objectives, and methodological approaches. In addition, specific attention was given to the studies’ findings, particularly those addressing challenges, opportunities, or proposed strategies for the internationalization of tea e-commerce. This structured approach ensured that all relevant empirical evidence and theoretical insights were systematically documented and comparable across studies.</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Following data extraction, a thematic analysis was employed to identify, code, and synthesize recurring patterns, concepts, and themes across the selected literature. This involved multiple stages: first, initial coding was conducted to label significant findings and observations; second, codes were reviewed and grouped into broader categories; and third, these categories were refined and consolidated into overarching analytical themes that captured the key dimensions influencing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e-commerce internationalization. Through this iterative process, five core themes emerged, reflecting critical areas of concern and strategic focus, including brand building and promotion, product quality standards and certification, logistics and after-sales services, e-commerce talent and enterprise operations, and international market access and risk management. These themes provide a structured framework for understanding the barriers and facilitators of internationalization and serve as the foundation for subsequent synthesis, discussion, and formulation of practical recommendations for both researchers and practitioners in the field of agricultural e-commerce.</w:t>
      </w:r>
    </w:p>
    <w:p w:rsidR="00C73A83" w:rsidRDefault="00BC1E91">
      <w:pPr>
        <w:pStyle w:val="Heading2"/>
        <w:widowControl/>
        <w:rPr>
          <w:rFonts w:ascii="Arial" w:hAnsi="Arial" w:cs="Arial" w:hint="default"/>
          <w:bCs w:val="0"/>
          <w:caps/>
          <w:sz w:val="22"/>
          <w:szCs w:val="20"/>
        </w:rPr>
      </w:pPr>
      <w:r>
        <w:rPr>
          <w:rFonts w:ascii="Arial" w:hAnsi="Arial" w:cs="Arial" w:hint="default"/>
          <w:bCs w:val="0"/>
          <w:caps/>
          <w:sz w:val="22"/>
          <w:szCs w:val="20"/>
        </w:rPr>
        <w:t>5. Results and Discussion</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The analysis of the selected studies revealed five key themes central to the internationalization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e-commerce, as summarized in Table 1. These themes outline the critical factors </w:t>
      </w:r>
      <w:r>
        <w:rPr>
          <w:rFonts w:ascii="Arial" w:eastAsia="Times New Roman" w:hAnsi="Arial" w:cs="Arial"/>
          <w:kern w:val="0"/>
          <w:sz w:val="20"/>
          <w:szCs w:val="20"/>
          <w:lang w:eastAsia="en-US"/>
        </w:rPr>
        <w:lastRenderedPageBreak/>
        <w:t xml:space="preserve">influencing the global competitiveness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enterprises and provide insight into both the opportunities and challenges they face in expanding their presence internationally.</w:t>
      </w:r>
    </w:p>
    <w:p w:rsidR="00C73A83" w:rsidRDefault="00BC1E91">
      <w:pPr>
        <w:pStyle w:val="Heading4"/>
        <w:widowControl/>
        <w:jc w:val="both"/>
        <w:rPr>
          <w:rFonts w:ascii="Arial" w:hAnsi="Arial" w:cs="Arial" w:hint="default"/>
          <w:sz w:val="22"/>
          <w:szCs w:val="22"/>
        </w:rPr>
      </w:pPr>
      <w:r>
        <w:rPr>
          <w:rFonts w:ascii="Arial" w:hAnsi="Arial" w:cs="Arial" w:hint="default"/>
          <w:sz w:val="22"/>
          <w:szCs w:val="22"/>
        </w:rPr>
        <w:t>5.1 Brand Building and Promotion</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A significant theme identified in the analysis is the challenge of brand building and promotion. Studies revealed that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tea's brand narrative lacks international consistency, and overall brand awareness remains limited. As a result, the competitiveness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in overseas markets is reduced. The research points to weak cross-cultural marketing awareness and the challenges of internationalization, particularly in terms of aligning local brands with global consumer expectations. This theme highlights the need for more strategic international branding and marketing efforts to increase visibility and consumer trust abroad.</w:t>
      </w:r>
    </w:p>
    <w:p w:rsidR="00C73A83" w:rsidRDefault="00BC1E91">
      <w:pPr>
        <w:pStyle w:val="Heading4"/>
        <w:widowControl/>
        <w:jc w:val="both"/>
        <w:rPr>
          <w:rFonts w:ascii="Arial" w:hAnsi="Arial" w:cs="Arial" w:hint="default"/>
          <w:sz w:val="22"/>
          <w:szCs w:val="22"/>
        </w:rPr>
      </w:pPr>
      <w:r>
        <w:rPr>
          <w:rFonts w:ascii="Arial" w:hAnsi="Arial" w:cs="Arial" w:hint="default"/>
          <w:sz w:val="22"/>
          <w:szCs w:val="22"/>
        </w:rPr>
        <w:t>5.2 Product Quality Standards and Certification</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Another core issue identified was the lack of adherence to international product quality standards and certification. The studies indicate that many local tea enterprises in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fail to meet the rigorous quality standards required by international markets. This deficiency is particularly evident in the underdevelopment of international certification systems and low utilization of ecological and low-carbon attributes. These shortcomings hinder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tea’s ability to compete globally, as certification is essential for accessing high-value markets. There is a need for greater research into how local quality standards can be better aligned with international norms.</w:t>
      </w:r>
    </w:p>
    <w:p w:rsidR="00C73A83" w:rsidRDefault="00C73A83">
      <w:pPr>
        <w:widowControl/>
        <w:rPr>
          <w:rFonts w:ascii="Arial" w:hAnsi="Arial" w:cs="Arial"/>
          <w:sz w:val="20"/>
          <w:szCs w:val="20"/>
        </w:rPr>
      </w:pPr>
    </w:p>
    <w:p w:rsidR="00C73A83" w:rsidRDefault="00BC1E91">
      <w:pPr>
        <w:pStyle w:val="Heading4"/>
        <w:widowControl/>
        <w:jc w:val="both"/>
        <w:rPr>
          <w:rFonts w:ascii="Arial" w:hAnsi="Arial" w:cs="Arial" w:hint="default"/>
          <w:sz w:val="20"/>
          <w:szCs w:val="20"/>
        </w:rPr>
      </w:pPr>
      <w:r>
        <w:rPr>
          <w:rFonts w:ascii="Arial" w:hAnsi="Arial" w:cs="Arial" w:hint="default"/>
          <w:sz w:val="20"/>
          <w:szCs w:val="20"/>
        </w:rPr>
        <w:t>5.3 Logistics and After-Sales Services</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Logistics and after-sales services emerged as critical challenges for the international expansion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High cross-border transportation costs, poor timeliness of delivery, and insufficient after-sales services were identified as major barriers. These issues undermine customer satisfaction and limit the potential for repeat purchases, making it difficult for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enterprises to build long-term international customer bases. The complexity of cross-border logistics, including legal and customs issues, further complicates the export process. There is a clear need for research into tea-specific logistics optimization to improve these aspects of international trade.</w:t>
      </w:r>
    </w:p>
    <w:p w:rsidR="00C73A83" w:rsidRDefault="00BC1E91">
      <w:pPr>
        <w:pStyle w:val="Heading4"/>
        <w:widowControl/>
        <w:jc w:val="both"/>
        <w:rPr>
          <w:rFonts w:ascii="Arial" w:hAnsi="Arial" w:cs="Arial" w:hint="default"/>
          <w:sz w:val="22"/>
          <w:szCs w:val="22"/>
        </w:rPr>
      </w:pPr>
      <w:r>
        <w:rPr>
          <w:rFonts w:ascii="Arial" w:hAnsi="Arial" w:cs="Arial" w:hint="default"/>
          <w:sz w:val="22"/>
          <w:szCs w:val="22"/>
        </w:rPr>
        <w:t>5.4 Talent Development and Operational Capacity</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The availability of skilled personnel in e-commerce and international trade was found to be a major constraint for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enterprises. Many local businesses lack professionals with the expertise to manage e-commerce platforms, digital marketing strategies, and cross-border trade operations. This talent gap restricts the operational capacity and strategic planning of enterprises, preventing them from effectively scaling up to meet international demand. The studies suggest that more research is needed on local talent development mechanisms and vocational training programs to support the e-commerce sector.</w:t>
      </w:r>
    </w:p>
    <w:p w:rsidR="00C73A83" w:rsidRDefault="00BC1E91">
      <w:pPr>
        <w:pStyle w:val="Heading4"/>
        <w:widowControl/>
        <w:jc w:val="both"/>
        <w:rPr>
          <w:rFonts w:ascii="Arial" w:hAnsi="Arial" w:cs="Arial" w:hint="default"/>
          <w:sz w:val="20"/>
          <w:szCs w:val="20"/>
        </w:rPr>
      </w:pPr>
      <w:r>
        <w:rPr>
          <w:rFonts w:ascii="Arial" w:hAnsi="Arial" w:cs="Arial" w:hint="default"/>
          <w:sz w:val="20"/>
          <w:szCs w:val="20"/>
        </w:rPr>
        <w:lastRenderedPageBreak/>
        <w:t>5.5 International Market Access and Risk Management</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International market access and risk management emerged as a central issue for the internationalization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e-commerce. Export activities are frequently constrained by trade barriers, currency fluctuations, and other regulatory or market risks. This vulnerability highlights the need for comprehensive risk management strategies to mitigate the impacts of unpredictable external factors. Additionally, the research shows that local tea producers face difficulties in navigating global trade standards and managing risks associated with exchange rates and changing regulations in target markets.</w:t>
      </w:r>
    </w:p>
    <w:p w:rsidR="00C73A83" w:rsidRDefault="00BC1E91">
      <w:pPr>
        <w:pStyle w:val="Heading4"/>
        <w:widowControl/>
        <w:jc w:val="both"/>
        <w:rPr>
          <w:rFonts w:ascii="Arial" w:hAnsi="Arial" w:cs="Arial" w:hint="default"/>
          <w:b w:val="0"/>
          <w:bCs w:val="0"/>
          <w:color w:val="FF0000"/>
          <w:sz w:val="22"/>
          <w:szCs w:val="22"/>
        </w:rPr>
      </w:pPr>
      <w:r>
        <w:rPr>
          <w:rFonts w:ascii="Arial" w:hAnsi="Arial" w:cs="Arial" w:hint="default"/>
          <w:color w:val="FF0000"/>
          <w:sz w:val="20"/>
          <w:szCs w:val="20"/>
        </w:rPr>
        <w:t>5.6 Opportunities and Synthesis of Findings</w:t>
      </w:r>
    </w:p>
    <w:p w:rsidR="00C73A83" w:rsidRDefault="00BC1E91">
      <w:pPr>
        <w:pStyle w:val="Heading3"/>
        <w:widowControl/>
        <w:jc w:val="both"/>
        <w:rPr>
          <w:rFonts w:ascii="Arial" w:hAnsi="Arial" w:cs="Arial" w:hint="default"/>
          <w:b w:val="0"/>
          <w:bCs w:val="0"/>
          <w:sz w:val="22"/>
          <w:szCs w:val="22"/>
        </w:rPr>
      </w:pPr>
      <w:r>
        <w:rPr>
          <w:rFonts w:ascii="Arial" w:hAnsi="Arial" w:cs="Arial" w:hint="default"/>
          <w:b w:val="0"/>
          <w:bCs w:val="0"/>
          <w:sz w:val="22"/>
          <w:szCs w:val="22"/>
        </w:rPr>
        <w:t xml:space="preserve">Despite the substantial challenges facing </w:t>
      </w:r>
      <w:proofErr w:type="spellStart"/>
      <w:r>
        <w:rPr>
          <w:rFonts w:ascii="Arial" w:hAnsi="Arial" w:cs="Arial" w:hint="default"/>
          <w:b w:val="0"/>
          <w:bCs w:val="0"/>
          <w:sz w:val="22"/>
          <w:szCs w:val="22"/>
        </w:rPr>
        <w:t>Fuliang</w:t>
      </w:r>
      <w:proofErr w:type="spellEnd"/>
      <w:r>
        <w:rPr>
          <w:rFonts w:ascii="Arial" w:hAnsi="Arial" w:cs="Arial" w:hint="default"/>
          <w:b w:val="0"/>
          <w:bCs w:val="0"/>
          <w:sz w:val="22"/>
          <w:szCs w:val="22"/>
        </w:rPr>
        <w:t xml:space="preserve"> tea enterprises, this review identifies several important opportunities that can support their internationalization efforts. First, </w:t>
      </w:r>
      <w:proofErr w:type="spellStart"/>
      <w:r>
        <w:rPr>
          <w:rFonts w:ascii="Arial" w:hAnsi="Arial" w:cs="Arial" w:hint="default"/>
          <w:b w:val="0"/>
          <w:bCs w:val="0"/>
          <w:sz w:val="22"/>
          <w:szCs w:val="22"/>
        </w:rPr>
        <w:t>Fuliang’s</w:t>
      </w:r>
      <w:proofErr w:type="spellEnd"/>
      <w:r>
        <w:rPr>
          <w:rFonts w:ascii="Arial" w:hAnsi="Arial" w:cs="Arial" w:hint="default"/>
          <w:b w:val="0"/>
          <w:bCs w:val="0"/>
          <w:sz w:val="22"/>
          <w:szCs w:val="22"/>
        </w:rPr>
        <w:t xml:space="preserve"> rich cultural heritage—rooted in centuries of tea production and traditional craftsmanship—offers strong potential for global storytelling, cultural branding, and experiential marketing. Second, China’s Rural Revitalization Strategy provides policy incentives, infrastructure upgrades, digital transformation support, and training programs that collectively create a favorable environment for cross-border e-commerce expansion. Third, global consumer demand for specialty teas, health-oriented beverages, and artisanal agricultural products continues to rise, presenting new market openings for high-quality </w:t>
      </w:r>
      <w:proofErr w:type="spellStart"/>
      <w:r>
        <w:rPr>
          <w:rFonts w:ascii="Arial" w:hAnsi="Arial" w:cs="Arial" w:hint="default"/>
          <w:b w:val="0"/>
          <w:bCs w:val="0"/>
          <w:sz w:val="22"/>
          <w:szCs w:val="22"/>
        </w:rPr>
        <w:t>Fuliang</w:t>
      </w:r>
      <w:proofErr w:type="spellEnd"/>
      <w:r>
        <w:rPr>
          <w:rFonts w:ascii="Arial" w:hAnsi="Arial" w:cs="Arial" w:hint="default"/>
          <w:b w:val="0"/>
          <w:bCs w:val="0"/>
          <w:sz w:val="22"/>
          <w:szCs w:val="22"/>
        </w:rPr>
        <w:t xml:space="preserve"> tea. Finally, the growing accessibility of digital platforms, including international social media and cross-border e-commerce sites, offers low-cost channels for global outreach, brand promotion, and direct engagement with overseas consumers.</w:t>
      </w:r>
    </w:p>
    <w:p w:rsidR="00C73A83" w:rsidRDefault="00BC1E91">
      <w:pPr>
        <w:pStyle w:val="Heading3"/>
        <w:widowControl/>
        <w:jc w:val="both"/>
        <w:rPr>
          <w:rFonts w:ascii="Arial" w:hAnsi="Arial" w:cs="Arial" w:hint="default"/>
          <w:b w:val="0"/>
          <w:bCs w:val="0"/>
          <w:sz w:val="22"/>
          <w:szCs w:val="22"/>
        </w:rPr>
      </w:pPr>
      <w:r>
        <w:rPr>
          <w:rFonts w:ascii="Arial" w:hAnsi="Arial" w:cs="Arial" w:hint="default"/>
          <w:b w:val="0"/>
          <w:bCs w:val="0"/>
          <w:sz w:val="22"/>
          <w:szCs w:val="22"/>
        </w:rPr>
        <w:t xml:space="preserve">Synthesizing these opportunities with the challenges identified earlier, this review reveals a complex but promising landscape for internationalization. While </w:t>
      </w:r>
      <w:proofErr w:type="spellStart"/>
      <w:r>
        <w:rPr>
          <w:rFonts w:ascii="Arial" w:hAnsi="Arial" w:cs="Arial" w:hint="default"/>
          <w:b w:val="0"/>
          <w:bCs w:val="0"/>
          <w:sz w:val="22"/>
          <w:szCs w:val="22"/>
        </w:rPr>
        <w:t>Fuliang</w:t>
      </w:r>
      <w:proofErr w:type="spellEnd"/>
      <w:r>
        <w:rPr>
          <w:rFonts w:ascii="Arial" w:hAnsi="Arial" w:cs="Arial" w:hint="default"/>
          <w:b w:val="0"/>
          <w:bCs w:val="0"/>
          <w:sz w:val="22"/>
          <w:szCs w:val="22"/>
        </w:rPr>
        <w:t xml:space="preserve"> tea enterprises confront barriers such as weak global brand recognition, gaps in meeting international certification standards, logistical constraints, shortages of skilled cross-border e-commerce talent, and insufficient risk management systems, these obstacles can be addressed through integrated and coordinated strategies. Successful internationalization requires simultaneous improvements in branding, product quality compliance, logistics infrastructure, human capital development, and risk mitigation. When combined with the advantages of cultural heritage, supportive policies, evolving global consumer trends, and cost-effective digital marketing channels, these strategies have the potential to significantly enhance the international competitiveness of </w:t>
      </w:r>
      <w:proofErr w:type="spellStart"/>
      <w:r>
        <w:rPr>
          <w:rFonts w:ascii="Arial" w:hAnsi="Arial" w:cs="Arial" w:hint="default"/>
          <w:b w:val="0"/>
          <w:bCs w:val="0"/>
          <w:sz w:val="22"/>
          <w:szCs w:val="22"/>
        </w:rPr>
        <w:t>Fuliang</w:t>
      </w:r>
      <w:proofErr w:type="spellEnd"/>
      <w:r>
        <w:rPr>
          <w:rFonts w:ascii="Arial" w:hAnsi="Arial" w:cs="Arial" w:hint="default"/>
          <w:b w:val="0"/>
          <w:bCs w:val="0"/>
          <w:sz w:val="22"/>
          <w:szCs w:val="22"/>
        </w:rPr>
        <w:t xml:space="preserve"> tea e-commerce and increase the probability of sustainable success in global markets.</w:t>
      </w:r>
    </w:p>
    <w:p w:rsidR="00C73A83" w:rsidRDefault="00BC1E91">
      <w:pPr>
        <w:pStyle w:val="NormalWeb"/>
        <w:widowControl/>
      </w:pPr>
      <w:r>
        <w:rPr>
          <w:rStyle w:val="Strong"/>
        </w:rPr>
        <w:t>Table 1. Core Themes, Representative Studies, Findings, and Research Gaps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2"/>
        <w:gridCol w:w="1909"/>
        <w:gridCol w:w="2817"/>
        <w:gridCol w:w="2388"/>
      </w:tblGrid>
      <w:tr w:rsidR="00C73A83">
        <w:trPr>
          <w:tblHeader/>
          <w:tblCellSpacing w:w="15" w:type="dxa"/>
        </w:trPr>
        <w:tc>
          <w:tcPr>
            <w:tcW w:w="0" w:type="auto"/>
            <w:tcBorders>
              <w:top w:val="single" w:sz="4" w:space="0" w:color="auto"/>
              <w:bottom w:val="single" w:sz="4" w:space="0" w:color="auto"/>
            </w:tcBorders>
            <w:vAlign w:val="center"/>
          </w:tcPr>
          <w:p w:rsidR="00C73A83" w:rsidRDefault="00BC1E91">
            <w:pPr>
              <w:widowControl/>
              <w:jc w:val="center"/>
              <w:rPr>
                <w:rFonts w:ascii="Arial" w:hAnsi="Arial" w:cs="Arial"/>
                <w:b/>
                <w:bCs/>
                <w:sz w:val="20"/>
                <w:szCs w:val="20"/>
              </w:rPr>
            </w:pPr>
            <w:r>
              <w:rPr>
                <w:rFonts w:ascii="Arial" w:eastAsia="SimSun" w:hAnsi="Arial" w:cs="Arial"/>
                <w:b/>
                <w:bCs/>
                <w:kern w:val="0"/>
                <w:sz w:val="20"/>
                <w:szCs w:val="20"/>
                <w:lang w:bidi="ar"/>
              </w:rPr>
              <w:t>Theme</w:t>
            </w:r>
          </w:p>
        </w:tc>
        <w:tc>
          <w:tcPr>
            <w:tcW w:w="0" w:type="auto"/>
            <w:tcBorders>
              <w:top w:val="single" w:sz="4" w:space="0" w:color="auto"/>
              <w:bottom w:val="single" w:sz="4" w:space="0" w:color="auto"/>
            </w:tcBorders>
            <w:vAlign w:val="center"/>
          </w:tcPr>
          <w:p w:rsidR="00C73A83" w:rsidRDefault="00BC1E91">
            <w:pPr>
              <w:widowControl/>
              <w:jc w:val="center"/>
              <w:rPr>
                <w:rFonts w:ascii="Arial" w:hAnsi="Arial" w:cs="Arial"/>
                <w:b/>
                <w:bCs/>
                <w:sz w:val="20"/>
                <w:szCs w:val="20"/>
              </w:rPr>
            </w:pPr>
            <w:r>
              <w:rPr>
                <w:rFonts w:ascii="Arial" w:eastAsia="SimSun" w:hAnsi="Arial" w:cs="Arial"/>
                <w:b/>
                <w:bCs/>
                <w:kern w:val="0"/>
                <w:sz w:val="20"/>
                <w:szCs w:val="20"/>
                <w:lang w:bidi="ar"/>
              </w:rPr>
              <w:t>Representative Studies</w:t>
            </w:r>
          </w:p>
        </w:tc>
        <w:tc>
          <w:tcPr>
            <w:tcW w:w="0" w:type="auto"/>
            <w:tcBorders>
              <w:top w:val="single" w:sz="4" w:space="0" w:color="auto"/>
              <w:bottom w:val="single" w:sz="4" w:space="0" w:color="auto"/>
            </w:tcBorders>
            <w:vAlign w:val="center"/>
          </w:tcPr>
          <w:p w:rsidR="00C73A83" w:rsidRDefault="00BC1E91">
            <w:pPr>
              <w:widowControl/>
              <w:jc w:val="center"/>
              <w:rPr>
                <w:rFonts w:ascii="Arial" w:hAnsi="Arial" w:cs="Arial"/>
                <w:b/>
                <w:bCs/>
                <w:sz w:val="20"/>
                <w:szCs w:val="20"/>
              </w:rPr>
            </w:pPr>
            <w:r>
              <w:rPr>
                <w:rFonts w:ascii="Arial" w:eastAsia="SimSun" w:hAnsi="Arial" w:cs="Arial"/>
                <w:b/>
                <w:bCs/>
                <w:kern w:val="0"/>
                <w:sz w:val="20"/>
                <w:szCs w:val="20"/>
                <w:lang w:bidi="ar"/>
              </w:rPr>
              <w:t>Key Findings</w:t>
            </w:r>
          </w:p>
        </w:tc>
        <w:tc>
          <w:tcPr>
            <w:tcW w:w="0" w:type="auto"/>
            <w:tcBorders>
              <w:top w:val="single" w:sz="4" w:space="0" w:color="auto"/>
              <w:bottom w:val="single" w:sz="4" w:space="0" w:color="auto"/>
            </w:tcBorders>
            <w:vAlign w:val="center"/>
          </w:tcPr>
          <w:p w:rsidR="00C73A83" w:rsidRDefault="00BC1E91">
            <w:pPr>
              <w:widowControl/>
              <w:jc w:val="center"/>
              <w:rPr>
                <w:rFonts w:ascii="Arial" w:hAnsi="Arial" w:cs="Arial"/>
                <w:b/>
                <w:bCs/>
                <w:sz w:val="20"/>
                <w:szCs w:val="20"/>
              </w:rPr>
            </w:pPr>
            <w:r>
              <w:rPr>
                <w:rFonts w:ascii="Arial" w:eastAsia="SimSun" w:hAnsi="Arial" w:cs="Arial"/>
                <w:b/>
                <w:bCs/>
                <w:kern w:val="0"/>
                <w:sz w:val="20"/>
                <w:szCs w:val="20"/>
                <w:lang w:bidi="ar"/>
              </w:rPr>
              <w:t>Research Gaps</w:t>
            </w:r>
          </w:p>
        </w:tc>
      </w:tr>
      <w:tr w:rsidR="00C73A83">
        <w:trPr>
          <w:tblCellSpacing w:w="15" w:type="dxa"/>
        </w:trPr>
        <w:tc>
          <w:tcPr>
            <w:tcW w:w="0" w:type="auto"/>
            <w:tcBorders>
              <w:bottom w:val="single" w:sz="4" w:space="0" w:color="auto"/>
            </w:tcBorders>
            <w:vAlign w:val="center"/>
          </w:tcPr>
          <w:p w:rsidR="00C73A83" w:rsidRDefault="00BC1E91">
            <w:pPr>
              <w:widowControl/>
              <w:jc w:val="left"/>
              <w:rPr>
                <w:rFonts w:ascii="Arial" w:hAnsi="Arial" w:cs="Arial"/>
                <w:sz w:val="20"/>
                <w:szCs w:val="20"/>
              </w:rPr>
            </w:pPr>
            <w:r>
              <w:rPr>
                <w:rFonts w:ascii="Arial" w:eastAsia="SimSun" w:hAnsi="Arial" w:cs="Arial"/>
                <w:kern w:val="0"/>
                <w:sz w:val="20"/>
                <w:szCs w:val="20"/>
                <w:lang w:bidi="ar"/>
              </w:rPr>
              <w:lastRenderedPageBreak/>
              <w:t>Brand Building</w:t>
            </w:r>
          </w:p>
        </w:tc>
        <w:tc>
          <w:tcPr>
            <w:tcW w:w="0" w:type="auto"/>
            <w:tcBorders>
              <w:bottom w:val="single" w:sz="4" w:space="0" w:color="auto"/>
            </w:tcBorders>
            <w:vAlign w:val="center"/>
          </w:tcPr>
          <w:p w:rsidR="00C73A83" w:rsidRDefault="00BC1E91">
            <w:pPr>
              <w:widowControl/>
              <w:jc w:val="left"/>
              <w:rPr>
                <w:rFonts w:ascii="Arial" w:hAnsi="Arial" w:cs="Arial"/>
                <w:sz w:val="20"/>
                <w:szCs w:val="20"/>
              </w:rPr>
            </w:pPr>
            <w:r>
              <w:rPr>
                <w:rFonts w:ascii="Arial" w:eastAsia="SimSun" w:hAnsi="Arial" w:cs="Arial"/>
                <w:kern w:val="0"/>
                <w:sz w:val="20"/>
                <w:szCs w:val="20"/>
                <w:lang w:bidi="ar"/>
              </w:rPr>
              <w:t xml:space="preserve">Tian &amp; He (2022); </w:t>
            </w:r>
            <w:r>
              <w:rPr>
                <w:rFonts w:ascii="Calibri" w:eastAsia="Calibri" w:hAnsi="Calibri" w:cs="Vrinda" w:hint="eastAsia"/>
                <w:b/>
                <w:bCs/>
                <w:color w:val="FF0000"/>
                <w:kern w:val="0"/>
              </w:rPr>
              <w:t xml:space="preserve">Lo&amp; </w:t>
            </w:r>
            <w:proofErr w:type="spellStart"/>
            <w:r>
              <w:rPr>
                <w:rFonts w:ascii="Calibri" w:eastAsia="Calibri" w:hAnsi="Calibri" w:cs="Vrinda" w:hint="eastAsia"/>
                <w:b/>
                <w:bCs/>
                <w:color w:val="FF0000"/>
                <w:kern w:val="0"/>
              </w:rPr>
              <w:t>Janta</w:t>
            </w:r>
            <w:proofErr w:type="spellEnd"/>
            <w:r>
              <w:rPr>
                <w:rFonts w:ascii="Calibri" w:eastAsia="Calibri" w:hAnsi="Calibri" w:cs="Vrinda" w:hint="eastAsia"/>
                <w:b/>
                <w:bCs/>
                <w:color w:val="FF0000"/>
                <w:kern w:val="0"/>
              </w:rPr>
              <w:t xml:space="preserve"> (2020)</w:t>
            </w:r>
            <w:r>
              <w:rPr>
                <w:rFonts w:ascii="Arial" w:eastAsia="SimSun" w:hAnsi="Arial" w:cs="Arial"/>
                <w:b/>
                <w:bCs/>
                <w:color w:val="FF0000"/>
                <w:kern w:val="0"/>
                <w:sz w:val="20"/>
                <w:szCs w:val="20"/>
                <w:lang w:bidi="ar"/>
              </w:rPr>
              <w:t xml:space="preserve">; </w:t>
            </w:r>
            <w:r>
              <w:rPr>
                <w:rFonts w:ascii="Arial" w:eastAsia="SimSun" w:hAnsi="Arial" w:cs="Arial"/>
                <w:kern w:val="0"/>
                <w:sz w:val="20"/>
                <w:szCs w:val="20"/>
                <w:lang w:bidi="ar"/>
              </w:rPr>
              <w:t>Wan &amp; Jiao (2023)</w:t>
            </w:r>
          </w:p>
        </w:tc>
        <w:tc>
          <w:tcPr>
            <w:tcW w:w="0" w:type="auto"/>
            <w:tcBorders>
              <w:bottom w:val="single" w:sz="4" w:space="0" w:color="auto"/>
            </w:tcBorders>
            <w:vAlign w:val="center"/>
          </w:tcPr>
          <w:p w:rsidR="00C73A83" w:rsidRDefault="00BC1E91">
            <w:pPr>
              <w:widowControl/>
              <w:jc w:val="left"/>
              <w:rPr>
                <w:rFonts w:ascii="Arial" w:hAnsi="Arial" w:cs="Arial"/>
                <w:sz w:val="20"/>
                <w:szCs w:val="20"/>
              </w:rPr>
            </w:pPr>
            <w:r>
              <w:rPr>
                <w:rFonts w:ascii="Arial" w:eastAsia="SimSun" w:hAnsi="Arial" w:cs="Arial"/>
                <w:kern w:val="0"/>
                <w:sz w:val="20"/>
                <w:szCs w:val="20"/>
                <w:lang w:bidi="ar"/>
              </w:rPr>
              <w:t>Weak cross-cultural marketing awareness; challenging internationalization</w:t>
            </w:r>
          </w:p>
        </w:tc>
        <w:tc>
          <w:tcPr>
            <w:tcW w:w="0" w:type="auto"/>
            <w:tcBorders>
              <w:bottom w:val="single" w:sz="4" w:space="0" w:color="auto"/>
            </w:tcBorders>
            <w:vAlign w:val="center"/>
          </w:tcPr>
          <w:p w:rsidR="00C73A83" w:rsidRDefault="00BC1E91">
            <w:pPr>
              <w:widowControl/>
              <w:jc w:val="left"/>
              <w:rPr>
                <w:rFonts w:ascii="Arial" w:hAnsi="Arial" w:cs="Arial"/>
                <w:sz w:val="20"/>
                <w:szCs w:val="20"/>
              </w:rPr>
            </w:pPr>
            <w:r>
              <w:rPr>
                <w:rFonts w:ascii="Arial" w:eastAsia="SimSun" w:hAnsi="Arial" w:cs="Arial"/>
                <w:kern w:val="0"/>
                <w:sz w:val="20"/>
                <w:szCs w:val="20"/>
                <w:lang w:bidi="ar"/>
              </w:rPr>
              <w:t>Lack of research on internationalization strategies for local agricultural products</w:t>
            </w:r>
          </w:p>
        </w:tc>
      </w:tr>
      <w:tr w:rsidR="00C73A83">
        <w:trPr>
          <w:tblCellSpacing w:w="15" w:type="dxa"/>
        </w:trPr>
        <w:tc>
          <w:tcPr>
            <w:tcW w:w="0" w:type="auto"/>
            <w:tcBorders>
              <w:bottom w:val="single" w:sz="4" w:space="0" w:color="auto"/>
            </w:tcBorders>
            <w:vAlign w:val="center"/>
          </w:tcPr>
          <w:p w:rsidR="00C73A83" w:rsidRDefault="00BC1E91">
            <w:pPr>
              <w:widowControl/>
              <w:jc w:val="left"/>
              <w:rPr>
                <w:rFonts w:ascii="Arial" w:hAnsi="Arial" w:cs="Arial"/>
                <w:sz w:val="20"/>
                <w:szCs w:val="20"/>
              </w:rPr>
            </w:pPr>
            <w:r>
              <w:rPr>
                <w:rFonts w:ascii="Arial" w:eastAsia="SimSun" w:hAnsi="Arial" w:cs="Arial"/>
                <w:kern w:val="0"/>
                <w:sz w:val="20"/>
                <w:szCs w:val="20"/>
                <w:lang w:bidi="ar"/>
              </w:rPr>
              <w:t>Quality Standards</w:t>
            </w:r>
          </w:p>
        </w:tc>
        <w:tc>
          <w:tcPr>
            <w:tcW w:w="0" w:type="auto"/>
            <w:tcBorders>
              <w:bottom w:val="single" w:sz="4" w:space="0" w:color="auto"/>
            </w:tcBorders>
            <w:vAlign w:val="center"/>
          </w:tcPr>
          <w:p w:rsidR="00C73A83" w:rsidRDefault="00BC1E91">
            <w:pPr>
              <w:widowControl/>
              <w:jc w:val="left"/>
              <w:rPr>
                <w:rFonts w:ascii="Arial" w:hAnsi="Arial" w:cs="Arial"/>
                <w:sz w:val="20"/>
                <w:szCs w:val="20"/>
              </w:rPr>
            </w:pPr>
            <w:r>
              <w:rPr>
                <w:rFonts w:ascii="Arial" w:eastAsia="SimSun" w:hAnsi="Arial" w:cs="Arial"/>
                <w:kern w:val="0"/>
                <w:sz w:val="20"/>
                <w:szCs w:val="20"/>
                <w:lang w:bidi="ar"/>
              </w:rPr>
              <w:t>Qin &amp; Zhou (2024); Li (2022); Chen &amp; Kunwar (2025)</w:t>
            </w:r>
          </w:p>
        </w:tc>
        <w:tc>
          <w:tcPr>
            <w:tcW w:w="0" w:type="auto"/>
            <w:tcBorders>
              <w:bottom w:val="single" w:sz="4" w:space="0" w:color="auto"/>
            </w:tcBorders>
            <w:vAlign w:val="center"/>
          </w:tcPr>
          <w:p w:rsidR="00C73A83" w:rsidRDefault="00BC1E91">
            <w:pPr>
              <w:widowControl/>
              <w:jc w:val="left"/>
              <w:rPr>
                <w:rFonts w:ascii="Arial" w:hAnsi="Arial" w:cs="Arial"/>
                <w:sz w:val="20"/>
                <w:szCs w:val="20"/>
              </w:rPr>
            </w:pPr>
            <w:r>
              <w:rPr>
                <w:rFonts w:ascii="Arial" w:eastAsia="SimSun" w:hAnsi="Arial" w:cs="Arial"/>
                <w:kern w:val="0"/>
                <w:sz w:val="20"/>
                <w:szCs w:val="20"/>
                <w:lang w:bidi="ar"/>
              </w:rPr>
              <w:t>International certification systems underdeveloped; low utilization of ecological/low-carbon attributes</w:t>
            </w:r>
          </w:p>
        </w:tc>
        <w:tc>
          <w:tcPr>
            <w:tcW w:w="0" w:type="auto"/>
            <w:tcBorders>
              <w:bottom w:val="single" w:sz="4" w:space="0" w:color="auto"/>
            </w:tcBorders>
            <w:vAlign w:val="center"/>
          </w:tcPr>
          <w:p w:rsidR="00C73A83" w:rsidRDefault="00BC1E91">
            <w:pPr>
              <w:widowControl/>
              <w:jc w:val="left"/>
              <w:rPr>
                <w:rFonts w:ascii="Arial" w:hAnsi="Arial" w:cs="Arial"/>
                <w:sz w:val="20"/>
                <w:szCs w:val="20"/>
              </w:rPr>
            </w:pPr>
            <w:r>
              <w:rPr>
                <w:rFonts w:ascii="Arial" w:eastAsia="SimSun" w:hAnsi="Arial" w:cs="Arial"/>
                <w:kern w:val="0"/>
                <w:sz w:val="20"/>
                <w:szCs w:val="20"/>
                <w:lang w:bidi="ar"/>
              </w:rPr>
              <w:t>Limited research on connecting local standards with international norms</w:t>
            </w:r>
          </w:p>
        </w:tc>
      </w:tr>
      <w:tr w:rsidR="00C73A83">
        <w:trPr>
          <w:tblCellSpacing w:w="15" w:type="dxa"/>
        </w:trPr>
        <w:tc>
          <w:tcPr>
            <w:tcW w:w="0" w:type="auto"/>
            <w:tcBorders>
              <w:bottom w:val="single" w:sz="4" w:space="0" w:color="auto"/>
            </w:tcBorders>
            <w:vAlign w:val="center"/>
          </w:tcPr>
          <w:p w:rsidR="00C73A83" w:rsidRDefault="00BC1E91">
            <w:pPr>
              <w:widowControl/>
              <w:jc w:val="left"/>
              <w:rPr>
                <w:rFonts w:ascii="Arial" w:hAnsi="Arial" w:cs="Arial"/>
                <w:sz w:val="20"/>
                <w:szCs w:val="20"/>
              </w:rPr>
            </w:pPr>
            <w:r>
              <w:rPr>
                <w:rFonts w:ascii="Arial" w:eastAsia="SimSun" w:hAnsi="Arial" w:cs="Arial"/>
                <w:kern w:val="0"/>
                <w:sz w:val="20"/>
                <w:szCs w:val="20"/>
                <w:lang w:bidi="ar"/>
              </w:rPr>
              <w:t>Logistics &amp; After-sales</w:t>
            </w:r>
          </w:p>
        </w:tc>
        <w:tc>
          <w:tcPr>
            <w:tcW w:w="0" w:type="auto"/>
            <w:tcBorders>
              <w:bottom w:val="single" w:sz="4" w:space="0" w:color="auto"/>
            </w:tcBorders>
            <w:vAlign w:val="center"/>
          </w:tcPr>
          <w:p w:rsidR="00C73A83" w:rsidRDefault="00BC1E91">
            <w:pPr>
              <w:widowControl/>
              <w:jc w:val="left"/>
              <w:rPr>
                <w:rFonts w:ascii="Arial" w:hAnsi="Arial" w:cs="Arial"/>
                <w:sz w:val="20"/>
                <w:szCs w:val="20"/>
              </w:rPr>
            </w:pPr>
            <w:r>
              <w:rPr>
                <w:rFonts w:ascii="Arial" w:eastAsia="SimSun" w:hAnsi="Arial" w:cs="Arial"/>
                <w:kern w:val="0"/>
                <w:sz w:val="20"/>
                <w:szCs w:val="20"/>
                <w:lang w:bidi="ar"/>
              </w:rPr>
              <w:t>Yu (2022); Xinhua Silk Road (2025)</w:t>
            </w:r>
          </w:p>
        </w:tc>
        <w:tc>
          <w:tcPr>
            <w:tcW w:w="0" w:type="auto"/>
            <w:tcBorders>
              <w:bottom w:val="single" w:sz="4" w:space="0" w:color="auto"/>
            </w:tcBorders>
            <w:vAlign w:val="center"/>
          </w:tcPr>
          <w:p w:rsidR="00C73A83" w:rsidRDefault="00BC1E91">
            <w:pPr>
              <w:widowControl/>
              <w:jc w:val="left"/>
              <w:rPr>
                <w:rFonts w:ascii="Arial" w:hAnsi="Arial" w:cs="Arial"/>
                <w:sz w:val="20"/>
                <w:szCs w:val="20"/>
              </w:rPr>
            </w:pPr>
            <w:r>
              <w:rPr>
                <w:rFonts w:ascii="Arial" w:eastAsia="SimSun" w:hAnsi="Arial" w:cs="Arial"/>
                <w:kern w:val="0"/>
                <w:sz w:val="20"/>
                <w:szCs w:val="20"/>
                <w:lang w:bidi="ar"/>
              </w:rPr>
              <w:t>Complex cross-border logistics; high cost; legal and customs issues</w:t>
            </w:r>
          </w:p>
        </w:tc>
        <w:tc>
          <w:tcPr>
            <w:tcW w:w="0" w:type="auto"/>
            <w:tcBorders>
              <w:bottom w:val="single" w:sz="4" w:space="0" w:color="auto"/>
            </w:tcBorders>
            <w:vAlign w:val="center"/>
          </w:tcPr>
          <w:p w:rsidR="00C73A83" w:rsidRDefault="00BC1E91">
            <w:pPr>
              <w:widowControl/>
              <w:jc w:val="left"/>
              <w:rPr>
                <w:rFonts w:ascii="Arial" w:hAnsi="Arial" w:cs="Arial"/>
                <w:sz w:val="20"/>
                <w:szCs w:val="20"/>
              </w:rPr>
            </w:pPr>
            <w:r>
              <w:rPr>
                <w:rFonts w:ascii="Arial" w:eastAsia="SimSun" w:hAnsi="Arial" w:cs="Arial"/>
                <w:kern w:val="0"/>
                <w:sz w:val="20"/>
                <w:szCs w:val="20"/>
                <w:lang w:bidi="ar"/>
              </w:rPr>
              <w:t>Lack of tea-specific logistics optimization research</w:t>
            </w:r>
          </w:p>
        </w:tc>
      </w:tr>
      <w:tr w:rsidR="00C73A83">
        <w:trPr>
          <w:tblCellSpacing w:w="15" w:type="dxa"/>
        </w:trPr>
        <w:tc>
          <w:tcPr>
            <w:tcW w:w="0" w:type="auto"/>
            <w:tcBorders>
              <w:bottom w:val="single" w:sz="4" w:space="0" w:color="auto"/>
            </w:tcBorders>
            <w:vAlign w:val="center"/>
          </w:tcPr>
          <w:p w:rsidR="00C73A83" w:rsidRDefault="00BC1E91">
            <w:pPr>
              <w:widowControl/>
              <w:jc w:val="left"/>
              <w:rPr>
                <w:rFonts w:ascii="Arial" w:hAnsi="Arial" w:cs="Arial"/>
                <w:sz w:val="20"/>
                <w:szCs w:val="20"/>
              </w:rPr>
            </w:pPr>
            <w:r>
              <w:rPr>
                <w:rFonts w:ascii="Arial" w:eastAsia="SimSun" w:hAnsi="Arial" w:cs="Arial"/>
                <w:kern w:val="0"/>
                <w:sz w:val="20"/>
                <w:szCs w:val="20"/>
                <w:lang w:bidi="ar"/>
              </w:rPr>
              <w:t>Talent &amp; Operations</w:t>
            </w:r>
          </w:p>
        </w:tc>
        <w:tc>
          <w:tcPr>
            <w:tcW w:w="0" w:type="auto"/>
            <w:tcBorders>
              <w:bottom w:val="single" w:sz="4" w:space="0" w:color="auto"/>
            </w:tcBorders>
            <w:vAlign w:val="center"/>
          </w:tcPr>
          <w:p w:rsidR="00C73A83" w:rsidRDefault="00BC1E91">
            <w:pPr>
              <w:widowControl/>
              <w:jc w:val="left"/>
              <w:rPr>
                <w:rFonts w:ascii="Arial" w:hAnsi="Arial" w:cs="Arial"/>
                <w:sz w:val="20"/>
                <w:szCs w:val="20"/>
              </w:rPr>
            </w:pPr>
            <w:r>
              <w:rPr>
                <w:rFonts w:ascii="Arial" w:eastAsia="SimSun" w:hAnsi="Arial" w:cs="Arial"/>
                <w:kern w:val="0"/>
                <w:sz w:val="20"/>
                <w:szCs w:val="20"/>
                <w:lang w:bidi="ar"/>
              </w:rPr>
              <w:t>Zhang (2022); Lai, Wu, &amp; Sheng (2023)</w:t>
            </w:r>
          </w:p>
        </w:tc>
        <w:tc>
          <w:tcPr>
            <w:tcW w:w="0" w:type="auto"/>
            <w:tcBorders>
              <w:bottom w:val="single" w:sz="4" w:space="0" w:color="auto"/>
            </w:tcBorders>
            <w:vAlign w:val="center"/>
          </w:tcPr>
          <w:p w:rsidR="00C73A83" w:rsidRDefault="00BC1E91">
            <w:pPr>
              <w:widowControl/>
              <w:jc w:val="left"/>
              <w:rPr>
                <w:rFonts w:ascii="Arial" w:hAnsi="Arial" w:cs="Arial"/>
                <w:sz w:val="20"/>
                <w:szCs w:val="20"/>
              </w:rPr>
            </w:pPr>
            <w:r>
              <w:rPr>
                <w:rFonts w:ascii="Arial" w:eastAsia="SimSun" w:hAnsi="Arial" w:cs="Arial"/>
                <w:kern w:val="0"/>
                <w:sz w:val="20"/>
                <w:szCs w:val="20"/>
                <w:lang w:bidi="ar"/>
              </w:rPr>
              <w:t>Shortage of skilled e-commerce professionals</w:t>
            </w:r>
          </w:p>
        </w:tc>
        <w:tc>
          <w:tcPr>
            <w:tcW w:w="0" w:type="auto"/>
            <w:tcBorders>
              <w:bottom w:val="single" w:sz="4" w:space="0" w:color="auto"/>
            </w:tcBorders>
            <w:vAlign w:val="center"/>
          </w:tcPr>
          <w:p w:rsidR="00C73A83" w:rsidRDefault="00BC1E91">
            <w:pPr>
              <w:widowControl/>
              <w:jc w:val="left"/>
              <w:rPr>
                <w:rFonts w:ascii="Arial" w:hAnsi="Arial" w:cs="Arial"/>
                <w:sz w:val="20"/>
                <w:szCs w:val="20"/>
              </w:rPr>
            </w:pPr>
            <w:r>
              <w:rPr>
                <w:rFonts w:ascii="Arial" w:eastAsia="SimSun" w:hAnsi="Arial" w:cs="Arial"/>
                <w:kern w:val="0"/>
                <w:sz w:val="20"/>
                <w:szCs w:val="20"/>
                <w:lang w:bidi="ar"/>
              </w:rPr>
              <w:t>Limited research on local talent development mechanisms</w:t>
            </w:r>
          </w:p>
        </w:tc>
      </w:tr>
      <w:tr w:rsidR="00C73A83">
        <w:trPr>
          <w:tblCellSpacing w:w="15" w:type="dxa"/>
        </w:trPr>
        <w:tc>
          <w:tcPr>
            <w:tcW w:w="0" w:type="auto"/>
            <w:tcBorders>
              <w:bottom w:val="single" w:sz="4" w:space="0" w:color="auto"/>
            </w:tcBorders>
            <w:vAlign w:val="center"/>
          </w:tcPr>
          <w:p w:rsidR="00C73A83" w:rsidRDefault="00BC1E91">
            <w:pPr>
              <w:widowControl/>
              <w:jc w:val="left"/>
              <w:rPr>
                <w:rFonts w:ascii="Arial" w:hAnsi="Arial" w:cs="Arial"/>
                <w:sz w:val="20"/>
                <w:szCs w:val="20"/>
              </w:rPr>
            </w:pPr>
            <w:r>
              <w:rPr>
                <w:rFonts w:ascii="Arial" w:eastAsia="SimSun" w:hAnsi="Arial" w:cs="Arial"/>
                <w:kern w:val="0"/>
                <w:sz w:val="20"/>
                <w:szCs w:val="20"/>
                <w:lang w:bidi="ar"/>
              </w:rPr>
              <w:t>International Risk</w:t>
            </w:r>
          </w:p>
        </w:tc>
        <w:tc>
          <w:tcPr>
            <w:tcW w:w="0" w:type="auto"/>
            <w:tcBorders>
              <w:bottom w:val="single" w:sz="4" w:space="0" w:color="auto"/>
            </w:tcBorders>
            <w:vAlign w:val="center"/>
          </w:tcPr>
          <w:p w:rsidR="00C73A83" w:rsidRDefault="00BC1E91">
            <w:pPr>
              <w:widowControl/>
              <w:jc w:val="left"/>
              <w:rPr>
                <w:rFonts w:ascii="Arial" w:hAnsi="Arial" w:cs="Arial"/>
                <w:sz w:val="20"/>
                <w:szCs w:val="20"/>
              </w:rPr>
            </w:pPr>
            <w:r>
              <w:rPr>
                <w:rFonts w:ascii="Arial" w:eastAsia="SimSun" w:hAnsi="Arial" w:cs="Arial"/>
                <w:kern w:val="0"/>
                <w:sz w:val="20"/>
                <w:szCs w:val="20"/>
                <w:lang w:bidi="ar"/>
              </w:rPr>
              <w:t>Tian &amp; He (2022)</w:t>
            </w:r>
          </w:p>
        </w:tc>
        <w:tc>
          <w:tcPr>
            <w:tcW w:w="0" w:type="auto"/>
            <w:tcBorders>
              <w:bottom w:val="single" w:sz="4" w:space="0" w:color="auto"/>
            </w:tcBorders>
            <w:vAlign w:val="center"/>
          </w:tcPr>
          <w:p w:rsidR="00C73A83" w:rsidRDefault="00BC1E91">
            <w:pPr>
              <w:widowControl/>
              <w:jc w:val="left"/>
              <w:rPr>
                <w:rFonts w:ascii="Arial" w:hAnsi="Arial" w:cs="Arial"/>
                <w:sz w:val="20"/>
                <w:szCs w:val="20"/>
              </w:rPr>
            </w:pPr>
            <w:r>
              <w:rPr>
                <w:rFonts w:ascii="Arial" w:eastAsia="SimSun" w:hAnsi="Arial" w:cs="Arial"/>
                <w:kern w:val="0"/>
                <w:sz w:val="20"/>
                <w:szCs w:val="20"/>
                <w:lang w:bidi="ar"/>
              </w:rPr>
              <w:t>Export constrained by standards, brand, and exchange rate</w:t>
            </w:r>
          </w:p>
        </w:tc>
        <w:tc>
          <w:tcPr>
            <w:tcW w:w="0" w:type="auto"/>
            <w:tcBorders>
              <w:bottom w:val="single" w:sz="4" w:space="0" w:color="auto"/>
            </w:tcBorders>
            <w:vAlign w:val="center"/>
          </w:tcPr>
          <w:p w:rsidR="00C73A83" w:rsidRDefault="00BC1E91">
            <w:pPr>
              <w:widowControl/>
              <w:jc w:val="left"/>
              <w:rPr>
                <w:rFonts w:ascii="Arial" w:hAnsi="Arial" w:cs="Arial"/>
                <w:sz w:val="20"/>
                <w:szCs w:val="20"/>
              </w:rPr>
            </w:pPr>
            <w:r>
              <w:rPr>
                <w:rFonts w:ascii="Arial" w:eastAsia="SimSun" w:hAnsi="Arial" w:cs="Arial"/>
                <w:kern w:val="0"/>
                <w:sz w:val="20"/>
                <w:szCs w:val="20"/>
                <w:lang w:bidi="ar"/>
              </w:rPr>
              <w:t>Insufficient research on risk management in e-commerce models</w:t>
            </w:r>
          </w:p>
        </w:tc>
      </w:tr>
    </w:tbl>
    <w:p w:rsidR="00C73A83" w:rsidRDefault="00BC1E91">
      <w:pPr>
        <w:pStyle w:val="Heading2"/>
        <w:widowControl/>
        <w:rPr>
          <w:rFonts w:ascii="Arial" w:eastAsia="Times New Roman" w:hAnsi="Arial" w:cs="Arial" w:hint="default"/>
          <w:bCs w:val="0"/>
          <w:caps/>
          <w:color w:val="FF0000"/>
          <w:sz w:val="22"/>
          <w:szCs w:val="20"/>
        </w:rPr>
      </w:pPr>
      <w:r>
        <w:rPr>
          <w:rFonts w:ascii="Arial" w:hAnsi="Arial" w:cs="Arial"/>
          <w:bCs w:val="0"/>
          <w:caps/>
          <w:color w:val="FF0000"/>
          <w:sz w:val="22"/>
          <w:szCs w:val="20"/>
        </w:rPr>
        <w:t xml:space="preserve">6. Policy Recommendations </w:t>
      </w:r>
    </w:p>
    <w:p w:rsidR="00C73A83" w:rsidRDefault="00BC1E91">
      <w:pPr>
        <w:pStyle w:val="Body"/>
        <w:widowControl/>
        <w:spacing w:after="0"/>
        <w:rPr>
          <w:rFonts w:ascii="Arial" w:eastAsia="Times New Roman" w:hAnsi="Arial" w:cs="Arial"/>
          <w:caps/>
          <w:sz w:val="22"/>
          <w:szCs w:val="20"/>
        </w:rPr>
      </w:pPr>
      <w:r>
        <w:rPr>
          <w:rFonts w:ascii="Arial" w:eastAsia="Times New Roman" w:hAnsi="Arial" w:cs="Arial" w:hint="eastAsia"/>
          <w:kern w:val="0"/>
          <w:sz w:val="20"/>
          <w:szCs w:val="20"/>
          <w:lang w:eastAsia="en-US"/>
        </w:rPr>
        <w:t xml:space="preserve">Based on the findings of this systematic review, a set of actor-differentiated policy recommendations is proposed to enhance the internationalization of </w:t>
      </w:r>
      <w:proofErr w:type="spellStart"/>
      <w:r>
        <w:rPr>
          <w:rFonts w:ascii="Arial" w:eastAsia="Times New Roman" w:hAnsi="Arial" w:cs="Arial" w:hint="eastAsia"/>
          <w:kern w:val="0"/>
          <w:sz w:val="20"/>
          <w:szCs w:val="20"/>
          <w:lang w:eastAsia="en-US"/>
        </w:rPr>
        <w:t>Fuliang</w:t>
      </w:r>
      <w:proofErr w:type="spellEnd"/>
      <w:r>
        <w:rPr>
          <w:rFonts w:ascii="Arial" w:eastAsia="Times New Roman" w:hAnsi="Arial" w:cs="Arial" w:hint="eastAsia"/>
          <w:kern w:val="0"/>
          <w:sz w:val="20"/>
          <w:szCs w:val="20"/>
          <w:lang w:eastAsia="en-US"/>
        </w:rPr>
        <w:t xml:space="preserve"> tea e-commerce and other local agricultural products under China’s Rural Revitalization Strategy. These recommendations target the major challenges identified—brand building, international quality certification, cross-border logistics, talent development, and risk management—while leveraging opportunities created by digital platforms, cultural heritage, and supportive policy measures. The recommendations are organized according to the primary actors responsible for their implementation: government, tea industry associations, and individual enterprises.</w:t>
      </w:r>
    </w:p>
    <w:p w:rsidR="00C73A83" w:rsidRDefault="00BC1E91">
      <w:pPr>
        <w:pStyle w:val="Heading3"/>
        <w:widowControl/>
        <w:jc w:val="both"/>
        <w:rPr>
          <w:rFonts w:ascii="Arial" w:eastAsia="Times New Roman" w:hAnsi="Arial" w:cs="Arial" w:hint="default"/>
          <w:bCs w:val="0"/>
          <w:caps/>
          <w:color w:val="FF0000"/>
          <w:sz w:val="22"/>
          <w:szCs w:val="20"/>
        </w:rPr>
      </w:pPr>
      <w:r>
        <w:rPr>
          <w:rFonts w:ascii="Arial" w:hAnsi="Arial" w:cs="Arial"/>
          <w:color w:val="FF0000"/>
          <w:sz w:val="22"/>
          <w:szCs w:val="22"/>
        </w:rPr>
        <w:t>6.1 Government</w:t>
      </w:r>
    </w:p>
    <w:p w:rsidR="00C73A83" w:rsidRDefault="00BC1E91">
      <w:pPr>
        <w:pStyle w:val="Body"/>
        <w:widowControl/>
        <w:spacing w:after="0"/>
        <w:rPr>
          <w:rFonts w:ascii="Arial" w:eastAsia="Times New Roman" w:hAnsi="Arial" w:cs="Arial"/>
          <w:caps/>
          <w:sz w:val="22"/>
          <w:szCs w:val="20"/>
        </w:rPr>
      </w:pPr>
      <w:r>
        <w:rPr>
          <w:rFonts w:ascii="Arial" w:eastAsia="Times New Roman" w:hAnsi="Arial" w:cs="Arial" w:hint="eastAsia"/>
          <w:kern w:val="0"/>
          <w:sz w:val="20"/>
          <w:szCs w:val="20"/>
          <w:lang w:eastAsia="en-US"/>
        </w:rPr>
        <w:t xml:space="preserve">The government should play a central role in supporting the internationalization of </w:t>
      </w:r>
      <w:proofErr w:type="spellStart"/>
      <w:r>
        <w:rPr>
          <w:rFonts w:ascii="Arial" w:eastAsia="Times New Roman" w:hAnsi="Arial" w:cs="Arial" w:hint="eastAsia"/>
          <w:kern w:val="0"/>
          <w:sz w:val="20"/>
          <w:szCs w:val="20"/>
          <w:lang w:eastAsia="en-US"/>
        </w:rPr>
        <w:t>Fuliang</w:t>
      </w:r>
      <w:proofErr w:type="spellEnd"/>
      <w:r>
        <w:rPr>
          <w:rFonts w:ascii="Arial" w:eastAsia="Times New Roman" w:hAnsi="Arial" w:cs="Arial" w:hint="eastAsia"/>
          <w:kern w:val="0"/>
          <w:sz w:val="20"/>
          <w:szCs w:val="20"/>
          <w:lang w:eastAsia="en-US"/>
        </w:rPr>
        <w:t xml:space="preserve"> tea enterprises by implementing integrated policy measures across branding, quality certification, logistics, talent development, and risk management. Policy actions could include providing financial support or establishing dedicated funds to assist enterprises in obtaining internationally recognized certifications such as ISO, Organic, and Fairtrade, thereby improving product credibility and global consumer trust. In addition, the government can incentivize investment in cross-cultural branding strategies, including collaborations between local producers and marketing experts or international branding agencies, offering tax incentives, subsidies, or grants to support global brand positioning campaigns. Infrastructure </w:t>
      </w:r>
      <w:r>
        <w:rPr>
          <w:rFonts w:ascii="Arial" w:eastAsia="Times New Roman" w:hAnsi="Arial" w:cs="Arial" w:hint="eastAsia"/>
          <w:kern w:val="0"/>
          <w:sz w:val="20"/>
          <w:szCs w:val="20"/>
          <w:lang w:eastAsia="en-US"/>
        </w:rPr>
        <w:lastRenderedPageBreak/>
        <w:t xml:space="preserve">improvements, such as upgrading rural logistics networks, constructing cold-chain warehousing, and streamlining customs and border procedures, are critical to reduce cross-border transportation costs and ensure timely delivery. To complement these initiatives, digital logistics management systems should be promoted, enabling real-time tracking, efficient customs clearance, and effective after-sales services. Human capital development is another key priority: government-led vocational training programs in e-commerce, digital marketing, and international trade, developed in partnership with universities or technical institutions, can address the shortage of skilled personnel. Furthermore, risk mitigation measures should be institutionalized through centralized digital platforms offering real-time market intelligence, legal advice, and policy updates, as well as government-backed insurance or financial instruments to safeguard enterprises against currency fluctuations, trade barriers, and geopolitical uncertainties. Collectively, these interventions aim to create a supportive ecosystem that enhances the capacity of </w:t>
      </w:r>
      <w:proofErr w:type="spellStart"/>
      <w:r>
        <w:rPr>
          <w:rFonts w:ascii="Arial" w:eastAsia="Times New Roman" w:hAnsi="Arial" w:cs="Arial" w:hint="eastAsia"/>
          <w:kern w:val="0"/>
          <w:sz w:val="20"/>
          <w:szCs w:val="20"/>
          <w:lang w:eastAsia="en-US"/>
        </w:rPr>
        <w:t>Fuliang</w:t>
      </w:r>
      <w:proofErr w:type="spellEnd"/>
      <w:r>
        <w:rPr>
          <w:rFonts w:ascii="Arial" w:eastAsia="Times New Roman" w:hAnsi="Arial" w:cs="Arial" w:hint="eastAsia"/>
          <w:kern w:val="0"/>
          <w:sz w:val="20"/>
          <w:szCs w:val="20"/>
          <w:lang w:eastAsia="en-US"/>
        </w:rPr>
        <w:t xml:space="preserve"> tea enterprises to compete sustainably in international markets.</w:t>
      </w:r>
    </w:p>
    <w:p w:rsidR="00C73A83" w:rsidRDefault="00BC1E91">
      <w:pPr>
        <w:pStyle w:val="Heading3"/>
        <w:widowControl/>
        <w:jc w:val="both"/>
        <w:rPr>
          <w:rFonts w:ascii="Arial" w:hAnsi="Arial" w:cs="Arial" w:hint="default"/>
          <w:color w:val="FF0000"/>
          <w:sz w:val="22"/>
          <w:szCs w:val="22"/>
        </w:rPr>
      </w:pPr>
      <w:r>
        <w:rPr>
          <w:rFonts w:ascii="Arial" w:hAnsi="Arial" w:cs="Arial"/>
          <w:color w:val="FF0000"/>
          <w:sz w:val="22"/>
          <w:szCs w:val="22"/>
        </w:rPr>
        <w:t>6.2 Tea Industry Associations</w:t>
      </w:r>
    </w:p>
    <w:p w:rsidR="00C73A83" w:rsidRDefault="00BC1E91">
      <w:pPr>
        <w:pStyle w:val="Body"/>
        <w:widowControl/>
        <w:spacing w:after="0"/>
        <w:rPr>
          <w:rFonts w:ascii="Arial" w:eastAsia="Times New Roman" w:hAnsi="Arial" w:cs="Arial"/>
          <w:caps/>
          <w:sz w:val="22"/>
          <w:szCs w:val="20"/>
        </w:rPr>
      </w:pPr>
      <w:r>
        <w:rPr>
          <w:rFonts w:ascii="Arial" w:eastAsia="Times New Roman" w:hAnsi="Arial" w:cs="Arial" w:hint="eastAsia"/>
          <w:kern w:val="0"/>
          <w:sz w:val="20"/>
          <w:szCs w:val="20"/>
          <w:lang w:eastAsia="en-US"/>
        </w:rPr>
        <w:t xml:space="preserve">Tea industry associations play an essential role in facilitating collective action and coordination among local enterprises. Associations can standardize product quality and certification frameworks, ensuring that all member enterprises adhere to internationally recognized requirements and thereby strengthening the overall reputation of </w:t>
      </w:r>
      <w:proofErr w:type="spellStart"/>
      <w:r>
        <w:rPr>
          <w:rFonts w:ascii="Arial" w:eastAsia="Times New Roman" w:hAnsi="Arial" w:cs="Arial" w:hint="eastAsia"/>
          <w:kern w:val="0"/>
          <w:sz w:val="20"/>
          <w:szCs w:val="20"/>
          <w:lang w:eastAsia="en-US"/>
        </w:rPr>
        <w:t>Fuliang</w:t>
      </w:r>
      <w:proofErr w:type="spellEnd"/>
      <w:r>
        <w:rPr>
          <w:rFonts w:ascii="Arial" w:eastAsia="Times New Roman" w:hAnsi="Arial" w:cs="Arial" w:hint="eastAsia"/>
          <w:kern w:val="0"/>
          <w:sz w:val="20"/>
          <w:szCs w:val="20"/>
          <w:lang w:eastAsia="en-US"/>
        </w:rPr>
        <w:t xml:space="preserve"> tea. Coordinated branding campaigns should be promoted to unify the messaging and visual identity of the region’s tea products, highlighting </w:t>
      </w:r>
      <w:proofErr w:type="spellStart"/>
      <w:r>
        <w:rPr>
          <w:rFonts w:ascii="Arial" w:eastAsia="Times New Roman" w:hAnsi="Arial" w:cs="Arial" w:hint="eastAsia"/>
          <w:kern w:val="0"/>
          <w:sz w:val="20"/>
          <w:szCs w:val="20"/>
          <w:lang w:eastAsia="en-US"/>
        </w:rPr>
        <w:t>Fuliang’s</w:t>
      </w:r>
      <w:proofErr w:type="spellEnd"/>
      <w:r>
        <w:rPr>
          <w:rFonts w:ascii="Arial" w:eastAsia="Times New Roman" w:hAnsi="Arial" w:cs="Arial" w:hint="eastAsia"/>
          <w:kern w:val="0"/>
          <w:sz w:val="20"/>
          <w:szCs w:val="20"/>
          <w:lang w:eastAsia="en-US"/>
        </w:rPr>
        <w:t xml:space="preserve"> cultural heritage and unique product characteristics in overseas markets. Associations can also organize and support participation in international trade exhibitions, virtual trade fairs, and matchmaking events, providing platforms for local enterprises to showcase products, identify market demand, and establish global networks with buyers and distributors. By leading these initiatives, associations can amplify the reach and visibility of </w:t>
      </w:r>
      <w:proofErr w:type="spellStart"/>
      <w:r>
        <w:rPr>
          <w:rFonts w:ascii="Arial" w:eastAsia="Times New Roman" w:hAnsi="Arial" w:cs="Arial" w:hint="eastAsia"/>
          <w:kern w:val="0"/>
          <w:sz w:val="20"/>
          <w:szCs w:val="20"/>
          <w:lang w:eastAsia="en-US"/>
        </w:rPr>
        <w:t>Fuliang</w:t>
      </w:r>
      <w:proofErr w:type="spellEnd"/>
      <w:r>
        <w:rPr>
          <w:rFonts w:ascii="Arial" w:eastAsia="Times New Roman" w:hAnsi="Arial" w:cs="Arial" w:hint="eastAsia"/>
          <w:kern w:val="0"/>
          <w:sz w:val="20"/>
          <w:szCs w:val="20"/>
          <w:lang w:eastAsia="en-US"/>
        </w:rPr>
        <w:t xml:space="preserve"> tea, facilitate knowledge sharing regarding export regulations and best practices, and enable small- and medium-sized enterprises to overcome barriers that would be difficult to address individually.</w:t>
      </w:r>
    </w:p>
    <w:p w:rsidR="00C73A83" w:rsidRDefault="00BC1E91">
      <w:pPr>
        <w:pStyle w:val="Heading3"/>
        <w:widowControl/>
        <w:jc w:val="both"/>
        <w:rPr>
          <w:rFonts w:ascii="Arial" w:hAnsi="Arial" w:cs="Arial" w:hint="default"/>
          <w:color w:val="FF0000"/>
          <w:sz w:val="22"/>
          <w:szCs w:val="22"/>
        </w:rPr>
      </w:pPr>
      <w:r>
        <w:rPr>
          <w:rFonts w:ascii="Arial" w:hAnsi="Arial" w:cs="Arial"/>
          <w:color w:val="FF0000"/>
          <w:sz w:val="22"/>
          <w:szCs w:val="22"/>
        </w:rPr>
        <w:t>6.3 Enterprises</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hint="eastAsia"/>
          <w:kern w:val="0"/>
          <w:sz w:val="20"/>
          <w:szCs w:val="20"/>
          <w:lang w:eastAsia="en-US"/>
        </w:rPr>
        <w:t xml:space="preserve">Individual tea enterprises must actively implement strategies to enhance their international competitiveness, complementing government and industry-level interventions. Core measures include investing in brand storytelling, digital marketing, and cross-cultural communication to establish a cohesive and compelling global brand identity. Enterprises should pursue international certifications and improve internal quality management systems to ensure compliance with global standards, enhancing trust among overseas consumers. Operationally, building overseas warehouses, establishing efficient after-sales service systems, and adopting digital logistics platforms can improve delivery efficiency and customer satisfaction, promoting repeat purchases and loyalty. Additionally, enterprises should institutionalize risk monitoring and management mechanisms, including assessing trade policy changes, currency fluctuations, and platform regulations, to anticipate challenges and respond strategically. Engagement with international networks, participation in trade missions, and collaboration with </w:t>
      </w:r>
      <w:r>
        <w:rPr>
          <w:rFonts w:ascii="Arial" w:eastAsia="Times New Roman" w:hAnsi="Arial" w:cs="Arial" w:hint="eastAsia"/>
          <w:kern w:val="0"/>
          <w:sz w:val="20"/>
          <w:szCs w:val="20"/>
          <w:lang w:eastAsia="en-US"/>
        </w:rPr>
        <w:lastRenderedPageBreak/>
        <w:t xml:space="preserve">e-commerce platforms like Amazon or Alibaba can further enhance global market exposure. By implementing these measures, enterprises can not only strengthen their global competitiveness but also contribute to regional economic development, support the objectives of China’s Rural Revitalization Strategy, and ensure the sustainable international growth of </w:t>
      </w:r>
      <w:proofErr w:type="spellStart"/>
      <w:r>
        <w:rPr>
          <w:rFonts w:ascii="Arial" w:eastAsia="Times New Roman" w:hAnsi="Arial" w:cs="Arial" w:hint="eastAsia"/>
          <w:kern w:val="0"/>
          <w:sz w:val="20"/>
          <w:szCs w:val="20"/>
          <w:lang w:eastAsia="en-US"/>
        </w:rPr>
        <w:t>Fuliang</w:t>
      </w:r>
      <w:proofErr w:type="spellEnd"/>
      <w:r>
        <w:rPr>
          <w:rFonts w:ascii="Arial" w:eastAsia="Times New Roman" w:hAnsi="Arial" w:cs="Arial" w:hint="eastAsia"/>
          <w:kern w:val="0"/>
          <w:sz w:val="20"/>
          <w:szCs w:val="20"/>
          <w:lang w:eastAsia="en-US"/>
        </w:rPr>
        <w:t xml:space="preserve"> tea in premium specialty markets.</w:t>
      </w:r>
    </w:p>
    <w:p w:rsidR="00C73A83" w:rsidRDefault="00BC1E91">
      <w:pPr>
        <w:pStyle w:val="Heading2"/>
        <w:widowControl/>
        <w:rPr>
          <w:rFonts w:ascii="Arial" w:eastAsia="Times New Roman" w:hAnsi="Arial" w:cs="Arial" w:hint="default"/>
          <w:b w:val="0"/>
          <w:caps/>
          <w:sz w:val="22"/>
          <w:szCs w:val="20"/>
        </w:rPr>
      </w:pPr>
      <w:r>
        <w:rPr>
          <w:rFonts w:ascii="Arial" w:eastAsia="Times New Roman" w:hAnsi="Arial" w:cs="Arial"/>
          <w:bCs w:val="0"/>
          <w:caps/>
          <w:sz w:val="22"/>
          <w:szCs w:val="20"/>
        </w:rPr>
        <w:t>7. Conclusion</w:t>
      </w:r>
    </w:p>
    <w:p w:rsidR="00C73A83" w:rsidRDefault="00BC1E91">
      <w:pPr>
        <w:pStyle w:val="Body"/>
        <w:widowControl/>
        <w:spacing w:after="0"/>
        <w:rPr>
          <w:rFonts w:ascii="Arial" w:eastAsia="Times New Roman" w:hAnsi="Arial" w:cs="Arial"/>
          <w:color w:val="FF0000"/>
          <w:kern w:val="0"/>
          <w:sz w:val="20"/>
          <w:szCs w:val="20"/>
          <w:lang w:eastAsia="en-US"/>
        </w:rPr>
      </w:pPr>
      <w:r>
        <w:rPr>
          <w:rFonts w:ascii="Arial" w:eastAsia="Times New Roman" w:hAnsi="Arial" w:cs="Arial" w:hint="eastAsia"/>
          <w:kern w:val="0"/>
          <w:sz w:val="20"/>
          <w:szCs w:val="20"/>
          <w:lang w:eastAsia="en-US"/>
        </w:rPr>
        <w:t xml:space="preserve">This study systematically synthesizes current research on the internationalization pathways of </w:t>
      </w:r>
      <w:proofErr w:type="spellStart"/>
      <w:r>
        <w:rPr>
          <w:rFonts w:ascii="Arial" w:eastAsia="Times New Roman" w:hAnsi="Arial" w:cs="Arial" w:hint="eastAsia"/>
          <w:kern w:val="0"/>
          <w:sz w:val="20"/>
          <w:szCs w:val="20"/>
          <w:lang w:eastAsia="en-US"/>
        </w:rPr>
        <w:t>Fuliang</w:t>
      </w:r>
      <w:proofErr w:type="spellEnd"/>
      <w:r>
        <w:rPr>
          <w:rFonts w:ascii="Arial" w:eastAsia="Times New Roman" w:hAnsi="Arial" w:cs="Arial" w:hint="eastAsia"/>
          <w:kern w:val="0"/>
          <w:sz w:val="20"/>
          <w:szCs w:val="20"/>
          <w:lang w:eastAsia="en-US"/>
        </w:rPr>
        <w:t xml:space="preserve"> tea e-commerce, providing insights into the challenges, opportunities, and potential strategies for rural agricultural products entering global markets.</w:t>
      </w:r>
      <w:r>
        <w:rPr>
          <w:rFonts w:ascii="Arial" w:eastAsia="Times New Roman" w:hAnsi="Arial" w:cs="Arial" w:hint="eastAsia"/>
          <w:color w:val="FF0000"/>
          <w:kern w:val="0"/>
          <w:sz w:val="20"/>
          <w:szCs w:val="20"/>
          <w:lang w:eastAsia="en-US"/>
        </w:rPr>
        <w:t xml:space="preserve"> Despite the valuable findings, this review has several limitations. First, it relies primarily on published literature, and the lack of micro-level enterprise and household data limits the empirical depth and granularity of the analysis. Second, regional variations within China and differences among foreign markets could not be fully explored due to limited comparative studies, which constrains the generalizability of some conclusions.</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hint="eastAsia"/>
          <w:kern w:val="0"/>
          <w:sz w:val="20"/>
          <w:szCs w:val="20"/>
          <w:lang w:eastAsia="en-US"/>
        </w:rPr>
        <w:t xml:space="preserve">Building on these findings, several avenues for future research are proposed to further support the internationalization of </w:t>
      </w:r>
      <w:proofErr w:type="spellStart"/>
      <w:r>
        <w:rPr>
          <w:rFonts w:ascii="Arial" w:eastAsia="Times New Roman" w:hAnsi="Arial" w:cs="Arial" w:hint="eastAsia"/>
          <w:kern w:val="0"/>
          <w:sz w:val="20"/>
          <w:szCs w:val="20"/>
          <w:lang w:eastAsia="en-US"/>
        </w:rPr>
        <w:t>Fuliang</w:t>
      </w:r>
      <w:proofErr w:type="spellEnd"/>
      <w:r>
        <w:rPr>
          <w:rFonts w:ascii="Arial" w:eastAsia="Times New Roman" w:hAnsi="Arial" w:cs="Arial" w:hint="eastAsia"/>
          <w:kern w:val="0"/>
          <w:sz w:val="20"/>
          <w:szCs w:val="20"/>
          <w:lang w:eastAsia="en-US"/>
        </w:rPr>
        <w:t xml:space="preserve"> tea and other regional specialty agricultural products. First, developing cross-cultural brand communication models could guide effective positioning of local products in international markets and enhance global brand recognition, ensuring that brand narratives resonate with diverse consumer groups. Second, establishing international quality certification systems tailored to the capacities of small- and medium-sized tea enterprises could enhance export credibility, strengthen consumer trust, and facilitate compliance with global standards. Third, constructing cross-border e-commerce logistics optimization models would help reduce transportation costs, improve delivery timeliness, and strengthen after-sales service systems, thereby increasing overall customer satisfaction. Fourth, investigating the impact of digital transformation on international competitiveness could provide insights into integrating e-commerce platforms, digital marketing strategies, and supply chain management in a holistic manner. Additionally, field surveys, in-depth interviews with </w:t>
      </w:r>
      <w:proofErr w:type="spellStart"/>
      <w:r>
        <w:rPr>
          <w:rFonts w:ascii="Arial" w:eastAsia="Times New Roman" w:hAnsi="Arial" w:cs="Arial" w:hint="eastAsia"/>
          <w:kern w:val="0"/>
          <w:sz w:val="20"/>
          <w:szCs w:val="20"/>
          <w:lang w:eastAsia="en-US"/>
        </w:rPr>
        <w:t>Fuliang</w:t>
      </w:r>
      <w:proofErr w:type="spellEnd"/>
      <w:r>
        <w:rPr>
          <w:rFonts w:ascii="Arial" w:eastAsia="Times New Roman" w:hAnsi="Arial" w:cs="Arial" w:hint="eastAsia"/>
          <w:kern w:val="0"/>
          <w:sz w:val="20"/>
          <w:szCs w:val="20"/>
          <w:lang w:eastAsia="en-US"/>
        </w:rPr>
        <w:t xml:space="preserve"> tea enterprises, and cross-regional comparative case studies are recommended to validate and expand the proposed framework, addressing the current lack of micro-level data and contextual nuances.</w:t>
      </w:r>
    </w:p>
    <w:p w:rsidR="00C73A83" w:rsidRDefault="00BC1E91">
      <w:pPr>
        <w:pStyle w:val="Body"/>
        <w:widowControl/>
        <w:spacing w:after="0"/>
        <w:rPr>
          <w:rFonts w:ascii="Arial" w:eastAsia="Times New Roman" w:hAnsi="Arial" w:cs="Arial"/>
          <w:kern w:val="0"/>
          <w:sz w:val="20"/>
          <w:szCs w:val="20"/>
          <w:lang w:eastAsia="en-US"/>
        </w:rPr>
      </w:pPr>
      <w:r>
        <w:rPr>
          <w:rFonts w:ascii="Arial" w:eastAsia="Times New Roman" w:hAnsi="Arial" w:cs="Arial" w:hint="eastAsia"/>
          <w:kern w:val="0"/>
          <w:sz w:val="20"/>
          <w:szCs w:val="20"/>
          <w:lang w:eastAsia="en-US"/>
        </w:rPr>
        <w:t xml:space="preserve">Collectively, these proposed research directions offer practical guidance for both scholars and practitioners seeking to facilitate the global expansion of </w:t>
      </w:r>
      <w:proofErr w:type="spellStart"/>
      <w:r>
        <w:rPr>
          <w:rFonts w:ascii="Arial" w:eastAsia="Times New Roman" w:hAnsi="Arial" w:cs="Arial" w:hint="eastAsia"/>
          <w:kern w:val="0"/>
          <w:sz w:val="20"/>
          <w:szCs w:val="20"/>
          <w:lang w:eastAsia="en-US"/>
        </w:rPr>
        <w:t>Fuliang</w:t>
      </w:r>
      <w:proofErr w:type="spellEnd"/>
      <w:r>
        <w:rPr>
          <w:rFonts w:ascii="Arial" w:eastAsia="Times New Roman" w:hAnsi="Arial" w:cs="Arial" w:hint="eastAsia"/>
          <w:kern w:val="0"/>
          <w:sz w:val="20"/>
          <w:szCs w:val="20"/>
          <w:lang w:eastAsia="en-US"/>
        </w:rPr>
        <w:t xml:space="preserve"> tea and similar local specialty products. By addressing the identified challenges through strategic, evidence-based approaches, future studies can contribute to theoretical advancements in rural e-commerce internationalization, inform policy decisions, enhance industry practices, and support the sustainable international growth of China’s specialty agricultural products.</w:t>
      </w:r>
    </w:p>
    <w:p w:rsidR="000F5571" w:rsidRDefault="000F5571">
      <w:pPr>
        <w:widowControl/>
        <w:spacing w:after="200" w:line="276" w:lineRule="auto"/>
        <w:outlineLvl w:val="0"/>
        <w:rPr>
          <w:rFonts w:ascii="Arial" w:eastAsia="Times New Roman" w:hAnsi="Arial" w:cs="Arial"/>
          <w:b/>
          <w:bCs/>
          <w:kern w:val="0"/>
          <w:sz w:val="22"/>
          <w:szCs w:val="22"/>
          <w:lang w:val="en-GB" w:eastAsia="en-GB"/>
        </w:rPr>
      </w:pPr>
    </w:p>
    <w:p w:rsidR="00C73A83" w:rsidRPr="000F5571" w:rsidRDefault="00BC1E91">
      <w:pPr>
        <w:rPr>
          <w:rFonts w:ascii="Calibri" w:eastAsia="Calibri" w:hAnsi="Calibri" w:cs="Times New Roman"/>
          <w:b/>
          <w:highlight w:val="yellow"/>
        </w:rPr>
      </w:pPr>
      <w:r w:rsidRPr="000F5571">
        <w:rPr>
          <w:rFonts w:ascii="Calibri" w:eastAsia="Calibri" w:hAnsi="Calibri" w:cs="Times New Roman" w:hint="eastAsia"/>
          <w:b/>
          <w:highlight w:val="yellow"/>
        </w:rPr>
        <w:t>Disclaimer (Artificial intelligence)</w:t>
      </w:r>
    </w:p>
    <w:p w:rsidR="00C73A83" w:rsidRDefault="00BC1E91">
      <w:pPr>
        <w:widowControl/>
        <w:spacing w:after="200" w:line="276" w:lineRule="auto"/>
        <w:jc w:val="left"/>
        <w:rPr>
          <w:rFonts w:ascii="Calibri" w:eastAsia="Times New Roman" w:hAnsi="Calibri" w:cs="Times New Roman"/>
          <w:kern w:val="0"/>
          <w:sz w:val="22"/>
          <w:szCs w:val="22"/>
          <w:lang w:val="en-GB" w:eastAsia="en-GB"/>
        </w:rPr>
      </w:pPr>
      <w:r>
        <w:rPr>
          <w:rFonts w:ascii="Calibri" w:eastAsia="Times New Roman" w:hAnsi="Calibri" w:cs="Times New Roman" w:hint="eastAsia"/>
          <w:kern w:val="0"/>
          <w:sz w:val="22"/>
          <w:szCs w:val="22"/>
          <w:lang w:val="en-GB" w:eastAsia="en-GB"/>
        </w:rPr>
        <w:t>Author(s) hereby declare that NO generative AI technologies such as Large Language Models (</w:t>
      </w:r>
      <w:proofErr w:type="spellStart"/>
      <w:r>
        <w:rPr>
          <w:rFonts w:ascii="Calibri" w:eastAsia="Times New Roman" w:hAnsi="Calibri" w:cs="Times New Roman" w:hint="eastAsia"/>
          <w:kern w:val="0"/>
          <w:sz w:val="22"/>
          <w:szCs w:val="22"/>
          <w:lang w:val="en-GB" w:eastAsia="en-GB"/>
        </w:rPr>
        <w:t>ChatGPT</w:t>
      </w:r>
      <w:proofErr w:type="spellEnd"/>
      <w:r>
        <w:rPr>
          <w:rFonts w:ascii="Calibri" w:eastAsia="Times New Roman" w:hAnsi="Calibri" w:cs="Times New Roman" w:hint="eastAsia"/>
          <w:kern w:val="0"/>
          <w:sz w:val="22"/>
          <w:szCs w:val="22"/>
          <w:lang w:val="en-GB" w:eastAsia="en-GB"/>
        </w:rPr>
        <w:t>, COPILOT, etc.) and text-to-image generators have been used during the writing or editing of this manuscript.</w:t>
      </w:r>
    </w:p>
    <w:p w:rsidR="00C73A83" w:rsidRDefault="00C73A83">
      <w:pPr>
        <w:rPr>
          <w:rFonts w:ascii="Arial" w:hAnsi="Arial" w:cs="Arial"/>
          <w:b/>
          <w:bCs/>
          <w:sz w:val="20"/>
          <w:szCs w:val="20"/>
        </w:rPr>
      </w:pPr>
    </w:p>
    <w:p w:rsidR="00C73A83" w:rsidRDefault="00BC1E91">
      <w:pPr>
        <w:rPr>
          <w:rFonts w:ascii="Arial" w:hAnsi="Arial" w:cs="Arial"/>
          <w:b/>
          <w:bCs/>
          <w:sz w:val="20"/>
          <w:szCs w:val="20"/>
        </w:rPr>
      </w:pPr>
      <w:r>
        <w:rPr>
          <w:rFonts w:ascii="Arial" w:hAnsi="Arial" w:cs="Arial"/>
          <w:b/>
          <w:bCs/>
          <w:sz w:val="20"/>
          <w:szCs w:val="20"/>
        </w:rPr>
        <w:t>References</w:t>
      </w:r>
    </w:p>
    <w:p w:rsidR="00C73A83" w:rsidRPr="000F5571" w:rsidRDefault="00BC1E91" w:rsidP="000F5571">
      <w:pPr>
        <w:pStyle w:val="ListParagraph"/>
        <w:numPr>
          <w:ilvl w:val="0"/>
          <w:numId w:val="1"/>
        </w:numPr>
        <w:rPr>
          <w:rFonts w:ascii="Arial" w:hAnsi="Arial" w:cs="Arial"/>
          <w:sz w:val="20"/>
          <w:szCs w:val="20"/>
        </w:rPr>
      </w:pPr>
      <w:r w:rsidRPr="000F5571">
        <w:rPr>
          <w:rFonts w:ascii="Arial" w:hAnsi="Arial" w:cs="Arial"/>
          <w:sz w:val="20"/>
          <w:szCs w:val="20"/>
        </w:rPr>
        <w:t xml:space="preserve">Bao, J.-g., Chen, Y.-y., &amp; Dong, Y.-h. (2023). Mechanisms of rural revitalization through </w:t>
      </w:r>
      <w:proofErr w:type="spellStart"/>
      <w:r w:rsidRPr="000F5571">
        <w:rPr>
          <w:rFonts w:ascii="Arial" w:hAnsi="Arial" w:cs="Arial"/>
          <w:sz w:val="20"/>
          <w:szCs w:val="20"/>
        </w:rPr>
        <w:t>Pu’er</w:t>
      </w:r>
      <w:proofErr w:type="spellEnd"/>
      <w:r w:rsidRPr="000F5571">
        <w:rPr>
          <w:rFonts w:ascii="Arial" w:hAnsi="Arial" w:cs="Arial"/>
          <w:sz w:val="20"/>
          <w:szCs w:val="20"/>
        </w:rPr>
        <w:t xml:space="preserve"> tea industry development: A case study of </w:t>
      </w:r>
      <w:proofErr w:type="spellStart"/>
      <w:r w:rsidRPr="000F5571">
        <w:rPr>
          <w:rFonts w:ascii="Arial" w:hAnsi="Arial" w:cs="Arial"/>
          <w:sz w:val="20"/>
          <w:szCs w:val="20"/>
        </w:rPr>
        <w:t>Yiwu</w:t>
      </w:r>
      <w:proofErr w:type="spellEnd"/>
      <w:r w:rsidRPr="000F5571">
        <w:rPr>
          <w:rFonts w:ascii="Arial" w:hAnsi="Arial" w:cs="Arial"/>
          <w:sz w:val="20"/>
          <w:szCs w:val="20"/>
        </w:rPr>
        <w:t>, Yunnan. Journal of Natural Resources, 38(8), 1941–1954. https://www.jnr.ac.cn</w:t>
      </w:r>
    </w:p>
    <w:p w:rsidR="00C73A83" w:rsidRDefault="00C73A83">
      <w:pPr>
        <w:rPr>
          <w:rFonts w:ascii="Arial" w:hAnsi="Arial" w:cs="Arial"/>
          <w:sz w:val="20"/>
          <w:szCs w:val="20"/>
        </w:rPr>
      </w:pPr>
    </w:p>
    <w:p w:rsidR="00C73A83" w:rsidRDefault="00C73A83">
      <w:pPr>
        <w:rPr>
          <w:rFonts w:ascii="Arial" w:hAnsi="Arial" w:cs="Arial"/>
          <w:color w:val="FF0000"/>
          <w:sz w:val="20"/>
          <w:szCs w:val="20"/>
        </w:rPr>
      </w:pPr>
    </w:p>
    <w:p w:rsidR="00C73A83" w:rsidRPr="000F5571" w:rsidRDefault="00BC1E91" w:rsidP="000F5571">
      <w:pPr>
        <w:pStyle w:val="ListParagraph"/>
        <w:numPr>
          <w:ilvl w:val="0"/>
          <w:numId w:val="1"/>
        </w:numPr>
        <w:rPr>
          <w:rFonts w:ascii="Arial" w:hAnsi="Arial" w:cs="Arial"/>
          <w:sz w:val="20"/>
          <w:szCs w:val="20"/>
        </w:rPr>
      </w:pPr>
      <w:r w:rsidRPr="000F5571">
        <w:rPr>
          <w:rFonts w:ascii="Arial" w:hAnsi="Arial" w:cs="Arial"/>
          <w:sz w:val="20"/>
          <w:szCs w:val="20"/>
        </w:rPr>
        <w:t xml:space="preserve">Chen, S., &amp; Kunwar, U. B. (2025). Chinese tea: An overview on culture, commerce and globalization. Asian Journal of Advances in Agricultural Research, 25(7), 126–132. </w:t>
      </w:r>
      <w:hyperlink r:id="rId9" w:history="1">
        <w:r w:rsidRPr="000F5571">
          <w:rPr>
            <w:rStyle w:val="Hyperlink"/>
            <w:rFonts w:ascii="Arial" w:hAnsi="Arial" w:cs="Arial"/>
            <w:sz w:val="20"/>
            <w:szCs w:val="20"/>
          </w:rPr>
          <w:t>https://journalajaar.com</w:t>
        </w:r>
      </w:hyperlink>
    </w:p>
    <w:p w:rsidR="00C73A83" w:rsidRDefault="00C73A83">
      <w:pPr>
        <w:rPr>
          <w:rFonts w:ascii="Arial" w:hAnsi="Arial" w:cs="Arial"/>
          <w:sz w:val="20"/>
          <w:szCs w:val="20"/>
        </w:rPr>
      </w:pPr>
    </w:p>
    <w:p w:rsidR="00C73A83" w:rsidRPr="000F5571" w:rsidRDefault="00BC1E91" w:rsidP="000F5571">
      <w:pPr>
        <w:pStyle w:val="ListParagraph"/>
        <w:numPr>
          <w:ilvl w:val="0"/>
          <w:numId w:val="1"/>
        </w:numPr>
        <w:rPr>
          <w:rFonts w:ascii="Arial" w:hAnsi="Arial" w:cs="Arial"/>
          <w:sz w:val="20"/>
          <w:szCs w:val="20"/>
        </w:rPr>
      </w:pPr>
      <w:r w:rsidRPr="000F5571">
        <w:rPr>
          <w:rFonts w:ascii="Arial" w:eastAsia="SimSun" w:hAnsi="Arial" w:cs="Arial"/>
          <w:sz w:val="20"/>
          <w:szCs w:val="20"/>
        </w:rPr>
        <w:t xml:space="preserve">Chen, M., &amp; Long, Y. (2024). Empowering rural </w:t>
      </w:r>
      <w:proofErr w:type="spellStart"/>
      <w:r w:rsidRPr="000F5571">
        <w:rPr>
          <w:rFonts w:ascii="Arial" w:eastAsia="SimSun" w:hAnsi="Arial" w:cs="Arial"/>
          <w:sz w:val="20"/>
          <w:szCs w:val="20"/>
        </w:rPr>
        <w:t>revitalisation</w:t>
      </w:r>
      <w:proofErr w:type="spellEnd"/>
      <w:r w:rsidRPr="000F5571">
        <w:rPr>
          <w:rFonts w:ascii="Arial" w:eastAsia="SimSun" w:hAnsi="Arial" w:cs="Arial"/>
          <w:sz w:val="20"/>
          <w:szCs w:val="20"/>
        </w:rPr>
        <w:t>: Unleashing the potential of e</w:t>
      </w:r>
      <w:r w:rsidRPr="000F5571">
        <w:rPr>
          <w:rFonts w:ascii="Arial" w:eastAsia="SimSun" w:hAnsi="Arial" w:cs="Arial"/>
          <w:sz w:val="20"/>
          <w:szCs w:val="20"/>
        </w:rPr>
        <w:noBreakHyphen/>
        <w:t xml:space="preserve">commerce for sustainable industrial integration. </w:t>
      </w:r>
      <w:r w:rsidRPr="000F5571">
        <w:rPr>
          <w:rStyle w:val="Emphasis"/>
          <w:rFonts w:ascii="Arial" w:eastAsia="SimSun" w:hAnsi="Arial" w:cs="Arial"/>
          <w:sz w:val="20"/>
          <w:szCs w:val="20"/>
        </w:rPr>
        <w:t>Technology in Society</w:t>
      </w:r>
      <w:r w:rsidRPr="000F5571">
        <w:rPr>
          <w:rFonts w:ascii="Arial" w:eastAsia="SimSun" w:hAnsi="Arial" w:cs="Arial"/>
          <w:sz w:val="20"/>
          <w:szCs w:val="20"/>
        </w:rPr>
        <w:t>. Advance online publication. https://doi.org/10.1007/s13132</w:t>
      </w:r>
      <w:r w:rsidRPr="000F5571">
        <w:rPr>
          <w:rFonts w:ascii="Arial" w:eastAsia="SimSun" w:hAnsi="Arial" w:cs="Arial"/>
          <w:sz w:val="20"/>
          <w:szCs w:val="20"/>
        </w:rPr>
        <w:noBreakHyphen/>
        <w:t>024</w:t>
      </w:r>
      <w:r w:rsidRPr="000F5571">
        <w:rPr>
          <w:rFonts w:ascii="Arial" w:eastAsia="SimSun" w:hAnsi="Arial" w:cs="Arial"/>
          <w:sz w:val="20"/>
          <w:szCs w:val="20"/>
        </w:rPr>
        <w:noBreakHyphen/>
        <w:t>01813</w:t>
      </w:r>
      <w:r w:rsidRPr="000F5571">
        <w:rPr>
          <w:rFonts w:ascii="Arial" w:eastAsia="SimSun" w:hAnsi="Arial" w:cs="Arial"/>
          <w:sz w:val="20"/>
          <w:szCs w:val="20"/>
        </w:rPr>
        <w:noBreakHyphen/>
        <w:t>3</w:t>
      </w:r>
    </w:p>
    <w:p w:rsidR="00C73A83" w:rsidRDefault="00C73A83">
      <w:pPr>
        <w:rPr>
          <w:rFonts w:ascii="Arial" w:hAnsi="Arial" w:cs="Arial"/>
          <w:sz w:val="20"/>
          <w:szCs w:val="20"/>
        </w:rPr>
      </w:pPr>
    </w:p>
    <w:p w:rsidR="00C73A83" w:rsidRPr="000F5571" w:rsidRDefault="00BC1E91" w:rsidP="000F5571">
      <w:pPr>
        <w:pStyle w:val="ListParagraph"/>
        <w:numPr>
          <w:ilvl w:val="0"/>
          <w:numId w:val="1"/>
        </w:numPr>
        <w:rPr>
          <w:rFonts w:ascii="Arial" w:hAnsi="Arial" w:cs="Arial"/>
          <w:sz w:val="20"/>
          <w:szCs w:val="20"/>
        </w:rPr>
      </w:pPr>
      <w:r w:rsidRPr="000F5571">
        <w:rPr>
          <w:rFonts w:ascii="Arial" w:hAnsi="Arial" w:cs="Arial"/>
          <w:sz w:val="20"/>
          <w:szCs w:val="20"/>
        </w:rPr>
        <w:t>Feng, Z. (2025). Rural revitalization in China: Reversing rural decline and reshaping future pathways. Geographical Research, 63(2), 345–359. https://doi.org/10.1111/gec3.70039</w:t>
      </w:r>
    </w:p>
    <w:p w:rsidR="00006617" w:rsidRDefault="00BC1E91" w:rsidP="00006617">
      <w:pPr>
        <w:pStyle w:val="ListParagraph"/>
        <w:numPr>
          <w:ilvl w:val="0"/>
          <w:numId w:val="1"/>
        </w:numPr>
        <w:rPr>
          <w:rFonts w:ascii="Arial" w:eastAsia="SimSun" w:hAnsi="Arial" w:cs="Arial"/>
          <w:sz w:val="20"/>
          <w:szCs w:val="20"/>
        </w:rPr>
      </w:pPr>
      <w:proofErr w:type="spellStart"/>
      <w:r w:rsidRPr="000F5571">
        <w:rPr>
          <w:rFonts w:ascii="Arial" w:eastAsia="SimSun" w:hAnsi="Arial" w:cs="Arial"/>
          <w:sz w:val="20"/>
          <w:szCs w:val="20"/>
        </w:rPr>
        <w:t>Håkansson</w:t>
      </w:r>
      <w:proofErr w:type="spellEnd"/>
      <w:r w:rsidRPr="000F5571">
        <w:rPr>
          <w:rFonts w:ascii="Arial" w:eastAsia="SimSun" w:hAnsi="Arial" w:cs="Arial"/>
          <w:sz w:val="20"/>
          <w:szCs w:val="20"/>
        </w:rPr>
        <w:t xml:space="preserve">, H., &amp; </w:t>
      </w:r>
      <w:proofErr w:type="spellStart"/>
      <w:r w:rsidRPr="000F5571">
        <w:rPr>
          <w:rFonts w:ascii="Arial" w:eastAsia="SimSun" w:hAnsi="Arial" w:cs="Arial"/>
          <w:sz w:val="20"/>
          <w:szCs w:val="20"/>
        </w:rPr>
        <w:t>Johanson</w:t>
      </w:r>
      <w:proofErr w:type="spellEnd"/>
      <w:r w:rsidRPr="000F5571">
        <w:rPr>
          <w:rFonts w:ascii="Arial" w:eastAsia="SimSun" w:hAnsi="Arial" w:cs="Arial"/>
          <w:sz w:val="20"/>
          <w:szCs w:val="20"/>
        </w:rPr>
        <w:t>, J. (1992). A model of industrial networks. International Studies of Management &amp; Organization, 22(3), 29–44.</w:t>
      </w:r>
    </w:p>
    <w:p w:rsidR="00C73A83" w:rsidRPr="00006617" w:rsidRDefault="00006617" w:rsidP="00006617">
      <w:pPr>
        <w:pStyle w:val="ListParagraph"/>
        <w:numPr>
          <w:ilvl w:val="0"/>
          <w:numId w:val="1"/>
        </w:numPr>
        <w:rPr>
          <w:rFonts w:ascii="Arial" w:eastAsia="SimSun" w:hAnsi="Arial" w:cs="Arial"/>
          <w:sz w:val="20"/>
          <w:szCs w:val="20"/>
        </w:rPr>
      </w:pPr>
      <w:r w:rsidRPr="00006617">
        <w:rPr>
          <w:rFonts w:ascii="Arial" w:hAnsi="Arial" w:cs="Arial"/>
          <w:color w:val="FF0000"/>
          <w:sz w:val="20"/>
          <w:szCs w:val="20"/>
        </w:rPr>
        <w:t xml:space="preserve">Wang, Q., Dang, X., Song, T., Xiao, G., &amp; Lu, Y. (2025). </w:t>
      </w:r>
      <w:proofErr w:type="spellStart"/>
      <w:r w:rsidRPr="00006617">
        <w:rPr>
          <w:rFonts w:ascii="Arial" w:hAnsi="Arial" w:cs="Arial"/>
          <w:color w:val="FF0000"/>
          <w:sz w:val="20"/>
          <w:szCs w:val="20"/>
        </w:rPr>
        <w:t>Agro</w:t>
      </w:r>
      <w:proofErr w:type="spellEnd"/>
      <w:r w:rsidRPr="00006617">
        <w:rPr>
          <w:rFonts w:ascii="Arial" w:hAnsi="Arial" w:cs="Arial"/>
          <w:color w:val="FF0000"/>
          <w:sz w:val="20"/>
          <w:szCs w:val="20"/>
        </w:rPr>
        <w:t>-Tourism Integration and County-Level Sustainability: Mechanisms and Regional Heterogeneity in China. Sustainability, 17(10), 4549.</w:t>
      </w:r>
      <w:r w:rsidRPr="00006617">
        <w:t xml:space="preserve"> </w:t>
      </w:r>
      <w:hyperlink r:id="rId10" w:history="1">
        <w:r w:rsidRPr="00E44B2A">
          <w:rPr>
            <w:rStyle w:val="Hyperlink"/>
            <w:rFonts w:ascii="Arial" w:hAnsi="Arial" w:cs="Arial"/>
            <w:sz w:val="20"/>
            <w:szCs w:val="20"/>
          </w:rPr>
          <w:t>https://doi.org/10.3390/su17104549</w:t>
        </w:r>
      </w:hyperlink>
      <w:r>
        <w:rPr>
          <w:rFonts w:ascii="Arial" w:hAnsi="Arial" w:cs="Arial"/>
          <w:color w:val="FF0000"/>
          <w:sz w:val="20"/>
          <w:szCs w:val="20"/>
        </w:rPr>
        <w:t xml:space="preserve"> </w:t>
      </w:r>
    </w:p>
    <w:p w:rsidR="00C73A83" w:rsidRPr="0053795A" w:rsidRDefault="0053795A" w:rsidP="0053795A">
      <w:pPr>
        <w:pStyle w:val="ListParagraph"/>
        <w:numPr>
          <w:ilvl w:val="0"/>
          <w:numId w:val="1"/>
        </w:numPr>
        <w:rPr>
          <w:rFonts w:ascii="Arial" w:hAnsi="Arial" w:cs="Arial"/>
          <w:sz w:val="20"/>
          <w:szCs w:val="20"/>
        </w:rPr>
      </w:pPr>
      <w:r>
        <w:rPr>
          <w:rFonts w:ascii="Arial" w:hAnsi="Arial" w:cs="Arial"/>
          <w:sz w:val="20"/>
          <w:szCs w:val="20"/>
        </w:rPr>
        <w:t>Yan, (</w:t>
      </w:r>
      <w:r w:rsidR="00BC1E91" w:rsidRPr="0053795A">
        <w:rPr>
          <w:rFonts w:ascii="Arial" w:hAnsi="Arial" w:cs="Arial"/>
          <w:sz w:val="20"/>
          <w:szCs w:val="20"/>
        </w:rPr>
        <w:t>202</w:t>
      </w:r>
      <w:r>
        <w:rPr>
          <w:rFonts w:ascii="Arial" w:hAnsi="Arial" w:cs="Arial"/>
          <w:sz w:val="20"/>
          <w:szCs w:val="20"/>
        </w:rPr>
        <w:t>4</w:t>
      </w:r>
      <w:r w:rsidR="00BC1E91" w:rsidRPr="0053795A">
        <w:rPr>
          <w:rFonts w:ascii="Arial" w:hAnsi="Arial" w:cs="Arial"/>
          <w:sz w:val="20"/>
          <w:szCs w:val="20"/>
        </w:rPr>
        <w:t xml:space="preserve">). </w:t>
      </w:r>
      <w:r w:rsidRPr="0053795A">
        <w:rPr>
          <w:rFonts w:ascii="Arial" w:hAnsi="Arial" w:cs="Arial"/>
          <w:sz w:val="20"/>
          <w:szCs w:val="20"/>
        </w:rPr>
        <w:t>Cross border e-commerce platforms, logistics services and challenges: Basis for efficiency framework for cross border e-commerce industries</w:t>
      </w:r>
      <w:r w:rsidR="00BC1E91" w:rsidRPr="0053795A">
        <w:rPr>
          <w:rFonts w:ascii="Arial" w:hAnsi="Arial" w:cs="Arial"/>
          <w:sz w:val="20"/>
          <w:szCs w:val="20"/>
        </w:rPr>
        <w:t xml:space="preserve">. </w:t>
      </w:r>
      <w:r w:rsidRPr="0053795A">
        <w:rPr>
          <w:rFonts w:ascii="Arial" w:hAnsi="Arial" w:cs="Arial"/>
          <w:sz w:val="20"/>
          <w:szCs w:val="20"/>
        </w:rPr>
        <w:t>International Journal of Research Studies in Management 12(2)</w:t>
      </w:r>
      <w:r w:rsidR="00BC1E91" w:rsidRPr="0053795A">
        <w:rPr>
          <w:rFonts w:ascii="Arial" w:hAnsi="Arial" w:cs="Arial"/>
          <w:sz w:val="20"/>
          <w:szCs w:val="20"/>
        </w:rPr>
        <w:t xml:space="preserve">, </w:t>
      </w:r>
      <w:r w:rsidRPr="0053795A">
        <w:rPr>
          <w:rFonts w:ascii="Arial" w:hAnsi="Arial" w:cs="Arial"/>
          <w:sz w:val="20"/>
          <w:szCs w:val="20"/>
        </w:rPr>
        <w:t>DOI:10.5861/ijrsm.2024.1024</w:t>
      </w:r>
    </w:p>
    <w:p w:rsidR="00C73A83" w:rsidRDefault="00C73A83">
      <w:pPr>
        <w:rPr>
          <w:rFonts w:ascii="Arial" w:hAnsi="Arial" w:cs="Arial"/>
          <w:sz w:val="20"/>
          <w:szCs w:val="20"/>
        </w:rPr>
      </w:pPr>
    </w:p>
    <w:p w:rsidR="00C73A83" w:rsidRPr="00E4732D" w:rsidRDefault="00BC1E91" w:rsidP="00E4732D">
      <w:pPr>
        <w:pStyle w:val="ListParagraph"/>
        <w:numPr>
          <w:ilvl w:val="0"/>
          <w:numId w:val="1"/>
        </w:numPr>
        <w:rPr>
          <w:rFonts w:ascii="Arial" w:hAnsi="Arial" w:cs="Arial"/>
          <w:color w:val="FF0000"/>
          <w:sz w:val="20"/>
          <w:szCs w:val="20"/>
        </w:rPr>
      </w:pPr>
      <w:proofErr w:type="spellStart"/>
      <w:r w:rsidRPr="000F5571">
        <w:rPr>
          <w:rFonts w:ascii="Arial" w:hAnsi="Arial" w:cs="Arial"/>
          <w:color w:val="FF0000"/>
          <w:sz w:val="20"/>
          <w:szCs w:val="20"/>
        </w:rPr>
        <w:t>Johanson</w:t>
      </w:r>
      <w:proofErr w:type="spellEnd"/>
      <w:r w:rsidRPr="000F5571">
        <w:rPr>
          <w:rFonts w:ascii="Arial" w:hAnsi="Arial" w:cs="Arial"/>
          <w:color w:val="FF0000"/>
          <w:sz w:val="20"/>
          <w:szCs w:val="20"/>
        </w:rPr>
        <w:t xml:space="preserve">, J., &amp; </w:t>
      </w:r>
      <w:proofErr w:type="spellStart"/>
      <w:r w:rsidRPr="000F5571">
        <w:rPr>
          <w:rFonts w:ascii="Arial" w:hAnsi="Arial" w:cs="Arial"/>
          <w:color w:val="FF0000"/>
          <w:sz w:val="20"/>
          <w:szCs w:val="20"/>
        </w:rPr>
        <w:t>Vahlne</w:t>
      </w:r>
      <w:proofErr w:type="spellEnd"/>
      <w:r w:rsidRPr="000F5571">
        <w:rPr>
          <w:rFonts w:ascii="Arial" w:hAnsi="Arial" w:cs="Arial"/>
          <w:color w:val="FF0000"/>
          <w:sz w:val="20"/>
          <w:szCs w:val="20"/>
        </w:rPr>
        <w:t>, J.-E. (1977).</w:t>
      </w:r>
      <w:r w:rsidR="00006617">
        <w:rPr>
          <w:rFonts w:ascii="Arial" w:hAnsi="Arial" w:cs="Arial"/>
          <w:color w:val="FF0000"/>
          <w:sz w:val="20"/>
          <w:szCs w:val="20"/>
        </w:rPr>
        <w:t xml:space="preserve"> </w:t>
      </w:r>
      <w:r w:rsidRPr="00006617">
        <w:rPr>
          <w:rFonts w:ascii="Arial" w:hAnsi="Arial" w:cs="Arial"/>
          <w:color w:val="FF0000"/>
          <w:sz w:val="20"/>
          <w:szCs w:val="20"/>
        </w:rPr>
        <w:t>The internationalization process of the firm – A model of knowledge development and increasing foreign market commitments.</w:t>
      </w:r>
      <w:r w:rsidR="00E4732D">
        <w:rPr>
          <w:rFonts w:ascii="Arial" w:hAnsi="Arial" w:cs="Arial"/>
          <w:color w:val="FF0000"/>
          <w:sz w:val="20"/>
          <w:szCs w:val="20"/>
        </w:rPr>
        <w:t xml:space="preserve"> </w:t>
      </w:r>
      <w:r w:rsidRPr="00E4732D">
        <w:rPr>
          <w:rFonts w:ascii="Arial" w:hAnsi="Arial" w:cs="Arial"/>
          <w:color w:val="FF0000"/>
          <w:sz w:val="20"/>
          <w:szCs w:val="20"/>
        </w:rPr>
        <w:t>Journal of International Business Studies, 8(1), 23–32.</w:t>
      </w:r>
      <w:r w:rsidR="00E4732D">
        <w:rPr>
          <w:rFonts w:ascii="Arial" w:hAnsi="Arial" w:cs="Arial"/>
          <w:color w:val="FF0000"/>
          <w:sz w:val="20"/>
          <w:szCs w:val="20"/>
        </w:rPr>
        <w:t xml:space="preserve"> </w:t>
      </w:r>
      <w:proofErr w:type="gramStart"/>
      <w:r w:rsidR="00E4732D" w:rsidRPr="00E4732D">
        <w:rPr>
          <w:rFonts w:ascii="Arial" w:hAnsi="Arial" w:cs="Arial"/>
          <w:color w:val="FF0000"/>
          <w:sz w:val="20"/>
          <w:szCs w:val="20"/>
        </w:rPr>
        <w:t>DOI:10.1057/palgrave.jibs</w:t>
      </w:r>
      <w:proofErr w:type="gramEnd"/>
      <w:r w:rsidR="00E4732D" w:rsidRPr="00E4732D">
        <w:rPr>
          <w:rFonts w:ascii="Arial" w:hAnsi="Arial" w:cs="Arial"/>
          <w:color w:val="FF0000"/>
          <w:sz w:val="20"/>
          <w:szCs w:val="20"/>
        </w:rPr>
        <w:t>.8490676</w:t>
      </w:r>
    </w:p>
    <w:p w:rsidR="00C73A83" w:rsidRDefault="00C73A83">
      <w:pPr>
        <w:rPr>
          <w:rFonts w:ascii="Arial" w:eastAsia="SimSun" w:hAnsi="Arial" w:cs="Arial"/>
          <w:sz w:val="20"/>
          <w:szCs w:val="20"/>
        </w:rPr>
      </w:pPr>
    </w:p>
    <w:p w:rsidR="00C73A83" w:rsidRDefault="00C73A83">
      <w:pPr>
        <w:rPr>
          <w:rFonts w:ascii="Arial" w:eastAsia="SimSun" w:hAnsi="Arial" w:cs="Arial"/>
          <w:sz w:val="20"/>
          <w:szCs w:val="20"/>
        </w:rPr>
      </w:pPr>
    </w:p>
    <w:p w:rsidR="00C73A83" w:rsidRPr="000F5571" w:rsidRDefault="00BC1E91" w:rsidP="000F5571">
      <w:pPr>
        <w:pStyle w:val="ListParagraph"/>
        <w:numPr>
          <w:ilvl w:val="0"/>
          <w:numId w:val="1"/>
        </w:numPr>
        <w:rPr>
          <w:rFonts w:ascii="Arial" w:hAnsi="Arial" w:cs="Arial"/>
          <w:sz w:val="20"/>
          <w:szCs w:val="20"/>
        </w:rPr>
      </w:pPr>
      <w:r w:rsidRPr="000F5571">
        <w:rPr>
          <w:rFonts w:ascii="Arial" w:eastAsia="SimSun" w:hAnsi="Arial" w:cs="Arial"/>
          <w:sz w:val="20"/>
          <w:szCs w:val="20"/>
        </w:rPr>
        <w:t>Li, X. (2022). Research on the development level of rural e</w:t>
      </w:r>
      <w:r w:rsidRPr="000F5571">
        <w:rPr>
          <w:rFonts w:ascii="Arial" w:eastAsia="SimSun" w:hAnsi="Arial" w:cs="Arial"/>
          <w:sz w:val="20"/>
          <w:szCs w:val="20"/>
        </w:rPr>
        <w:noBreakHyphen/>
        <w:t xml:space="preserve">commerce in China based on analytic hierarchy and systematic clustering method. </w:t>
      </w:r>
      <w:r w:rsidRPr="000F5571">
        <w:rPr>
          <w:rStyle w:val="Emphasis"/>
          <w:rFonts w:ascii="Arial" w:eastAsia="SimSun" w:hAnsi="Arial" w:cs="Arial"/>
          <w:sz w:val="20"/>
          <w:szCs w:val="20"/>
        </w:rPr>
        <w:t>Sustainability, 14</w:t>
      </w:r>
      <w:r w:rsidRPr="000F5571">
        <w:rPr>
          <w:rFonts w:ascii="Arial" w:eastAsia="SimSun" w:hAnsi="Arial" w:cs="Arial"/>
          <w:sz w:val="20"/>
          <w:szCs w:val="20"/>
        </w:rPr>
        <w:t>(14), 8816. https://doi.org/10.3390/su14148816</w:t>
      </w:r>
    </w:p>
    <w:p w:rsidR="00C73A83" w:rsidRDefault="00C73A83">
      <w:pPr>
        <w:rPr>
          <w:rFonts w:ascii="Arial" w:hAnsi="Arial" w:cs="Arial"/>
          <w:sz w:val="20"/>
          <w:szCs w:val="20"/>
        </w:rPr>
      </w:pPr>
    </w:p>
    <w:p w:rsidR="00C73A83" w:rsidRPr="000F5571" w:rsidRDefault="00BC1E91" w:rsidP="000F5571">
      <w:pPr>
        <w:pStyle w:val="ListParagraph"/>
        <w:numPr>
          <w:ilvl w:val="0"/>
          <w:numId w:val="1"/>
        </w:numPr>
        <w:rPr>
          <w:rFonts w:ascii="Arial" w:hAnsi="Arial" w:cs="Arial"/>
          <w:sz w:val="20"/>
          <w:szCs w:val="20"/>
        </w:rPr>
      </w:pPr>
      <w:r w:rsidRPr="000F5571">
        <w:rPr>
          <w:rFonts w:ascii="Arial" w:hAnsi="Arial" w:cs="Arial"/>
          <w:sz w:val="20"/>
          <w:szCs w:val="20"/>
        </w:rPr>
        <w:t>Li, Y. (2022). Study on building tea culture ecological industry under the background of rural revitalization — Taking Shandong Province as an example. Journal of Research in Social Science and Humanities, 1(1), 67–72. https://www.pioneerpublisher.com</w:t>
      </w:r>
    </w:p>
    <w:p w:rsidR="00C73A83" w:rsidRDefault="00C73A83">
      <w:pPr>
        <w:rPr>
          <w:rFonts w:ascii="Arial" w:hAnsi="Arial" w:cs="Arial"/>
          <w:sz w:val="20"/>
          <w:szCs w:val="20"/>
        </w:rPr>
      </w:pPr>
    </w:p>
    <w:p w:rsidR="00E4732D" w:rsidRDefault="00BC1E91" w:rsidP="00E4732D">
      <w:pPr>
        <w:pStyle w:val="ListParagraph"/>
        <w:numPr>
          <w:ilvl w:val="0"/>
          <w:numId w:val="1"/>
        </w:numPr>
        <w:rPr>
          <w:rFonts w:ascii="Arial" w:hAnsi="Arial" w:cs="Arial"/>
          <w:sz w:val="20"/>
          <w:szCs w:val="20"/>
        </w:rPr>
      </w:pPr>
      <w:r w:rsidRPr="000F5571">
        <w:rPr>
          <w:rFonts w:ascii="Arial" w:hAnsi="Arial" w:cs="Arial"/>
          <w:sz w:val="20"/>
          <w:szCs w:val="20"/>
        </w:rPr>
        <w:t xml:space="preserve">Lai, J., Wu, M., &amp; Sheng, Y. (2023). Research on the development path of </w:t>
      </w:r>
      <w:proofErr w:type="spellStart"/>
      <w:r w:rsidRPr="000F5571">
        <w:rPr>
          <w:rFonts w:ascii="Arial" w:hAnsi="Arial" w:cs="Arial"/>
          <w:sz w:val="20"/>
          <w:szCs w:val="20"/>
        </w:rPr>
        <w:t>Xianning</w:t>
      </w:r>
      <w:proofErr w:type="spellEnd"/>
      <w:r w:rsidRPr="000F5571">
        <w:rPr>
          <w:rFonts w:ascii="Arial" w:hAnsi="Arial" w:cs="Arial"/>
          <w:sz w:val="20"/>
          <w:szCs w:val="20"/>
        </w:rPr>
        <w:t xml:space="preserve"> characteristic tea industry under the background of rural revitalization. Academic Journal of Business &amp; Management, 5(6).</w:t>
      </w:r>
    </w:p>
    <w:p w:rsidR="00E4732D" w:rsidRPr="00E4732D" w:rsidRDefault="00E4732D" w:rsidP="00E4732D">
      <w:pPr>
        <w:pStyle w:val="ListParagraph"/>
        <w:rPr>
          <w:rFonts w:ascii="Arial" w:hAnsi="Arial" w:cs="Arial"/>
          <w:color w:val="FF0000"/>
          <w:sz w:val="20"/>
          <w:szCs w:val="20"/>
        </w:rPr>
      </w:pPr>
    </w:p>
    <w:p w:rsidR="00C73A83" w:rsidRPr="00E4732D" w:rsidRDefault="00E4732D" w:rsidP="00E4732D">
      <w:pPr>
        <w:pStyle w:val="ListParagraph"/>
        <w:numPr>
          <w:ilvl w:val="0"/>
          <w:numId w:val="1"/>
        </w:numPr>
        <w:rPr>
          <w:rFonts w:ascii="Arial" w:hAnsi="Arial" w:cs="Arial"/>
          <w:sz w:val="20"/>
          <w:szCs w:val="20"/>
        </w:rPr>
      </w:pPr>
      <w:r w:rsidRPr="00E4732D">
        <w:rPr>
          <w:rFonts w:ascii="Arial" w:hAnsi="Arial" w:cs="Arial"/>
          <w:color w:val="FF0000"/>
          <w:sz w:val="20"/>
          <w:szCs w:val="20"/>
        </w:rPr>
        <w:t>Ye, X., &amp; Chen, Q. M. (2024, July). Analysis of Factors Influencing the Development of Tea E-commerce Based on Grounded theory. In Proceedings of the 2024 4th International Conference on Internet and E-Business (pp. 13-20).</w:t>
      </w:r>
      <w:r>
        <w:rPr>
          <w:rFonts w:ascii="Arial" w:hAnsi="Arial" w:cs="Arial"/>
          <w:color w:val="FF0000"/>
          <w:sz w:val="20"/>
          <w:szCs w:val="20"/>
        </w:rPr>
        <w:t xml:space="preserve"> </w:t>
      </w:r>
      <w:hyperlink r:id="rId11" w:history="1">
        <w:r w:rsidRPr="00E44B2A">
          <w:rPr>
            <w:rStyle w:val="Hyperlink"/>
            <w:rFonts w:ascii="Arial" w:hAnsi="Arial" w:cs="Arial"/>
            <w:sz w:val="20"/>
            <w:szCs w:val="20"/>
          </w:rPr>
          <w:t>https://doi.org/10.1145/3690001.3690024</w:t>
        </w:r>
      </w:hyperlink>
      <w:r>
        <w:rPr>
          <w:rFonts w:ascii="Arial" w:hAnsi="Arial" w:cs="Arial"/>
          <w:color w:val="FF0000"/>
          <w:sz w:val="20"/>
          <w:szCs w:val="20"/>
        </w:rPr>
        <w:t xml:space="preserve"> </w:t>
      </w:r>
    </w:p>
    <w:p w:rsidR="00C73A83" w:rsidRDefault="00C73A83">
      <w:pPr>
        <w:rPr>
          <w:rFonts w:ascii="Arial" w:hAnsi="Arial" w:cs="Arial"/>
          <w:color w:val="FF0000"/>
          <w:sz w:val="20"/>
          <w:szCs w:val="20"/>
        </w:rPr>
      </w:pPr>
    </w:p>
    <w:p w:rsidR="00C73A83" w:rsidRPr="000F5571" w:rsidRDefault="00BC1E91" w:rsidP="000F5571">
      <w:pPr>
        <w:pStyle w:val="ListParagraph"/>
        <w:numPr>
          <w:ilvl w:val="0"/>
          <w:numId w:val="1"/>
        </w:numPr>
        <w:rPr>
          <w:rFonts w:ascii="Arial" w:eastAsia="SimSun" w:hAnsi="Arial" w:cs="Arial"/>
          <w:sz w:val="20"/>
          <w:szCs w:val="20"/>
        </w:rPr>
      </w:pPr>
      <w:r w:rsidRPr="000F5571">
        <w:rPr>
          <w:rFonts w:ascii="Arial" w:eastAsia="SimSun" w:hAnsi="Arial" w:cs="Arial"/>
          <w:sz w:val="20"/>
          <w:szCs w:val="20"/>
        </w:rPr>
        <w:t>Ma, Z. (2025). Research on the development models and pathways of rural e</w:t>
      </w:r>
      <w:r w:rsidRPr="000F5571">
        <w:rPr>
          <w:rFonts w:ascii="Arial" w:eastAsia="SimSun" w:hAnsi="Arial" w:cs="Arial"/>
          <w:sz w:val="20"/>
          <w:szCs w:val="20"/>
        </w:rPr>
        <w:noBreakHyphen/>
        <w:t xml:space="preserve">commerce under the rural revitalization strategy. In P. S. Borah et al. (Eds.), Advances in Economics, Business and Management Research (Vol. 346) (pp. 780–785). Atlantis Press. </w:t>
      </w:r>
      <w:hyperlink r:id="rId12" w:history="1">
        <w:r w:rsidRPr="000F5571">
          <w:rPr>
            <w:rStyle w:val="Hyperlink"/>
            <w:rFonts w:ascii="Arial" w:eastAsia="SimSun" w:hAnsi="Arial" w:cs="Arial"/>
            <w:sz w:val="20"/>
            <w:szCs w:val="20"/>
          </w:rPr>
          <w:t>https://doi.org/10.2991/978-94-6463-811-0_83</w:t>
        </w:r>
      </w:hyperlink>
    </w:p>
    <w:p w:rsidR="00C73A83" w:rsidRDefault="00C73A83">
      <w:pPr>
        <w:rPr>
          <w:rFonts w:ascii="Arial" w:eastAsia="SimSun" w:hAnsi="Arial" w:cs="Arial"/>
          <w:sz w:val="20"/>
          <w:szCs w:val="20"/>
        </w:rPr>
      </w:pPr>
    </w:p>
    <w:p w:rsidR="00C73A83" w:rsidRDefault="00C73A83">
      <w:pPr>
        <w:rPr>
          <w:rFonts w:ascii="Arial" w:hAnsi="Arial" w:cs="Arial"/>
          <w:color w:val="FF0000"/>
          <w:sz w:val="20"/>
          <w:szCs w:val="20"/>
        </w:rPr>
      </w:pPr>
    </w:p>
    <w:p w:rsidR="00C73A83" w:rsidRPr="000F5571" w:rsidRDefault="00BC1E91" w:rsidP="000F5571">
      <w:pPr>
        <w:pStyle w:val="ListParagraph"/>
        <w:numPr>
          <w:ilvl w:val="0"/>
          <w:numId w:val="1"/>
        </w:numPr>
        <w:rPr>
          <w:rFonts w:ascii="Arial" w:hAnsi="Arial" w:cs="Arial"/>
          <w:sz w:val="20"/>
          <w:szCs w:val="20"/>
        </w:rPr>
      </w:pPr>
      <w:r w:rsidRPr="000F5571">
        <w:rPr>
          <w:rFonts w:ascii="Arial" w:hAnsi="Arial" w:cs="Arial"/>
          <w:sz w:val="20"/>
          <w:szCs w:val="20"/>
        </w:rPr>
        <w:t xml:space="preserve">Wan, D., &amp; Jiao, C. (2023). Research on the development of tea industry in </w:t>
      </w:r>
      <w:proofErr w:type="spellStart"/>
      <w:r w:rsidRPr="000F5571">
        <w:rPr>
          <w:rFonts w:ascii="Arial" w:hAnsi="Arial" w:cs="Arial"/>
          <w:sz w:val="20"/>
          <w:szCs w:val="20"/>
        </w:rPr>
        <w:t>Yibin</w:t>
      </w:r>
      <w:proofErr w:type="spellEnd"/>
      <w:r w:rsidRPr="000F5571">
        <w:rPr>
          <w:rFonts w:ascii="Arial" w:hAnsi="Arial" w:cs="Arial"/>
          <w:sz w:val="20"/>
          <w:szCs w:val="20"/>
        </w:rPr>
        <w:t xml:space="preserve"> City under rural revitalization. Frontiers in Business, Economics and Management, 9.</w:t>
      </w:r>
    </w:p>
    <w:p w:rsidR="00C73A83" w:rsidRDefault="00C73A83">
      <w:pPr>
        <w:rPr>
          <w:rFonts w:ascii="Arial" w:hAnsi="Arial" w:cs="Arial"/>
          <w:sz w:val="20"/>
          <w:szCs w:val="20"/>
        </w:rPr>
      </w:pPr>
    </w:p>
    <w:p w:rsidR="00C73A83" w:rsidRPr="000F5571" w:rsidRDefault="00BC1E91" w:rsidP="000F5571">
      <w:pPr>
        <w:pStyle w:val="ListParagraph"/>
        <w:numPr>
          <w:ilvl w:val="0"/>
          <w:numId w:val="1"/>
        </w:numPr>
        <w:rPr>
          <w:rFonts w:ascii="Arial" w:eastAsia="SimSun" w:hAnsi="Arial" w:cs="Arial"/>
          <w:sz w:val="20"/>
          <w:szCs w:val="20"/>
        </w:rPr>
      </w:pPr>
      <w:r w:rsidRPr="000F5571">
        <w:rPr>
          <w:rFonts w:ascii="Arial" w:eastAsia="SimSun" w:hAnsi="Arial" w:cs="Arial"/>
          <w:sz w:val="20"/>
          <w:szCs w:val="20"/>
        </w:rPr>
        <w:t>Wang, Y. (2025). Digital economy, rural e</w:t>
      </w:r>
      <w:r w:rsidRPr="000F5571">
        <w:rPr>
          <w:rFonts w:ascii="Arial" w:eastAsia="SimSun" w:hAnsi="Arial" w:cs="Arial"/>
          <w:sz w:val="20"/>
          <w:szCs w:val="20"/>
        </w:rPr>
        <w:noBreakHyphen/>
        <w:t xml:space="preserve">commerce development, and farmers’ employment quality. Sustainability, 17(7), 2949. </w:t>
      </w:r>
      <w:hyperlink r:id="rId13" w:history="1">
        <w:r w:rsidRPr="000F5571">
          <w:rPr>
            <w:rStyle w:val="Hyperlink"/>
            <w:rFonts w:ascii="Arial" w:eastAsia="SimSun" w:hAnsi="Arial" w:cs="Arial"/>
            <w:sz w:val="20"/>
            <w:szCs w:val="20"/>
          </w:rPr>
          <w:t>https://doi.org/10.3390/su17072949</w:t>
        </w:r>
      </w:hyperlink>
    </w:p>
    <w:p w:rsidR="00C73A83" w:rsidRDefault="00C73A83">
      <w:pPr>
        <w:rPr>
          <w:rFonts w:ascii="Arial" w:eastAsia="SimSun" w:hAnsi="Arial" w:cs="Arial"/>
          <w:sz w:val="20"/>
          <w:szCs w:val="20"/>
        </w:rPr>
      </w:pPr>
    </w:p>
    <w:p w:rsidR="00C73A83" w:rsidRPr="000F5571" w:rsidRDefault="00BC1E91" w:rsidP="000F5571">
      <w:pPr>
        <w:pStyle w:val="ListParagraph"/>
        <w:numPr>
          <w:ilvl w:val="0"/>
          <w:numId w:val="1"/>
        </w:numPr>
        <w:rPr>
          <w:rFonts w:ascii="Arial" w:hAnsi="Arial" w:cs="Arial"/>
          <w:sz w:val="20"/>
          <w:szCs w:val="20"/>
        </w:rPr>
      </w:pPr>
      <w:r w:rsidRPr="000F5571">
        <w:rPr>
          <w:rFonts w:ascii="Arial" w:hAnsi="Arial" w:cs="Arial"/>
          <w:sz w:val="20"/>
          <w:szCs w:val="20"/>
        </w:rPr>
        <w:t xml:space="preserve">Xinhua Silk Road. (2025, May 9). China’s foreign trade volume of tea grows in 2024. </w:t>
      </w:r>
      <w:proofErr w:type="spellStart"/>
      <w:r w:rsidRPr="000F5571">
        <w:rPr>
          <w:rFonts w:ascii="Arial" w:hAnsi="Arial" w:cs="Arial"/>
          <w:sz w:val="20"/>
          <w:szCs w:val="20"/>
        </w:rPr>
        <w:t>IMSilkroad</w:t>
      </w:r>
      <w:proofErr w:type="spellEnd"/>
      <w:r w:rsidRPr="000F5571">
        <w:rPr>
          <w:rFonts w:ascii="Arial" w:hAnsi="Arial" w:cs="Arial"/>
          <w:sz w:val="20"/>
          <w:szCs w:val="20"/>
        </w:rPr>
        <w:t xml:space="preserve">. </w:t>
      </w:r>
      <w:hyperlink r:id="rId14" w:history="1">
        <w:r w:rsidRPr="000F5571">
          <w:rPr>
            <w:rStyle w:val="Hyperlink"/>
            <w:rFonts w:ascii="Arial" w:hAnsi="Arial" w:cs="Arial"/>
            <w:sz w:val="20"/>
            <w:szCs w:val="20"/>
          </w:rPr>
          <w:t>https://en.imsilkroad.com</w:t>
        </w:r>
      </w:hyperlink>
    </w:p>
    <w:p w:rsidR="00C73A83" w:rsidRDefault="00C73A83">
      <w:pPr>
        <w:rPr>
          <w:rFonts w:ascii="Arial" w:hAnsi="Arial" w:cs="Arial"/>
          <w:sz w:val="20"/>
          <w:szCs w:val="20"/>
        </w:rPr>
      </w:pPr>
    </w:p>
    <w:p w:rsidR="00C73A83" w:rsidRPr="000F5571" w:rsidRDefault="00BC1E91" w:rsidP="000F5571">
      <w:pPr>
        <w:pStyle w:val="ListParagraph"/>
        <w:numPr>
          <w:ilvl w:val="0"/>
          <w:numId w:val="1"/>
        </w:numPr>
        <w:rPr>
          <w:rFonts w:ascii="Arial" w:eastAsia="SimSun" w:hAnsi="Arial" w:cs="Arial"/>
          <w:sz w:val="20"/>
          <w:szCs w:val="20"/>
        </w:rPr>
      </w:pPr>
      <w:proofErr w:type="spellStart"/>
      <w:r w:rsidRPr="000F5571">
        <w:rPr>
          <w:rFonts w:ascii="Arial" w:eastAsia="SimSun" w:hAnsi="Arial" w:cs="Arial"/>
          <w:sz w:val="20"/>
          <w:szCs w:val="20"/>
        </w:rPr>
        <w:t>Xiong</w:t>
      </w:r>
      <w:proofErr w:type="spellEnd"/>
      <w:r w:rsidRPr="000F5571">
        <w:rPr>
          <w:rFonts w:ascii="Arial" w:eastAsia="SimSun" w:hAnsi="Arial" w:cs="Arial"/>
          <w:sz w:val="20"/>
          <w:szCs w:val="20"/>
        </w:rPr>
        <w:t xml:space="preserve">, C. (2024). What drives the development of digital rural life in China? Technology in Society, 70, 101712. </w:t>
      </w:r>
      <w:hyperlink r:id="rId15" w:history="1">
        <w:r w:rsidRPr="000F5571">
          <w:rPr>
            <w:rStyle w:val="Hyperlink"/>
            <w:rFonts w:ascii="Arial" w:eastAsia="SimSun" w:hAnsi="Arial" w:cs="Arial"/>
            <w:sz w:val="20"/>
            <w:szCs w:val="20"/>
          </w:rPr>
          <w:t>https://doi.org/10.1016/j.techsoc.2024.101712</w:t>
        </w:r>
      </w:hyperlink>
    </w:p>
    <w:p w:rsidR="00C73A83" w:rsidRDefault="00C73A83">
      <w:pPr>
        <w:rPr>
          <w:rFonts w:ascii="Arial" w:eastAsia="SimSun" w:hAnsi="Arial" w:cs="Arial"/>
          <w:sz w:val="20"/>
          <w:szCs w:val="20"/>
        </w:rPr>
      </w:pPr>
    </w:p>
    <w:p w:rsidR="00C73A83" w:rsidRPr="000F5571" w:rsidRDefault="00BC1E91" w:rsidP="000F5571">
      <w:pPr>
        <w:pStyle w:val="ListParagraph"/>
        <w:numPr>
          <w:ilvl w:val="0"/>
          <w:numId w:val="1"/>
        </w:numPr>
        <w:rPr>
          <w:rFonts w:ascii="Arial" w:hAnsi="Arial" w:cs="Arial"/>
          <w:sz w:val="20"/>
          <w:szCs w:val="20"/>
        </w:rPr>
      </w:pPr>
      <w:r w:rsidRPr="000F5571">
        <w:rPr>
          <w:rFonts w:ascii="Arial" w:hAnsi="Arial" w:cs="Arial"/>
          <w:sz w:val="20"/>
          <w:szCs w:val="20"/>
        </w:rPr>
        <w:t>Yu, Q. H. (2022). An analysis of the opportunities and challenges of cross-border e</w:t>
      </w:r>
      <w:r w:rsidRPr="000F5571">
        <w:rPr>
          <w:rFonts w:ascii="Cambria Math" w:hAnsi="Cambria Math" w:cs="Cambria Math"/>
          <w:sz w:val="20"/>
          <w:szCs w:val="20"/>
        </w:rPr>
        <w:t>‑</w:t>
      </w:r>
      <w:r w:rsidRPr="000F5571">
        <w:rPr>
          <w:rFonts w:ascii="Arial" w:hAnsi="Arial" w:cs="Arial"/>
          <w:sz w:val="20"/>
          <w:szCs w:val="20"/>
        </w:rPr>
        <w:t>commerce based on the SLEPT model. Information Systems and Economics, 3, 51–58.</w:t>
      </w:r>
    </w:p>
    <w:p w:rsidR="00C73A83" w:rsidRDefault="00C73A83">
      <w:pPr>
        <w:rPr>
          <w:rFonts w:ascii="Arial" w:hAnsi="Arial" w:cs="Arial"/>
          <w:sz w:val="20"/>
          <w:szCs w:val="20"/>
        </w:rPr>
      </w:pPr>
    </w:p>
    <w:p w:rsidR="00C73A83" w:rsidRPr="000F5571" w:rsidRDefault="00BC1E91" w:rsidP="000F5571">
      <w:pPr>
        <w:pStyle w:val="ListParagraph"/>
        <w:numPr>
          <w:ilvl w:val="0"/>
          <w:numId w:val="1"/>
        </w:numPr>
        <w:rPr>
          <w:rFonts w:ascii="Arial" w:hAnsi="Arial" w:cs="Arial"/>
          <w:sz w:val="20"/>
          <w:szCs w:val="20"/>
        </w:rPr>
      </w:pPr>
      <w:r w:rsidRPr="000F5571">
        <w:rPr>
          <w:rFonts w:ascii="Arial" w:hAnsi="Arial" w:cs="Arial"/>
          <w:sz w:val="20"/>
          <w:szCs w:val="20"/>
        </w:rPr>
        <w:t>Zhang, Y. L. (2022). Research on cultivation strategy of e</w:t>
      </w:r>
      <w:r w:rsidRPr="000F5571">
        <w:rPr>
          <w:rFonts w:ascii="Cambria Math" w:hAnsi="Cambria Math" w:cs="Cambria Math"/>
          <w:sz w:val="20"/>
          <w:szCs w:val="20"/>
        </w:rPr>
        <w:t>‑</w:t>
      </w:r>
      <w:r w:rsidRPr="000F5571">
        <w:rPr>
          <w:rFonts w:ascii="Arial" w:hAnsi="Arial" w:cs="Arial"/>
          <w:sz w:val="20"/>
          <w:szCs w:val="20"/>
        </w:rPr>
        <w:t>commerce talents in Guangxi tea industry under the background of rural revitalization. Frontiers in Educational Research, 5(5), 83–87.</w:t>
      </w:r>
    </w:p>
    <w:p w:rsidR="00C73A83" w:rsidRPr="000F5571" w:rsidRDefault="00BC1E91" w:rsidP="000F5571">
      <w:pPr>
        <w:pStyle w:val="ListParagraph"/>
        <w:numPr>
          <w:ilvl w:val="0"/>
          <w:numId w:val="1"/>
        </w:numPr>
        <w:rPr>
          <w:rFonts w:ascii="Arial" w:hAnsi="Arial" w:cs="Arial"/>
          <w:sz w:val="20"/>
          <w:szCs w:val="20"/>
        </w:rPr>
      </w:pPr>
      <w:r w:rsidRPr="000F5571">
        <w:rPr>
          <w:rFonts w:ascii="Arial" w:eastAsia="SimSun" w:hAnsi="Arial" w:cs="Arial"/>
          <w:sz w:val="20"/>
          <w:szCs w:val="20"/>
        </w:rPr>
        <w:t>Zhang, S. (2024). Why is rural e</w:t>
      </w:r>
      <w:r w:rsidRPr="000F5571">
        <w:rPr>
          <w:rFonts w:ascii="Arial" w:eastAsia="SimSun" w:hAnsi="Arial" w:cs="Arial"/>
          <w:sz w:val="20"/>
          <w:szCs w:val="20"/>
        </w:rPr>
        <w:noBreakHyphen/>
        <w:t>commerce successful? A sociological analysis of the mechanism for actualizing technological dividends. Journal of Chinese Sociology, 11(1), 9. https://doi.org/10.1186/s40711-023-00205-5</w:t>
      </w:r>
    </w:p>
    <w:p w:rsidR="00C73A83" w:rsidRDefault="00BC1E91" w:rsidP="000F5571">
      <w:pPr>
        <w:pStyle w:val="NormalWeb"/>
        <w:widowControl/>
        <w:numPr>
          <w:ilvl w:val="0"/>
          <w:numId w:val="1"/>
        </w:numPr>
        <w:rPr>
          <w:rFonts w:ascii="Arial" w:hAnsi="Arial" w:cs="Arial"/>
          <w:sz w:val="20"/>
          <w:szCs w:val="20"/>
        </w:rPr>
      </w:pPr>
      <w:r>
        <w:rPr>
          <w:rFonts w:ascii="Arial" w:hAnsi="Arial" w:cs="Arial"/>
          <w:sz w:val="20"/>
          <w:szCs w:val="20"/>
        </w:rPr>
        <w:t>Zheng, G., Sultana, S., &amp; Williams, K. (2025). Analysis of the integration of e</w:t>
      </w:r>
      <w:r>
        <w:rPr>
          <w:rFonts w:ascii="Arial" w:hAnsi="Arial" w:cs="Arial"/>
          <w:sz w:val="20"/>
          <w:szCs w:val="20"/>
        </w:rPr>
        <w:noBreakHyphen/>
        <w:t xml:space="preserve">commerce and rural lives in China. </w:t>
      </w:r>
      <w:r>
        <w:rPr>
          <w:rStyle w:val="Emphasis"/>
          <w:rFonts w:ascii="Arial" w:hAnsi="Arial" w:cs="Arial"/>
          <w:sz w:val="20"/>
          <w:szCs w:val="20"/>
        </w:rPr>
        <w:t>Information Research, 30</w:t>
      </w:r>
      <w:r>
        <w:rPr>
          <w:rFonts w:ascii="Arial" w:hAnsi="Arial" w:cs="Arial"/>
          <w:sz w:val="20"/>
          <w:szCs w:val="20"/>
        </w:rPr>
        <w:t>(</w:t>
      </w:r>
      <w:proofErr w:type="spellStart"/>
      <w:r>
        <w:rPr>
          <w:rFonts w:ascii="Arial" w:hAnsi="Arial" w:cs="Arial"/>
          <w:sz w:val="20"/>
          <w:szCs w:val="20"/>
        </w:rPr>
        <w:t>iConf</w:t>
      </w:r>
      <w:proofErr w:type="spellEnd"/>
      <w:r>
        <w:rPr>
          <w:rFonts w:ascii="Arial" w:hAnsi="Arial" w:cs="Arial"/>
          <w:sz w:val="20"/>
          <w:szCs w:val="20"/>
        </w:rPr>
        <w:t>), 1209</w:t>
      </w:r>
      <w:r>
        <w:rPr>
          <w:rFonts w:ascii="Arial" w:hAnsi="Arial" w:cs="Arial"/>
          <w:sz w:val="20"/>
          <w:szCs w:val="20"/>
        </w:rPr>
        <w:noBreakHyphen/>
        <w:t>1224.</w:t>
      </w:r>
    </w:p>
    <w:p w:rsidR="00935F80" w:rsidRPr="00935F80" w:rsidRDefault="00935F80" w:rsidP="000F5571">
      <w:pPr>
        <w:pStyle w:val="NormalWeb"/>
        <w:widowControl/>
        <w:numPr>
          <w:ilvl w:val="0"/>
          <w:numId w:val="1"/>
        </w:numPr>
        <w:rPr>
          <w:rFonts w:ascii="Arial" w:hAnsi="Arial" w:cs="Arial"/>
          <w:sz w:val="20"/>
          <w:szCs w:val="20"/>
        </w:rPr>
      </w:pPr>
      <w:r>
        <w:rPr>
          <w:rFonts w:ascii="Arial" w:hAnsi="Arial" w:cs="Arial"/>
          <w:color w:val="222222"/>
          <w:sz w:val="20"/>
          <w:szCs w:val="20"/>
          <w:shd w:val="clear" w:color="auto" w:fill="FFFFFF"/>
        </w:rPr>
        <w:t>Liu, Y., Wu, Y., &amp; Liu, X. (2022). Research on the Innovation Mode of" E-commerce Helping Agriculture" from the Perspective of" Internet+"--A Case Study of Huangshan Tea Supply and Marketing. </w:t>
      </w:r>
      <w:r>
        <w:rPr>
          <w:rFonts w:ascii="Arial" w:hAnsi="Arial" w:cs="Arial"/>
          <w:i/>
          <w:iCs/>
          <w:color w:val="222222"/>
          <w:sz w:val="20"/>
          <w:szCs w:val="20"/>
          <w:shd w:val="clear" w:color="auto" w:fill="FFFFFF"/>
        </w:rPr>
        <w:t>Frontiers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(5).</w:t>
      </w:r>
    </w:p>
    <w:p w:rsidR="00935F80" w:rsidRPr="00935F80" w:rsidRDefault="00935F80" w:rsidP="000F5571">
      <w:pPr>
        <w:pStyle w:val="NormalWeb"/>
        <w:widowControl/>
        <w:numPr>
          <w:ilvl w:val="0"/>
          <w:numId w:val="1"/>
        </w:numPr>
        <w:rPr>
          <w:rFonts w:ascii="Arial" w:hAnsi="Arial" w:cs="Arial"/>
          <w:sz w:val="20"/>
          <w:szCs w:val="20"/>
        </w:rPr>
      </w:pPr>
      <w:r>
        <w:rPr>
          <w:rFonts w:ascii="Arial" w:hAnsi="Arial" w:cs="Arial"/>
          <w:color w:val="222222"/>
          <w:sz w:val="20"/>
          <w:szCs w:val="20"/>
          <w:shd w:val="clear" w:color="auto" w:fill="FFFFFF"/>
        </w:rPr>
        <w:t>Liu, Q. (2021). Development Strategy of E-commerce of China's Rural Forestry Products Under the Strategy of Rural Revitalization. </w:t>
      </w:r>
      <w:r>
        <w:rPr>
          <w:rFonts w:ascii="Arial" w:hAnsi="Arial" w:cs="Arial"/>
          <w:i/>
          <w:iCs/>
          <w:color w:val="222222"/>
          <w:sz w:val="20"/>
          <w:szCs w:val="20"/>
          <w:shd w:val="clear" w:color="auto" w:fill="FFFFFF"/>
        </w:rPr>
        <w:t>Forest Chemicals Review</w:t>
      </w:r>
      <w:r>
        <w:rPr>
          <w:rFonts w:ascii="Arial" w:hAnsi="Arial" w:cs="Arial"/>
          <w:color w:val="222222"/>
          <w:sz w:val="20"/>
          <w:szCs w:val="20"/>
          <w:shd w:val="clear" w:color="auto" w:fill="FFFFFF"/>
        </w:rPr>
        <w:t>, 88-95.</w:t>
      </w:r>
    </w:p>
    <w:p w:rsidR="00935F80" w:rsidRPr="00935F80" w:rsidRDefault="00935F80" w:rsidP="000F5571">
      <w:pPr>
        <w:pStyle w:val="NormalWeb"/>
        <w:widowControl/>
        <w:numPr>
          <w:ilvl w:val="0"/>
          <w:numId w:val="1"/>
        </w:numPr>
        <w:rPr>
          <w:rFonts w:ascii="Arial" w:hAnsi="Arial" w:cs="Arial"/>
          <w:sz w:val="20"/>
          <w:szCs w:val="20"/>
        </w:rPr>
      </w:pPr>
      <w:r>
        <w:rPr>
          <w:rFonts w:ascii="Arial" w:hAnsi="Arial" w:cs="Arial"/>
          <w:color w:val="222222"/>
          <w:sz w:val="20"/>
          <w:szCs w:val="20"/>
          <w:shd w:val="clear" w:color="auto" w:fill="FFFFFF"/>
        </w:rPr>
        <w:t>Chen, M., &amp; Long, Y. A. (2024). Empowering rural revitalization: unleashing the potential of E-commerce for sustainable industrial integration. </w:t>
      </w:r>
      <w:r>
        <w:rPr>
          <w:rFonts w:ascii="Arial" w:hAnsi="Arial" w:cs="Arial"/>
          <w:i/>
          <w:iCs/>
          <w:color w:val="222222"/>
          <w:sz w:val="20"/>
          <w:szCs w:val="20"/>
          <w:shd w:val="clear" w:color="auto" w:fill="FFFFFF"/>
        </w:rPr>
        <w:t>Journal of the Knowledge Economy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(4), 18813-18831.</w:t>
      </w:r>
    </w:p>
    <w:p w:rsidR="00935F80" w:rsidRPr="00935F80" w:rsidRDefault="00935F80" w:rsidP="000F5571">
      <w:pPr>
        <w:pStyle w:val="NormalWeb"/>
        <w:widowControl/>
        <w:numPr>
          <w:ilvl w:val="0"/>
          <w:numId w:val="1"/>
        </w:numPr>
        <w:rPr>
          <w:rFonts w:ascii="Arial" w:hAnsi="Arial" w:cs="Arial"/>
          <w:sz w:val="20"/>
          <w:szCs w:val="20"/>
        </w:rPr>
      </w:pPr>
      <w:r>
        <w:rPr>
          <w:rFonts w:ascii="Arial" w:hAnsi="Arial" w:cs="Arial"/>
          <w:color w:val="222222"/>
          <w:sz w:val="20"/>
          <w:szCs w:val="20"/>
          <w:shd w:val="clear" w:color="auto" w:fill="FFFFFF"/>
        </w:rPr>
        <w:lastRenderedPageBreak/>
        <w:t xml:space="preserve">Chen, L., </w:t>
      </w:r>
      <w:proofErr w:type="spellStart"/>
      <w:r>
        <w:rPr>
          <w:rFonts w:ascii="Arial" w:hAnsi="Arial" w:cs="Arial"/>
          <w:color w:val="222222"/>
          <w:sz w:val="20"/>
          <w:szCs w:val="20"/>
          <w:shd w:val="clear" w:color="auto" w:fill="FFFFFF"/>
        </w:rPr>
        <w:t>Geng</w:t>
      </w:r>
      <w:proofErr w:type="spellEnd"/>
      <w:r>
        <w:rPr>
          <w:rFonts w:ascii="Arial" w:hAnsi="Arial" w:cs="Arial"/>
          <w:color w:val="222222"/>
          <w:sz w:val="20"/>
          <w:szCs w:val="20"/>
          <w:shd w:val="clear" w:color="auto" w:fill="FFFFFF"/>
        </w:rPr>
        <w:t>, L., &amp; Hu, Y. (2025). Research on the Path of College Students' Contributing to Rural Culture Construction in the Context of Rural Revitalization Strategy. </w:t>
      </w:r>
      <w:r>
        <w:rPr>
          <w:rFonts w:ascii="Arial" w:hAnsi="Arial" w:cs="Arial"/>
          <w:i/>
          <w:iCs/>
          <w:color w:val="222222"/>
          <w:sz w:val="20"/>
          <w:szCs w:val="20"/>
          <w:shd w:val="clear" w:color="auto" w:fill="FFFFFF"/>
        </w:rPr>
        <w:t>Journal of Economics and Management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 p256-p256.</w:t>
      </w:r>
    </w:p>
    <w:p w:rsidR="00935F80" w:rsidRPr="00935F80" w:rsidRDefault="00935F80" w:rsidP="000F5571">
      <w:pPr>
        <w:pStyle w:val="NormalWeb"/>
        <w:widowControl/>
        <w:numPr>
          <w:ilvl w:val="0"/>
          <w:numId w:val="1"/>
        </w:numPr>
        <w:rPr>
          <w:rFonts w:ascii="Arial" w:hAnsi="Arial" w:cs="Arial"/>
          <w:sz w:val="20"/>
          <w:szCs w:val="20"/>
        </w:rPr>
      </w:pPr>
      <w:r>
        <w:rPr>
          <w:rFonts w:ascii="Arial" w:hAnsi="Arial" w:cs="Arial"/>
          <w:color w:val="222222"/>
          <w:sz w:val="20"/>
          <w:szCs w:val="20"/>
          <w:shd w:val="clear" w:color="auto" w:fill="FFFFFF"/>
        </w:rPr>
        <w:t>Guo, Z., Chen, L., &amp; Ni, W. (2023). Development of Fresh Agricultural Products Sales Assisted by E-commerce Under Targeted Poverty Alleviation Strategy. </w:t>
      </w:r>
      <w:r>
        <w:rPr>
          <w:rFonts w:ascii="Arial" w:hAnsi="Arial" w:cs="Arial"/>
          <w:i/>
          <w:iCs/>
          <w:color w:val="222222"/>
          <w:sz w:val="20"/>
          <w:szCs w:val="20"/>
          <w:shd w:val="clear" w:color="auto" w:fill="FFFFFF"/>
        </w:rPr>
        <w:t>Journal of Education and Praxis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(1), 9-1.</w:t>
      </w:r>
    </w:p>
    <w:p w:rsidR="00935F80" w:rsidRPr="00E320D9" w:rsidRDefault="00E320D9" w:rsidP="000F5571">
      <w:pPr>
        <w:pStyle w:val="NormalWeb"/>
        <w:widowControl/>
        <w:numPr>
          <w:ilvl w:val="0"/>
          <w:numId w:val="1"/>
        </w:numPr>
        <w:rPr>
          <w:rFonts w:ascii="Arial" w:hAnsi="Arial" w:cs="Arial"/>
          <w:sz w:val="20"/>
          <w:szCs w:val="20"/>
        </w:rPr>
      </w:pPr>
      <w:r>
        <w:rPr>
          <w:rFonts w:ascii="Arial" w:hAnsi="Arial" w:cs="Arial"/>
          <w:color w:val="222222"/>
          <w:sz w:val="20"/>
          <w:szCs w:val="20"/>
          <w:shd w:val="clear" w:color="auto" w:fill="FFFFFF"/>
        </w:rPr>
        <w:t>Hinrichs, C. C. (2000). Embeddedness and local food systems: notes on two types of direct agricultural market. </w:t>
      </w:r>
      <w:r>
        <w:rPr>
          <w:rFonts w:ascii="Arial" w:hAnsi="Arial" w:cs="Arial"/>
          <w:i/>
          <w:iCs/>
          <w:color w:val="222222"/>
          <w:sz w:val="20"/>
          <w:szCs w:val="20"/>
          <w:shd w:val="clear" w:color="auto" w:fill="FFFFFF"/>
        </w:rPr>
        <w:t>Journal of rural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(3), 295-303.</w:t>
      </w:r>
    </w:p>
    <w:p w:rsidR="00E320D9" w:rsidRPr="00E320D9" w:rsidRDefault="00E320D9" w:rsidP="000F5571">
      <w:pPr>
        <w:pStyle w:val="NormalWeb"/>
        <w:widowControl/>
        <w:numPr>
          <w:ilvl w:val="0"/>
          <w:numId w:val="1"/>
        </w:numPr>
        <w:rPr>
          <w:rFonts w:ascii="Arial" w:hAnsi="Arial" w:cs="Arial"/>
          <w:sz w:val="20"/>
          <w:szCs w:val="20"/>
        </w:rPr>
      </w:pPr>
      <w:proofErr w:type="spellStart"/>
      <w:r>
        <w:rPr>
          <w:rFonts w:ascii="Arial" w:hAnsi="Arial" w:cs="Arial"/>
          <w:color w:val="222222"/>
          <w:sz w:val="20"/>
          <w:szCs w:val="20"/>
          <w:shd w:val="clear" w:color="auto" w:fill="FFFFFF"/>
        </w:rPr>
        <w:t>Birthal</w:t>
      </w:r>
      <w:proofErr w:type="spellEnd"/>
      <w:r>
        <w:rPr>
          <w:rFonts w:ascii="Arial" w:hAnsi="Arial" w:cs="Arial"/>
          <w:color w:val="222222"/>
          <w:sz w:val="20"/>
          <w:szCs w:val="20"/>
          <w:shd w:val="clear" w:color="auto" w:fill="FFFFFF"/>
        </w:rPr>
        <w:t>, P. S., Jha, A. K., &amp; Singh, H. (2007). Linking farmers to markets for high-value agricultural commodities. </w:t>
      </w:r>
      <w:r>
        <w:rPr>
          <w:rFonts w:ascii="Arial" w:hAnsi="Arial" w:cs="Arial"/>
          <w:i/>
          <w:iCs/>
          <w:color w:val="222222"/>
          <w:sz w:val="20"/>
          <w:szCs w:val="20"/>
          <w:shd w:val="clear" w:color="auto" w:fill="FFFFFF"/>
        </w:rPr>
        <w:t>Agricultural Economics Research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 425-439.</w:t>
      </w:r>
    </w:p>
    <w:p w:rsidR="00E320D9" w:rsidRPr="00E4732D" w:rsidRDefault="00E320D9" w:rsidP="000F5571">
      <w:pPr>
        <w:pStyle w:val="NormalWeb"/>
        <w:widowControl/>
        <w:numPr>
          <w:ilvl w:val="0"/>
          <w:numId w:val="1"/>
        </w:numPr>
        <w:rPr>
          <w:rFonts w:ascii="Arial" w:hAnsi="Arial" w:cs="Arial"/>
          <w:sz w:val="20"/>
          <w:szCs w:val="20"/>
        </w:rPr>
      </w:pPr>
      <w:r>
        <w:rPr>
          <w:rFonts w:ascii="Arial" w:hAnsi="Arial" w:cs="Arial"/>
          <w:color w:val="222222"/>
          <w:sz w:val="20"/>
          <w:szCs w:val="20"/>
          <w:shd w:val="clear" w:color="auto" w:fill="FFFFFF"/>
        </w:rPr>
        <w:t>Cheshire, L., &amp; Woods, M. (2013). Globally engaged farmers as transnational actors: Navigating the landscape of agri-food globalization. </w:t>
      </w:r>
      <w:proofErr w:type="spellStart"/>
      <w:r>
        <w:rPr>
          <w:rFonts w:ascii="Arial" w:hAnsi="Arial" w:cs="Arial"/>
          <w:i/>
          <w:iCs/>
          <w:color w:val="222222"/>
          <w:sz w:val="20"/>
          <w:szCs w:val="20"/>
          <w:shd w:val="clear" w:color="auto" w:fill="FFFFFF"/>
        </w:rPr>
        <w:t>Geoforum</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44</w:t>
      </w:r>
      <w:r>
        <w:rPr>
          <w:rFonts w:ascii="Arial" w:hAnsi="Arial" w:cs="Arial"/>
          <w:color w:val="222222"/>
          <w:sz w:val="20"/>
          <w:szCs w:val="20"/>
          <w:shd w:val="clear" w:color="auto" w:fill="FFFFFF"/>
        </w:rPr>
        <w:t>, 232-242.</w:t>
      </w:r>
    </w:p>
    <w:p w:rsidR="0053795A" w:rsidRPr="0053795A" w:rsidRDefault="00E4732D" w:rsidP="0053795A">
      <w:pPr>
        <w:pStyle w:val="ListParagraph"/>
        <w:numPr>
          <w:ilvl w:val="0"/>
          <w:numId w:val="1"/>
        </w:numPr>
        <w:rPr>
          <w:rFonts w:ascii="Arial" w:hAnsi="Arial" w:cs="Arial"/>
          <w:kern w:val="0"/>
          <w:sz w:val="20"/>
          <w:szCs w:val="20"/>
        </w:rPr>
      </w:pPr>
      <w:r w:rsidRPr="0053795A">
        <w:rPr>
          <w:rFonts w:ascii="Arial" w:hAnsi="Arial" w:cs="Arial"/>
          <w:sz w:val="20"/>
          <w:szCs w:val="20"/>
        </w:rPr>
        <w:t xml:space="preserve">Zhu, T., </w:t>
      </w:r>
      <w:proofErr w:type="spellStart"/>
      <w:r w:rsidRPr="0053795A">
        <w:rPr>
          <w:rFonts w:ascii="Arial" w:hAnsi="Arial" w:cs="Arial"/>
          <w:sz w:val="20"/>
          <w:szCs w:val="20"/>
        </w:rPr>
        <w:t>Rozan</w:t>
      </w:r>
      <w:proofErr w:type="spellEnd"/>
      <w:r w:rsidRPr="0053795A">
        <w:rPr>
          <w:rFonts w:ascii="Arial" w:hAnsi="Arial" w:cs="Arial"/>
          <w:sz w:val="20"/>
          <w:szCs w:val="20"/>
        </w:rPr>
        <w:t xml:space="preserve">, A., &amp; Zaidi, M. Empowering Rural Revitalization: Integrated Development of Rural Industries Driven by E-Commerce and Empirical Analysis. </w:t>
      </w:r>
      <w:r w:rsidR="0053795A" w:rsidRPr="0053795A">
        <w:rPr>
          <w:rFonts w:ascii="Arial" w:hAnsi="Arial" w:cs="Arial"/>
          <w:kern w:val="0"/>
          <w:sz w:val="20"/>
          <w:szCs w:val="20"/>
        </w:rPr>
        <w:t>International Journal of Economics and Financial Issues 15(6):765-772</w:t>
      </w:r>
      <w:r w:rsidR="0053795A">
        <w:rPr>
          <w:rFonts w:ascii="Arial" w:hAnsi="Arial" w:cs="Arial"/>
          <w:kern w:val="0"/>
          <w:sz w:val="20"/>
          <w:szCs w:val="20"/>
        </w:rPr>
        <w:t xml:space="preserve">. </w:t>
      </w:r>
      <w:r w:rsidR="0053795A" w:rsidRPr="0053795A">
        <w:rPr>
          <w:rFonts w:ascii="Arial" w:hAnsi="Arial" w:cs="Arial"/>
          <w:kern w:val="0"/>
          <w:sz w:val="20"/>
          <w:szCs w:val="20"/>
        </w:rPr>
        <w:t>DOI:10.32479/ijefi.21699</w:t>
      </w:r>
    </w:p>
    <w:p w:rsidR="00E4732D" w:rsidRDefault="0053795A" w:rsidP="000F5571">
      <w:pPr>
        <w:pStyle w:val="NormalWeb"/>
        <w:widowControl/>
        <w:numPr>
          <w:ilvl w:val="0"/>
          <w:numId w:val="1"/>
        </w:numPr>
        <w:rPr>
          <w:rFonts w:ascii="Arial" w:hAnsi="Arial" w:cs="Arial"/>
          <w:sz w:val="20"/>
          <w:szCs w:val="20"/>
        </w:rPr>
      </w:pPr>
      <w:r w:rsidRPr="0053795A">
        <w:rPr>
          <w:rFonts w:ascii="Arial" w:hAnsi="Arial" w:cs="Arial"/>
          <w:sz w:val="20"/>
          <w:szCs w:val="20"/>
        </w:rPr>
        <w:t>Li, G., &amp; Zhang, H. (2024). The efficiency and challenges of E-commerce logistics in enhancing market access for agricultural products in rural China. Law and Economy, 3(2), 31-43.</w:t>
      </w:r>
      <w:r w:rsidRPr="0053795A">
        <w:t xml:space="preserve"> </w:t>
      </w:r>
      <w:hyperlink r:id="rId16" w:history="1">
        <w:r w:rsidRPr="00E44B2A">
          <w:rPr>
            <w:rStyle w:val="Hyperlink"/>
            <w:rFonts w:ascii="Arial" w:hAnsi="Arial" w:cs="Arial"/>
            <w:sz w:val="20"/>
            <w:szCs w:val="20"/>
          </w:rPr>
          <w:t>https://www.paradigmpress.org/le/article/view/1028</w:t>
        </w:r>
      </w:hyperlink>
      <w:r>
        <w:rPr>
          <w:rFonts w:ascii="Arial" w:hAnsi="Arial" w:cs="Arial"/>
          <w:sz w:val="20"/>
          <w:szCs w:val="20"/>
        </w:rPr>
        <w:t xml:space="preserve"> </w:t>
      </w:r>
    </w:p>
    <w:p w:rsidR="0053795A" w:rsidRDefault="0053795A" w:rsidP="000F5571">
      <w:pPr>
        <w:pStyle w:val="NormalWeb"/>
        <w:widowControl/>
        <w:numPr>
          <w:ilvl w:val="0"/>
          <w:numId w:val="1"/>
        </w:numPr>
        <w:rPr>
          <w:rFonts w:ascii="Arial" w:hAnsi="Arial" w:cs="Arial"/>
          <w:sz w:val="20"/>
          <w:szCs w:val="20"/>
        </w:rPr>
      </w:pPr>
      <w:r w:rsidRPr="0053795A">
        <w:rPr>
          <w:rFonts w:ascii="Arial" w:hAnsi="Arial" w:cs="Arial"/>
          <w:sz w:val="20"/>
          <w:szCs w:val="20"/>
        </w:rPr>
        <w:t>Li, X., Li, Y., &amp; Chen, Z. (2024). Impact of rural E-Commerce participation on farmers’ household development resilience: evidence from 1229 farmers in China. Agriculture, 14(5), 692.</w:t>
      </w:r>
      <w:r w:rsidRPr="0053795A">
        <w:t xml:space="preserve"> </w:t>
      </w:r>
      <w:hyperlink r:id="rId17" w:history="1">
        <w:r w:rsidRPr="00E44B2A">
          <w:rPr>
            <w:rStyle w:val="Hyperlink"/>
            <w:rFonts w:ascii="Arial" w:hAnsi="Arial" w:cs="Arial"/>
            <w:sz w:val="20"/>
            <w:szCs w:val="20"/>
          </w:rPr>
          <w:t>https://doi.org/10.3390/agriculture14050692</w:t>
        </w:r>
      </w:hyperlink>
    </w:p>
    <w:p w:rsidR="0053795A" w:rsidRDefault="0053795A" w:rsidP="000F5571">
      <w:pPr>
        <w:pStyle w:val="NormalWeb"/>
        <w:widowControl/>
        <w:numPr>
          <w:ilvl w:val="0"/>
          <w:numId w:val="1"/>
        </w:numPr>
        <w:rPr>
          <w:rFonts w:ascii="Arial" w:hAnsi="Arial" w:cs="Arial"/>
          <w:sz w:val="20"/>
          <w:szCs w:val="20"/>
        </w:rPr>
      </w:pPr>
      <w:r w:rsidRPr="0053795A">
        <w:rPr>
          <w:rFonts w:ascii="Arial" w:hAnsi="Arial" w:cs="Arial"/>
          <w:sz w:val="20"/>
          <w:szCs w:val="20"/>
        </w:rPr>
        <w:t>Chen, J., Hou, H., Liao, Z., &amp; Wang, L. (2024). Digital environment, digital literacy, and farmers’ entrepreneurial behavior: A discussion on bridging the digital divide. Sustainability, 16(23), 10220.</w:t>
      </w:r>
      <w:r w:rsidRPr="0053795A">
        <w:t xml:space="preserve"> </w:t>
      </w:r>
      <w:r w:rsidRPr="0053795A">
        <w:rPr>
          <w:rFonts w:ascii="Arial" w:hAnsi="Arial" w:cs="Arial"/>
          <w:sz w:val="20"/>
          <w:szCs w:val="20"/>
        </w:rPr>
        <w:t>https://doi.org/10.3390/su162310220</w:t>
      </w:r>
    </w:p>
    <w:p w:rsidR="0053795A" w:rsidRDefault="008371A2" w:rsidP="000F5571">
      <w:pPr>
        <w:pStyle w:val="NormalWeb"/>
        <w:widowControl/>
        <w:numPr>
          <w:ilvl w:val="0"/>
          <w:numId w:val="1"/>
        </w:numPr>
        <w:rPr>
          <w:rFonts w:ascii="Arial" w:hAnsi="Arial" w:cs="Arial"/>
          <w:sz w:val="20"/>
          <w:szCs w:val="20"/>
        </w:rPr>
      </w:pPr>
      <w:r w:rsidRPr="008371A2">
        <w:rPr>
          <w:rFonts w:ascii="Arial" w:hAnsi="Arial" w:cs="Arial"/>
          <w:sz w:val="20"/>
          <w:szCs w:val="20"/>
        </w:rPr>
        <w:t xml:space="preserve">Fei, L. G., Liu, X., </w:t>
      </w:r>
      <w:proofErr w:type="spellStart"/>
      <w:r w:rsidRPr="008371A2">
        <w:rPr>
          <w:rFonts w:ascii="Arial" w:hAnsi="Arial" w:cs="Arial"/>
          <w:sz w:val="20"/>
          <w:szCs w:val="20"/>
        </w:rPr>
        <w:t>Jin</w:t>
      </w:r>
      <w:proofErr w:type="spellEnd"/>
      <w:r w:rsidRPr="008371A2">
        <w:rPr>
          <w:rFonts w:ascii="Arial" w:hAnsi="Arial" w:cs="Arial"/>
          <w:sz w:val="20"/>
          <w:szCs w:val="20"/>
        </w:rPr>
        <w:t xml:space="preserve">, Y. C., &amp; </w:t>
      </w:r>
      <w:proofErr w:type="spellStart"/>
      <w:r w:rsidRPr="008371A2">
        <w:rPr>
          <w:rFonts w:ascii="Arial" w:hAnsi="Arial" w:cs="Arial"/>
          <w:sz w:val="20"/>
          <w:szCs w:val="20"/>
        </w:rPr>
        <w:t>Su</w:t>
      </w:r>
      <w:proofErr w:type="spellEnd"/>
      <w:r w:rsidRPr="008371A2">
        <w:rPr>
          <w:rFonts w:ascii="Arial" w:hAnsi="Arial" w:cs="Arial"/>
          <w:sz w:val="20"/>
          <w:szCs w:val="20"/>
        </w:rPr>
        <w:t>, M. (2025). Reconstruction of Logistics Services in Cross-Border E-Commerce and Consumer Continuance Intention on Platforms: The Mediating Role of Digital Logistics Services. Journal of Theoretical and Applied Electronic Commerce Research, 20(3), 251.</w:t>
      </w:r>
      <w:r w:rsidRPr="008371A2">
        <w:t xml:space="preserve"> </w:t>
      </w:r>
      <w:r w:rsidRPr="008371A2">
        <w:rPr>
          <w:rFonts w:ascii="Arial" w:hAnsi="Arial" w:cs="Arial"/>
          <w:sz w:val="20"/>
          <w:szCs w:val="20"/>
        </w:rPr>
        <w:t>https://doi.org/10.3390/jtaer20030251</w:t>
      </w:r>
    </w:p>
    <w:p w:rsidR="008371A2" w:rsidRDefault="008371A2" w:rsidP="000F5571">
      <w:pPr>
        <w:pStyle w:val="NormalWeb"/>
        <w:widowControl/>
        <w:numPr>
          <w:ilvl w:val="0"/>
          <w:numId w:val="1"/>
        </w:numPr>
        <w:rPr>
          <w:rFonts w:ascii="Arial" w:hAnsi="Arial" w:cs="Arial"/>
          <w:sz w:val="20"/>
          <w:szCs w:val="20"/>
        </w:rPr>
      </w:pPr>
      <w:r w:rsidRPr="008371A2">
        <w:rPr>
          <w:rFonts w:ascii="Arial" w:hAnsi="Arial" w:cs="Arial"/>
          <w:sz w:val="20"/>
          <w:szCs w:val="20"/>
        </w:rPr>
        <w:t>Li, M. (2024). Development and future analysis of e-commerce: A case study of Alibaba and Wish. In SHS Web of Conferences (Vol. 207, p. 03001). EDP Sciences.</w:t>
      </w:r>
      <w:r w:rsidRPr="008371A2">
        <w:t xml:space="preserve"> </w:t>
      </w:r>
      <w:r w:rsidRPr="008371A2">
        <w:rPr>
          <w:rFonts w:ascii="Arial" w:hAnsi="Arial" w:cs="Arial"/>
          <w:sz w:val="20"/>
          <w:szCs w:val="20"/>
        </w:rPr>
        <w:tab/>
      </w:r>
      <w:r w:rsidRPr="008371A2">
        <w:rPr>
          <w:rFonts w:ascii="Arial" w:hAnsi="Arial" w:cs="Arial"/>
          <w:sz w:val="20"/>
          <w:szCs w:val="20"/>
        </w:rPr>
        <w:tab/>
      </w:r>
      <w:hyperlink r:id="rId18" w:history="1">
        <w:r w:rsidRPr="00E44B2A">
          <w:rPr>
            <w:rStyle w:val="Hyperlink"/>
            <w:rFonts w:ascii="Arial" w:hAnsi="Arial" w:cs="Arial"/>
            <w:sz w:val="20"/>
            <w:szCs w:val="20"/>
          </w:rPr>
          <w:t>https://doi.org/10.1051/shsconf/202420703001</w:t>
        </w:r>
      </w:hyperlink>
      <w:r>
        <w:rPr>
          <w:rFonts w:ascii="Arial" w:hAnsi="Arial" w:cs="Arial"/>
          <w:sz w:val="20"/>
          <w:szCs w:val="20"/>
        </w:rPr>
        <w:t xml:space="preserve"> </w:t>
      </w:r>
    </w:p>
    <w:p w:rsidR="008371A2" w:rsidRDefault="008371A2" w:rsidP="000F5571">
      <w:pPr>
        <w:pStyle w:val="NormalWeb"/>
        <w:widowControl/>
        <w:numPr>
          <w:ilvl w:val="0"/>
          <w:numId w:val="1"/>
        </w:numPr>
        <w:rPr>
          <w:rFonts w:ascii="Arial" w:hAnsi="Arial" w:cs="Arial"/>
          <w:sz w:val="20"/>
          <w:szCs w:val="20"/>
        </w:rPr>
      </w:pPr>
      <w:r w:rsidRPr="008371A2">
        <w:rPr>
          <w:rFonts w:ascii="Arial" w:hAnsi="Arial" w:cs="Arial"/>
          <w:sz w:val="20"/>
          <w:szCs w:val="20"/>
        </w:rPr>
        <w:t xml:space="preserve">Ma, D., Sun, D., &amp; Wang, Z. (2024). Exploring the rural revitalization effect under the interaction of </w:t>
      </w:r>
      <w:proofErr w:type="spellStart"/>
      <w:r w:rsidRPr="008371A2">
        <w:rPr>
          <w:rFonts w:ascii="Arial" w:hAnsi="Arial" w:cs="Arial"/>
          <w:sz w:val="20"/>
          <w:szCs w:val="20"/>
        </w:rPr>
        <w:t>agro</w:t>
      </w:r>
      <w:proofErr w:type="spellEnd"/>
      <w:r w:rsidRPr="008371A2">
        <w:rPr>
          <w:rFonts w:ascii="Arial" w:hAnsi="Arial" w:cs="Arial"/>
          <w:sz w:val="20"/>
          <w:szCs w:val="20"/>
        </w:rPr>
        <w:t>-tourism integration and tourism-driven poverty reduction: empirical evidence for China. Land, 13(1), 60.</w:t>
      </w:r>
      <w:r w:rsidRPr="008371A2">
        <w:t xml:space="preserve"> </w:t>
      </w:r>
      <w:hyperlink r:id="rId19" w:history="1">
        <w:r w:rsidRPr="00E44B2A">
          <w:rPr>
            <w:rStyle w:val="Hyperlink"/>
            <w:rFonts w:ascii="Arial" w:hAnsi="Arial" w:cs="Arial"/>
            <w:sz w:val="20"/>
            <w:szCs w:val="20"/>
          </w:rPr>
          <w:t>https://doi.org/10.3390/land13010060</w:t>
        </w:r>
      </w:hyperlink>
      <w:r>
        <w:rPr>
          <w:rFonts w:ascii="Arial" w:hAnsi="Arial" w:cs="Arial"/>
          <w:sz w:val="20"/>
          <w:szCs w:val="20"/>
        </w:rPr>
        <w:t xml:space="preserve"> </w:t>
      </w:r>
    </w:p>
    <w:p w:rsidR="008371A2" w:rsidRDefault="008371A2" w:rsidP="000F5571">
      <w:pPr>
        <w:pStyle w:val="NormalWeb"/>
        <w:widowControl/>
        <w:numPr>
          <w:ilvl w:val="0"/>
          <w:numId w:val="1"/>
        </w:numPr>
        <w:rPr>
          <w:rFonts w:ascii="Arial" w:hAnsi="Arial" w:cs="Arial"/>
          <w:sz w:val="20"/>
          <w:szCs w:val="20"/>
        </w:rPr>
      </w:pPr>
      <w:proofErr w:type="spellStart"/>
      <w:r w:rsidRPr="008371A2">
        <w:rPr>
          <w:rFonts w:ascii="Arial" w:hAnsi="Arial" w:cs="Arial"/>
          <w:sz w:val="20"/>
          <w:szCs w:val="20"/>
        </w:rPr>
        <w:t>Yaowu</w:t>
      </w:r>
      <w:proofErr w:type="spellEnd"/>
      <w:r w:rsidRPr="008371A2">
        <w:rPr>
          <w:rFonts w:ascii="Arial" w:hAnsi="Arial" w:cs="Arial"/>
          <w:sz w:val="20"/>
          <w:szCs w:val="20"/>
        </w:rPr>
        <w:t>, L., &amp; Jian, L. (2022). Effective path for rural revitalization: A review on a path for rural revitalization in China: Theory, system, and policy. China City Planning Review, 31(3), 84-85.</w:t>
      </w:r>
    </w:p>
    <w:p w:rsidR="008371A2" w:rsidRDefault="007453E8" w:rsidP="000F5571">
      <w:pPr>
        <w:pStyle w:val="NormalWeb"/>
        <w:widowControl/>
        <w:numPr>
          <w:ilvl w:val="0"/>
          <w:numId w:val="1"/>
        </w:numPr>
        <w:rPr>
          <w:rFonts w:ascii="Arial" w:hAnsi="Arial" w:cs="Arial"/>
          <w:sz w:val="20"/>
          <w:szCs w:val="20"/>
        </w:rPr>
      </w:pPr>
      <w:proofErr w:type="spellStart"/>
      <w:r w:rsidRPr="007453E8">
        <w:rPr>
          <w:rFonts w:ascii="Arial" w:hAnsi="Arial" w:cs="Arial"/>
          <w:sz w:val="20"/>
          <w:szCs w:val="20"/>
        </w:rPr>
        <w:t>Blomstermo</w:t>
      </w:r>
      <w:proofErr w:type="spellEnd"/>
      <w:r w:rsidRPr="007453E8">
        <w:rPr>
          <w:rFonts w:ascii="Arial" w:hAnsi="Arial" w:cs="Arial"/>
          <w:sz w:val="20"/>
          <w:szCs w:val="20"/>
        </w:rPr>
        <w:t>, A., Eriksson, K., &amp; Sharma, D. D. (2004). Domestic activity and knowledge development in the internationalization process of firms. Journal of International Entrepreneurship, 2(3), 239-258.</w:t>
      </w:r>
      <w:r>
        <w:t xml:space="preserve"> </w:t>
      </w:r>
      <w:r w:rsidRPr="007453E8">
        <w:rPr>
          <w:rFonts w:ascii="Arial" w:hAnsi="Arial" w:cs="Arial"/>
          <w:sz w:val="20"/>
          <w:szCs w:val="20"/>
        </w:rPr>
        <w:t>https://doi.org/10.1023/B:JIEN.0000032775.53005.59</w:t>
      </w:r>
    </w:p>
    <w:p w:rsidR="007453E8" w:rsidRDefault="007453E8" w:rsidP="000F5571">
      <w:pPr>
        <w:pStyle w:val="NormalWeb"/>
        <w:widowControl/>
        <w:numPr>
          <w:ilvl w:val="0"/>
          <w:numId w:val="1"/>
        </w:numPr>
        <w:rPr>
          <w:rFonts w:ascii="Arial" w:hAnsi="Arial" w:cs="Arial"/>
          <w:sz w:val="20"/>
          <w:szCs w:val="20"/>
        </w:rPr>
      </w:pPr>
      <w:proofErr w:type="spellStart"/>
      <w:r w:rsidRPr="007453E8">
        <w:rPr>
          <w:rFonts w:ascii="Arial" w:hAnsi="Arial" w:cs="Arial"/>
          <w:sz w:val="20"/>
          <w:szCs w:val="20"/>
        </w:rPr>
        <w:lastRenderedPageBreak/>
        <w:t>Bankvall</w:t>
      </w:r>
      <w:proofErr w:type="spellEnd"/>
      <w:r w:rsidRPr="007453E8">
        <w:rPr>
          <w:rFonts w:ascii="Arial" w:hAnsi="Arial" w:cs="Arial"/>
          <w:sz w:val="20"/>
          <w:szCs w:val="20"/>
        </w:rPr>
        <w:t>, L., Dubois, A., &amp; Lind, F. (2017). Conceptualizing business models in industrial networks. Industrial Marketing Management, 60, 196-203.</w:t>
      </w:r>
      <w:r w:rsidRPr="007453E8">
        <w:t xml:space="preserve"> </w:t>
      </w:r>
      <w:hyperlink r:id="rId20" w:history="1">
        <w:r w:rsidRPr="00E44B2A">
          <w:rPr>
            <w:rStyle w:val="Hyperlink"/>
            <w:rFonts w:ascii="Arial" w:hAnsi="Arial" w:cs="Arial"/>
            <w:sz w:val="20"/>
            <w:szCs w:val="20"/>
          </w:rPr>
          <w:t>https://doi.org/10.1016/j.indmarman.2016.04.006</w:t>
        </w:r>
      </w:hyperlink>
    </w:p>
    <w:p w:rsidR="007453E8" w:rsidRDefault="007453E8" w:rsidP="000F5571">
      <w:pPr>
        <w:pStyle w:val="NormalWeb"/>
        <w:widowControl/>
        <w:numPr>
          <w:ilvl w:val="0"/>
          <w:numId w:val="1"/>
        </w:numPr>
        <w:rPr>
          <w:rFonts w:ascii="Arial" w:hAnsi="Arial" w:cs="Arial"/>
          <w:sz w:val="20"/>
          <w:szCs w:val="20"/>
        </w:rPr>
      </w:pPr>
      <w:r w:rsidRPr="007453E8">
        <w:rPr>
          <w:rFonts w:ascii="Arial" w:hAnsi="Arial" w:cs="Arial"/>
          <w:sz w:val="20"/>
          <w:szCs w:val="20"/>
        </w:rPr>
        <w:t>Yang, X., Li, W., Zhang, P., Chen, H., Lai, M., &amp; Zhao, S. (2023). The dynamics and driving mechanisms of rural revitalization in western China. Agriculture, 13(7), 1448.</w:t>
      </w:r>
      <w:r w:rsidRPr="007453E8">
        <w:t xml:space="preserve"> </w:t>
      </w:r>
      <w:r w:rsidRPr="007453E8">
        <w:rPr>
          <w:rFonts w:ascii="Arial" w:hAnsi="Arial" w:cs="Arial"/>
          <w:sz w:val="20"/>
          <w:szCs w:val="20"/>
        </w:rPr>
        <w:t>https://doi.org/10.3390/agriculture13071448</w:t>
      </w:r>
      <w:bookmarkStart w:id="1" w:name="_GoBack"/>
      <w:bookmarkEnd w:id="1"/>
    </w:p>
    <w:sectPr w:rsidR="007453E8">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434" w:rsidRDefault="00301434">
      <w:r>
        <w:separator/>
      </w:r>
    </w:p>
  </w:endnote>
  <w:endnote w:type="continuationSeparator" w:id="0">
    <w:p w:rsidR="00301434" w:rsidRDefault="0030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A83" w:rsidRDefault="00C73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A83" w:rsidRDefault="00BC1E91">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73A83" w:rsidRDefault="00BC1E91">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73A83" w:rsidRDefault="00BC1E91">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A83" w:rsidRDefault="00C73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434" w:rsidRDefault="00301434">
      <w:r>
        <w:separator/>
      </w:r>
    </w:p>
  </w:footnote>
  <w:footnote w:type="continuationSeparator" w:id="0">
    <w:p w:rsidR="00301434" w:rsidRDefault="00301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A83" w:rsidRDefault="0030143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978547" o:spid="_x0000_s2050" type="#_x0000_t136" style="position:absolute;left:0;text-align:left;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A83" w:rsidRDefault="0030143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978548" o:spid="_x0000_s2051" type="#_x0000_t136" style="position:absolute;left:0;text-align:left;margin-left:0;margin-top:0;width:492.55pt;height:92.9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A83" w:rsidRDefault="0030143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978546" o:spid="_x0000_s2049" type="#_x0000_t136" style="position:absolute;left:0;text-align:left;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16FCB"/>
    <w:multiLevelType w:val="hybridMultilevel"/>
    <w:tmpl w:val="37F03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xMzIxNTcxMTAxMjRW0lEKTi0uzszPAykwrAUAXyNmqiwAAAA="/>
  </w:docVars>
  <w:rsids>
    <w:rsidRoot w:val="00101A0C"/>
    <w:rsid w:val="00006617"/>
    <w:rsid w:val="000F5571"/>
    <w:rsid w:val="00101A0C"/>
    <w:rsid w:val="00301434"/>
    <w:rsid w:val="00422248"/>
    <w:rsid w:val="0053795A"/>
    <w:rsid w:val="00581D35"/>
    <w:rsid w:val="00623005"/>
    <w:rsid w:val="006B1B87"/>
    <w:rsid w:val="00716B5E"/>
    <w:rsid w:val="007453E8"/>
    <w:rsid w:val="00763B27"/>
    <w:rsid w:val="008371A2"/>
    <w:rsid w:val="0084446F"/>
    <w:rsid w:val="00935F80"/>
    <w:rsid w:val="009933CB"/>
    <w:rsid w:val="009C3FEE"/>
    <w:rsid w:val="00BC1E91"/>
    <w:rsid w:val="00C73A83"/>
    <w:rsid w:val="00C76C58"/>
    <w:rsid w:val="00E320D9"/>
    <w:rsid w:val="00E4732D"/>
    <w:rsid w:val="00F55840"/>
    <w:rsid w:val="0204742C"/>
    <w:rsid w:val="035E2B6B"/>
    <w:rsid w:val="0D110C4F"/>
    <w:rsid w:val="10120661"/>
    <w:rsid w:val="195A572B"/>
    <w:rsid w:val="1E981141"/>
    <w:rsid w:val="23ED5B1A"/>
    <w:rsid w:val="3BE9676F"/>
    <w:rsid w:val="3C2679C3"/>
    <w:rsid w:val="40FE4A6B"/>
    <w:rsid w:val="42114C71"/>
    <w:rsid w:val="44501A81"/>
    <w:rsid w:val="44D2693A"/>
    <w:rsid w:val="46C73B51"/>
    <w:rsid w:val="4F23181E"/>
    <w:rsid w:val="51B178D7"/>
    <w:rsid w:val="564B20A8"/>
    <w:rsid w:val="63C272C3"/>
    <w:rsid w:val="67C46C6A"/>
    <w:rsid w:val="7783749C"/>
    <w:rsid w:val="7A3031E0"/>
    <w:rsid w:val="7E5A0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5DCE94"/>
  <w15:docId w15:val="{71DA1BAE-FD6B-4790-89B3-7A262EDE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spacing w:beforeAutospacing="1" w:afterAutospacing="1"/>
      <w:jc w:val="left"/>
      <w:outlineLvl w:val="0"/>
    </w:pPr>
    <w:rPr>
      <w:rFonts w:ascii="SimSun" w:eastAsia="SimSun" w:hAnsi="SimSun" w:cs="Times New Roman" w:hint="eastAsia"/>
      <w:b/>
      <w:bCs/>
      <w:kern w:val="44"/>
      <w:sz w:val="48"/>
      <w:szCs w:val="48"/>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Times New Roman" w:hint="eastAsia"/>
      <w:b/>
      <w:bCs/>
      <w:kern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noteText">
    <w:name w:val="footnote text"/>
    <w:basedOn w:val="Normal"/>
    <w:qFormat/>
    <w:pPr>
      <w:snapToGrid w:val="0"/>
      <w:jc w:val="left"/>
    </w:pPr>
    <w:rPr>
      <w:sz w:val="18"/>
    </w:r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character" w:styleId="FootnoteReference">
    <w:name w:val="footnote reference"/>
    <w:basedOn w:val="DefaultParagraphFont"/>
    <w:qFormat/>
    <w:rPr>
      <w:vertAlign w:val="superscript"/>
    </w:rPr>
  </w:style>
  <w:style w:type="paragraph" w:customStyle="1" w:styleId="181">
    <w:name w:val="1.8.1 三级标题，小四，新罗马"/>
    <w:basedOn w:val="Normal"/>
    <w:next w:val="Normal"/>
    <w:qFormat/>
    <w:pPr>
      <w:keepNext/>
      <w:keepLines/>
      <w:spacing w:before="260" w:after="260" w:line="413" w:lineRule="auto"/>
      <w:outlineLvl w:val="2"/>
    </w:pPr>
    <w:rPr>
      <w:rFonts w:ascii="Times New Roman" w:hAnsi="Times New Roman" w:cs="Times New Roman"/>
      <w:b/>
      <w:sz w:val="24"/>
      <w:lang w:val="en-MY" w:eastAsia="en-US"/>
    </w:rPr>
  </w:style>
  <w:style w:type="paragraph" w:customStyle="1" w:styleId="Author">
    <w:name w:val="Author"/>
    <w:basedOn w:val="Normal"/>
    <w:qFormat/>
    <w:pPr>
      <w:spacing w:line="280" w:lineRule="exact"/>
      <w:jc w:val="right"/>
    </w:pPr>
    <w:rPr>
      <w:b/>
      <w:sz w:val="24"/>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rsid w:val="000F5571"/>
    <w:pPr>
      <w:ind w:left="720"/>
      <w:contextualSpacing/>
    </w:pPr>
  </w:style>
  <w:style w:type="character" w:styleId="UnresolvedMention">
    <w:name w:val="Unresolved Mention"/>
    <w:basedOn w:val="DefaultParagraphFont"/>
    <w:uiPriority w:val="99"/>
    <w:semiHidden/>
    <w:unhideWhenUsed/>
    <w:rsid w:val="00006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39364">
      <w:bodyDiv w:val="1"/>
      <w:marLeft w:val="0"/>
      <w:marRight w:val="0"/>
      <w:marTop w:val="0"/>
      <w:marBottom w:val="0"/>
      <w:divBdr>
        <w:top w:val="none" w:sz="0" w:space="0" w:color="auto"/>
        <w:left w:val="none" w:sz="0" w:space="0" w:color="auto"/>
        <w:bottom w:val="none" w:sz="0" w:space="0" w:color="auto"/>
        <w:right w:val="none" w:sz="0" w:space="0" w:color="auto"/>
      </w:divBdr>
      <w:divsChild>
        <w:div w:id="927272617">
          <w:marLeft w:val="0"/>
          <w:marRight w:val="0"/>
          <w:marTop w:val="0"/>
          <w:marBottom w:val="0"/>
          <w:divBdr>
            <w:top w:val="none" w:sz="0" w:space="0" w:color="auto"/>
            <w:left w:val="none" w:sz="0" w:space="0" w:color="auto"/>
            <w:bottom w:val="none" w:sz="0" w:space="0" w:color="auto"/>
            <w:right w:val="none" w:sz="0" w:space="0" w:color="auto"/>
          </w:divBdr>
        </w:div>
      </w:divsChild>
    </w:div>
    <w:div w:id="262107742">
      <w:bodyDiv w:val="1"/>
      <w:marLeft w:val="0"/>
      <w:marRight w:val="0"/>
      <w:marTop w:val="0"/>
      <w:marBottom w:val="0"/>
      <w:divBdr>
        <w:top w:val="none" w:sz="0" w:space="0" w:color="auto"/>
        <w:left w:val="none" w:sz="0" w:space="0" w:color="auto"/>
        <w:bottom w:val="none" w:sz="0" w:space="0" w:color="auto"/>
        <w:right w:val="none" w:sz="0" w:space="0" w:color="auto"/>
      </w:divBdr>
      <w:divsChild>
        <w:div w:id="804851710">
          <w:marLeft w:val="0"/>
          <w:marRight w:val="0"/>
          <w:marTop w:val="0"/>
          <w:marBottom w:val="0"/>
          <w:divBdr>
            <w:top w:val="none" w:sz="0" w:space="0" w:color="auto"/>
            <w:left w:val="none" w:sz="0" w:space="0" w:color="auto"/>
            <w:bottom w:val="none" w:sz="0" w:space="0" w:color="auto"/>
            <w:right w:val="none" w:sz="0" w:space="0" w:color="auto"/>
          </w:divBdr>
        </w:div>
      </w:divsChild>
    </w:div>
    <w:div w:id="334918506">
      <w:bodyDiv w:val="1"/>
      <w:marLeft w:val="0"/>
      <w:marRight w:val="0"/>
      <w:marTop w:val="0"/>
      <w:marBottom w:val="0"/>
      <w:divBdr>
        <w:top w:val="none" w:sz="0" w:space="0" w:color="auto"/>
        <w:left w:val="none" w:sz="0" w:space="0" w:color="auto"/>
        <w:bottom w:val="none" w:sz="0" w:space="0" w:color="auto"/>
        <w:right w:val="none" w:sz="0" w:space="0" w:color="auto"/>
      </w:divBdr>
    </w:div>
    <w:div w:id="357199309">
      <w:bodyDiv w:val="1"/>
      <w:marLeft w:val="0"/>
      <w:marRight w:val="0"/>
      <w:marTop w:val="0"/>
      <w:marBottom w:val="0"/>
      <w:divBdr>
        <w:top w:val="none" w:sz="0" w:space="0" w:color="auto"/>
        <w:left w:val="none" w:sz="0" w:space="0" w:color="auto"/>
        <w:bottom w:val="none" w:sz="0" w:space="0" w:color="auto"/>
        <w:right w:val="none" w:sz="0" w:space="0" w:color="auto"/>
      </w:divBdr>
      <w:divsChild>
        <w:div w:id="799422208">
          <w:marLeft w:val="0"/>
          <w:marRight w:val="0"/>
          <w:marTop w:val="0"/>
          <w:marBottom w:val="0"/>
          <w:divBdr>
            <w:top w:val="none" w:sz="0" w:space="0" w:color="auto"/>
            <w:left w:val="none" w:sz="0" w:space="0" w:color="auto"/>
            <w:bottom w:val="none" w:sz="0" w:space="0" w:color="auto"/>
            <w:right w:val="none" w:sz="0" w:space="0" w:color="auto"/>
          </w:divBdr>
        </w:div>
      </w:divsChild>
    </w:div>
    <w:div w:id="476413079">
      <w:bodyDiv w:val="1"/>
      <w:marLeft w:val="0"/>
      <w:marRight w:val="0"/>
      <w:marTop w:val="0"/>
      <w:marBottom w:val="0"/>
      <w:divBdr>
        <w:top w:val="none" w:sz="0" w:space="0" w:color="auto"/>
        <w:left w:val="none" w:sz="0" w:space="0" w:color="auto"/>
        <w:bottom w:val="none" w:sz="0" w:space="0" w:color="auto"/>
        <w:right w:val="none" w:sz="0" w:space="0" w:color="auto"/>
      </w:divBdr>
      <w:divsChild>
        <w:div w:id="379674980">
          <w:marLeft w:val="0"/>
          <w:marRight w:val="0"/>
          <w:marTop w:val="0"/>
          <w:marBottom w:val="0"/>
          <w:divBdr>
            <w:top w:val="none" w:sz="0" w:space="0" w:color="auto"/>
            <w:left w:val="none" w:sz="0" w:space="0" w:color="auto"/>
            <w:bottom w:val="none" w:sz="0" w:space="0" w:color="auto"/>
            <w:right w:val="none" w:sz="0" w:space="0" w:color="auto"/>
          </w:divBdr>
        </w:div>
      </w:divsChild>
    </w:div>
    <w:div w:id="959141190">
      <w:bodyDiv w:val="1"/>
      <w:marLeft w:val="0"/>
      <w:marRight w:val="0"/>
      <w:marTop w:val="0"/>
      <w:marBottom w:val="0"/>
      <w:divBdr>
        <w:top w:val="none" w:sz="0" w:space="0" w:color="auto"/>
        <w:left w:val="none" w:sz="0" w:space="0" w:color="auto"/>
        <w:bottom w:val="none" w:sz="0" w:space="0" w:color="auto"/>
        <w:right w:val="none" w:sz="0" w:space="0" w:color="auto"/>
      </w:divBdr>
    </w:div>
    <w:div w:id="1032262395">
      <w:bodyDiv w:val="1"/>
      <w:marLeft w:val="0"/>
      <w:marRight w:val="0"/>
      <w:marTop w:val="0"/>
      <w:marBottom w:val="0"/>
      <w:divBdr>
        <w:top w:val="none" w:sz="0" w:space="0" w:color="auto"/>
        <w:left w:val="none" w:sz="0" w:space="0" w:color="auto"/>
        <w:bottom w:val="none" w:sz="0" w:space="0" w:color="auto"/>
        <w:right w:val="none" w:sz="0" w:space="0" w:color="auto"/>
      </w:divBdr>
      <w:divsChild>
        <w:div w:id="883785547">
          <w:marLeft w:val="0"/>
          <w:marRight w:val="0"/>
          <w:marTop w:val="0"/>
          <w:marBottom w:val="0"/>
          <w:divBdr>
            <w:top w:val="none" w:sz="0" w:space="0" w:color="auto"/>
            <w:left w:val="none" w:sz="0" w:space="0" w:color="auto"/>
            <w:bottom w:val="none" w:sz="0" w:space="0" w:color="auto"/>
            <w:right w:val="none" w:sz="0" w:space="0" w:color="auto"/>
          </w:divBdr>
        </w:div>
      </w:divsChild>
    </w:div>
    <w:div w:id="1409769874">
      <w:bodyDiv w:val="1"/>
      <w:marLeft w:val="0"/>
      <w:marRight w:val="0"/>
      <w:marTop w:val="0"/>
      <w:marBottom w:val="0"/>
      <w:divBdr>
        <w:top w:val="none" w:sz="0" w:space="0" w:color="auto"/>
        <w:left w:val="none" w:sz="0" w:space="0" w:color="auto"/>
        <w:bottom w:val="none" w:sz="0" w:space="0" w:color="auto"/>
        <w:right w:val="none" w:sz="0" w:space="0" w:color="auto"/>
      </w:divBdr>
      <w:divsChild>
        <w:div w:id="188641836">
          <w:marLeft w:val="0"/>
          <w:marRight w:val="0"/>
          <w:marTop w:val="0"/>
          <w:marBottom w:val="0"/>
          <w:divBdr>
            <w:top w:val="none" w:sz="0" w:space="0" w:color="auto"/>
            <w:left w:val="none" w:sz="0" w:space="0" w:color="auto"/>
            <w:bottom w:val="none" w:sz="0" w:space="0" w:color="auto"/>
            <w:right w:val="none" w:sz="0" w:space="0" w:color="auto"/>
          </w:divBdr>
        </w:div>
      </w:divsChild>
    </w:div>
    <w:div w:id="1458792853">
      <w:bodyDiv w:val="1"/>
      <w:marLeft w:val="0"/>
      <w:marRight w:val="0"/>
      <w:marTop w:val="0"/>
      <w:marBottom w:val="0"/>
      <w:divBdr>
        <w:top w:val="none" w:sz="0" w:space="0" w:color="auto"/>
        <w:left w:val="none" w:sz="0" w:space="0" w:color="auto"/>
        <w:bottom w:val="none" w:sz="0" w:space="0" w:color="auto"/>
        <w:right w:val="none" w:sz="0" w:space="0" w:color="auto"/>
      </w:divBdr>
      <w:divsChild>
        <w:div w:id="826172048">
          <w:marLeft w:val="0"/>
          <w:marRight w:val="0"/>
          <w:marTop w:val="0"/>
          <w:marBottom w:val="0"/>
          <w:divBdr>
            <w:top w:val="none" w:sz="0" w:space="0" w:color="auto"/>
            <w:left w:val="none" w:sz="0" w:space="0" w:color="auto"/>
            <w:bottom w:val="none" w:sz="0" w:space="0" w:color="auto"/>
            <w:right w:val="none" w:sz="0" w:space="0" w:color="auto"/>
          </w:divBdr>
        </w:div>
      </w:divsChild>
    </w:div>
    <w:div w:id="1505633686">
      <w:bodyDiv w:val="1"/>
      <w:marLeft w:val="0"/>
      <w:marRight w:val="0"/>
      <w:marTop w:val="0"/>
      <w:marBottom w:val="0"/>
      <w:divBdr>
        <w:top w:val="none" w:sz="0" w:space="0" w:color="auto"/>
        <w:left w:val="none" w:sz="0" w:space="0" w:color="auto"/>
        <w:bottom w:val="none" w:sz="0" w:space="0" w:color="auto"/>
        <w:right w:val="none" w:sz="0" w:space="0" w:color="auto"/>
      </w:divBdr>
    </w:div>
    <w:div w:id="1882865989">
      <w:bodyDiv w:val="1"/>
      <w:marLeft w:val="0"/>
      <w:marRight w:val="0"/>
      <w:marTop w:val="0"/>
      <w:marBottom w:val="0"/>
      <w:divBdr>
        <w:top w:val="none" w:sz="0" w:space="0" w:color="auto"/>
        <w:left w:val="none" w:sz="0" w:space="0" w:color="auto"/>
        <w:bottom w:val="none" w:sz="0" w:space="0" w:color="auto"/>
        <w:right w:val="none" w:sz="0" w:space="0" w:color="auto"/>
      </w:divBdr>
      <w:divsChild>
        <w:div w:id="897981248">
          <w:marLeft w:val="0"/>
          <w:marRight w:val="0"/>
          <w:marTop w:val="0"/>
          <w:marBottom w:val="0"/>
          <w:divBdr>
            <w:top w:val="none" w:sz="0" w:space="0" w:color="auto"/>
            <w:left w:val="none" w:sz="0" w:space="0" w:color="auto"/>
            <w:bottom w:val="none" w:sz="0" w:space="0" w:color="auto"/>
            <w:right w:val="none" w:sz="0" w:space="0" w:color="auto"/>
          </w:divBdr>
        </w:div>
      </w:divsChild>
    </w:div>
    <w:div w:id="1893299801">
      <w:bodyDiv w:val="1"/>
      <w:marLeft w:val="0"/>
      <w:marRight w:val="0"/>
      <w:marTop w:val="0"/>
      <w:marBottom w:val="0"/>
      <w:divBdr>
        <w:top w:val="none" w:sz="0" w:space="0" w:color="auto"/>
        <w:left w:val="none" w:sz="0" w:space="0" w:color="auto"/>
        <w:bottom w:val="none" w:sz="0" w:space="0" w:color="auto"/>
        <w:right w:val="none" w:sz="0" w:space="0" w:color="auto"/>
      </w:divBdr>
      <w:divsChild>
        <w:div w:id="1164783772">
          <w:marLeft w:val="0"/>
          <w:marRight w:val="0"/>
          <w:marTop w:val="0"/>
          <w:marBottom w:val="0"/>
          <w:divBdr>
            <w:top w:val="none" w:sz="0" w:space="0" w:color="auto"/>
            <w:left w:val="none" w:sz="0" w:space="0" w:color="auto"/>
            <w:bottom w:val="none" w:sz="0" w:space="0" w:color="auto"/>
            <w:right w:val="none" w:sz="0" w:space="0" w:color="auto"/>
          </w:divBdr>
        </w:div>
      </w:divsChild>
    </w:div>
    <w:div w:id="1933081554">
      <w:bodyDiv w:val="1"/>
      <w:marLeft w:val="0"/>
      <w:marRight w:val="0"/>
      <w:marTop w:val="0"/>
      <w:marBottom w:val="0"/>
      <w:divBdr>
        <w:top w:val="none" w:sz="0" w:space="0" w:color="auto"/>
        <w:left w:val="none" w:sz="0" w:space="0" w:color="auto"/>
        <w:bottom w:val="none" w:sz="0" w:space="0" w:color="auto"/>
        <w:right w:val="none" w:sz="0" w:space="0" w:color="auto"/>
      </w:divBdr>
      <w:divsChild>
        <w:div w:id="1343435242">
          <w:marLeft w:val="0"/>
          <w:marRight w:val="0"/>
          <w:marTop w:val="0"/>
          <w:marBottom w:val="0"/>
          <w:divBdr>
            <w:top w:val="none" w:sz="0" w:space="0" w:color="auto"/>
            <w:left w:val="none" w:sz="0" w:space="0" w:color="auto"/>
            <w:bottom w:val="none" w:sz="0" w:space="0" w:color="auto"/>
            <w:right w:val="none" w:sz="0" w:space="0" w:color="auto"/>
          </w:divBdr>
        </w:div>
      </w:divsChild>
    </w:div>
    <w:div w:id="2059818980">
      <w:bodyDiv w:val="1"/>
      <w:marLeft w:val="0"/>
      <w:marRight w:val="0"/>
      <w:marTop w:val="0"/>
      <w:marBottom w:val="0"/>
      <w:divBdr>
        <w:top w:val="none" w:sz="0" w:space="0" w:color="auto"/>
        <w:left w:val="none" w:sz="0" w:space="0" w:color="auto"/>
        <w:bottom w:val="none" w:sz="0" w:space="0" w:color="auto"/>
        <w:right w:val="none" w:sz="0" w:space="0" w:color="auto"/>
      </w:divBdr>
      <w:divsChild>
        <w:div w:id="66417137">
          <w:marLeft w:val="0"/>
          <w:marRight w:val="0"/>
          <w:marTop w:val="0"/>
          <w:marBottom w:val="0"/>
          <w:divBdr>
            <w:top w:val="none" w:sz="0" w:space="0" w:color="auto"/>
            <w:left w:val="none" w:sz="0" w:space="0" w:color="auto"/>
            <w:bottom w:val="none" w:sz="0" w:space="0" w:color="auto"/>
            <w:right w:val="none" w:sz="0" w:space="0" w:color="auto"/>
          </w:divBdr>
        </w:div>
      </w:divsChild>
    </w:div>
    <w:div w:id="2097090533">
      <w:bodyDiv w:val="1"/>
      <w:marLeft w:val="0"/>
      <w:marRight w:val="0"/>
      <w:marTop w:val="0"/>
      <w:marBottom w:val="0"/>
      <w:divBdr>
        <w:top w:val="none" w:sz="0" w:space="0" w:color="auto"/>
        <w:left w:val="none" w:sz="0" w:space="0" w:color="auto"/>
        <w:bottom w:val="none" w:sz="0" w:space="0" w:color="auto"/>
        <w:right w:val="none" w:sz="0" w:space="0" w:color="auto"/>
      </w:divBdr>
      <w:divsChild>
        <w:div w:id="1756441516">
          <w:marLeft w:val="0"/>
          <w:marRight w:val="0"/>
          <w:marTop w:val="0"/>
          <w:marBottom w:val="0"/>
          <w:divBdr>
            <w:top w:val="none" w:sz="0" w:space="0" w:color="auto"/>
            <w:left w:val="none" w:sz="0" w:space="0" w:color="auto"/>
            <w:bottom w:val="none" w:sz="0" w:space="0" w:color="auto"/>
            <w:right w:val="none" w:sz="0" w:space="0" w:color="auto"/>
          </w:divBdr>
        </w:div>
      </w:divsChild>
    </w:div>
    <w:div w:id="2110271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su17072949" TargetMode="External"/><Relationship Id="rId18" Type="http://schemas.openxmlformats.org/officeDocument/2006/relationships/hyperlink" Target="https://doi.org/10.1051/shsconf/202420703001"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2991/978-94-6463-811-0_83" TargetMode="External"/><Relationship Id="rId17" Type="http://schemas.openxmlformats.org/officeDocument/2006/relationships/hyperlink" Target="https://doi.org/10.3390/agriculture14050692"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paradigmpress.org/le/article/view/1028" TargetMode="External"/><Relationship Id="rId20" Type="http://schemas.openxmlformats.org/officeDocument/2006/relationships/hyperlink" Target="https://doi.org/10.1016/j.indmarman.2016.04.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45/3690001.369002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techsoc.2024.10171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3390/su17104549" TargetMode="External"/><Relationship Id="rId19" Type="http://schemas.openxmlformats.org/officeDocument/2006/relationships/hyperlink" Target="https://doi.org/10.3390/land13010060" TargetMode="External"/><Relationship Id="rId4" Type="http://schemas.openxmlformats.org/officeDocument/2006/relationships/settings" Target="settings.xml"/><Relationship Id="rId9" Type="http://schemas.openxmlformats.org/officeDocument/2006/relationships/hyperlink" Target="https://journalajaar.com" TargetMode="External"/><Relationship Id="rId14" Type="http://schemas.openxmlformats.org/officeDocument/2006/relationships/hyperlink" Target="https://en.imsilkroad.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6384</Words>
  <Characters>36394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25118</dc:creator>
  <cp:lastModifiedBy>Editor-1183</cp:lastModifiedBy>
  <cp:revision>11</cp:revision>
  <dcterms:created xsi:type="dcterms:W3CDTF">2023-12-15T02:08:00Z</dcterms:created>
  <dcterms:modified xsi:type="dcterms:W3CDTF">2025-11-25T05:16:00Z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321C19A77431440DBEDD13D3E8322C41_13</vt:lpwstr>
  </property>
  <property fmtid="{D5CDD505-2E9C-101B-9397-08002B2CF9AE}" pid="4" name="KSOTemplateDocerSaveRecord">
    <vt:lpwstr>eyJoZGlkIjoiMzNkODAwZTJlOTE0MTYzMzM2MDI1NGE1NWVjNGE3YTgiLCJ1c2VySWQiOiI1NTEzOTY0OTEifQ==</vt:lpwstr>
  </property>
</Properties>
</file>