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71186" w14:textId="10AA0BDF" w:rsidR="00AA0016" w:rsidRDefault="00AA0016" w:rsidP="00405CB7">
      <w:pPr>
        <w:pStyle w:val="BodyText"/>
        <w:kinsoku w:val="0"/>
        <w:overflowPunct w:val="0"/>
        <w:spacing w:line="288" w:lineRule="auto"/>
        <w:jc w:val="center"/>
        <w:rPr>
          <w:b/>
          <w:bCs/>
          <w:sz w:val="24"/>
          <w:lang w:val="en-US"/>
        </w:rPr>
      </w:pPr>
      <w:bookmarkStart w:id="0" w:name="_Hlk212141043"/>
      <w:r w:rsidRPr="00AA0016">
        <w:rPr>
          <w:b/>
          <w:bCs/>
          <w:sz w:val="24"/>
          <w:lang w:val="en-US"/>
        </w:rPr>
        <w:t>Effect of Sweet flag</w:t>
      </w:r>
      <w:r>
        <w:rPr>
          <w:b/>
          <w:bCs/>
          <w:sz w:val="24"/>
          <w:lang w:val="en-US"/>
        </w:rPr>
        <w:t xml:space="preserve"> </w:t>
      </w:r>
      <w:r w:rsidRPr="00AA0016">
        <w:rPr>
          <w:b/>
          <w:bCs/>
          <w:sz w:val="24"/>
          <w:lang w:val="en-US"/>
        </w:rPr>
        <w:t>(</w:t>
      </w:r>
      <w:proofErr w:type="spellStart"/>
      <w:r w:rsidRPr="00AA0016">
        <w:rPr>
          <w:b/>
          <w:bCs/>
          <w:i/>
          <w:sz w:val="24"/>
          <w:lang w:val="en-US"/>
        </w:rPr>
        <w:t>A</w:t>
      </w:r>
      <w:r w:rsidRPr="00AA0016">
        <w:rPr>
          <w:b/>
          <w:bCs/>
          <w:i/>
          <w:iCs/>
          <w:sz w:val="24"/>
          <w:lang w:val="en-US"/>
        </w:rPr>
        <w:t>corus</w:t>
      </w:r>
      <w:proofErr w:type="spellEnd"/>
      <w:r w:rsidRPr="00AA0016">
        <w:rPr>
          <w:b/>
          <w:bCs/>
          <w:i/>
          <w:iCs/>
          <w:sz w:val="24"/>
          <w:lang w:val="en-US"/>
        </w:rPr>
        <w:t xml:space="preserve"> calamus</w:t>
      </w:r>
      <w:r w:rsidRPr="00AA0016">
        <w:rPr>
          <w:b/>
          <w:bCs/>
          <w:sz w:val="24"/>
          <w:lang w:val="en-US"/>
        </w:rPr>
        <w:t xml:space="preserve"> L.) Rhizome </w:t>
      </w:r>
      <w:r w:rsidR="00A4597A">
        <w:rPr>
          <w:b/>
          <w:bCs/>
          <w:sz w:val="24"/>
          <w:lang w:val="en-US"/>
        </w:rPr>
        <w:t xml:space="preserve">Seed Treatment </w:t>
      </w:r>
      <w:r w:rsidRPr="00AA0016">
        <w:rPr>
          <w:b/>
          <w:bCs/>
          <w:sz w:val="24"/>
          <w:lang w:val="en-US"/>
        </w:rPr>
        <w:t xml:space="preserve">on </w:t>
      </w:r>
      <w:r w:rsidR="00977EEB">
        <w:rPr>
          <w:b/>
          <w:bCs/>
          <w:sz w:val="24"/>
          <w:lang w:val="en-US"/>
        </w:rPr>
        <w:t xml:space="preserve">Seed Quality </w:t>
      </w:r>
      <w:r w:rsidRPr="00AA0016">
        <w:rPr>
          <w:b/>
          <w:bCs/>
          <w:sz w:val="24"/>
          <w:lang w:val="en-US"/>
        </w:rPr>
        <w:t>in Field bean (</w:t>
      </w:r>
      <w:r w:rsidRPr="00AA0016">
        <w:rPr>
          <w:b/>
          <w:bCs/>
          <w:i/>
          <w:iCs/>
          <w:sz w:val="24"/>
          <w:lang w:val="en-US"/>
        </w:rPr>
        <w:t xml:space="preserve">Lablab </w:t>
      </w:r>
      <w:proofErr w:type="spellStart"/>
      <w:r w:rsidRPr="00AA0016">
        <w:rPr>
          <w:b/>
          <w:bCs/>
          <w:i/>
          <w:iCs/>
          <w:sz w:val="24"/>
          <w:lang w:val="en-US"/>
        </w:rPr>
        <w:t>purpureus</w:t>
      </w:r>
      <w:proofErr w:type="spellEnd"/>
      <w:r w:rsidRPr="00AA0016">
        <w:rPr>
          <w:b/>
          <w:bCs/>
          <w:sz w:val="24"/>
          <w:lang w:val="en-US"/>
        </w:rPr>
        <w:t xml:space="preserve"> L.)</w:t>
      </w:r>
    </w:p>
    <w:bookmarkEnd w:id="0"/>
    <w:p w14:paraId="6A63E899" w14:textId="71DE7D7B" w:rsidR="00D678C0" w:rsidRDefault="00D678C0" w:rsidP="00EA2F8F">
      <w:pPr>
        <w:jc w:val="center"/>
        <w:rPr>
          <w:rFonts w:ascii="Times New Roman" w:hAnsi="Times New Roman" w:cs="Times New Roman"/>
          <w:bCs/>
          <w:sz w:val="24"/>
          <w:szCs w:val="24"/>
          <w:lang w:val="en-US"/>
        </w:rPr>
      </w:pPr>
    </w:p>
    <w:p w14:paraId="7F80CF91" w14:textId="77777777" w:rsidR="00542386" w:rsidRPr="00EA2F8F" w:rsidRDefault="00542386" w:rsidP="00EA2F8F">
      <w:pPr>
        <w:jc w:val="center"/>
        <w:rPr>
          <w:rFonts w:ascii="Times New Roman" w:hAnsi="Times New Roman" w:cs="Times New Roman"/>
          <w:bCs/>
          <w:sz w:val="24"/>
          <w:szCs w:val="24"/>
          <w:lang w:val="en-US"/>
        </w:rPr>
      </w:pPr>
    </w:p>
    <w:p w14:paraId="08D24426" w14:textId="1630A0A0" w:rsidR="00405CB7" w:rsidRDefault="00336313" w:rsidP="00405CB7">
      <w:pPr>
        <w:jc w:val="center"/>
        <w:rPr>
          <w:rFonts w:ascii="Times New Roman" w:hAnsi="Times New Roman" w:cs="Times New Roman"/>
          <w:b/>
          <w:bCs/>
          <w:sz w:val="24"/>
          <w:szCs w:val="24"/>
          <w:lang w:val="en-US"/>
        </w:rPr>
      </w:pPr>
      <w:r w:rsidRPr="00336313">
        <w:rPr>
          <w:rFonts w:ascii="Times New Roman" w:hAnsi="Times New Roman" w:cs="Times New Roman"/>
          <w:b/>
          <w:bCs/>
          <w:sz w:val="24"/>
          <w:szCs w:val="24"/>
          <w:lang w:val="en-US"/>
        </w:rPr>
        <w:t>ABSTRACT</w:t>
      </w:r>
    </w:p>
    <w:p w14:paraId="64CB049F" w14:textId="07A8CA99" w:rsidR="008E10C6" w:rsidRPr="00A76D45" w:rsidRDefault="008E10C6" w:rsidP="008E10C6">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10C6">
        <w:rPr>
          <w:rFonts w:ascii="Times New Roman" w:eastAsia="Times New Roman" w:hAnsi="Times New Roman" w:cs="Times New Roman"/>
          <w:sz w:val="24"/>
          <w:szCs w:val="24"/>
          <w:lang w:eastAsia="en-IN"/>
        </w:rPr>
        <w:t>A field experiment was conducted to identify the best concentration of sweet flag (</w:t>
      </w:r>
      <w:proofErr w:type="spellStart"/>
      <w:r w:rsidRPr="008E10C6">
        <w:rPr>
          <w:rFonts w:ascii="Times New Roman" w:eastAsia="Times New Roman" w:hAnsi="Times New Roman" w:cs="Times New Roman"/>
          <w:i/>
          <w:sz w:val="24"/>
          <w:szCs w:val="24"/>
          <w:lang w:eastAsia="en-IN"/>
        </w:rPr>
        <w:t>Acorus</w:t>
      </w:r>
      <w:proofErr w:type="spellEnd"/>
      <w:r w:rsidRPr="008E10C6">
        <w:rPr>
          <w:rFonts w:ascii="Times New Roman" w:eastAsia="Times New Roman" w:hAnsi="Times New Roman" w:cs="Times New Roman"/>
          <w:i/>
          <w:sz w:val="24"/>
          <w:szCs w:val="24"/>
          <w:lang w:eastAsia="en-IN"/>
        </w:rPr>
        <w:t xml:space="preserve"> </w:t>
      </w:r>
      <w:r w:rsidRPr="00A76D45">
        <w:rPr>
          <w:rFonts w:ascii="Times New Roman" w:eastAsia="Times New Roman" w:hAnsi="Times New Roman" w:cs="Times New Roman"/>
          <w:i/>
          <w:sz w:val="24"/>
          <w:szCs w:val="24"/>
          <w:lang w:eastAsia="en-IN"/>
        </w:rPr>
        <w:t>calamus</w:t>
      </w:r>
      <w:r w:rsidRPr="00A76D45">
        <w:rPr>
          <w:rFonts w:ascii="Times New Roman" w:eastAsia="Times New Roman" w:hAnsi="Times New Roman" w:cs="Times New Roman"/>
          <w:sz w:val="24"/>
          <w:szCs w:val="24"/>
          <w:lang w:eastAsia="en-IN"/>
        </w:rPr>
        <w:t>) rhizome treatment for the enhancement of seed quality parameters in field bean (</w:t>
      </w:r>
      <w:r w:rsidRPr="00A76D45">
        <w:rPr>
          <w:rFonts w:ascii="Times New Roman" w:eastAsia="Times New Roman" w:hAnsi="Times New Roman" w:cs="Times New Roman"/>
          <w:i/>
          <w:sz w:val="24"/>
          <w:szCs w:val="24"/>
          <w:lang w:eastAsia="en-IN"/>
        </w:rPr>
        <w:t xml:space="preserve">Lablab </w:t>
      </w:r>
      <w:proofErr w:type="spellStart"/>
      <w:r w:rsidRPr="00A76D45">
        <w:rPr>
          <w:rFonts w:ascii="Times New Roman" w:eastAsia="Times New Roman" w:hAnsi="Times New Roman" w:cs="Times New Roman"/>
          <w:i/>
          <w:sz w:val="24"/>
          <w:szCs w:val="24"/>
          <w:lang w:eastAsia="en-IN"/>
        </w:rPr>
        <w:t>purpureus</w:t>
      </w:r>
      <w:proofErr w:type="spellEnd"/>
      <w:r w:rsidRPr="00A76D45">
        <w:rPr>
          <w:rFonts w:ascii="Times New Roman" w:eastAsia="Times New Roman" w:hAnsi="Times New Roman" w:cs="Times New Roman"/>
          <w:sz w:val="24"/>
          <w:szCs w:val="24"/>
          <w:lang w:eastAsia="en-IN"/>
        </w:rPr>
        <w:t xml:space="preserve"> L.) at the Research Institute of Organic Farming, UAS Bangalore, GKVK, Karnataka. The experiment consisted of eight treatments including sweet flag rhizome powder at 5 g/kg (T</w:t>
      </w:r>
      <w:r w:rsidRPr="00A76D45">
        <w:rPr>
          <w:rFonts w:ascii="Times New Roman" w:eastAsia="Times New Roman" w:hAnsi="Times New Roman" w:cs="Times New Roman"/>
          <w:sz w:val="24"/>
          <w:szCs w:val="24"/>
          <w:vertAlign w:val="subscript"/>
          <w:lang w:eastAsia="en-IN"/>
        </w:rPr>
        <w:t>2</w:t>
      </w:r>
      <w:r w:rsidRPr="00A76D45">
        <w:rPr>
          <w:rFonts w:ascii="Times New Roman" w:eastAsia="Times New Roman" w:hAnsi="Times New Roman" w:cs="Times New Roman"/>
          <w:sz w:val="24"/>
          <w:szCs w:val="24"/>
          <w:lang w:eastAsia="en-IN"/>
        </w:rPr>
        <w:t>), 10 g/kg (T</w:t>
      </w:r>
      <w:r w:rsidRPr="00A76D45">
        <w:rPr>
          <w:rFonts w:ascii="Times New Roman" w:eastAsia="Times New Roman" w:hAnsi="Times New Roman" w:cs="Times New Roman"/>
          <w:sz w:val="24"/>
          <w:szCs w:val="24"/>
          <w:vertAlign w:val="subscript"/>
          <w:lang w:eastAsia="en-IN"/>
        </w:rPr>
        <w:t>3</w:t>
      </w:r>
      <w:r w:rsidRPr="00A76D45">
        <w:rPr>
          <w:rFonts w:ascii="Times New Roman" w:eastAsia="Times New Roman" w:hAnsi="Times New Roman" w:cs="Times New Roman"/>
          <w:sz w:val="24"/>
          <w:szCs w:val="24"/>
          <w:lang w:eastAsia="en-IN"/>
        </w:rPr>
        <w:t>) and 15 g/kg (T</w:t>
      </w:r>
      <w:r w:rsidRPr="00A76D45">
        <w:rPr>
          <w:rFonts w:ascii="Times New Roman" w:eastAsia="Times New Roman" w:hAnsi="Times New Roman" w:cs="Times New Roman"/>
          <w:sz w:val="24"/>
          <w:szCs w:val="24"/>
          <w:vertAlign w:val="subscript"/>
          <w:lang w:eastAsia="en-IN"/>
        </w:rPr>
        <w:t>4</w:t>
      </w:r>
      <w:r w:rsidRPr="00A76D45">
        <w:rPr>
          <w:rFonts w:ascii="Times New Roman" w:eastAsia="Times New Roman" w:hAnsi="Times New Roman" w:cs="Times New Roman"/>
          <w:sz w:val="24"/>
          <w:szCs w:val="24"/>
          <w:lang w:eastAsia="en-IN"/>
        </w:rPr>
        <w:t>)</w:t>
      </w:r>
      <w:r w:rsidR="00452E8E" w:rsidRPr="00A76D45">
        <w:rPr>
          <w:rFonts w:ascii="Times New Roman" w:eastAsia="Times New Roman" w:hAnsi="Times New Roman" w:cs="Times New Roman"/>
          <w:sz w:val="24"/>
          <w:szCs w:val="24"/>
          <w:lang w:eastAsia="en-IN"/>
        </w:rPr>
        <w:t xml:space="preserve"> </w:t>
      </w:r>
      <w:r w:rsidRPr="00A76D45">
        <w:rPr>
          <w:rFonts w:ascii="Times New Roman" w:eastAsia="Times New Roman" w:hAnsi="Times New Roman" w:cs="Times New Roman"/>
          <w:sz w:val="24"/>
          <w:szCs w:val="24"/>
          <w:lang w:eastAsia="en-IN"/>
        </w:rPr>
        <w:t>and sweet flag rhizome oil at 2.5 ml/kg (T</w:t>
      </w:r>
      <w:r w:rsidRPr="00A76D45">
        <w:rPr>
          <w:rFonts w:ascii="Times New Roman" w:eastAsia="Times New Roman" w:hAnsi="Times New Roman" w:cs="Times New Roman"/>
          <w:sz w:val="24"/>
          <w:szCs w:val="24"/>
          <w:vertAlign w:val="subscript"/>
          <w:lang w:eastAsia="en-IN"/>
        </w:rPr>
        <w:t>5</w:t>
      </w:r>
      <w:r w:rsidRPr="00A76D45">
        <w:rPr>
          <w:rFonts w:ascii="Times New Roman" w:eastAsia="Times New Roman" w:hAnsi="Times New Roman" w:cs="Times New Roman"/>
          <w:sz w:val="24"/>
          <w:szCs w:val="24"/>
          <w:lang w:eastAsia="en-IN"/>
        </w:rPr>
        <w:t>), 5 ml/kg (T</w:t>
      </w:r>
      <w:r w:rsidRPr="00A76D45">
        <w:rPr>
          <w:rFonts w:ascii="Times New Roman" w:eastAsia="Times New Roman" w:hAnsi="Times New Roman" w:cs="Times New Roman"/>
          <w:sz w:val="24"/>
          <w:szCs w:val="24"/>
          <w:vertAlign w:val="subscript"/>
          <w:lang w:eastAsia="en-IN"/>
        </w:rPr>
        <w:t>6</w:t>
      </w:r>
      <w:r w:rsidRPr="00A76D45">
        <w:rPr>
          <w:rFonts w:ascii="Times New Roman" w:eastAsia="Times New Roman" w:hAnsi="Times New Roman" w:cs="Times New Roman"/>
          <w:sz w:val="24"/>
          <w:szCs w:val="24"/>
          <w:lang w:eastAsia="en-IN"/>
        </w:rPr>
        <w:t>) and 7.5 ml/kg (T</w:t>
      </w:r>
      <w:r w:rsidRPr="00A76D45">
        <w:rPr>
          <w:rFonts w:ascii="Times New Roman" w:eastAsia="Times New Roman" w:hAnsi="Times New Roman" w:cs="Times New Roman"/>
          <w:sz w:val="24"/>
          <w:szCs w:val="24"/>
          <w:vertAlign w:val="subscript"/>
          <w:lang w:eastAsia="en-IN"/>
        </w:rPr>
        <w:t>7</w:t>
      </w:r>
      <w:r w:rsidRPr="00A76D45">
        <w:rPr>
          <w:rFonts w:ascii="Times New Roman" w:eastAsia="Times New Roman" w:hAnsi="Times New Roman" w:cs="Times New Roman"/>
          <w:sz w:val="24"/>
          <w:szCs w:val="24"/>
          <w:lang w:eastAsia="en-IN"/>
        </w:rPr>
        <w:t xml:space="preserve">), along with a chemical control using </w:t>
      </w:r>
      <w:proofErr w:type="spellStart"/>
      <w:r w:rsidRPr="00A76D45">
        <w:rPr>
          <w:rFonts w:ascii="Times New Roman" w:eastAsia="Times New Roman" w:hAnsi="Times New Roman" w:cs="Times New Roman"/>
          <w:sz w:val="24"/>
          <w:szCs w:val="24"/>
          <w:lang w:eastAsia="en-IN"/>
        </w:rPr>
        <w:t>spinosad</w:t>
      </w:r>
      <w:proofErr w:type="spellEnd"/>
      <w:r w:rsidRPr="00A76D45">
        <w:rPr>
          <w:rFonts w:ascii="Times New Roman" w:eastAsia="Times New Roman" w:hAnsi="Times New Roman" w:cs="Times New Roman"/>
          <w:sz w:val="24"/>
          <w:szCs w:val="24"/>
          <w:lang w:eastAsia="en-IN"/>
        </w:rPr>
        <w:t xml:space="preserve"> at 0.04 ml/kg (T</w:t>
      </w:r>
      <w:r w:rsidRPr="00A76D45">
        <w:rPr>
          <w:rFonts w:ascii="Times New Roman" w:eastAsia="Times New Roman" w:hAnsi="Times New Roman" w:cs="Times New Roman"/>
          <w:sz w:val="24"/>
          <w:szCs w:val="24"/>
          <w:vertAlign w:val="subscript"/>
          <w:lang w:eastAsia="en-IN"/>
        </w:rPr>
        <w:t>8</w:t>
      </w:r>
      <w:r w:rsidRPr="00A76D45">
        <w:rPr>
          <w:rFonts w:ascii="Times New Roman" w:eastAsia="Times New Roman" w:hAnsi="Times New Roman" w:cs="Times New Roman"/>
          <w:sz w:val="24"/>
          <w:szCs w:val="24"/>
          <w:lang w:eastAsia="en-IN"/>
        </w:rPr>
        <w:t>) and an untreated control (T</w:t>
      </w:r>
      <w:r w:rsidRPr="00A76D45">
        <w:rPr>
          <w:rFonts w:ascii="Times New Roman" w:eastAsia="Times New Roman" w:hAnsi="Times New Roman" w:cs="Times New Roman"/>
          <w:sz w:val="24"/>
          <w:szCs w:val="24"/>
          <w:vertAlign w:val="subscript"/>
          <w:lang w:eastAsia="en-IN"/>
        </w:rPr>
        <w:t>1</w:t>
      </w:r>
      <w:r w:rsidRPr="00A76D45">
        <w:rPr>
          <w:rFonts w:ascii="Times New Roman" w:eastAsia="Times New Roman" w:hAnsi="Times New Roman" w:cs="Times New Roman"/>
          <w:sz w:val="24"/>
          <w:szCs w:val="24"/>
          <w:lang w:eastAsia="en-IN"/>
        </w:rPr>
        <w:t>). All treatments were arranged in a randomized complete block design with three replications</w:t>
      </w:r>
      <w:r w:rsidR="00A76D45">
        <w:rPr>
          <w:rFonts w:ascii="Times New Roman" w:eastAsia="Times New Roman" w:hAnsi="Times New Roman" w:cs="Times New Roman"/>
          <w:sz w:val="24"/>
          <w:szCs w:val="24"/>
          <w:lang w:eastAsia="en-IN"/>
        </w:rPr>
        <w:t xml:space="preserve"> in field</w:t>
      </w:r>
      <w:r w:rsidRPr="00A76D45">
        <w:rPr>
          <w:rFonts w:ascii="Times New Roman" w:eastAsia="Times New Roman" w:hAnsi="Times New Roman" w:cs="Times New Roman"/>
          <w:sz w:val="24"/>
          <w:szCs w:val="24"/>
          <w:lang w:eastAsia="en-IN"/>
        </w:rPr>
        <w:t>. After the field experiment and harvest, the seeds obtained from each treatment were subjected to laboratory evaluation</w:t>
      </w:r>
      <w:r w:rsidR="00A76D45" w:rsidRPr="00A76D45">
        <w:rPr>
          <w:rFonts w:ascii="Times New Roman" w:eastAsia="Times New Roman" w:hAnsi="Times New Roman" w:cs="Times New Roman"/>
          <w:sz w:val="24"/>
          <w:szCs w:val="24"/>
          <w:lang w:eastAsia="en-IN"/>
        </w:rPr>
        <w:t xml:space="preserve"> in CRD design </w:t>
      </w:r>
      <w:r w:rsidRPr="00A76D45">
        <w:rPr>
          <w:rFonts w:ascii="Times New Roman" w:eastAsia="Times New Roman" w:hAnsi="Times New Roman" w:cs="Times New Roman"/>
          <w:sz w:val="24"/>
          <w:szCs w:val="24"/>
          <w:lang w:eastAsia="en-IN"/>
        </w:rPr>
        <w:t>for seed quality parameters. Among the treatments, sweet flag rhizome powder at 15 g/kg (T</w:t>
      </w:r>
      <w:r w:rsidR="002B688D" w:rsidRPr="00A76D45">
        <w:rPr>
          <w:rFonts w:ascii="Times New Roman" w:eastAsia="Times New Roman" w:hAnsi="Times New Roman" w:cs="Times New Roman"/>
          <w:sz w:val="24"/>
          <w:szCs w:val="24"/>
          <w:vertAlign w:val="subscript"/>
          <w:lang w:eastAsia="en-IN"/>
        </w:rPr>
        <w:t>4</w:t>
      </w:r>
      <w:r w:rsidRPr="00A76D45">
        <w:rPr>
          <w:rFonts w:ascii="Times New Roman" w:eastAsia="Times New Roman" w:hAnsi="Times New Roman" w:cs="Times New Roman"/>
          <w:sz w:val="24"/>
          <w:szCs w:val="24"/>
          <w:lang w:eastAsia="en-IN"/>
        </w:rPr>
        <w:t>) recorded the highest germination percentage</w:t>
      </w:r>
      <w:r w:rsidR="002B688D" w:rsidRPr="00A76D45">
        <w:rPr>
          <w:rFonts w:ascii="Times New Roman" w:eastAsia="Times New Roman" w:hAnsi="Times New Roman" w:cs="Times New Roman"/>
          <w:sz w:val="24"/>
          <w:szCs w:val="24"/>
          <w:lang w:eastAsia="en-IN"/>
        </w:rPr>
        <w:t xml:space="preserve"> </w:t>
      </w:r>
      <w:r w:rsidR="00A76D45" w:rsidRPr="00A76D45">
        <w:rPr>
          <w:rFonts w:ascii="Times New Roman" w:eastAsia="Times New Roman" w:hAnsi="Times New Roman" w:cs="Times New Roman"/>
          <w:sz w:val="24"/>
          <w:szCs w:val="24"/>
          <w:lang w:eastAsia="en-IN"/>
        </w:rPr>
        <w:t>(</w:t>
      </w:r>
      <w:r w:rsidR="00A76D45" w:rsidRPr="00A76D45">
        <w:rPr>
          <w:rFonts w:ascii="Times New Roman" w:hAnsi="Times New Roman" w:cs="Times New Roman"/>
          <w:color w:val="000000"/>
          <w:sz w:val="24"/>
          <w:szCs w:val="24"/>
        </w:rPr>
        <w:t>97.3 %)</w:t>
      </w:r>
      <w:r w:rsidRPr="00A76D45">
        <w:rPr>
          <w:rFonts w:ascii="Times New Roman" w:eastAsia="Times New Roman" w:hAnsi="Times New Roman" w:cs="Times New Roman"/>
          <w:sz w:val="24"/>
          <w:szCs w:val="24"/>
          <w:lang w:eastAsia="en-IN"/>
        </w:rPr>
        <w:t>, speed of germination</w:t>
      </w:r>
      <w:r w:rsidR="00A76D45" w:rsidRPr="00A76D45">
        <w:rPr>
          <w:rFonts w:ascii="Times New Roman" w:eastAsia="Times New Roman" w:hAnsi="Times New Roman" w:cs="Times New Roman"/>
          <w:sz w:val="24"/>
          <w:szCs w:val="24"/>
          <w:lang w:eastAsia="en-IN"/>
        </w:rPr>
        <w:t xml:space="preserve"> (</w:t>
      </w:r>
      <w:r w:rsidR="00A76D45" w:rsidRPr="00A76D45">
        <w:rPr>
          <w:rFonts w:ascii="Times New Roman" w:hAnsi="Times New Roman" w:cs="Times New Roman"/>
          <w:color w:val="000000"/>
          <w:sz w:val="24"/>
          <w:szCs w:val="24"/>
        </w:rPr>
        <w:t>17.7)</w:t>
      </w:r>
      <w:r w:rsidRPr="00A76D45">
        <w:rPr>
          <w:rFonts w:ascii="Times New Roman" w:eastAsia="Times New Roman" w:hAnsi="Times New Roman" w:cs="Times New Roman"/>
          <w:sz w:val="24"/>
          <w:szCs w:val="24"/>
          <w:lang w:eastAsia="en-IN"/>
        </w:rPr>
        <w:t>, shoot length</w:t>
      </w:r>
      <w:r w:rsidR="00A76D45" w:rsidRPr="00A76D45">
        <w:rPr>
          <w:rFonts w:ascii="Times New Roman" w:eastAsia="Times New Roman" w:hAnsi="Times New Roman" w:cs="Times New Roman"/>
          <w:sz w:val="24"/>
          <w:szCs w:val="24"/>
          <w:lang w:eastAsia="en-IN"/>
        </w:rPr>
        <w:t xml:space="preserve"> (</w:t>
      </w:r>
      <w:r w:rsidR="00A76D45" w:rsidRPr="00A76D45">
        <w:rPr>
          <w:rFonts w:ascii="Times New Roman" w:hAnsi="Times New Roman" w:cs="Times New Roman"/>
          <w:color w:val="000000"/>
          <w:sz w:val="24"/>
          <w:szCs w:val="24"/>
        </w:rPr>
        <w:t>29.4 cm)</w:t>
      </w:r>
      <w:r w:rsidRPr="00A76D45">
        <w:rPr>
          <w:rFonts w:ascii="Times New Roman" w:eastAsia="Times New Roman" w:hAnsi="Times New Roman" w:cs="Times New Roman"/>
          <w:sz w:val="24"/>
          <w:szCs w:val="24"/>
          <w:lang w:eastAsia="en-IN"/>
        </w:rPr>
        <w:t>, root length</w:t>
      </w:r>
      <w:r w:rsidR="00A76D45" w:rsidRPr="00A76D45">
        <w:rPr>
          <w:rFonts w:ascii="Times New Roman" w:eastAsia="Times New Roman" w:hAnsi="Times New Roman" w:cs="Times New Roman"/>
          <w:sz w:val="24"/>
          <w:szCs w:val="24"/>
          <w:lang w:eastAsia="en-IN"/>
        </w:rPr>
        <w:t xml:space="preserve"> (</w:t>
      </w:r>
      <w:r w:rsidR="00A76D45" w:rsidRPr="00A76D45">
        <w:rPr>
          <w:rFonts w:ascii="Times New Roman" w:hAnsi="Times New Roman" w:cs="Times New Roman"/>
          <w:color w:val="000000"/>
          <w:sz w:val="24"/>
          <w:szCs w:val="24"/>
        </w:rPr>
        <w:t>25.6 cm)</w:t>
      </w:r>
      <w:r w:rsidRPr="00A76D45">
        <w:rPr>
          <w:rFonts w:ascii="Times New Roman" w:eastAsia="Times New Roman" w:hAnsi="Times New Roman" w:cs="Times New Roman"/>
          <w:sz w:val="24"/>
          <w:szCs w:val="24"/>
          <w:lang w:eastAsia="en-IN"/>
        </w:rPr>
        <w:t>, seedling length</w:t>
      </w:r>
      <w:r w:rsidR="00A76D45" w:rsidRPr="00A76D45">
        <w:rPr>
          <w:rFonts w:ascii="Times New Roman" w:eastAsia="Times New Roman" w:hAnsi="Times New Roman" w:cs="Times New Roman"/>
          <w:sz w:val="24"/>
          <w:szCs w:val="24"/>
          <w:lang w:eastAsia="en-IN"/>
        </w:rPr>
        <w:t xml:space="preserve"> (</w:t>
      </w:r>
      <w:r w:rsidR="00A76D45" w:rsidRPr="00A76D45">
        <w:rPr>
          <w:rFonts w:ascii="Times New Roman" w:hAnsi="Times New Roman" w:cs="Times New Roman"/>
          <w:color w:val="000000"/>
          <w:sz w:val="24"/>
          <w:szCs w:val="24"/>
        </w:rPr>
        <w:t>55.0 cm)</w:t>
      </w:r>
      <w:r w:rsidRPr="00A76D45">
        <w:rPr>
          <w:rFonts w:ascii="Times New Roman" w:eastAsia="Times New Roman" w:hAnsi="Times New Roman" w:cs="Times New Roman"/>
          <w:sz w:val="24"/>
          <w:szCs w:val="24"/>
          <w:lang w:eastAsia="en-IN"/>
        </w:rPr>
        <w:t>, seedling dry weight</w:t>
      </w:r>
      <w:r w:rsidR="00A76D45" w:rsidRPr="00A76D45">
        <w:rPr>
          <w:rFonts w:ascii="Times New Roman" w:eastAsia="Times New Roman" w:hAnsi="Times New Roman" w:cs="Times New Roman"/>
          <w:sz w:val="24"/>
          <w:szCs w:val="24"/>
          <w:lang w:eastAsia="en-IN"/>
        </w:rPr>
        <w:t xml:space="preserve"> (</w:t>
      </w:r>
      <w:r w:rsidR="00A76D45" w:rsidRPr="00A76D45">
        <w:rPr>
          <w:rFonts w:ascii="Times New Roman" w:hAnsi="Times New Roman" w:cs="Times New Roman"/>
          <w:color w:val="000000"/>
          <w:sz w:val="24"/>
          <w:szCs w:val="24"/>
        </w:rPr>
        <w:t>106.6 mg)</w:t>
      </w:r>
      <w:r w:rsidRPr="00A76D45">
        <w:rPr>
          <w:rFonts w:ascii="Times New Roman" w:eastAsia="Times New Roman" w:hAnsi="Times New Roman" w:cs="Times New Roman"/>
          <w:sz w:val="24"/>
          <w:szCs w:val="24"/>
          <w:lang w:eastAsia="en-IN"/>
        </w:rPr>
        <w:t>, seedling vigour index-I</w:t>
      </w:r>
      <w:r w:rsidR="00A76D45" w:rsidRPr="00A76D45">
        <w:rPr>
          <w:rFonts w:ascii="Times New Roman" w:eastAsia="Times New Roman" w:hAnsi="Times New Roman" w:cs="Times New Roman"/>
          <w:sz w:val="24"/>
          <w:szCs w:val="24"/>
          <w:lang w:eastAsia="en-IN"/>
        </w:rPr>
        <w:t xml:space="preserve"> (</w:t>
      </w:r>
      <w:r w:rsidR="00A76D45" w:rsidRPr="00A76D45">
        <w:rPr>
          <w:rFonts w:ascii="Times New Roman" w:hAnsi="Times New Roman" w:cs="Times New Roman"/>
          <w:color w:val="000000"/>
          <w:sz w:val="24"/>
          <w:szCs w:val="24"/>
        </w:rPr>
        <w:t>5352)</w:t>
      </w:r>
      <w:r w:rsidRPr="00A76D45">
        <w:rPr>
          <w:rFonts w:ascii="Times New Roman" w:eastAsia="Times New Roman" w:hAnsi="Times New Roman" w:cs="Times New Roman"/>
          <w:sz w:val="24"/>
          <w:szCs w:val="24"/>
          <w:lang w:eastAsia="en-IN"/>
        </w:rPr>
        <w:t xml:space="preserve"> and II</w:t>
      </w:r>
      <w:r w:rsidR="00A76D45" w:rsidRPr="00A76D45">
        <w:rPr>
          <w:rFonts w:ascii="Times New Roman" w:eastAsia="Times New Roman" w:hAnsi="Times New Roman" w:cs="Times New Roman"/>
          <w:sz w:val="24"/>
          <w:szCs w:val="24"/>
          <w:lang w:eastAsia="en-IN"/>
        </w:rPr>
        <w:t xml:space="preserve"> (</w:t>
      </w:r>
      <w:r w:rsidR="00A76D45" w:rsidRPr="00A76D45">
        <w:rPr>
          <w:rFonts w:ascii="Times New Roman" w:hAnsi="Times New Roman" w:cs="Times New Roman"/>
          <w:color w:val="000000"/>
          <w:sz w:val="24"/>
          <w:szCs w:val="24"/>
        </w:rPr>
        <w:t>10372)</w:t>
      </w:r>
      <w:r w:rsidRPr="00A76D45">
        <w:rPr>
          <w:rFonts w:ascii="Times New Roman" w:eastAsia="Times New Roman" w:hAnsi="Times New Roman" w:cs="Times New Roman"/>
          <w:sz w:val="24"/>
          <w:szCs w:val="24"/>
          <w:lang w:eastAsia="en-IN"/>
        </w:rPr>
        <w:t>, while recording the lowest electrical conductivity</w:t>
      </w:r>
      <w:r w:rsidR="00A76D45" w:rsidRPr="00A76D45">
        <w:rPr>
          <w:rFonts w:ascii="Times New Roman" w:eastAsia="Times New Roman" w:hAnsi="Times New Roman" w:cs="Times New Roman"/>
          <w:sz w:val="24"/>
          <w:szCs w:val="24"/>
          <w:lang w:eastAsia="en-IN"/>
        </w:rPr>
        <w:t xml:space="preserve"> (</w:t>
      </w:r>
      <w:r w:rsidR="00A76D45" w:rsidRPr="00A76D45">
        <w:rPr>
          <w:rFonts w:ascii="Times New Roman" w:hAnsi="Times New Roman" w:cs="Times New Roman"/>
          <w:color w:val="000000"/>
          <w:sz w:val="24"/>
          <w:szCs w:val="24"/>
        </w:rPr>
        <w:t>121.3 µS/cm/g)</w:t>
      </w:r>
      <w:r w:rsidRPr="00A76D45">
        <w:rPr>
          <w:rFonts w:ascii="Times New Roman" w:eastAsia="Times New Roman" w:hAnsi="Times New Roman" w:cs="Times New Roman"/>
          <w:sz w:val="24"/>
          <w:szCs w:val="24"/>
          <w:lang w:eastAsia="en-IN"/>
        </w:rPr>
        <w:t>, indicating superior seed vigour and membrane stability. The enhanced seed performance in T</w:t>
      </w:r>
      <w:r w:rsidR="00A76D45" w:rsidRPr="00A76D45">
        <w:rPr>
          <w:rFonts w:ascii="Times New Roman" w:eastAsia="Times New Roman" w:hAnsi="Times New Roman" w:cs="Times New Roman"/>
          <w:sz w:val="24"/>
          <w:szCs w:val="24"/>
          <w:vertAlign w:val="subscript"/>
          <w:lang w:eastAsia="en-IN"/>
        </w:rPr>
        <w:t>4</w:t>
      </w:r>
      <w:r w:rsidRPr="00A76D45">
        <w:rPr>
          <w:rFonts w:ascii="Times New Roman" w:eastAsia="Times New Roman" w:hAnsi="Times New Roman" w:cs="Times New Roman"/>
          <w:sz w:val="24"/>
          <w:szCs w:val="24"/>
          <w:lang w:eastAsia="en-IN"/>
        </w:rPr>
        <w:t xml:space="preserve"> treatment may be attributed to the bioactive compounds of sweet flag rhizome, which promoted seed metabolism and reduced seed-borne infections.</w:t>
      </w:r>
    </w:p>
    <w:p w14:paraId="3C6E7114" w14:textId="1833FC6E" w:rsidR="00405CB7" w:rsidRPr="00452E8E" w:rsidRDefault="00DE64A0" w:rsidP="00452E8E">
      <w:pPr>
        <w:spacing w:line="360" w:lineRule="auto"/>
        <w:jc w:val="both"/>
        <w:rPr>
          <w:rFonts w:ascii="Times New Roman" w:hAnsi="Times New Roman" w:cs="Times New Roman"/>
          <w:b/>
          <w:bCs/>
          <w:sz w:val="24"/>
          <w:szCs w:val="24"/>
          <w:lang w:val="en-US"/>
        </w:rPr>
      </w:pPr>
      <w:r w:rsidRPr="00DE64A0">
        <w:rPr>
          <w:rStyle w:val="Strong"/>
          <w:rFonts w:ascii="Times New Roman" w:hAnsi="Times New Roman" w:cs="Times New Roman"/>
          <w:sz w:val="24"/>
          <w:szCs w:val="24"/>
        </w:rPr>
        <w:t>Keywords:</w:t>
      </w:r>
      <w:r w:rsidRPr="00DE64A0">
        <w:rPr>
          <w:rFonts w:ascii="Times New Roman" w:hAnsi="Times New Roman" w:cs="Times New Roman"/>
          <w:sz w:val="24"/>
          <w:szCs w:val="24"/>
        </w:rPr>
        <w:t xml:space="preserve"> Sweet flag rhizome, </w:t>
      </w:r>
      <w:r w:rsidR="00452E8E">
        <w:rPr>
          <w:rFonts w:ascii="Times New Roman" w:hAnsi="Times New Roman" w:cs="Times New Roman"/>
          <w:sz w:val="24"/>
          <w:szCs w:val="24"/>
        </w:rPr>
        <w:t xml:space="preserve">quality </w:t>
      </w:r>
      <w:r w:rsidRPr="00DE64A0">
        <w:rPr>
          <w:rFonts w:ascii="Times New Roman" w:hAnsi="Times New Roman" w:cs="Times New Roman"/>
          <w:sz w:val="24"/>
          <w:szCs w:val="24"/>
        </w:rPr>
        <w:t>parameters, field bean, seed treatment</w:t>
      </w:r>
    </w:p>
    <w:p w14:paraId="76718BDA" w14:textId="7A276088" w:rsidR="00452E8E" w:rsidRPr="00452E8E" w:rsidRDefault="00452E8E" w:rsidP="00452E8E">
      <w:pPr>
        <w:pStyle w:val="ListParagraph"/>
        <w:numPr>
          <w:ilvl w:val="0"/>
          <w:numId w:val="6"/>
        </w:numPr>
        <w:spacing w:before="280" w:after="0" w:line="360" w:lineRule="auto"/>
        <w:ind w:left="426" w:hanging="426"/>
        <w:jc w:val="both"/>
        <w:rPr>
          <w:rFonts w:ascii="Times New Roman" w:hAnsi="Times New Roman"/>
          <w:b/>
          <w:iCs/>
          <w:sz w:val="24"/>
          <w:szCs w:val="24"/>
          <w:lang w:eastAsia="en-IN"/>
        </w:rPr>
      </w:pPr>
      <w:r w:rsidRPr="00452E8E">
        <w:rPr>
          <w:rFonts w:ascii="Times New Roman" w:hAnsi="Times New Roman"/>
          <w:b/>
          <w:iCs/>
          <w:sz w:val="24"/>
          <w:szCs w:val="24"/>
          <w:lang w:eastAsia="en-IN"/>
        </w:rPr>
        <w:t>Introduction</w:t>
      </w:r>
    </w:p>
    <w:p w14:paraId="754DD9F0" w14:textId="6A73C5A0" w:rsidR="00DE64A0" w:rsidRPr="00452E8E" w:rsidRDefault="00DE64A0" w:rsidP="00452E8E">
      <w:pPr>
        <w:spacing w:before="280" w:after="0" w:line="360" w:lineRule="auto"/>
        <w:jc w:val="both"/>
        <w:rPr>
          <w:rFonts w:ascii="Times New Roman" w:hAnsi="Times New Roman" w:cs="Times New Roman"/>
          <w:sz w:val="24"/>
          <w:szCs w:val="24"/>
          <w:lang w:eastAsia="en-IN"/>
        </w:rPr>
      </w:pPr>
      <w:r w:rsidRPr="00452E8E">
        <w:rPr>
          <w:rFonts w:ascii="Times New Roman" w:hAnsi="Times New Roman"/>
          <w:iCs/>
          <w:sz w:val="24"/>
          <w:szCs w:val="24"/>
          <w:lang w:eastAsia="en-IN"/>
        </w:rPr>
        <w:t>Field bean</w:t>
      </w:r>
      <w:r w:rsidRPr="00452E8E">
        <w:rPr>
          <w:rFonts w:ascii="Times New Roman" w:hAnsi="Times New Roman"/>
          <w:sz w:val="24"/>
          <w:szCs w:val="24"/>
          <w:lang w:eastAsia="en-IN"/>
        </w:rPr>
        <w:t xml:space="preserve"> is considered as one of the oldest vegetable legumes cultivated worldwide, particularly across tropical regions of India, Africa and Southeast Asia. It is an annual, herbaceous and warm-season crop believed to have originated in </w:t>
      </w:r>
      <w:r w:rsidRPr="00452E8E">
        <w:rPr>
          <w:rFonts w:ascii="Times New Roman" w:hAnsi="Times New Roman" w:cs="Times New Roman"/>
          <w:sz w:val="24"/>
          <w:szCs w:val="24"/>
          <w:lang w:eastAsia="en-IN"/>
        </w:rPr>
        <w:t>India</w:t>
      </w:r>
      <w:r w:rsidR="00D146CF" w:rsidRPr="00452E8E">
        <w:rPr>
          <w:rFonts w:ascii="Times New Roman" w:hAnsi="Times New Roman" w:cs="Times New Roman"/>
          <w:sz w:val="24"/>
          <w:szCs w:val="24"/>
          <w:lang w:eastAsia="en-IN"/>
        </w:rPr>
        <w:t xml:space="preserve"> (</w:t>
      </w:r>
      <w:r w:rsidR="00D146CF" w:rsidRPr="00452E8E">
        <w:rPr>
          <w:rFonts w:ascii="Times New Roman" w:hAnsi="Times New Roman" w:cs="Times New Roman"/>
          <w:color w:val="222222"/>
          <w:sz w:val="24"/>
          <w:szCs w:val="24"/>
          <w:shd w:val="clear" w:color="auto" w:fill="FFFFFF"/>
        </w:rPr>
        <w:t xml:space="preserve">Sandeep </w:t>
      </w:r>
      <w:r w:rsidR="00D146CF" w:rsidRPr="00452E8E">
        <w:rPr>
          <w:rFonts w:ascii="Times New Roman" w:hAnsi="Times New Roman" w:cs="Times New Roman"/>
          <w:i/>
          <w:color w:val="222222"/>
          <w:sz w:val="24"/>
          <w:szCs w:val="24"/>
          <w:shd w:val="clear" w:color="auto" w:fill="FFFFFF"/>
        </w:rPr>
        <w:t>et al</w:t>
      </w:r>
      <w:r w:rsidR="00D146CF" w:rsidRPr="00452E8E">
        <w:rPr>
          <w:rFonts w:ascii="Times New Roman" w:hAnsi="Times New Roman" w:cs="Times New Roman"/>
          <w:color w:val="222222"/>
          <w:sz w:val="24"/>
          <w:szCs w:val="24"/>
          <w:shd w:val="clear" w:color="auto" w:fill="FFFFFF"/>
        </w:rPr>
        <w:t>., 2024)</w:t>
      </w:r>
      <w:r w:rsidRPr="00452E8E">
        <w:rPr>
          <w:rFonts w:ascii="Times New Roman" w:hAnsi="Times New Roman" w:cs="Times New Roman"/>
          <w:sz w:val="24"/>
          <w:szCs w:val="24"/>
          <w:lang w:eastAsia="en-IN"/>
        </w:rPr>
        <w:t xml:space="preserve">. In addition to its use as a pulse and vegetable, it is grown for multiple other purposes, including green manure, hay, silage and as a cover crop for erosion control and weed suppression. The crop is mainly cultivated in the peninsular regions of India, where its adaptability to various </w:t>
      </w:r>
      <w:proofErr w:type="spellStart"/>
      <w:r w:rsidRPr="00452E8E">
        <w:rPr>
          <w:rFonts w:ascii="Times New Roman" w:hAnsi="Times New Roman" w:cs="Times New Roman"/>
          <w:sz w:val="24"/>
          <w:szCs w:val="24"/>
          <w:lang w:eastAsia="en-IN"/>
        </w:rPr>
        <w:t>agro</w:t>
      </w:r>
      <w:proofErr w:type="spellEnd"/>
      <w:r w:rsidRPr="00452E8E">
        <w:rPr>
          <w:rFonts w:ascii="Times New Roman" w:hAnsi="Times New Roman" w:cs="Times New Roman"/>
          <w:sz w:val="24"/>
          <w:szCs w:val="24"/>
          <w:lang w:eastAsia="en-IN"/>
        </w:rPr>
        <w:t xml:space="preserve">-ecological conditions makes it a reliable choice for small </w:t>
      </w:r>
      <w:r w:rsidRPr="00452E8E">
        <w:rPr>
          <w:rFonts w:ascii="Times New Roman" w:hAnsi="Times New Roman" w:cs="Times New Roman"/>
          <w:sz w:val="24"/>
          <w:szCs w:val="24"/>
          <w:lang w:eastAsia="en-IN"/>
        </w:rPr>
        <w:lastRenderedPageBreak/>
        <w:t>and marginal farmers. It also contributes to soil improvement by enhancing nitrogen levels and breaking soil compaction.</w:t>
      </w:r>
    </w:p>
    <w:p w14:paraId="46AEB7DC" w14:textId="77777777" w:rsidR="00DE64A0" w:rsidRPr="00D146CF" w:rsidRDefault="00DE64A0" w:rsidP="00DE64A0">
      <w:pPr>
        <w:spacing w:before="280" w:after="0" w:line="360" w:lineRule="auto"/>
        <w:ind w:firstLine="720"/>
        <w:jc w:val="both"/>
        <w:rPr>
          <w:rFonts w:ascii="Times New Roman" w:hAnsi="Times New Roman" w:cs="Times New Roman"/>
          <w:sz w:val="24"/>
          <w:szCs w:val="24"/>
          <w:lang w:eastAsia="en-IN"/>
        </w:rPr>
      </w:pPr>
      <w:r w:rsidRPr="00D146CF">
        <w:rPr>
          <w:rFonts w:ascii="Times New Roman" w:hAnsi="Times New Roman" w:cs="Times New Roman"/>
          <w:sz w:val="24"/>
          <w:szCs w:val="24"/>
          <w:lang w:eastAsia="en-IN"/>
        </w:rPr>
        <w:t xml:space="preserve">India holds the distinction of being the largest pulse-producing country and it contributing significantly to global food security. The country accounts for approximately 25 % of global pulse production and nearly 32 % of the world's pulse-growing area. Karnataka is a major pulse-growing state in India and plays a crucial role in the country’s overall pulse output. It contributes nearly 90 % to both the total area under pulse cultivation and production at the national level. In India, Karnataka has major area under field bean cultivation accounting about 80 % of total country’s area. In Karnataka, field bean is grown in an area of 0.52 lakh ha and production of 0.28 lakh tonne of grain (Anon., 2023). It requires high temperatures to grow (18-30 °C). Prominent pulse-growing districts in Karnataka include Bangalore, Kolar, Mysore, Hassan, Dharwad, Belgaum and </w:t>
      </w:r>
      <w:proofErr w:type="spellStart"/>
      <w:r w:rsidRPr="00D146CF">
        <w:rPr>
          <w:rFonts w:ascii="Times New Roman" w:hAnsi="Times New Roman" w:cs="Times New Roman"/>
          <w:sz w:val="24"/>
          <w:szCs w:val="24"/>
          <w:lang w:eastAsia="en-IN"/>
        </w:rPr>
        <w:t>Bidar</w:t>
      </w:r>
      <w:proofErr w:type="spellEnd"/>
      <w:r w:rsidRPr="00D146CF">
        <w:rPr>
          <w:rFonts w:ascii="Times New Roman" w:hAnsi="Times New Roman" w:cs="Times New Roman"/>
          <w:sz w:val="24"/>
          <w:szCs w:val="24"/>
          <w:lang w:eastAsia="en-IN"/>
        </w:rPr>
        <w:t>, where favourable agroclimatic conditions and traditional cropping practices support their cultivation.</w:t>
      </w:r>
    </w:p>
    <w:p w14:paraId="37D04D83" w14:textId="23AE4E4B" w:rsidR="00DE64A0" w:rsidRPr="00086E07" w:rsidRDefault="00DE64A0" w:rsidP="00DE64A0">
      <w:pPr>
        <w:spacing w:before="280" w:after="0" w:line="360" w:lineRule="auto"/>
        <w:ind w:firstLine="720"/>
        <w:jc w:val="both"/>
        <w:rPr>
          <w:rFonts w:ascii="Times New Roman" w:hAnsi="Times New Roman"/>
          <w:sz w:val="24"/>
          <w:szCs w:val="24"/>
          <w:lang w:eastAsia="en-IN"/>
        </w:rPr>
      </w:pPr>
      <w:r w:rsidRPr="00D146CF">
        <w:rPr>
          <w:rFonts w:ascii="Times New Roman" w:hAnsi="Times New Roman" w:cs="Times New Roman"/>
          <w:sz w:val="24"/>
          <w:szCs w:val="24"/>
          <w:lang w:eastAsia="en-IN"/>
        </w:rPr>
        <w:t xml:space="preserve">Among the diverse range of pulses cultivated in India, </w:t>
      </w:r>
      <w:r w:rsidRPr="00D146CF">
        <w:rPr>
          <w:rFonts w:ascii="Times New Roman" w:hAnsi="Times New Roman" w:cs="Times New Roman"/>
          <w:bCs/>
          <w:sz w:val="24"/>
          <w:szCs w:val="24"/>
          <w:lang w:eastAsia="en-IN"/>
        </w:rPr>
        <w:t>field bean</w:t>
      </w:r>
      <w:r w:rsidRPr="00D146CF">
        <w:rPr>
          <w:rFonts w:ascii="Times New Roman" w:hAnsi="Times New Roman" w:cs="Times New Roman"/>
          <w:sz w:val="24"/>
          <w:szCs w:val="24"/>
          <w:lang w:eastAsia="en-IN"/>
        </w:rPr>
        <w:t xml:space="preserve"> (</w:t>
      </w:r>
      <w:r w:rsidRPr="00D146CF">
        <w:rPr>
          <w:rFonts w:ascii="Times New Roman" w:hAnsi="Times New Roman" w:cs="Times New Roman"/>
          <w:i/>
          <w:iCs/>
          <w:sz w:val="24"/>
          <w:szCs w:val="24"/>
          <w:lang w:eastAsia="en-IN"/>
        </w:rPr>
        <w:t xml:space="preserve">Lablab </w:t>
      </w:r>
      <w:proofErr w:type="spellStart"/>
      <w:r w:rsidRPr="00D146CF">
        <w:rPr>
          <w:rFonts w:ascii="Times New Roman" w:hAnsi="Times New Roman" w:cs="Times New Roman"/>
          <w:i/>
          <w:iCs/>
          <w:sz w:val="24"/>
          <w:szCs w:val="24"/>
          <w:lang w:eastAsia="en-IN"/>
        </w:rPr>
        <w:t>purpureus</w:t>
      </w:r>
      <w:proofErr w:type="spellEnd"/>
      <w:r w:rsidRPr="00D146CF">
        <w:rPr>
          <w:rFonts w:ascii="Times New Roman" w:hAnsi="Times New Roman" w:cs="Times New Roman"/>
          <w:sz w:val="24"/>
          <w:szCs w:val="24"/>
          <w:lang w:eastAsia="en-IN"/>
        </w:rPr>
        <w:t xml:space="preserve"> L.) holds particular importance in Karnataka and other southern states due to its multipurpose utility. It belongs to the family Fabaceae and sub-family </w:t>
      </w:r>
      <w:proofErr w:type="spellStart"/>
      <w:r w:rsidRPr="00D146CF">
        <w:rPr>
          <w:rFonts w:ascii="Times New Roman" w:hAnsi="Times New Roman" w:cs="Times New Roman"/>
          <w:sz w:val="24"/>
          <w:szCs w:val="24"/>
          <w:lang w:eastAsia="en-IN"/>
        </w:rPr>
        <w:t>Faboideae</w:t>
      </w:r>
      <w:proofErr w:type="spellEnd"/>
      <w:r w:rsidRPr="00D146CF">
        <w:rPr>
          <w:rFonts w:ascii="Times New Roman" w:hAnsi="Times New Roman" w:cs="Times New Roman"/>
          <w:sz w:val="24"/>
          <w:szCs w:val="24"/>
          <w:lang w:eastAsia="en-IN"/>
        </w:rPr>
        <w:t xml:space="preserve">. The crop is known by several regional and local names, such as hyacinth bean, </w:t>
      </w:r>
      <w:proofErr w:type="spellStart"/>
      <w:r w:rsidRPr="00D146CF">
        <w:rPr>
          <w:rFonts w:ascii="Times New Roman" w:hAnsi="Times New Roman" w:cs="Times New Roman"/>
          <w:sz w:val="24"/>
          <w:szCs w:val="24"/>
          <w:lang w:eastAsia="en-IN"/>
        </w:rPr>
        <w:t>dolichos</w:t>
      </w:r>
      <w:proofErr w:type="spellEnd"/>
      <w:r w:rsidRPr="00D146CF">
        <w:rPr>
          <w:rFonts w:ascii="Times New Roman" w:hAnsi="Times New Roman" w:cs="Times New Roman"/>
          <w:sz w:val="24"/>
          <w:szCs w:val="24"/>
          <w:lang w:eastAsia="en-IN"/>
        </w:rPr>
        <w:t xml:space="preserve"> bean, Indian bean, </w:t>
      </w:r>
      <w:proofErr w:type="spellStart"/>
      <w:r w:rsidRPr="00D146CF">
        <w:rPr>
          <w:rFonts w:ascii="Times New Roman" w:hAnsi="Times New Roman" w:cs="Times New Roman"/>
          <w:sz w:val="24"/>
          <w:szCs w:val="24"/>
          <w:lang w:eastAsia="en-IN"/>
        </w:rPr>
        <w:t>avare</w:t>
      </w:r>
      <w:proofErr w:type="spellEnd"/>
      <w:r w:rsidRPr="00D146CF">
        <w:rPr>
          <w:rFonts w:ascii="Times New Roman" w:hAnsi="Times New Roman" w:cs="Times New Roman"/>
          <w:sz w:val="24"/>
          <w:szCs w:val="24"/>
          <w:lang w:eastAsia="en-IN"/>
        </w:rPr>
        <w:t xml:space="preserve">, </w:t>
      </w:r>
      <w:proofErr w:type="spellStart"/>
      <w:r w:rsidRPr="00D146CF">
        <w:rPr>
          <w:rFonts w:ascii="Times New Roman" w:hAnsi="Times New Roman" w:cs="Times New Roman"/>
          <w:sz w:val="24"/>
          <w:szCs w:val="24"/>
          <w:lang w:eastAsia="en-IN"/>
        </w:rPr>
        <w:t>bonavist</w:t>
      </w:r>
      <w:proofErr w:type="spellEnd"/>
      <w:r w:rsidRPr="00D146CF">
        <w:rPr>
          <w:rFonts w:ascii="Times New Roman" w:hAnsi="Times New Roman" w:cs="Times New Roman"/>
          <w:sz w:val="24"/>
          <w:szCs w:val="24"/>
          <w:lang w:eastAsia="en-IN"/>
        </w:rPr>
        <w:t xml:space="preserve"> bean and ‘</w:t>
      </w:r>
      <w:proofErr w:type="spellStart"/>
      <w:r w:rsidRPr="00D146CF">
        <w:rPr>
          <w:rFonts w:ascii="Times New Roman" w:hAnsi="Times New Roman" w:cs="Times New Roman"/>
          <w:sz w:val="24"/>
          <w:szCs w:val="24"/>
          <w:lang w:eastAsia="en-IN"/>
        </w:rPr>
        <w:t>val</w:t>
      </w:r>
      <w:proofErr w:type="spellEnd"/>
      <w:r w:rsidRPr="00D146CF">
        <w:rPr>
          <w:rFonts w:ascii="Times New Roman" w:hAnsi="Times New Roman" w:cs="Times New Roman"/>
          <w:sz w:val="24"/>
          <w:szCs w:val="24"/>
          <w:lang w:eastAsia="en-IN"/>
        </w:rPr>
        <w:t>’ in Maharashtra. Field bean is primarily a self-pollinated legume and is cultivated both for its edible green pods, which are consumed as a vegetable and for its mature dry seeds, which serve as a protein-rich pulse</w:t>
      </w:r>
      <w:r w:rsidR="00D146CF" w:rsidRPr="00D146CF">
        <w:rPr>
          <w:rFonts w:ascii="Times New Roman" w:hAnsi="Times New Roman" w:cs="Times New Roman"/>
          <w:sz w:val="24"/>
          <w:szCs w:val="24"/>
          <w:lang w:eastAsia="en-IN"/>
        </w:rPr>
        <w:t xml:space="preserve"> (</w:t>
      </w:r>
      <w:r w:rsidR="00D146CF" w:rsidRPr="00D146CF">
        <w:rPr>
          <w:rFonts w:ascii="Times New Roman" w:hAnsi="Times New Roman" w:cs="Times New Roman"/>
          <w:color w:val="222222"/>
          <w:sz w:val="24"/>
          <w:szCs w:val="24"/>
          <w:shd w:val="clear" w:color="auto" w:fill="FFFFFF"/>
        </w:rPr>
        <w:t xml:space="preserve">Bai </w:t>
      </w:r>
      <w:r w:rsidR="00D146CF" w:rsidRPr="00D146CF">
        <w:rPr>
          <w:rFonts w:ascii="Times New Roman" w:hAnsi="Times New Roman" w:cs="Times New Roman"/>
          <w:i/>
          <w:color w:val="222222"/>
          <w:sz w:val="24"/>
          <w:szCs w:val="24"/>
          <w:shd w:val="clear" w:color="auto" w:fill="FFFFFF"/>
        </w:rPr>
        <w:t>et al</w:t>
      </w:r>
      <w:r w:rsidR="00D146CF" w:rsidRPr="00D146CF">
        <w:rPr>
          <w:rFonts w:ascii="Times New Roman" w:hAnsi="Times New Roman" w:cs="Times New Roman"/>
          <w:color w:val="222222"/>
          <w:sz w:val="24"/>
          <w:szCs w:val="24"/>
          <w:shd w:val="clear" w:color="auto" w:fill="FFFFFF"/>
        </w:rPr>
        <w:t>., 2020)</w:t>
      </w:r>
      <w:r w:rsidRPr="00D146CF">
        <w:rPr>
          <w:rFonts w:ascii="Times New Roman" w:hAnsi="Times New Roman" w:cs="Times New Roman"/>
          <w:sz w:val="24"/>
          <w:szCs w:val="24"/>
          <w:lang w:eastAsia="en-IN"/>
        </w:rPr>
        <w:t>. The crop is culturally and economically significant, especially in rainfed farming</w:t>
      </w:r>
      <w:r w:rsidRPr="00086E07">
        <w:rPr>
          <w:rFonts w:ascii="Times New Roman" w:hAnsi="Times New Roman"/>
          <w:sz w:val="24"/>
          <w:szCs w:val="24"/>
          <w:lang w:eastAsia="en-IN"/>
        </w:rPr>
        <w:t xml:space="preserve"> systems.</w:t>
      </w:r>
    </w:p>
    <w:p w14:paraId="4D3A6538" w14:textId="77777777" w:rsidR="00DE64A0" w:rsidRPr="00086E07" w:rsidRDefault="00DE64A0" w:rsidP="00DE64A0">
      <w:pPr>
        <w:spacing w:before="280" w:after="0" w:line="360" w:lineRule="auto"/>
        <w:ind w:firstLine="720"/>
        <w:jc w:val="both"/>
        <w:rPr>
          <w:rFonts w:ascii="Times New Roman" w:hAnsi="Times New Roman"/>
          <w:sz w:val="24"/>
          <w:szCs w:val="24"/>
          <w:lang w:eastAsia="en-IN"/>
        </w:rPr>
      </w:pPr>
      <w:r w:rsidRPr="00086E07">
        <w:rPr>
          <w:rFonts w:ascii="Times New Roman" w:hAnsi="Times New Roman"/>
          <w:sz w:val="24"/>
          <w:szCs w:val="24"/>
          <w:lang w:eastAsia="en-IN"/>
        </w:rPr>
        <w:t>The nutritional composition of field bean makes it highly valuable in vegetarian diets. The green pods and dry grains are rich in essential nutrients, including carbohydrates (6.7 g), proteins (3.8 g), fats (0.7 g) and minerals (0.9 g). Moreover, they are abundant in magnesium (34.0 g), calcium (210 mg), phosphorus (68.0 mg), iron (1.7 mg), potassium (74.0 mg) and vitamins A and C. These nutritional qualities make it a wholesome food, particularly in rural households. The amino acid profile is well balanced with lysine content reaching up to 6.1 %. The total protein content ranges from 18.3 % to 31.6 %, making it a significant source of plant-based protein (</w:t>
      </w:r>
      <w:proofErr w:type="spellStart"/>
      <w:r w:rsidRPr="00086E07">
        <w:rPr>
          <w:rFonts w:ascii="Times New Roman" w:hAnsi="Times New Roman"/>
          <w:sz w:val="24"/>
          <w:szCs w:val="24"/>
          <w:lang w:eastAsia="en-IN"/>
        </w:rPr>
        <w:t>Thamburaj</w:t>
      </w:r>
      <w:proofErr w:type="spellEnd"/>
      <w:r w:rsidRPr="00086E07">
        <w:rPr>
          <w:rFonts w:ascii="Times New Roman" w:hAnsi="Times New Roman"/>
          <w:sz w:val="24"/>
          <w:szCs w:val="24"/>
          <w:lang w:eastAsia="en-IN"/>
        </w:rPr>
        <w:t xml:space="preserve"> and Narendra Singh, </w:t>
      </w:r>
      <w:r w:rsidRPr="00086E07">
        <w:rPr>
          <w:rFonts w:ascii="Times New Roman" w:hAnsi="Times New Roman"/>
          <w:sz w:val="24"/>
          <w:szCs w:val="24"/>
          <w:lang w:eastAsia="en-IN"/>
        </w:rPr>
        <w:lastRenderedPageBreak/>
        <w:t>2003). Its use is not limited to human consumption alone but also extends to animal feed and traditional medicine.</w:t>
      </w:r>
    </w:p>
    <w:p w14:paraId="5449EBE3" w14:textId="77777777" w:rsidR="00DE64A0" w:rsidRPr="00086E07" w:rsidRDefault="00DE64A0" w:rsidP="00DE64A0">
      <w:pPr>
        <w:spacing w:before="280" w:after="0" w:line="360" w:lineRule="auto"/>
        <w:ind w:firstLine="720"/>
        <w:jc w:val="both"/>
        <w:rPr>
          <w:rFonts w:ascii="Times New Roman" w:hAnsi="Times New Roman"/>
          <w:sz w:val="24"/>
          <w:szCs w:val="24"/>
          <w:lang w:eastAsia="en-IN"/>
        </w:rPr>
      </w:pPr>
      <w:r w:rsidRPr="00086E07">
        <w:rPr>
          <w:rFonts w:ascii="Times New Roman" w:hAnsi="Times New Roman"/>
          <w:sz w:val="24"/>
          <w:szCs w:val="24"/>
          <w:lang w:eastAsia="en-IN"/>
        </w:rPr>
        <w:t>Among all inputs used in agriculture, seed is the most critical for ensuring good crop establishment and yield. High-quality seed leads to better germination, achieving maximum plant population, uniform stands and higher resilience to stress. However, seed quality can deteriorate rapidly due to poor storage conditions. In pulses, approximately 30–40 % of seed damage and viability loss occurs at post-harvest, primarily due to the infestation of storage pests like bruchids (</w:t>
      </w:r>
      <w:proofErr w:type="spellStart"/>
      <w:r w:rsidRPr="00086E07">
        <w:rPr>
          <w:rFonts w:ascii="Times New Roman" w:hAnsi="Times New Roman"/>
          <w:i/>
          <w:iCs/>
          <w:sz w:val="24"/>
          <w:szCs w:val="24"/>
          <w:lang w:eastAsia="en-IN"/>
        </w:rPr>
        <w:t>Callosobruchus</w:t>
      </w:r>
      <w:proofErr w:type="spellEnd"/>
      <w:r w:rsidRPr="00086E07">
        <w:rPr>
          <w:rFonts w:ascii="Times New Roman" w:hAnsi="Times New Roman"/>
          <w:sz w:val="24"/>
          <w:szCs w:val="24"/>
          <w:lang w:eastAsia="en-IN"/>
        </w:rPr>
        <w:t xml:space="preserve"> spp.) along with fungal contamination and nutrient imbalances (</w:t>
      </w:r>
      <w:proofErr w:type="spellStart"/>
      <w:r w:rsidRPr="00086E07">
        <w:rPr>
          <w:rFonts w:ascii="Times New Roman" w:hAnsi="Times New Roman"/>
          <w:sz w:val="24"/>
          <w:szCs w:val="24"/>
          <w:lang w:eastAsia="en-IN"/>
        </w:rPr>
        <w:t>Paikaray</w:t>
      </w:r>
      <w:proofErr w:type="spellEnd"/>
      <w:r w:rsidRPr="00086E07">
        <w:rPr>
          <w:rFonts w:ascii="Times New Roman" w:hAnsi="Times New Roman"/>
          <w:sz w:val="24"/>
          <w:szCs w:val="24"/>
          <w:lang w:eastAsia="en-IN"/>
        </w:rPr>
        <w:t xml:space="preserve"> </w:t>
      </w:r>
      <w:r w:rsidRPr="00086E07">
        <w:rPr>
          <w:rFonts w:ascii="Times New Roman" w:hAnsi="Times New Roman"/>
          <w:i/>
          <w:sz w:val="24"/>
          <w:szCs w:val="24"/>
          <w:lang w:eastAsia="en-IN"/>
        </w:rPr>
        <w:t>et al.,</w:t>
      </w:r>
      <w:r w:rsidRPr="00086E07">
        <w:rPr>
          <w:rFonts w:ascii="Times New Roman" w:hAnsi="Times New Roman"/>
          <w:sz w:val="24"/>
          <w:szCs w:val="24"/>
          <w:lang w:eastAsia="en-IN"/>
        </w:rPr>
        <w:t xml:space="preserve"> 2022). Therefore, developing effective low-cost and environmentally friendly seed storage techniques is essential to ensure seed viability and vigour until the next planting season, especially in rainfed areas where seed replacement rate is low.</w:t>
      </w:r>
    </w:p>
    <w:p w14:paraId="32EB3570" w14:textId="77777777" w:rsidR="00DE64A0" w:rsidRPr="00086E07" w:rsidRDefault="00DE64A0" w:rsidP="00DE64A0">
      <w:pPr>
        <w:spacing w:before="280" w:after="0" w:line="360" w:lineRule="auto"/>
        <w:ind w:firstLine="720"/>
        <w:jc w:val="both"/>
        <w:rPr>
          <w:rFonts w:ascii="Times New Roman" w:hAnsi="Times New Roman"/>
          <w:sz w:val="24"/>
          <w:szCs w:val="24"/>
          <w:lang w:eastAsia="en-IN"/>
        </w:rPr>
      </w:pPr>
      <w:r w:rsidRPr="00086E07">
        <w:rPr>
          <w:rFonts w:ascii="Times New Roman" w:hAnsi="Times New Roman"/>
          <w:sz w:val="24"/>
          <w:szCs w:val="24"/>
          <w:lang w:eastAsia="en-IN"/>
        </w:rPr>
        <w:t>One such promising and eco-friendly seed preservation method is the use of botanicals, especially the rhizome of sweet flag (</w:t>
      </w:r>
      <w:proofErr w:type="spellStart"/>
      <w:r w:rsidRPr="00086E07">
        <w:rPr>
          <w:rFonts w:ascii="Times New Roman" w:hAnsi="Times New Roman"/>
          <w:i/>
          <w:iCs/>
          <w:sz w:val="24"/>
          <w:szCs w:val="24"/>
          <w:lang w:eastAsia="en-IN"/>
        </w:rPr>
        <w:t>Acorus</w:t>
      </w:r>
      <w:proofErr w:type="spellEnd"/>
      <w:r w:rsidRPr="00086E07">
        <w:rPr>
          <w:rFonts w:ascii="Times New Roman" w:hAnsi="Times New Roman"/>
          <w:i/>
          <w:iCs/>
          <w:sz w:val="24"/>
          <w:szCs w:val="24"/>
          <w:lang w:eastAsia="en-IN"/>
        </w:rPr>
        <w:t xml:space="preserve"> calamus</w:t>
      </w:r>
      <w:r w:rsidRPr="00086E07">
        <w:rPr>
          <w:rFonts w:ascii="Times New Roman" w:hAnsi="Times New Roman"/>
          <w:sz w:val="24"/>
          <w:szCs w:val="24"/>
          <w:lang w:eastAsia="en-IN"/>
        </w:rPr>
        <w:t xml:space="preserve"> L.). Sweet flag is a semi-aquatic perennial monocotyledonous herb with thick, branched and aromatic rhizomes. These rhizomes have been traditionally used in Indian medicine systems such as Ayurveda, Unani and Siddha for their medicinal and aromatic properties. The rhizomes are rich in essential oils such as β-</w:t>
      </w:r>
      <w:proofErr w:type="spellStart"/>
      <w:r w:rsidRPr="00086E07">
        <w:rPr>
          <w:rFonts w:ascii="Times New Roman" w:hAnsi="Times New Roman"/>
          <w:sz w:val="24"/>
          <w:szCs w:val="24"/>
          <w:lang w:eastAsia="en-IN"/>
        </w:rPr>
        <w:t>asarone</w:t>
      </w:r>
      <w:proofErr w:type="spellEnd"/>
      <w:r w:rsidRPr="00086E07">
        <w:rPr>
          <w:rFonts w:ascii="Times New Roman" w:hAnsi="Times New Roman"/>
          <w:sz w:val="24"/>
          <w:szCs w:val="24"/>
          <w:lang w:eastAsia="en-IN"/>
        </w:rPr>
        <w:t>, α-</w:t>
      </w:r>
      <w:proofErr w:type="spellStart"/>
      <w:r w:rsidRPr="00086E07">
        <w:rPr>
          <w:rFonts w:ascii="Times New Roman" w:hAnsi="Times New Roman"/>
          <w:sz w:val="24"/>
          <w:szCs w:val="24"/>
          <w:lang w:eastAsia="en-IN"/>
        </w:rPr>
        <w:t>asarone</w:t>
      </w:r>
      <w:proofErr w:type="spellEnd"/>
      <w:r w:rsidRPr="00086E07">
        <w:rPr>
          <w:rFonts w:ascii="Times New Roman" w:hAnsi="Times New Roman"/>
          <w:sz w:val="24"/>
          <w:szCs w:val="24"/>
          <w:lang w:eastAsia="en-IN"/>
        </w:rPr>
        <w:t>, methyl eugenol, iso-methyl eugenol and camphor (Lokesh, 2004). These components are known for their diverse pharmacological properties including insecticidal, antifungal, antimicrobial, antioxidant, anti-inflammatory and repellent effects. Their presence offers great potential for sweet flag as a natural alternative to chemical pesticides and preservatives in seed treatment.</w:t>
      </w:r>
    </w:p>
    <w:p w14:paraId="046DD897" w14:textId="77777777" w:rsidR="00DE64A0" w:rsidRPr="00086E07" w:rsidRDefault="00DE64A0" w:rsidP="00DE64A0">
      <w:pPr>
        <w:spacing w:before="280" w:after="0" w:line="360" w:lineRule="auto"/>
        <w:ind w:firstLine="720"/>
        <w:jc w:val="both"/>
        <w:rPr>
          <w:rFonts w:ascii="Times New Roman" w:hAnsi="Times New Roman"/>
          <w:sz w:val="24"/>
          <w:szCs w:val="24"/>
          <w:lang w:eastAsia="en-IN"/>
        </w:rPr>
      </w:pPr>
      <w:r w:rsidRPr="00086E07">
        <w:rPr>
          <w:rFonts w:ascii="Times New Roman" w:hAnsi="Times New Roman"/>
          <w:sz w:val="24"/>
          <w:szCs w:val="24"/>
          <w:lang w:eastAsia="en-IN"/>
        </w:rPr>
        <w:t xml:space="preserve">Traditionally, </w:t>
      </w:r>
      <w:proofErr w:type="spellStart"/>
      <w:r w:rsidRPr="00086E07">
        <w:rPr>
          <w:rFonts w:ascii="Times New Roman" w:hAnsi="Times New Roman"/>
          <w:i/>
          <w:iCs/>
          <w:sz w:val="24"/>
          <w:szCs w:val="24"/>
          <w:lang w:eastAsia="en-IN"/>
        </w:rPr>
        <w:t>Acorus</w:t>
      </w:r>
      <w:proofErr w:type="spellEnd"/>
      <w:r w:rsidRPr="00086E07">
        <w:rPr>
          <w:rFonts w:ascii="Times New Roman" w:hAnsi="Times New Roman"/>
          <w:i/>
          <w:iCs/>
          <w:sz w:val="24"/>
          <w:szCs w:val="24"/>
          <w:lang w:eastAsia="en-IN"/>
        </w:rPr>
        <w:t xml:space="preserve"> calamus</w:t>
      </w:r>
      <w:r w:rsidRPr="00086E07">
        <w:rPr>
          <w:rFonts w:ascii="Times New Roman" w:hAnsi="Times New Roman"/>
          <w:sz w:val="24"/>
          <w:szCs w:val="24"/>
          <w:lang w:eastAsia="en-IN"/>
        </w:rPr>
        <w:t xml:space="preserve"> has been widely used to treat a variety of ailments such as digestive disorders, bronchitis, skin diseases, colic pain, flatulence, rheumatism, fever and fatigue. The pharmacological activities of its essential oils, especially in repelling insects and protecting stored seeds, are being scientifically explored for agricultural applications. Its use in seed technology is a novel approach that bridges ancient herbal wisdom with modern agricultural science. Studies have shown that sweet flag can be used effectively as a seed protectant, helping to prolong seed longevity, preserve vigour and reduce pest-related losses in storage, especially for pulse crops that are highly vulnerable.</w:t>
      </w:r>
    </w:p>
    <w:p w14:paraId="40D367A2" w14:textId="42AAE5B4" w:rsidR="00DE64A0" w:rsidRDefault="00DE64A0" w:rsidP="00DE64A0">
      <w:pPr>
        <w:spacing w:before="280" w:after="0" w:line="360" w:lineRule="auto"/>
        <w:ind w:firstLine="720"/>
        <w:jc w:val="both"/>
        <w:rPr>
          <w:rFonts w:ascii="Times New Roman" w:hAnsi="Times New Roman"/>
          <w:sz w:val="24"/>
          <w:szCs w:val="24"/>
          <w:lang w:eastAsia="en-IN"/>
        </w:rPr>
      </w:pPr>
      <w:r w:rsidRPr="00086E07">
        <w:rPr>
          <w:rFonts w:ascii="Times New Roman" w:hAnsi="Times New Roman"/>
          <w:sz w:val="24"/>
          <w:szCs w:val="24"/>
          <w:lang w:eastAsia="en-IN"/>
        </w:rPr>
        <w:lastRenderedPageBreak/>
        <w:t>In adoption of integrating traditional botanical knowledge with modern scientific methodologies this research aims to develop a dependable, affordable and eco-safe seed enhancement technology for field bean growing farmers. The approach will be particularly beneficial to small and marginal land holders in rainfed and resource-constrained regions of South India, where access to synthetic chemicals is limited. The outcome of this research is expected to contribute meaningfully towards improving field bean productivity, seed quality in a sustainable manner.</w:t>
      </w:r>
      <w:r>
        <w:rPr>
          <w:rFonts w:ascii="Times New Roman" w:hAnsi="Times New Roman"/>
          <w:bCs/>
          <w:sz w:val="24"/>
          <w:szCs w:val="24"/>
          <w:lang w:eastAsia="en-IN"/>
        </w:rPr>
        <w:t xml:space="preserve"> </w:t>
      </w:r>
      <w:r w:rsidRPr="00086E07">
        <w:rPr>
          <w:rFonts w:ascii="Times New Roman" w:hAnsi="Times New Roman"/>
          <w:sz w:val="24"/>
          <w:szCs w:val="24"/>
          <w:lang w:eastAsia="en-IN"/>
        </w:rPr>
        <w:t>In Karnataka, where field bean is grown extensively as both an intercrop, a sole crop under rainfed and irrigated conditions, there is a critical need for sustainable and it can be considered as cost-effective</w:t>
      </w:r>
      <w:r w:rsidR="00CC55FE">
        <w:rPr>
          <w:rFonts w:ascii="Times New Roman" w:hAnsi="Times New Roman"/>
          <w:sz w:val="24"/>
          <w:szCs w:val="24"/>
          <w:lang w:eastAsia="en-IN"/>
        </w:rPr>
        <w:t xml:space="preserve"> method</w:t>
      </w:r>
      <w:r w:rsidRPr="00086E07">
        <w:rPr>
          <w:rFonts w:ascii="Times New Roman" w:hAnsi="Times New Roman"/>
          <w:sz w:val="24"/>
          <w:szCs w:val="24"/>
          <w:lang w:eastAsia="en-IN"/>
        </w:rPr>
        <w:t xml:space="preserve">. The increasing interest in botanical-based seed treatments offers a new avenue for utilizing </w:t>
      </w:r>
      <w:proofErr w:type="spellStart"/>
      <w:r w:rsidRPr="00086E07">
        <w:rPr>
          <w:rFonts w:ascii="Times New Roman" w:hAnsi="Times New Roman"/>
          <w:i/>
          <w:iCs/>
          <w:sz w:val="24"/>
          <w:szCs w:val="24"/>
          <w:lang w:eastAsia="en-IN"/>
        </w:rPr>
        <w:t>Acorus</w:t>
      </w:r>
      <w:proofErr w:type="spellEnd"/>
      <w:r w:rsidRPr="00086E07">
        <w:rPr>
          <w:rFonts w:ascii="Times New Roman" w:hAnsi="Times New Roman"/>
          <w:i/>
          <w:iCs/>
          <w:sz w:val="24"/>
          <w:szCs w:val="24"/>
          <w:lang w:eastAsia="en-IN"/>
        </w:rPr>
        <w:t xml:space="preserve"> calamus</w:t>
      </w:r>
      <w:r w:rsidRPr="00086E07">
        <w:rPr>
          <w:rFonts w:ascii="Times New Roman" w:hAnsi="Times New Roman"/>
          <w:sz w:val="24"/>
          <w:szCs w:val="24"/>
          <w:lang w:eastAsia="en-IN"/>
        </w:rPr>
        <w:t xml:space="preserve"> rhizome for enhancing</w:t>
      </w:r>
      <w:r w:rsidR="00B52F37">
        <w:rPr>
          <w:rFonts w:ascii="Times New Roman" w:hAnsi="Times New Roman"/>
          <w:sz w:val="24"/>
          <w:szCs w:val="24"/>
          <w:lang w:eastAsia="en-IN"/>
        </w:rPr>
        <w:t xml:space="preserve"> quality</w:t>
      </w:r>
      <w:r w:rsidRPr="00086E07">
        <w:rPr>
          <w:rFonts w:ascii="Times New Roman" w:hAnsi="Times New Roman"/>
          <w:sz w:val="24"/>
          <w:szCs w:val="24"/>
          <w:lang w:eastAsia="en-IN"/>
        </w:rPr>
        <w:t xml:space="preserve"> parameters. </w:t>
      </w:r>
    </w:p>
    <w:p w14:paraId="56ADEC97" w14:textId="3C4A7474" w:rsidR="00CE45D1" w:rsidRPr="00CE45D1" w:rsidRDefault="00CE45D1" w:rsidP="00452E8E">
      <w:pPr>
        <w:pStyle w:val="NormalWeb"/>
        <w:numPr>
          <w:ilvl w:val="0"/>
          <w:numId w:val="6"/>
        </w:numPr>
        <w:spacing w:before="280" w:beforeAutospacing="0" w:after="0" w:afterAutospacing="0" w:line="360" w:lineRule="auto"/>
        <w:ind w:left="426" w:hanging="425"/>
        <w:rPr>
          <w:b/>
          <w:color w:val="000000"/>
        </w:rPr>
      </w:pPr>
      <w:r w:rsidRPr="00CE45D1">
        <w:rPr>
          <w:b/>
          <w:color w:val="000000"/>
        </w:rPr>
        <w:t>MATERIAL AND METHODS</w:t>
      </w:r>
    </w:p>
    <w:p w14:paraId="4A3ECE2E" w14:textId="7C9DBA1C" w:rsidR="00CE45D1" w:rsidRPr="001D1EEE" w:rsidRDefault="00CE45D1" w:rsidP="00CE45D1">
      <w:pPr>
        <w:pStyle w:val="NormalWeb"/>
        <w:spacing w:before="280" w:beforeAutospacing="0" w:after="0" w:afterAutospacing="0" w:line="360" w:lineRule="auto"/>
        <w:ind w:firstLine="720"/>
        <w:jc w:val="both"/>
        <w:rPr>
          <w:b/>
          <w:color w:val="000000"/>
        </w:rPr>
      </w:pPr>
      <w:r w:rsidRPr="001D1EEE">
        <w:rPr>
          <w:color w:val="000000"/>
        </w:rPr>
        <w:t xml:space="preserve">Field bean seeds were subjected to </w:t>
      </w:r>
      <w:r w:rsidRPr="001D1EEE">
        <w:rPr>
          <w:rStyle w:val="Strong"/>
          <w:b w:val="0"/>
          <w:color w:val="000000"/>
        </w:rPr>
        <w:t>six different conc. sweet flag</w:t>
      </w:r>
      <w:r w:rsidRPr="001D1EEE">
        <w:rPr>
          <w:rStyle w:val="Strong"/>
          <w:color w:val="000000"/>
        </w:rPr>
        <w:t xml:space="preserve"> </w:t>
      </w:r>
      <w:r w:rsidRPr="001D1EEE">
        <w:rPr>
          <w:rStyle w:val="Strong"/>
          <w:b w:val="0"/>
          <w:color w:val="000000"/>
        </w:rPr>
        <w:t xml:space="preserve">rhizome-based and one </w:t>
      </w:r>
      <w:proofErr w:type="spellStart"/>
      <w:r w:rsidRPr="001D1EEE">
        <w:rPr>
          <w:rStyle w:val="Strong"/>
          <w:b w:val="0"/>
          <w:color w:val="000000"/>
        </w:rPr>
        <w:t>spinosad</w:t>
      </w:r>
      <w:proofErr w:type="spellEnd"/>
      <w:r w:rsidRPr="001D1EEE">
        <w:rPr>
          <w:rStyle w:val="Strong"/>
          <w:b w:val="0"/>
          <w:color w:val="000000"/>
        </w:rPr>
        <w:t xml:space="preserve"> seed treatments</w:t>
      </w:r>
      <w:r w:rsidRPr="001D1EEE">
        <w:rPr>
          <w:b/>
          <w:color w:val="000000"/>
        </w:rPr>
        <w:t>,</w:t>
      </w:r>
      <w:r w:rsidRPr="001D1EEE">
        <w:rPr>
          <w:color w:val="000000"/>
        </w:rPr>
        <w:t xml:space="preserve"> along with </w:t>
      </w:r>
      <w:r w:rsidRPr="001D1EEE">
        <w:rPr>
          <w:rStyle w:val="Strong"/>
          <w:b w:val="0"/>
          <w:color w:val="000000"/>
        </w:rPr>
        <w:t>one untreated control</w:t>
      </w:r>
      <w:r w:rsidRPr="001D1EEE">
        <w:rPr>
          <w:color w:val="000000"/>
        </w:rPr>
        <w:t>, to study their effect on</w:t>
      </w:r>
      <w:r w:rsidR="00452E8E">
        <w:rPr>
          <w:color w:val="000000"/>
        </w:rPr>
        <w:t xml:space="preserve"> </w:t>
      </w:r>
      <w:r w:rsidRPr="001D1EEE">
        <w:rPr>
          <w:color w:val="000000"/>
        </w:rPr>
        <w:t xml:space="preserve">seed quality parameters. The treatments were imposed </w:t>
      </w:r>
      <w:r w:rsidRPr="001D1EEE">
        <w:rPr>
          <w:rStyle w:val="Strong"/>
          <w:b w:val="0"/>
          <w:color w:val="000000"/>
        </w:rPr>
        <w:t xml:space="preserve">prior to </w:t>
      </w:r>
      <w:r w:rsidRPr="001D1EEE">
        <w:rPr>
          <w:rStyle w:val="Strong"/>
          <w:color w:val="000000"/>
        </w:rPr>
        <w:t>s</w:t>
      </w:r>
      <w:r w:rsidRPr="001D1EEE">
        <w:rPr>
          <w:rStyle w:val="Strong"/>
          <w:b w:val="0"/>
          <w:color w:val="000000"/>
        </w:rPr>
        <w:t>owing</w:t>
      </w:r>
      <w:r w:rsidRPr="001D1EEE">
        <w:rPr>
          <w:color w:val="000000"/>
        </w:rPr>
        <w:t xml:space="preserve"> and the experiment was laid out in</w:t>
      </w:r>
      <w:r w:rsidRPr="001D1EEE">
        <w:rPr>
          <w:b/>
          <w:color w:val="000000"/>
        </w:rPr>
        <w:t xml:space="preserve"> </w:t>
      </w:r>
      <w:r w:rsidRPr="001D1EEE">
        <w:rPr>
          <w:rStyle w:val="Strong"/>
          <w:b w:val="0"/>
          <w:color w:val="000000"/>
        </w:rPr>
        <w:t>Randomized Complete Block Design (RCBD)</w:t>
      </w:r>
      <w:r w:rsidRPr="001D1EEE">
        <w:rPr>
          <w:b/>
          <w:color w:val="000000"/>
        </w:rPr>
        <w:t xml:space="preserve"> </w:t>
      </w:r>
      <w:r w:rsidRPr="001D1EEE">
        <w:rPr>
          <w:color w:val="000000"/>
        </w:rPr>
        <w:t xml:space="preserve">with </w:t>
      </w:r>
      <w:r w:rsidRPr="001D1EEE">
        <w:rPr>
          <w:rStyle w:val="Strong"/>
          <w:b w:val="0"/>
          <w:color w:val="000000"/>
        </w:rPr>
        <w:t>three replications</w:t>
      </w:r>
      <w:r w:rsidR="00335F18">
        <w:rPr>
          <w:rStyle w:val="Strong"/>
          <w:b w:val="0"/>
          <w:color w:val="000000"/>
        </w:rPr>
        <w:t xml:space="preserve"> (Plate 1.)</w:t>
      </w:r>
      <w:r w:rsidRPr="00335F18">
        <w:rPr>
          <w:color w:val="000000"/>
        </w:rPr>
        <w:t>.</w:t>
      </w:r>
      <w:r w:rsidRPr="001D1EEE">
        <w:rPr>
          <w:color w:val="000000"/>
        </w:rPr>
        <w:t xml:space="preserve"> The treated seeds were sown under uniform agronomic conditions at the Research Institute of Organic Farming (RIOF), UAS, GKVK, Bengaluru. The details of seed treatments and treatment structure are presented in </w:t>
      </w:r>
      <w:r w:rsidRPr="001D1EEE">
        <w:rPr>
          <w:rStyle w:val="Strong"/>
          <w:b w:val="0"/>
          <w:color w:val="000000"/>
        </w:rPr>
        <w:t>Plate 2</w:t>
      </w:r>
      <w:r w:rsidRPr="001D1EEE">
        <w:rPr>
          <w:b/>
          <w:color w:val="000000"/>
        </w:rPr>
        <w:t xml:space="preserve">. </w:t>
      </w:r>
      <w:r w:rsidRPr="001D1EEE">
        <w:rPr>
          <w:color w:val="000000"/>
        </w:rPr>
        <w:t>The details are as follows:</w:t>
      </w:r>
    </w:p>
    <w:p w14:paraId="66788D5B" w14:textId="0E32B8A9" w:rsidR="00CE45D1" w:rsidRPr="001D1EEE" w:rsidRDefault="00CE45D1" w:rsidP="00CE45D1">
      <w:pPr>
        <w:pStyle w:val="NormalWeb"/>
        <w:spacing w:before="280" w:beforeAutospacing="0" w:after="0" w:afterAutospacing="0" w:line="360" w:lineRule="auto"/>
        <w:jc w:val="both"/>
        <w:rPr>
          <w:color w:val="000000"/>
        </w:rPr>
      </w:pPr>
      <w:r w:rsidRPr="001D1EEE">
        <w:rPr>
          <w:b/>
          <w:color w:val="000000"/>
        </w:rPr>
        <w:t>Treatment details:</w:t>
      </w:r>
    </w:p>
    <w:p w14:paraId="39D3C34F" w14:textId="77777777" w:rsidR="00CE45D1" w:rsidRPr="001D1EEE" w:rsidRDefault="00CE45D1" w:rsidP="00CE45D1">
      <w:pPr>
        <w:spacing w:before="12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1</w:t>
      </w:r>
      <w:r w:rsidRPr="001D1EEE">
        <w:rPr>
          <w:rFonts w:ascii="Times New Roman" w:hAnsi="Times New Roman"/>
          <w:color w:val="000000"/>
          <w:sz w:val="24"/>
          <w:szCs w:val="24"/>
        </w:rPr>
        <w:t>: Control</w:t>
      </w:r>
    </w:p>
    <w:p w14:paraId="0BF89315" w14:textId="77777777" w:rsidR="00CE45D1" w:rsidRPr="001D1EEE"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2</w:t>
      </w:r>
      <w:r w:rsidRPr="001D1EEE">
        <w:rPr>
          <w:rFonts w:ascii="Times New Roman" w:hAnsi="Times New Roman"/>
          <w:color w:val="000000"/>
          <w:sz w:val="24"/>
          <w:szCs w:val="24"/>
        </w:rPr>
        <w:t>: Sweet flag rhizome powder at 5 g/kg</w:t>
      </w:r>
    </w:p>
    <w:p w14:paraId="5A2F36E3" w14:textId="77777777" w:rsidR="00CE45D1" w:rsidRPr="001D1EEE"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3</w:t>
      </w:r>
      <w:r w:rsidRPr="001D1EEE">
        <w:rPr>
          <w:rFonts w:ascii="Times New Roman" w:hAnsi="Times New Roman"/>
          <w:color w:val="000000"/>
          <w:sz w:val="24"/>
          <w:szCs w:val="24"/>
        </w:rPr>
        <w:t>: Sweet flag rhizome powder at 10 g/kg</w:t>
      </w:r>
    </w:p>
    <w:p w14:paraId="60598D63" w14:textId="77777777" w:rsidR="00CE45D1" w:rsidRPr="001D1EEE"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4</w:t>
      </w:r>
      <w:r w:rsidRPr="001D1EEE">
        <w:rPr>
          <w:rFonts w:ascii="Times New Roman" w:hAnsi="Times New Roman"/>
          <w:color w:val="000000"/>
          <w:sz w:val="24"/>
          <w:szCs w:val="24"/>
        </w:rPr>
        <w:t>: Sweet flag rhizome powder at 15 g/kg</w:t>
      </w:r>
    </w:p>
    <w:p w14:paraId="6691F085" w14:textId="77777777" w:rsidR="00CE45D1" w:rsidRPr="001D1EEE"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5</w:t>
      </w:r>
      <w:r w:rsidRPr="001D1EEE">
        <w:rPr>
          <w:rFonts w:ascii="Times New Roman" w:hAnsi="Times New Roman"/>
          <w:color w:val="000000"/>
          <w:sz w:val="24"/>
          <w:szCs w:val="24"/>
        </w:rPr>
        <w:t>: Sweet flag rhizome oil at 2.5 ml/kg</w:t>
      </w:r>
    </w:p>
    <w:p w14:paraId="07C50B31" w14:textId="77777777" w:rsidR="00CE45D1" w:rsidRPr="001D1EEE"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6</w:t>
      </w:r>
      <w:r w:rsidRPr="001D1EEE">
        <w:rPr>
          <w:rFonts w:ascii="Times New Roman" w:hAnsi="Times New Roman"/>
          <w:color w:val="000000"/>
          <w:sz w:val="24"/>
          <w:szCs w:val="24"/>
        </w:rPr>
        <w:t>: Sweet flag rhizome oil at 5 ml/kg</w:t>
      </w:r>
    </w:p>
    <w:p w14:paraId="2D4B075B" w14:textId="77777777" w:rsidR="00CE45D1" w:rsidRPr="001D1EEE"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7</w:t>
      </w:r>
      <w:r w:rsidRPr="001D1EEE">
        <w:rPr>
          <w:rFonts w:ascii="Times New Roman" w:hAnsi="Times New Roman"/>
          <w:color w:val="000000"/>
          <w:sz w:val="24"/>
          <w:szCs w:val="24"/>
        </w:rPr>
        <w:t>: Sweet flag rhizome oil at 7.5 ml/kg</w:t>
      </w:r>
    </w:p>
    <w:p w14:paraId="3265FC82" w14:textId="7B02BF28" w:rsidR="00CE45D1" w:rsidRDefault="00CE45D1" w:rsidP="00CE45D1">
      <w:pPr>
        <w:spacing w:before="90" w:after="0" w:line="360" w:lineRule="auto"/>
        <w:jc w:val="both"/>
        <w:rPr>
          <w:rFonts w:ascii="Times New Roman" w:hAnsi="Times New Roman"/>
          <w:color w:val="000000"/>
          <w:sz w:val="24"/>
          <w:szCs w:val="24"/>
        </w:rPr>
      </w:pPr>
      <w:r w:rsidRPr="001D1EEE">
        <w:rPr>
          <w:rFonts w:ascii="Times New Roman" w:hAnsi="Times New Roman"/>
          <w:color w:val="000000"/>
          <w:sz w:val="24"/>
          <w:szCs w:val="24"/>
        </w:rPr>
        <w:t>T</w:t>
      </w:r>
      <w:r w:rsidRPr="001D1EEE">
        <w:rPr>
          <w:rFonts w:ascii="Times New Roman" w:hAnsi="Times New Roman"/>
          <w:color w:val="000000"/>
          <w:sz w:val="24"/>
          <w:szCs w:val="24"/>
          <w:vertAlign w:val="subscript"/>
        </w:rPr>
        <w:t>8</w:t>
      </w:r>
      <w:r w:rsidRPr="001D1EEE">
        <w:rPr>
          <w:rFonts w:ascii="Times New Roman" w:hAnsi="Times New Roman"/>
          <w:color w:val="000000"/>
          <w:sz w:val="24"/>
          <w:szCs w:val="24"/>
        </w:rPr>
        <w:t>: Spinosad at 0.04 ml/kg</w:t>
      </w:r>
    </w:p>
    <w:p w14:paraId="52FE79D2" w14:textId="4293B329" w:rsidR="00CE45D1" w:rsidRDefault="00CE45D1" w:rsidP="00CE45D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CE45D1">
        <w:rPr>
          <w:rFonts w:ascii="Times New Roman" w:eastAsia="Times New Roman" w:hAnsi="Times New Roman" w:cs="Times New Roman"/>
          <w:sz w:val="24"/>
          <w:szCs w:val="24"/>
          <w:lang w:eastAsia="en-IN"/>
        </w:rPr>
        <w:lastRenderedPageBreak/>
        <w:t xml:space="preserve">The field experiment was conducted during the </w:t>
      </w:r>
      <w:proofErr w:type="spellStart"/>
      <w:r w:rsidRPr="00CE45D1">
        <w:rPr>
          <w:rFonts w:ascii="Times New Roman" w:eastAsia="Times New Roman" w:hAnsi="Times New Roman" w:cs="Times New Roman"/>
          <w:i/>
          <w:iCs/>
          <w:sz w:val="24"/>
          <w:szCs w:val="24"/>
          <w:lang w:eastAsia="en-IN"/>
        </w:rPr>
        <w:t>rabi</w:t>
      </w:r>
      <w:proofErr w:type="spellEnd"/>
      <w:r w:rsidRPr="00CE45D1">
        <w:rPr>
          <w:rFonts w:ascii="Times New Roman" w:eastAsia="Times New Roman" w:hAnsi="Times New Roman" w:cs="Times New Roman"/>
          <w:sz w:val="24"/>
          <w:szCs w:val="24"/>
          <w:lang w:eastAsia="en-IN"/>
        </w:rPr>
        <w:t xml:space="preserve"> season, commencing in December 2024 and completed in April 2025. The experiment was laid out in a Randomized Complete Block Design (RCBD) with three replication</w:t>
      </w:r>
      <w:r w:rsidR="00E9122F">
        <w:rPr>
          <w:rFonts w:ascii="Times New Roman" w:eastAsia="Times New Roman" w:hAnsi="Times New Roman" w:cs="Times New Roman"/>
          <w:sz w:val="24"/>
          <w:szCs w:val="24"/>
          <w:lang w:eastAsia="en-IN"/>
        </w:rPr>
        <w:t>s</w:t>
      </w:r>
      <w:r w:rsidRPr="00CE45D1">
        <w:rPr>
          <w:rFonts w:ascii="Times New Roman" w:eastAsia="Times New Roman" w:hAnsi="Times New Roman" w:cs="Times New Roman"/>
          <w:sz w:val="24"/>
          <w:szCs w:val="24"/>
          <w:lang w:eastAsia="en-IN"/>
        </w:rPr>
        <w:t>. The land was well ploughed and brought to a fine tilth by two to three harrowing followed by levelling, after which well-decomposed farmyard manure was applied uniformly to all the beds. Each plot measured 3 m × 3 m as a gross plot, while a net plot size of 2.4 m × 1.8 m was considered for recording yield observations, excluding the two border rows on each side. Prior to sowing, seeds were subjected to seven different treatments and one untreated control. A common irrigation was provided to all treatments before sowing to ensure uniform seed germination and an optimum plant stand under field conditions.</w:t>
      </w:r>
    </w:p>
    <w:p w14:paraId="1279874F" w14:textId="1EEE8C5B" w:rsidR="00CE45D1" w:rsidRPr="001D1EEE" w:rsidRDefault="00452E8E" w:rsidP="00CE45D1">
      <w:pPr>
        <w:spacing w:before="280" w:after="0" w:line="240" w:lineRule="auto"/>
        <w:jc w:val="both"/>
        <w:rPr>
          <w:rFonts w:ascii="Times New Roman" w:hAnsi="Times New Roman"/>
          <w:b/>
          <w:color w:val="000000"/>
          <w:sz w:val="24"/>
          <w:szCs w:val="24"/>
        </w:rPr>
      </w:pPr>
      <w:r>
        <w:rPr>
          <w:rFonts w:ascii="Times New Roman" w:hAnsi="Times New Roman"/>
          <w:b/>
          <w:color w:val="000000"/>
          <w:sz w:val="24"/>
          <w:szCs w:val="24"/>
        </w:rPr>
        <w:t>Seed quality</w:t>
      </w:r>
      <w:r w:rsidR="00CE45D1" w:rsidRPr="001D1EEE">
        <w:rPr>
          <w:rFonts w:ascii="Times New Roman" w:hAnsi="Times New Roman"/>
          <w:b/>
          <w:color w:val="000000"/>
          <w:sz w:val="24"/>
          <w:szCs w:val="24"/>
        </w:rPr>
        <w:t xml:space="preserve"> parameters:</w:t>
      </w:r>
    </w:p>
    <w:p w14:paraId="692F925B" w14:textId="63BAA800" w:rsidR="00452E8E" w:rsidRPr="001D1EEE" w:rsidRDefault="00452E8E" w:rsidP="00452E8E">
      <w:pPr>
        <w:pStyle w:val="NormalWeb"/>
        <w:spacing w:before="280" w:beforeAutospacing="0" w:after="0" w:afterAutospacing="0"/>
        <w:jc w:val="both"/>
        <w:rPr>
          <w:b/>
          <w:color w:val="000000"/>
        </w:rPr>
      </w:pPr>
      <w:r w:rsidRPr="001D1EEE">
        <w:rPr>
          <w:b/>
          <w:color w:val="000000"/>
        </w:rPr>
        <w:t>Seed germination (%)</w:t>
      </w:r>
    </w:p>
    <w:p w14:paraId="610E9967"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The germination test was conducted as per ISTA (2021) guidelines using the between-paper method in the Seed Testing Laboratory. From each treatment, 50 seeds were randomly selected in three replications and placed equidistantly on moist paper towels. The towels were rolled and kept in a germination chamber maintained at 25 ± 1°C temperature and 90% relative humidity. The first count and final count of normal seedlings were taken on the 4th and 10th day, respectively. The percentage of normal seedlings was calculated and expressed as germination percentage.</w:t>
      </w:r>
    </w:p>
    <w:p w14:paraId="081FF749" w14:textId="4560B1B4" w:rsidR="00452E8E" w:rsidRPr="001D1EEE" w:rsidRDefault="00452E8E" w:rsidP="00452E8E">
      <w:pPr>
        <w:pStyle w:val="NormalWeb"/>
        <w:spacing w:before="280" w:beforeAutospacing="0" w:after="0" w:afterAutospacing="0"/>
        <w:jc w:val="both"/>
        <w:rPr>
          <w:color w:val="000000"/>
        </w:rPr>
      </w:pPr>
      <w:r w:rsidRPr="001D1EEE">
        <w:rPr>
          <w:b/>
          <w:color w:val="000000"/>
        </w:rPr>
        <w:t>Speed of germination</w:t>
      </w:r>
    </w:p>
    <w:p w14:paraId="4D5E7074"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Seeds were germinated on moist paper towels with four replications of 50 seeds each. Germinated seeds were counted daily until the final count was taken. The speed of germination was calculated using the formula suggested by Maguire (1962):</w:t>
      </w:r>
    </w:p>
    <w:p w14:paraId="3B0CF02D" w14:textId="77777777" w:rsidR="00452E8E" w:rsidRPr="001D1EEE" w:rsidRDefault="00452E8E" w:rsidP="00452E8E">
      <w:pPr>
        <w:pStyle w:val="NormalWeb"/>
        <w:spacing w:before="120" w:beforeAutospacing="0" w:after="0" w:afterAutospacing="0" w:line="360" w:lineRule="auto"/>
        <w:jc w:val="center"/>
        <w:rPr>
          <w:color w:val="000000"/>
        </w:rPr>
      </w:pPr>
      <w:r w:rsidRPr="001D1EEE">
        <w:rPr>
          <w:b/>
          <w:color w:val="000000"/>
        </w:rPr>
        <w:t>Speed of germination</w:t>
      </w:r>
      <w:r w:rsidRPr="001D1EEE">
        <w:rPr>
          <w:color w:val="000000"/>
        </w:rPr>
        <w:t xml:space="preserve"> = G1/D1 + G2/D2 + ... + </w:t>
      </w:r>
      <w:proofErr w:type="spellStart"/>
      <w:r w:rsidRPr="001D1EEE">
        <w:rPr>
          <w:color w:val="000000"/>
        </w:rPr>
        <w:t>Gn</w:t>
      </w:r>
      <w:proofErr w:type="spellEnd"/>
      <w:r w:rsidRPr="001D1EEE">
        <w:rPr>
          <w:color w:val="000000"/>
        </w:rPr>
        <w:t>/Dn.</w:t>
      </w:r>
    </w:p>
    <w:p w14:paraId="7A66C69C" w14:textId="77777777" w:rsidR="00452E8E" w:rsidRDefault="00452E8E" w:rsidP="00452E8E">
      <w:pPr>
        <w:pStyle w:val="NormalWeb"/>
        <w:spacing w:before="120" w:beforeAutospacing="0" w:after="0" w:afterAutospacing="0" w:line="360" w:lineRule="auto"/>
        <w:rPr>
          <w:color w:val="000000"/>
        </w:rPr>
      </w:pPr>
      <w:r w:rsidRPr="001D1EEE">
        <w:rPr>
          <w:color w:val="000000"/>
        </w:rPr>
        <w:t>Where,</w:t>
      </w:r>
    </w:p>
    <w:p w14:paraId="53DE4DD3" w14:textId="77777777" w:rsidR="00452E8E" w:rsidRPr="001D1EEE" w:rsidRDefault="00452E8E" w:rsidP="00452E8E">
      <w:pPr>
        <w:pStyle w:val="NormalWeb"/>
        <w:spacing w:before="0" w:beforeAutospacing="0" w:after="0" w:afterAutospacing="0" w:line="360" w:lineRule="auto"/>
        <w:ind w:firstLine="720"/>
        <w:rPr>
          <w:color w:val="000000"/>
        </w:rPr>
      </w:pPr>
      <w:r w:rsidRPr="001D1EEE">
        <w:rPr>
          <w:color w:val="000000"/>
        </w:rPr>
        <w:t>G1, G2...</w:t>
      </w:r>
      <w:proofErr w:type="spellStart"/>
      <w:r w:rsidRPr="001D1EEE">
        <w:rPr>
          <w:color w:val="000000"/>
        </w:rPr>
        <w:t>Gn</w:t>
      </w:r>
      <w:proofErr w:type="spellEnd"/>
      <w:r w:rsidRPr="001D1EEE">
        <w:rPr>
          <w:color w:val="000000"/>
        </w:rPr>
        <w:t xml:space="preserve"> = number of seeds germinated on day D1, D2...</w:t>
      </w:r>
      <w:proofErr w:type="spellStart"/>
      <w:r w:rsidRPr="001D1EEE">
        <w:rPr>
          <w:color w:val="000000"/>
        </w:rPr>
        <w:t>Dn</w:t>
      </w:r>
      <w:proofErr w:type="spellEnd"/>
      <w:r w:rsidRPr="001D1EEE">
        <w:rPr>
          <w:color w:val="000000"/>
        </w:rPr>
        <w:t xml:space="preserve"> respectively.</w:t>
      </w:r>
    </w:p>
    <w:p w14:paraId="125C7AEF" w14:textId="48C5AB61" w:rsidR="00452E8E" w:rsidRPr="001D1EEE" w:rsidRDefault="00452E8E" w:rsidP="00452E8E">
      <w:pPr>
        <w:pStyle w:val="NormalWeb"/>
        <w:spacing w:before="280" w:beforeAutospacing="0" w:after="0" w:afterAutospacing="0"/>
        <w:jc w:val="both"/>
        <w:rPr>
          <w:color w:val="000000"/>
        </w:rPr>
      </w:pPr>
      <w:r w:rsidRPr="001D1EEE">
        <w:rPr>
          <w:b/>
          <w:color w:val="000000"/>
        </w:rPr>
        <w:t>Shoot length (cm)</w:t>
      </w:r>
    </w:p>
    <w:p w14:paraId="00E4F028"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 xml:space="preserve">From the standard germination test, ten normal seedlings were randomly selected from each treatment in three replications on the day of the final count. The shoot length </w:t>
      </w:r>
      <w:r w:rsidRPr="001D1EEE">
        <w:rPr>
          <w:color w:val="000000"/>
        </w:rPr>
        <w:lastRenderedPageBreak/>
        <w:t xml:space="preserve">was measured from the collar region to the tip of the shoot using a ruler. The average was calculated and expressed in </w:t>
      </w:r>
      <w:proofErr w:type="spellStart"/>
      <w:r w:rsidRPr="001D1EEE">
        <w:rPr>
          <w:color w:val="000000"/>
        </w:rPr>
        <w:t>centimeters</w:t>
      </w:r>
      <w:proofErr w:type="spellEnd"/>
      <w:r w:rsidRPr="001D1EEE">
        <w:rPr>
          <w:color w:val="000000"/>
        </w:rPr>
        <w:t xml:space="preserve"> (cm).</w:t>
      </w:r>
    </w:p>
    <w:p w14:paraId="05FA493B" w14:textId="796E1C68" w:rsidR="00452E8E" w:rsidRPr="001D1EEE" w:rsidRDefault="00452E8E" w:rsidP="00452E8E">
      <w:pPr>
        <w:pStyle w:val="NormalWeb"/>
        <w:spacing w:before="280" w:beforeAutospacing="0" w:after="0" w:afterAutospacing="0"/>
        <w:jc w:val="both"/>
        <w:rPr>
          <w:b/>
          <w:color w:val="000000"/>
        </w:rPr>
      </w:pPr>
      <w:r w:rsidRPr="001D1EEE">
        <w:rPr>
          <w:b/>
          <w:color w:val="000000"/>
        </w:rPr>
        <w:t>Root length (cm)</w:t>
      </w:r>
    </w:p>
    <w:p w14:paraId="6DD81A06"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 xml:space="preserve">Ten normal seedlings were randomly selected from each treatment in three replications on the day of final count. Root length was measured from the collar region to the tip of the primary root. The average was computed and expressed in </w:t>
      </w:r>
      <w:proofErr w:type="spellStart"/>
      <w:r w:rsidRPr="001D1EEE">
        <w:rPr>
          <w:color w:val="000000"/>
        </w:rPr>
        <w:t>centimeters</w:t>
      </w:r>
      <w:proofErr w:type="spellEnd"/>
      <w:r w:rsidRPr="001D1EEE">
        <w:rPr>
          <w:color w:val="000000"/>
        </w:rPr>
        <w:t xml:space="preserve"> (cm).</w:t>
      </w:r>
    </w:p>
    <w:p w14:paraId="166B3DDC" w14:textId="3B1B15F7" w:rsidR="00452E8E" w:rsidRPr="001D1EEE" w:rsidRDefault="00452E8E" w:rsidP="00452E8E">
      <w:pPr>
        <w:pStyle w:val="NormalWeb"/>
        <w:spacing w:before="280" w:beforeAutospacing="0" w:after="0" w:afterAutospacing="0"/>
        <w:jc w:val="both"/>
        <w:rPr>
          <w:b/>
          <w:color w:val="000000"/>
        </w:rPr>
      </w:pPr>
      <w:r w:rsidRPr="001D1EEE">
        <w:rPr>
          <w:b/>
          <w:color w:val="000000"/>
        </w:rPr>
        <w:t>Seedling length (cm)</w:t>
      </w:r>
    </w:p>
    <w:p w14:paraId="2B30E722"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 xml:space="preserve">On the 10th day of germination, ten normal seedlings were randomly selected from each replication. The length of each seedling was measured from the tip of the primary root to the tip of the apical shoot. The average seedling length was calculated and expressed in </w:t>
      </w:r>
      <w:proofErr w:type="spellStart"/>
      <w:r w:rsidRPr="001D1EEE">
        <w:rPr>
          <w:color w:val="000000"/>
        </w:rPr>
        <w:t>centimeters</w:t>
      </w:r>
      <w:proofErr w:type="spellEnd"/>
      <w:r w:rsidRPr="001D1EEE">
        <w:rPr>
          <w:color w:val="000000"/>
        </w:rPr>
        <w:t xml:space="preserve"> (cm).</w:t>
      </w:r>
    </w:p>
    <w:p w14:paraId="0E1FBE66" w14:textId="389ED200" w:rsidR="00452E8E" w:rsidRPr="001D1EEE" w:rsidRDefault="00452E8E" w:rsidP="00452E8E">
      <w:pPr>
        <w:pStyle w:val="NormalWeb"/>
        <w:spacing w:before="280" w:beforeAutospacing="0" w:after="0" w:afterAutospacing="0"/>
        <w:jc w:val="both"/>
        <w:rPr>
          <w:b/>
          <w:color w:val="000000"/>
        </w:rPr>
      </w:pPr>
      <w:r w:rsidRPr="001D1EEE">
        <w:rPr>
          <w:b/>
          <w:color w:val="000000"/>
        </w:rPr>
        <w:t>Seedling dry weight (mg)</w:t>
      </w:r>
    </w:p>
    <w:p w14:paraId="72D8079F"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The same ten seedlings used for measuring shoot and root lengths were collected and wrapped in butter paper, then dried in a hot air oven at 80°C for 24 hours. After drying, they were cooled in a desiccator for 45 minutes and weighed using an electronic balance. The mean dry weight was calculated and expressed in milligrams (mg).</w:t>
      </w:r>
    </w:p>
    <w:p w14:paraId="64A96448" w14:textId="5E6F972B" w:rsidR="00452E8E" w:rsidRPr="001D1EEE" w:rsidRDefault="00452E8E" w:rsidP="00452E8E">
      <w:pPr>
        <w:pStyle w:val="NormalWeb"/>
        <w:spacing w:before="280" w:beforeAutospacing="0" w:after="0" w:afterAutospacing="0"/>
        <w:jc w:val="both"/>
        <w:rPr>
          <w:b/>
          <w:color w:val="000000"/>
        </w:rPr>
      </w:pPr>
      <w:r w:rsidRPr="001D1EEE">
        <w:rPr>
          <w:b/>
          <w:color w:val="000000"/>
        </w:rPr>
        <w:t>Seedling vigour index-I</w:t>
      </w:r>
    </w:p>
    <w:p w14:paraId="5179125F"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Seedling vigour index-I was calculated using the formula proposed by Abdul-</w:t>
      </w:r>
      <w:proofErr w:type="spellStart"/>
      <w:r w:rsidRPr="001D1EEE">
        <w:rPr>
          <w:color w:val="000000"/>
        </w:rPr>
        <w:t>Baki</w:t>
      </w:r>
      <w:proofErr w:type="spellEnd"/>
      <w:r w:rsidRPr="001D1EEE">
        <w:rPr>
          <w:color w:val="000000"/>
        </w:rPr>
        <w:t xml:space="preserve"> and Anderson (1973) as follows:</w:t>
      </w:r>
    </w:p>
    <w:p w14:paraId="2CC295CA" w14:textId="77777777" w:rsidR="00452E8E" w:rsidRPr="001D1EEE" w:rsidRDefault="00452E8E" w:rsidP="00452E8E">
      <w:pPr>
        <w:pStyle w:val="NormalWeb"/>
        <w:spacing w:before="120" w:beforeAutospacing="0" w:after="0" w:afterAutospacing="0" w:line="360" w:lineRule="auto"/>
        <w:ind w:left="2700" w:hanging="2700"/>
        <w:jc w:val="both"/>
        <w:rPr>
          <w:color w:val="000000"/>
        </w:rPr>
      </w:pPr>
      <w:r w:rsidRPr="00BA3CA5">
        <w:rPr>
          <w:color w:val="000000"/>
        </w:rPr>
        <w:t>Seedling vigour index-I =</w:t>
      </w:r>
      <w:r w:rsidRPr="00BA3CA5">
        <w:rPr>
          <w:color w:val="000000"/>
        </w:rPr>
        <w:tab/>
      </w:r>
      <w:r w:rsidRPr="001D1EEE">
        <w:rPr>
          <w:color w:val="000000"/>
        </w:rPr>
        <w:t>Germination (%) × Seedling length (cm)</w:t>
      </w:r>
      <w:r w:rsidRPr="001D1EEE">
        <w:rPr>
          <w:color w:val="000000"/>
        </w:rPr>
        <w:br/>
        <w:t>The value was expressed as a whole number.</w:t>
      </w:r>
    </w:p>
    <w:p w14:paraId="3FF9209A" w14:textId="4D5D418F" w:rsidR="00452E8E" w:rsidRPr="001D1EEE" w:rsidRDefault="00452E8E" w:rsidP="00452E8E">
      <w:pPr>
        <w:pStyle w:val="NormalWeb"/>
        <w:spacing w:before="280" w:beforeAutospacing="0" w:after="0" w:afterAutospacing="0"/>
        <w:jc w:val="both"/>
        <w:rPr>
          <w:b/>
          <w:color w:val="000000"/>
        </w:rPr>
      </w:pPr>
      <w:r w:rsidRPr="001D1EEE">
        <w:rPr>
          <w:b/>
          <w:color w:val="000000"/>
        </w:rPr>
        <w:t>Seedling vigour index-II</w:t>
      </w:r>
    </w:p>
    <w:p w14:paraId="536492F4" w14:textId="77777777" w:rsidR="00452E8E" w:rsidRPr="001D1EEE" w:rsidRDefault="00452E8E" w:rsidP="00452E8E">
      <w:pPr>
        <w:pStyle w:val="NormalWeb"/>
        <w:spacing w:before="280" w:beforeAutospacing="0" w:after="0" w:afterAutospacing="0" w:line="360" w:lineRule="auto"/>
        <w:ind w:firstLine="720"/>
        <w:jc w:val="both"/>
        <w:rPr>
          <w:color w:val="000000"/>
        </w:rPr>
      </w:pPr>
      <w:r w:rsidRPr="001D1EEE">
        <w:rPr>
          <w:color w:val="000000"/>
        </w:rPr>
        <w:t>Seedling vigour index-II was calculated by multiplying the germination percentage with the average seedling dry weight (mg) as follows:</w:t>
      </w:r>
    </w:p>
    <w:p w14:paraId="546680C4" w14:textId="77777777" w:rsidR="00452E8E" w:rsidRPr="001D1EEE" w:rsidRDefault="00452E8E" w:rsidP="00452E8E">
      <w:pPr>
        <w:pStyle w:val="NormalWeb"/>
        <w:spacing w:before="120" w:beforeAutospacing="0" w:after="0" w:afterAutospacing="0" w:line="360" w:lineRule="auto"/>
        <w:ind w:left="2880" w:hanging="2880"/>
        <w:jc w:val="both"/>
        <w:rPr>
          <w:color w:val="000000"/>
        </w:rPr>
      </w:pPr>
      <w:r w:rsidRPr="00BA3CA5">
        <w:rPr>
          <w:color w:val="000000"/>
        </w:rPr>
        <w:t>Seedling vigour index-II</w:t>
      </w:r>
      <w:r w:rsidRPr="001D1EEE">
        <w:rPr>
          <w:color w:val="000000"/>
        </w:rPr>
        <w:t xml:space="preserve"> =</w:t>
      </w:r>
      <w:r>
        <w:rPr>
          <w:color w:val="000000"/>
        </w:rPr>
        <w:tab/>
      </w:r>
      <w:r w:rsidRPr="001D1EEE">
        <w:rPr>
          <w:color w:val="000000"/>
        </w:rPr>
        <w:t>Germination (%) × Seedling dry weight (mg)</w:t>
      </w:r>
      <w:r w:rsidRPr="001D1EEE">
        <w:rPr>
          <w:color w:val="000000"/>
        </w:rPr>
        <w:br/>
        <w:t>The value was expressed as a whole number.</w:t>
      </w:r>
    </w:p>
    <w:p w14:paraId="7910734D" w14:textId="3FF8CA34" w:rsidR="00335F18" w:rsidRDefault="00335F18" w:rsidP="00BA3CA5">
      <w:pPr>
        <w:pStyle w:val="NormalWeb"/>
        <w:spacing w:before="280" w:beforeAutospacing="0" w:after="0" w:afterAutospacing="0" w:line="360" w:lineRule="auto"/>
        <w:jc w:val="both"/>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06"/>
      </w:tblGrid>
      <w:tr w:rsidR="00335F18" w:rsidRPr="008F273F" w14:paraId="415424A2" w14:textId="77777777" w:rsidTr="000D36D0">
        <w:trPr>
          <w:jc w:val="center"/>
        </w:trPr>
        <w:tc>
          <w:tcPr>
            <w:tcW w:w="2500" w:type="pct"/>
          </w:tcPr>
          <w:p w14:paraId="7DDBFFC4" w14:textId="77777777" w:rsidR="00335F18" w:rsidRPr="008F273F" w:rsidRDefault="00335F18" w:rsidP="000D36D0">
            <w:pPr>
              <w:spacing w:line="360" w:lineRule="auto"/>
              <w:jc w:val="center"/>
              <w:rPr>
                <w:rFonts w:ascii="Times New Roman" w:hAnsi="Times New Roman"/>
                <w:b/>
                <w:bCs/>
              </w:rPr>
            </w:pPr>
            <w:r w:rsidRPr="008F273F">
              <w:rPr>
                <w:b/>
                <w:bCs/>
                <w:noProof/>
              </w:rPr>
              <w:lastRenderedPageBreak/>
              <w:drawing>
                <wp:inline distT="0" distB="0" distL="0" distR="0" wp14:anchorId="4B436364" wp14:editId="7348D52F">
                  <wp:extent cx="2103120" cy="3227832"/>
                  <wp:effectExtent l="0" t="0" r="0" b="0"/>
                  <wp:docPr id="205498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referRelativeResize="0">
                            <a:picLocks noChangeAspect="1"/>
                          </pic:cNvPicPr>
                        </pic:nvPicPr>
                        <pic:blipFill rotWithShape="1">
                          <a:blip r:embed="rId7" cstate="print">
                            <a:extLst>
                              <a:ext uri="{28A0092B-C50C-407E-A947-70E740481C1C}">
                                <a14:useLocalDpi xmlns:a14="http://schemas.microsoft.com/office/drawing/2010/main" val="0"/>
                              </a:ext>
                            </a:extLst>
                          </a:blip>
                          <a:srcRect l="11148" r="17795"/>
                          <a:stretch>
                            <a:fillRect/>
                          </a:stretch>
                        </pic:blipFill>
                        <pic:spPr bwMode="auto">
                          <a:xfrm>
                            <a:off x="0" y="0"/>
                            <a:ext cx="2103120" cy="3227832"/>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7BF0009B" w14:textId="77777777" w:rsidR="00335F18" w:rsidRPr="008F273F" w:rsidRDefault="00335F18" w:rsidP="000D36D0">
            <w:pPr>
              <w:spacing w:line="360" w:lineRule="auto"/>
              <w:jc w:val="center"/>
              <w:rPr>
                <w:rFonts w:ascii="Times New Roman" w:hAnsi="Times New Roman"/>
                <w:b/>
                <w:bCs/>
              </w:rPr>
            </w:pPr>
            <w:r w:rsidRPr="008F273F">
              <w:rPr>
                <w:b/>
                <w:bCs/>
                <w:noProof/>
              </w:rPr>
              <w:drawing>
                <wp:inline distT="0" distB="0" distL="0" distR="0" wp14:anchorId="4C275CD7" wp14:editId="1D218C2F">
                  <wp:extent cx="2103120" cy="3227832"/>
                  <wp:effectExtent l="0" t="0" r="0" b="0"/>
                  <wp:docPr id="71092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b="9540"/>
                          <a:stretch/>
                        </pic:blipFill>
                        <pic:spPr>
                          <a:xfrm>
                            <a:off x="0" y="0"/>
                            <a:ext cx="2103120" cy="3227832"/>
                          </a:xfrm>
                          <a:prstGeom prst="rect">
                            <a:avLst/>
                          </a:prstGeom>
                        </pic:spPr>
                      </pic:pic>
                    </a:graphicData>
                  </a:graphic>
                </wp:inline>
              </w:drawing>
            </w:r>
          </w:p>
        </w:tc>
      </w:tr>
      <w:tr w:rsidR="00335F18" w:rsidRPr="008F273F" w14:paraId="73BCA6D7" w14:textId="77777777" w:rsidTr="000D36D0">
        <w:trPr>
          <w:jc w:val="center"/>
        </w:trPr>
        <w:tc>
          <w:tcPr>
            <w:tcW w:w="2500" w:type="pct"/>
          </w:tcPr>
          <w:p w14:paraId="540E2B19" w14:textId="77777777" w:rsidR="00335F18" w:rsidRPr="008F273F" w:rsidRDefault="00335F18" w:rsidP="000D36D0">
            <w:pPr>
              <w:spacing w:line="360" w:lineRule="auto"/>
              <w:jc w:val="center"/>
              <w:rPr>
                <w:rFonts w:ascii="Times New Roman" w:hAnsi="Times New Roman"/>
                <w:b/>
                <w:bCs/>
              </w:rPr>
            </w:pPr>
            <w:r w:rsidRPr="008F273F">
              <w:rPr>
                <w:rFonts w:ascii="Times New Roman" w:hAnsi="Times New Roman"/>
                <w:b/>
                <w:bCs/>
                <w:lang w:val="en-US"/>
              </w:rPr>
              <w:t>Sweet flag rhizome powder</w:t>
            </w:r>
          </w:p>
        </w:tc>
        <w:tc>
          <w:tcPr>
            <w:tcW w:w="2500" w:type="pct"/>
          </w:tcPr>
          <w:p w14:paraId="3E984C87" w14:textId="77777777" w:rsidR="00335F18" w:rsidRPr="008F273F" w:rsidRDefault="00335F18" w:rsidP="000D36D0">
            <w:pPr>
              <w:spacing w:line="360" w:lineRule="auto"/>
              <w:jc w:val="center"/>
              <w:rPr>
                <w:rFonts w:ascii="Times New Roman" w:hAnsi="Times New Roman"/>
                <w:b/>
                <w:bCs/>
              </w:rPr>
            </w:pPr>
            <w:r w:rsidRPr="008F273F">
              <w:rPr>
                <w:rFonts w:ascii="Times New Roman" w:hAnsi="Times New Roman"/>
                <w:b/>
                <w:bCs/>
                <w:lang w:val="en-US"/>
              </w:rPr>
              <w:t>Sweet flag rhizome oil</w:t>
            </w:r>
          </w:p>
        </w:tc>
      </w:tr>
      <w:tr w:rsidR="00335F18" w:rsidRPr="008F273F" w14:paraId="2B6144D8" w14:textId="77777777" w:rsidTr="000D36D0">
        <w:trPr>
          <w:jc w:val="center"/>
        </w:trPr>
        <w:tc>
          <w:tcPr>
            <w:tcW w:w="2500" w:type="pct"/>
          </w:tcPr>
          <w:p w14:paraId="2759711B" w14:textId="77777777" w:rsidR="00335F18" w:rsidRPr="008F273F" w:rsidRDefault="00335F18" w:rsidP="000D36D0">
            <w:pPr>
              <w:spacing w:line="360" w:lineRule="auto"/>
              <w:jc w:val="center"/>
              <w:rPr>
                <w:rFonts w:ascii="Times New Roman" w:hAnsi="Times New Roman"/>
                <w:b/>
                <w:bCs/>
                <w:lang w:val="en-US"/>
              </w:rPr>
            </w:pPr>
          </w:p>
        </w:tc>
        <w:tc>
          <w:tcPr>
            <w:tcW w:w="2500" w:type="pct"/>
          </w:tcPr>
          <w:p w14:paraId="2D54DAF9" w14:textId="77777777" w:rsidR="00335F18" w:rsidRPr="008F273F" w:rsidRDefault="00335F18" w:rsidP="000D36D0">
            <w:pPr>
              <w:spacing w:line="360" w:lineRule="auto"/>
              <w:jc w:val="center"/>
              <w:rPr>
                <w:rFonts w:ascii="Times New Roman" w:hAnsi="Times New Roman"/>
                <w:b/>
                <w:bCs/>
                <w:lang w:val="en-US"/>
              </w:rPr>
            </w:pPr>
          </w:p>
        </w:tc>
      </w:tr>
      <w:tr w:rsidR="00335F18" w:rsidRPr="008F273F" w14:paraId="5985599E" w14:textId="77777777" w:rsidTr="000D36D0">
        <w:trPr>
          <w:jc w:val="center"/>
        </w:trPr>
        <w:tc>
          <w:tcPr>
            <w:tcW w:w="2500" w:type="pct"/>
          </w:tcPr>
          <w:p w14:paraId="4D9AE9C2" w14:textId="77777777" w:rsidR="00335F18" w:rsidRPr="008F273F" w:rsidRDefault="00335F18" w:rsidP="000D36D0">
            <w:pPr>
              <w:spacing w:line="360" w:lineRule="auto"/>
              <w:jc w:val="center"/>
              <w:rPr>
                <w:rFonts w:ascii="Times New Roman" w:hAnsi="Times New Roman"/>
                <w:b/>
                <w:bCs/>
              </w:rPr>
            </w:pPr>
            <w:r w:rsidRPr="008F273F">
              <w:rPr>
                <w:b/>
                <w:bCs/>
                <w:noProof/>
              </w:rPr>
              <w:drawing>
                <wp:inline distT="0" distB="0" distL="0" distR="0" wp14:anchorId="2B0BA604" wp14:editId="78ECB11B">
                  <wp:extent cx="2103120" cy="3227832"/>
                  <wp:effectExtent l="0" t="0" r="0" b="0"/>
                  <wp:docPr id="1465431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referRelativeResize="0">
                            <a:picLocks noChangeAspect="1"/>
                          </pic:cNvPicPr>
                        </pic:nvPicPr>
                        <pic:blipFill rotWithShape="1">
                          <a:blip r:embed="rId9" cstate="print">
                            <a:extLst>
                              <a:ext uri="{28A0092B-C50C-407E-A947-70E740481C1C}">
                                <a14:useLocalDpi xmlns:a14="http://schemas.microsoft.com/office/drawing/2010/main" val="0"/>
                              </a:ext>
                            </a:extLst>
                          </a:blip>
                          <a:srcRect l="431" t="11408" r="8374" b="6693"/>
                          <a:stretch/>
                        </pic:blipFill>
                        <pic:spPr>
                          <a:xfrm>
                            <a:off x="0" y="0"/>
                            <a:ext cx="2103120" cy="3227832"/>
                          </a:xfrm>
                          <a:prstGeom prst="rect">
                            <a:avLst/>
                          </a:prstGeom>
                        </pic:spPr>
                      </pic:pic>
                    </a:graphicData>
                  </a:graphic>
                </wp:inline>
              </w:drawing>
            </w:r>
          </w:p>
        </w:tc>
        <w:tc>
          <w:tcPr>
            <w:tcW w:w="2500" w:type="pct"/>
          </w:tcPr>
          <w:p w14:paraId="4B06A8C5" w14:textId="77777777" w:rsidR="00335F18" w:rsidRPr="008F273F" w:rsidRDefault="00335F18" w:rsidP="000D36D0">
            <w:pPr>
              <w:spacing w:line="360" w:lineRule="auto"/>
              <w:jc w:val="center"/>
              <w:rPr>
                <w:rFonts w:ascii="Times New Roman" w:hAnsi="Times New Roman"/>
                <w:b/>
                <w:bCs/>
              </w:rPr>
            </w:pPr>
            <w:r w:rsidRPr="008F273F">
              <w:rPr>
                <w:b/>
                <w:bCs/>
                <w:noProof/>
              </w:rPr>
              <w:drawing>
                <wp:inline distT="0" distB="0" distL="0" distR="0" wp14:anchorId="2B5347DB" wp14:editId="34F85787">
                  <wp:extent cx="2103120" cy="3227832"/>
                  <wp:effectExtent l="0" t="0" r="0" b="0"/>
                  <wp:docPr id="90682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referRelativeResize="0">
                            <a:picLocks noChangeAspect="1"/>
                          </pic:cNvPicPr>
                        </pic:nvPicPr>
                        <pic:blipFill rotWithShape="1">
                          <a:blip r:embed="rId10" cstate="print">
                            <a:extLst>
                              <a:ext uri="{28A0092B-C50C-407E-A947-70E740481C1C}">
                                <a14:useLocalDpi xmlns:a14="http://schemas.microsoft.com/office/drawing/2010/main" val="0"/>
                              </a:ext>
                            </a:extLst>
                          </a:blip>
                          <a:srcRect l="3006" t="5342" r="1223" b="22208"/>
                          <a:stretch/>
                        </pic:blipFill>
                        <pic:spPr>
                          <a:xfrm>
                            <a:off x="0" y="0"/>
                            <a:ext cx="2103120" cy="3227832"/>
                          </a:xfrm>
                          <a:prstGeom prst="rect">
                            <a:avLst/>
                          </a:prstGeom>
                        </pic:spPr>
                      </pic:pic>
                    </a:graphicData>
                  </a:graphic>
                </wp:inline>
              </w:drawing>
            </w:r>
          </w:p>
        </w:tc>
      </w:tr>
      <w:tr w:rsidR="00335F18" w:rsidRPr="008F273F" w14:paraId="0A6FDB67" w14:textId="77777777" w:rsidTr="000D36D0">
        <w:trPr>
          <w:jc w:val="center"/>
        </w:trPr>
        <w:tc>
          <w:tcPr>
            <w:tcW w:w="2500" w:type="pct"/>
          </w:tcPr>
          <w:p w14:paraId="6BCBEA3F" w14:textId="77777777" w:rsidR="00335F18" w:rsidRPr="008F273F" w:rsidRDefault="00335F18" w:rsidP="000D36D0">
            <w:pPr>
              <w:spacing w:line="360" w:lineRule="auto"/>
              <w:jc w:val="center"/>
              <w:rPr>
                <w:rFonts w:ascii="Times New Roman" w:hAnsi="Times New Roman"/>
                <w:b/>
                <w:bCs/>
              </w:rPr>
            </w:pPr>
            <w:r w:rsidRPr="008F273F">
              <w:rPr>
                <w:rFonts w:ascii="Times New Roman" w:hAnsi="Times New Roman"/>
                <w:b/>
                <w:bCs/>
                <w:lang w:val="en-US"/>
              </w:rPr>
              <w:t>Spinosad</w:t>
            </w:r>
          </w:p>
        </w:tc>
        <w:tc>
          <w:tcPr>
            <w:tcW w:w="2500" w:type="pct"/>
          </w:tcPr>
          <w:p w14:paraId="08E669A7" w14:textId="77777777" w:rsidR="00335F18" w:rsidRPr="008F273F" w:rsidRDefault="00335F18" w:rsidP="000D36D0">
            <w:pPr>
              <w:spacing w:line="360" w:lineRule="auto"/>
              <w:jc w:val="center"/>
              <w:rPr>
                <w:rFonts w:ascii="Times New Roman" w:hAnsi="Times New Roman"/>
                <w:b/>
                <w:bCs/>
              </w:rPr>
            </w:pPr>
            <w:r w:rsidRPr="008F273F">
              <w:rPr>
                <w:rFonts w:ascii="Times New Roman" w:hAnsi="Times New Roman"/>
                <w:b/>
                <w:bCs/>
                <w:lang w:val="en-US"/>
              </w:rPr>
              <w:t>Treated seeds are ready for sowing</w:t>
            </w:r>
          </w:p>
        </w:tc>
      </w:tr>
    </w:tbl>
    <w:p w14:paraId="0040A695" w14:textId="6CF81171" w:rsidR="00335F18" w:rsidRPr="005D39A5" w:rsidRDefault="00335F18" w:rsidP="00335F18">
      <w:pPr>
        <w:spacing w:before="240" w:after="0" w:line="360" w:lineRule="auto"/>
        <w:ind w:left="990" w:hanging="990"/>
        <w:jc w:val="both"/>
        <w:rPr>
          <w:rFonts w:ascii="Times New Roman" w:hAnsi="Times New Roman"/>
          <w:sz w:val="24"/>
          <w:szCs w:val="24"/>
        </w:rPr>
      </w:pPr>
      <w:r w:rsidRPr="00F20791">
        <w:rPr>
          <w:rFonts w:ascii="Times New Roman" w:hAnsi="Times New Roman"/>
          <w:b/>
          <w:bCs/>
          <w:sz w:val="26"/>
          <w:szCs w:val="26"/>
          <w:lang w:val="en-US"/>
        </w:rPr>
        <w:t xml:space="preserve">Plate </w:t>
      </w:r>
      <w:r>
        <w:rPr>
          <w:rFonts w:ascii="Times New Roman" w:hAnsi="Times New Roman"/>
          <w:b/>
          <w:bCs/>
          <w:sz w:val="26"/>
          <w:szCs w:val="26"/>
          <w:lang w:val="en-US"/>
        </w:rPr>
        <w:t>1:</w:t>
      </w:r>
      <w:r>
        <w:rPr>
          <w:rFonts w:ascii="Times New Roman" w:hAnsi="Times New Roman"/>
          <w:b/>
          <w:bCs/>
          <w:sz w:val="26"/>
          <w:szCs w:val="26"/>
          <w:lang w:val="en-US"/>
        </w:rPr>
        <w:tab/>
      </w:r>
      <w:r w:rsidR="00130604">
        <w:rPr>
          <w:rFonts w:ascii="Times New Roman" w:hAnsi="Times New Roman"/>
          <w:b/>
          <w:bCs/>
          <w:sz w:val="26"/>
          <w:szCs w:val="26"/>
          <w:lang w:val="en-US"/>
        </w:rPr>
        <w:t xml:space="preserve">Images are showing the </w:t>
      </w:r>
      <w:r w:rsidRPr="00F20791">
        <w:rPr>
          <w:rFonts w:ascii="Times New Roman" w:hAnsi="Times New Roman"/>
          <w:b/>
          <w:bCs/>
          <w:sz w:val="26"/>
          <w:szCs w:val="26"/>
          <w:lang w:val="en-US"/>
        </w:rPr>
        <w:t xml:space="preserve">Field bean seed treatment using sweet flag rhizome powder, oil, and </w:t>
      </w:r>
      <w:proofErr w:type="spellStart"/>
      <w:r w:rsidRPr="00F20791">
        <w:rPr>
          <w:rFonts w:ascii="Times New Roman" w:hAnsi="Times New Roman"/>
          <w:b/>
          <w:bCs/>
          <w:sz w:val="26"/>
          <w:szCs w:val="26"/>
          <w:lang w:val="en-US"/>
        </w:rPr>
        <w:t>spinosad</w:t>
      </w:r>
      <w:proofErr w:type="spellEnd"/>
      <w:r w:rsidRPr="00F20791">
        <w:rPr>
          <w:rFonts w:ascii="Times New Roman" w:hAnsi="Times New Roman"/>
          <w:b/>
          <w:bCs/>
          <w:sz w:val="26"/>
          <w:szCs w:val="26"/>
          <w:lang w:val="en-US"/>
        </w:rPr>
        <w:t xml:space="preserve"> prior to sowing</w:t>
      </w:r>
    </w:p>
    <w:p w14:paraId="15D82DDB" w14:textId="77777777" w:rsidR="00335F18" w:rsidRDefault="00335F18" w:rsidP="00CE45D1">
      <w:pPr>
        <w:pStyle w:val="NormalWeb"/>
        <w:spacing w:before="280" w:beforeAutospacing="0" w:after="0" w:afterAutospacing="0" w:line="360" w:lineRule="auto"/>
        <w:ind w:firstLine="720"/>
        <w:jc w:val="both"/>
      </w:pPr>
    </w:p>
    <w:p w14:paraId="09ED5119" w14:textId="77777777" w:rsidR="00335F18" w:rsidRDefault="00335F18" w:rsidP="00335F18">
      <w:pPr>
        <w:pStyle w:val="NormalWeb"/>
        <w:spacing w:before="280" w:beforeAutospacing="0" w:after="0" w:afterAutospacing="0" w:line="360" w:lineRule="auto"/>
        <w:jc w:val="both"/>
      </w:pPr>
    </w:p>
    <w:p w14:paraId="6DE23891" w14:textId="77777777" w:rsidR="00335F18" w:rsidRDefault="00335F18" w:rsidP="00CE45D1">
      <w:pPr>
        <w:pStyle w:val="NormalWeb"/>
        <w:spacing w:before="280" w:beforeAutospacing="0" w:after="0" w:afterAutospacing="0" w:line="360" w:lineRule="auto"/>
        <w:ind w:firstLine="720"/>
        <w:jc w:val="both"/>
        <w:sectPr w:rsidR="00335F18" w:rsidSect="00A4597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854" w:header="709" w:footer="709" w:gutter="0"/>
          <w:cols w:space="708"/>
          <w:docGrid w:linePitch="360"/>
        </w:sectPr>
      </w:pPr>
    </w:p>
    <w:p w14:paraId="027B3A6B" w14:textId="77777777" w:rsidR="00335F18" w:rsidRDefault="00335F18" w:rsidP="00335F18">
      <w:pPr>
        <w:spacing w:after="0" w:line="480" w:lineRule="auto"/>
        <w:jc w:val="center"/>
        <w:rPr>
          <w:rFonts w:ascii="Times New Roman" w:hAnsi="Times New Roman"/>
          <w:b/>
          <w:sz w:val="26"/>
          <w:szCs w:val="26"/>
        </w:rPr>
      </w:pPr>
      <w:bookmarkStart w:id="1" w:name="_Hlk212144141"/>
      <w:r>
        <w:rPr>
          <w:noProof/>
        </w:rPr>
        <w:lastRenderedPageBreak/>
        <w:drawing>
          <wp:inline distT="0" distB="0" distL="0" distR="0" wp14:anchorId="69288FFF" wp14:editId="54291FF3">
            <wp:extent cx="6492240" cy="2227025"/>
            <wp:effectExtent l="0" t="0" r="3810" b="1905"/>
            <wp:docPr id="79891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rotWithShape="1">
                    <a:blip r:embed="rId17" cstate="print">
                      <a:extLst>
                        <a:ext uri="{28A0092B-C50C-407E-A947-70E740481C1C}">
                          <a14:useLocalDpi xmlns:a14="http://schemas.microsoft.com/office/drawing/2010/main" val="0"/>
                        </a:ext>
                      </a:extLst>
                    </a:blip>
                    <a:srcRect b="24079"/>
                    <a:stretch/>
                  </pic:blipFill>
                  <pic:spPr>
                    <a:xfrm>
                      <a:off x="0" y="0"/>
                      <a:ext cx="6492240" cy="2227025"/>
                    </a:xfrm>
                    <a:prstGeom prst="rect">
                      <a:avLst/>
                    </a:prstGeom>
                  </pic:spPr>
                </pic:pic>
              </a:graphicData>
            </a:graphic>
          </wp:inline>
        </w:drawing>
      </w:r>
    </w:p>
    <w:p w14:paraId="4C7CC129" w14:textId="77777777" w:rsidR="00335F18" w:rsidRDefault="00335F18" w:rsidP="00335F18">
      <w:pPr>
        <w:spacing w:after="0" w:line="480" w:lineRule="auto"/>
        <w:jc w:val="center"/>
        <w:rPr>
          <w:rFonts w:ascii="Times New Roman" w:hAnsi="Times New Roman"/>
          <w:b/>
          <w:sz w:val="26"/>
          <w:szCs w:val="26"/>
        </w:rPr>
      </w:pPr>
      <w:r>
        <w:rPr>
          <w:noProof/>
        </w:rPr>
        <w:drawing>
          <wp:inline distT="0" distB="0" distL="0" distR="0" wp14:anchorId="48BB7FD9" wp14:editId="7BB88D7F">
            <wp:extent cx="6416040" cy="2681534"/>
            <wp:effectExtent l="0" t="0" r="3810" b="5080"/>
            <wp:docPr id="491143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rotWithShape="1">
                    <a:blip r:embed="rId18" cstate="print">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val="0"/>
                        </a:ext>
                      </a:extLst>
                    </a:blip>
                    <a:srcRect b="7500"/>
                    <a:stretch/>
                  </pic:blipFill>
                  <pic:spPr>
                    <a:xfrm>
                      <a:off x="0" y="0"/>
                      <a:ext cx="6439646" cy="2691400"/>
                    </a:xfrm>
                    <a:prstGeom prst="rect">
                      <a:avLst/>
                    </a:prstGeom>
                  </pic:spPr>
                </pic:pic>
              </a:graphicData>
            </a:graphic>
          </wp:inline>
        </w:drawing>
      </w:r>
    </w:p>
    <w:p w14:paraId="082543BF" w14:textId="0BE2E7CA" w:rsidR="00335F18" w:rsidRPr="00335F18" w:rsidRDefault="00335F18" w:rsidP="00335F18">
      <w:pPr>
        <w:spacing w:after="0"/>
        <w:rPr>
          <w:rFonts w:ascii="Times New Roman" w:hAnsi="Times New Roman"/>
          <w:b/>
          <w:sz w:val="26"/>
          <w:szCs w:val="26"/>
        </w:rPr>
        <w:sectPr w:rsidR="00335F18" w:rsidRPr="00335F18" w:rsidSect="00335F18">
          <w:pgSz w:w="16838" w:h="11906" w:orient="landscape"/>
          <w:pgMar w:top="1854" w:right="1440" w:bottom="1440" w:left="1440" w:header="709" w:footer="709" w:gutter="0"/>
          <w:cols w:space="708"/>
          <w:docGrid w:linePitch="360"/>
        </w:sectPr>
      </w:pPr>
      <w:r>
        <w:rPr>
          <w:rFonts w:ascii="Times New Roman" w:hAnsi="Times New Roman"/>
          <w:b/>
          <w:bCs/>
          <w:sz w:val="26"/>
          <w:szCs w:val="26"/>
          <w:lang w:val="en-GB"/>
        </w:rPr>
        <w:t xml:space="preserve">                                                                         </w:t>
      </w:r>
      <w:r w:rsidRPr="00F20791">
        <w:rPr>
          <w:rFonts w:ascii="Times New Roman" w:hAnsi="Times New Roman"/>
          <w:b/>
          <w:bCs/>
          <w:sz w:val="26"/>
          <w:szCs w:val="26"/>
          <w:lang w:val="en-GB"/>
        </w:rPr>
        <w:t xml:space="preserve">Plate </w:t>
      </w:r>
      <w:r>
        <w:rPr>
          <w:rFonts w:ascii="Times New Roman" w:hAnsi="Times New Roman"/>
          <w:b/>
          <w:bCs/>
          <w:sz w:val="26"/>
          <w:szCs w:val="26"/>
          <w:lang w:val="en-GB"/>
        </w:rPr>
        <w:t>2</w:t>
      </w:r>
      <w:r w:rsidRPr="00F20791">
        <w:rPr>
          <w:rFonts w:ascii="Times New Roman" w:hAnsi="Times New Roman"/>
          <w:b/>
          <w:bCs/>
          <w:sz w:val="26"/>
          <w:szCs w:val="26"/>
          <w:lang w:val="en-GB"/>
        </w:rPr>
        <w:t>: General view of experime</w:t>
      </w:r>
      <w:r>
        <w:rPr>
          <w:rFonts w:ascii="Times New Roman" w:hAnsi="Times New Roman"/>
          <w:b/>
          <w:bCs/>
          <w:sz w:val="26"/>
          <w:szCs w:val="26"/>
          <w:lang w:val="en-GB"/>
        </w:rPr>
        <w:t>nt</w:t>
      </w:r>
    </w:p>
    <w:bookmarkEnd w:id="1"/>
    <w:p w14:paraId="46720707" w14:textId="77777777" w:rsidR="00BA3CA5" w:rsidRPr="00BA3CA5" w:rsidRDefault="00BA3CA5" w:rsidP="00BA3CA5">
      <w:pPr>
        <w:pStyle w:val="NormalWeb"/>
        <w:spacing w:before="280" w:beforeAutospacing="0" w:after="0" w:afterAutospacing="0"/>
        <w:jc w:val="both"/>
        <w:rPr>
          <w:b/>
          <w:color w:val="000000"/>
        </w:rPr>
      </w:pPr>
      <w:r w:rsidRPr="00BA3CA5">
        <w:rPr>
          <w:b/>
          <w:color w:val="000000"/>
        </w:rPr>
        <w:lastRenderedPageBreak/>
        <w:t>Electrical conductivity (µS/cm/g)</w:t>
      </w:r>
    </w:p>
    <w:p w14:paraId="1F848517" w14:textId="77777777" w:rsidR="00BA3CA5" w:rsidRPr="001D1EEE" w:rsidRDefault="00BA3CA5" w:rsidP="00BA3CA5">
      <w:pPr>
        <w:pStyle w:val="NormalWeb"/>
        <w:spacing w:before="280" w:beforeAutospacing="0" w:after="0" w:afterAutospacing="0" w:line="360" w:lineRule="auto"/>
        <w:ind w:firstLine="720"/>
        <w:jc w:val="both"/>
        <w:rPr>
          <w:color w:val="000000"/>
        </w:rPr>
      </w:pPr>
      <w:r w:rsidRPr="001D1EEE">
        <w:rPr>
          <w:color w:val="000000"/>
        </w:rPr>
        <w:t xml:space="preserve">The electrical conductivity test was performed as per ISTA rules. Fifty seeds from each treatment were weighed accurately in three replications and soaked in 75 ml of distilled water in plastic beakers for 24 hours at 25 ± 1°C. After soaking, the leachate was decanted and the electrical conductivity of the solution was measured using a calibrated conductivity meter. The results were expressed in micro Siemens per </w:t>
      </w:r>
      <w:proofErr w:type="spellStart"/>
      <w:r w:rsidRPr="001D1EEE">
        <w:rPr>
          <w:color w:val="000000"/>
        </w:rPr>
        <w:t>centimeter</w:t>
      </w:r>
      <w:proofErr w:type="spellEnd"/>
      <w:r w:rsidRPr="001D1EEE">
        <w:rPr>
          <w:color w:val="000000"/>
        </w:rPr>
        <w:t xml:space="preserve"> per gram of seed (µS/cm/g).</w:t>
      </w:r>
    </w:p>
    <w:p w14:paraId="2BA3B195" w14:textId="77777777" w:rsidR="00745ACC" w:rsidRPr="009D5641" w:rsidRDefault="00745ACC" w:rsidP="00745ACC">
      <w:pPr>
        <w:spacing w:before="280" w:line="240" w:lineRule="auto"/>
        <w:jc w:val="both"/>
        <w:rPr>
          <w:rFonts w:ascii="Times New Roman" w:hAnsi="Times New Roman"/>
          <w:b/>
          <w:color w:val="000000"/>
          <w:sz w:val="24"/>
          <w:szCs w:val="24"/>
        </w:rPr>
      </w:pPr>
      <w:r w:rsidRPr="009D5641">
        <w:rPr>
          <w:rFonts w:ascii="Times New Roman" w:hAnsi="Times New Roman"/>
          <w:b/>
          <w:color w:val="000000"/>
          <w:sz w:val="24"/>
          <w:szCs w:val="24"/>
        </w:rPr>
        <w:t>Statistical analysis and interpretation of data</w:t>
      </w:r>
    </w:p>
    <w:p w14:paraId="41E07533" w14:textId="0DAD7D41" w:rsidR="00745ACC" w:rsidRDefault="00745ACC" w:rsidP="00745ACC">
      <w:pPr>
        <w:spacing w:before="280" w:after="0" w:line="360" w:lineRule="auto"/>
        <w:ind w:firstLine="720"/>
        <w:jc w:val="both"/>
        <w:rPr>
          <w:rFonts w:ascii="Times New Roman" w:hAnsi="Times New Roman"/>
          <w:color w:val="000000"/>
          <w:sz w:val="24"/>
          <w:szCs w:val="24"/>
        </w:rPr>
      </w:pPr>
      <w:r w:rsidRPr="001D1EEE">
        <w:rPr>
          <w:rFonts w:ascii="Times New Roman" w:hAnsi="Times New Roman"/>
          <w:color w:val="000000"/>
          <w:sz w:val="24"/>
          <w:szCs w:val="24"/>
        </w:rPr>
        <w:t xml:space="preserve">In order evaluate comparative performance of various treatments, the data was </w:t>
      </w:r>
      <w:proofErr w:type="spellStart"/>
      <w:r w:rsidRPr="001D1EEE">
        <w:rPr>
          <w:rFonts w:ascii="Times New Roman" w:hAnsi="Times New Roman"/>
          <w:color w:val="000000"/>
          <w:sz w:val="24"/>
          <w:szCs w:val="24"/>
        </w:rPr>
        <w:t>analyzed</w:t>
      </w:r>
      <w:proofErr w:type="spellEnd"/>
      <w:r w:rsidRPr="001D1EEE">
        <w:rPr>
          <w:rFonts w:ascii="Times New Roman" w:hAnsi="Times New Roman"/>
          <w:color w:val="000000"/>
          <w:sz w:val="24"/>
          <w:szCs w:val="24"/>
        </w:rPr>
        <w:t xml:space="preserve"> by the technique of analysis of variance. The collected research data were </w:t>
      </w:r>
      <w:proofErr w:type="spellStart"/>
      <w:r w:rsidRPr="001D1EEE">
        <w:rPr>
          <w:rFonts w:ascii="Times New Roman" w:hAnsi="Times New Roman"/>
          <w:color w:val="000000"/>
          <w:sz w:val="24"/>
          <w:szCs w:val="24"/>
        </w:rPr>
        <w:t>analyzed</w:t>
      </w:r>
      <w:proofErr w:type="spellEnd"/>
      <w:r w:rsidRPr="001D1EEE">
        <w:rPr>
          <w:rFonts w:ascii="Times New Roman" w:hAnsi="Times New Roman"/>
          <w:color w:val="000000"/>
          <w:sz w:val="24"/>
          <w:szCs w:val="24"/>
        </w:rPr>
        <w:t xml:space="preserve"> statistically by the method of </w:t>
      </w:r>
      <w:bookmarkStart w:id="2" w:name="_Hlk211854357"/>
      <w:proofErr w:type="spellStart"/>
      <w:r w:rsidRPr="001D1EEE">
        <w:rPr>
          <w:rFonts w:ascii="Times New Roman" w:hAnsi="Times New Roman"/>
          <w:color w:val="000000"/>
          <w:sz w:val="24"/>
          <w:szCs w:val="24"/>
        </w:rPr>
        <w:t>Panse</w:t>
      </w:r>
      <w:proofErr w:type="spellEnd"/>
      <w:r w:rsidRPr="001D1EEE">
        <w:rPr>
          <w:rFonts w:ascii="Times New Roman" w:hAnsi="Times New Roman"/>
          <w:color w:val="000000"/>
          <w:sz w:val="24"/>
          <w:szCs w:val="24"/>
        </w:rPr>
        <w:t xml:space="preserve"> </w:t>
      </w:r>
      <w:bookmarkEnd w:id="2"/>
      <w:r w:rsidRPr="001D1EEE">
        <w:rPr>
          <w:rFonts w:ascii="Times New Roman" w:hAnsi="Times New Roman"/>
          <w:color w:val="000000"/>
          <w:sz w:val="24"/>
          <w:szCs w:val="24"/>
        </w:rPr>
        <w:t xml:space="preserve">and </w:t>
      </w:r>
      <w:proofErr w:type="spellStart"/>
      <w:r w:rsidRPr="001D1EEE">
        <w:rPr>
          <w:rFonts w:ascii="Times New Roman" w:hAnsi="Times New Roman"/>
          <w:color w:val="000000"/>
          <w:sz w:val="24"/>
          <w:szCs w:val="24"/>
        </w:rPr>
        <w:t>Sukhatme</w:t>
      </w:r>
      <w:proofErr w:type="spellEnd"/>
      <w:r w:rsidRPr="001D1EEE">
        <w:rPr>
          <w:rFonts w:ascii="Times New Roman" w:hAnsi="Times New Roman"/>
          <w:color w:val="000000"/>
          <w:sz w:val="24"/>
          <w:szCs w:val="24"/>
        </w:rPr>
        <w:t xml:space="preserve"> (1967) wherever the results were significant, the critical difference (CD) was calculated at </w:t>
      </w:r>
      <w:r w:rsidR="00BA3CA5">
        <w:rPr>
          <w:rFonts w:ascii="Times New Roman" w:hAnsi="Times New Roman"/>
          <w:color w:val="000000"/>
          <w:sz w:val="24"/>
          <w:szCs w:val="24"/>
        </w:rPr>
        <w:t>1</w:t>
      </w:r>
      <w:r w:rsidRPr="001D1EEE">
        <w:rPr>
          <w:rFonts w:ascii="Times New Roman" w:hAnsi="Times New Roman"/>
          <w:color w:val="000000"/>
          <w:sz w:val="24"/>
          <w:szCs w:val="24"/>
        </w:rPr>
        <w:t xml:space="preserve"> percent level of significance for </w:t>
      </w:r>
      <w:r w:rsidR="0043450A">
        <w:rPr>
          <w:rFonts w:ascii="Times New Roman" w:hAnsi="Times New Roman"/>
          <w:color w:val="000000"/>
          <w:sz w:val="24"/>
          <w:szCs w:val="24"/>
        </w:rPr>
        <w:t>lab</w:t>
      </w:r>
      <w:r w:rsidRPr="001D1EEE">
        <w:rPr>
          <w:rFonts w:ascii="Times New Roman" w:hAnsi="Times New Roman"/>
          <w:color w:val="000000"/>
          <w:sz w:val="24"/>
          <w:szCs w:val="24"/>
        </w:rPr>
        <w:t xml:space="preserve"> observation</w:t>
      </w:r>
      <w:r>
        <w:rPr>
          <w:rFonts w:ascii="Times New Roman" w:hAnsi="Times New Roman"/>
          <w:color w:val="000000"/>
          <w:sz w:val="24"/>
          <w:szCs w:val="24"/>
        </w:rPr>
        <w:t>.</w:t>
      </w:r>
    </w:p>
    <w:p w14:paraId="32468061" w14:textId="26407ED3" w:rsidR="00335F18" w:rsidRDefault="00335F18" w:rsidP="00335F18">
      <w:pPr>
        <w:pStyle w:val="NormalWeb"/>
        <w:spacing w:before="280" w:beforeAutospacing="0" w:after="0" w:afterAutospacing="0" w:line="360" w:lineRule="auto"/>
        <w:jc w:val="both"/>
        <w:sectPr w:rsidR="00335F18" w:rsidSect="00335F18">
          <w:pgSz w:w="11906" w:h="16838"/>
          <w:pgMar w:top="1440" w:right="1440" w:bottom="1440" w:left="1854" w:header="709" w:footer="709" w:gutter="0"/>
          <w:cols w:space="708"/>
          <w:docGrid w:linePitch="360"/>
        </w:sectPr>
      </w:pPr>
    </w:p>
    <w:p w14:paraId="2784B985" w14:textId="160515A3" w:rsidR="00CE45D1" w:rsidRPr="00977EEB" w:rsidRDefault="00CE45D1" w:rsidP="00977EEB">
      <w:pPr>
        <w:pStyle w:val="ListParagraph"/>
        <w:numPr>
          <w:ilvl w:val="0"/>
          <w:numId w:val="6"/>
        </w:numPr>
        <w:spacing w:before="100" w:beforeAutospacing="1" w:after="100" w:afterAutospacing="1" w:line="360" w:lineRule="auto"/>
        <w:rPr>
          <w:rFonts w:ascii="Times New Roman" w:eastAsia="Times New Roman" w:hAnsi="Times New Roman" w:cs="Times New Roman"/>
          <w:b/>
          <w:sz w:val="24"/>
          <w:szCs w:val="24"/>
          <w:lang w:eastAsia="en-IN"/>
        </w:rPr>
      </w:pPr>
      <w:bookmarkStart w:id="3" w:name="_GoBack"/>
      <w:r w:rsidRPr="00977EEB">
        <w:rPr>
          <w:rFonts w:ascii="Times New Roman" w:eastAsia="Times New Roman" w:hAnsi="Times New Roman" w:cs="Times New Roman"/>
          <w:b/>
          <w:sz w:val="24"/>
          <w:szCs w:val="24"/>
          <w:lang w:eastAsia="en-IN"/>
        </w:rPr>
        <w:lastRenderedPageBreak/>
        <w:t>RESULT</w:t>
      </w:r>
      <w:bookmarkEnd w:id="3"/>
      <w:r w:rsidRPr="00977EEB">
        <w:rPr>
          <w:rFonts w:ascii="Times New Roman" w:eastAsia="Times New Roman" w:hAnsi="Times New Roman" w:cs="Times New Roman"/>
          <w:b/>
          <w:sz w:val="24"/>
          <w:szCs w:val="24"/>
          <w:lang w:eastAsia="en-IN"/>
        </w:rPr>
        <w:t>S AND DISCUSSION</w:t>
      </w:r>
    </w:p>
    <w:p w14:paraId="7CC36D33" w14:textId="47D38846" w:rsidR="00BA3CA5" w:rsidRPr="001E749D" w:rsidRDefault="00BA3CA5" w:rsidP="00BA3CA5">
      <w:pPr>
        <w:pStyle w:val="NormalWeb"/>
        <w:spacing w:before="280" w:beforeAutospacing="0" w:after="0" w:afterAutospacing="0"/>
        <w:jc w:val="both"/>
        <w:rPr>
          <w:color w:val="000000"/>
        </w:rPr>
      </w:pPr>
      <w:r w:rsidRPr="001E749D">
        <w:rPr>
          <w:rStyle w:val="Strong"/>
          <w:color w:val="000000"/>
        </w:rPr>
        <w:t>Seed germination (%)</w:t>
      </w:r>
    </w:p>
    <w:p w14:paraId="7041442C" w14:textId="0D06D09C" w:rsidR="00BA3CA5" w:rsidRPr="001E749D" w:rsidRDefault="00BA3CA5" w:rsidP="00BA3CA5">
      <w:pPr>
        <w:pStyle w:val="NormalWeb"/>
        <w:spacing w:before="280" w:beforeAutospacing="0" w:after="0" w:afterAutospacing="0" w:line="360" w:lineRule="auto"/>
        <w:ind w:firstLine="720"/>
        <w:jc w:val="both"/>
        <w:rPr>
          <w:color w:val="000000"/>
        </w:rPr>
      </w:pPr>
      <w:r w:rsidRPr="001E749D">
        <w:rPr>
          <w:color w:val="000000"/>
        </w:rPr>
        <w:t xml:space="preserve">The data on seed germination as influenced by various sweet flag rhizome treatments along with a </w:t>
      </w:r>
      <w:proofErr w:type="spellStart"/>
      <w:r w:rsidRPr="001E749D">
        <w:rPr>
          <w:color w:val="000000"/>
        </w:rPr>
        <w:t>spinosad</w:t>
      </w:r>
      <w:proofErr w:type="spellEnd"/>
      <w:r w:rsidRPr="001E749D">
        <w:rPr>
          <w:color w:val="000000"/>
        </w:rPr>
        <w:t xml:space="preserve"> treatment under lab conditions are presented in table 1, fig. </w:t>
      </w:r>
      <w:r>
        <w:rPr>
          <w:color w:val="000000"/>
        </w:rPr>
        <w:t>1</w:t>
      </w:r>
      <w:r w:rsidRPr="001E749D">
        <w:rPr>
          <w:color w:val="000000"/>
        </w:rPr>
        <w:t xml:space="preserve"> and plate </w:t>
      </w:r>
      <w:r>
        <w:rPr>
          <w:color w:val="000000"/>
        </w:rPr>
        <w:t>3</w:t>
      </w:r>
      <w:r w:rsidRPr="001E749D">
        <w:rPr>
          <w:color w:val="000000"/>
        </w:rPr>
        <w:t>.</w:t>
      </w:r>
    </w:p>
    <w:p w14:paraId="12E13590" w14:textId="77777777" w:rsidR="00BA3CA5" w:rsidRPr="001E749D" w:rsidRDefault="00BA3CA5" w:rsidP="00BA3CA5">
      <w:pPr>
        <w:pStyle w:val="NormalWeb"/>
        <w:spacing w:before="280" w:beforeAutospacing="0" w:after="0" w:afterAutospacing="0" w:line="360" w:lineRule="auto"/>
        <w:ind w:firstLine="720"/>
        <w:jc w:val="both"/>
        <w:rPr>
          <w:color w:val="000000"/>
        </w:rPr>
      </w:pPr>
      <w:r w:rsidRPr="001E749D">
        <w:rPr>
          <w:color w:val="000000"/>
        </w:rPr>
        <w:t>The seed germination showed non-significant variation across all sweet flag rhizome treatments with the highest germination recorded in sweet flag rhizome powder at 15 g/kg (T</w:t>
      </w:r>
      <w:r w:rsidRPr="001E749D">
        <w:rPr>
          <w:color w:val="000000"/>
          <w:vertAlign w:val="subscript"/>
        </w:rPr>
        <w:t>4</w:t>
      </w:r>
      <w:r w:rsidRPr="001E749D">
        <w:rPr>
          <w:color w:val="000000"/>
        </w:rPr>
        <w:t>) (97.3</w:t>
      </w:r>
      <w:r>
        <w:rPr>
          <w:color w:val="000000"/>
        </w:rPr>
        <w:t xml:space="preserve"> </w:t>
      </w:r>
      <w:r w:rsidRPr="001E749D">
        <w:rPr>
          <w:color w:val="000000"/>
        </w:rPr>
        <w:t>%) and it is followed by sweet flag rhizome powder at 10 g/kg (T</w:t>
      </w:r>
      <w:r w:rsidRPr="001E749D">
        <w:rPr>
          <w:color w:val="000000"/>
          <w:vertAlign w:val="subscript"/>
        </w:rPr>
        <w:t>3</w:t>
      </w:r>
      <w:r w:rsidRPr="001E749D">
        <w:rPr>
          <w:color w:val="000000"/>
        </w:rPr>
        <w:t>) (96.9</w:t>
      </w:r>
      <w:r>
        <w:rPr>
          <w:color w:val="000000"/>
        </w:rPr>
        <w:t xml:space="preserve"> </w:t>
      </w:r>
      <w:r w:rsidRPr="001E749D">
        <w:rPr>
          <w:color w:val="000000"/>
        </w:rPr>
        <w:t>%). The control (T</w:t>
      </w:r>
      <w:r w:rsidRPr="001E749D">
        <w:rPr>
          <w:color w:val="000000"/>
          <w:vertAlign w:val="subscript"/>
        </w:rPr>
        <w:t>1</w:t>
      </w:r>
      <w:r w:rsidRPr="001E749D">
        <w:rPr>
          <w:color w:val="000000"/>
        </w:rPr>
        <w:t>) was recorded the lowest germination (91.9</w:t>
      </w:r>
      <w:r>
        <w:rPr>
          <w:color w:val="000000"/>
        </w:rPr>
        <w:t xml:space="preserve"> </w:t>
      </w:r>
      <w:r w:rsidRPr="001E749D">
        <w:rPr>
          <w:color w:val="000000"/>
        </w:rPr>
        <w:t>%) indicating relatively poor seed viability under untreated conditions.</w:t>
      </w:r>
    </w:p>
    <w:p w14:paraId="64D0863D" w14:textId="3F734CBE" w:rsidR="00BA3CA5" w:rsidRPr="001E749D" w:rsidRDefault="00BA3CA5" w:rsidP="00BA3CA5">
      <w:pPr>
        <w:spacing w:before="280" w:after="0" w:line="240" w:lineRule="auto"/>
        <w:jc w:val="both"/>
        <w:rPr>
          <w:rFonts w:ascii="Times New Roman" w:hAnsi="Times New Roman"/>
          <w:b/>
          <w:color w:val="000000"/>
          <w:sz w:val="24"/>
          <w:szCs w:val="24"/>
          <w:lang w:eastAsia="en-IN"/>
        </w:rPr>
      </w:pPr>
      <w:bookmarkStart w:id="4" w:name="_Hlk203685001"/>
      <w:r w:rsidRPr="001E749D">
        <w:rPr>
          <w:rFonts w:ascii="Times New Roman" w:hAnsi="Times New Roman"/>
          <w:b/>
          <w:bCs/>
          <w:color w:val="000000"/>
          <w:sz w:val="24"/>
          <w:szCs w:val="24"/>
          <w:lang w:eastAsia="en-IN"/>
        </w:rPr>
        <w:t>Speed of germination</w:t>
      </w:r>
    </w:p>
    <w:p w14:paraId="2EBAC374" w14:textId="597DB934"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 xml:space="preserve">The data on speed of germination as influenced by various sweet flag rhizome treatments along with a </w:t>
      </w:r>
      <w:proofErr w:type="spellStart"/>
      <w:r w:rsidRPr="001E749D">
        <w:rPr>
          <w:rFonts w:ascii="Times New Roman" w:hAnsi="Times New Roman"/>
          <w:color w:val="000000"/>
          <w:sz w:val="24"/>
          <w:szCs w:val="24"/>
        </w:rPr>
        <w:t>spinosad</w:t>
      </w:r>
      <w:proofErr w:type="spellEnd"/>
      <w:r w:rsidRPr="001E749D">
        <w:rPr>
          <w:rFonts w:ascii="Times New Roman" w:hAnsi="Times New Roman"/>
          <w:color w:val="000000"/>
          <w:sz w:val="24"/>
          <w:szCs w:val="24"/>
        </w:rPr>
        <w:t xml:space="preserve"> treatment under lab conditions are presented in table 1.</w:t>
      </w:r>
    </w:p>
    <w:p w14:paraId="4DE90531"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Among the all sweet flag rhizome treatments, speed of germination showed significant variation under lab conditions, with the highest germination speed recorded in sweet flag rhizome powder at 15 g/kg (T</w:t>
      </w:r>
      <w:r w:rsidRPr="001E749D">
        <w:rPr>
          <w:rFonts w:ascii="Times New Roman" w:hAnsi="Times New Roman"/>
          <w:color w:val="000000"/>
          <w:sz w:val="24"/>
          <w:szCs w:val="24"/>
          <w:vertAlign w:val="subscript"/>
        </w:rPr>
        <w:t>4</w:t>
      </w:r>
      <w:r w:rsidRPr="001E749D">
        <w:rPr>
          <w:rFonts w:ascii="Times New Roman" w:hAnsi="Times New Roman"/>
          <w:color w:val="000000"/>
          <w:sz w:val="24"/>
          <w:szCs w:val="24"/>
        </w:rPr>
        <w:t>) (17.7) and it is followed by sweet flag rhizome powder at 10 g/kg (T</w:t>
      </w:r>
      <w:r w:rsidRPr="001E749D">
        <w:rPr>
          <w:rFonts w:ascii="Times New Roman" w:hAnsi="Times New Roman"/>
          <w:color w:val="000000"/>
          <w:sz w:val="24"/>
          <w:szCs w:val="24"/>
          <w:vertAlign w:val="subscript"/>
        </w:rPr>
        <w:t>3</w:t>
      </w:r>
      <w:r w:rsidRPr="001E749D">
        <w:rPr>
          <w:rFonts w:ascii="Times New Roman" w:hAnsi="Times New Roman"/>
          <w:color w:val="000000"/>
          <w:sz w:val="24"/>
          <w:szCs w:val="24"/>
        </w:rPr>
        <w:t>) (16.9). The control (T</w:t>
      </w:r>
      <w:r w:rsidRPr="001E749D">
        <w:rPr>
          <w:rFonts w:ascii="Times New Roman" w:hAnsi="Times New Roman"/>
          <w:color w:val="000000"/>
          <w:sz w:val="24"/>
          <w:szCs w:val="24"/>
          <w:vertAlign w:val="subscript"/>
        </w:rPr>
        <w:t>1</w:t>
      </w:r>
      <w:r w:rsidRPr="001E749D">
        <w:rPr>
          <w:rFonts w:ascii="Times New Roman" w:hAnsi="Times New Roman"/>
          <w:color w:val="000000"/>
          <w:sz w:val="24"/>
          <w:szCs w:val="24"/>
        </w:rPr>
        <w:t>) was recorded the lowest speed of</w:t>
      </w:r>
      <w:r>
        <w:rPr>
          <w:rFonts w:ascii="Times New Roman" w:hAnsi="Times New Roman"/>
          <w:color w:val="000000"/>
          <w:sz w:val="24"/>
          <w:szCs w:val="24"/>
        </w:rPr>
        <w:t xml:space="preserve"> </w:t>
      </w:r>
      <w:r w:rsidRPr="001E749D">
        <w:rPr>
          <w:rFonts w:ascii="Times New Roman" w:hAnsi="Times New Roman"/>
          <w:color w:val="000000"/>
          <w:sz w:val="24"/>
          <w:szCs w:val="24"/>
        </w:rPr>
        <w:t>germination (14.8) indicating relatively slower seedling emergence under untreated conditions.</w:t>
      </w:r>
      <w:bookmarkStart w:id="5" w:name="_Hlk209560160"/>
    </w:p>
    <w:p w14:paraId="7F7910A6"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bCs/>
          <w:color w:val="000000"/>
          <w:sz w:val="24"/>
          <w:szCs w:val="24"/>
          <w:lang w:eastAsia="en-IN"/>
        </w:rPr>
        <w:t>The findings of the study highlighted that</w:t>
      </w:r>
      <w:bookmarkEnd w:id="5"/>
      <w:r w:rsidRPr="001E749D">
        <w:rPr>
          <w:rFonts w:ascii="Times New Roman" w:hAnsi="Times New Roman"/>
          <w:bCs/>
          <w:color w:val="000000"/>
          <w:sz w:val="24"/>
          <w:szCs w:val="24"/>
          <w:lang w:eastAsia="en-IN"/>
        </w:rPr>
        <w:t xml:space="preserve">, </w:t>
      </w:r>
      <w:r w:rsidRPr="001E749D">
        <w:rPr>
          <w:rFonts w:ascii="Times New Roman" w:hAnsi="Times New Roman"/>
          <w:color w:val="000000"/>
          <w:sz w:val="24"/>
          <w:szCs w:val="24"/>
          <w:lang w:eastAsia="en-IN"/>
        </w:rPr>
        <w:t>seed germination percentage registered highest to treatment with sweet flag rhizome powder at 15 g/kg (T</w:t>
      </w:r>
      <w:r w:rsidRPr="001E749D">
        <w:rPr>
          <w:rFonts w:ascii="Times New Roman" w:hAnsi="Times New Roman"/>
          <w:color w:val="000000"/>
          <w:sz w:val="24"/>
          <w:szCs w:val="24"/>
          <w:vertAlign w:val="subscript"/>
          <w:lang w:eastAsia="en-IN"/>
        </w:rPr>
        <w:t>4</w:t>
      </w:r>
      <w:r w:rsidRPr="001E749D">
        <w:rPr>
          <w:rFonts w:ascii="Times New Roman" w:hAnsi="Times New Roman"/>
          <w:color w:val="000000"/>
          <w:sz w:val="24"/>
          <w:szCs w:val="24"/>
          <w:lang w:eastAsia="en-IN"/>
        </w:rPr>
        <w:t>) was recorded the 5.9 per cent increase in seed germination and 19.6 per cent increase in speed of germination as compared to control indicating the beneficial role of bioactive compounds such as β-</w:t>
      </w:r>
      <w:proofErr w:type="spellStart"/>
      <w:r w:rsidRPr="001E749D">
        <w:rPr>
          <w:rFonts w:ascii="Times New Roman" w:hAnsi="Times New Roman"/>
          <w:color w:val="000000"/>
          <w:sz w:val="24"/>
          <w:szCs w:val="24"/>
          <w:lang w:eastAsia="en-IN"/>
        </w:rPr>
        <w:t>asarone</w:t>
      </w:r>
      <w:proofErr w:type="spellEnd"/>
      <w:r w:rsidRPr="001E749D">
        <w:rPr>
          <w:rFonts w:ascii="Times New Roman" w:hAnsi="Times New Roman"/>
          <w:color w:val="000000"/>
          <w:sz w:val="24"/>
          <w:szCs w:val="24"/>
          <w:lang w:eastAsia="en-IN"/>
        </w:rPr>
        <w:t xml:space="preserve">, methyl isoeugenol (Z and E) and </w:t>
      </w:r>
      <w:proofErr w:type="spellStart"/>
      <w:r w:rsidRPr="001E749D">
        <w:rPr>
          <w:rFonts w:ascii="Times New Roman" w:hAnsi="Times New Roman"/>
          <w:color w:val="000000"/>
          <w:sz w:val="24"/>
          <w:szCs w:val="24"/>
          <w:lang w:eastAsia="en-IN"/>
        </w:rPr>
        <w:t>methyleugenol</w:t>
      </w:r>
      <w:proofErr w:type="spellEnd"/>
      <w:r w:rsidRPr="001E749D">
        <w:rPr>
          <w:rFonts w:ascii="Times New Roman" w:hAnsi="Times New Roman"/>
          <w:color w:val="000000"/>
          <w:sz w:val="24"/>
          <w:szCs w:val="24"/>
          <w:lang w:eastAsia="en-IN"/>
        </w:rPr>
        <w:t xml:space="preserve"> in promoting seed vigour. These substances are well-known for their antioxidant, antifungal, insecticidal and antibacterial qualities.</w:t>
      </w:r>
    </w:p>
    <w:p w14:paraId="6280A710" w14:textId="50FB8882" w:rsidR="00BA3CA5" w:rsidRPr="001E749D" w:rsidRDefault="00BA3CA5" w:rsidP="00BA3CA5">
      <w:pPr>
        <w:spacing w:before="280" w:after="0" w:line="360" w:lineRule="auto"/>
        <w:ind w:left="1080" w:hanging="1080"/>
        <w:rPr>
          <w:rFonts w:ascii="Times New Roman" w:hAnsi="Times New Roman"/>
          <w:sz w:val="24"/>
          <w:szCs w:val="24"/>
        </w:rPr>
      </w:pPr>
      <w:r w:rsidRPr="001E749D">
        <w:rPr>
          <w:rFonts w:ascii="Times New Roman" w:hAnsi="Times New Roman"/>
          <w:b/>
          <w:bCs/>
          <w:sz w:val="24"/>
          <w:szCs w:val="24"/>
          <w:lang w:val="en-US"/>
        </w:rPr>
        <w:lastRenderedPageBreak/>
        <w:t>Table 1</w:t>
      </w:r>
      <w:r>
        <w:rPr>
          <w:rFonts w:ascii="Times New Roman" w:hAnsi="Times New Roman"/>
          <w:b/>
          <w:bCs/>
          <w:sz w:val="24"/>
          <w:szCs w:val="24"/>
          <w:lang w:val="en-US"/>
        </w:rPr>
        <w:t>:</w:t>
      </w:r>
      <w:r>
        <w:rPr>
          <w:rFonts w:ascii="Times New Roman" w:hAnsi="Times New Roman"/>
          <w:b/>
          <w:bCs/>
          <w:sz w:val="24"/>
          <w:szCs w:val="24"/>
          <w:lang w:val="en-US"/>
        </w:rPr>
        <w:tab/>
      </w:r>
      <w:r w:rsidRPr="001E749D">
        <w:rPr>
          <w:rFonts w:ascii="Times New Roman" w:hAnsi="Times New Roman"/>
          <w:b/>
          <w:bCs/>
          <w:sz w:val="24"/>
          <w:szCs w:val="24"/>
          <w:lang w:val="en-US"/>
        </w:rPr>
        <w:t>Effect of sweet flag rhizome treatment on seed germination (%) and speed of germination in field bean</w:t>
      </w:r>
    </w:p>
    <w:tbl>
      <w:tblPr>
        <w:tblW w:w="5000" w:type="pct"/>
        <w:tblLook w:val="04A0" w:firstRow="1" w:lastRow="0" w:firstColumn="1" w:lastColumn="0" w:noHBand="0" w:noVBand="1"/>
      </w:tblPr>
      <w:tblGrid>
        <w:gridCol w:w="2484"/>
        <w:gridCol w:w="2927"/>
        <w:gridCol w:w="3219"/>
      </w:tblGrid>
      <w:tr w:rsidR="00BA3CA5" w:rsidRPr="001E749D" w14:paraId="13CB068B" w14:textId="77777777" w:rsidTr="000D36D0">
        <w:trPr>
          <w:trHeight w:val="315"/>
        </w:trPr>
        <w:tc>
          <w:tcPr>
            <w:tcW w:w="1439" w:type="pct"/>
            <w:tcBorders>
              <w:top w:val="single" w:sz="4" w:space="0" w:color="auto"/>
              <w:left w:val="single" w:sz="4" w:space="0" w:color="auto"/>
              <w:bottom w:val="single" w:sz="4" w:space="0" w:color="auto"/>
              <w:right w:val="single" w:sz="4" w:space="0" w:color="auto"/>
            </w:tcBorders>
            <w:noWrap/>
            <w:vAlign w:val="center"/>
            <w:hideMark/>
          </w:tcPr>
          <w:p w14:paraId="7C960D44"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Treatments</w:t>
            </w:r>
          </w:p>
        </w:tc>
        <w:tc>
          <w:tcPr>
            <w:tcW w:w="1696" w:type="pct"/>
            <w:tcBorders>
              <w:top w:val="single" w:sz="4" w:space="0" w:color="auto"/>
              <w:left w:val="nil"/>
              <w:bottom w:val="single" w:sz="4" w:space="0" w:color="auto"/>
              <w:right w:val="single" w:sz="4" w:space="0" w:color="auto"/>
            </w:tcBorders>
            <w:noWrap/>
            <w:vAlign w:val="center"/>
            <w:hideMark/>
          </w:tcPr>
          <w:p w14:paraId="2387DE98"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Seed germination (%)</w:t>
            </w:r>
          </w:p>
        </w:tc>
        <w:tc>
          <w:tcPr>
            <w:tcW w:w="1866" w:type="pct"/>
            <w:tcBorders>
              <w:top w:val="single" w:sz="4" w:space="0" w:color="auto"/>
              <w:left w:val="nil"/>
              <w:bottom w:val="single" w:sz="4" w:space="0" w:color="auto"/>
              <w:right w:val="single" w:sz="4" w:space="0" w:color="auto"/>
            </w:tcBorders>
            <w:noWrap/>
            <w:vAlign w:val="center"/>
            <w:hideMark/>
          </w:tcPr>
          <w:p w14:paraId="2E732E7C"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Speed of germination</w:t>
            </w:r>
          </w:p>
        </w:tc>
      </w:tr>
      <w:tr w:rsidR="00BA3CA5" w:rsidRPr="001E749D" w14:paraId="5E700894"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6EC6BE83"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1</w:t>
            </w:r>
          </w:p>
        </w:tc>
        <w:tc>
          <w:tcPr>
            <w:tcW w:w="1696" w:type="pct"/>
            <w:tcBorders>
              <w:top w:val="nil"/>
              <w:left w:val="nil"/>
              <w:bottom w:val="single" w:sz="4" w:space="0" w:color="auto"/>
              <w:right w:val="single" w:sz="4" w:space="0" w:color="auto"/>
            </w:tcBorders>
            <w:noWrap/>
            <w:vAlign w:val="center"/>
            <w:hideMark/>
          </w:tcPr>
          <w:p w14:paraId="59879462"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91.9</w:t>
            </w:r>
          </w:p>
        </w:tc>
        <w:tc>
          <w:tcPr>
            <w:tcW w:w="1866" w:type="pct"/>
            <w:tcBorders>
              <w:top w:val="nil"/>
              <w:left w:val="nil"/>
              <w:bottom w:val="single" w:sz="4" w:space="0" w:color="auto"/>
              <w:right w:val="single" w:sz="4" w:space="0" w:color="auto"/>
            </w:tcBorders>
            <w:noWrap/>
            <w:vAlign w:val="center"/>
            <w:hideMark/>
          </w:tcPr>
          <w:p w14:paraId="415469EA"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14.8</w:t>
            </w:r>
          </w:p>
        </w:tc>
      </w:tr>
      <w:tr w:rsidR="00BA3CA5" w:rsidRPr="001E749D" w14:paraId="0CDFF325"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0B05F60D"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2</w:t>
            </w:r>
          </w:p>
        </w:tc>
        <w:tc>
          <w:tcPr>
            <w:tcW w:w="1696" w:type="pct"/>
            <w:tcBorders>
              <w:top w:val="nil"/>
              <w:left w:val="nil"/>
              <w:bottom w:val="single" w:sz="4" w:space="0" w:color="auto"/>
              <w:right w:val="single" w:sz="4" w:space="0" w:color="auto"/>
            </w:tcBorders>
            <w:noWrap/>
            <w:vAlign w:val="center"/>
            <w:hideMark/>
          </w:tcPr>
          <w:p w14:paraId="7EBD13DB"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94.8</w:t>
            </w:r>
          </w:p>
        </w:tc>
        <w:tc>
          <w:tcPr>
            <w:tcW w:w="1866" w:type="pct"/>
            <w:tcBorders>
              <w:top w:val="nil"/>
              <w:left w:val="nil"/>
              <w:bottom w:val="single" w:sz="4" w:space="0" w:color="auto"/>
              <w:right w:val="single" w:sz="4" w:space="0" w:color="auto"/>
            </w:tcBorders>
            <w:noWrap/>
            <w:vAlign w:val="center"/>
            <w:hideMark/>
          </w:tcPr>
          <w:p w14:paraId="36AFAF2C"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15.4</w:t>
            </w:r>
          </w:p>
        </w:tc>
      </w:tr>
      <w:tr w:rsidR="00BA3CA5" w:rsidRPr="001E749D" w14:paraId="74C298E0"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067F82D9"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3</w:t>
            </w:r>
          </w:p>
        </w:tc>
        <w:tc>
          <w:tcPr>
            <w:tcW w:w="1696" w:type="pct"/>
            <w:tcBorders>
              <w:top w:val="nil"/>
              <w:left w:val="nil"/>
              <w:bottom w:val="single" w:sz="4" w:space="0" w:color="auto"/>
              <w:right w:val="single" w:sz="4" w:space="0" w:color="auto"/>
            </w:tcBorders>
            <w:noWrap/>
            <w:vAlign w:val="center"/>
            <w:hideMark/>
          </w:tcPr>
          <w:p w14:paraId="64CB7F58"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96.9</w:t>
            </w:r>
          </w:p>
        </w:tc>
        <w:tc>
          <w:tcPr>
            <w:tcW w:w="1866" w:type="pct"/>
            <w:tcBorders>
              <w:top w:val="nil"/>
              <w:left w:val="nil"/>
              <w:bottom w:val="single" w:sz="4" w:space="0" w:color="auto"/>
              <w:right w:val="single" w:sz="4" w:space="0" w:color="auto"/>
            </w:tcBorders>
            <w:noWrap/>
            <w:vAlign w:val="center"/>
            <w:hideMark/>
          </w:tcPr>
          <w:p w14:paraId="6DE13BDE"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16.9</w:t>
            </w:r>
          </w:p>
        </w:tc>
      </w:tr>
      <w:tr w:rsidR="00BA3CA5" w:rsidRPr="001E749D" w14:paraId="4149B6EE"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686FB27F"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4</w:t>
            </w:r>
          </w:p>
        </w:tc>
        <w:tc>
          <w:tcPr>
            <w:tcW w:w="1696" w:type="pct"/>
            <w:tcBorders>
              <w:top w:val="nil"/>
              <w:left w:val="nil"/>
              <w:bottom w:val="single" w:sz="4" w:space="0" w:color="auto"/>
              <w:right w:val="single" w:sz="4" w:space="0" w:color="auto"/>
            </w:tcBorders>
            <w:noWrap/>
            <w:vAlign w:val="center"/>
            <w:hideMark/>
          </w:tcPr>
          <w:p w14:paraId="201FAC59"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97.3</w:t>
            </w:r>
          </w:p>
        </w:tc>
        <w:tc>
          <w:tcPr>
            <w:tcW w:w="1866" w:type="pct"/>
            <w:tcBorders>
              <w:top w:val="nil"/>
              <w:left w:val="nil"/>
              <w:bottom w:val="single" w:sz="4" w:space="0" w:color="auto"/>
              <w:right w:val="single" w:sz="4" w:space="0" w:color="auto"/>
            </w:tcBorders>
            <w:noWrap/>
            <w:vAlign w:val="center"/>
            <w:hideMark/>
          </w:tcPr>
          <w:p w14:paraId="7A238F9F"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17.7</w:t>
            </w:r>
          </w:p>
        </w:tc>
      </w:tr>
      <w:tr w:rsidR="00BA3CA5" w:rsidRPr="001E749D" w14:paraId="17D56697"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43FB9F27"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5</w:t>
            </w:r>
          </w:p>
        </w:tc>
        <w:tc>
          <w:tcPr>
            <w:tcW w:w="1696" w:type="pct"/>
            <w:tcBorders>
              <w:top w:val="nil"/>
              <w:left w:val="nil"/>
              <w:bottom w:val="single" w:sz="4" w:space="0" w:color="auto"/>
              <w:right w:val="single" w:sz="4" w:space="0" w:color="auto"/>
            </w:tcBorders>
            <w:noWrap/>
            <w:vAlign w:val="center"/>
            <w:hideMark/>
          </w:tcPr>
          <w:p w14:paraId="27157B14"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93.7</w:t>
            </w:r>
          </w:p>
        </w:tc>
        <w:tc>
          <w:tcPr>
            <w:tcW w:w="1866" w:type="pct"/>
            <w:tcBorders>
              <w:top w:val="nil"/>
              <w:left w:val="nil"/>
              <w:bottom w:val="single" w:sz="4" w:space="0" w:color="auto"/>
              <w:right w:val="single" w:sz="4" w:space="0" w:color="auto"/>
            </w:tcBorders>
            <w:noWrap/>
            <w:vAlign w:val="center"/>
            <w:hideMark/>
          </w:tcPr>
          <w:p w14:paraId="7E1F74EB"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15.7</w:t>
            </w:r>
          </w:p>
        </w:tc>
      </w:tr>
      <w:tr w:rsidR="00BA3CA5" w:rsidRPr="001E749D" w14:paraId="46364219"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70CD7536"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6</w:t>
            </w:r>
          </w:p>
        </w:tc>
        <w:tc>
          <w:tcPr>
            <w:tcW w:w="1696" w:type="pct"/>
            <w:tcBorders>
              <w:top w:val="nil"/>
              <w:left w:val="nil"/>
              <w:bottom w:val="single" w:sz="4" w:space="0" w:color="auto"/>
              <w:right w:val="single" w:sz="4" w:space="0" w:color="auto"/>
            </w:tcBorders>
            <w:noWrap/>
            <w:vAlign w:val="center"/>
            <w:hideMark/>
          </w:tcPr>
          <w:p w14:paraId="151687F7"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95.1</w:t>
            </w:r>
          </w:p>
        </w:tc>
        <w:tc>
          <w:tcPr>
            <w:tcW w:w="1866" w:type="pct"/>
            <w:tcBorders>
              <w:top w:val="nil"/>
              <w:left w:val="nil"/>
              <w:bottom w:val="single" w:sz="4" w:space="0" w:color="auto"/>
              <w:right w:val="single" w:sz="4" w:space="0" w:color="auto"/>
            </w:tcBorders>
            <w:noWrap/>
            <w:vAlign w:val="center"/>
            <w:hideMark/>
          </w:tcPr>
          <w:p w14:paraId="1C6ABF36"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16.5</w:t>
            </w:r>
          </w:p>
        </w:tc>
      </w:tr>
      <w:tr w:rsidR="00BA3CA5" w:rsidRPr="001E749D" w14:paraId="37DC37D0"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2A929DDD"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7</w:t>
            </w:r>
          </w:p>
        </w:tc>
        <w:tc>
          <w:tcPr>
            <w:tcW w:w="1696" w:type="pct"/>
            <w:tcBorders>
              <w:top w:val="nil"/>
              <w:left w:val="nil"/>
              <w:bottom w:val="single" w:sz="4" w:space="0" w:color="auto"/>
              <w:right w:val="single" w:sz="4" w:space="0" w:color="auto"/>
            </w:tcBorders>
            <w:noWrap/>
            <w:vAlign w:val="center"/>
            <w:hideMark/>
          </w:tcPr>
          <w:p w14:paraId="55BEE686"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95.6</w:t>
            </w:r>
          </w:p>
        </w:tc>
        <w:tc>
          <w:tcPr>
            <w:tcW w:w="1866" w:type="pct"/>
            <w:tcBorders>
              <w:top w:val="nil"/>
              <w:left w:val="nil"/>
              <w:bottom w:val="single" w:sz="4" w:space="0" w:color="auto"/>
              <w:right w:val="single" w:sz="4" w:space="0" w:color="auto"/>
            </w:tcBorders>
            <w:noWrap/>
            <w:vAlign w:val="center"/>
            <w:hideMark/>
          </w:tcPr>
          <w:p w14:paraId="179E8836"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15.8</w:t>
            </w:r>
          </w:p>
        </w:tc>
      </w:tr>
      <w:tr w:rsidR="00BA3CA5" w:rsidRPr="001E749D" w14:paraId="243DAD9E" w14:textId="77777777" w:rsidTr="000D36D0">
        <w:trPr>
          <w:trHeight w:val="345"/>
        </w:trPr>
        <w:tc>
          <w:tcPr>
            <w:tcW w:w="1439" w:type="pct"/>
            <w:tcBorders>
              <w:top w:val="nil"/>
              <w:left w:val="single" w:sz="4" w:space="0" w:color="auto"/>
              <w:bottom w:val="single" w:sz="4" w:space="0" w:color="auto"/>
              <w:right w:val="single" w:sz="4" w:space="0" w:color="auto"/>
            </w:tcBorders>
            <w:noWrap/>
            <w:vAlign w:val="center"/>
            <w:hideMark/>
          </w:tcPr>
          <w:p w14:paraId="1656093F"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8</w:t>
            </w:r>
          </w:p>
        </w:tc>
        <w:tc>
          <w:tcPr>
            <w:tcW w:w="1696" w:type="pct"/>
            <w:tcBorders>
              <w:top w:val="nil"/>
              <w:left w:val="nil"/>
              <w:bottom w:val="single" w:sz="4" w:space="0" w:color="auto"/>
              <w:right w:val="single" w:sz="4" w:space="0" w:color="auto"/>
            </w:tcBorders>
            <w:noWrap/>
            <w:vAlign w:val="center"/>
            <w:hideMark/>
          </w:tcPr>
          <w:p w14:paraId="7DAD71D3"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94.9</w:t>
            </w:r>
          </w:p>
        </w:tc>
        <w:tc>
          <w:tcPr>
            <w:tcW w:w="1866" w:type="pct"/>
            <w:tcBorders>
              <w:top w:val="nil"/>
              <w:left w:val="nil"/>
              <w:bottom w:val="single" w:sz="4" w:space="0" w:color="auto"/>
              <w:right w:val="single" w:sz="4" w:space="0" w:color="auto"/>
            </w:tcBorders>
            <w:noWrap/>
            <w:vAlign w:val="center"/>
            <w:hideMark/>
          </w:tcPr>
          <w:p w14:paraId="01F4B7D9"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16.3</w:t>
            </w:r>
          </w:p>
        </w:tc>
      </w:tr>
      <w:tr w:rsidR="00BA3CA5" w:rsidRPr="001E749D" w14:paraId="49E987A9" w14:textId="77777777" w:rsidTr="000D36D0">
        <w:trPr>
          <w:trHeight w:val="315"/>
        </w:trPr>
        <w:tc>
          <w:tcPr>
            <w:tcW w:w="1439" w:type="pct"/>
            <w:tcBorders>
              <w:top w:val="nil"/>
              <w:left w:val="single" w:sz="4" w:space="0" w:color="auto"/>
              <w:bottom w:val="single" w:sz="4" w:space="0" w:color="auto"/>
              <w:right w:val="single" w:sz="4" w:space="0" w:color="auto"/>
            </w:tcBorders>
            <w:vAlign w:val="center"/>
            <w:hideMark/>
          </w:tcPr>
          <w:p w14:paraId="6D3A3933"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Mean</w:t>
            </w:r>
          </w:p>
        </w:tc>
        <w:tc>
          <w:tcPr>
            <w:tcW w:w="1696" w:type="pct"/>
            <w:tcBorders>
              <w:top w:val="nil"/>
              <w:left w:val="nil"/>
              <w:bottom w:val="single" w:sz="4" w:space="0" w:color="auto"/>
              <w:right w:val="single" w:sz="4" w:space="0" w:color="auto"/>
            </w:tcBorders>
            <w:noWrap/>
            <w:vAlign w:val="center"/>
            <w:hideMark/>
          </w:tcPr>
          <w:p w14:paraId="6DB15036"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95.0</w:t>
            </w:r>
          </w:p>
        </w:tc>
        <w:tc>
          <w:tcPr>
            <w:tcW w:w="1866" w:type="pct"/>
            <w:tcBorders>
              <w:top w:val="nil"/>
              <w:left w:val="nil"/>
              <w:bottom w:val="single" w:sz="4" w:space="0" w:color="auto"/>
              <w:right w:val="single" w:sz="4" w:space="0" w:color="auto"/>
            </w:tcBorders>
            <w:noWrap/>
            <w:vAlign w:val="center"/>
            <w:hideMark/>
          </w:tcPr>
          <w:p w14:paraId="465F1D08"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16.1</w:t>
            </w:r>
          </w:p>
        </w:tc>
      </w:tr>
      <w:tr w:rsidR="00BA3CA5" w:rsidRPr="001E749D" w14:paraId="14893F43" w14:textId="77777777" w:rsidTr="000D36D0">
        <w:trPr>
          <w:trHeight w:val="315"/>
        </w:trPr>
        <w:tc>
          <w:tcPr>
            <w:tcW w:w="1439" w:type="pct"/>
            <w:tcBorders>
              <w:top w:val="nil"/>
              <w:left w:val="single" w:sz="4" w:space="0" w:color="auto"/>
              <w:bottom w:val="single" w:sz="4" w:space="0" w:color="auto"/>
              <w:right w:val="single" w:sz="4" w:space="0" w:color="auto"/>
            </w:tcBorders>
            <w:vAlign w:val="center"/>
            <w:hideMark/>
          </w:tcPr>
          <w:p w14:paraId="1F062A60"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proofErr w:type="spellStart"/>
            <w:r w:rsidRPr="001E749D">
              <w:rPr>
                <w:rFonts w:ascii="Times New Roman" w:eastAsia="Times New Roman" w:hAnsi="Times New Roman"/>
                <w:b/>
                <w:bCs/>
                <w:color w:val="000000"/>
                <w:sz w:val="24"/>
                <w:szCs w:val="24"/>
                <w:lang w:eastAsia="en-IN"/>
              </w:rPr>
              <w:t>S.</w:t>
            </w:r>
            <w:proofErr w:type="gramStart"/>
            <w:r w:rsidRPr="001E749D">
              <w:rPr>
                <w:rFonts w:ascii="Times New Roman" w:eastAsia="Times New Roman" w:hAnsi="Times New Roman"/>
                <w:b/>
                <w:bCs/>
                <w:color w:val="000000"/>
                <w:sz w:val="24"/>
                <w:szCs w:val="24"/>
                <w:lang w:eastAsia="en-IN"/>
              </w:rPr>
              <w:t>Em</w:t>
            </w:r>
            <w:proofErr w:type="spellEnd"/>
            <w:r w:rsidRPr="001E749D">
              <w:rPr>
                <w:rFonts w:ascii="Times New Roman" w:eastAsia="Times New Roman" w:hAnsi="Times New Roman"/>
                <w:b/>
                <w:bCs/>
                <w:color w:val="000000"/>
                <w:sz w:val="24"/>
                <w:szCs w:val="24"/>
                <w:lang w:eastAsia="en-IN"/>
              </w:rPr>
              <w:t>.±</w:t>
            </w:r>
            <w:proofErr w:type="gramEnd"/>
          </w:p>
        </w:tc>
        <w:tc>
          <w:tcPr>
            <w:tcW w:w="1696" w:type="pct"/>
            <w:tcBorders>
              <w:top w:val="nil"/>
              <w:left w:val="nil"/>
              <w:bottom w:val="single" w:sz="4" w:space="0" w:color="auto"/>
              <w:right w:val="single" w:sz="4" w:space="0" w:color="auto"/>
            </w:tcBorders>
            <w:noWrap/>
            <w:vAlign w:val="center"/>
            <w:hideMark/>
          </w:tcPr>
          <w:p w14:paraId="4A945F65"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1.47</w:t>
            </w:r>
          </w:p>
        </w:tc>
        <w:tc>
          <w:tcPr>
            <w:tcW w:w="1866" w:type="pct"/>
            <w:tcBorders>
              <w:top w:val="nil"/>
              <w:left w:val="nil"/>
              <w:bottom w:val="single" w:sz="4" w:space="0" w:color="auto"/>
              <w:right w:val="single" w:sz="4" w:space="0" w:color="auto"/>
            </w:tcBorders>
            <w:noWrap/>
            <w:vAlign w:val="center"/>
            <w:hideMark/>
          </w:tcPr>
          <w:p w14:paraId="391C7A36"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0.25</w:t>
            </w:r>
          </w:p>
        </w:tc>
      </w:tr>
      <w:tr w:rsidR="00BA3CA5" w:rsidRPr="001E749D" w14:paraId="4C7C376D" w14:textId="77777777" w:rsidTr="000D36D0">
        <w:trPr>
          <w:trHeight w:val="315"/>
        </w:trPr>
        <w:tc>
          <w:tcPr>
            <w:tcW w:w="1439" w:type="pct"/>
            <w:tcBorders>
              <w:top w:val="nil"/>
              <w:left w:val="single" w:sz="4" w:space="0" w:color="auto"/>
              <w:bottom w:val="single" w:sz="4" w:space="0" w:color="auto"/>
              <w:right w:val="single" w:sz="4" w:space="0" w:color="auto"/>
            </w:tcBorders>
            <w:vAlign w:val="center"/>
            <w:hideMark/>
          </w:tcPr>
          <w:p w14:paraId="704CB86A"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CD (P=0.01)</w:t>
            </w:r>
          </w:p>
        </w:tc>
        <w:tc>
          <w:tcPr>
            <w:tcW w:w="1696" w:type="pct"/>
            <w:tcBorders>
              <w:top w:val="nil"/>
              <w:left w:val="nil"/>
              <w:bottom w:val="single" w:sz="4" w:space="0" w:color="auto"/>
              <w:right w:val="single" w:sz="4" w:space="0" w:color="auto"/>
            </w:tcBorders>
            <w:noWrap/>
            <w:vAlign w:val="center"/>
            <w:hideMark/>
          </w:tcPr>
          <w:p w14:paraId="4A4BBADC"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4.40</w:t>
            </w:r>
          </w:p>
        </w:tc>
        <w:tc>
          <w:tcPr>
            <w:tcW w:w="1866" w:type="pct"/>
            <w:tcBorders>
              <w:top w:val="nil"/>
              <w:left w:val="nil"/>
              <w:bottom w:val="single" w:sz="4" w:space="0" w:color="auto"/>
              <w:right w:val="single" w:sz="4" w:space="0" w:color="auto"/>
            </w:tcBorders>
            <w:noWrap/>
            <w:vAlign w:val="center"/>
            <w:hideMark/>
          </w:tcPr>
          <w:p w14:paraId="564C699B"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1.03</w:t>
            </w:r>
          </w:p>
        </w:tc>
      </w:tr>
      <w:tr w:rsidR="00BA3CA5" w:rsidRPr="001E749D" w14:paraId="3C09E73C" w14:textId="77777777" w:rsidTr="000D36D0">
        <w:trPr>
          <w:trHeight w:val="315"/>
        </w:trPr>
        <w:tc>
          <w:tcPr>
            <w:tcW w:w="1439" w:type="pct"/>
            <w:tcBorders>
              <w:top w:val="nil"/>
              <w:left w:val="single" w:sz="4" w:space="0" w:color="auto"/>
              <w:bottom w:val="single" w:sz="4" w:space="0" w:color="auto"/>
              <w:right w:val="single" w:sz="4" w:space="0" w:color="auto"/>
            </w:tcBorders>
            <w:vAlign w:val="center"/>
            <w:hideMark/>
          </w:tcPr>
          <w:p w14:paraId="54671B73"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CV (%)</w:t>
            </w:r>
          </w:p>
        </w:tc>
        <w:tc>
          <w:tcPr>
            <w:tcW w:w="1696" w:type="pct"/>
            <w:tcBorders>
              <w:top w:val="nil"/>
              <w:left w:val="nil"/>
              <w:bottom w:val="single" w:sz="4" w:space="0" w:color="auto"/>
              <w:right w:val="single" w:sz="4" w:space="0" w:color="auto"/>
            </w:tcBorders>
            <w:noWrap/>
            <w:vAlign w:val="center"/>
            <w:hideMark/>
          </w:tcPr>
          <w:p w14:paraId="1294F63A"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2.67</w:t>
            </w:r>
          </w:p>
        </w:tc>
        <w:tc>
          <w:tcPr>
            <w:tcW w:w="1866" w:type="pct"/>
            <w:tcBorders>
              <w:top w:val="nil"/>
              <w:left w:val="nil"/>
              <w:bottom w:val="single" w:sz="4" w:space="0" w:color="auto"/>
              <w:right w:val="single" w:sz="4" w:space="0" w:color="auto"/>
            </w:tcBorders>
            <w:noWrap/>
            <w:vAlign w:val="center"/>
            <w:hideMark/>
          </w:tcPr>
          <w:p w14:paraId="77B6D4AD" w14:textId="77777777" w:rsidR="00BA3CA5" w:rsidRPr="001E749D" w:rsidRDefault="00BA3CA5" w:rsidP="000D36D0">
            <w:pPr>
              <w:spacing w:before="100" w:after="10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2.67</w:t>
            </w:r>
          </w:p>
        </w:tc>
      </w:tr>
      <w:tr w:rsidR="00BA3CA5" w:rsidRPr="001E749D" w14:paraId="2040200D" w14:textId="77777777" w:rsidTr="000D36D0">
        <w:trPr>
          <w:trHeight w:val="315"/>
        </w:trPr>
        <w:tc>
          <w:tcPr>
            <w:tcW w:w="1439" w:type="pct"/>
            <w:tcBorders>
              <w:top w:val="nil"/>
              <w:left w:val="single" w:sz="4" w:space="0" w:color="auto"/>
              <w:bottom w:val="single" w:sz="4" w:space="0" w:color="auto"/>
              <w:right w:val="single" w:sz="4" w:space="0" w:color="auto"/>
            </w:tcBorders>
            <w:vAlign w:val="center"/>
            <w:hideMark/>
          </w:tcPr>
          <w:p w14:paraId="62F8C256"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Significance</w:t>
            </w:r>
          </w:p>
        </w:tc>
        <w:tc>
          <w:tcPr>
            <w:tcW w:w="1696" w:type="pct"/>
            <w:tcBorders>
              <w:top w:val="nil"/>
              <w:left w:val="nil"/>
              <w:bottom w:val="single" w:sz="4" w:space="0" w:color="auto"/>
              <w:right w:val="single" w:sz="4" w:space="0" w:color="auto"/>
            </w:tcBorders>
            <w:noWrap/>
            <w:vAlign w:val="center"/>
            <w:hideMark/>
          </w:tcPr>
          <w:p w14:paraId="7C443967"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NS</w:t>
            </w:r>
          </w:p>
        </w:tc>
        <w:tc>
          <w:tcPr>
            <w:tcW w:w="1866" w:type="pct"/>
            <w:tcBorders>
              <w:top w:val="nil"/>
              <w:left w:val="nil"/>
              <w:bottom w:val="single" w:sz="4" w:space="0" w:color="auto"/>
              <w:right w:val="single" w:sz="4" w:space="0" w:color="auto"/>
            </w:tcBorders>
            <w:noWrap/>
            <w:vAlign w:val="center"/>
            <w:hideMark/>
          </w:tcPr>
          <w:p w14:paraId="605B0E4A" w14:textId="77777777" w:rsidR="00BA3CA5" w:rsidRPr="001E749D" w:rsidRDefault="00BA3CA5" w:rsidP="000D36D0">
            <w:pPr>
              <w:spacing w:before="100" w:after="10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r>
    </w:tbl>
    <w:p w14:paraId="571A4D2A" w14:textId="77777777" w:rsidR="00BA3CA5" w:rsidRPr="00BD4455" w:rsidRDefault="00BA3CA5" w:rsidP="00BA3CA5">
      <w:pPr>
        <w:spacing w:before="240" w:after="0" w:line="360" w:lineRule="auto"/>
        <w:rPr>
          <w:rFonts w:ascii="Times New Roman" w:hAnsi="Times New Roman"/>
          <w:b/>
        </w:rPr>
      </w:pPr>
      <w:r w:rsidRPr="00BD4455">
        <w:rPr>
          <w:rFonts w:ascii="Times New Roman" w:hAnsi="Times New Roman"/>
          <w:b/>
        </w:rPr>
        <w:t>Legend</w:t>
      </w:r>
    </w:p>
    <w:p w14:paraId="270F382C"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1</w:t>
      </w:r>
      <w:r w:rsidRPr="00BD4455">
        <w:rPr>
          <w:rFonts w:ascii="Times New Roman" w:hAnsi="Times New Roman"/>
          <w:color w:val="000000"/>
        </w:rPr>
        <w:t xml:space="preserve">: Control </w:t>
      </w:r>
    </w:p>
    <w:p w14:paraId="0DEAC9C0"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2</w:t>
      </w:r>
      <w:r w:rsidRPr="00BD4455">
        <w:rPr>
          <w:rFonts w:ascii="Times New Roman" w:hAnsi="Times New Roman"/>
          <w:color w:val="000000"/>
        </w:rPr>
        <w:t>: Sweet flag rhizome powder at 5 g/kg</w:t>
      </w:r>
    </w:p>
    <w:p w14:paraId="034A9575"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3</w:t>
      </w:r>
      <w:r w:rsidRPr="00BD4455">
        <w:rPr>
          <w:rFonts w:ascii="Times New Roman" w:hAnsi="Times New Roman"/>
          <w:color w:val="000000"/>
        </w:rPr>
        <w:t>: Sweet flag rhizome powder at 10 g/kg</w:t>
      </w:r>
    </w:p>
    <w:p w14:paraId="5F5460A6"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4</w:t>
      </w:r>
      <w:r w:rsidRPr="00BD4455">
        <w:rPr>
          <w:rFonts w:ascii="Times New Roman" w:hAnsi="Times New Roman"/>
          <w:color w:val="000000"/>
        </w:rPr>
        <w:t>: Sweet flag rhizome powder at 15 g/kg</w:t>
      </w:r>
    </w:p>
    <w:p w14:paraId="430CB485"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5</w:t>
      </w:r>
      <w:r w:rsidRPr="00BD4455">
        <w:rPr>
          <w:rFonts w:ascii="Times New Roman" w:hAnsi="Times New Roman"/>
          <w:color w:val="000000"/>
        </w:rPr>
        <w:t>: Sweet flag rhizome oil at 2.5 ml/kg</w:t>
      </w:r>
    </w:p>
    <w:p w14:paraId="59763898"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6</w:t>
      </w:r>
      <w:r w:rsidRPr="00BD4455">
        <w:rPr>
          <w:rFonts w:ascii="Times New Roman" w:hAnsi="Times New Roman"/>
          <w:color w:val="000000"/>
        </w:rPr>
        <w:t>: Sweet flag rhizome oil at 5 ml/kg</w:t>
      </w:r>
    </w:p>
    <w:p w14:paraId="2765F6BD"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7</w:t>
      </w:r>
      <w:r w:rsidRPr="00BD4455">
        <w:rPr>
          <w:rFonts w:ascii="Times New Roman" w:hAnsi="Times New Roman"/>
          <w:color w:val="000000"/>
        </w:rPr>
        <w:t>: Sweet flag rhizome oil at 7.5 ml/kg</w:t>
      </w:r>
    </w:p>
    <w:p w14:paraId="0DB76A22"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8</w:t>
      </w:r>
      <w:r w:rsidRPr="00BD4455">
        <w:rPr>
          <w:rFonts w:ascii="Times New Roman" w:hAnsi="Times New Roman"/>
          <w:color w:val="000000"/>
        </w:rPr>
        <w:t>: Spinosad at 0.04 ml/kg</w:t>
      </w:r>
    </w:p>
    <w:p w14:paraId="506F5A0A" w14:textId="77777777" w:rsidR="00BA3CA5" w:rsidRDefault="00BA3CA5" w:rsidP="00BA3CA5">
      <w:pPr>
        <w:spacing w:after="0" w:line="360" w:lineRule="auto"/>
        <w:jc w:val="both"/>
        <w:rPr>
          <w:rFonts w:ascii="Times New Roman" w:hAnsi="Times New Roman"/>
          <w:bCs/>
          <w:color w:val="000000"/>
          <w:sz w:val="24"/>
          <w:szCs w:val="24"/>
          <w:lang w:eastAsia="en-IN"/>
        </w:rPr>
        <w:sectPr w:rsidR="00BA3CA5" w:rsidSect="000D36D0">
          <w:headerReference w:type="even" r:id="rId20"/>
          <w:headerReference w:type="default" r:id="rId21"/>
          <w:footerReference w:type="default" r:id="rId22"/>
          <w:headerReference w:type="first" r:id="rId23"/>
          <w:pgSz w:w="12240" w:h="15840" w:code="1"/>
          <w:pgMar w:top="1440" w:right="1440" w:bottom="1440" w:left="2160" w:header="720" w:footer="720" w:gutter="0"/>
          <w:cols w:space="720"/>
          <w:docGrid w:linePitch="360"/>
        </w:sectPr>
      </w:pPr>
    </w:p>
    <w:p w14:paraId="5ADE1A9B" w14:textId="77777777" w:rsidR="00BA3CA5" w:rsidRDefault="00BA3CA5" w:rsidP="00BA3CA5">
      <w:pPr>
        <w:spacing w:after="0" w:line="360" w:lineRule="auto"/>
        <w:jc w:val="both"/>
        <w:rPr>
          <w:rFonts w:ascii="Times New Roman" w:hAnsi="Times New Roman"/>
          <w:b/>
          <w:bCs/>
          <w:sz w:val="24"/>
          <w:szCs w:val="24"/>
          <w:lang w:val="en-US"/>
        </w:rPr>
      </w:pPr>
      <w:r w:rsidRPr="007F5683">
        <w:rPr>
          <w:noProof/>
        </w:rPr>
        <w:lastRenderedPageBreak/>
        <w:drawing>
          <wp:inline distT="0" distB="0" distL="0" distR="0" wp14:anchorId="6C34F9DA" wp14:editId="476223C5">
            <wp:extent cx="8229600" cy="3931920"/>
            <wp:effectExtent l="0" t="0" r="0" b="11430"/>
            <wp:docPr id="1861612839"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AF9882" w14:textId="0535A839" w:rsidR="00BA3CA5" w:rsidRPr="007F5683" w:rsidRDefault="00BA3CA5" w:rsidP="00BA3CA5">
      <w:pPr>
        <w:spacing w:after="0" w:line="360" w:lineRule="auto"/>
        <w:ind w:left="720" w:hanging="720"/>
        <w:jc w:val="both"/>
        <w:rPr>
          <w:rFonts w:ascii="Times New Roman" w:hAnsi="Times New Roman"/>
          <w:b/>
          <w:sz w:val="24"/>
          <w:szCs w:val="24"/>
        </w:rPr>
      </w:pPr>
      <w:r w:rsidRPr="007F5683">
        <w:rPr>
          <w:rFonts w:ascii="Times New Roman" w:hAnsi="Times New Roman"/>
          <w:b/>
          <w:bCs/>
          <w:sz w:val="24"/>
          <w:szCs w:val="24"/>
          <w:lang w:val="en-US"/>
        </w:rPr>
        <w:t xml:space="preserve">Fig. </w:t>
      </w:r>
      <w:r>
        <w:rPr>
          <w:rFonts w:ascii="Times New Roman" w:hAnsi="Times New Roman"/>
          <w:b/>
          <w:bCs/>
          <w:sz w:val="24"/>
          <w:szCs w:val="24"/>
          <w:lang w:val="en-US"/>
        </w:rPr>
        <w:t>1:</w:t>
      </w:r>
      <w:r>
        <w:rPr>
          <w:rFonts w:ascii="Times New Roman" w:hAnsi="Times New Roman"/>
          <w:b/>
          <w:bCs/>
          <w:sz w:val="24"/>
          <w:szCs w:val="24"/>
          <w:lang w:val="en-US"/>
        </w:rPr>
        <w:tab/>
      </w:r>
      <w:r w:rsidR="00130604">
        <w:rPr>
          <w:rFonts w:ascii="Times New Roman" w:hAnsi="Times New Roman"/>
          <w:b/>
          <w:bCs/>
          <w:sz w:val="24"/>
          <w:szCs w:val="24"/>
          <w:lang w:val="en-US"/>
        </w:rPr>
        <w:t>Graph showing the e</w:t>
      </w:r>
      <w:r w:rsidRPr="007F5683">
        <w:rPr>
          <w:rFonts w:ascii="Times New Roman" w:hAnsi="Times New Roman"/>
          <w:b/>
          <w:bCs/>
          <w:sz w:val="24"/>
          <w:szCs w:val="24"/>
          <w:lang w:val="en-US"/>
        </w:rPr>
        <w:t>ffect of sweet flag rhizome</w:t>
      </w:r>
      <w:r>
        <w:rPr>
          <w:rFonts w:ascii="Times New Roman" w:hAnsi="Times New Roman"/>
          <w:b/>
          <w:bCs/>
          <w:sz w:val="24"/>
          <w:szCs w:val="24"/>
          <w:lang w:val="en-US"/>
        </w:rPr>
        <w:t xml:space="preserve"> </w:t>
      </w:r>
      <w:r w:rsidRPr="007F5683">
        <w:rPr>
          <w:rFonts w:ascii="Times New Roman" w:hAnsi="Times New Roman"/>
          <w:b/>
          <w:bCs/>
          <w:sz w:val="24"/>
          <w:szCs w:val="24"/>
          <w:lang w:val="en-US"/>
        </w:rPr>
        <w:t xml:space="preserve">treatment on seed germination (%) and electrical conductivity (µS/cm/g) </w:t>
      </w:r>
      <w:r w:rsidRPr="007F5683">
        <w:rPr>
          <w:rFonts w:ascii="Times New Roman" w:hAnsi="Times New Roman"/>
          <w:b/>
          <w:bCs/>
          <w:sz w:val="24"/>
          <w:szCs w:val="24"/>
        </w:rPr>
        <w:t xml:space="preserve">in </w:t>
      </w:r>
      <w:r w:rsidRPr="007F5683">
        <w:rPr>
          <w:rFonts w:ascii="Times New Roman" w:hAnsi="Times New Roman"/>
          <w:b/>
          <w:bCs/>
          <w:sz w:val="24"/>
          <w:szCs w:val="24"/>
        </w:rPr>
        <w:br/>
        <w:t xml:space="preserve"> field bean</w:t>
      </w:r>
    </w:p>
    <w:p w14:paraId="0C7A71CC" w14:textId="77777777" w:rsidR="00BA3CA5" w:rsidRPr="00F71B2E" w:rsidRDefault="00BA3CA5" w:rsidP="00BA3CA5">
      <w:pPr>
        <w:spacing w:before="120" w:after="0" w:line="264" w:lineRule="auto"/>
        <w:rPr>
          <w:rFonts w:ascii="Times New Roman" w:hAnsi="Times New Roman"/>
          <w:b/>
          <w:bCs/>
          <w:sz w:val="20"/>
          <w:szCs w:val="20"/>
        </w:rPr>
      </w:pPr>
      <w:r w:rsidRPr="00F71B2E">
        <w:rPr>
          <w:rFonts w:ascii="Times New Roman" w:hAnsi="Times New Roman"/>
          <w:b/>
          <w:bCs/>
          <w:sz w:val="20"/>
          <w:szCs w:val="20"/>
        </w:rPr>
        <w:t>Legend</w:t>
      </w:r>
    </w:p>
    <w:p w14:paraId="506C45EC" w14:textId="77777777" w:rsidR="00BA3CA5" w:rsidRPr="00F71B2E" w:rsidRDefault="00BA3CA5" w:rsidP="00BA3CA5">
      <w:pPr>
        <w:spacing w:after="0" w:line="264" w:lineRule="auto"/>
        <w:rPr>
          <w:rFonts w:ascii="Times New Roman" w:hAnsi="Times New Roman"/>
          <w:sz w:val="20"/>
          <w:szCs w:val="20"/>
        </w:rPr>
      </w:pPr>
      <w:r w:rsidRPr="00F71B2E">
        <w:rPr>
          <w:rFonts w:ascii="Times New Roman" w:hAnsi="Times New Roman"/>
          <w:b/>
          <w:bCs/>
          <w:sz w:val="20"/>
          <w:szCs w:val="20"/>
        </w:rPr>
        <w:t>T</w:t>
      </w:r>
      <w:r w:rsidRPr="00F71B2E">
        <w:rPr>
          <w:rFonts w:ascii="Times New Roman" w:hAnsi="Times New Roman"/>
          <w:b/>
          <w:bCs/>
          <w:sz w:val="20"/>
          <w:szCs w:val="20"/>
          <w:vertAlign w:val="subscript"/>
        </w:rPr>
        <w:t>1</w:t>
      </w:r>
      <w:r w:rsidRPr="00F71B2E">
        <w:rPr>
          <w:rFonts w:ascii="Times New Roman" w:hAnsi="Times New Roman"/>
          <w:bCs/>
          <w:sz w:val="20"/>
          <w:szCs w:val="20"/>
        </w:rPr>
        <w:t xml:space="preserve">: Control                                                                 </w:t>
      </w:r>
      <w:r w:rsidRPr="00F71B2E">
        <w:rPr>
          <w:rFonts w:ascii="Times New Roman" w:hAnsi="Times New Roman"/>
          <w:b/>
          <w:bCs/>
          <w:sz w:val="20"/>
          <w:szCs w:val="20"/>
        </w:rPr>
        <w:t>T</w:t>
      </w:r>
      <w:r w:rsidRPr="00F71B2E">
        <w:rPr>
          <w:rFonts w:ascii="Times New Roman" w:hAnsi="Times New Roman"/>
          <w:b/>
          <w:bCs/>
          <w:sz w:val="20"/>
          <w:szCs w:val="20"/>
          <w:vertAlign w:val="subscript"/>
        </w:rPr>
        <w:t>5</w:t>
      </w:r>
      <w:r w:rsidRPr="00F71B2E">
        <w:rPr>
          <w:rFonts w:ascii="Times New Roman" w:hAnsi="Times New Roman"/>
          <w:bCs/>
          <w:sz w:val="20"/>
          <w:szCs w:val="20"/>
        </w:rPr>
        <w:t xml:space="preserve">: Sweet flag rhizome oil at 2.5 ml/kg                         </w:t>
      </w:r>
      <w:r w:rsidRPr="00F71B2E">
        <w:rPr>
          <w:rFonts w:ascii="Times New Roman" w:hAnsi="Times New Roman"/>
          <w:b/>
          <w:bCs/>
          <w:sz w:val="20"/>
          <w:szCs w:val="20"/>
        </w:rPr>
        <w:t>SG</w:t>
      </w:r>
      <w:r w:rsidRPr="00F71B2E">
        <w:rPr>
          <w:rFonts w:ascii="Times New Roman" w:hAnsi="Times New Roman"/>
          <w:bCs/>
          <w:sz w:val="20"/>
          <w:szCs w:val="20"/>
        </w:rPr>
        <w:t>: Seed germination</w:t>
      </w:r>
    </w:p>
    <w:p w14:paraId="64C34C05" w14:textId="77777777" w:rsidR="00BA3CA5" w:rsidRPr="00F71B2E" w:rsidRDefault="00BA3CA5" w:rsidP="00BA3CA5">
      <w:pPr>
        <w:spacing w:after="0" w:line="264" w:lineRule="auto"/>
        <w:rPr>
          <w:rFonts w:ascii="Times New Roman" w:hAnsi="Times New Roman"/>
          <w:sz w:val="20"/>
          <w:szCs w:val="20"/>
        </w:rPr>
      </w:pPr>
      <w:r w:rsidRPr="00F71B2E">
        <w:rPr>
          <w:rFonts w:ascii="Times New Roman" w:hAnsi="Times New Roman"/>
          <w:b/>
          <w:bCs/>
          <w:sz w:val="20"/>
          <w:szCs w:val="20"/>
        </w:rPr>
        <w:t>T</w:t>
      </w:r>
      <w:r w:rsidRPr="00F71B2E">
        <w:rPr>
          <w:rFonts w:ascii="Times New Roman" w:hAnsi="Times New Roman"/>
          <w:b/>
          <w:bCs/>
          <w:sz w:val="20"/>
          <w:szCs w:val="20"/>
          <w:vertAlign w:val="subscript"/>
        </w:rPr>
        <w:t>2</w:t>
      </w:r>
      <w:r w:rsidRPr="00F71B2E">
        <w:rPr>
          <w:rFonts w:ascii="Times New Roman" w:hAnsi="Times New Roman"/>
          <w:bCs/>
          <w:sz w:val="20"/>
          <w:szCs w:val="20"/>
        </w:rPr>
        <w:t xml:space="preserve">: Sweet flag rhizome powder at 5 g/kg                  </w:t>
      </w:r>
      <w:r w:rsidRPr="00F71B2E">
        <w:rPr>
          <w:rFonts w:ascii="Times New Roman" w:hAnsi="Times New Roman"/>
          <w:b/>
          <w:bCs/>
          <w:sz w:val="20"/>
          <w:szCs w:val="20"/>
        </w:rPr>
        <w:t>T</w:t>
      </w:r>
      <w:r w:rsidRPr="00F71B2E">
        <w:rPr>
          <w:rFonts w:ascii="Times New Roman" w:hAnsi="Times New Roman"/>
          <w:b/>
          <w:bCs/>
          <w:sz w:val="20"/>
          <w:szCs w:val="20"/>
          <w:vertAlign w:val="subscript"/>
        </w:rPr>
        <w:t>6</w:t>
      </w:r>
      <w:r w:rsidRPr="00F71B2E">
        <w:rPr>
          <w:rFonts w:ascii="Times New Roman" w:hAnsi="Times New Roman"/>
          <w:bCs/>
          <w:sz w:val="20"/>
          <w:szCs w:val="20"/>
        </w:rPr>
        <w:t xml:space="preserve">: Sweet flag rhizome oil at 5 ml/kg                            </w:t>
      </w:r>
      <w:r w:rsidRPr="00F71B2E">
        <w:rPr>
          <w:rFonts w:ascii="Times New Roman" w:hAnsi="Times New Roman"/>
          <w:b/>
          <w:bCs/>
          <w:sz w:val="20"/>
          <w:szCs w:val="20"/>
        </w:rPr>
        <w:t>EC</w:t>
      </w:r>
      <w:r w:rsidRPr="00F71B2E">
        <w:rPr>
          <w:rFonts w:ascii="Times New Roman" w:hAnsi="Times New Roman"/>
          <w:bCs/>
          <w:sz w:val="20"/>
          <w:szCs w:val="20"/>
        </w:rPr>
        <w:t>: Electrical conductivity</w:t>
      </w:r>
    </w:p>
    <w:p w14:paraId="33483B20" w14:textId="77777777" w:rsidR="00BA3CA5" w:rsidRPr="00F71B2E" w:rsidRDefault="00BA3CA5" w:rsidP="00BA3CA5">
      <w:pPr>
        <w:spacing w:after="0" w:line="264" w:lineRule="auto"/>
        <w:rPr>
          <w:rFonts w:ascii="Times New Roman" w:hAnsi="Times New Roman"/>
          <w:bCs/>
          <w:sz w:val="20"/>
          <w:szCs w:val="20"/>
        </w:rPr>
      </w:pPr>
      <w:r w:rsidRPr="00F71B2E">
        <w:rPr>
          <w:rFonts w:ascii="Times New Roman" w:hAnsi="Times New Roman"/>
          <w:b/>
          <w:bCs/>
          <w:sz w:val="20"/>
          <w:szCs w:val="20"/>
        </w:rPr>
        <w:lastRenderedPageBreak/>
        <w:t>T</w:t>
      </w:r>
      <w:r w:rsidRPr="00F71B2E">
        <w:rPr>
          <w:rFonts w:ascii="Times New Roman" w:hAnsi="Times New Roman"/>
          <w:b/>
          <w:bCs/>
          <w:sz w:val="20"/>
          <w:szCs w:val="20"/>
          <w:vertAlign w:val="subscript"/>
        </w:rPr>
        <w:t>3</w:t>
      </w:r>
      <w:r w:rsidRPr="00F71B2E">
        <w:rPr>
          <w:rFonts w:ascii="Times New Roman" w:hAnsi="Times New Roman"/>
          <w:bCs/>
          <w:sz w:val="20"/>
          <w:szCs w:val="20"/>
        </w:rPr>
        <w:t xml:space="preserve">: Sweet flag rhizome powder at 10 g/kg                </w:t>
      </w:r>
      <w:r w:rsidRPr="00F71B2E">
        <w:rPr>
          <w:rFonts w:ascii="Times New Roman" w:hAnsi="Times New Roman"/>
          <w:b/>
          <w:bCs/>
          <w:sz w:val="20"/>
          <w:szCs w:val="20"/>
        </w:rPr>
        <w:t>T</w:t>
      </w:r>
      <w:r w:rsidRPr="00F71B2E">
        <w:rPr>
          <w:rFonts w:ascii="Times New Roman" w:hAnsi="Times New Roman"/>
          <w:b/>
          <w:bCs/>
          <w:sz w:val="20"/>
          <w:szCs w:val="20"/>
          <w:vertAlign w:val="subscript"/>
        </w:rPr>
        <w:t>7</w:t>
      </w:r>
      <w:r w:rsidRPr="00F71B2E">
        <w:rPr>
          <w:rFonts w:ascii="Times New Roman" w:hAnsi="Times New Roman"/>
          <w:bCs/>
          <w:sz w:val="20"/>
          <w:szCs w:val="20"/>
        </w:rPr>
        <w:t xml:space="preserve">: Sweet flag rhizome oil at 7.5 ml/kg                         </w:t>
      </w:r>
    </w:p>
    <w:p w14:paraId="75111642" w14:textId="77777777" w:rsidR="00BA3CA5" w:rsidRPr="00F71B2E" w:rsidRDefault="00BA3CA5" w:rsidP="00BA3CA5">
      <w:pPr>
        <w:spacing w:after="0" w:line="264" w:lineRule="auto"/>
        <w:rPr>
          <w:rFonts w:ascii="Times New Roman" w:hAnsi="Times New Roman"/>
          <w:sz w:val="20"/>
          <w:szCs w:val="20"/>
        </w:rPr>
      </w:pPr>
      <w:r w:rsidRPr="00F71B2E">
        <w:rPr>
          <w:rFonts w:ascii="Times New Roman" w:hAnsi="Times New Roman"/>
          <w:b/>
          <w:bCs/>
          <w:sz w:val="20"/>
          <w:szCs w:val="20"/>
        </w:rPr>
        <w:t>T</w:t>
      </w:r>
      <w:r w:rsidRPr="00F71B2E">
        <w:rPr>
          <w:rFonts w:ascii="Times New Roman" w:hAnsi="Times New Roman"/>
          <w:b/>
          <w:bCs/>
          <w:sz w:val="20"/>
          <w:szCs w:val="20"/>
          <w:vertAlign w:val="subscript"/>
        </w:rPr>
        <w:t>4</w:t>
      </w:r>
      <w:r w:rsidRPr="00F71B2E">
        <w:rPr>
          <w:rFonts w:ascii="Times New Roman" w:hAnsi="Times New Roman"/>
          <w:bCs/>
          <w:sz w:val="20"/>
          <w:szCs w:val="20"/>
        </w:rPr>
        <w:t xml:space="preserve">: Sweet flag rhizome powder at 15 g/kg                </w:t>
      </w:r>
      <w:r w:rsidRPr="00F71B2E">
        <w:rPr>
          <w:rFonts w:ascii="Times New Roman" w:hAnsi="Times New Roman"/>
          <w:b/>
          <w:bCs/>
          <w:sz w:val="20"/>
          <w:szCs w:val="20"/>
        </w:rPr>
        <w:t>T</w:t>
      </w:r>
      <w:r w:rsidRPr="00F71B2E">
        <w:rPr>
          <w:rFonts w:ascii="Times New Roman" w:hAnsi="Times New Roman"/>
          <w:b/>
          <w:bCs/>
          <w:sz w:val="20"/>
          <w:szCs w:val="20"/>
          <w:vertAlign w:val="subscript"/>
        </w:rPr>
        <w:t>8</w:t>
      </w:r>
      <w:r w:rsidRPr="00F71B2E">
        <w:rPr>
          <w:rFonts w:ascii="Times New Roman" w:hAnsi="Times New Roman"/>
          <w:bCs/>
          <w:sz w:val="20"/>
          <w:szCs w:val="20"/>
        </w:rPr>
        <w:t>: Spinosad at 0.04 ml/kg</w:t>
      </w:r>
    </w:p>
    <w:p w14:paraId="2B8FE7CD" w14:textId="77777777" w:rsidR="00BA3CA5" w:rsidRDefault="00BA3CA5" w:rsidP="00BA3CA5">
      <w:pPr>
        <w:spacing w:after="0" w:line="360" w:lineRule="auto"/>
        <w:ind w:firstLine="720"/>
        <w:jc w:val="both"/>
        <w:rPr>
          <w:rFonts w:ascii="Times New Roman" w:hAnsi="Times New Roman"/>
          <w:color w:val="000000"/>
          <w:sz w:val="24"/>
          <w:szCs w:val="24"/>
          <w:lang w:eastAsia="en-IN"/>
        </w:rPr>
        <w:sectPr w:rsidR="00BA3CA5" w:rsidSect="000D36D0">
          <w:headerReference w:type="even" r:id="rId25"/>
          <w:headerReference w:type="default" r:id="rId26"/>
          <w:footerReference w:type="default" r:id="rId27"/>
          <w:headerReference w:type="first" r:id="rId28"/>
          <w:pgSz w:w="15840" w:h="12240" w:orient="landscape" w:code="1"/>
          <w:pgMar w:top="2160" w:right="1440" w:bottom="1440" w:left="1440" w:header="720" w:footer="720" w:gutter="0"/>
          <w:cols w:space="720"/>
          <w:docGrid w:linePitch="360"/>
        </w:sectPr>
      </w:pPr>
    </w:p>
    <w:p w14:paraId="1AED735A" w14:textId="77777777" w:rsidR="000D36D0" w:rsidRPr="00437918" w:rsidRDefault="000D36D0" w:rsidP="000D36D0">
      <w:pPr>
        <w:spacing w:after="0" w:line="360" w:lineRule="auto"/>
        <w:ind w:left="1080" w:hanging="1080"/>
        <w:jc w:val="center"/>
        <w:rPr>
          <w:rFonts w:ascii="Times New Roman" w:hAnsi="Times New Roman"/>
          <w:b/>
          <w:bCs/>
          <w:noProof/>
          <w:sz w:val="26"/>
          <w:szCs w:val="26"/>
          <w:lang w:val="en-US"/>
        </w:rPr>
      </w:pPr>
      <w:r w:rsidRPr="00437918">
        <w:rPr>
          <w:rFonts w:ascii="Times New Roman" w:hAnsi="Times New Roman"/>
          <w:b/>
          <w:bCs/>
          <w:noProof/>
          <w:sz w:val="26"/>
          <w:szCs w:val="26"/>
          <w:lang w:val="en-US"/>
        </w:rPr>
        <w:lastRenderedPageBreak/>
        <w:drawing>
          <wp:inline distT="0" distB="0" distL="0" distR="0" wp14:anchorId="3DCA5CF0" wp14:editId="175C468C">
            <wp:extent cx="3278038" cy="2286000"/>
            <wp:effectExtent l="0" t="0" r="0" b="0"/>
            <wp:docPr id="144739158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9">
                      <a:extLst>
                        <a:ext uri="{BEBA8EAE-BF5A-486C-A8C5-ECC9F3942E4B}">
                          <a14:imgProps xmlns:a14="http://schemas.microsoft.com/office/drawing/2010/main">
                            <a14:imgLayer r:embed="rId30">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278038" cy="2286000"/>
                    </a:xfrm>
                    <a:prstGeom prst="rect">
                      <a:avLst/>
                    </a:prstGeom>
                    <a:noFill/>
                  </pic:spPr>
                </pic:pic>
              </a:graphicData>
            </a:graphic>
          </wp:inline>
        </w:drawing>
      </w:r>
      <w:r w:rsidRPr="00437918">
        <w:rPr>
          <w:rFonts w:ascii="Times New Roman" w:hAnsi="Times New Roman"/>
          <w:b/>
          <w:bCs/>
          <w:noProof/>
          <w:sz w:val="26"/>
          <w:szCs w:val="26"/>
          <w:lang w:val="en-US"/>
        </w:rPr>
        <w:drawing>
          <wp:inline distT="0" distB="0" distL="0" distR="0" wp14:anchorId="4A0B16CA" wp14:editId="26762A7C">
            <wp:extent cx="1542143" cy="2286000"/>
            <wp:effectExtent l="0" t="0" r="1270" b="0"/>
            <wp:docPr id="141998536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1">
                      <a:extLst>
                        <a:ext uri="{BEBA8EAE-BF5A-486C-A8C5-ECC9F3942E4B}">
                          <a14:imgProps xmlns:a14="http://schemas.microsoft.com/office/drawing/2010/main">
                            <a14:imgLayer r:embed="rId32">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542143" cy="2286000"/>
                    </a:xfrm>
                    <a:prstGeom prst="rect">
                      <a:avLst/>
                    </a:prstGeom>
                    <a:noFill/>
                  </pic:spPr>
                </pic:pic>
              </a:graphicData>
            </a:graphic>
          </wp:inline>
        </w:drawing>
      </w:r>
    </w:p>
    <w:p w14:paraId="226F0C27" w14:textId="77777777" w:rsidR="000D36D0" w:rsidRPr="00437918" w:rsidRDefault="000D36D0" w:rsidP="000D36D0">
      <w:pPr>
        <w:spacing w:after="0" w:line="360" w:lineRule="auto"/>
        <w:ind w:left="1080" w:hanging="1080"/>
        <w:jc w:val="center"/>
        <w:rPr>
          <w:rFonts w:ascii="Times New Roman" w:hAnsi="Times New Roman"/>
          <w:b/>
          <w:bCs/>
          <w:color w:val="000000"/>
        </w:rPr>
      </w:pPr>
      <w:r w:rsidRPr="00437918">
        <w:rPr>
          <w:rFonts w:ascii="Times New Roman" w:hAnsi="Times New Roman"/>
          <w:b/>
          <w:bCs/>
          <w:color w:val="000000"/>
        </w:rPr>
        <w:t>T</w:t>
      </w:r>
      <w:r w:rsidRPr="00437918">
        <w:rPr>
          <w:rFonts w:ascii="Times New Roman" w:hAnsi="Times New Roman"/>
          <w:b/>
          <w:bCs/>
          <w:color w:val="000000"/>
          <w:vertAlign w:val="subscript"/>
        </w:rPr>
        <w:t>1</w:t>
      </w:r>
      <w:r w:rsidRPr="00437918">
        <w:rPr>
          <w:rFonts w:ascii="Times New Roman" w:hAnsi="Times New Roman"/>
          <w:b/>
          <w:bCs/>
          <w:color w:val="000000"/>
        </w:rPr>
        <w:t>: Control</w:t>
      </w:r>
    </w:p>
    <w:p w14:paraId="19320073" w14:textId="77777777" w:rsidR="000D36D0" w:rsidRPr="00437918" w:rsidRDefault="000D36D0" w:rsidP="000D36D0">
      <w:pPr>
        <w:spacing w:after="0" w:line="360" w:lineRule="auto"/>
        <w:ind w:left="1080" w:hanging="1080"/>
        <w:jc w:val="center"/>
        <w:rPr>
          <w:rFonts w:ascii="Times New Roman" w:hAnsi="Times New Roman"/>
          <w:b/>
          <w:bCs/>
          <w:color w:val="000000"/>
        </w:rPr>
      </w:pPr>
      <w:r w:rsidRPr="00437918">
        <w:rPr>
          <w:rFonts w:ascii="Times New Roman" w:hAnsi="Times New Roman"/>
          <w:b/>
          <w:bCs/>
          <w:noProof/>
          <w:color w:val="000000"/>
        </w:rPr>
        <w:drawing>
          <wp:inline distT="0" distB="0" distL="0" distR="0" wp14:anchorId="1E48AE7E" wp14:editId="655ACA46">
            <wp:extent cx="3278038" cy="2286000"/>
            <wp:effectExtent l="0" t="0" r="0" b="0"/>
            <wp:docPr id="162965433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33">
                      <a:extLst>
                        <a:ext uri="{BEBA8EAE-BF5A-486C-A8C5-ECC9F3942E4B}">
                          <a14:imgProps xmlns:a14="http://schemas.microsoft.com/office/drawing/2010/main">
                            <a14:imgLayer r:embed="rId3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278038" cy="2286000"/>
                    </a:xfrm>
                    <a:prstGeom prst="rect">
                      <a:avLst/>
                    </a:prstGeom>
                    <a:noFill/>
                  </pic:spPr>
                </pic:pic>
              </a:graphicData>
            </a:graphic>
          </wp:inline>
        </w:drawing>
      </w:r>
      <w:r w:rsidRPr="00437918">
        <w:rPr>
          <w:rFonts w:ascii="Times New Roman" w:hAnsi="Times New Roman"/>
          <w:noProof/>
        </w:rPr>
        <w:drawing>
          <wp:inline distT="0" distB="0" distL="0" distR="0" wp14:anchorId="670EC99A" wp14:editId="3D59018C">
            <wp:extent cx="1542143" cy="2286000"/>
            <wp:effectExtent l="0" t="0" r="1270" b="0"/>
            <wp:docPr id="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referRelativeResize="0">
                      <a:picLocks noChangeAspect="1"/>
                    </pic:cNvPicPr>
                  </pic:nvPicPr>
                  <pic:blipFill rotWithShape="1">
                    <a:blip r:embed="rId35" cstate="print">
                      <a:extLst>
                        <a:ext uri="{BEBA8EAE-BF5A-486C-A8C5-ECC9F3942E4B}">
                          <a14:imgProps xmlns:a14="http://schemas.microsoft.com/office/drawing/2010/main">
                            <a14:imgLayer r:embed="rId36">
                              <a14:imgEffect>
                                <a14:brightnessContrast bright="10000"/>
                              </a14:imgEffect>
                            </a14:imgLayer>
                          </a14:imgProps>
                        </a:ext>
                        <a:ext uri="{28A0092B-C50C-407E-A947-70E740481C1C}">
                          <a14:useLocalDpi xmlns:a14="http://schemas.microsoft.com/office/drawing/2010/main" val="0"/>
                        </a:ext>
                      </a:extLst>
                    </a:blip>
                    <a:srcRect l="45017" t="11435" r="26858" b="8299"/>
                    <a:stretch/>
                  </pic:blipFill>
                  <pic:spPr>
                    <a:xfrm rot="10800000">
                      <a:off x="0" y="0"/>
                      <a:ext cx="1542143" cy="2286000"/>
                    </a:xfrm>
                    <a:prstGeom prst="rect">
                      <a:avLst/>
                    </a:prstGeom>
                  </pic:spPr>
                </pic:pic>
              </a:graphicData>
            </a:graphic>
          </wp:inline>
        </w:drawing>
      </w:r>
    </w:p>
    <w:p w14:paraId="2E47EBCF" w14:textId="77777777" w:rsidR="000D36D0" w:rsidRPr="00437918" w:rsidRDefault="000D36D0" w:rsidP="000D36D0">
      <w:pPr>
        <w:spacing w:after="0" w:line="360" w:lineRule="auto"/>
        <w:ind w:left="1080" w:hanging="1080"/>
        <w:jc w:val="center"/>
        <w:rPr>
          <w:rFonts w:ascii="Times New Roman" w:hAnsi="Times New Roman"/>
          <w:b/>
          <w:bCs/>
          <w:color w:val="000000"/>
        </w:rPr>
      </w:pPr>
      <w:r w:rsidRPr="00437918">
        <w:rPr>
          <w:rFonts w:ascii="Times New Roman" w:hAnsi="Times New Roman"/>
          <w:b/>
          <w:bCs/>
          <w:color w:val="000000"/>
          <w:lang w:val="da-DK"/>
        </w:rPr>
        <w:t>T</w:t>
      </w:r>
      <w:r w:rsidRPr="00437918">
        <w:rPr>
          <w:rFonts w:ascii="Times New Roman" w:hAnsi="Times New Roman"/>
          <w:b/>
          <w:bCs/>
          <w:color w:val="000000"/>
          <w:vertAlign w:val="subscript"/>
          <w:lang w:val="da-DK"/>
        </w:rPr>
        <w:t>4</w:t>
      </w:r>
      <w:r w:rsidRPr="00437918">
        <w:rPr>
          <w:rFonts w:ascii="Times New Roman" w:hAnsi="Times New Roman"/>
          <w:b/>
          <w:bCs/>
          <w:color w:val="000000"/>
          <w:lang w:val="da-DK"/>
        </w:rPr>
        <w:t>: Sweet flag rhizome powder at 15 g/kg</w:t>
      </w:r>
    </w:p>
    <w:p w14:paraId="052F4146" w14:textId="03C201A8" w:rsidR="000D36D0" w:rsidRPr="000D36D0" w:rsidRDefault="000D36D0" w:rsidP="000D36D0">
      <w:pPr>
        <w:spacing w:after="0" w:line="360" w:lineRule="auto"/>
        <w:ind w:left="1080" w:hanging="1080"/>
        <w:jc w:val="center"/>
        <w:rPr>
          <w:rFonts w:ascii="Times New Roman" w:hAnsi="Times New Roman"/>
          <w:b/>
          <w:bCs/>
          <w:sz w:val="28"/>
          <w:szCs w:val="28"/>
          <w:lang w:val="en-US"/>
        </w:rPr>
      </w:pPr>
      <w:r w:rsidRPr="00437918">
        <w:rPr>
          <w:rFonts w:ascii="Times New Roman" w:hAnsi="Times New Roman"/>
          <w:b/>
          <w:bCs/>
          <w:sz w:val="26"/>
          <w:szCs w:val="26"/>
          <w:lang w:val="en-US"/>
        </w:rPr>
        <w:lastRenderedPageBreak/>
        <w:t xml:space="preserve">Plate </w:t>
      </w:r>
      <w:r>
        <w:rPr>
          <w:rFonts w:ascii="Times New Roman" w:hAnsi="Times New Roman"/>
          <w:b/>
          <w:bCs/>
          <w:sz w:val="26"/>
          <w:szCs w:val="26"/>
          <w:lang w:val="en-US"/>
        </w:rPr>
        <w:t>3:</w:t>
      </w:r>
      <w:r w:rsidRPr="00437918">
        <w:rPr>
          <w:rFonts w:ascii="Times New Roman" w:hAnsi="Times New Roman"/>
          <w:b/>
          <w:bCs/>
          <w:sz w:val="26"/>
          <w:szCs w:val="26"/>
          <w:lang w:val="en-US"/>
        </w:rPr>
        <w:t xml:space="preserve"> </w:t>
      </w:r>
      <w:r w:rsidR="00130604">
        <w:rPr>
          <w:rFonts w:ascii="Times New Roman" w:hAnsi="Times New Roman"/>
          <w:b/>
          <w:bCs/>
          <w:sz w:val="26"/>
          <w:szCs w:val="26"/>
          <w:lang w:val="en-US"/>
        </w:rPr>
        <w:t>Images showing the e</w:t>
      </w:r>
      <w:r w:rsidRPr="00437918">
        <w:rPr>
          <w:rFonts w:ascii="Times New Roman" w:hAnsi="Times New Roman"/>
          <w:b/>
          <w:bCs/>
          <w:sz w:val="26"/>
          <w:szCs w:val="26"/>
          <w:lang w:val="en-US"/>
        </w:rPr>
        <w:t>ffect of sweet flag rhizome treatment on seed germination (%) and seedling length (cm) in field bea</w:t>
      </w:r>
      <w:r>
        <w:rPr>
          <w:rFonts w:ascii="Times New Roman" w:hAnsi="Times New Roman"/>
          <w:b/>
          <w:bCs/>
          <w:sz w:val="26"/>
          <w:szCs w:val="26"/>
          <w:lang w:val="en-US"/>
        </w:rPr>
        <w:t>n</w:t>
      </w:r>
    </w:p>
    <w:p w14:paraId="54F3300F"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3D7958B0"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4CAE5602"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77F55472"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676E4D29"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5C560086"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5AE22898"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6DA0C35E"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36042E72"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35DFB51C"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742DCD39"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1C6C9A65" w14:textId="77777777" w:rsidR="000D36D0" w:rsidRDefault="000D36D0" w:rsidP="00BA3CA5">
      <w:pPr>
        <w:spacing w:after="0" w:line="360" w:lineRule="auto"/>
        <w:ind w:firstLine="720"/>
        <w:jc w:val="both"/>
        <w:rPr>
          <w:rFonts w:ascii="Times New Roman" w:hAnsi="Times New Roman"/>
          <w:color w:val="000000"/>
          <w:sz w:val="24"/>
          <w:szCs w:val="24"/>
          <w:lang w:eastAsia="en-IN"/>
        </w:rPr>
      </w:pPr>
    </w:p>
    <w:p w14:paraId="52BCB39C" w14:textId="77777777" w:rsidR="000D36D0" w:rsidRDefault="000D36D0" w:rsidP="00BA3CA5">
      <w:pPr>
        <w:spacing w:after="0" w:line="360" w:lineRule="auto"/>
        <w:ind w:firstLine="720"/>
        <w:jc w:val="both"/>
        <w:rPr>
          <w:rFonts w:ascii="Times New Roman" w:hAnsi="Times New Roman"/>
          <w:color w:val="000000"/>
          <w:sz w:val="24"/>
          <w:szCs w:val="24"/>
          <w:lang w:eastAsia="en-IN"/>
        </w:rPr>
        <w:sectPr w:rsidR="000D36D0" w:rsidSect="000D36D0">
          <w:pgSz w:w="16838" w:h="11906" w:orient="landscape"/>
          <w:pgMar w:top="1854" w:right="1440" w:bottom="1440" w:left="1440" w:header="709" w:footer="709" w:gutter="0"/>
          <w:cols w:space="708"/>
          <w:docGrid w:linePitch="360"/>
        </w:sectPr>
      </w:pPr>
    </w:p>
    <w:p w14:paraId="4ABC66D5" w14:textId="53DCA542" w:rsidR="00BA3CA5" w:rsidRPr="001E749D" w:rsidRDefault="00BA3CA5" w:rsidP="00BA3CA5">
      <w:pPr>
        <w:spacing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lastRenderedPageBreak/>
        <w:t xml:space="preserve">Their antioxidant qualities reduce oxidative stress in seeds right after harvest, maintaining cellular function and accelerating germination, while their antifungal activity aids in suppressing seed-borne fungus and minimizing pathogen-induced damage at the crucial germination stage. By preventing microbial spoiling and insect damage, the antimicrobial and insecticidal qualities help create a healthy microenvironment around the seed, which in turn improves seed viability and vigour (Park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xml:space="preserve">., 2023; Ghosh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xml:space="preserve">., 2025). </w:t>
      </w:r>
    </w:p>
    <w:p w14:paraId="38C1DE88"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Similar results were obtained in the studies of </w:t>
      </w:r>
      <w:r w:rsidRPr="001E749D">
        <w:rPr>
          <w:rFonts w:ascii="Times New Roman" w:hAnsi="Times New Roman"/>
          <w:color w:val="000000"/>
          <w:sz w:val="24"/>
          <w:szCs w:val="24"/>
          <w:shd w:val="clear" w:color="auto" w:fill="FFFFFF"/>
        </w:rPr>
        <w:t>Basra</w:t>
      </w:r>
      <w:r w:rsidRPr="001E749D">
        <w:rPr>
          <w:rFonts w:ascii="Times New Roman" w:hAnsi="Times New Roman"/>
          <w:color w:val="000000"/>
          <w:sz w:val="24"/>
          <w:szCs w:val="24"/>
          <w:lang w:eastAsia="en-IN"/>
        </w:rPr>
        <w:t xml:space="preserve">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xml:space="preserve">. (2011) noticed that Moringa oleifera leaf extracts significantly improved seed germination percentage and seedling growth in maize due to phenolic compounds and flavonoids that enhance antioxidant activity and water uptake. </w:t>
      </w:r>
      <w:proofErr w:type="spellStart"/>
      <w:r w:rsidRPr="001E749D">
        <w:rPr>
          <w:rFonts w:ascii="Times New Roman" w:hAnsi="Times New Roman"/>
          <w:color w:val="000000"/>
          <w:sz w:val="24"/>
          <w:szCs w:val="24"/>
          <w:lang w:eastAsia="en-IN"/>
        </w:rPr>
        <w:t>Additionaly</w:t>
      </w:r>
      <w:proofErr w:type="spellEnd"/>
      <w:r w:rsidRPr="001E749D">
        <w:rPr>
          <w:rFonts w:ascii="Times New Roman" w:hAnsi="Times New Roman"/>
          <w:color w:val="000000"/>
          <w:sz w:val="24"/>
          <w:szCs w:val="24"/>
          <w:lang w:eastAsia="en-IN"/>
        </w:rPr>
        <w:t xml:space="preserve">, these results are concurring with findings of </w:t>
      </w:r>
      <w:proofErr w:type="spellStart"/>
      <w:r w:rsidRPr="001E749D">
        <w:rPr>
          <w:rFonts w:ascii="Times New Roman" w:hAnsi="Times New Roman"/>
          <w:color w:val="000000"/>
          <w:sz w:val="24"/>
          <w:szCs w:val="24"/>
          <w:shd w:val="clear" w:color="auto" w:fill="FFFFFF"/>
        </w:rPr>
        <w:t>Chandel</w:t>
      </w:r>
      <w:proofErr w:type="spellEnd"/>
      <w:r w:rsidRPr="001E749D">
        <w:rPr>
          <w:rFonts w:ascii="Times New Roman" w:hAnsi="Times New Roman"/>
          <w:color w:val="000000"/>
          <w:sz w:val="24"/>
          <w:szCs w:val="24"/>
          <w:shd w:val="clear" w:color="auto" w:fill="FFFFFF"/>
        </w:rPr>
        <w:t xml:space="preserve"> and Kumar</w:t>
      </w:r>
      <w:r w:rsidRPr="001E749D">
        <w:rPr>
          <w:rFonts w:ascii="Times New Roman" w:hAnsi="Times New Roman"/>
          <w:color w:val="000000"/>
          <w:sz w:val="24"/>
          <w:szCs w:val="24"/>
          <w:lang w:eastAsia="en-IN"/>
        </w:rPr>
        <w:t xml:space="preserve"> (2017) demonstrated that </w:t>
      </w:r>
      <w:r w:rsidRPr="001E749D">
        <w:rPr>
          <w:rFonts w:ascii="Times New Roman" w:hAnsi="Times New Roman"/>
          <w:i/>
          <w:color w:val="000000"/>
          <w:sz w:val="24"/>
          <w:szCs w:val="24"/>
          <w:lang w:eastAsia="en-IN"/>
        </w:rPr>
        <w:t>Allium sativum</w:t>
      </w:r>
      <w:r w:rsidRPr="001E749D">
        <w:rPr>
          <w:rFonts w:ascii="Times New Roman" w:hAnsi="Times New Roman"/>
          <w:color w:val="000000"/>
          <w:sz w:val="24"/>
          <w:szCs w:val="24"/>
          <w:lang w:eastAsia="en-IN"/>
        </w:rPr>
        <w:t xml:space="preserve"> (garlic) seed treatments in pea improved germination efficiency and vigour through its potent antifungal and antimicrobial constituent allicin, which restricted pathogen proliferation on seeds. These findings affirm that treatments with bioactive-rich botanicals can enhance germination and speed of germination by providing multifaceted antifungal, antimicrobial, insecticidal and antioxidant protection.</w:t>
      </w:r>
    </w:p>
    <w:p w14:paraId="0082E97E"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By contrast, the control (untreated) seeds exhibited the lowest germination percentage and speed of germination, likely due to higher incidences of fungal infections, pest attacks and oxidative stress impairing seed vigour. These results are in consistent with the findings of Kumar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xml:space="preserve">. (2023) in untreated pea seeds where reduced germination speed and health were linked to fungal and pest incidence. </w:t>
      </w:r>
      <w:proofErr w:type="spellStart"/>
      <w:r w:rsidRPr="001E749D">
        <w:rPr>
          <w:rFonts w:ascii="Times New Roman" w:hAnsi="Times New Roman"/>
          <w:color w:val="000000"/>
          <w:sz w:val="24"/>
          <w:szCs w:val="24"/>
          <w:lang w:eastAsia="en-IN"/>
        </w:rPr>
        <w:t>Additionaly</w:t>
      </w:r>
      <w:proofErr w:type="spellEnd"/>
      <w:r w:rsidRPr="001E749D">
        <w:rPr>
          <w:rFonts w:ascii="Times New Roman" w:hAnsi="Times New Roman"/>
          <w:color w:val="000000"/>
          <w:sz w:val="24"/>
          <w:szCs w:val="24"/>
          <w:lang w:eastAsia="en-IN"/>
        </w:rPr>
        <w:t>, these results are in conformity with the studies of Sandhi and Reddy (2020) reported that untreated pulse seeds, particularly under aphid infestations, showed poor vigour and emergence parameters.</w:t>
      </w:r>
    </w:p>
    <w:p w14:paraId="39443155" w14:textId="1D308126" w:rsidR="00BA3CA5" w:rsidRPr="001E749D" w:rsidRDefault="00BA3CA5" w:rsidP="00BA3CA5">
      <w:pPr>
        <w:spacing w:before="280" w:after="0" w:line="240" w:lineRule="auto"/>
        <w:jc w:val="both"/>
        <w:rPr>
          <w:rFonts w:ascii="Times New Roman" w:hAnsi="Times New Roman"/>
          <w:b/>
          <w:bCs/>
          <w:color w:val="000000"/>
          <w:sz w:val="24"/>
          <w:szCs w:val="24"/>
          <w:lang w:eastAsia="en-IN"/>
        </w:rPr>
      </w:pPr>
      <w:r w:rsidRPr="001E749D">
        <w:rPr>
          <w:rFonts w:ascii="Times New Roman" w:hAnsi="Times New Roman"/>
          <w:b/>
          <w:bCs/>
          <w:color w:val="000000"/>
          <w:sz w:val="24"/>
          <w:szCs w:val="24"/>
          <w:lang w:eastAsia="en-IN"/>
        </w:rPr>
        <w:t>Shoot length (cm)</w:t>
      </w:r>
    </w:p>
    <w:p w14:paraId="08256A51" w14:textId="68A2C1C1" w:rsidR="00BA3CA5"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 xml:space="preserve">The data on shoot length as influenced by various sweet flag rhizome treatments along with a </w:t>
      </w:r>
      <w:proofErr w:type="spellStart"/>
      <w:r w:rsidRPr="001E749D">
        <w:rPr>
          <w:rFonts w:ascii="Times New Roman" w:hAnsi="Times New Roman"/>
          <w:color w:val="000000"/>
          <w:sz w:val="24"/>
          <w:szCs w:val="24"/>
        </w:rPr>
        <w:t>spinosad</w:t>
      </w:r>
      <w:proofErr w:type="spellEnd"/>
      <w:r w:rsidRPr="001E749D">
        <w:rPr>
          <w:rFonts w:ascii="Times New Roman" w:hAnsi="Times New Roman"/>
          <w:color w:val="000000"/>
          <w:sz w:val="24"/>
          <w:szCs w:val="24"/>
        </w:rPr>
        <w:t xml:space="preserve"> treatment under lab conditions are presented in table </w:t>
      </w:r>
      <w:r>
        <w:rPr>
          <w:rFonts w:ascii="Times New Roman" w:hAnsi="Times New Roman"/>
          <w:color w:val="000000"/>
          <w:sz w:val="24"/>
          <w:szCs w:val="24"/>
        </w:rPr>
        <w:t>2</w:t>
      </w:r>
      <w:r w:rsidRPr="001E749D">
        <w:rPr>
          <w:rFonts w:ascii="Times New Roman" w:hAnsi="Times New Roman"/>
          <w:color w:val="000000"/>
          <w:sz w:val="24"/>
          <w:szCs w:val="24"/>
        </w:rPr>
        <w:t>.</w:t>
      </w:r>
    </w:p>
    <w:p w14:paraId="46F00A11"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p>
    <w:p w14:paraId="1E6C5B9A" w14:textId="212FE7DB" w:rsidR="00BA3CA5" w:rsidRPr="001E749D" w:rsidRDefault="00BA3CA5" w:rsidP="00BA3CA5">
      <w:pPr>
        <w:spacing w:before="280" w:after="0" w:line="360" w:lineRule="auto"/>
        <w:ind w:left="1080" w:hanging="1080"/>
        <w:jc w:val="both"/>
        <w:rPr>
          <w:rFonts w:ascii="Times New Roman" w:hAnsi="Times New Roman"/>
          <w:sz w:val="24"/>
          <w:szCs w:val="24"/>
        </w:rPr>
      </w:pPr>
      <w:r w:rsidRPr="001E749D">
        <w:rPr>
          <w:rFonts w:ascii="Times New Roman" w:hAnsi="Times New Roman"/>
          <w:b/>
          <w:bCs/>
          <w:sz w:val="24"/>
          <w:szCs w:val="24"/>
          <w:lang w:val="en-US"/>
        </w:rPr>
        <w:lastRenderedPageBreak/>
        <w:t xml:space="preserve">Table </w:t>
      </w:r>
      <w:r>
        <w:rPr>
          <w:rFonts w:ascii="Times New Roman" w:hAnsi="Times New Roman"/>
          <w:b/>
          <w:bCs/>
          <w:sz w:val="24"/>
          <w:szCs w:val="24"/>
          <w:lang w:val="en-US"/>
        </w:rPr>
        <w:t>2:</w:t>
      </w:r>
      <w:r>
        <w:rPr>
          <w:rFonts w:ascii="Times New Roman" w:hAnsi="Times New Roman"/>
          <w:b/>
          <w:bCs/>
          <w:sz w:val="24"/>
          <w:szCs w:val="24"/>
          <w:lang w:val="en-US"/>
        </w:rPr>
        <w:tab/>
      </w:r>
      <w:r w:rsidRPr="001E749D">
        <w:rPr>
          <w:rFonts w:ascii="Times New Roman" w:hAnsi="Times New Roman"/>
          <w:b/>
          <w:bCs/>
          <w:sz w:val="24"/>
          <w:szCs w:val="24"/>
          <w:lang w:val="en-US"/>
        </w:rPr>
        <w:t>Effect of sweet flag rhizome treatment on shoot, root and seedling length (cm) in field bean</w:t>
      </w:r>
    </w:p>
    <w:tbl>
      <w:tblPr>
        <w:tblW w:w="5000" w:type="pct"/>
        <w:tblLook w:val="04A0" w:firstRow="1" w:lastRow="0" w:firstColumn="1" w:lastColumn="0" w:noHBand="0" w:noVBand="1"/>
      </w:tblPr>
      <w:tblGrid>
        <w:gridCol w:w="1898"/>
        <w:gridCol w:w="2135"/>
        <w:gridCol w:w="2259"/>
        <w:gridCol w:w="2310"/>
      </w:tblGrid>
      <w:tr w:rsidR="00BA3CA5" w:rsidRPr="001E749D" w14:paraId="5B574F7E" w14:textId="77777777" w:rsidTr="000D36D0">
        <w:trPr>
          <w:trHeight w:val="315"/>
        </w:trPr>
        <w:tc>
          <w:tcPr>
            <w:tcW w:w="1105" w:type="pct"/>
            <w:tcBorders>
              <w:top w:val="single" w:sz="4" w:space="0" w:color="auto"/>
              <w:left w:val="single" w:sz="4" w:space="0" w:color="auto"/>
              <w:bottom w:val="single" w:sz="4" w:space="0" w:color="auto"/>
              <w:right w:val="single" w:sz="4" w:space="0" w:color="auto"/>
            </w:tcBorders>
            <w:noWrap/>
            <w:vAlign w:val="center"/>
            <w:hideMark/>
          </w:tcPr>
          <w:p w14:paraId="3E02E2EF"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Treatments</w:t>
            </w:r>
          </w:p>
        </w:tc>
        <w:tc>
          <w:tcPr>
            <w:tcW w:w="1243" w:type="pct"/>
            <w:tcBorders>
              <w:top w:val="single" w:sz="4" w:space="0" w:color="auto"/>
              <w:left w:val="nil"/>
              <w:bottom w:val="single" w:sz="4" w:space="0" w:color="auto"/>
              <w:right w:val="single" w:sz="4" w:space="0" w:color="auto"/>
            </w:tcBorders>
            <w:noWrap/>
            <w:vAlign w:val="center"/>
            <w:hideMark/>
          </w:tcPr>
          <w:p w14:paraId="0FC8C950"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Shoot length (cm)</w:t>
            </w:r>
          </w:p>
        </w:tc>
        <w:tc>
          <w:tcPr>
            <w:tcW w:w="1314" w:type="pct"/>
            <w:tcBorders>
              <w:top w:val="single" w:sz="4" w:space="0" w:color="auto"/>
              <w:left w:val="nil"/>
              <w:bottom w:val="single" w:sz="4" w:space="0" w:color="auto"/>
              <w:right w:val="single" w:sz="4" w:space="0" w:color="auto"/>
            </w:tcBorders>
            <w:noWrap/>
            <w:vAlign w:val="center"/>
            <w:hideMark/>
          </w:tcPr>
          <w:p w14:paraId="24DFB76A"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Root length (cm)</w:t>
            </w:r>
          </w:p>
        </w:tc>
        <w:tc>
          <w:tcPr>
            <w:tcW w:w="1338" w:type="pct"/>
            <w:tcBorders>
              <w:top w:val="single" w:sz="4" w:space="0" w:color="auto"/>
              <w:left w:val="nil"/>
              <w:bottom w:val="single" w:sz="4" w:space="0" w:color="auto"/>
              <w:right w:val="single" w:sz="4" w:space="0" w:color="auto"/>
            </w:tcBorders>
            <w:noWrap/>
            <w:vAlign w:val="center"/>
            <w:hideMark/>
          </w:tcPr>
          <w:p w14:paraId="358C1D93"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Seedling length</w:t>
            </w:r>
            <w:r>
              <w:rPr>
                <w:rFonts w:ascii="Times New Roman" w:eastAsia="Times New Roman" w:hAnsi="Times New Roman"/>
                <w:b/>
                <w:bCs/>
                <w:color w:val="000000"/>
                <w:sz w:val="24"/>
                <w:szCs w:val="24"/>
                <w:lang w:eastAsia="en-IN"/>
              </w:rPr>
              <w:t xml:space="preserve"> </w:t>
            </w:r>
            <w:r w:rsidRPr="001E749D">
              <w:rPr>
                <w:rFonts w:ascii="Times New Roman" w:eastAsia="Times New Roman" w:hAnsi="Times New Roman"/>
                <w:b/>
                <w:bCs/>
                <w:color w:val="000000"/>
                <w:sz w:val="24"/>
                <w:szCs w:val="24"/>
                <w:lang w:eastAsia="en-IN"/>
              </w:rPr>
              <w:t>(cm)</w:t>
            </w:r>
          </w:p>
        </w:tc>
      </w:tr>
      <w:tr w:rsidR="00BA3CA5" w:rsidRPr="001E749D" w14:paraId="1CD78ACE"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3F916C5D"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1</w:t>
            </w:r>
          </w:p>
        </w:tc>
        <w:tc>
          <w:tcPr>
            <w:tcW w:w="1243" w:type="pct"/>
            <w:tcBorders>
              <w:top w:val="nil"/>
              <w:left w:val="nil"/>
              <w:bottom w:val="single" w:sz="4" w:space="0" w:color="auto"/>
              <w:right w:val="single" w:sz="4" w:space="0" w:color="auto"/>
            </w:tcBorders>
            <w:noWrap/>
            <w:vAlign w:val="center"/>
            <w:hideMark/>
          </w:tcPr>
          <w:p w14:paraId="48F71296"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21.4</w:t>
            </w:r>
          </w:p>
        </w:tc>
        <w:tc>
          <w:tcPr>
            <w:tcW w:w="1314" w:type="pct"/>
            <w:tcBorders>
              <w:top w:val="nil"/>
              <w:left w:val="nil"/>
              <w:bottom w:val="single" w:sz="4" w:space="0" w:color="auto"/>
              <w:right w:val="single" w:sz="4" w:space="0" w:color="auto"/>
            </w:tcBorders>
            <w:noWrap/>
            <w:vAlign w:val="center"/>
            <w:hideMark/>
          </w:tcPr>
          <w:p w14:paraId="4990E66C"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15.2</w:t>
            </w:r>
          </w:p>
        </w:tc>
        <w:tc>
          <w:tcPr>
            <w:tcW w:w="1338" w:type="pct"/>
            <w:tcBorders>
              <w:top w:val="nil"/>
              <w:left w:val="nil"/>
              <w:bottom w:val="single" w:sz="4" w:space="0" w:color="auto"/>
              <w:right w:val="single" w:sz="4" w:space="0" w:color="auto"/>
            </w:tcBorders>
            <w:noWrap/>
            <w:vAlign w:val="center"/>
            <w:hideMark/>
          </w:tcPr>
          <w:p w14:paraId="56E4A695"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36.6</w:t>
            </w:r>
          </w:p>
        </w:tc>
      </w:tr>
      <w:tr w:rsidR="00BA3CA5" w:rsidRPr="001E749D" w14:paraId="098B9914"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13F4D129"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2</w:t>
            </w:r>
          </w:p>
        </w:tc>
        <w:tc>
          <w:tcPr>
            <w:tcW w:w="1243" w:type="pct"/>
            <w:tcBorders>
              <w:top w:val="nil"/>
              <w:left w:val="nil"/>
              <w:bottom w:val="single" w:sz="4" w:space="0" w:color="auto"/>
              <w:right w:val="single" w:sz="4" w:space="0" w:color="auto"/>
            </w:tcBorders>
            <w:noWrap/>
            <w:vAlign w:val="center"/>
            <w:hideMark/>
          </w:tcPr>
          <w:p w14:paraId="3208E0F2"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24.9</w:t>
            </w:r>
          </w:p>
        </w:tc>
        <w:tc>
          <w:tcPr>
            <w:tcW w:w="1314" w:type="pct"/>
            <w:tcBorders>
              <w:top w:val="nil"/>
              <w:left w:val="nil"/>
              <w:bottom w:val="single" w:sz="4" w:space="0" w:color="auto"/>
              <w:right w:val="single" w:sz="4" w:space="0" w:color="auto"/>
            </w:tcBorders>
            <w:noWrap/>
            <w:vAlign w:val="center"/>
            <w:hideMark/>
          </w:tcPr>
          <w:p w14:paraId="19AA6F98"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18.9</w:t>
            </w:r>
          </w:p>
        </w:tc>
        <w:tc>
          <w:tcPr>
            <w:tcW w:w="1338" w:type="pct"/>
            <w:tcBorders>
              <w:top w:val="nil"/>
              <w:left w:val="nil"/>
              <w:bottom w:val="single" w:sz="4" w:space="0" w:color="auto"/>
              <w:right w:val="single" w:sz="4" w:space="0" w:color="auto"/>
            </w:tcBorders>
            <w:noWrap/>
            <w:vAlign w:val="center"/>
            <w:hideMark/>
          </w:tcPr>
          <w:p w14:paraId="3A87DF3A"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43.8</w:t>
            </w:r>
          </w:p>
        </w:tc>
      </w:tr>
      <w:tr w:rsidR="00BA3CA5" w:rsidRPr="001E749D" w14:paraId="70AB42A4"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4B7C420C"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3</w:t>
            </w:r>
          </w:p>
        </w:tc>
        <w:tc>
          <w:tcPr>
            <w:tcW w:w="1243" w:type="pct"/>
            <w:tcBorders>
              <w:top w:val="nil"/>
              <w:left w:val="nil"/>
              <w:bottom w:val="single" w:sz="4" w:space="0" w:color="auto"/>
              <w:right w:val="single" w:sz="4" w:space="0" w:color="auto"/>
            </w:tcBorders>
            <w:noWrap/>
            <w:vAlign w:val="center"/>
            <w:hideMark/>
          </w:tcPr>
          <w:p w14:paraId="78FE9F85"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27.5</w:t>
            </w:r>
          </w:p>
        </w:tc>
        <w:tc>
          <w:tcPr>
            <w:tcW w:w="1314" w:type="pct"/>
            <w:tcBorders>
              <w:top w:val="nil"/>
              <w:left w:val="nil"/>
              <w:bottom w:val="single" w:sz="4" w:space="0" w:color="auto"/>
              <w:right w:val="single" w:sz="4" w:space="0" w:color="auto"/>
            </w:tcBorders>
            <w:noWrap/>
            <w:vAlign w:val="center"/>
            <w:hideMark/>
          </w:tcPr>
          <w:p w14:paraId="5B3AB75D"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23.9</w:t>
            </w:r>
          </w:p>
        </w:tc>
        <w:tc>
          <w:tcPr>
            <w:tcW w:w="1338" w:type="pct"/>
            <w:tcBorders>
              <w:top w:val="nil"/>
              <w:left w:val="nil"/>
              <w:bottom w:val="single" w:sz="4" w:space="0" w:color="auto"/>
              <w:right w:val="single" w:sz="4" w:space="0" w:color="auto"/>
            </w:tcBorders>
            <w:noWrap/>
            <w:vAlign w:val="center"/>
            <w:hideMark/>
          </w:tcPr>
          <w:p w14:paraId="769942F9"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51.4</w:t>
            </w:r>
          </w:p>
        </w:tc>
      </w:tr>
      <w:tr w:rsidR="00BA3CA5" w:rsidRPr="001E749D" w14:paraId="4D76F2B7"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752874E7"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4</w:t>
            </w:r>
          </w:p>
        </w:tc>
        <w:tc>
          <w:tcPr>
            <w:tcW w:w="1243" w:type="pct"/>
            <w:tcBorders>
              <w:top w:val="nil"/>
              <w:left w:val="nil"/>
              <w:bottom w:val="single" w:sz="4" w:space="0" w:color="auto"/>
              <w:right w:val="single" w:sz="4" w:space="0" w:color="auto"/>
            </w:tcBorders>
            <w:noWrap/>
            <w:vAlign w:val="center"/>
            <w:hideMark/>
          </w:tcPr>
          <w:p w14:paraId="2C19AE57"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29.4</w:t>
            </w:r>
          </w:p>
        </w:tc>
        <w:tc>
          <w:tcPr>
            <w:tcW w:w="1314" w:type="pct"/>
            <w:tcBorders>
              <w:top w:val="nil"/>
              <w:left w:val="nil"/>
              <w:bottom w:val="single" w:sz="4" w:space="0" w:color="auto"/>
              <w:right w:val="single" w:sz="4" w:space="0" w:color="auto"/>
            </w:tcBorders>
            <w:noWrap/>
            <w:vAlign w:val="center"/>
            <w:hideMark/>
          </w:tcPr>
          <w:p w14:paraId="70421326"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25.6</w:t>
            </w:r>
          </w:p>
        </w:tc>
        <w:tc>
          <w:tcPr>
            <w:tcW w:w="1338" w:type="pct"/>
            <w:tcBorders>
              <w:top w:val="nil"/>
              <w:left w:val="nil"/>
              <w:bottom w:val="single" w:sz="4" w:space="0" w:color="auto"/>
              <w:right w:val="single" w:sz="4" w:space="0" w:color="auto"/>
            </w:tcBorders>
            <w:noWrap/>
            <w:vAlign w:val="center"/>
            <w:hideMark/>
          </w:tcPr>
          <w:p w14:paraId="31E586F3"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55.0</w:t>
            </w:r>
          </w:p>
        </w:tc>
      </w:tr>
      <w:tr w:rsidR="00BA3CA5" w:rsidRPr="001E749D" w14:paraId="5FDE3A07"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674A3989"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5</w:t>
            </w:r>
          </w:p>
        </w:tc>
        <w:tc>
          <w:tcPr>
            <w:tcW w:w="1243" w:type="pct"/>
            <w:tcBorders>
              <w:top w:val="nil"/>
              <w:left w:val="nil"/>
              <w:bottom w:val="single" w:sz="4" w:space="0" w:color="auto"/>
              <w:right w:val="single" w:sz="4" w:space="0" w:color="auto"/>
            </w:tcBorders>
            <w:noWrap/>
            <w:vAlign w:val="center"/>
            <w:hideMark/>
          </w:tcPr>
          <w:p w14:paraId="258E1B8E"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23.6</w:t>
            </w:r>
          </w:p>
        </w:tc>
        <w:tc>
          <w:tcPr>
            <w:tcW w:w="1314" w:type="pct"/>
            <w:tcBorders>
              <w:top w:val="nil"/>
              <w:left w:val="nil"/>
              <w:bottom w:val="single" w:sz="4" w:space="0" w:color="auto"/>
              <w:right w:val="single" w:sz="4" w:space="0" w:color="auto"/>
            </w:tcBorders>
            <w:noWrap/>
            <w:vAlign w:val="center"/>
            <w:hideMark/>
          </w:tcPr>
          <w:p w14:paraId="57C3E7CF"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16.8</w:t>
            </w:r>
          </w:p>
        </w:tc>
        <w:tc>
          <w:tcPr>
            <w:tcW w:w="1338" w:type="pct"/>
            <w:tcBorders>
              <w:top w:val="nil"/>
              <w:left w:val="nil"/>
              <w:bottom w:val="single" w:sz="4" w:space="0" w:color="auto"/>
              <w:right w:val="single" w:sz="4" w:space="0" w:color="auto"/>
            </w:tcBorders>
            <w:noWrap/>
            <w:vAlign w:val="center"/>
            <w:hideMark/>
          </w:tcPr>
          <w:p w14:paraId="11A0C625"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40.4</w:t>
            </w:r>
          </w:p>
        </w:tc>
      </w:tr>
      <w:tr w:rsidR="00BA3CA5" w:rsidRPr="001E749D" w14:paraId="77A9DB30"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6B650E69"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6</w:t>
            </w:r>
          </w:p>
        </w:tc>
        <w:tc>
          <w:tcPr>
            <w:tcW w:w="1243" w:type="pct"/>
            <w:tcBorders>
              <w:top w:val="nil"/>
              <w:left w:val="nil"/>
              <w:bottom w:val="single" w:sz="4" w:space="0" w:color="auto"/>
              <w:right w:val="single" w:sz="4" w:space="0" w:color="auto"/>
            </w:tcBorders>
            <w:noWrap/>
            <w:vAlign w:val="center"/>
            <w:hideMark/>
          </w:tcPr>
          <w:p w14:paraId="1EE6B341"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25.2</w:t>
            </w:r>
          </w:p>
        </w:tc>
        <w:tc>
          <w:tcPr>
            <w:tcW w:w="1314" w:type="pct"/>
            <w:tcBorders>
              <w:top w:val="nil"/>
              <w:left w:val="nil"/>
              <w:bottom w:val="single" w:sz="4" w:space="0" w:color="auto"/>
              <w:right w:val="single" w:sz="4" w:space="0" w:color="auto"/>
            </w:tcBorders>
            <w:noWrap/>
            <w:vAlign w:val="center"/>
            <w:hideMark/>
          </w:tcPr>
          <w:p w14:paraId="137787AD"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20.2</w:t>
            </w:r>
          </w:p>
        </w:tc>
        <w:tc>
          <w:tcPr>
            <w:tcW w:w="1338" w:type="pct"/>
            <w:tcBorders>
              <w:top w:val="nil"/>
              <w:left w:val="nil"/>
              <w:bottom w:val="single" w:sz="4" w:space="0" w:color="auto"/>
              <w:right w:val="single" w:sz="4" w:space="0" w:color="auto"/>
            </w:tcBorders>
            <w:noWrap/>
            <w:vAlign w:val="center"/>
            <w:hideMark/>
          </w:tcPr>
          <w:p w14:paraId="6B9CC120"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45.4</w:t>
            </w:r>
          </w:p>
        </w:tc>
      </w:tr>
      <w:tr w:rsidR="00BA3CA5" w:rsidRPr="001E749D" w14:paraId="11F5C7DF"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4A4AB64D"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7</w:t>
            </w:r>
          </w:p>
        </w:tc>
        <w:tc>
          <w:tcPr>
            <w:tcW w:w="1243" w:type="pct"/>
            <w:tcBorders>
              <w:top w:val="nil"/>
              <w:left w:val="nil"/>
              <w:bottom w:val="single" w:sz="4" w:space="0" w:color="auto"/>
              <w:right w:val="single" w:sz="4" w:space="0" w:color="auto"/>
            </w:tcBorders>
            <w:noWrap/>
            <w:vAlign w:val="center"/>
            <w:hideMark/>
          </w:tcPr>
          <w:p w14:paraId="2F40772C"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25.6</w:t>
            </w:r>
          </w:p>
        </w:tc>
        <w:tc>
          <w:tcPr>
            <w:tcW w:w="1314" w:type="pct"/>
            <w:tcBorders>
              <w:top w:val="nil"/>
              <w:left w:val="nil"/>
              <w:bottom w:val="single" w:sz="4" w:space="0" w:color="auto"/>
              <w:right w:val="single" w:sz="4" w:space="0" w:color="auto"/>
            </w:tcBorders>
            <w:noWrap/>
            <w:vAlign w:val="center"/>
            <w:hideMark/>
          </w:tcPr>
          <w:p w14:paraId="5728AC99"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22.3</w:t>
            </w:r>
          </w:p>
        </w:tc>
        <w:tc>
          <w:tcPr>
            <w:tcW w:w="1338" w:type="pct"/>
            <w:tcBorders>
              <w:top w:val="nil"/>
              <w:left w:val="nil"/>
              <w:bottom w:val="single" w:sz="4" w:space="0" w:color="auto"/>
              <w:right w:val="single" w:sz="4" w:space="0" w:color="auto"/>
            </w:tcBorders>
            <w:noWrap/>
            <w:vAlign w:val="center"/>
            <w:hideMark/>
          </w:tcPr>
          <w:p w14:paraId="4E724CB6"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47.9</w:t>
            </w:r>
          </w:p>
        </w:tc>
      </w:tr>
      <w:tr w:rsidR="00BA3CA5" w:rsidRPr="001E749D" w14:paraId="60EC70F2" w14:textId="77777777" w:rsidTr="000D36D0">
        <w:trPr>
          <w:trHeight w:val="345"/>
        </w:trPr>
        <w:tc>
          <w:tcPr>
            <w:tcW w:w="1105" w:type="pct"/>
            <w:tcBorders>
              <w:top w:val="nil"/>
              <w:left w:val="single" w:sz="4" w:space="0" w:color="auto"/>
              <w:bottom w:val="single" w:sz="4" w:space="0" w:color="auto"/>
              <w:right w:val="single" w:sz="4" w:space="0" w:color="auto"/>
            </w:tcBorders>
            <w:noWrap/>
            <w:vAlign w:val="center"/>
            <w:hideMark/>
          </w:tcPr>
          <w:p w14:paraId="1D01831E"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8</w:t>
            </w:r>
          </w:p>
        </w:tc>
        <w:tc>
          <w:tcPr>
            <w:tcW w:w="1243" w:type="pct"/>
            <w:tcBorders>
              <w:top w:val="nil"/>
              <w:left w:val="nil"/>
              <w:bottom w:val="single" w:sz="4" w:space="0" w:color="auto"/>
              <w:right w:val="single" w:sz="4" w:space="0" w:color="auto"/>
            </w:tcBorders>
            <w:noWrap/>
            <w:vAlign w:val="center"/>
            <w:hideMark/>
          </w:tcPr>
          <w:p w14:paraId="5E0FC5DA"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26.2</w:t>
            </w:r>
          </w:p>
        </w:tc>
        <w:tc>
          <w:tcPr>
            <w:tcW w:w="1314" w:type="pct"/>
            <w:tcBorders>
              <w:top w:val="nil"/>
              <w:left w:val="nil"/>
              <w:bottom w:val="single" w:sz="4" w:space="0" w:color="auto"/>
              <w:right w:val="single" w:sz="4" w:space="0" w:color="auto"/>
            </w:tcBorders>
            <w:noWrap/>
            <w:vAlign w:val="center"/>
            <w:hideMark/>
          </w:tcPr>
          <w:p w14:paraId="1E261FA1"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23.2</w:t>
            </w:r>
          </w:p>
        </w:tc>
        <w:tc>
          <w:tcPr>
            <w:tcW w:w="1338" w:type="pct"/>
            <w:tcBorders>
              <w:top w:val="nil"/>
              <w:left w:val="nil"/>
              <w:bottom w:val="single" w:sz="4" w:space="0" w:color="auto"/>
              <w:right w:val="single" w:sz="4" w:space="0" w:color="auto"/>
            </w:tcBorders>
            <w:noWrap/>
            <w:vAlign w:val="center"/>
            <w:hideMark/>
          </w:tcPr>
          <w:p w14:paraId="37981863"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49.4</w:t>
            </w:r>
          </w:p>
        </w:tc>
      </w:tr>
      <w:tr w:rsidR="00BA3CA5" w:rsidRPr="001E749D" w14:paraId="1138F90C" w14:textId="77777777" w:rsidTr="000D36D0">
        <w:trPr>
          <w:trHeight w:val="315"/>
        </w:trPr>
        <w:tc>
          <w:tcPr>
            <w:tcW w:w="1105" w:type="pct"/>
            <w:tcBorders>
              <w:top w:val="nil"/>
              <w:left w:val="single" w:sz="4" w:space="0" w:color="auto"/>
              <w:bottom w:val="single" w:sz="4" w:space="0" w:color="auto"/>
              <w:right w:val="single" w:sz="4" w:space="0" w:color="auto"/>
            </w:tcBorders>
            <w:vAlign w:val="center"/>
            <w:hideMark/>
          </w:tcPr>
          <w:p w14:paraId="69B5CBBA"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Mean</w:t>
            </w:r>
          </w:p>
        </w:tc>
        <w:tc>
          <w:tcPr>
            <w:tcW w:w="1243" w:type="pct"/>
            <w:tcBorders>
              <w:top w:val="nil"/>
              <w:left w:val="nil"/>
              <w:bottom w:val="single" w:sz="4" w:space="0" w:color="auto"/>
              <w:right w:val="single" w:sz="4" w:space="0" w:color="auto"/>
            </w:tcBorders>
            <w:noWrap/>
            <w:vAlign w:val="center"/>
            <w:hideMark/>
          </w:tcPr>
          <w:p w14:paraId="7E559A46"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25.5</w:t>
            </w:r>
          </w:p>
        </w:tc>
        <w:tc>
          <w:tcPr>
            <w:tcW w:w="1314" w:type="pct"/>
            <w:tcBorders>
              <w:top w:val="nil"/>
              <w:left w:val="nil"/>
              <w:bottom w:val="single" w:sz="4" w:space="0" w:color="auto"/>
              <w:right w:val="single" w:sz="4" w:space="0" w:color="auto"/>
            </w:tcBorders>
            <w:noWrap/>
            <w:vAlign w:val="center"/>
            <w:hideMark/>
          </w:tcPr>
          <w:p w14:paraId="350C6B5D"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20.8</w:t>
            </w:r>
          </w:p>
        </w:tc>
        <w:tc>
          <w:tcPr>
            <w:tcW w:w="1338" w:type="pct"/>
            <w:tcBorders>
              <w:top w:val="nil"/>
              <w:left w:val="nil"/>
              <w:bottom w:val="single" w:sz="4" w:space="0" w:color="auto"/>
              <w:right w:val="single" w:sz="4" w:space="0" w:color="auto"/>
            </w:tcBorders>
            <w:noWrap/>
            <w:vAlign w:val="center"/>
            <w:hideMark/>
          </w:tcPr>
          <w:p w14:paraId="387F930C"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46.2</w:t>
            </w:r>
          </w:p>
        </w:tc>
      </w:tr>
      <w:tr w:rsidR="00BA3CA5" w:rsidRPr="001E749D" w14:paraId="0D173343" w14:textId="77777777" w:rsidTr="000D36D0">
        <w:trPr>
          <w:trHeight w:val="315"/>
        </w:trPr>
        <w:tc>
          <w:tcPr>
            <w:tcW w:w="1105" w:type="pct"/>
            <w:tcBorders>
              <w:top w:val="nil"/>
              <w:left w:val="single" w:sz="4" w:space="0" w:color="auto"/>
              <w:bottom w:val="single" w:sz="4" w:space="0" w:color="auto"/>
              <w:right w:val="single" w:sz="4" w:space="0" w:color="auto"/>
            </w:tcBorders>
            <w:vAlign w:val="center"/>
            <w:hideMark/>
          </w:tcPr>
          <w:p w14:paraId="51B6F1FD"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proofErr w:type="spellStart"/>
            <w:r w:rsidRPr="001E749D">
              <w:rPr>
                <w:rFonts w:ascii="Times New Roman" w:eastAsia="Times New Roman" w:hAnsi="Times New Roman"/>
                <w:b/>
                <w:bCs/>
                <w:color w:val="000000"/>
                <w:sz w:val="24"/>
                <w:szCs w:val="24"/>
                <w:lang w:eastAsia="en-IN"/>
              </w:rPr>
              <w:t>S.</w:t>
            </w:r>
            <w:proofErr w:type="gramStart"/>
            <w:r w:rsidRPr="001E749D">
              <w:rPr>
                <w:rFonts w:ascii="Times New Roman" w:eastAsia="Times New Roman" w:hAnsi="Times New Roman"/>
                <w:b/>
                <w:bCs/>
                <w:color w:val="000000"/>
                <w:sz w:val="24"/>
                <w:szCs w:val="24"/>
                <w:lang w:eastAsia="en-IN"/>
              </w:rPr>
              <w:t>Em</w:t>
            </w:r>
            <w:proofErr w:type="spellEnd"/>
            <w:r w:rsidRPr="001E749D">
              <w:rPr>
                <w:rFonts w:ascii="Times New Roman" w:eastAsia="Times New Roman" w:hAnsi="Times New Roman"/>
                <w:b/>
                <w:bCs/>
                <w:color w:val="000000"/>
                <w:sz w:val="24"/>
                <w:szCs w:val="24"/>
                <w:lang w:eastAsia="en-IN"/>
              </w:rPr>
              <w:t>.±</w:t>
            </w:r>
            <w:proofErr w:type="gramEnd"/>
          </w:p>
        </w:tc>
        <w:tc>
          <w:tcPr>
            <w:tcW w:w="1243" w:type="pct"/>
            <w:tcBorders>
              <w:top w:val="nil"/>
              <w:left w:val="nil"/>
              <w:bottom w:val="single" w:sz="4" w:space="0" w:color="auto"/>
              <w:right w:val="single" w:sz="4" w:space="0" w:color="auto"/>
            </w:tcBorders>
            <w:noWrap/>
            <w:vAlign w:val="center"/>
            <w:hideMark/>
          </w:tcPr>
          <w:p w14:paraId="726E4C53"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0.38</w:t>
            </w:r>
          </w:p>
        </w:tc>
        <w:tc>
          <w:tcPr>
            <w:tcW w:w="1314" w:type="pct"/>
            <w:tcBorders>
              <w:top w:val="nil"/>
              <w:left w:val="nil"/>
              <w:bottom w:val="single" w:sz="4" w:space="0" w:color="auto"/>
              <w:right w:val="single" w:sz="4" w:space="0" w:color="auto"/>
            </w:tcBorders>
            <w:noWrap/>
            <w:vAlign w:val="center"/>
            <w:hideMark/>
          </w:tcPr>
          <w:p w14:paraId="0C730F0E"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0.30</w:t>
            </w:r>
          </w:p>
        </w:tc>
        <w:tc>
          <w:tcPr>
            <w:tcW w:w="1338" w:type="pct"/>
            <w:tcBorders>
              <w:top w:val="nil"/>
              <w:left w:val="nil"/>
              <w:bottom w:val="single" w:sz="4" w:space="0" w:color="auto"/>
              <w:right w:val="single" w:sz="4" w:space="0" w:color="auto"/>
            </w:tcBorders>
            <w:noWrap/>
            <w:vAlign w:val="center"/>
            <w:hideMark/>
          </w:tcPr>
          <w:p w14:paraId="35154C27"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0.73</w:t>
            </w:r>
          </w:p>
        </w:tc>
      </w:tr>
      <w:tr w:rsidR="00BA3CA5" w:rsidRPr="001E749D" w14:paraId="29F95742" w14:textId="77777777" w:rsidTr="000D36D0">
        <w:trPr>
          <w:trHeight w:val="315"/>
        </w:trPr>
        <w:tc>
          <w:tcPr>
            <w:tcW w:w="1105" w:type="pct"/>
            <w:tcBorders>
              <w:top w:val="nil"/>
              <w:left w:val="single" w:sz="4" w:space="0" w:color="auto"/>
              <w:bottom w:val="single" w:sz="4" w:space="0" w:color="auto"/>
              <w:right w:val="single" w:sz="4" w:space="0" w:color="auto"/>
            </w:tcBorders>
            <w:vAlign w:val="center"/>
            <w:hideMark/>
          </w:tcPr>
          <w:p w14:paraId="4E164291"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CD (P=0.01)</w:t>
            </w:r>
          </w:p>
        </w:tc>
        <w:tc>
          <w:tcPr>
            <w:tcW w:w="1243" w:type="pct"/>
            <w:tcBorders>
              <w:top w:val="nil"/>
              <w:left w:val="nil"/>
              <w:bottom w:val="single" w:sz="4" w:space="0" w:color="auto"/>
              <w:right w:val="single" w:sz="4" w:space="0" w:color="auto"/>
            </w:tcBorders>
            <w:noWrap/>
            <w:vAlign w:val="center"/>
            <w:hideMark/>
          </w:tcPr>
          <w:p w14:paraId="47049B7A"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1.57</w:t>
            </w:r>
          </w:p>
        </w:tc>
        <w:tc>
          <w:tcPr>
            <w:tcW w:w="1314" w:type="pct"/>
            <w:tcBorders>
              <w:top w:val="nil"/>
              <w:left w:val="nil"/>
              <w:bottom w:val="single" w:sz="4" w:space="0" w:color="auto"/>
              <w:right w:val="single" w:sz="4" w:space="0" w:color="auto"/>
            </w:tcBorders>
            <w:noWrap/>
            <w:vAlign w:val="center"/>
            <w:hideMark/>
          </w:tcPr>
          <w:p w14:paraId="16CD7941"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1.24</w:t>
            </w:r>
          </w:p>
        </w:tc>
        <w:tc>
          <w:tcPr>
            <w:tcW w:w="1338" w:type="pct"/>
            <w:tcBorders>
              <w:top w:val="nil"/>
              <w:left w:val="nil"/>
              <w:bottom w:val="single" w:sz="4" w:space="0" w:color="auto"/>
              <w:right w:val="single" w:sz="4" w:space="0" w:color="auto"/>
            </w:tcBorders>
            <w:noWrap/>
            <w:vAlign w:val="center"/>
            <w:hideMark/>
          </w:tcPr>
          <w:p w14:paraId="63B17599"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3.02</w:t>
            </w:r>
          </w:p>
        </w:tc>
      </w:tr>
      <w:tr w:rsidR="00BA3CA5" w:rsidRPr="001E749D" w14:paraId="6ED31076" w14:textId="77777777" w:rsidTr="000D36D0">
        <w:trPr>
          <w:trHeight w:val="315"/>
        </w:trPr>
        <w:tc>
          <w:tcPr>
            <w:tcW w:w="1105" w:type="pct"/>
            <w:tcBorders>
              <w:top w:val="nil"/>
              <w:left w:val="single" w:sz="4" w:space="0" w:color="auto"/>
              <w:bottom w:val="single" w:sz="4" w:space="0" w:color="auto"/>
              <w:right w:val="single" w:sz="4" w:space="0" w:color="auto"/>
            </w:tcBorders>
            <w:vAlign w:val="center"/>
            <w:hideMark/>
          </w:tcPr>
          <w:p w14:paraId="5D954F4C"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CV (%)</w:t>
            </w:r>
          </w:p>
        </w:tc>
        <w:tc>
          <w:tcPr>
            <w:tcW w:w="1243" w:type="pct"/>
            <w:tcBorders>
              <w:top w:val="nil"/>
              <w:left w:val="nil"/>
              <w:bottom w:val="single" w:sz="4" w:space="0" w:color="auto"/>
              <w:right w:val="single" w:sz="4" w:space="0" w:color="auto"/>
            </w:tcBorders>
            <w:noWrap/>
            <w:vAlign w:val="center"/>
            <w:hideMark/>
          </w:tcPr>
          <w:p w14:paraId="44100C06"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2.59</w:t>
            </w:r>
          </w:p>
        </w:tc>
        <w:tc>
          <w:tcPr>
            <w:tcW w:w="1314" w:type="pct"/>
            <w:tcBorders>
              <w:top w:val="nil"/>
              <w:left w:val="nil"/>
              <w:bottom w:val="single" w:sz="4" w:space="0" w:color="auto"/>
              <w:right w:val="single" w:sz="4" w:space="0" w:color="auto"/>
            </w:tcBorders>
            <w:noWrap/>
            <w:vAlign w:val="center"/>
            <w:hideMark/>
          </w:tcPr>
          <w:p w14:paraId="36AA0DDC"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2.51</w:t>
            </w:r>
          </w:p>
        </w:tc>
        <w:tc>
          <w:tcPr>
            <w:tcW w:w="1338" w:type="pct"/>
            <w:tcBorders>
              <w:top w:val="nil"/>
              <w:left w:val="nil"/>
              <w:bottom w:val="single" w:sz="4" w:space="0" w:color="auto"/>
              <w:right w:val="single" w:sz="4" w:space="0" w:color="auto"/>
            </w:tcBorders>
            <w:noWrap/>
            <w:vAlign w:val="center"/>
            <w:hideMark/>
          </w:tcPr>
          <w:p w14:paraId="34E275EF" w14:textId="77777777" w:rsidR="00BA3CA5" w:rsidRPr="001E749D" w:rsidRDefault="00BA3CA5" w:rsidP="000D36D0">
            <w:pPr>
              <w:spacing w:before="120" w:after="120" w:line="240" w:lineRule="auto"/>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2.74</w:t>
            </w:r>
          </w:p>
        </w:tc>
      </w:tr>
      <w:tr w:rsidR="00BA3CA5" w:rsidRPr="001E749D" w14:paraId="3CC3AA8E" w14:textId="77777777" w:rsidTr="000D36D0">
        <w:trPr>
          <w:trHeight w:val="315"/>
        </w:trPr>
        <w:tc>
          <w:tcPr>
            <w:tcW w:w="1105" w:type="pct"/>
            <w:tcBorders>
              <w:top w:val="nil"/>
              <w:left w:val="single" w:sz="4" w:space="0" w:color="auto"/>
              <w:bottom w:val="single" w:sz="4" w:space="0" w:color="auto"/>
              <w:right w:val="single" w:sz="4" w:space="0" w:color="auto"/>
            </w:tcBorders>
            <w:vAlign w:val="center"/>
            <w:hideMark/>
          </w:tcPr>
          <w:p w14:paraId="322B7960"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Significance</w:t>
            </w:r>
          </w:p>
        </w:tc>
        <w:tc>
          <w:tcPr>
            <w:tcW w:w="1243" w:type="pct"/>
            <w:tcBorders>
              <w:top w:val="nil"/>
              <w:left w:val="nil"/>
              <w:bottom w:val="single" w:sz="4" w:space="0" w:color="auto"/>
              <w:right w:val="single" w:sz="4" w:space="0" w:color="auto"/>
            </w:tcBorders>
            <w:noWrap/>
            <w:vAlign w:val="center"/>
            <w:hideMark/>
          </w:tcPr>
          <w:p w14:paraId="48DC311D"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c>
          <w:tcPr>
            <w:tcW w:w="1314" w:type="pct"/>
            <w:tcBorders>
              <w:top w:val="nil"/>
              <w:left w:val="nil"/>
              <w:bottom w:val="single" w:sz="4" w:space="0" w:color="auto"/>
              <w:right w:val="single" w:sz="4" w:space="0" w:color="auto"/>
            </w:tcBorders>
            <w:noWrap/>
            <w:vAlign w:val="center"/>
            <w:hideMark/>
          </w:tcPr>
          <w:p w14:paraId="42550C30"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c>
          <w:tcPr>
            <w:tcW w:w="1338" w:type="pct"/>
            <w:tcBorders>
              <w:top w:val="nil"/>
              <w:left w:val="nil"/>
              <w:bottom w:val="single" w:sz="4" w:space="0" w:color="auto"/>
              <w:right w:val="single" w:sz="4" w:space="0" w:color="auto"/>
            </w:tcBorders>
            <w:noWrap/>
            <w:vAlign w:val="center"/>
            <w:hideMark/>
          </w:tcPr>
          <w:p w14:paraId="53C1616E" w14:textId="77777777" w:rsidR="00BA3CA5" w:rsidRPr="001E749D" w:rsidRDefault="00BA3CA5" w:rsidP="000D36D0">
            <w:pPr>
              <w:spacing w:before="120" w:after="120" w:line="240" w:lineRule="auto"/>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r>
    </w:tbl>
    <w:p w14:paraId="3972CB26" w14:textId="77777777" w:rsidR="00BA3CA5" w:rsidRPr="00BD4455" w:rsidRDefault="00BA3CA5" w:rsidP="00BA3CA5">
      <w:pPr>
        <w:spacing w:before="240" w:after="0" w:line="360" w:lineRule="auto"/>
        <w:rPr>
          <w:rFonts w:ascii="Times New Roman" w:hAnsi="Times New Roman"/>
          <w:b/>
        </w:rPr>
      </w:pPr>
      <w:r w:rsidRPr="00BD4455">
        <w:rPr>
          <w:rFonts w:ascii="Times New Roman" w:hAnsi="Times New Roman"/>
          <w:b/>
        </w:rPr>
        <w:t>Legend</w:t>
      </w:r>
    </w:p>
    <w:p w14:paraId="03E8482D"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1</w:t>
      </w:r>
      <w:r w:rsidRPr="00BD4455">
        <w:rPr>
          <w:rFonts w:ascii="Times New Roman" w:hAnsi="Times New Roman"/>
          <w:color w:val="000000"/>
        </w:rPr>
        <w:t xml:space="preserve">: Control </w:t>
      </w:r>
    </w:p>
    <w:p w14:paraId="012591E3"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2</w:t>
      </w:r>
      <w:r w:rsidRPr="00BD4455">
        <w:rPr>
          <w:rFonts w:ascii="Times New Roman" w:hAnsi="Times New Roman"/>
          <w:color w:val="000000"/>
        </w:rPr>
        <w:t>: Sweet flag rhizome powder at 5 g/kg</w:t>
      </w:r>
    </w:p>
    <w:p w14:paraId="195A5309"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3</w:t>
      </w:r>
      <w:r w:rsidRPr="00BD4455">
        <w:rPr>
          <w:rFonts w:ascii="Times New Roman" w:hAnsi="Times New Roman"/>
          <w:color w:val="000000"/>
        </w:rPr>
        <w:t>: Sweet flag rhizome powder at 10 g/kg</w:t>
      </w:r>
    </w:p>
    <w:p w14:paraId="39304222"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4</w:t>
      </w:r>
      <w:r w:rsidRPr="00BD4455">
        <w:rPr>
          <w:rFonts w:ascii="Times New Roman" w:hAnsi="Times New Roman"/>
          <w:color w:val="000000"/>
        </w:rPr>
        <w:t>: Sweet flag rhizome powder at 15 g/kg</w:t>
      </w:r>
    </w:p>
    <w:p w14:paraId="0B65EABC"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5</w:t>
      </w:r>
      <w:r w:rsidRPr="00BD4455">
        <w:rPr>
          <w:rFonts w:ascii="Times New Roman" w:hAnsi="Times New Roman"/>
          <w:color w:val="000000"/>
        </w:rPr>
        <w:t>: Sweet flag rhizome oil at 2.5 ml/kg</w:t>
      </w:r>
    </w:p>
    <w:p w14:paraId="5FEAD7F5"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6</w:t>
      </w:r>
      <w:r w:rsidRPr="00BD4455">
        <w:rPr>
          <w:rFonts w:ascii="Times New Roman" w:hAnsi="Times New Roman"/>
          <w:color w:val="000000"/>
        </w:rPr>
        <w:t>: Sweet flag rhizome oil at 5 ml/kg</w:t>
      </w:r>
    </w:p>
    <w:p w14:paraId="4F6BAB8B"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7</w:t>
      </w:r>
      <w:r w:rsidRPr="00BD4455">
        <w:rPr>
          <w:rFonts w:ascii="Times New Roman" w:hAnsi="Times New Roman"/>
          <w:color w:val="000000"/>
        </w:rPr>
        <w:t>: Sweet flag rhizome oil at 7.5 ml/kg</w:t>
      </w:r>
    </w:p>
    <w:p w14:paraId="70A0CFA8"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8</w:t>
      </w:r>
      <w:r w:rsidRPr="00BD4455">
        <w:rPr>
          <w:rFonts w:ascii="Times New Roman" w:hAnsi="Times New Roman"/>
          <w:color w:val="000000"/>
        </w:rPr>
        <w:t>: Spinosad at 0.04 ml/kg</w:t>
      </w:r>
    </w:p>
    <w:p w14:paraId="644B49E7" w14:textId="4AF40185" w:rsidR="00BA3CA5" w:rsidRDefault="00BA3CA5" w:rsidP="00BA3CA5">
      <w:pPr>
        <w:spacing w:before="280" w:after="0" w:line="360" w:lineRule="auto"/>
        <w:ind w:firstLine="720"/>
        <w:jc w:val="both"/>
        <w:rPr>
          <w:rFonts w:ascii="Times New Roman" w:hAnsi="Times New Roman"/>
          <w:color w:val="000000"/>
          <w:sz w:val="24"/>
          <w:szCs w:val="24"/>
        </w:rPr>
      </w:pPr>
    </w:p>
    <w:p w14:paraId="0DEB265C" w14:textId="112B3F23" w:rsidR="00BA3CA5" w:rsidRDefault="00BA3CA5" w:rsidP="00BA3CA5">
      <w:pPr>
        <w:spacing w:before="280" w:after="0" w:line="360" w:lineRule="auto"/>
        <w:ind w:firstLine="720"/>
        <w:jc w:val="both"/>
        <w:rPr>
          <w:rFonts w:ascii="Times New Roman" w:hAnsi="Times New Roman"/>
          <w:color w:val="000000"/>
          <w:sz w:val="24"/>
          <w:szCs w:val="24"/>
        </w:rPr>
      </w:pPr>
    </w:p>
    <w:p w14:paraId="4321DF88" w14:textId="77777777" w:rsidR="00BA3CA5" w:rsidRDefault="00BA3CA5" w:rsidP="00BA3CA5">
      <w:pPr>
        <w:spacing w:before="280" w:after="0" w:line="360" w:lineRule="auto"/>
        <w:ind w:firstLine="720"/>
        <w:jc w:val="both"/>
        <w:rPr>
          <w:rFonts w:ascii="Times New Roman" w:hAnsi="Times New Roman"/>
          <w:color w:val="000000"/>
          <w:sz w:val="24"/>
          <w:szCs w:val="24"/>
        </w:rPr>
      </w:pPr>
    </w:p>
    <w:p w14:paraId="375F1615"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lastRenderedPageBreak/>
        <w:t>Shoot length showed significant variation across all the sweet flag rhizome treatments with the highest shoot length recorded in sweet flag rhizome powder at 15 g/kg (T</w:t>
      </w:r>
      <w:r w:rsidRPr="001E749D">
        <w:rPr>
          <w:rFonts w:ascii="Times New Roman" w:hAnsi="Times New Roman"/>
          <w:color w:val="000000"/>
          <w:sz w:val="24"/>
          <w:szCs w:val="24"/>
          <w:vertAlign w:val="subscript"/>
        </w:rPr>
        <w:t>4</w:t>
      </w:r>
      <w:r w:rsidRPr="001E749D">
        <w:rPr>
          <w:rFonts w:ascii="Times New Roman" w:hAnsi="Times New Roman"/>
          <w:color w:val="000000"/>
          <w:sz w:val="24"/>
          <w:szCs w:val="24"/>
        </w:rPr>
        <w:t>) (29.4 cm) and it is followed by sweet flag rhizome powder at 10 g/kg (T</w:t>
      </w:r>
      <w:r w:rsidRPr="001E749D">
        <w:rPr>
          <w:rFonts w:ascii="Times New Roman" w:hAnsi="Times New Roman"/>
          <w:color w:val="000000"/>
          <w:sz w:val="24"/>
          <w:szCs w:val="24"/>
          <w:vertAlign w:val="subscript"/>
        </w:rPr>
        <w:t>3</w:t>
      </w:r>
      <w:r w:rsidRPr="001E749D">
        <w:rPr>
          <w:rFonts w:ascii="Times New Roman" w:hAnsi="Times New Roman"/>
          <w:color w:val="000000"/>
          <w:sz w:val="24"/>
          <w:szCs w:val="24"/>
        </w:rPr>
        <w:t>) (27.5 cm). The control (T</w:t>
      </w:r>
      <w:r w:rsidRPr="001E749D">
        <w:rPr>
          <w:rFonts w:ascii="Times New Roman" w:hAnsi="Times New Roman"/>
          <w:color w:val="000000"/>
          <w:sz w:val="24"/>
          <w:szCs w:val="24"/>
          <w:vertAlign w:val="subscript"/>
        </w:rPr>
        <w:t>1</w:t>
      </w:r>
      <w:r w:rsidRPr="001E749D">
        <w:rPr>
          <w:rFonts w:ascii="Times New Roman" w:hAnsi="Times New Roman"/>
          <w:color w:val="000000"/>
          <w:sz w:val="24"/>
          <w:szCs w:val="24"/>
        </w:rPr>
        <w:t>) was recorded the lowest shoot length (21.4 cm) indicating relatively poor seedling growth under untreated conditions.</w:t>
      </w:r>
    </w:p>
    <w:p w14:paraId="55DF046F" w14:textId="4B1E92DC" w:rsidR="00BA3CA5" w:rsidRPr="001E749D" w:rsidRDefault="00BA3CA5" w:rsidP="00BA3CA5">
      <w:pPr>
        <w:spacing w:before="280" w:after="0" w:line="240" w:lineRule="auto"/>
        <w:jc w:val="both"/>
        <w:rPr>
          <w:rFonts w:ascii="Times New Roman" w:hAnsi="Times New Roman"/>
          <w:color w:val="000000"/>
          <w:sz w:val="24"/>
          <w:szCs w:val="24"/>
        </w:rPr>
      </w:pPr>
      <w:r w:rsidRPr="001E749D">
        <w:rPr>
          <w:rStyle w:val="Strong"/>
          <w:rFonts w:ascii="Times New Roman" w:hAnsi="Times New Roman"/>
          <w:color w:val="000000"/>
          <w:sz w:val="24"/>
          <w:szCs w:val="24"/>
        </w:rPr>
        <w:t>Root length (cm)</w:t>
      </w:r>
    </w:p>
    <w:p w14:paraId="67BA0A3C" w14:textId="15250E23"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 xml:space="preserve">The data on root length as influenced by various sweet flag rhizome treatments along with a </w:t>
      </w:r>
      <w:proofErr w:type="spellStart"/>
      <w:r w:rsidRPr="001E749D">
        <w:rPr>
          <w:rFonts w:ascii="Times New Roman" w:hAnsi="Times New Roman"/>
          <w:color w:val="000000"/>
          <w:sz w:val="24"/>
          <w:szCs w:val="24"/>
        </w:rPr>
        <w:t>spinosad</w:t>
      </w:r>
      <w:proofErr w:type="spellEnd"/>
      <w:r w:rsidRPr="001E749D">
        <w:rPr>
          <w:rFonts w:ascii="Times New Roman" w:hAnsi="Times New Roman"/>
          <w:color w:val="000000"/>
          <w:sz w:val="24"/>
          <w:szCs w:val="24"/>
        </w:rPr>
        <w:t xml:space="preserve"> treatment under lab conditions are presented in table</w:t>
      </w:r>
      <w:r>
        <w:rPr>
          <w:rFonts w:ascii="Times New Roman" w:hAnsi="Times New Roman"/>
          <w:color w:val="000000"/>
          <w:sz w:val="24"/>
          <w:szCs w:val="24"/>
        </w:rPr>
        <w:t xml:space="preserve"> 2</w:t>
      </w:r>
      <w:r w:rsidRPr="001E749D">
        <w:rPr>
          <w:rFonts w:ascii="Times New Roman" w:hAnsi="Times New Roman"/>
          <w:color w:val="000000"/>
          <w:sz w:val="24"/>
          <w:szCs w:val="24"/>
        </w:rPr>
        <w:t>.</w:t>
      </w:r>
      <w:bookmarkStart w:id="6" w:name="_Hlk209562473"/>
    </w:p>
    <w:p w14:paraId="67279FEC"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bCs/>
          <w:color w:val="000000"/>
          <w:sz w:val="24"/>
          <w:szCs w:val="24"/>
          <w:lang w:eastAsia="en-IN"/>
        </w:rPr>
        <w:t xml:space="preserve">Significant differences in root length were </w:t>
      </w:r>
      <w:bookmarkEnd w:id="6"/>
      <w:r w:rsidRPr="001E749D">
        <w:rPr>
          <w:rFonts w:ascii="Times New Roman" w:hAnsi="Times New Roman"/>
          <w:bCs/>
          <w:color w:val="000000"/>
          <w:sz w:val="24"/>
          <w:szCs w:val="24"/>
          <w:lang w:eastAsia="en-IN"/>
        </w:rPr>
        <w:t>registered across sweet flag rhizome treatments with</w:t>
      </w:r>
      <w:r w:rsidRPr="001E749D">
        <w:rPr>
          <w:rFonts w:ascii="Times New Roman" w:hAnsi="Times New Roman"/>
          <w:color w:val="000000"/>
          <w:sz w:val="24"/>
          <w:szCs w:val="24"/>
        </w:rPr>
        <w:t xml:space="preserve"> the highest root length recorded in sweet flag rhizome powder at 15 g/kg (T</w:t>
      </w:r>
      <w:r w:rsidRPr="001E749D">
        <w:rPr>
          <w:rFonts w:ascii="Times New Roman" w:hAnsi="Times New Roman"/>
          <w:color w:val="000000"/>
          <w:sz w:val="24"/>
          <w:szCs w:val="24"/>
          <w:vertAlign w:val="subscript"/>
        </w:rPr>
        <w:t>4</w:t>
      </w:r>
      <w:r w:rsidRPr="001E749D">
        <w:rPr>
          <w:rFonts w:ascii="Times New Roman" w:hAnsi="Times New Roman"/>
          <w:color w:val="000000"/>
          <w:sz w:val="24"/>
          <w:szCs w:val="24"/>
        </w:rPr>
        <w:t>) (25.6 cm) and it is followed by sweet flag rhizome powder at 10 g/kg (T</w:t>
      </w:r>
      <w:r w:rsidRPr="001E749D">
        <w:rPr>
          <w:rFonts w:ascii="Times New Roman" w:hAnsi="Times New Roman"/>
          <w:color w:val="000000"/>
          <w:sz w:val="24"/>
          <w:szCs w:val="24"/>
          <w:vertAlign w:val="subscript"/>
        </w:rPr>
        <w:t>3</w:t>
      </w:r>
      <w:r w:rsidRPr="001E749D">
        <w:rPr>
          <w:rFonts w:ascii="Times New Roman" w:hAnsi="Times New Roman"/>
          <w:color w:val="000000"/>
          <w:sz w:val="24"/>
          <w:szCs w:val="24"/>
        </w:rPr>
        <w:t>) (23.9 cm). The control (T</w:t>
      </w:r>
      <w:r w:rsidRPr="001E749D">
        <w:rPr>
          <w:rFonts w:ascii="Times New Roman" w:hAnsi="Times New Roman"/>
          <w:color w:val="000000"/>
          <w:sz w:val="24"/>
          <w:szCs w:val="24"/>
          <w:vertAlign w:val="subscript"/>
        </w:rPr>
        <w:t>1</w:t>
      </w:r>
      <w:r w:rsidRPr="001E749D">
        <w:rPr>
          <w:rFonts w:ascii="Times New Roman" w:hAnsi="Times New Roman"/>
          <w:color w:val="000000"/>
          <w:sz w:val="24"/>
          <w:szCs w:val="24"/>
        </w:rPr>
        <w:t>) was recorded the lowest root length (15.2 cm) indicating relatively poor root development under untreated conditions.</w:t>
      </w:r>
    </w:p>
    <w:p w14:paraId="762F11CC" w14:textId="571797EE" w:rsidR="00BA3CA5" w:rsidRPr="001E749D" w:rsidRDefault="00BA3CA5" w:rsidP="00BA3CA5">
      <w:pPr>
        <w:spacing w:before="280" w:after="0" w:line="240" w:lineRule="auto"/>
        <w:jc w:val="both"/>
        <w:rPr>
          <w:rStyle w:val="Strong"/>
          <w:rFonts w:ascii="Times New Roman" w:hAnsi="Times New Roman"/>
          <w:color w:val="000000"/>
          <w:sz w:val="24"/>
          <w:szCs w:val="24"/>
        </w:rPr>
      </w:pPr>
      <w:r w:rsidRPr="001E749D">
        <w:rPr>
          <w:rStyle w:val="Strong"/>
          <w:rFonts w:ascii="Times New Roman" w:hAnsi="Times New Roman"/>
          <w:color w:val="000000"/>
          <w:sz w:val="24"/>
          <w:szCs w:val="24"/>
        </w:rPr>
        <w:t>Seedling length (cm)</w:t>
      </w:r>
    </w:p>
    <w:p w14:paraId="06CAC2FD" w14:textId="0A4026B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 xml:space="preserve">The data on seedling length as influenced by various sweet flag rhizome treatments along with a </w:t>
      </w:r>
      <w:proofErr w:type="spellStart"/>
      <w:r w:rsidRPr="001E749D">
        <w:rPr>
          <w:rFonts w:ascii="Times New Roman" w:hAnsi="Times New Roman"/>
          <w:color w:val="000000"/>
          <w:sz w:val="24"/>
          <w:szCs w:val="24"/>
        </w:rPr>
        <w:t>spinosad</w:t>
      </w:r>
      <w:proofErr w:type="spellEnd"/>
      <w:r w:rsidRPr="001E749D">
        <w:rPr>
          <w:rFonts w:ascii="Times New Roman" w:hAnsi="Times New Roman"/>
          <w:color w:val="000000"/>
          <w:sz w:val="24"/>
          <w:szCs w:val="24"/>
        </w:rPr>
        <w:t xml:space="preserve"> treatment under lab conditions are presented in table </w:t>
      </w:r>
      <w:r>
        <w:rPr>
          <w:rFonts w:ascii="Times New Roman" w:hAnsi="Times New Roman"/>
          <w:color w:val="000000"/>
          <w:sz w:val="24"/>
          <w:szCs w:val="24"/>
        </w:rPr>
        <w:t xml:space="preserve">2 </w:t>
      </w:r>
      <w:r w:rsidRPr="001E749D">
        <w:rPr>
          <w:rFonts w:ascii="Times New Roman" w:hAnsi="Times New Roman"/>
          <w:color w:val="000000"/>
          <w:sz w:val="24"/>
          <w:szCs w:val="24"/>
        </w:rPr>
        <w:t xml:space="preserve">and plate </w:t>
      </w:r>
      <w:r w:rsidR="00413143">
        <w:rPr>
          <w:rFonts w:ascii="Times New Roman" w:hAnsi="Times New Roman"/>
          <w:color w:val="000000"/>
          <w:sz w:val="24"/>
          <w:szCs w:val="24"/>
        </w:rPr>
        <w:t>3</w:t>
      </w:r>
      <w:r w:rsidRPr="001E749D">
        <w:rPr>
          <w:rFonts w:ascii="Times New Roman" w:hAnsi="Times New Roman"/>
          <w:color w:val="000000"/>
          <w:sz w:val="24"/>
          <w:szCs w:val="24"/>
        </w:rPr>
        <w:t>.</w:t>
      </w:r>
    </w:p>
    <w:p w14:paraId="2BA70B66" w14:textId="77777777" w:rsidR="00BA3CA5"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Seedling length showed significant variation across all the treatments with the highest seedling length recorded in sweet flag rhizome powder at 15 g/kg (T</w:t>
      </w:r>
      <w:r w:rsidRPr="001E749D">
        <w:rPr>
          <w:rFonts w:ascii="Times New Roman" w:hAnsi="Times New Roman"/>
          <w:color w:val="000000"/>
          <w:sz w:val="24"/>
          <w:szCs w:val="24"/>
          <w:vertAlign w:val="subscript"/>
        </w:rPr>
        <w:t>4</w:t>
      </w:r>
      <w:r w:rsidRPr="001E749D">
        <w:rPr>
          <w:rFonts w:ascii="Times New Roman" w:hAnsi="Times New Roman"/>
          <w:color w:val="000000"/>
          <w:sz w:val="24"/>
          <w:szCs w:val="24"/>
        </w:rPr>
        <w:t>) (55.0 cm) and it is followed by sweet flag rhizome powder at 10 g/kg (T</w:t>
      </w:r>
      <w:r w:rsidRPr="001E749D">
        <w:rPr>
          <w:rFonts w:ascii="Times New Roman" w:hAnsi="Times New Roman"/>
          <w:color w:val="000000"/>
          <w:sz w:val="24"/>
          <w:szCs w:val="24"/>
          <w:vertAlign w:val="subscript"/>
        </w:rPr>
        <w:t>3</w:t>
      </w:r>
      <w:r w:rsidRPr="001E749D">
        <w:rPr>
          <w:rFonts w:ascii="Times New Roman" w:hAnsi="Times New Roman"/>
          <w:color w:val="000000"/>
          <w:sz w:val="24"/>
          <w:szCs w:val="24"/>
        </w:rPr>
        <w:t>) (51.4 cm). The control (T</w:t>
      </w:r>
      <w:r w:rsidRPr="001E749D">
        <w:rPr>
          <w:rFonts w:ascii="Times New Roman" w:hAnsi="Times New Roman"/>
          <w:color w:val="000000"/>
          <w:sz w:val="24"/>
          <w:szCs w:val="24"/>
          <w:vertAlign w:val="subscript"/>
        </w:rPr>
        <w:t>1</w:t>
      </w:r>
      <w:r w:rsidRPr="001E749D">
        <w:rPr>
          <w:rFonts w:ascii="Times New Roman" w:hAnsi="Times New Roman"/>
          <w:color w:val="000000"/>
          <w:sz w:val="24"/>
          <w:szCs w:val="24"/>
        </w:rPr>
        <w:t>) was recorded the lowest seedling length (36.6 cm) indicating relatively poor early seedling growth under untreated conditions.</w:t>
      </w:r>
    </w:p>
    <w:p w14:paraId="426D1754" w14:textId="6BEA9973" w:rsidR="00BA3CA5" w:rsidRPr="001E749D" w:rsidRDefault="00BA3CA5" w:rsidP="001D0FE8">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bCs/>
          <w:color w:val="000000"/>
          <w:sz w:val="24"/>
          <w:szCs w:val="24"/>
          <w:lang w:eastAsia="en-IN"/>
        </w:rPr>
        <w:t>The results of the experiment indicated that</w:t>
      </w:r>
      <w:r w:rsidRPr="001E749D">
        <w:rPr>
          <w:rFonts w:ascii="Times New Roman" w:hAnsi="Times New Roman"/>
          <w:color w:val="000000"/>
          <w:sz w:val="24"/>
          <w:szCs w:val="24"/>
          <w:lang w:eastAsia="en-IN"/>
        </w:rPr>
        <w:t>, the shoot length, root length and seedling length showed a positive response to treatment with sweet flag rhizome powder at 10 g/kg (T</w:t>
      </w:r>
      <w:r w:rsidRPr="001E749D">
        <w:rPr>
          <w:rFonts w:ascii="Times New Roman" w:hAnsi="Times New Roman"/>
          <w:color w:val="000000"/>
          <w:sz w:val="24"/>
          <w:szCs w:val="24"/>
          <w:vertAlign w:val="subscript"/>
          <w:lang w:eastAsia="en-IN"/>
        </w:rPr>
        <w:t>3</w:t>
      </w:r>
      <w:r w:rsidRPr="001E749D">
        <w:rPr>
          <w:rFonts w:ascii="Times New Roman" w:hAnsi="Times New Roman"/>
          <w:color w:val="000000"/>
          <w:sz w:val="24"/>
          <w:szCs w:val="24"/>
          <w:lang w:eastAsia="en-IN"/>
        </w:rPr>
        <w:t>) was recorded the 28.5 per cent, 57.2 per cent and 40.4 per cent increase in shoot length, root length and seedling length, respectively, as compared to control indicating the beneficial role of bioactive compounds such as β-</w:t>
      </w:r>
      <w:proofErr w:type="spellStart"/>
      <w:r w:rsidRPr="001E749D">
        <w:rPr>
          <w:rFonts w:ascii="Times New Roman" w:hAnsi="Times New Roman"/>
          <w:color w:val="000000"/>
          <w:sz w:val="24"/>
          <w:szCs w:val="24"/>
          <w:lang w:eastAsia="en-IN"/>
        </w:rPr>
        <w:t>asarone</w:t>
      </w:r>
      <w:proofErr w:type="spellEnd"/>
      <w:r w:rsidRPr="001E749D">
        <w:rPr>
          <w:rFonts w:ascii="Times New Roman" w:hAnsi="Times New Roman"/>
          <w:color w:val="000000"/>
          <w:sz w:val="24"/>
          <w:szCs w:val="24"/>
          <w:lang w:eastAsia="en-IN"/>
        </w:rPr>
        <w:t xml:space="preserve">, methyl isoeugenol (Z and E) and </w:t>
      </w:r>
      <w:proofErr w:type="spellStart"/>
      <w:r w:rsidRPr="001E749D">
        <w:rPr>
          <w:rFonts w:ascii="Times New Roman" w:hAnsi="Times New Roman"/>
          <w:color w:val="000000"/>
          <w:sz w:val="24"/>
          <w:szCs w:val="24"/>
          <w:lang w:eastAsia="en-IN"/>
        </w:rPr>
        <w:t>methyleugenol</w:t>
      </w:r>
      <w:proofErr w:type="spellEnd"/>
      <w:r w:rsidRPr="001E749D">
        <w:rPr>
          <w:rFonts w:ascii="Times New Roman" w:hAnsi="Times New Roman"/>
          <w:color w:val="000000"/>
          <w:sz w:val="24"/>
          <w:szCs w:val="24"/>
          <w:lang w:eastAsia="en-IN"/>
        </w:rPr>
        <w:t xml:space="preserve"> in promoting early seedling growth. β-</w:t>
      </w:r>
      <w:proofErr w:type="spellStart"/>
      <w:r w:rsidRPr="001E749D">
        <w:rPr>
          <w:rFonts w:ascii="Times New Roman" w:hAnsi="Times New Roman"/>
          <w:color w:val="000000"/>
          <w:sz w:val="24"/>
          <w:szCs w:val="24"/>
          <w:lang w:eastAsia="en-IN"/>
        </w:rPr>
        <w:t>Asarone</w:t>
      </w:r>
      <w:proofErr w:type="spellEnd"/>
      <w:r w:rsidRPr="001E749D">
        <w:rPr>
          <w:rFonts w:ascii="Times New Roman" w:hAnsi="Times New Roman"/>
          <w:color w:val="000000"/>
          <w:sz w:val="24"/>
          <w:szCs w:val="24"/>
          <w:lang w:eastAsia="en-IN"/>
        </w:rPr>
        <w:t xml:space="preserve">, methyl isoeugenol and </w:t>
      </w:r>
      <w:proofErr w:type="spellStart"/>
      <w:r w:rsidRPr="001E749D">
        <w:rPr>
          <w:rFonts w:ascii="Times New Roman" w:hAnsi="Times New Roman"/>
          <w:color w:val="000000"/>
          <w:sz w:val="24"/>
          <w:szCs w:val="24"/>
          <w:lang w:eastAsia="en-IN"/>
        </w:rPr>
        <w:t>methyleugenol</w:t>
      </w:r>
      <w:proofErr w:type="spellEnd"/>
      <w:r w:rsidRPr="001E749D">
        <w:rPr>
          <w:rFonts w:ascii="Times New Roman" w:hAnsi="Times New Roman"/>
          <w:color w:val="000000"/>
          <w:sz w:val="24"/>
          <w:szCs w:val="24"/>
          <w:lang w:eastAsia="en-IN"/>
        </w:rPr>
        <w:t xml:space="preserve"> are known for their antifungal, insecticidal, antimicrobial</w:t>
      </w:r>
      <w:r w:rsidR="001D0FE8">
        <w:rPr>
          <w:rFonts w:ascii="Times New Roman" w:hAnsi="Times New Roman"/>
          <w:color w:val="000000"/>
          <w:sz w:val="24"/>
          <w:szCs w:val="24"/>
          <w:lang w:eastAsia="en-IN"/>
        </w:rPr>
        <w:t xml:space="preserve"> </w:t>
      </w:r>
      <w:r w:rsidRPr="001E749D">
        <w:rPr>
          <w:rFonts w:ascii="Times New Roman" w:hAnsi="Times New Roman"/>
          <w:color w:val="000000"/>
          <w:sz w:val="24"/>
          <w:szCs w:val="24"/>
          <w:lang w:eastAsia="en-IN"/>
        </w:rPr>
        <w:lastRenderedPageBreak/>
        <w:t>and antioxidant properties, which can protect seedlings from biotic and oxidative stresses, enhancing shoot and root development (</w:t>
      </w:r>
      <w:proofErr w:type="spellStart"/>
      <w:r w:rsidRPr="001E749D">
        <w:rPr>
          <w:rFonts w:ascii="Times New Roman" w:hAnsi="Times New Roman"/>
          <w:color w:val="000000"/>
          <w:sz w:val="24"/>
          <w:szCs w:val="24"/>
          <w:lang w:eastAsia="en-IN"/>
        </w:rPr>
        <w:t>Dutt</w:t>
      </w:r>
      <w:proofErr w:type="spellEnd"/>
      <w:r w:rsidRPr="001E749D">
        <w:rPr>
          <w:rFonts w:ascii="Times New Roman" w:hAnsi="Times New Roman"/>
          <w:color w:val="000000"/>
          <w:sz w:val="24"/>
          <w:szCs w:val="24"/>
          <w:lang w:eastAsia="en-IN"/>
        </w:rPr>
        <w:t xml:space="preserve"> and </w:t>
      </w:r>
      <w:proofErr w:type="spellStart"/>
      <w:r w:rsidRPr="001E749D">
        <w:rPr>
          <w:rFonts w:ascii="Times New Roman" w:hAnsi="Times New Roman"/>
          <w:color w:val="000000"/>
          <w:sz w:val="24"/>
          <w:szCs w:val="24"/>
          <w:lang w:eastAsia="en-IN"/>
        </w:rPr>
        <w:t>kumar</w:t>
      </w:r>
      <w:proofErr w:type="spellEnd"/>
      <w:r w:rsidRPr="001E749D">
        <w:rPr>
          <w:rFonts w:ascii="Times New Roman" w:hAnsi="Times New Roman"/>
          <w:color w:val="000000"/>
          <w:sz w:val="24"/>
          <w:szCs w:val="24"/>
          <w:lang w:eastAsia="en-IN"/>
        </w:rPr>
        <w:t xml:space="preserve">, 2025 and Prajapati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2025)</w:t>
      </w:r>
    </w:p>
    <w:p w14:paraId="6E24D218"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Supporting results were obtained in the studies of </w:t>
      </w:r>
      <w:proofErr w:type="spellStart"/>
      <w:r w:rsidRPr="001E749D">
        <w:rPr>
          <w:rFonts w:ascii="Times New Roman" w:hAnsi="Times New Roman"/>
          <w:color w:val="000000"/>
          <w:sz w:val="24"/>
          <w:szCs w:val="24"/>
          <w:lang w:eastAsia="en-IN"/>
        </w:rPr>
        <w:t>Krishnasamy</w:t>
      </w:r>
      <w:proofErr w:type="spellEnd"/>
      <w:r w:rsidRPr="001E749D">
        <w:rPr>
          <w:rFonts w:ascii="Times New Roman" w:hAnsi="Times New Roman"/>
          <w:color w:val="000000"/>
          <w:sz w:val="24"/>
          <w:szCs w:val="24"/>
          <w:lang w:eastAsia="en-IN"/>
        </w:rPr>
        <w:t xml:space="preserve"> and </w:t>
      </w:r>
      <w:proofErr w:type="spellStart"/>
      <w:r w:rsidRPr="001E749D">
        <w:rPr>
          <w:rFonts w:ascii="Times New Roman" w:hAnsi="Times New Roman"/>
          <w:color w:val="000000"/>
          <w:sz w:val="24"/>
          <w:szCs w:val="24"/>
          <w:lang w:eastAsia="en-IN"/>
        </w:rPr>
        <w:t>Obbineni</w:t>
      </w:r>
      <w:proofErr w:type="spellEnd"/>
      <w:r w:rsidRPr="001E749D">
        <w:rPr>
          <w:rFonts w:ascii="Times New Roman" w:hAnsi="Times New Roman"/>
          <w:color w:val="000000"/>
          <w:sz w:val="24"/>
          <w:szCs w:val="24"/>
          <w:lang w:eastAsia="en-IN"/>
        </w:rPr>
        <w:t xml:space="preserve"> (2025) who reported that </w:t>
      </w:r>
      <w:r w:rsidRPr="001E749D">
        <w:rPr>
          <w:rFonts w:ascii="Times New Roman" w:hAnsi="Times New Roman"/>
          <w:i/>
          <w:color w:val="000000"/>
          <w:sz w:val="24"/>
          <w:szCs w:val="24"/>
          <w:lang w:eastAsia="en-IN"/>
        </w:rPr>
        <w:t>Moringa oleifera</w:t>
      </w:r>
      <w:r w:rsidRPr="001E749D">
        <w:rPr>
          <w:rFonts w:ascii="Times New Roman" w:hAnsi="Times New Roman"/>
          <w:color w:val="000000"/>
          <w:sz w:val="24"/>
          <w:szCs w:val="24"/>
          <w:lang w:eastAsia="en-IN"/>
        </w:rPr>
        <w:t xml:space="preserve"> leaf extract applied as seed priming significantly improved seedling emergence, growth and vigour in black gram under laboratory conditions. Likewise, this study concurs with the findings of </w:t>
      </w:r>
      <w:proofErr w:type="spellStart"/>
      <w:r w:rsidRPr="001E749D">
        <w:rPr>
          <w:rFonts w:ascii="Times New Roman" w:hAnsi="Times New Roman"/>
          <w:color w:val="000000"/>
          <w:sz w:val="24"/>
          <w:szCs w:val="24"/>
          <w:lang w:eastAsia="en-IN"/>
        </w:rPr>
        <w:t>Ismil</w:t>
      </w:r>
      <w:proofErr w:type="spellEnd"/>
      <w:r w:rsidRPr="001E749D">
        <w:rPr>
          <w:rFonts w:ascii="Times New Roman" w:hAnsi="Times New Roman"/>
          <w:color w:val="000000"/>
          <w:sz w:val="24"/>
          <w:szCs w:val="24"/>
          <w:lang w:eastAsia="en-IN"/>
        </w:rPr>
        <w:t xml:space="preserve"> and </w:t>
      </w:r>
      <w:proofErr w:type="spellStart"/>
      <w:r w:rsidRPr="001E749D">
        <w:rPr>
          <w:rFonts w:ascii="Times New Roman" w:hAnsi="Times New Roman"/>
          <w:color w:val="000000"/>
          <w:sz w:val="24"/>
          <w:szCs w:val="24"/>
          <w:lang w:eastAsia="en-IN"/>
        </w:rPr>
        <w:t>Besar</w:t>
      </w:r>
      <w:proofErr w:type="spellEnd"/>
      <w:r w:rsidRPr="001E749D">
        <w:rPr>
          <w:rFonts w:ascii="Times New Roman" w:hAnsi="Times New Roman"/>
          <w:color w:val="000000"/>
          <w:sz w:val="24"/>
          <w:szCs w:val="24"/>
          <w:lang w:eastAsia="en-IN"/>
        </w:rPr>
        <w:t xml:space="preserve"> (2025) found that </w:t>
      </w:r>
      <w:r w:rsidRPr="001E749D">
        <w:rPr>
          <w:rFonts w:ascii="Times New Roman" w:hAnsi="Times New Roman"/>
          <w:i/>
          <w:color w:val="000000"/>
          <w:sz w:val="24"/>
          <w:szCs w:val="24"/>
          <w:lang w:eastAsia="en-IN"/>
        </w:rPr>
        <w:t>Allium sativum</w:t>
      </w:r>
      <w:r w:rsidRPr="001E749D">
        <w:rPr>
          <w:rFonts w:ascii="Times New Roman" w:hAnsi="Times New Roman"/>
          <w:color w:val="000000"/>
          <w:sz w:val="24"/>
          <w:szCs w:val="24"/>
          <w:lang w:eastAsia="en-IN"/>
        </w:rPr>
        <w:t xml:space="preserve"> seed extracts enhanced shoot and root development by reducing microbial infection and insect damage in various crops immediately after treatment. These findings affirm that treatments with bioactive-rich botanicals can enhance early-stage seedling growth by providing protection through their multifaceted antimicrobial, insecticidal and antioxidant properties.</w:t>
      </w:r>
    </w:p>
    <w:p w14:paraId="159CE818"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The control (untreated) seedlings exhibited the lowest shoot, root and seedling lengths, likely due to greater susceptibility to soil-borne fungi, pathogens and insect pests that adversely impact early seedling growth. These results are in conformity with the findings of </w:t>
      </w:r>
      <w:proofErr w:type="spellStart"/>
      <w:r w:rsidRPr="001E749D">
        <w:rPr>
          <w:rFonts w:ascii="Times New Roman" w:hAnsi="Times New Roman"/>
          <w:color w:val="000000"/>
          <w:sz w:val="24"/>
          <w:szCs w:val="24"/>
          <w:lang w:eastAsia="en-IN"/>
        </w:rPr>
        <w:t>Rajeshwaran</w:t>
      </w:r>
      <w:proofErr w:type="spellEnd"/>
      <w:r w:rsidRPr="001E749D">
        <w:rPr>
          <w:rFonts w:ascii="Times New Roman" w:hAnsi="Times New Roman"/>
          <w:color w:val="000000"/>
          <w:sz w:val="24"/>
          <w:szCs w:val="24"/>
          <w:lang w:eastAsia="en-IN"/>
        </w:rPr>
        <w:t xml:space="preserve">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(2025) and El-</w:t>
      </w:r>
      <w:proofErr w:type="spellStart"/>
      <w:r w:rsidRPr="001E749D">
        <w:rPr>
          <w:rFonts w:ascii="Times New Roman" w:hAnsi="Times New Roman"/>
          <w:color w:val="000000"/>
          <w:sz w:val="24"/>
          <w:szCs w:val="24"/>
          <w:lang w:eastAsia="en-IN"/>
        </w:rPr>
        <w:t>Gammal</w:t>
      </w:r>
      <w:proofErr w:type="spellEnd"/>
      <w:r w:rsidRPr="001E749D">
        <w:rPr>
          <w:rFonts w:ascii="Times New Roman" w:hAnsi="Times New Roman"/>
          <w:color w:val="000000"/>
          <w:sz w:val="24"/>
          <w:szCs w:val="24"/>
          <w:lang w:eastAsia="en-IN"/>
        </w:rPr>
        <w:t xml:space="preserve">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(2025) observed untreated pulse seedlings often show reduced growth and biomass due to pest and disease incidence.</w:t>
      </w:r>
    </w:p>
    <w:p w14:paraId="3F80A07C" w14:textId="318820AF" w:rsidR="00BA3CA5" w:rsidRPr="001E749D" w:rsidRDefault="00BA3CA5" w:rsidP="00BA3CA5">
      <w:pPr>
        <w:spacing w:before="280" w:after="0" w:line="240" w:lineRule="auto"/>
        <w:jc w:val="both"/>
        <w:rPr>
          <w:rFonts w:ascii="Times New Roman" w:hAnsi="Times New Roman"/>
          <w:b/>
          <w:color w:val="000000"/>
          <w:sz w:val="24"/>
          <w:szCs w:val="24"/>
          <w:lang w:eastAsia="en-IN"/>
        </w:rPr>
      </w:pPr>
      <w:r w:rsidRPr="001E749D">
        <w:rPr>
          <w:rFonts w:ascii="Times New Roman" w:hAnsi="Times New Roman"/>
          <w:b/>
          <w:bCs/>
          <w:color w:val="000000"/>
          <w:sz w:val="24"/>
          <w:szCs w:val="24"/>
          <w:lang w:eastAsia="en-IN"/>
        </w:rPr>
        <w:t>Seedling dry weight (mg)</w:t>
      </w:r>
    </w:p>
    <w:p w14:paraId="44997EA0" w14:textId="4E0AD85C" w:rsidR="00BA3CA5" w:rsidRPr="001E749D" w:rsidRDefault="00BA3CA5" w:rsidP="00BA3CA5">
      <w:pPr>
        <w:spacing w:before="280" w:after="0" w:line="360" w:lineRule="auto"/>
        <w:ind w:firstLine="720"/>
        <w:jc w:val="both"/>
        <w:rPr>
          <w:rFonts w:ascii="Times New Roman" w:hAnsi="Times New Roman"/>
          <w:b/>
          <w:color w:val="000000"/>
          <w:sz w:val="24"/>
          <w:szCs w:val="24"/>
          <w:lang w:eastAsia="en-IN"/>
        </w:rPr>
      </w:pPr>
      <w:r w:rsidRPr="001E749D">
        <w:rPr>
          <w:rFonts w:ascii="Times New Roman" w:hAnsi="Times New Roman"/>
          <w:color w:val="000000"/>
          <w:sz w:val="24"/>
          <w:szCs w:val="24"/>
        </w:rPr>
        <w:t xml:space="preserve">The data on seedling dry weight as influenced by various sweet flag rhizome treatments along with a </w:t>
      </w:r>
      <w:proofErr w:type="spellStart"/>
      <w:r w:rsidRPr="001E749D">
        <w:rPr>
          <w:rFonts w:ascii="Times New Roman" w:hAnsi="Times New Roman"/>
          <w:color w:val="000000"/>
          <w:sz w:val="24"/>
          <w:szCs w:val="24"/>
        </w:rPr>
        <w:t>spinosad</w:t>
      </w:r>
      <w:proofErr w:type="spellEnd"/>
      <w:r w:rsidRPr="001E749D">
        <w:rPr>
          <w:rFonts w:ascii="Times New Roman" w:hAnsi="Times New Roman"/>
          <w:color w:val="000000"/>
          <w:sz w:val="24"/>
          <w:szCs w:val="24"/>
        </w:rPr>
        <w:t xml:space="preserve"> treatment under lab conditions are presented in table </w:t>
      </w:r>
      <w:r>
        <w:rPr>
          <w:rFonts w:ascii="Times New Roman" w:hAnsi="Times New Roman"/>
          <w:color w:val="000000"/>
          <w:sz w:val="24"/>
          <w:szCs w:val="24"/>
        </w:rPr>
        <w:t>3</w:t>
      </w:r>
      <w:r w:rsidRPr="001E749D">
        <w:rPr>
          <w:rFonts w:ascii="Times New Roman" w:hAnsi="Times New Roman"/>
          <w:color w:val="000000"/>
          <w:sz w:val="24"/>
          <w:szCs w:val="24"/>
        </w:rPr>
        <w:t>.</w:t>
      </w:r>
    </w:p>
    <w:p w14:paraId="4F9BA833"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Seedling dry weight showed significant variation across all treatments with the highest seedling dry weight recorded in sweet flag rhizome powder at 15 g/kg (T</w:t>
      </w:r>
      <w:r w:rsidRPr="001E749D">
        <w:rPr>
          <w:rFonts w:ascii="Times New Roman" w:hAnsi="Times New Roman"/>
          <w:color w:val="000000"/>
          <w:sz w:val="24"/>
          <w:szCs w:val="24"/>
          <w:vertAlign w:val="subscript"/>
        </w:rPr>
        <w:t>4</w:t>
      </w:r>
      <w:r w:rsidRPr="001E749D">
        <w:rPr>
          <w:rFonts w:ascii="Times New Roman" w:hAnsi="Times New Roman"/>
          <w:color w:val="000000"/>
          <w:sz w:val="24"/>
          <w:szCs w:val="24"/>
        </w:rPr>
        <w:t>) (106.6 mg) and it is followed by sweet flag rhizome powder at 10 g/kg (T</w:t>
      </w:r>
      <w:r w:rsidRPr="001E749D">
        <w:rPr>
          <w:rFonts w:ascii="Times New Roman" w:hAnsi="Times New Roman"/>
          <w:color w:val="000000"/>
          <w:sz w:val="24"/>
          <w:szCs w:val="24"/>
          <w:vertAlign w:val="subscript"/>
        </w:rPr>
        <w:t>3</w:t>
      </w:r>
      <w:r w:rsidRPr="001E749D">
        <w:rPr>
          <w:rFonts w:ascii="Times New Roman" w:hAnsi="Times New Roman"/>
          <w:color w:val="000000"/>
          <w:sz w:val="24"/>
          <w:szCs w:val="24"/>
        </w:rPr>
        <w:t>) (101.60 mg). The control (T</w:t>
      </w:r>
      <w:r w:rsidRPr="001E749D">
        <w:rPr>
          <w:rFonts w:ascii="Times New Roman" w:hAnsi="Times New Roman"/>
          <w:color w:val="000000"/>
          <w:sz w:val="24"/>
          <w:szCs w:val="24"/>
          <w:vertAlign w:val="subscript"/>
        </w:rPr>
        <w:t>1</w:t>
      </w:r>
      <w:r w:rsidRPr="001E749D">
        <w:rPr>
          <w:rFonts w:ascii="Times New Roman" w:hAnsi="Times New Roman"/>
          <w:color w:val="000000"/>
          <w:sz w:val="24"/>
          <w:szCs w:val="24"/>
        </w:rPr>
        <w:t>) was recorded the lowest seedling dry weight (93.8 mg) indicating relatively poor early seedling vigour under untreated conditions.</w:t>
      </w:r>
    </w:p>
    <w:p w14:paraId="219091D5" w14:textId="111B2528" w:rsidR="00BA3CA5" w:rsidRDefault="00BA3CA5" w:rsidP="00BA3CA5">
      <w:pPr>
        <w:spacing w:before="280" w:after="0" w:line="240" w:lineRule="auto"/>
        <w:jc w:val="both"/>
        <w:rPr>
          <w:rFonts w:ascii="Times New Roman" w:hAnsi="Times New Roman"/>
          <w:b/>
          <w:bCs/>
          <w:color w:val="000000"/>
          <w:sz w:val="24"/>
          <w:szCs w:val="24"/>
          <w:lang w:eastAsia="en-IN"/>
        </w:rPr>
      </w:pPr>
    </w:p>
    <w:p w14:paraId="596D19F0" w14:textId="77777777" w:rsidR="00BA3CA5" w:rsidRDefault="00BA3CA5" w:rsidP="00BA3CA5">
      <w:pPr>
        <w:spacing w:before="280" w:after="0" w:line="240" w:lineRule="auto"/>
        <w:jc w:val="both"/>
        <w:rPr>
          <w:rFonts w:ascii="Times New Roman" w:hAnsi="Times New Roman"/>
          <w:b/>
          <w:bCs/>
          <w:color w:val="000000"/>
          <w:sz w:val="24"/>
          <w:szCs w:val="24"/>
          <w:lang w:eastAsia="en-IN"/>
        </w:rPr>
      </w:pPr>
    </w:p>
    <w:p w14:paraId="42376209" w14:textId="77777777" w:rsidR="00BA3CA5" w:rsidRDefault="00BA3CA5" w:rsidP="00BA3CA5">
      <w:pPr>
        <w:spacing w:before="280" w:after="0" w:line="240" w:lineRule="auto"/>
        <w:jc w:val="both"/>
        <w:rPr>
          <w:rFonts w:ascii="Times New Roman" w:hAnsi="Times New Roman"/>
          <w:b/>
          <w:bCs/>
          <w:color w:val="000000"/>
          <w:sz w:val="24"/>
          <w:szCs w:val="24"/>
          <w:lang w:eastAsia="en-IN"/>
        </w:rPr>
      </w:pPr>
    </w:p>
    <w:p w14:paraId="61B8BBF3" w14:textId="0483FF06" w:rsidR="00BA3CA5" w:rsidRPr="001E749D" w:rsidRDefault="00BA3CA5" w:rsidP="00BA3CA5">
      <w:pPr>
        <w:spacing w:before="280" w:after="0" w:line="360" w:lineRule="auto"/>
        <w:ind w:left="1080" w:hanging="1080"/>
        <w:jc w:val="both"/>
        <w:rPr>
          <w:rFonts w:ascii="Times New Roman" w:hAnsi="Times New Roman"/>
          <w:sz w:val="24"/>
          <w:szCs w:val="24"/>
        </w:rPr>
      </w:pPr>
      <w:r w:rsidRPr="001E749D">
        <w:rPr>
          <w:rFonts w:ascii="Times New Roman" w:hAnsi="Times New Roman"/>
          <w:b/>
          <w:bCs/>
          <w:sz w:val="24"/>
          <w:szCs w:val="24"/>
          <w:lang w:val="en-US"/>
        </w:rPr>
        <w:lastRenderedPageBreak/>
        <w:t xml:space="preserve">Table </w:t>
      </w:r>
      <w:r>
        <w:rPr>
          <w:rFonts w:ascii="Times New Roman" w:hAnsi="Times New Roman"/>
          <w:b/>
          <w:bCs/>
          <w:sz w:val="24"/>
          <w:szCs w:val="24"/>
          <w:lang w:val="en-US"/>
        </w:rPr>
        <w:t>3:</w:t>
      </w:r>
      <w:r>
        <w:rPr>
          <w:rFonts w:ascii="Times New Roman" w:hAnsi="Times New Roman"/>
          <w:b/>
          <w:bCs/>
          <w:sz w:val="24"/>
          <w:szCs w:val="24"/>
          <w:lang w:val="en-US"/>
        </w:rPr>
        <w:tab/>
      </w:r>
      <w:r w:rsidRPr="001E749D">
        <w:rPr>
          <w:rFonts w:ascii="Times New Roman" w:hAnsi="Times New Roman"/>
          <w:b/>
          <w:bCs/>
          <w:sz w:val="24"/>
          <w:szCs w:val="24"/>
          <w:lang w:val="en-US"/>
        </w:rPr>
        <w:t xml:space="preserve">Effect of sweet flag rhizome treatment on seedling dry weight (mg), </w:t>
      </w:r>
      <w:r w:rsidRPr="001E749D">
        <w:rPr>
          <w:rFonts w:ascii="Times New Roman" w:hAnsi="Times New Roman"/>
          <w:b/>
          <w:bCs/>
          <w:sz w:val="24"/>
          <w:szCs w:val="24"/>
          <w:lang w:val="en-US"/>
        </w:rPr>
        <w:br/>
        <w:t xml:space="preserve">seedling </w:t>
      </w:r>
      <w:proofErr w:type="spellStart"/>
      <w:r w:rsidRPr="001E749D">
        <w:rPr>
          <w:rFonts w:ascii="Times New Roman" w:hAnsi="Times New Roman"/>
          <w:b/>
          <w:bCs/>
          <w:sz w:val="24"/>
          <w:szCs w:val="24"/>
          <w:lang w:val="en-US"/>
        </w:rPr>
        <w:t>vigour</w:t>
      </w:r>
      <w:proofErr w:type="spellEnd"/>
      <w:r w:rsidRPr="001E749D">
        <w:rPr>
          <w:rFonts w:ascii="Times New Roman" w:hAnsi="Times New Roman"/>
          <w:b/>
          <w:bCs/>
          <w:sz w:val="24"/>
          <w:szCs w:val="24"/>
          <w:lang w:val="en-US"/>
        </w:rPr>
        <w:t xml:space="preserve"> index-I &amp;II and electrical conductivity </w:t>
      </w:r>
      <w:r w:rsidRPr="001E749D">
        <w:rPr>
          <w:rFonts w:ascii="Times New Roman" w:hAnsi="Times New Roman"/>
          <w:b/>
          <w:bCs/>
          <w:sz w:val="24"/>
          <w:szCs w:val="24"/>
        </w:rPr>
        <w:t>(µS/cm/g)</w:t>
      </w:r>
      <w:r w:rsidRPr="001E749D">
        <w:rPr>
          <w:rFonts w:ascii="Times New Roman" w:hAnsi="Times New Roman"/>
          <w:b/>
          <w:bCs/>
          <w:sz w:val="24"/>
          <w:szCs w:val="24"/>
          <w:lang w:val="en-US"/>
        </w:rPr>
        <w:t xml:space="preserve"> in field bean</w:t>
      </w:r>
    </w:p>
    <w:tbl>
      <w:tblPr>
        <w:tblW w:w="5000" w:type="pct"/>
        <w:tblLayout w:type="fixed"/>
        <w:tblLook w:val="04A0" w:firstRow="1" w:lastRow="0" w:firstColumn="1" w:lastColumn="0" w:noHBand="0" w:noVBand="1"/>
      </w:tblPr>
      <w:tblGrid>
        <w:gridCol w:w="1721"/>
        <w:gridCol w:w="1720"/>
        <w:gridCol w:w="1720"/>
        <w:gridCol w:w="1831"/>
        <w:gridCol w:w="1610"/>
      </w:tblGrid>
      <w:tr w:rsidR="00BA3CA5" w:rsidRPr="001E749D" w14:paraId="11C85681" w14:textId="77777777" w:rsidTr="000D36D0">
        <w:trPr>
          <w:trHeight w:val="315"/>
        </w:trPr>
        <w:tc>
          <w:tcPr>
            <w:tcW w:w="1000" w:type="pct"/>
            <w:tcBorders>
              <w:top w:val="single" w:sz="4" w:space="0" w:color="auto"/>
              <w:left w:val="single" w:sz="4" w:space="0" w:color="auto"/>
              <w:bottom w:val="single" w:sz="4" w:space="0" w:color="auto"/>
              <w:right w:val="single" w:sz="4" w:space="0" w:color="auto"/>
            </w:tcBorders>
            <w:noWrap/>
            <w:vAlign w:val="center"/>
            <w:hideMark/>
          </w:tcPr>
          <w:p w14:paraId="070F3A77"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Treatments</w:t>
            </w:r>
          </w:p>
        </w:tc>
        <w:tc>
          <w:tcPr>
            <w:tcW w:w="1000" w:type="pct"/>
            <w:tcBorders>
              <w:top w:val="single" w:sz="4" w:space="0" w:color="auto"/>
              <w:left w:val="nil"/>
              <w:bottom w:val="single" w:sz="4" w:space="0" w:color="auto"/>
              <w:right w:val="single" w:sz="4" w:space="0" w:color="auto"/>
            </w:tcBorders>
            <w:noWrap/>
            <w:vAlign w:val="center"/>
            <w:hideMark/>
          </w:tcPr>
          <w:p w14:paraId="6E428AE5"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Seedling dry</w:t>
            </w:r>
            <w:r>
              <w:rPr>
                <w:rFonts w:ascii="Times New Roman" w:eastAsia="Times New Roman" w:hAnsi="Times New Roman"/>
                <w:b/>
                <w:bCs/>
                <w:color w:val="000000"/>
                <w:sz w:val="24"/>
                <w:szCs w:val="24"/>
                <w:lang w:eastAsia="en-IN"/>
              </w:rPr>
              <w:t xml:space="preserve"> </w:t>
            </w:r>
            <w:r w:rsidRPr="001E749D">
              <w:rPr>
                <w:rFonts w:ascii="Times New Roman" w:eastAsia="Times New Roman" w:hAnsi="Times New Roman"/>
                <w:b/>
                <w:bCs/>
                <w:color w:val="000000"/>
                <w:sz w:val="24"/>
                <w:szCs w:val="24"/>
                <w:lang w:eastAsia="en-IN"/>
              </w:rPr>
              <w:t>weight</w:t>
            </w:r>
            <w:r>
              <w:rPr>
                <w:rFonts w:ascii="Times New Roman" w:eastAsia="Times New Roman" w:hAnsi="Times New Roman"/>
                <w:b/>
                <w:bCs/>
                <w:color w:val="000000"/>
                <w:sz w:val="24"/>
                <w:szCs w:val="24"/>
                <w:lang w:eastAsia="en-IN"/>
              </w:rPr>
              <w:t xml:space="preserve"> </w:t>
            </w:r>
            <w:r w:rsidRPr="001E749D">
              <w:rPr>
                <w:rFonts w:ascii="Times New Roman" w:eastAsia="Times New Roman" w:hAnsi="Times New Roman"/>
                <w:b/>
                <w:bCs/>
                <w:color w:val="000000"/>
                <w:sz w:val="24"/>
                <w:szCs w:val="24"/>
                <w:lang w:eastAsia="en-IN"/>
              </w:rPr>
              <w:t>(mg)</w:t>
            </w:r>
          </w:p>
        </w:tc>
        <w:tc>
          <w:tcPr>
            <w:tcW w:w="1000" w:type="pct"/>
            <w:tcBorders>
              <w:top w:val="single" w:sz="4" w:space="0" w:color="auto"/>
              <w:left w:val="nil"/>
              <w:bottom w:val="single" w:sz="4" w:space="0" w:color="auto"/>
              <w:right w:val="single" w:sz="4" w:space="0" w:color="auto"/>
            </w:tcBorders>
            <w:noWrap/>
            <w:vAlign w:val="center"/>
            <w:hideMark/>
          </w:tcPr>
          <w:p w14:paraId="09D75EB8"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hAnsi="Times New Roman"/>
                <w:b/>
                <w:bCs/>
                <w:sz w:val="24"/>
                <w:szCs w:val="24"/>
                <w:lang w:val="en-US"/>
              </w:rPr>
              <w:t>Seedling</w:t>
            </w:r>
            <w:r>
              <w:rPr>
                <w:rFonts w:ascii="Times New Roman" w:hAnsi="Times New Roman"/>
                <w:b/>
                <w:bCs/>
                <w:sz w:val="24"/>
                <w:szCs w:val="24"/>
                <w:lang w:val="en-US"/>
              </w:rPr>
              <w:t xml:space="preserve"> </w:t>
            </w:r>
            <w:proofErr w:type="spellStart"/>
            <w:r w:rsidRPr="001E749D">
              <w:rPr>
                <w:rFonts w:ascii="Times New Roman" w:hAnsi="Times New Roman"/>
                <w:b/>
                <w:bCs/>
                <w:sz w:val="24"/>
                <w:szCs w:val="24"/>
                <w:lang w:val="en-US"/>
              </w:rPr>
              <w:t>vigour</w:t>
            </w:r>
            <w:proofErr w:type="spellEnd"/>
            <w:r>
              <w:rPr>
                <w:rFonts w:ascii="Times New Roman" w:hAnsi="Times New Roman"/>
                <w:b/>
                <w:bCs/>
                <w:sz w:val="24"/>
                <w:szCs w:val="24"/>
                <w:lang w:val="en-US"/>
              </w:rPr>
              <w:t xml:space="preserve"> </w:t>
            </w:r>
            <w:r w:rsidRPr="001E749D">
              <w:rPr>
                <w:rFonts w:ascii="Times New Roman" w:hAnsi="Times New Roman"/>
                <w:b/>
                <w:bCs/>
                <w:sz w:val="24"/>
                <w:szCs w:val="24"/>
                <w:lang w:val="en-US"/>
              </w:rPr>
              <w:t>index</w:t>
            </w:r>
            <w:r w:rsidRPr="001E749D">
              <w:rPr>
                <w:rFonts w:ascii="Times New Roman" w:eastAsia="Times New Roman" w:hAnsi="Times New Roman"/>
                <w:b/>
                <w:bCs/>
                <w:color w:val="000000"/>
                <w:sz w:val="24"/>
                <w:szCs w:val="24"/>
                <w:lang w:eastAsia="en-IN"/>
              </w:rPr>
              <w:t>-I</w:t>
            </w:r>
          </w:p>
        </w:tc>
        <w:tc>
          <w:tcPr>
            <w:tcW w:w="1064" w:type="pct"/>
            <w:tcBorders>
              <w:top w:val="single" w:sz="4" w:space="0" w:color="auto"/>
              <w:left w:val="nil"/>
              <w:bottom w:val="single" w:sz="4" w:space="0" w:color="auto"/>
              <w:right w:val="single" w:sz="4" w:space="0" w:color="auto"/>
            </w:tcBorders>
            <w:noWrap/>
            <w:vAlign w:val="center"/>
            <w:hideMark/>
          </w:tcPr>
          <w:p w14:paraId="26595F22"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hAnsi="Times New Roman"/>
                <w:b/>
                <w:bCs/>
                <w:sz w:val="24"/>
                <w:szCs w:val="24"/>
                <w:lang w:val="en-US"/>
              </w:rPr>
              <w:t>Seedling</w:t>
            </w:r>
            <w:r>
              <w:rPr>
                <w:rFonts w:ascii="Times New Roman" w:hAnsi="Times New Roman"/>
                <w:b/>
                <w:bCs/>
                <w:sz w:val="24"/>
                <w:szCs w:val="24"/>
                <w:lang w:val="en-US"/>
              </w:rPr>
              <w:t xml:space="preserve"> </w:t>
            </w:r>
            <w:proofErr w:type="spellStart"/>
            <w:r w:rsidRPr="001E749D">
              <w:rPr>
                <w:rFonts w:ascii="Times New Roman" w:hAnsi="Times New Roman"/>
                <w:b/>
                <w:bCs/>
                <w:sz w:val="24"/>
                <w:szCs w:val="24"/>
                <w:lang w:val="en-US"/>
              </w:rPr>
              <w:t>vigour</w:t>
            </w:r>
            <w:proofErr w:type="spellEnd"/>
            <w:r>
              <w:rPr>
                <w:rFonts w:ascii="Times New Roman" w:hAnsi="Times New Roman"/>
                <w:b/>
                <w:bCs/>
                <w:sz w:val="24"/>
                <w:szCs w:val="24"/>
                <w:lang w:val="en-US"/>
              </w:rPr>
              <w:t xml:space="preserve"> </w:t>
            </w:r>
            <w:r w:rsidRPr="001E749D">
              <w:rPr>
                <w:rFonts w:ascii="Times New Roman" w:hAnsi="Times New Roman"/>
                <w:b/>
                <w:bCs/>
                <w:sz w:val="24"/>
                <w:szCs w:val="24"/>
                <w:lang w:val="en-US"/>
              </w:rPr>
              <w:t>index</w:t>
            </w:r>
            <w:r w:rsidRPr="001E749D">
              <w:rPr>
                <w:rFonts w:ascii="Times New Roman" w:eastAsia="Times New Roman" w:hAnsi="Times New Roman"/>
                <w:b/>
                <w:bCs/>
                <w:color w:val="000000"/>
                <w:sz w:val="24"/>
                <w:szCs w:val="24"/>
                <w:lang w:eastAsia="en-IN"/>
              </w:rPr>
              <w:t>-II</w:t>
            </w:r>
          </w:p>
        </w:tc>
        <w:tc>
          <w:tcPr>
            <w:tcW w:w="936" w:type="pct"/>
            <w:tcBorders>
              <w:top w:val="single" w:sz="4" w:space="0" w:color="auto"/>
              <w:left w:val="nil"/>
              <w:bottom w:val="single" w:sz="4" w:space="0" w:color="auto"/>
              <w:right w:val="single" w:sz="4" w:space="0" w:color="auto"/>
            </w:tcBorders>
            <w:noWrap/>
            <w:vAlign w:val="center"/>
            <w:hideMark/>
          </w:tcPr>
          <w:p w14:paraId="4DA36E39"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Electrical</w:t>
            </w:r>
            <w:r>
              <w:rPr>
                <w:rFonts w:ascii="Times New Roman" w:eastAsia="Times New Roman" w:hAnsi="Times New Roman"/>
                <w:b/>
                <w:bCs/>
                <w:color w:val="000000"/>
                <w:sz w:val="24"/>
                <w:szCs w:val="24"/>
                <w:lang w:eastAsia="en-IN"/>
              </w:rPr>
              <w:t xml:space="preserve"> </w:t>
            </w:r>
            <w:r w:rsidRPr="001E749D">
              <w:rPr>
                <w:rFonts w:ascii="Times New Roman" w:eastAsia="Times New Roman" w:hAnsi="Times New Roman"/>
                <w:b/>
                <w:bCs/>
                <w:color w:val="000000"/>
                <w:sz w:val="24"/>
                <w:szCs w:val="24"/>
                <w:lang w:eastAsia="en-IN"/>
              </w:rPr>
              <w:t>conductivity</w:t>
            </w:r>
            <w:r>
              <w:rPr>
                <w:rFonts w:ascii="Times New Roman" w:eastAsia="Times New Roman" w:hAnsi="Times New Roman"/>
                <w:b/>
                <w:bCs/>
                <w:color w:val="000000"/>
                <w:sz w:val="24"/>
                <w:szCs w:val="24"/>
                <w:lang w:eastAsia="en-IN"/>
              </w:rPr>
              <w:t xml:space="preserve"> </w:t>
            </w:r>
            <w:r w:rsidRPr="001E749D">
              <w:rPr>
                <w:rFonts w:ascii="Times New Roman" w:eastAsia="Times New Roman" w:hAnsi="Times New Roman"/>
                <w:b/>
                <w:bCs/>
                <w:color w:val="000000"/>
                <w:sz w:val="24"/>
                <w:szCs w:val="24"/>
                <w:lang w:eastAsia="en-IN"/>
              </w:rPr>
              <w:t>(µS/cm/g)</w:t>
            </w:r>
          </w:p>
        </w:tc>
      </w:tr>
      <w:tr w:rsidR="00BA3CA5" w:rsidRPr="001E749D" w14:paraId="56511793"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4DAB4584"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1</w:t>
            </w:r>
          </w:p>
        </w:tc>
        <w:tc>
          <w:tcPr>
            <w:tcW w:w="1000" w:type="pct"/>
            <w:tcBorders>
              <w:top w:val="nil"/>
              <w:left w:val="nil"/>
              <w:bottom w:val="single" w:sz="4" w:space="0" w:color="auto"/>
              <w:right w:val="single" w:sz="4" w:space="0" w:color="auto"/>
            </w:tcBorders>
            <w:noWrap/>
            <w:vAlign w:val="center"/>
            <w:hideMark/>
          </w:tcPr>
          <w:p w14:paraId="3E96AAB3"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93.80</w:t>
            </w:r>
          </w:p>
        </w:tc>
        <w:tc>
          <w:tcPr>
            <w:tcW w:w="1000" w:type="pct"/>
            <w:tcBorders>
              <w:top w:val="nil"/>
              <w:left w:val="nil"/>
              <w:bottom w:val="single" w:sz="4" w:space="0" w:color="auto"/>
              <w:right w:val="single" w:sz="4" w:space="0" w:color="auto"/>
            </w:tcBorders>
            <w:noWrap/>
            <w:vAlign w:val="center"/>
            <w:hideMark/>
          </w:tcPr>
          <w:p w14:paraId="351F7563"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3364</w:t>
            </w:r>
          </w:p>
        </w:tc>
        <w:tc>
          <w:tcPr>
            <w:tcW w:w="1064" w:type="pct"/>
            <w:tcBorders>
              <w:top w:val="nil"/>
              <w:left w:val="nil"/>
              <w:bottom w:val="single" w:sz="4" w:space="0" w:color="auto"/>
              <w:right w:val="single" w:sz="4" w:space="0" w:color="auto"/>
            </w:tcBorders>
            <w:noWrap/>
            <w:vAlign w:val="center"/>
            <w:hideMark/>
          </w:tcPr>
          <w:p w14:paraId="12E72112"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8620</w:t>
            </w:r>
          </w:p>
        </w:tc>
        <w:tc>
          <w:tcPr>
            <w:tcW w:w="936" w:type="pct"/>
            <w:tcBorders>
              <w:top w:val="nil"/>
              <w:left w:val="nil"/>
              <w:bottom w:val="single" w:sz="4" w:space="0" w:color="auto"/>
              <w:right w:val="single" w:sz="4" w:space="0" w:color="auto"/>
            </w:tcBorders>
            <w:noWrap/>
            <w:vAlign w:val="center"/>
            <w:hideMark/>
          </w:tcPr>
          <w:p w14:paraId="47EC7BAB"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134.0</w:t>
            </w:r>
          </w:p>
        </w:tc>
      </w:tr>
      <w:tr w:rsidR="00BA3CA5" w:rsidRPr="001E749D" w14:paraId="6F30B419"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0002550C"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2</w:t>
            </w:r>
          </w:p>
        </w:tc>
        <w:tc>
          <w:tcPr>
            <w:tcW w:w="1000" w:type="pct"/>
            <w:tcBorders>
              <w:top w:val="nil"/>
              <w:left w:val="nil"/>
              <w:bottom w:val="single" w:sz="4" w:space="0" w:color="auto"/>
              <w:right w:val="single" w:sz="4" w:space="0" w:color="auto"/>
            </w:tcBorders>
            <w:noWrap/>
            <w:vAlign w:val="center"/>
            <w:hideMark/>
          </w:tcPr>
          <w:p w14:paraId="74855D63"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96.90</w:t>
            </w:r>
          </w:p>
        </w:tc>
        <w:tc>
          <w:tcPr>
            <w:tcW w:w="1000" w:type="pct"/>
            <w:tcBorders>
              <w:top w:val="nil"/>
              <w:left w:val="nil"/>
              <w:bottom w:val="single" w:sz="4" w:space="0" w:color="auto"/>
              <w:right w:val="single" w:sz="4" w:space="0" w:color="auto"/>
            </w:tcBorders>
            <w:noWrap/>
            <w:vAlign w:val="center"/>
            <w:hideMark/>
          </w:tcPr>
          <w:p w14:paraId="3B5C895D"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4152</w:t>
            </w:r>
          </w:p>
        </w:tc>
        <w:tc>
          <w:tcPr>
            <w:tcW w:w="1064" w:type="pct"/>
            <w:tcBorders>
              <w:top w:val="nil"/>
              <w:left w:val="nil"/>
              <w:bottom w:val="single" w:sz="4" w:space="0" w:color="auto"/>
              <w:right w:val="single" w:sz="4" w:space="0" w:color="auto"/>
            </w:tcBorders>
            <w:noWrap/>
            <w:vAlign w:val="center"/>
            <w:hideMark/>
          </w:tcPr>
          <w:p w14:paraId="680E99DC"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9186</w:t>
            </w:r>
          </w:p>
        </w:tc>
        <w:tc>
          <w:tcPr>
            <w:tcW w:w="936" w:type="pct"/>
            <w:tcBorders>
              <w:top w:val="nil"/>
              <w:left w:val="nil"/>
              <w:bottom w:val="single" w:sz="4" w:space="0" w:color="auto"/>
              <w:right w:val="single" w:sz="4" w:space="0" w:color="auto"/>
            </w:tcBorders>
            <w:noWrap/>
            <w:vAlign w:val="center"/>
            <w:hideMark/>
          </w:tcPr>
          <w:p w14:paraId="13318E67"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124.6</w:t>
            </w:r>
          </w:p>
        </w:tc>
      </w:tr>
      <w:tr w:rsidR="00BA3CA5" w:rsidRPr="001E749D" w14:paraId="4D669F3E"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3A7A0324"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3</w:t>
            </w:r>
          </w:p>
        </w:tc>
        <w:tc>
          <w:tcPr>
            <w:tcW w:w="1000" w:type="pct"/>
            <w:tcBorders>
              <w:top w:val="nil"/>
              <w:left w:val="nil"/>
              <w:bottom w:val="single" w:sz="4" w:space="0" w:color="auto"/>
              <w:right w:val="single" w:sz="4" w:space="0" w:color="auto"/>
            </w:tcBorders>
            <w:noWrap/>
            <w:vAlign w:val="center"/>
            <w:hideMark/>
          </w:tcPr>
          <w:p w14:paraId="75D750D2"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101.60</w:t>
            </w:r>
          </w:p>
        </w:tc>
        <w:tc>
          <w:tcPr>
            <w:tcW w:w="1000" w:type="pct"/>
            <w:tcBorders>
              <w:top w:val="nil"/>
              <w:left w:val="nil"/>
              <w:bottom w:val="single" w:sz="4" w:space="0" w:color="auto"/>
              <w:right w:val="single" w:sz="4" w:space="0" w:color="auto"/>
            </w:tcBorders>
            <w:noWrap/>
            <w:vAlign w:val="center"/>
            <w:hideMark/>
          </w:tcPr>
          <w:p w14:paraId="604472D6"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4981</w:t>
            </w:r>
          </w:p>
        </w:tc>
        <w:tc>
          <w:tcPr>
            <w:tcW w:w="1064" w:type="pct"/>
            <w:tcBorders>
              <w:top w:val="nil"/>
              <w:left w:val="nil"/>
              <w:bottom w:val="single" w:sz="4" w:space="0" w:color="auto"/>
              <w:right w:val="single" w:sz="4" w:space="0" w:color="auto"/>
            </w:tcBorders>
            <w:noWrap/>
            <w:vAlign w:val="center"/>
            <w:hideMark/>
          </w:tcPr>
          <w:p w14:paraId="3CF660F9"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9845</w:t>
            </w:r>
          </w:p>
        </w:tc>
        <w:tc>
          <w:tcPr>
            <w:tcW w:w="936" w:type="pct"/>
            <w:tcBorders>
              <w:top w:val="nil"/>
              <w:left w:val="nil"/>
              <w:bottom w:val="single" w:sz="4" w:space="0" w:color="auto"/>
              <w:right w:val="single" w:sz="4" w:space="0" w:color="auto"/>
            </w:tcBorders>
            <w:noWrap/>
            <w:vAlign w:val="center"/>
            <w:hideMark/>
          </w:tcPr>
          <w:p w14:paraId="52F2F324"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122.5</w:t>
            </w:r>
          </w:p>
        </w:tc>
      </w:tr>
      <w:tr w:rsidR="00BA3CA5" w:rsidRPr="001E749D" w14:paraId="636E109A"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74F7EE54"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4</w:t>
            </w:r>
          </w:p>
        </w:tc>
        <w:tc>
          <w:tcPr>
            <w:tcW w:w="1000" w:type="pct"/>
            <w:tcBorders>
              <w:top w:val="nil"/>
              <w:left w:val="nil"/>
              <w:bottom w:val="single" w:sz="4" w:space="0" w:color="auto"/>
              <w:right w:val="single" w:sz="4" w:space="0" w:color="auto"/>
            </w:tcBorders>
            <w:noWrap/>
            <w:vAlign w:val="center"/>
            <w:hideMark/>
          </w:tcPr>
          <w:p w14:paraId="667F006D"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106.60</w:t>
            </w:r>
          </w:p>
        </w:tc>
        <w:tc>
          <w:tcPr>
            <w:tcW w:w="1000" w:type="pct"/>
            <w:tcBorders>
              <w:top w:val="nil"/>
              <w:left w:val="nil"/>
              <w:bottom w:val="single" w:sz="4" w:space="0" w:color="auto"/>
              <w:right w:val="single" w:sz="4" w:space="0" w:color="auto"/>
            </w:tcBorders>
            <w:noWrap/>
            <w:vAlign w:val="center"/>
            <w:hideMark/>
          </w:tcPr>
          <w:p w14:paraId="314055CD"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5352</w:t>
            </w:r>
          </w:p>
        </w:tc>
        <w:tc>
          <w:tcPr>
            <w:tcW w:w="1064" w:type="pct"/>
            <w:tcBorders>
              <w:top w:val="nil"/>
              <w:left w:val="nil"/>
              <w:bottom w:val="single" w:sz="4" w:space="0" w:color="auto"/>
              <w:right w:val="single" w:sz="4" w:space="0" w:color="auto"/>
            </w:tcBorders>
            <w:noWrap/>
            <w:vAlign w:val="center"/>
            <w:hideMark/>
          </w:tcPr>
          <w:p w14:paraId="0C286B26"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10372</w:t>
            </w:r>
          </w:p>
        </w:tc>
        <w:tc>
          <w:tcPr>
            <w:tcW w:w="936" w:type="pct"/>
            <w:tcBorders>
              <w:top w:val="nil"/>
              <w:left w:val="nil"/>
              <w:bottom w:val="single" w:sz="4" w:space="0" w:color="auto"/>
              <w:right w:val="single" w:sz="4" w:space="0" w:color="auto"/>
            </w:tcBorders>
            <w:noWrap/>
            <w:vAlign w:val="center"/>
            <w:hideMark/>
          </w:tcPr>
          <w:p w14:paraId="05A343D6"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121.3</w:t>
            </w:r>
          </w:p>
        </w:tc>
      </w:tr>
      <w:tr w:rsidR="00BA3CA5" w:rsidRPr="001E749D" w14:paraId="1C08F1DA"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107FD610"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5</w:t>
            </w:r>
          </w:p>
        </w:tc>
        <w:tc>
          <w:tcPr>
            <w:tcW w:w="1000" w:type="pct"/>
            <w:tcBorders>
              <w:top w:val="nil"/>
              <w:left w:val="nil"/>
              <w:bottom w:val="single" w:sz="4" w:space="0" w:color="auto"/>
              <w:right w:val="single" w:sz="4" w:space="0" w:color="auto"/>
            </w:tcBorders>
            <w:noWrap/>
            <w:vAlign w:val="center"/>
            <w:hideMark/>
          </w:tcPr>
          <w:p w14:paraId="1343EFCB"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95.20</w:t>
            </w:r>
          </w:p>
        </w:tc>
        <w:tc>
          <w:tcPr>
            <w:tcW w:w="1000" w:type="pct"/>
            <w:tcBorders>
              <w:top w:val="nil"/>
              <w:left w:val="nil"/>
              <w:bottom w:val="single" w:sz="4" w:space="0" w:color="auto"/>
              <w:right w:val="single" w:sz="4" w:space="0" w:color="auto"/>
            </w:tcBorders>
            <w:noWrap/>
            <w:vAlign w:val="center"/>
            <w:hideMark/>
          </w:tcPr>
          <w:p w14:paraId="3052F944"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3785</w:t>
            </w:r>
          </w:p>
        </w:tc>
        <w:tc>
          <w:tcPr>
            <w:tcW w:w="1064" w:type="pct"/>
            <w:tcBorders>
              <w:top w:val="nil"/>
              <w:left w:val="nil"/>
              <w:bottom w:val="single" w:sz="4" w:space="0" w:color="auto"/>
              <w:right w:val="single" w:sz="4" w:space="0" w:color="auto"/>
            </w:tcBorders>
            <w:noWrap/>
            <w:vAlign w:val="center"/>
            <w:hideMark/>
          </w:tcPr>
          <w:p w14:paraId="7A317A38"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8920</w:t>
            </w:r>
          </w:p>
        </w:tc>
        <w:tc>
          <w:tcPr>
            <w:tcW w:w="936" w:type="pct"/>
            <w:tcBorders>
              <w:top w:val="nil"/>
              <w:left w:val="nil"/>
              <w:bottom w:val="single" w:sz="4" w:space="0" w:color="auto"/>
              <w:right w:val="single" w:sz="4" w:space="0" w:color="auto"/>
            </w:tcBorders>
            <w:noWrap/>
            <w:vAlign w:val="center"/>
            <w:hideMark/>
          </w:tcPr>
          <w:p w14:paraId="572AB259"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132.7</w:t>
            </w:r>
          </w:p>
        </w:tc>
      </w:tr>
      <w:tr w:rsidR="00BA3CA5" w:rsidRPr="001E749D" w14:paraId="706D4759"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1E32F2CB"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6</w:t>
            </w:r>
          </w:p>
        </w:tc>
        <w:tc>
          <w:tcPr>
            <w:tcW w:w="1000" w:type="pct"/>
            <w:tcBorders>
              <w:top w:val="nil"/>
              <w:left w:val="nil"/>
              <w:bottom w:val="single" w:sz="4" w:space="0" w:color="auto"/>
              <w:right w:val="single" w:sz="4" w:space="0" w:color="auto"/>
            </w:tcBorders>
            <w:noWrap/>
            <w:vAlign w:val="center"/>
            <w:hideMark/>
          </w:tcPr>
          <w:p w14:paraId="23990ADF"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97.80</w:t>
            </w:r>
          </w:p>
        </w:tc>
        <w:tc>
          <w:tcPr>
            <w:tcW w:w="1000" w:type="pct"/>
            <w:tcBorders>
              <w:top w:val="nil"/>
              <w:left w:val="nil"/>
              <w:bottom w:val="single" w:sz="4" w:space="0" w:color="auto"/>
              <w:right w:val="single" w:sz="4" w:space="0" w:color="auto"/>
            </w:tcBorders>
            <w:noWrap/>
            <w:vAlign w:val="center"/>
            <w:hideMark/>
          </w:tcPr>
          <w:p w14:paraId="4142DE89"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4318</w:t>
            </w:r>
          </w:p>
        </w:tc>
        <w:tc>
          <w:tcPr>
            <w:tcW w:w="1064" w:type="pct"/>
            <w:tcBorders>
              <w:top w:val="nil"/>
              <w:left w:val="nil"/>
              <w:bottom w:val="single" w:sz="4" w:space="0" w:color="auto"/>
              <w:right w:val="single" w:sz="4" w:space="0" w:color="auto"/>
            </w:tcBorders>
            <w:noWrap/>
            <w:vAlign w:val="center"/>
            <w:hideMark/>
          </w:tcPr>
          <w:p w14:paraId="3D5FF939"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9301</w:t>
            </w:r>
          </w:p>
        </w:tc>
        <w:tc>
          <w:tcPr>
            <w:tcW w:w="936" w:type="pct"/>
            <w:tcBorders>
              <w:top w:val="nil"/>
              <w:left w:val="nil"/>
              <w:bottom w:val="single" w:sz="4" w:space="0" w:color="auto"/>
              <w:right w:val="single" w:sz="4" w:space="0" w:color="auto"/>
            </w:tcBorders>
            <w:noWrap/>
            <w:vAlign w:val="center"/>
            <w:hideMark/>
          </w:tcPr>
          <w:p w14:paraId="25E8D62D"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128.6</w:t>
            </w:r>
          </w:p>
        </w:tc>
      </w:tr>
      <w:tr w:rsidR="00BA3CA5" w:rsidRPr="001E749D" w14:paraId="516AD45A"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2B571AB8"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7</w:t>
            </w:r>
          </w:p>
        </w:tc>
        <w:tc>
          <w:tcPr>
            <w:tcW w:w="1000" w:type="pct"/>
            <w:tcBorders>
              <w:top w:val="nil"/>
              <w:left w:val="nil"/>
              <w:bottom w:val="single" w:sz="4" w:space="0" w:color="auto"/>
              <w:right w:val="single" w:sz="4" w:space="0" w:color="auto"/>
            </w:tcBorders>
            <w:noWrap/>
            <w:vAlign w:val="center"/>
            <w:hideMark/>
          </w:tcPr>
          <w:p w14:paraId="47A8C236"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98.80</w:t>
            </w:r>
          </w:p>
        </w:tc>
        <w:tc>
          <w:tcPr>
            <w:tcW w:w="1000" w:type="pct"/>
            <w:tcBorders>
              <w:top w:val="nil"/>
              <w:left w:val="nil"/>
              <w:bottom w:val="single" w:sz="4" w:space="0" w:color="auto"/>
              <w:right w:val="single" w:sz="4" w:space="0" w:color="auto"/>
            </w:tcBorders>
            <w:noWrap/>
            <w:vAlign w:val="center"/>
            <w:hideMark/>
          </w:tcPr>
          <w:p w14:paraId="302F6264"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4579</w:t>
            </w:r>
          </w:p>
        </w:tc>
        <w:tc>
          <w:tcPr>
            <w:tcW w:w="1064" w:type="pct"/>
            <w:tcBorders>
              <w:top w:val="nil"/>
              <w:left w:val="nil"/>
              <w:bottom w:val="single" w:sz="4" w:space="0" w:color="auto"/>
              <w:right w:val="single" w:sz="4" w:space="0" w:color="auto"/>
            </w:tcBorders>
            <w:noWrap/>
            <w:vAlign w:val="center"/>
            <w:hideMark/>
          </w:tcPr>
          <w:p w14:paraId="24DE68D3"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9445</w:t>
            </w:r>
          </w:p>
        </w:tc>
        <w:tc>
          <w:tcPr>
            <w:tcW w:w="936" w:type="pct"/>
            <w:tcBorders>
              <w:top w:val="nil"/>
              <w:left w:val="nil"/>
              <w:bottom w:val="single" w:sz="4" w:space="0" w:color="auto"/>
              <w:right w:val="single" w:sz="4" w:space="0" w:color="auto"/>
            </w:tcBorders>
            <w:noWrap/>
            <w:vAlign w:val="center"/>
            <w:hideMark/>
          </w:tcPr>
          <w:p w14:paraId="03683FF9"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127.4</w:t>
            </w:r>
          </w:p>
        </w:tc>
      </w:tr>
      <w:tr w:rsidR="00BA3CA5" w:rsidRPr="001E749D" w14:paraId="2CF69F6E" w14:textId="77777777" w:rsidTr="000D36D0">
        <w:trPr>
          <w:trHeight w:val="345"/>
        </w:trPr>
        <w:tc>
          <w:tcPr>
            <w:tcW w:w="1000" w:type="pct"/>
            <w:tcBorders>
              <w:top w:val="nil"/>
              <w:left w:val="single" w:sz="4" w:space="0" w:color="auto"/>
              <w:bottom w:val="single" w:sz="4" w:space="0" w:color="auto"/>
              <w:right w:val="single" w:sz="4" w:space="0" w:color="auto"/>
            </w:tcBorders>
            <w:noWrap/>
            <w:vAlign w:val="center"/>
            <w:hideMark/>
          </w:tcPr>
          <w:p w14:paraId="0A615093"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T</w:t>
            </w:r>
            <w:r w:rsidRPr="001E749D">
              <w:rPr>
                <w:rFonts w:ascii="Times New Roman" w:eastAsia="Times New Roman" w:hAnsi="Times New Roman"/>
                <w:b/>
                <w:bCs/>
                <w:color w:val="000000"/>
                <w:sz w:val="24"/>
                <w:szCs w:val="24"/>
                <w:vertAlign w:val="subscript"/>
                <w:lang w:eastAsia="en-IN"/>
              </w:rPr>
              <w:t>8</w:t>
            </w:r>
          </w:p>
        </w:tc>
        <w:tc>
          <w:tcPr>
            <w:tcW w:w="1000" w:type="pct"/>
            <w:tcBorders>
              <w:top w:val="nil"/>
              <w:left w:val="nil"/>
              <w:bottom w:val="single" w:sz="4" w:space="0" w:color="auto"/>
              <w:right w:val="single" w:sz="4" w:space="0" w:color="auto"/>
            </w:tcBorders>
            <w:noWrap/>
            <w:vAlign w:val="center"/>
            <w:hideMark/>
          </w:tcPr>
          <w:p w14:paraId="525CBCA4"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100.70</w:t>
            </w:r>
          </w:p>
        </w:tc>
        <w:tc>
          <w:tcPr>
            <w:tcW w:w="1000" w:type="pct"/>
            <w:tcBorders>
              <w:top w:val="nil"/>
              <w:left w:val="nil"/>
              <w:bottom w:val="single" w:sz="4" w:space="0" w:color="auto"/>
              <w:right w:val="single" w:sz="4" w:space="0" w:color="auto"/>
            </w:tcBorders>
            <w:noWrap/>
            <w:vAlign w:val="center"/>
            <w:hideMark/>
          </w:tcPr>
          <w:p w14:paraId="4ABDC3FB"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4688</w:t>
            </w:r>
          </w:p>
        </w:tc>
        <w:tc>
          <w:tcPr>
            <w:tcW w:w="1064" w:type="pct"/>
            <w:tcBorders>
              <w:top w:val="nil"/>
              <w:left w:val="nil"/>
              <w:bottom w:val="single" w:sz="4" w:space="0" w:color="auto"/>
              <w:right w:val="single" w:sz="4" w:space="0" w:color="auto"/>
            </w:tcBorders>
            <w:noWrap/>
            <w:vAlign w:val="center"/>
            <w:hideMark/>
          </w:tcPr>
          <w:p w14:paraId="6D145D4E"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9556</w:t>
            </w:r>
          </w:p>
        </w:tc>
        <w:tc>
          <w:tcPr>
            <w:tcW w:w="936" w:type="pct"/>
            <w:tcBorders>
              <w:top w:val="nil"/>
              <w:left w:val="nil"/>
              <w:bottom w:val="single" w:sz="4" w:space="0" w:color="auto"/>
              <w:right w:val="single" w:sz="4" w:space="0" w:color="auto"/>
            </w:tcBorders>
            <w:noWrap/>
            <w:vAlign w:val="center"/>
            <w:hideMark/>
          </w:tcPr>
          <w:p w14:paraId="414C7378"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131.3</w:t>
            </w:r>
          </w:p>
        </w:tc>
      </w:tr>
      <w:tr w:rsidR="00BA3CA5" w:rsidRPr="001E749D" w14:paraId="63EB8543" w14:textId="77777777" w:rsidTr="000D36D0">
        <w:trPr>
          <w:trHeight w:val="315"/>
        </w:trPr>
        <w:tc>
          <w:tcPr>
            <w:tcW w:w="1000" w:type="pct"/>
            <w:tcBorders>
              <w:top w:val="nil"/>
              <w:left w:val="single" w:sz="4" w:space="0" w:color="auto"/>
              <w:bottom w:val="single" w:sz="4" w:space="0" w:color="auto"/>
              <w:right w:val="single" w:sz="4" w:space="0" w:color="auto"/>
            </w:tcBorders>
            <w:vAlign w:val="center"/>
            <w:hideMark/>
          </w:tcPr>
          <w:p w14:paraId="0C4F1AD4"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Mean</w:t>
            </w:r>
          </w:p>
        </w:tc>
        <w:tc>
          <w:tcPr>
            <w:tcW w:w="1000" w:type="pct"/>
            <w:tcBorders>
              <w:top w:val="nil"/>
              <w:left w:val="nil"/>
              <w:bottom w:val="single" w:sz="4" w:space="0" w:color="auto"/>
              <w:right w:val="single" w:sz="4" w:space="0" w:color="auto"/>
            </w:tcBorders>
            <w:noWrap/>
            <w:vAlign w:val="center"/>
            <w:hideMark/>
          </w:tcPr>
          <w:p w14:paraId="51C4DEA7"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98.93</w:t>
            </w:r>
          </w:p>
        </w:tc>
        <w:tc>
          <w:tcPr>
            <w:tcW w:w="1000" w:type="pct"/>
            <w:tcBorders>
              <w:top w:val="nil"/>
              <w:left w:val="nil"/>
              <w:bottom w:val="single" w:sz="4" w:space="0" w:color="auto"/>
              <w:right w:val="single" w:sz="4" w:space="0" w:color="auto"/>
            </w:tcBorders>
            <w:noWrap/>
            <w:vAlign w:val="center"/>
            <w:hideMark/>
          </w:tcPr>
          <w:p w14:paraId="089E89E2"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4402</w:t>
            </w:r>
          </w:p>
        </w:tc>
        <w:tc>
          <w:tcPr>
            <w:tcW w:w="1064" w:type="pct"/>
            <w:tcBorders>
              <w:top w:val="nil"/>
              <w:left w:val="nil"/>
              <w:bottom w:val="single" w:sz="4" w:space="0" w:color="auto"/>
              <w:right w:val="single" w:sz="4" w:space="0" w:color="auto"/>
            </w:tcBorders>
            <w:noWrap/>
            <w:vAlign w:val="center"/>
            <w:hideMark/>
          </w:tcPr>
          <w:p w14:paraId="451C5514"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9406</w:t>
            </w:r>
          </w:p>
        </w:tc>
        <w:tc>
          <w:tcPr>
            <w:tcW w:w="936" w:type="pct"/>
            <w:tcBorders>
              <w:top w:val="nil"/>
              <w:left w:val="nil"/>
              <w:bottom w:val="single" w:sz="4" w:space="0" w:color="auto"/>
              <w:right w:val="single" w:sz="4" w:space="0" w:color="auto"/>
            </w:tcBorders>
            <w:noWrap/>
            <w:vAlign w:val="center"/>
            <w:hideMark/>
          </w:tcPr>
          <w:p w14:paraId="6AF8C006"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127.8</w:t>
            </w:r>
          </w:p>
        </w:tc>
      </w:tr>
      <w:tr w:rsidR="00BA3CA5" w:rsidRPr="001E749D" w14:paraId="22C8D058" w14:textId="77777777" w:rsidTr="000D36D0">
        <w:trPr>
          <w:trHeight w:val="315"/>
        </w:trPr>
        <w:tc>
          <w:tcPr>
            <w:tcW w:w="1000" w:type="pct"/>
            <w:tcBorders>
              <w:top w:val="nil"/>
              <w:left w:val="single" w:sz="4" w:space="0" w:color="auto"/>
              <w:bottom w:val="single" w:sz="4" w:space="0" w:color="auto"/>
              <w:right w:val="single" w:sz="4" w:space="0" w:color="auto"/>
            </w:tcBorders>
            <w:vAlign w:val="center"/>
            <w:hideMark/>
          </w:tcPr>
          <w:p w14:paraId="5D644882"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proofErr w:type="spellStart"/>
            <w:r w:rsidRPr="001E749D">
              <w:rPr>
                <w:rFonts w:ascii="Times New Roman" w:eastAsia="Times New Roman" w:hAnsi="Times New Roman"/>
                <w:b/>
                <w:bCs/>
                <w:color w:val="000000"/>
                <w:sz w:val="24"/>
                <w:szCs w:val="24"/>
                <w:lang w:eastAsia="en-IN"/>
              </w:rPr>
              <w:t>S.</w:t>
            </w:r>
            <w:proofErr w:type="gramStart"/>
            <w:r w:rsidRPr="001E749D">
              <w:rPr>
                <w:rFonts w:ascii="Times New Roman" w:eastAsia="Times New Roman" w:hAnsi="Times New Roman"/>
                <w:b/>
                <w:bCs/>
                <w:color w:val="000000"/>
                <w:sz w:val="24"/>
                <w:szCs w:val="24"/>
                <w:lang w:eastAsia="en-IN"/>
              </w:rPr>
              <w:t>Em</w:t>
            </w:r>
            <w:proofErr w:type="spellEnd"/>
            <w:r w:rsidRPr="001E749D">
              <w:rPr>
                <w:rFonts w:ascii="Times New Roman" w:eastAsia="Times New Roman" w:hAnsi="Times New Roman"/>
                <w:b/>
                <w:bCs/>
                <w:color w:val="000000"/>
                <w:sz w:val="24"/>
                <w:szCs w:val="24"/>
                <w:lang w:eastAsia="en-IN"/>
              </w:rPr>
              <w:t>.±</w:t>
            </w:r>
            <w:proofErr w:type="gramEnd"/>
          </w:p>
        </w:tc>
        <w:tc>
          <w:tcPr>
            <w:tcW w:w="1000" w:type="pct"/>
            <w:tcBorders>
              <w:top w:val="nil"/>
              <w:left w:val="nil"/>
              <w:bottom w:val="single" w:sz="4" w:space="0" w:color="auto"/>
              <w:right w:val="single" w:sz="4" w:space="0" w:color="auto"/>
            </w:tcBorders>
            <w:noWrap/>
            <w:vAlign w:val="center"/>
            <w:hideMark/>
          </w:tcPr>
          <w:p w14:paraId="6B3E9604"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1.03</w:t>
            </w:r>
          </w:p>
        </w:tc>
        <w:tc>
          <w:tcPr>
            <w:tcW w:w="1000" w:type="pct"/>
            <w:tcBorders>
              <w:top w:val="nil"/>
              <w:left w:val="nil"/>
              <w:bottom w:val="single" w:sz="4" w:space="0" w:color="auto"/>
              <w:right w:val="single" w:sz="4" w:space="0" w:color="auto"/>
            </w:tcBorders>
            <w:noWrap/>
            <w:vAlign w:val="center"/>
            <w:hideMark/>
          </w:tcPr>
          <w:p w14:paraId="5B0DFBC8"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44.21</w:t>
            </w:r>
          </w:p>
        </w:tc>
        <w:tc>
          <w:tcPr>
            <w:tcW w:w="1064" w:type="pct"/>
            <w:tcBorders>
              <w:top w:val="nil"/>
              <w:left w:val="nil"/>
              <w:bottom w:val="single" w:sz="4" w:space="0" w:color="auto"/>
              <w:right w:val="single" w:sz="4" w:space="0" w:color="auto"/>
            </w:tcBorders>
            <w:noWrap/>
            <w:vAlign w:val="center"/>
            <w:hideMark/>
          </w:tcPr>
          <w:p w14:paraId="428109E3"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97.65</w:t>
            </w:r>
          </w:p>
        </w:tc>
        <w:tc>
          <w:tcPr>
            <w:tcW w:w="936" w:type="pct"/>
            <w:tcBorders>
              <w:top w:val="nil"/>
              <w:left w:val="nil"/>
              <w:bottom w:val="single" w:sz="4" w:space="0" w:color="auto"/>
              <w:right w:val="single" w:sz="4" w:space="0" w:color="auto"/>
            </w:tcBorders>
            <w:noWrap/>
            <w:vAlign w:val="center"/>
            <w:hideMark/>
          </w:tcPr>
          <w:p w14:paraId="6B652852"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1.38</w:t>
            </w:r>
          </w:p>
        </w:tc>
      </w:tr>
      <w:tr w:rsidR="00BA3CA5" w:rsidRPr="001E749D" w14:paraId="71A1A98E" w14:textId="77777777" w:rsidTr="000D36D0">
        <w:trPr>
          <w:trHeight w:val="315"/>
        </w:trPr>
        <w:tc>
          <w:tcPr>
            <w:tcW w:w="1000" w:type="pct"/>
            <w:tcBorders>
              <w:top w:val="nil"/>
              <w:left w:val="single" w:sz="4" w:space="0" w:color="auto"/>
              <w:bottom w:val="single" w:sz="4" w:space="0" w:color="auto"/>
              <w:right w:val="single" w:sz="4" w:space="0" w:color="auto"/>
            </w:tcBorders>
            <w:vAlign w:val="center"/>
            <w:hideMark/>
          </w:tcPr>
          <w:p w14:paraId="0CED91DE"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CD (P=0.01)</w:t>
            </w:r>
          </w:p>
        </w:tc>
        <w:tc>
          <w:tcPr>
            <w:tcW w:w="1000" w:type="pct"/>
            <w:tcBorders>
              <w:top w:val="nil"/>
              <w:left w:val="nil"/>
              <w:bottom w:val="single" w:sz="4" w:space="0" w:color="auto"/>
              <w:right w:val="single" w:sz="4" w:space="0" w:color="auto"/>
            </w:tcBorders>
            <w:noWrap/>
            <w:vAlign w:val="center"/>
            <w:hideMark/>
          </w:tcPr>
          <w:p w14:paraId="1101B995"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2.97</w:t>
            </w:r>
          </w:p>
        </w:tc>
        <w:tc>
          <w:tcPr>
            <w:tcW w:w="1000" w:type="pct"/>
            <w:tcBorders>
              <w:top w:val="nil"/>
              <w:left w:val="nil"/>
              <w:bottom w:val="single" w:sz="4" w:space="0" w:color="auto"/>
              <w:right w:val="single" w:sz="4" w:space="0" w:color="auto"/>
            </w:tcBorders>
            <w:noWrap/>
            <w:vAlign w:val="center"/>
            <w:hideMark/>
          </w:tcPr>
          <w:p w14:paraId="0A394AFF"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127.06</w:t>
            </w:r>
          </w:p>
        </w:tc>
        <w:tc>
          <w:tcPr>
            <w:tcW w:w="1064" w:type="pct"/>
            <w:tcBorders>
              <w:top w:val="nil"/>
              <w:left w:val="nil"/>
              <w:bottom w:val="single" w:sz="4" w:space="0" w:color="auto"/>
              <w:right w:val="single" w:sz="4" w:space="0" w:color="auto"/>
            </w:tcBorders>
            <w:noWrap/>
            <w:vAlign w:val="center"/>
            <w:hideMark/>
          </w:tcPr>
          <w:p w14:paraId="52FEBF26"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280.64</w:t>
            </w:r>
          </w:p>
        </w:tc>
        <w:tc>
          <w:tcPr>
            <w:tcW w:w="936" w:type="pct"/>
            <w:tcBorders>
              <w:top w:val="nil"/>
              <w:left w:val="nil"/>
              <w:bottom w:val="single" w:sz="4" w:space="0" w:color="auto"/>
              <w:right w:val="single" w:sz="4" w:space="0" w:color="auto"/>
            </w:tcBorders>
            <w:noWrap/>
            <w:vAlign w:val="center"/>
            <w:hideMark/>
          </w:tcPr>
          <w:p w14:paraId="11F7FC95"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3.97</w:t>
            </w:r>
          </w:p>
        </w:tc>
      </w:tr>
      <w:tr w:rsidR="00BA3CA5" w:rsidRPr="001E749D" w14:paraId="257306E1" w14:textId="77777777" w:rsidTr="000D36D0">
        <w:trPr>
          <w:trHeight w:val="315"/>
        </w:trPr>
        <w:tc>
          <w:tcPr>
            <w:tcW w:w="1000" w:type="pct"/>
            <w:tcBorders>
              <w:top w:val="nil"/>
              <w:left w:val="single" w:sz="4" w:space="0" w:color="auto"/>
              <w:bottom w:val="single" w:sz="4" w:space="0" w:color="auto"/>
              <w:right w:val="single" w:sz="4" w:space="0" w:color="auto"/>
            </w:tcBorders>
            <w:vAlign w:val="center"/>
            <w:hideMark/>
          </w:tcPr>
          <w:p w14:paraId="61F2AD16"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CV (%)</w:t>
            </w:r>
          </w:p>
        </w:tc>
        <w:tc>
          <w:tcPr>
            <w:tcW w:w="1000" w:type="pct"/>
            <w:tcBorders>
              <w:top w:val="nil"/>
              <w:left w:val="nil"/>
              <w:bottom w:val="single" w:sz="4" w:space="0" w:color="auto"/>
              <w:right w:val="single" w:sz="4" w:space="0" w:color="auto"/>
            </w:tcBorders>
            <w:noWrap/>
            <w:vAlign w:val="center"/>
            <w:hideMark/>
          </w:tcPr>
          <w:p w14:paraId="35E7129D"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3.85</w:t>
            </w:r>
          </w:p>
        </w:tc>
        <w:tc>
          <w:tcPr>
            <w:tcW w:w="1000" w:type="pct"/>
            <w:tcBorders>
              <w:top w:val="nil"/>
              <w:left w:val="nil"/>
              <w:bottom w:val="single" w:sz="4" w:space="0" w:color="auto"/>
              <w:right w:val="single" w:sz="4" w:space="0" w:color="auto"/>
            </w:tcBorders>
            <w:noWrap/>
            <w:vAlign w:val="center"/>
            <w:hideMark/>
          </w:tcPr>
          <w:p w14:paraId="7CC1E0E8"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3.70</w:t>
            </w:r>
          </w:p>
        </w:tc>
        <w:tc>
          <w:tcPr>
            <w:tcW w:w="1064" w:type="pct"/>
            <w:tcBorders>
              <w:top w:val="nil"/>
              <w:left w:val="nil"/>
              <w:bottom w:val="single" w:sz="4" w:space="0" w:color="auto"/>
              <w:right w:val="single" w:sz="4" w:space="0" w:color="auto"/>
            </w:tcBorders>
            <w:noWrap/>
            <w:vAlign w:val="center"/>
            <w:hideMark/>
          </w:tcPr>
          <w:p w14:paraId="34DE1640"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3.82</w:t>
            </w:r>
          </w:p>
        </w:tc>
        <w:tc>
          <w:tcPr>
            <w:tcW w:w="936" w:type="pct"/>
            <w:tcBorders>
              <w:top w:val="nil"/>
              <w:left w:val="nil"/>
              <w:bottom w:val="single" w:sz="4" w:space="0" w:color="auto"/>
              <w:right w:val="single" w:sz="4" w:space="0" w:color="auto"/>
            </w:tcBorders>
            <w:noWrap/>
            <w:vAlign w:val="center"/>
            <w:hideMark/>
          </w:tcPr>
          <w:p w14:paraId="4708535E" w14:textId="77777777" w:rsidR="00BA3CA5" w:rsidRPr="001E749D" w:rsidRDefault="00BA3CA5" w:rsidP="000D36D0">
            <w:pPr>
              <w:spacing w:before="120" w:after="120" w:line="23" w:lineRule="atLeast"/>
              <w:jc w:val="center"/>
              <w:rPr>
                <w:rFonts w:ascii="Times New Roman" w:eastAsia="Times New Roman" w:hAnsi="Times New Roman"/>
                <w:color w:val="000000"/>
                <w:sz w:val="24"/>
                <w:szCs w:val="24"/>
                <w:lang w:eastAsia="en-IN"/>
              </w:rPr>
            </w:pPr>
            <w:r w:rsidRPr="001E749D">
              <w:rPr>
                <w:rFonts w:ascii="Times New Roman" w:eastAsia="Times New Roman" w:hAnsi="Times New Roman"/>
                <w:color w:val="000000"/>
                <w:sz w:val="24"/>
                <w:szCs w:val="24"/>
                <w:lang w:eastAsia="en-IN"/>
              </w:rPr>
              <w:t>3.98</w:t>
            </w:r>
          </w:p>
        </w:tc>
      </w:tr>
      <w:tr w:rsidR="00BA3CA5" w:rsidRPr="001E749D" w14:paraId="05C175C0" w14:textId="77777777" w:rsidTr="000D36D0">
        <w:trPr>
          <w:trHeight w:val="315"/>
        </w:trPr>
        <w:tc>
          <w:tcPr>
            <w:tcW w:w="1000" w:type="pct"/>
            <w:tcBorders>
              <w:top w:val="nil"/>
              <w:left w:val="single" w:sz="4" w:space="0" w:color="auto"/>
              <w:bottom w:val="single" w:sz="4" w:space="0" w:color="auto"/>
              <w:right w:val="single" w:sz="4" w:space="0" w:color="auto"/>
            </w:tcBorders>
            <w:vAlign w:val="center"/>
            <w:hideMark/>
          </w:tcPr>
          <w:p w14:paraId="48DBB563"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Significance</w:t>
            </w:r>
          </w:p>
        </w:tc>
        <w:tc>
          <w:tcPr>
            <w:tcW w:w="1000" w:type="pct"/>
            <w:tcBorders>
              <w:top w:val="nil"/>
              <w:left w:val="nil"/>
              <w:bottom w:val="single" w:sz="4" w:space="0" w:color="auto"/>
              <w:right w:val="single" w:sz="4" w:space="0" w:color="auto"/>
            </w:tcBorders>
            <w:noWrap/>
            <w:vAlign w:val="center"/>
            <w:hideMark/>
          </w:tcPr>
          <w:p w14:paraId="2FCA7407"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c>
          <w:tcPr>
            <w:tcW w:w="1000" w:type="pct"/>
            <w:tcBorders>
              <w:top w:val="nil"/>
              <w:left w:val="nil"/>
              <w:bottom w:val="single" w:sz="4" w:space="0" w:color="auto"/>
              <w:right w:val="single" w:sz="4" w:space="0" w:color="auto"/>
            </w:tcBorders>
            <w:noWrap/>
            <w:vAlign w:val="center"/>
            <w:hideMark/>
          </w:tcPr>
          <w:p w14:paraId="04D1FAF3"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c>
          <w:tcPr>
            <w:tcW w:w="1064" w:type="pct"/>
            <w:tcBorders>
              <w:top w:val="nil"/>
              <w:left w:val="nil"/>
              <w:bottom w:val="single" w:sz="4" w:space="0" w:color="auto"/>
              <w:right w:val="single" w:sz="4" w:space="0" w:color="auto"/>
            </w:tcBorders>
            <w:noWrap/>
            <w:vAlign w:val="center"/>
            <w:hideMark/>
          </w:tcPr>
          <w:p w14:paraId="0694FDEB"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c>
          <w:tcPr>
            <w:tcW w:w="936" w:type="pct"/>
            <w:tcBorders>
              <w:top w:val="nil"/>
              <w:left w:val="nil"/>
              <w:bottom w:val="single" w:sz="4" w:space="0" w:color="auto"/>
              <w:right w:val="single" w:sz="4" w:space="0" w:color="auto"/>
            </w:tcBorders>
            <w:noWrap/>
            <w:vAlign w:val="center"/>
            <w:hideMark/>
          </w:tcPr>
          <w:p w14:paraId="1CDDD858" w14:textId="77777777" w:rsidR="00BA3CA5" w:rsidRPr="001E749D" w:rsidRDefault="00BA3CA5" w:rsidP="000D36D0">
            <w:pPr>
              <w:spacing w:before="120" w:after="120" w:line="23" w:lineRule="atLeast"/>
              <w:jc w:val="center"/>
              <w:rPr>
                <w:rFonts w:ascii="Times New Roman" w:eastAsia="Times New Roman" w:hAnsi="Times New Roman"/>
                <w:b/>
                <w:bCs/>
                <w:color w:val="000000"/>
                <w:sz w:val="24"/>
                <w:szCs w:val="24"/>
                <w:lang w:eastAsia="en-IN"/>
              </w:rPr>
            </w:pPr>
            <w:r w:rsidRPr="001E749D">
              <w:rPr>
                <w:rFonts w:ascii="Times New Roman" w:eastAsia="Times New Roman" w:hAnsi="Times New Roman"/>
                <w:b/>
                <w:bCs/>
                <w:color w:val="000000"/>
                <w:sz w:val="24"/>
                <w:szCs w:val="24"/>
                <w:lang w:eastAsia="en-IN"/>
              </w:rPr>
              <w:t>S</w:t>
            </w:r>
          </w:p>
        </w:tc>
      </w:tr>
    </w:tbl>
    <w:p w14:paraId="69CEE8B1" w14:textId="77777777" w:rsidR="00BA3CA5" w:rsidRPr="00BD4455" w:rsidRDefault="00BA3CA5" w:rsidP="00BA3CA5">
      <w:pPr>
        <w:spacing w:before="240" w:after="0" w:line="360" w:lineRule="auto"/>
        <w:rPr>
          <w:rFonts w:ascii="Times New Roman" w:hAnsi="Times New Roman"/>
          <w:b/>
        </w:rPr>
      </w:pPr>
      <w:r w:rsidRPr="00BD4455">
        <w:rPr>
          <w:rFonts w:ascii="Times New Roman" w:hAnsi="Times New Roman"/>
          <w:b/>
        </w:rPr>
        <w:t>Legend</w:t>
      </w:r>
    </w:p>
    <w:p w14:paraId="41C1B301"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1</w:t>
      </w:r>
      <w:r w:rsidRPr="00BD4455">
        <w:rPr>
          <w:rFonts w:ascii="Times New Roman" w:hAnsi="Times New Roman"/>
          <w:color w:val="000000"/>
        </w:rPr>
        <w:t xml:space="preserve">: Control </w:t>
      </w:r>
    </w:p>
    <w:p w14:paraId="3EFD0C00"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2</w:t>
      </w:r>
      <w:r w:rsidRPr="00BD4455">
        <w:rPr>
          <w:rFonts w:ascii="Times New Roman" w:hAnsi="Times New Roman"/>
          <w:color w:val="000000"/>
        </w:rPr>
        <w:t>: Sweet flag rhizome powder at 5 g/kg</w:t>
      </w:r>
    </w:p>
    <w:p w14:paraId="0CC21F4A"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3</w:t>
      </w:r>
      <w:r w:rsidRPr="00BD4455">
        <w:rPr>
          <w:rFonts w:ascii="Times New Roman" w:hAnsi="Times New Roman"/>
          <w:color w:val="000000"/>
        </w:rPr>
        <w:t>: Sweet flag rhizome powder at 10 g/kg</w:t>
      </w:r>
    </w:p>
    <w:p w14:paraId="0E3711B5"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4</w:t>
      </w:r>
      <w:r w:rsidRPr="00BD4455">
        <w:rPr>
          <w:rFonts w:ascii="Times New Roman" w:hAnsi="Times New Roman"/>
          <w:color w:val="000000"/>
        </w:rPr>
        <w:t>: Sweet flag rhizome powder at 15 g/kg</w:t>
      </w:r>
    </w:p>
    <w:p w14:paraId="71AF0C97"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5</w:t>
      </w:r>
      <w:r w:rsidRPr="00BD4455">
        <w:rPr>
          <w:rFonts w:ascii="Times New Roman" w:hAnsi="Times New Roman"/>
          <w:color w:val="000000"/>
        </w:rPr>
        <w:t>: Sweet flag rhizome oil at 2.5 ml/kg</w:t>
      </w:r>
    </w:p>
    <w:p w14:paraId="6382F3C4"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6</w:t>
      </w:r>
      <w:r w:rsidRPr="00BD4455">
        <w:rPr>
          <w:rFonts w:ascii="Times New Roman" w:hAnsi="Times New Roman"/>
          <w:color w:val="000000"/>
        </w:rPr>
        <w:t>: Sweet flag rhizome oil at 5 ml/kg</w:t>
      </w:r>
    </w:p>
    <w:p w14:paraId="31CE8A3C" w14:textId="77777777" w:rsidR="00BA3CA5" w:rsidRPr="00BD4455" w:rsidRDefault="00BA3CA5" w:rsidP="00BA3CA5">
      <w:pPr>
        <w:spacing w:after="0" w:line="360" w:lineRule="auto"/>
        <w:rPr>
          <w:rFonts w:ascii="Times New Roman" w:hAnsi="Times New Roman"/>
          <w:color w:val="000000"/>
        </w:rPr>
      </w:pPr>
      <w:r w:rsidRPr="00BD4455">
        <w:rPr>
          <w:rFonts w:ascii="Times New Roman" w:hAnsi="Times New Roman"/>
          <w:b/>
          <w:color w:val="000000"/>
        </w:rPr>
        <w:t>T</w:t>
      </w:r>
      <w:r w:rsidRPr="00BD4455">
        <w:rPr>
          <w:rFonts w:ascii="Times New Roman" w:hAnsi="Times New Roman"/>
          <w:b/>
          <w:color w:val="000000"/>
          <w:vertAlign w:val="subscript"/>
        </w:rPr>
        <w:t>7</w:t>
      </w:r>
      <w:r w:rsidRPr="00BD4455">
        <w:rPr>
          <w:rFonts w:ascii="Times New Roman" w:hAnsi="Times New Roman"/>
          <w:color w:val="000000"/>
        </w:rPr>
        <w:t>: Sweet flag rhizome oil at 7.5 ml/kg</w:t>
      </w:r>
    </w:p>
    <w:p w14:paraId="5B99E614" w14:textId="7ABDE5AE" w:rsidR="00BA3CA5" w:rsidRDefault="00BA3CA5" w:rsidP="00BA3CA5">
      <w:pPr>
        <w:spacing w:after="0" w:line="360" w:lineRule="auto"/>
        <w:rPr>
          <w:rFonts w:ascii="Times New Roman" w:hAnsi="Times New Roman"/>
          <w:color w:val="000000"/>
          <w:lang w:val="nn-NO"/>
        </w:rPr>
      </w:pPr>
      <w:r w:rsidRPr="00E16411">
        <w:rPr>
          <w:rFonts w:ascii="Times New Roman" w:hAnsi="Times New Roman"/>
          <w:b/>
          <w:color w:val="000000"/>
          <w:lang w:val="nn-NO"/>
        </w:rPr>
        <w:t>T</w:t>
      </w:r>
      <w:r w:rsidRPr="00E16411">
        <w:rPr>
          <w:rFonts w:ascii="Times New Roman" w:hAnsi="Times New Roman"/>
          <w:b/>
          <w:color w:val="000000"/>
          <w:vertAlign w:val="subscript"/>
          <w:lang w:val="nn-NO"/>
        </w:rPr>
        <w:t>8</w:t>
      </w:r>
      <w:r w:rsidRPr="00E16411">
        <w:rPr>
          <w:rFonts w:ascii="Times New Roman" w:hAnsi="Times New Roman"/>
          <w:color w:val="000000"/>
          <w:lang w:val="nn-NO"/>
        </w:rPr>
        <w:t>: Spinosad at 0.04 ml/kg</w:t>
      </w:r>
    </w:p>
    <w:p w14:paraId="6221362D" w14:textId="2F2840D4" w:rsidR="00BA3CA5" w:rsidRDefault="00BA3CA5" w:rsidP="00BA3CA5">
      <w:pPr>
        <w:spacing w:after="0" w:line="360" w:lineRule="auto"/>
        <w:rPr>
          <w:rFonts w:ascii="Times New Roman" w:hAnsi="Times New Roman"/>
          <w:color w:val="000000"/>
          <w:lang w:val="nn-NO"/>
        </w:rPr>
      </w:pPr>
    </w:p>
    <w:p w14:paraId="364BCEBF" w14:textId="77777777" w:rsidR="00BA3CA5" w:rsidRPr="00E16411" w:rsidRDefault="00BA3CA5" w:rsidP="00BA3CA5">
      <w:pPr>
        <w:spacing w:after="0" w:line="360" w:lineRule="auto"/>
        <w:rPr>
          <w:rFonts w:ascii="Times New Roman" w:hAnsi="Times New Roman"/>
          <w:color w:val="000000"/>
          <w:lang w:val="nn-NO"/>
        </w:rPr>
      </w:pPr>
    </w:p>
    <w:p w14:paraId="3A1C75A4" w14:textId="20E8B5A0" w:rsidR="00BA3CA5" w:rsidRPr="00E16411" w:rsidRDefault="00BA3CA5" w:rsidP="00BA3CA5">
      <w:pPr>
        <w:spacing w:before="280" w:after="0" w:line="240" w:lineRule="auto"/>
        <w:jc w:val="both"/>
        <w:rPr>
          <w:rFonts w:ascii="Times New Roman" w:hAnsi="Times New Roman"/>
          <w:b/>
          <w:bCs/>
          <w:color w:val="000000"/>
          <w:sz w:val="24"/>
          <w:szCs w:val="24"/>
          <w:lang w:val="nn-NO" w:eastAsia="en-IN"/>
        </w:rPr>
      </w:pPr>
      <w:r w:rsidRPr="00E16411">
        <w:rPr>
          <w:rFonts w:ascii="Times New Roman" w:hAnsi="Times New Roman"/>
          <w:b/>
          <w:color w:val="000000"/>
          <w:sz w:val="24"/>
          <w:szCs w:val="24"/>
          <w:lang w:val="nn-NO" w:eastAsia="en-IN"/>
        </w:rPr>
        <w:lastRenderedPageBreak/>
        <w:t>Seedling vigour index – I (SVI-I)</w:t>
      </w:r>
    </w:p>
    <w:p w14:paraId="70D9EF63" w14:textId="74B3B617" w:rsidR="00BA3CA5" w:rsidRPr="001E749D" w:rsidRDefault="00BA3CA5" w:rsidP="00BA3CA5">
      <w:pPr>
        <w:pStyle w:val="NormalWeb"/>
        <w:spacing w:before="280" w:beforeAutospacing="0" w:after="0" w:afterAutospacing="0" w:line="360" w:lineRule="auto"/>
        <w:ind w:firstLine="720"/>
        <w:jc w:val="both"/>
        <w:rPr>
          <w:color w:val="000000"/>
        </w:rPr>
      </w:pPr>
      <w:r w:rsidRPr="001E749D">
        <w:rPr>
          <w:color w:val="000000"/>
        </w:rPr>
        <w:t xml:space="preserve">The data on seedling vigour index-I as influenced by various sweet flag rhizome treatments along with a </w:t>
      </w:r>
      <w:proofErr w:type="spellStart"/>
      <w:r w:rsidRPr="001E749D">
        <w:rPr>
          <w:color w:val="000000"/>
        </w:rPr>
        <w:t>spinosad</w:t>
      </w:r>
      <w:proofErr w:type="spellEnd"/>
      <w:r w:rsidRPr="001E749D">
        <w:rPr>
          <w:color w:val="000000"/>
        </w:rPr>
        <w:t xml:space="preserve"> treatment under lab conditions are presented in table</w:t>
      </w:r>
      <w:r>
        <w:rPr>
          <w:color w:val="000000"/>
        </w:rPr>
        <w:t xml:space="preserve"> 3</w:t>
      </w:r>
      <w:r w:rsidRPr="001E749D">
        <w:rPr>
          <w:color w:val="000000"/>
        </w:rPr>
        <w:t>.</w:t>
      </w:r>
    </w:p>
    <w:p w14:paraId="73C1AEDC" w14:textId="77777777" w:rsidR="00BA3CA5" w:rsidRPr="001E749D" w:rsidRDefault="00BA3CA5" w:rsidP="00BA3CA5">
      <w:pPr>
        <w:pStyle w:val="NormalWeb"/>
        <w:spacing w:before="280" w:beforeAutospacing="0" w:after="0" w:afterAutospacing="0" w:line="360" w:lineRule="auto"/>
        <w:ind w:firstLine="720"/>
        <w:jc w:val="both"/>
        <w:rPr>
          <w:color w:val="000000"/>
        </w:rPr>
      </w:pPr>
      <w:r w:rsidRPr="001E749D">
        <w:rPr>
          <w:color w:val="000000"/>
        </w:rPr>
        <w:t>Among the different sweet flag rhizome treatments, seedling vigour index-I showed significant variation, with the highest seedling vigour-I recorded in sweet flag rhizome powder at 15 g/kg (T</w:t>
      </w:r>
      <w:r w:rsidRPr="001E749D">
        <w:rPr>
          <w:color w:val="000000"/>
          <w:vertAlign w:val="subscript"/>
        </w:rPr>
        <w:t>4</w:t>
      </w:r>
      <w:r w:rsidRPr="001E749D">
        <w:rPr>
          <w:color w:val="000000"/>
        </w:rPr>
        <w:t>) (5352) and it is followed by sweet flag rhizome powder at 10 g/kg (T</w:t>
      </w:r>
      <w:r w:rsidRPr="001E749D">
        <w:rPr>
          <w:color w:val="000000"/>
          <w:vertAlign w:val="subscript"/>
        </w:rPr>
        <w:t>3</w:t>
      </w:r>
      <w:r w:rsidRPr="001E749D">
        <w:rPr>
          <w:color w:val="000000"/>
        </w:rPr>
        <w:t>) (4981). The control (T</w:t>
      </w:r>
      <w:r w:rsidRPr="001E749D">
        <w:rPr>
          <w:color w:val="000000"/>
          <w:vertAlign w:val="subscript"/>
        </w:rPr>
        <w:t>1</w:t>
      </w:r>
      <w:r w:rsidRPr="001E749D">
        <w:rPr>
          <w:color w:val="000000"/>
        </w:rPr>
        <w:t>) was recorded the lowest vigour index (3364) indicating relatively poor early seedling growth and vigour under untreated conditions.</w:t>
      </w:r>
    </w:p>
    <w:p w14:paraId="685E1E89" w14:textId="18820132" w:rsidR="00BA3CA5" w:rsidRPr="001E749D" w:rsidRDefault="00BA3CA5" w:rsidP="00BA3CA5">
      <w:pPr>
        <w:spacing w:before="280" w:after="0" w:line="240" w:lineRule="auto"/>
        <w:jc w:val="both"/>
        <w:rPr>
          <w:rFonts w:ascii="Times New Roman" w:hAnsi="Times New Roman"/>
          <w:color w:val="000000"/>
          <w:sz w:val="24"/>
          <w:szCs w:val="24"/>
        </w:rPr>
      </w:pPr>
      <w:r w:rsidRPr="001E749D">
        <w:rPr>
          <w:rStyle w:val="Strong"/>
          <w:rFonts w:ascii="Times New Roman" w:hAnsi="Times New Roman"/>
          <w:color w:val="000000"/>
          <w:sz w:val="24"/>
          <w:szCs w:val="24"/>
        </w:rPr>
        <w:t>Seed vigour index-II (SVI-II)</w:t>
      </w:r>
    </w:p>
    <w:p w14:paraId="7DC66E45" w14:textId="1ECB6699"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 xml:space="preserve">The data on seedling vigour index-II as influenced by various sweet flag rhizome treatments along with a </w:t>
      </w:r>
      <w:proofErr w:type="spellStart"/>
      <w:r w:rsidRPr="001E749D">
        <w:rPr>
          <w:rFonts w:ascii="Times New Roman" w:hAnsi="Times New Roman"/>
          <w:color w:val="000000"/>
          <w:sz w:val="24"/>
          <w:szCs w:val="24"/>
        </w:rPr>
        <w:t>spinosad</w:t>
      </w:r>
      <w:proofErr w:type="spellEnd"/>
      <w:r w:rsidRPr="001E749D">
        <w:rPr>
          <w:rFonts w:ascii="Times New Roman" w:hAnsi="Times New Roman"/>
          <w:color w:val="000000"/>
          <w:sz w:val="24"/>
          <w:szCs w:val="24"/>
        </w:rPr>
        <w:t xml:space="preserve"> treatment under lab conditions are presented in table </w:t>
      </w:r>
      <w:r>
        <w:rPr>
          <w:rFonts w:ascii="Times New Roman" w:hAnsi="Times New Roman"/>
          <w:color w:val="000000"/>
          <w:sz w:val="24"/>
          <w:szCs w:val="24"/>
        </w:rPr>
        <w:t>3</w:t>
      </w:r>
      <w:r w:rsidRPr="001E749D">
        <w:rPr>
          <w:rFonts w:ascii="Times New Roman" w:hAnsi="Times New Roman"/>
          <w:color w:val="000000"/>
          <w:sz w:val="24"/>
          <w:szCs w:val="24"/>
        </w:rPr>
        <w:t>.</w:t>
      </w:r>
    </w:p>
    <w:p w14:paraId="40813A9D" w14:textId="77777777" w:rsidR="00BA3CA5" w:rsidRPr="001E749D" w:rsidRDefault="00BA3CA5" w:rsidP="00BA3CA5">
      <w:pPr>
        <w:spacing w:before="280" w:after="0" w:line="360" w:lineRule="auto"/>
        <w:ind w:firstLine="720"/>
        <w:jc w:val="both"/>
        <w:rPr>
          <w:rFonts w:ascii="Times New Roman" w:hAnsi="Times New Roman"/>
          <w:color w:val="000000"/>
          <w:sz w:val="24"/>
          <w:szCs w:val="24"/>
        </w:rPr>
      </w:pPr>
      <w:r w:rsidRPr="001E749D">
        <w:rPr>
          <w:rFonts w:ascii="Times New Roman" w:hAnsi="Times New Roman"/>
          <w:color w:val="000000"/>
          <w:sz w:val="24"/>
          <w:szCs w:val="24"/>
        </w:rPr>
        <w:t>Seedling vigour index-II showed significant variation across all treatments with the highest seedling vigour-II recorded in sweet flag rhizome powder at 15 g/kg (T</w:t>
      </w:r>
      <w:r w:rsidRPr="001E749D">
        <w:rPr>
          <w:rFonts w:ascii="Times New Roman" w:hAnsi="Times New Roman"/>
          <w:color w:val="000000"/>
          <w:sz w:val="24"/>
          <w:szCs w:val="24"/>
          <w:vertAlign w:val="subscript"/>
        </w:rPr>
        <w:t>4</w:t>
      </w:r>
      <w:r w:rsidRPr="001E749D">
        <w:rPr>
          <w:rFonts w:ascii="Times New Roman" w:hAnsi="Times New Roman"/>
          <w:color w:val="000000"/>
          <w:sz w:val="24"/>
          <w:szCs w:val="24"/>
        </w:rPr>
        <w:t>) (10372) and it is followed by sweet flag rhizome powder at 10 g/kg (T</w:t>
      </w:r>
      <w:r w:rsidRPr="001E749D">
        <w:rPr>
          <w:rFonts w:ascii="Times New Roman" w:hAnsi="Times New Roman"/>
          <w:color w:val="000000"/>
          <w:sz w:val="24"/>
          <w:szCs w:val="24"/>
          <w:vertAlign w:val="subscript"/>
        </w:rPr>
        <w:t>3</w:t>
      </w:r>
      <w:r w:rsidRPr="001E749D">
        <w:rPr>
          <w:rFonts w:ascii="Times New Roman" w:hAnsi="Times New Roman"/>
          <w:color w:val="000000"/>
          <w:sz w:val="24"/>
          <w:szCs w:val="24"/>
        </w:rPr>
        <w:t>) (9845). The control (T</w:t>
      </w:r>
      <w:r w:rsidRPr="001E749D">
        <w:rPr>
          <w:rFonts w:ascii="Times New Roman" w:hAnsi="Times New Roman"/>
          <w:color w:val="000000"/>
          <w:sz w:val="24"/>
          <w:szCs w:val="24"/>
          <w:vertAlign w:val="subscript"/>
        </w:rPr>
        <w:t>1</w:t>
      </w:r>
      <w:r w:rsidRPr="001E749D">
        <w:rPr>
          <w:rFonts w:ascii="Times New Roman" w:hAnsi="Times New Roman"/>
          <w:color w:val="000000"/>
          <w:sz w:val="24"/>
          <w:szCs w:val="24"/>
        </w:rPr>
        <w:t>) was recorded the lowest vigour index (8620) indicating relatively poor early seedling growth and vigour under untreated conditions.</w:t>
      </w:r>
    </w:p>
    <w:p w14:paraId="38B26217" w14:textId="152FFB2D"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In the current investigation, the seedling dry weight, SVI-I and SVI-II showed a highest to treatments with sweet flag rhizome powder at 10 g/kg (T</w:t>
      </w:r>
      <w:r w:rsidRPr="001E749D">
        <w:rPr>
          <w:rFonts w:ascii="Times New Roman" w:hAnsi="Times New Roman"/>
          <w:color w:val="000000"/>
          <w:sz w:val="24"/>
          <w:szCs w:val="24"/>
          <w:vertAlign w:val="subscript"/>
          <w:lang w:eastAsia="en-IN"/>
        </w:rPr>
        <w:t>3</w:t>
      </w:r>
      <w:r w:rsidRPr="001E749D">
        <w:rPr>
          <w:rFonts w:ascii="Times New Roman" w:hAnsi="Times New Roman"/>
          <w:color w:val="000000"/>
          <w:sz w:val="24"/>
          <w:szCs w:val="24"/>
          <w:lang w:eastAsia="en-IN"/>
        </w:rPr>
        <w:t>) was recorded the 8.3 per cent, 48.1 per cent and 14.2 per cent increase in seedling dry weight, SVI-I and SVI-II, respectively, as compared to control indicating the beneficial role of bioactive compounds such as β-</w:t>
      </w:r>
      <w:proofErr w:type="spellStart"/>
      <w:r w:rsidRPr="001E749D">
        <w:rPr>
          <w:rFonts w:ascii="Times New Roman" w:hAnsi="Times New Roman"/>
          <w:color w:val="000000"/>
          <w:sz w:val="24"/>
          <w:szCs w:val="24"/>
          <w:lang w:eastAsia="en-IN"/>
        </w:rPr>
        <w:t>asarone</w:t>
      </w:r>
      <w:proofErr w:type="spellEnd"/>
      <w:r w:rsidRPr="001E749D">
        <w:rPr>
          <w:rFonts w:ascii="Times New Roman" w:hAnsi="Times New Roman"/>
          <w:color w:val="000000"/>
          <w:sz w:val="24"/>
          <w:szCs w:val="24"/>
          <w:lang w:eastAsia="en-IN"/>
        </w:rPr>
        <w:t xml:space="preserve">, methyl isoeugenol (Z and E) and </w:t>
      </w:r>
      <w:proofErr w:type="spellStart"/>
      <w:r w:rsidRPr="001E749D">
        <w:rPr>
          <w:rFonts w:ascii="Times New Roman" w:hAnsi="Times New Roman"/>
          <w:color w:val="000000"/>
          <w:sz w:val="24"/>
          <w:szCs w:val="24"/>
          <w:lang w:eastAsia="en-IN"/>
        </w:rPr>
        <w:t>methyleugenol</w:t>
      </w:r>
      <w:proofErr w:type="spellEnd"/>
      <w:r w:rsidRPr="001E749D">
        <w:rPr>
          <w:rFonts w:ascii="Times New Roman" w:hAnsi="Times New Roman"/>
          <w:color w:val="000000"/>
          <w:sz w:val="24"/>
          <w:szCs w:val="24"/>
          <w:lang w:eastAsia="en-IN"/>
        </w:rPr>
        <w:t xml:space="preserve">. These compounds are known for their antifungal, insecticidal, antimicrobial and antioxidant properties, which can protect seeds and emerging seedlings from biotic and abiotic stresses, enhancing early metabolic activity and vigour (Singh </w:t>
      </w:r>
      <w:r w:rsidR="00E779CD" w:rsidRPr="00E779CD">
        <w:rPr>
          <w:rFonts w:ascii="Times New Roman" w:hAnsi="Times New Roman"/>
          <w:i/>
          <w:color w:val="000000"/>
          <w:sz w:val="24"/>
          <w:szCs w:val="24"/>
          <w:lang w:eastAsia="en-IN"/>
        </w:rPr>
        <w:t>et al</w:t>
      </w:r>
      <w:r w:rsidR="00E779CD">
        <w:rPr>
          <w:rFonts w:ascii="Times New Roman" w:hAnsi="Times New Roman"/>
          <w:color w:val="000000"/>
          <w:sz w:val="24"/>
          <w:szCs w:val="24"/>
          <w:lang w:eastAsia="en-IN"/>
        </w:rPr>
        <w:t>.</w:t>
      </w:r>
      <w:r w:rsidRPr="001E749D">
        <w:rPr>
          <w:rFonts w:ascii="Times New Roman" w:hAnsi="Times New Roman"/>
          <w:color w:val="000000"/>
          <w:sz w:val="24"/>
          <w:szCs w:val="24"/>
          <w:lang w:eastAsia="en-IN"/>
        </w:rPr>
        <w:t>, 2025).</w:t>
      </w:r>
    </w:p>
    <w:p w14:paraId="2E69EA04"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Similar results were obtained in the studies of </w:t>
      </w:r>
      <w:proofErr w:type="spellStart"/>
      <w:r w:rsidRPr="001E749D">
        <w:rPr>
          <w:rFonts w:ascii="Times New Roman" w:hAnsi="Times New Roman"/>
          <w:color w:val="000000"/>
          <w:sz w:val="24"/>
          <w:szCs w:val="24"/>
          <w:lang w:eastAsia="en-IN"/>
        </w:rPr>
        <w:t>Krishnasamy</w:t>
      </w:r>
      <w:proofErr w:type="spellEnd"/>
      <w:r w:rsidRPr="001E749D">
        <w:rPr>
          <w:rFonts w:ascii="Times New Roman" w:hAnsi="Times New Roman"/>
          <w:color w:val="000000"/>
          <w:sz w:val="24"/>
          <w:szCs w:val="24"/>
          <w:lang w:eastAsia="en-IN"/>
        </w:rPr>
        <w:t xml:space="preserve"> and </w:t>
      </w:r>
      <w:proofErr w:type="spellStart"/>
      <w:r w:rsidRPr="001E749D">
        <w:rPr>
          <w:rFonts w:ascii="Times New Roman" w:hAnsi="Times New Roman"/>
          <w:color w:val="000000"/>
          <w:sz w:val="24"/>
          <w:szCs w:val="24"/>
          <w:lang w:eastAsia="en-IN"/>
        </w:rPr>
        <w:t>Obbineni</w:t>
      </w:r>
      <w:proofErr w:type="spellEnd"/>
      <w:r w:rsidRPr="001E749D">
        <w:rPr>
          <w:rFonts w:ascii="Times New Roman" w:hAnsi="Times New Roman"/>
          <w:color w:val="000000"/>
          <w:sz w:val="24"/>
          <w:szCs w:val="24"/>
          <w:lang w:eastAsia="en-IN"/>
        </w:rPr>
        <w:t xml:space="preserve"> (2025) who reported that Moringa oleifera seed priming improved seedling vigour indices in black gram under laboratory conditions due to antioxidant-rich phenolics and flavonoids. </w:t>
      </w:r>
      <w:proofErr w:type="spellStart"/>
      <w:r w:rsidRPr="001E749D">
        <w:rPr>
          <w:rFonts w:ascii="Times New Roman" w:hAnsi="Times New Roman"/>
          <w:color w:val="000000"/>
          <w:sz w:val="24"/>
          <w:szCs w:val="24"/>
          <w:lang w:eastAsia="en-IN"/>
        </w:rPr>
        <w:t>Additionaly</w:t>
      </w:r>
      <w:proofErr w:type="spellEnd"/>
      <w:r w:rsidRPr="001E749D">
        <w:rPr>
          <w:rFonts w:ascii="Times New Roman" w:hAnsi="Times New Roman"/>
          <w:color w:val="000000"/>
          <w:sz w:val="24"/>
          <w:szCs w:val="24"/>
          <w:lang w:eastAsia="en-IN"/>
        </w:rPr>
        <w:t xml:space="preserve">, this study is well supported by findings of </w:t>
      </w:r>
      <w:proofErr w:type="spellStart"/>
      <w:r w:rsidRPr="001E749D">
        <w:rPr>
          <w:rFonts w:ascii="Times New Roman" w:hAnsi="Times New Roman"/>
          <w:color w:val="000000"/>
          <w:sz w:val="24"/>
          <w:szCs w:val="24"/>
          <w:lang w:eastAsia="en-IN"/>
        </w:rPr>
        <w:t>Ismil</w:t>
      </w:r>
      <w:proofErr w:type="spellEnd"/>
      <w:r w:rsidRPr="001E749D">
        <w:rPr>
          <w:rFonts w:ascii="Times New Roman" w:hAnsi="Times New Roman"/>
          <w:color w:val="000000"/>
          <w:sz w:val="24"/>
          <w:szCs w:val="24"/>
          <w:lang w:eastAsia="en-IN"/>
        </w:rPr>
        <w:t xml:space="preserve"> and </w:t>
      </w:r>
      <w:proofErr w:type="spellStart"/>
      <w:r w:rsidRPr="001E749D">
        <w:rPr>
          <w:rFonts w:ascii="Times New Roman" w:hAnsi="Times New Roman"/>
          <w:color w:val="000000"/>
          <w:sz w:val="24"/>
          <w:szCs w:val="24"/>
          <w:lang w:eastAsia="en-IN"/>
        </w:rPr>
        <w:t>Besar</w:t>
      </w:r>
      <w:proofErr w:type="spellEnd"/>
      <w:r w:rsidRPr="001E749D">
        <w:rPr>
          <w:rFonts w:ascii="Times New Roman" w:hAnsi="Times New Roman"/>
          <w:color w:val="000000"/>
          <w:sz w:val="24"/>
          <w:szCs w:val="24"/>
          <w:lang w:eastAsia="en-IN"/>
        </w:rPr>
        <w:t xml:space="preserve"> (2025) found that Allium sativum seed treatments enhanced pea seedling vigour by suppressing seed-borne </w:t>
      </w:r>
      <w:r w:rsidRPr="001E749D">
        <w:rPr>
          <w:rFonts w:ascii="Times New Roman" w:hAnsi="Times New Roman"/>
          <w:color w:val="000000"/>
          <w:sz w:val="24"/>
          <w:szCs w:val="24"/>
          <w:lang w:eastAsia="en-IN"/>
        </w:rPr>
        <w:lastRenderedPageBreak/>
        <w:t>fungal pathogens through allicin and related organosulfur compounds, thereby improving early seedling health. These findings affirm that treatments with bioactive-rich botanicals can enhance seedling vigour by providing protection through their multifaceted antimicrobial, insecticidal and antioxidant properties.</w:t>
      </w:r>
    </w:p>
    <w:p w14:paraId="3043773E" w14:textId="2A75F3E0"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On the other hand, the control (untreated) seeds exhibited the lowest seedling dry weight and vigour indices, likely due to greater vulnerability to pest infestation, fungal pathogens and abiotic stresses immediately post-harvest. These results are in conformity with the findings of</w:t>
      </w:r>
      <w:r w:rsidR="00E779CD">
        <w:rPr>
          <w:rFonts w:ascii="Times New Roman" w:hAnsi="Times New Roman"/>
          <w:color w:val="000000"/>
          <w:sz w:val="24"/>
          <w:szCs w:val="24"/>
          <w:lang w:eastAsia="en-IN"/>
        </w:rPr>
        <w:t xml:space="preserve"> </w:t>
      </w:r>
      <w:proofErr w:type="spellStart"/>
      <w:r w:rsidRPr="001E749D">
        <w:rPr>
          <w:rFonts w:ascii="Times New Roman" w:hAnsi="Times New Roman"/>
          <w:color w:val="000000"/>
          <w:sz w:val="24"/>
          <w:szCs w:val="24"/>
          <w:lang w:eastAsia="en-IN"/>
        </w:rPr>
        <w:t>Rajeshwaran</w:t>
      </w:r>
      <w:proofErr w:type="spellEnd"/>
      <w:r w:rsidRPr="001E749D">
        <w:rPr>
          <w:rFonts w:ascii="Times New Roman" w:hAnsi="Times New Roman"/>
          <w:color w:val="000000"/>
          <w:sz w:val="24"/>
          <w:szCs w:val="24"/>
          <w:lang w:eastAsia="en-IN"/>
        </w:rPr>
        <w:t xml:space="preserve">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xml:space="preserve">. (2025) and </w:t>
      </w:r>
      <w:proofErr w:type="spellStart"/>
      <w:r w:rsidRPr="001E749D">
        <w:rPr>
          <w:rFonts w:ascii="Times New Roman" w:hAnsi="Times New Roman"/>
          <w:color w:val="000000"/>
          <w:sz w:val="24"/>
          <w:szCs w:val="24"/>
          <w:lang w:eastAsia="en-IN"/>
        </w:rPr>
        <w:t>Vatchev</w:t>
      </w:r>
      <w:proofErr w:type="spellEnd"/>
      <w:r w:rsidRPr="001E749D">
        <w:rPr>
          <w:rFonts w:ascii="Times New Roman" w:hAnsi="Times New Roman"/>
          <w:color w:val="000000"/>
          <w:sz w:val="24"/>
          <w:szCs w:val="24"/>
          <w:lang w:eastAsia="en-IN"/>
        </w:rPr>
        <w:t xml:space="preserve">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(2025) observed untreated pulse seeds often show reduced vigour and growth due to disease incidence and pest damage.</w:t>
      </w:r>
    </w:p>
    <w:p w14:paraId="27424C8F" w14:textId="7A1C762C" w:rsidR="00BA3CA5" w:rsidRPr="001E749D" w:rsidRDefault="00BA3CA5" w:rsidP="00BA3CA5">
      <w:pPr>
        <w:spacing w:before="280" w:after="0" w:line="240" w:lineRule="auto"/>
        <w:jc w:val="both"/>
        <w:rPr>
          <w:rStyle w:val="Strong"/>
          <w:rFonts w:ascii="Times New Roman" w:hAnsi="Times New Roman"/>
          <w:b w:val="0"/>
          <w:color w:val="000000"/>
          <w:sz w:val="24"/>
          <w:szCs w:val="24"/>
        </w:rPr>
      </w:pPr>
      <w:r w:rsidRPr="001E749D">
        <w:rPr>
          <w:rFonts w:ascii="Times New Roman" w:hAnsi="Times New Roman"/>
          <w:b/>
          <w:bCs/>
          <w:color w:val="000000"/>
          <w:sz w:val="24"/>
          <w:szCs w:val="24"/>
          <w:lang w:eastAsia="en-IN"/>
        </w:rPr>
        <w:t xml:space="preserve">Electrical conductivity </w:t>
      </w:r>
      <w:r w:rsidRPr="001E749D">
        <w:rPr>
          <w:rFonts w:ascii="Times New Roman" w:eastAsia="Times New Roman" w:hAnsi="Times New Roman"/>
          <w:b/>
          <w:bCs/>
          <w:color w:val="000000"/>
          <w:sz w:val="24"/>
          <w:szCs w:val="24"/>
          <w:lang w:eastAsia="en-IN"/>
        </w:rPr>
        <w:t>(µS/cm/g)</w:t>
      </w:r>
    </w:p>
    <w:p w14:paraId="357FC4EB" w14:textId="6DD00522" w:rsidR="00BA3CA5" w:rsidRPr="001E749D" w:rsidRDefault="00BA3CA5" w:rsidP="00BA3CA5">
      <w:pPr>
        <w:pStyle w:val="NormalWeb"/>
        <w:spacing w:before="280" w:beforeAutospacing="0" w:after="0" w:afterAutospacing="0" w:line="360" w:lineRule="auto"/>
        <w:ind w:firstLine="720"/>
        <w:jc w:val="both"/>
        <w:rPr>
          <w:color w:val="000000"/>
        </w:rPr>
      </w:pPr>
      <w:r w:rsidRPr="001E749D">
        <w:rPr>
          <w:color w:val="000000"/>
        </w:rPr>
        <w:t xml:space="preserve">The data on electrical conductivity as influenced by various sweet flag rhizome treatments along with a </w:t>
      </w:r>
      <w:proofErr w:type="spellStart"/>
      <w:r w:rsidRPr="001E749D">
        <w:rPr>
          <w:color w:val="000000"/>
        </w:rPr>
        <w:t>spinosad</w:t>
      </w:r>
      <w:proofErr w:type="spellEnd"/>
      <w:r w:rsidRPr="001E749D">
        <w:rPr>
          <w:color w:val="000000"/>
        </w:rPr>
        <w:t xml:space="preserve"> treatment under lab conditions are presented in table </w:t>
      </w:r>
      <w:r>
        <w:rPr>
          <w:color w:val="000000"/>
        </w:rPr>
        <w:t>3</w:t>
      </w:r>
      <w:r w:rsidRPr="001E749D">
        <w:rPr>
          <w:color w:val="000000"/>
        </w:rPr>
        <w:t xml:space="preserve"> and fig. </w:t>
      </w:r>
      <w:r>
        <w:rPr>
          <w:color w:val="000000"/>
        </w:rPr>
        <w:t>2</w:t>
      </w:r>
      <w:r w:rsidRPr="001E749D">
        <w:rPr>
          <w:color w:val="000000"/>
        </w:rPr>
        <w:t>.</w:t>
      </w:r>
    </w:p>
    <w:p w14:paraId="01B24357" w14:textId="77777777" w:rsidR="00BA3CA5" w:rsidRPr="001E749D" w:rsidRDefault="00BA3CA5" w:rsidP="00BA3CA5">
      <w:pPr>
        <w:pStyle w:val="NormalWeb"/>
        <w:spacing w:before="280" w:beforeAutospacing="0" w:after="0" w:afterAutospacing="0" w:line="360" w:lineRule="auto"/>
        <w:ind w:firstLine="720"/>
        <w:jc w:val="both"/>
        <w:rPr>
          <w:b/>
          <w:bCs/>
          <w:lang w:val="en-US"/>
        </w:rPr>
      </w:pPr>
      <w:r w:rsidRPr="001E749D">
        <w:rPr>
          <w:color w:val="000000"/>
        </w:rPr>
        <w:t>Electrical conductivity showed significant variation across treatments with the lowest electrical conductivity recorded in sweet flag rhizome powder at 15 g/kg (T</w:t>
      </w:r>
      <w:r w:rsidRPr="001E749D">
        <w:rPr>
          <w:color w:val="000000"/>
          <w:vertAlign w:val="subscript"/>
        </w:rPr>
        <w:t>4</w:t>
      </w:r>
      <w:r w:rsidRPr="001E749D">
        <w:rPr>
          <w:color w:val="000000"/>
        </w:rPr>
        <w:t>)</w:t>
      </w:r>
      <w:bookmarkEnd w:id="4"/>
      <w:r w:rsidRPr="001E749D">
        <w:rPr>
          <w:color w:val="000000"/>
        </w:rPr>
        <w:t xml:space="preserve"> (121.3 µS/cm/g) indicating better membrane integrity and seed quality and it is followed by sweet flag rhizome powder at 10 g/kg (T</w:t>
      </w:r>
      <w:r w:rsidRPr="001E749D">
        <w:rPr>
          <w:color w:val="000000"/>
          <w:vertAlign w:val="subscript"/>
        </w:rPr>
        <w:t>3</w:t>
      </w:r>
      <w:r w:rsidRPr="001E749D">
        <w:rPr>
          <w:color w:val="000000"/>
        </w:rPr>
        <w:t>) (122.5 µS/cm/g) and the control (T</w:t>
      </w:r>
      <w:r w:rsidRPr="001E749D">
        <w:rPr>
          <w:color w:val="000000"/>
          <w:vertAlign w:val="subscript"/>
        </w:rPr>
        <w:t>1</w:t>
      </w:r>
      <w:r w:rsidRPr="001E749D">
        <w:rPr>
          <w:color w:val="000000"/>
        </w:rPr>
        <w:t>) (134.0 µS/cm/g), which recorded the highest conductivity, suggesting relatively poor seed membrane stability under untreated conditions.</w:t>
      </w:r>
    </w:p>
    <w:p w14:paraId="2ECE1D86" w14:textId="56E5EAD2" w:rsidR="00BA3CA5" w:rsidRPr="001E749D" w:rsidRDefault="00BA3CA5" w:rsidP="00BA3CA5">
      <w:pPr>
        <w:pStyle w:val="NormalWeb"/>
        <w:spacing w:before="280" w:beforeAutospacing="0" w:after="0" w:afterAutospacing="0" w:line="360" w:lineRule="auto"/>
        <w:ind w:firstLine="720"/>
        <w:jc w:val="both"/>
        <w:rPr>
          <w:color w:val="000000"/>
        </w:rPr>
      </w:pPr>
      <w:r w:rsidRPr="001E749D">
        <w:rPr>
          <w:bCs/>
          <w:color w:val="000000"/>
        </w:rPr>
        <w:t xml:space="preserve">The current study showed that, </w:t>
      </w:r>
      <w:r w:rsidRPr="001E749D">
        <w:rPr>
          <w:color w:val="000000"/>
        </w:rPr>
        <w:t>the electrical conductivity showed a least to treatment with sweet flag rhizome powder at 10 g/kg (T</w:t>
      </w:r>
      <w:r w:rsidRPr="001E749D">
        <w:rPr>
          <w:color w:val="000000"/>
          <w:vertAlign w:val="subscript"/>
        </w:rPr>
        <w:t>3</w:t>
      </w:r>
      <w:r w:rsidRPr="001E749D">
        <w:rPr>
          <w:color w:val="000000"/>
        </w:rPr>
        <w:t>) was recorded the 8.5 per cent decrease in electrical conductivity as compared to control indicating the beneficial role of bioactive compounds such as β-</w:t>
      </w:r>
      <w:proofErr w:type="spellStart"/>
      <w:r w:rsidRPr="001E749D">
        <w:rPr>
          <w:color w:val="000000"/>
        </w:rPr>
        <w:t>asarone</w:t>
      </w:r>
      <w:proofErr w:type="spellEnd"/>
      <w:r w:rsidRPr="001E749D">
        <w:rPr>
          <w:color w:val="000000"/>
        </w:rPr>
        <w:t xml:space="preserve"> and methyl isoeugenol (Z and E), along with </w:t>
      </w:r>
      <w:proofErr w:type="spellStart"/>
      <w:r w:rsidRPr="001E749D">
        <w:rPr>
          <w:color w:val="000000"/>
        </w:rPr>
        <w:t>methyleugenol</w:t>
      </w:r>
      <w:proofErr w:type="spellEnd"/>
      <w:r w:rsidRPr="001E749D">
        <w:rPr>
          <w:color w:val="000000"/>
        </w:rPr>
        <w:t xml:space="preserve"> in maintaining seed membrane stability. These compounds are known for</w:t>
      </w:r>
      <w:r>
        <w:rPr>
          <w:color w:val="000000"/>
        </w:rPr>
        <w:t xml:space="preserve"> </w:t>
      </w:r>
      <w:r w:rsidRPr="001E749D">
        <w:rPr>
          <w:color w:val="000000"/>
        </w:rPr>
        <w:t>their antifungal, insecticidal, antimicrobial and antioxidant properties, which can protect seeds from oxidative stress and microbial infections immediately after harvest, enhancing seed vigour and reducing electrolyte leakage (</w:t>
      </w:r>
      <w:proofErr w:type="spellStart"/>
      <w:r w:rsidRPr="001E749D">
        <w:rPr>
          <w:color w:val="000000"/>
        </w:rPr>
        <w:t>Aryal</w:t>
      </w:r>
      <w:proofErr w:type="spellEnd"/>
      <w:r w:rsidRPr="001E749D">
        <w:rPr>
          <w:color w:val="000000"/>
        </w:rPr>
        <w:t xml:space="preserve"> </w:t>
      </w:r>
      <w:r w:rsidRPr="001E749D">
        <w:rPr>
          <w:i/>
          <w:color w:val="000000"/>
        </w:rPr>
        <w:t>et al</w:t>
      </w:r>
      <w:r w:rsidRPr="001E749D">
        <w:rPr>
          <w:color w:val="000000"/>
        </w:rPr>
        <w:t>., 2023).</w:t>
      </w:r>
    </w:p>
    <w:p w14:paraId="344F6B02"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Consistent results were obtained in the studies of </w:t>
      </w:r>
      <w:proofErr w:type="spellStart"/>
      <w:r w:rsidRPr="001E749D">
        <w:rPr>
          <w:rFonts w:ascii="Times New Roman" w:hAnsi="Times New Roman"/>
          <w:color w:val="000000"/>
          <w:sz w:val="24"/>
          <w:szCs w:val="24"/>
          <w:lang w:eastAsia="en-IN"/>
        </w:rPr>
        <w:t>Nivethadevi</w:t>
      </w:r>
      <w:proofErr w:type="spellEnd"/>
      <w:r w:rsidRPr="001E749D">
        <w:rPr>
          <w:rFonts w:ascii="Times New Roman" w:hAnsi="Times New Roman"/>
          <w:color w:val="000000"/>
          <w:sz w:val="24"/>
          <w:szCs w:val="24"/>
          <w:lang w:eastAsia="en-IN"/>
        </w:rPr>
        <w:t xml:space="preserve"> and Swaminathan (2022) who reported that seed priming with Moringa oleifera on black gram seeds reduced </w:t>
      </w:r>
      <w:r w:rsidRPr="001E749D">
        <w:rPr>
          <w:rFonts w:ascii="Times New Roman" w:hAnsi="Times New Roman"/>
          <w:color w:val="000000"/>
          <w:sz w:val="24"/>
          <w:szCs w:val="24"/>
          <w:lang w:eastAsia="en-IN"/>
        </w:rPr>
        <w:lastRenderedPageBreak/>
        <w:t xml:space="preserve">electrical conductivity and improved seed vigour due to antioxidant phenolics and flavonoids that protect seed membranes from oxidative damage. Furthermore, these results are </w:t>
      </w:r>
      <w:proofErr w:type="gramStart"/>
      <w:r w:rsidRPr="001E749D">
        <w:rPr>
          <w:rFonts w:ascii="Times New Roman" w:hAnsi="Times New Roman"/>
          <w:color w:val="000000"/>
          <w:sz w:val="24"/>
          <w:szCs w:val="24"/>
          <w:lang w:eastAsia="en-IN"/>
        </w:rPr>
        <w:t>concurs</w:t>
      </w:r>
      <w:proofErr w:type="gramEnd"/>
      <w:r w:rsidRPr="001E749D">
        <w:rPr>
          <w:rFonts w:ascii="Times New Roman" w:hAnsi="Times New Roman"/>
          <w:color w:val="000000"/>
          <w:sz w:val="24"/>
          <w:szCs w:val="24"/>
          <w:lang w:eastAsia="en-IN"/>
        </w:rPr>
        <w:t xml:space="preserve"> with findings of </w:t>
      </w:r>
      <w:proofErr w:type="spellStart"/>
      <w:r w:rsidRPr="001E749D">
        <w:rPr>
          <w:rFonts w:ascii="Times New Roman" w:hAnsi="Times New Roman"/>
          <w:color w:val="000000"/>
          <w:sz w:val="24"/>
          <w:szCs w:val="24"/>
          <w:lang w:eastAsia="en-IN"/>
        </w:rPr>
        <w:t>Ismil</w:t>
      </w:r>
      <w:proofErr w:type="spellEnd"/>
      <w:r w:rsidRPr="001E749D">
        <w:rPr>
          <w:rFonts w:ascii="Times New Roman" w:hAnsi="Times New Roman"/>
          <w:color w:val="000000"/>
          <w:sz w:val="24"/>
          <w:szCs w:val="24"/>
          <w:lang w:eastAsia="en-IN"/>
        </w:rPr>
        <w:t xml:space="preserve"> and </w:t>
      </w:r>
      <w:proofErr w:type="spellStart"/>
      <w:r w:rsidRPr="001E749D">
        <w:rPr>
          <w:rFonts w:ascii="Times New Roman" w:hAnsi="Times New Roman"/>
          <w:color w:val="000000"/>
          <w:sz w:val="24"/>
          <w:szCs w:val="24"/>
          <w:lang w:eastAsia="en-IN"/>
        </w:rPr>
        <w:t>Besar</w:t>
      </w:r>
      <w:proofErr w:type="spellEnd"/>
      <w:r w:rsidRPr="001E749D">
        <w:rPr>
          <w:rFonts w:ascii="Times New Roman" w:hAnsi="Times New Roman"/>
          <w:color w:val="000000"/>
          <w:sz w:val="24"/>
          <w:szCs w:val="24"/>
          <w:lang w:eastAsia="en-IN"/>
        </w:rPr>
        <w:t xml:space="preserve"> (2025) found that treatment of wheat seeds with </w:t>
      </w:r>
      <w:r w:rsidRPr="001E749D">
        <w:rPr>
          <w:rFonts w:ascii="Times New Roman" w:hAnsi="Times New Roman"/>
          <w:i/>
          <w:color w:val="000000"/>
          <w:sz w:val="24"/>
          <w:szCs w:val="24"/>
          <w:lang w:eastAsia="en-IN"/>
        </w:rPr>
        <w:t>Allium sativum</w:t>
      </w:r>
      <w:r w:rsidRPr="001E749D">
        <w:rPr>
          <w:rFonts w:ascii="Times New Roman" w:hAnsi="Times New Roman"/>
          <w:color w:val="000000"/>
          <w:sz w:val="24"/>
          <w:szCs w:val="24"/>
          <w:lang w:eastAsia="en-IN"/>
        </w:rPr>
        <w:t xml:space="preserve"> (garlic) extract lowered electrical conductivity values by protecting seeds from pathogen invasion immediately after harvest, thereby maintaining membrane integrity and enhancing seedling vigour. These findings support the role of bioactive-rich botanicals in preserving seed quality and vigour through multifaceted protective mechanisms.</w:t>
      </w:r>
    </w:p>
    <w:p w14:paraId="65C90796" w14:textId="77777777" w:rsidR="00BA3CA5" w:rsidRPr="001E749D" w:rsidRDefault="00BA3CA5" w:rsidP="00BA3CA5">
      <w:pPr>
        <w:spacing w:before="280" w:after="0" w:line="360" w:lineRule="auto"/>
        <w:ind w:firstLine="720"/>
        <w:jc w:val="both"/>
        <w:rPr>
          <w:rFonts w:ascii="Times New Roman" w:hAnsi="Times New Roman"/>
          <w:color w:val="000000"/>
          <w:sz w:val="24"/>
          <w:szCs w:val="24"/>
          <w:lang w:eastAsia="en-IN"/>
        </w:rPr>
      </w:pPr>
      <w:r w:rsidRPr="001E749D">
        <w:rPr>
          <w:rFonts w:ascii="Times New Roman" w:hAnsi="Times New Roman"/>
          <w:color w:val="000000"/>
          <w:sz w:val="24"/>
          <w:szCs w:val="24"/>
          <w:lang w:eastAsia="en-IN"/>
        </w:rPr>
        <w:t xml:space="preserve">The control (untreated) seeds exhibited the highest electrical conductivity, likely due to greater susceptibility to membrane deterioration caused by seed-borne pathogens, pests and abiotic stresses. These results are in line with the findings of Kumar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xml:space="preserve">. (2023) and Dalvi </w:t>
      </w:r>
      <w:r w:rsidRPr="001E749D">
        <w:rPr>
          <w:rFonts w:ascii="Times New Roman" w:hAnsi="Times New Roman"/>
          <w:i/>
          <w:color w:val="000000"/>
          <w:sz w:val="24"/>
          <w:szCs w:val="24"/>
          <w:lang w:eastAsia="en-IN"/>
        </w:rPr>
        <w:t>et al</w:t>
      </w:r>
      <w:r w:rsidRPr="001E749D">
        <w:rPr>
          <w:rFonts w:ascii="Times New Roman" w:hAnsi="Times New Roman"/>
          <w:color w:val="000000"/>
          <w:sz w:val="24"/>
          <w:szCs w:val="24"/>
          <w:lang w:eastAsia="en-IN"/>
        </w:rPr>
        <w:t>. (2020) observed that untreated chickpea and mung bean seeds showed increased electrolyte leakage and reduced seed vigour due to higher post-harvest biotic and abiotic stress.</w:t>
      </w:r>
    </w:p>
    <w:p w14:paraId="6B85FB83" w14:textId="39B95018" w:rsidR="00745ACC" w:rsidRPr="00745ACC" w:rsidRDefault="00745ACC" w:rsidP="00977EEB">
      <w:pPr>
        <w:pStyle w:val="NormalWeb"/>
        <w:numPr>
          <w:ilvl w:val="0"/>
          <w:numId w:val="6"/>
        </w:numPr>
        <w:spacing w:before="280" w:beforeAutospacing="0" w:after="0" w:afterAutospacing="0" w:line="360" w:lineRule="auto"/>
        <w:jc w:val="both"/>
        <w:rPr>
          <w:b/>
          <w:color w:val="000000"/>
        </w:rPr>
      </w:pPr>
      <w:r w:rsidRPr="00745ACC">
        <w:rPr>
          <w:b/>
          <w:color w:val="000000"/>
        </w:rPr>
        <w:t>Conclusion</w:t>
      </w:r>
    </w:p>
    <w:p w14:paraId="65166758" w14:textId="35FD0781" w:rsidR="00745ACC" w:rsidRDefault="00977EEB" w:rsidP="00745ACC">
      <w:pPr>
        <w:pStyle w:val="NormalWeb"/>
        <w:spacing w:before="280" w:beforeAutospacing="0" w:after="0" w:afterAutospacing="0" w:line="360" w:lineRule="auto"/>
        <w:ind w:firstLine="720"/>
        <w:jc w:val="both"/>
      </w:pPr>
      <w:r>
        <w:t>The study revealed that sweet flag (</w:t>
      </w:r>
      <w:proofErr w:type="spellStart"/>
      <w:r w:rsidRPr="00977EEB">
        <w:rPr>
          <w:i/>
        </w:rPr>
        <w:t>Acorus</w:t>
      </w:r>
      <w:proofErr w:type="spellEnd"/>
      <w:r w:rsidRPr="00977EEB">
        <w:rPr>
          <w:i/>
        </w:rPr>
        <w:t xml:space="preserve"> calamus</w:t>
      </w:r>
      <w:r>
        <w:t>) rhizome treatments significantly enhanced the seed quality parameters of field bean. Seeds were treated with different concentrations of sweet flag rhizome powder and oil before sowing and after harvest, the seeds obtained from each treatment were subjected to laboratory evaluation for seed quality parameters. Among the treatments, rhizome powder at 15 g/kg (T</w:t>
      </w:r>
      <w:r w:rsidRPr="00977EEB">
        <w:rPr>
          <w:vertAlign w:val="subscript"/>
        </w:rPr>
        <w:t>4</w:t>
      </w:r>
      <w:r>
        <w:t>) proved most effective, followed by 10 g/kg (T</w:t>
      </w:r>
      <w:r w:rsidRPr="00977EEB">
        <w:rPr>
          <w:vertAlign w:val="subscript"/>
        </w:rPr>
        <w:t>3</w:t>
      </w:r>
      <w:r>
        <w:t>), showing superior results in germination percentage, speed of germination, shoot length, root length, seedling length, seedling dry weight, seedling vigour index-I and II, and lower electrical conductivity. The improvement in seed quality may be attributed to the bioactive compounds present in the sweet flag rhizome, which enhanced seed metabolism, maintained membrane stability, and reduced seed-borne infection. Hence, sweet flag rhizome formulations can be recommended as sustainable and eco-friendly alternatives to chemical seed treatments for improving seed vigour and quality in field bean cultivation.</w:t>
      </w:r>
    </w:p>
    <w:p w14:paraId="4715AFD0" w14:textId="26069123" w:rsidR="000D36D0" w:rsidRDefault="000D36D0" w:rsidP="00745ACC">
      <w:pPr>
        <w:pStyle w:val="NormalWeb"/>
        <w:spacing w:before="280" w:beforeAutospacing="0" w:after="0" w:afterAutospacing="0" w:line="360" w:lineRule="auto"/>
        <w:ind w:firstLine="720"/>
        <w:jc w:val="both"/>
        <w:rPr>
          <w:color w:val="000000"/>
        </w:rPr>
      </w:pPr>
    </w:p>
    <w:p w14:paraId="64FAA5A2" w14:textId="71A2494D" w:rsidR="000D36D0" w:rsidRDefault="000D36D0" w:rsidP="00745ACC">
      <w:pPr>
        <w:pStyle w:val="NormalWeb"/>
        <w:spacing w:before="280" w:beforeAutospacing="0" w:after="0" w:afterAutospacing="0" w:line="360" w:lineRule="auto"/>
        <w:ind w:firstLine="720"/>
        <w:jc w:val="both"/>
        <w:rPr>
          <w:color w:val="000000"/>
        </w:rPr>
      </w:pPr>
    </w:p>
    <w:p w14:paraId="79E30176" w14:textId="14BBFAB0" w:rsidR="002F5205" w:rsidRDefault="002F5205" w:rsidP="00745ACC">
      <w:pPr>
        <w:pStyle w:val="NormalWeb"/>
        <w:spacing w:before="280" w:beforeAutospacing="0" w:after="0" w:afterAutospacing="0" w:line="360" w:lineRule="auto"/>
        <w:ind w:firstLine="720"/>
        <w:jc w:val="both"/>
        <w:rPr>
          <w:color w:val="000000"/>
        </w:rPr>
      </w:pPr>
    </w:p>
    <w:p w14:paraId="72E7C62C" w14:textId="77777777" w:rsidR="00130604" w:rsidRDefault="00130604" w:rsidP="002F5205">
      <w:pPr>
        <w:rPr>
          <w:rFonts w:ascii="Calibri" w:eastAsia="Calibri" w:hAnsi="Calibri" w:cs="Times New Roman"/>
          <w:kern w:val="2"/>
          <w:lang w:val="en-US"/>
        </w:rPr>
      </w:pPr>
      <w:bookmarkStart w:id="7" w:name="_Hlk197682619"/>
      <w:bookmarkStart w:id="8" w:name="_Hlk180402183"/>
      <w:bookmarkStart w:id="9" w:name="_Hlk183680988"/>
      <w:bookmarkStart w:id="10" w:name="_Hlk197351200"/>
      <w:r w:rsidRPr="00130604">
        <w:rPr>
          <w:rFonts w:ascii="Calibri" w:eastAsia="Calibri" w:hAnsi="Calibri" w:cs="Times New Roman"/>
          <w:kern w:val="2"/>
          <w:lang w:val="en-US"/>
        </w:rPr>
        <w:t>Disclaimer (Artificial intelligence)</w:t>
      </w:r>
      <w:r>
        <w:rPr>
          <w:rFonts w:ascii="Calibri" w:eastAsia="Calibri" w:hAnsi="Calibri" w:cs="Times New Roman"/>
          <w:kern w:val="2"/>
          <w:lang w:val="en-US"/>
        </w:rPr>
        <w:t>:</w:t>
      </w:r>
    </w:p>
    <w:p w14:paraId="56F0F526" w14:textId="667AED52" w:rsidR="002F5205" w:rsidRPr="009C5487" w:rsidRDefault="002F5205" w:rsidP="002F520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F9A2BF" w14:textId="77777777" w:rsidR="002F5205" w:rsidRPr="009C5487" w:rsidRDefault="002F5205" w:rsidP="002F520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0A8CFE4B" w14:textId="22899C43" w:rsidR="002F5205" w:rsidRPr="003171FF" w:rsidRDefault="002F5205" w:rsidP="003171FF">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r w:rsidR="003171FF">
        <w:rPr>
          <w:rFonts w:ascii="Calibri" w:eastAsia="Calibri" w:hAnsi="Calibri" w:cs="Times New Roman"/>
          <w:kern w:val="2"/>
          <w:highlight w:val="yellow"/>
          <w:lang w:val="en-US"/>
        </w:rPr>
        <w:t xml:space="preserve"> Chat </w:t>
      </w:r>
      <w:proofErr w:type="spellStart"/>
      <w:r w:rsidR="003171FF">
        <w:rPr>
          <w:rFonts w:ascii="Calibri" w:eastAsia="Calibri" w:hAnsi="Calibri" w:cs="Times New Roman"/>
          <w:kern w:val="2"/>
          <w:highlight w:val="yellow"/>
          <w:lang w:val="en-US"/>
        </w:rPr>
        <w:t>gpt</w:t>
      </w:r>
      <w:bookmarkEnd w:id="7"/>
      <w:bookmarkEnd w:id="8"/>
      <w:bookmarkEnd w:id="9"/>
      <w:bookmarkEnd w:id="10"/>
      <w:proofErr w:type="spellEnd"/>
      <w:r w:rsidR="003171FF">
        <w:rPr>
          <w:rFonts w:ascii="Calibri" w:eastAsia="Calibri" w:hAnsi="Calibri" w:cs="Times New Roman"/>
          <w:kern w:val="2"/>
          <w:highlight w:val="yellow"/>
          <w:lang w:val="en-US"/>
        </w:rPr>
        <w:t xml:space="preserve"> (for grammar corrections)</w:t>
      </w:r>
    </w:p>
    <w:p w14:paraId="70B0983F" w14:textId="77777777" w:rsidR="00BA3CA5" w:rsidRDefault="00BA3CA5"/>
    <w:p w14:paraId="76B7CDDB" w14:textId="6D0B305F" w:rsidR="00833583" w:rsidRPr="0005285E" w:rsidRDefault="00745ACC" w:rsidP="0005285E">
      <w:pPr>
        <w:pStyle w:val="ListParagraph"/>
        <w:numPr>
          <w:ilvl w:val="0"/>
          <w:numId w:val="6"/>
        </w:numPr>
        <w:spacing w:after="0" w:line="360" w:lineRule="auto"/>
        <w:rPr>
          <w:rFonts w:ascii="Times New Roman" w:hAnsi="Times New Roman"/>
          <w:b/>
          <w:color w:val="000000"/>
        </w:rPr>
      </w:pPr>
      <w:r w:rsidRPr="0005285E">
        <w:rPr>
          <w:rFonts w:ascii="Times New Roman" w:hAnsi="Times New Roman"/>
          <w:b/>
          <w:color w:val="000000"/>
        </w:rPr>
        <w:t>REFERENCES</w:t>
      </w:r>
    </w:p>
    <w:p w14:paraId="6D1B8E7C" w14:textId="77777777" w:rsidR="000D36D0" w:rsidRDefault="000D36D0" w:rsidP="000D36D0">
      <w:pPr>
        <w:pStyle w:val="NormalWeb"/>
        <w:spacing w:line="360" w:lineRule="auto"/>
        <w:ind w:left="720" w:hanging="720"/>
        <w:jc w:val="both"/>
      </w:pPr>
      <w:r>
        <w:t>Abdul-</w:t>
      </w:r>
      <w:proofErr w:type="spellStart"/>
      <w:r>
        <w:t>Baki</w:t>
      </w:r>
      <w:proofErr w:type="spellEnd"/>
      <w:r>
        <w:t xml:space="preserve">, A. A., &amp; Anderson, J. D. (1973). Vigour determination by multiple criteria. </w:t>
      </w:r>
      <w:r>
        <w:rPr>
          <w:rStyle w:val="Emphasis"/>
        </w:rPr>
        <w:t>Crop Science, 13</w:t>
      </w:r>
      <w:r>
        <w:t>(2), 630–637.</w:t>
      </w:r>
    </w:p>
    <w:p w14:paraId="55362076" w14:textId="77777777" w:rsidR="000D36D0" w:rsidRDefault="000D36D0" w:rsidP="000D36D0">
      <w:pPr>
        <w:pStyle w:val="NormalWeb"/>
        <w:spacing w:line="360" w:lineRule="auto"/>
        <w:ind w:left="720" w:hanging="720"/>
        <w:jc w:val="both"/>
      </w:pPr>
      <w:r>
        <w:t xml:space="preserve">Anonymous. (2023). Ministry of Agriculture, India. Retrieved from </w:t>
      </w:r>
      <w:hyperlink r:id="rId37" w:tgtFrame="_new" w:history="1">
        <w:r>
          <w:rPr>
            <w:rStyle w:val="Hyperlink"/>
          </w:rPr>
          <w:t>http://www.agriwelfare.gov.in</w:t>
        </w:r>
      </w:hyperlink>
    </w:p>
    <w:p w14:paraId="1888318D" w14:textId="77777777" w:rsidR="000D36D0" w:rsidRDefault="000D36D0" w:rsidP="000D36D0">
      <w:pPr>
        <w:pStyle w:val="NormalWeb"/>
        <w:spacing w:line="360" w:lineRule="auto"/>
        <w:ind w:left="720" w:hanging="720"/>
        <w:jc w:val="both"/>
      </w:pPr>
      <w:proofErr w:type="spellStart"/>
      <w:r>
        <w:t>Aryal</w:t>
      </w:r>
      <w:proofErr w:type="spellEnd"/>
      <w:r>
        <w:t xml:space="preserve">, S., Poudel, A., </w:t>
      </w:r>
      <w:proofErr w:type="spellStart"/>
      <w:r>
        <w:t>Kafle</w:t>
      </w:r>
      <w:proofErr w:type="spellEnd"/>
      <w:r>
        <w:t xml:space="preserve">, K., &amp; </w:t>
      </w:r>
      <w:proofErr w:type="spellStart"/>
      <w:r>
        <w:t>Aryal</w:t>
      </w:r>
      <w:proofErr w:type="spellEnd"/>
      <w:r>
        <w:t xml:space="preserve">, L. N. (2023). Insecticidal toxicity of essential oil of Nepalese </w:t>
      </w:r>
      <w:proofErr w:type="spellStart"/>
      <w:r>
        <w:rPr>
          <w:rStyle w:val="Emphasis"/>
        </w:rPr>
        <w:t>Acorus</w:t>
      </w:r>
      <w:proofErr w:type="spellEnd"/>
      <w:r>
        <w:rPr>
          <w:rStyle w:val="Emphasis"/>
        </w:rPr>
        <w:t xml:space="preserve"> calamus</w:t>
      </w:r>
      <w:r>
        <w:t xml:space="preserve"> (</w:t>
      </w:r>
      <w:proofErr w:type="spellStart"/>
      <w:r>
        <w:t>Acorales</w:t>
      </w:r>
      <w:proofErr w:type="spellEnd"/>
      <w:r>
        <w:t xml:space="preserve">: </w:t>
      </w:r>
      <w:proofErr w:type="spellStart"/>
      <w:r>
        <w:t>Acoraceae</w:t>
      </w:r>
      <w:proofErr w:type="spellEnd"/>
      <w:r>
        <w:t xml:space="preserve">) against </w:t>
      </w:r>
      <w:r>
        <w:rPr>
          <w:rStyle w:val="Emphasis"/>
        </w:rPr>
        <w:t xml:space="preserve">Sitophilus </w:t>
      </w:r>
      <w:proofErr w:type="spellStart"/>
      <w:r>
        <w:rPr>
          <w:rStyle w:val="Emphasis"/>
        </w:rPr>
        <w:t>zeamais</w:t>
      </w:r>
      <w:proofErr w:type="spellEnd"/>
      <w:r>
        <w:t xml:space="preserve"> (Coleoptera: Curculionidae). </w:t>
      </w:r>
      <w:proofErr w:type="spellStart"/>
      <w:r>
        <w:rPr>
          <w:rStyle w:val="Emphasis"/>
        </w:rPr>
        <w:t>Heliyon</w:t>
      </w:r>
      <w:proofErr w:type="spellEnd"/>
      <w:r>
        <w:rPr>
          <w:rStyle w:val="Emphasis"/>
        </w:rPr>
        <w:t>, 9</w:t>
      </w:r>
      <w:r>
        <w:t>(11).</w:t>
      </w:r>
    </w:p>
    <w:p w14:paraId="3BE1AA2A" w14:textId="77777777" w:rsidR="000D36D0" w:rsidRDefault="000D36D0" w:rsidP="000D36D0">
      <w:pPr>
        <w:pStyle w:val="NormalWeb"/>
        <w:spacing w:line="360" w:lineRule="auto"/>
        <w:ind w:left="720" w:hanging="720"/>
        <w:jc w:val="both"/>
      </w:pPr>
      <w:r>
        <w:t xml:space="preserve">Bai, S. K., Kulkarni, L. R., </w:t>
      </w:r>
      <w:proofErr w:type="spellStart"/>
      <w:r>
        <w:t>Keshavareddy</w:t>
      </w:r>
      <w:proofErr w:type="spellEnd"/>
      <w:r>
        <w:t xml:space="preserve">, G., Nagaraj, K. H., &amp; </w:t>
      </w:r>
      <w:proofErr w:type="spellStart"/>
      <w:r>
        <w:t>Ranganath</w:t>
      </w:r>
      <w:proofErr w:type="spellEnd"/>
      <w:r>
        <w:t xml:space="preserve">, S. C. (2020). Impact assessment of frontline demonstrations on field bean grown under rainfed and irrigated condition in Karnataka. </w:t>
      </w:r>
      <w:r>
        <w:rPr>
          <w:rStyle w:val="Emphasis"/>
        </w:rPr>
        <w:t>Mysore Journal of Agricultural Sciences, 54</w:t>
      </w:r>
      <w:r>
        <w:t>(1).</w:t>
      </w:r>
    </w:p>
    <w:p w14:paraId="5B49F316" w14:textId="77777777" w:rsidR="000D36D0" w:rsidRDefault="000D36D0" w:rsidP="000D36D0">
      <w:pPr>
        <w:pStyle w:val="NormalWeb"/>
        <w:spacing w:line="360" w:lineRule="auto"/>
        <w:ind w:left="720" w:hanging="720"/>
        <w:jc w:val="both"/>
      </w:pPr>
      <w:r>
        <w:t>Basra, S. M. A., Iftikhar, M. N., &amp; Afzal, I. (2011). Potential of moringa (</w:t>
      </w:r>
      <w:r>
        <w:rPr>
          <w:rStyle w:val="Emphasis"/>
        </w:rPr>
        <w:t>Moringa oleifera</w:t>
      </w:r>
      <w:r>
        <w:t xml:space="preserve">) leaf extract as priming agent for hybrid maize seeds. </w:t>
      </w:r>
      <w:r>
        <w:rPr>
          <w:rStyle w:val="Emphasis"/>
        </w:rPr>
        <w:t>International Journal of Agriculture and Biology, 13</w:t>
      </w:r>
      <w:r>
        <w:t>(6).</w:t>
      </w:r>
    </w:p>
    <w:p w14:paraId="3EFF6710" w14:textId="77777777" w:rsidR="000D36D0" w:rsidRDefault="000D36D0" w:rsidP="000D36D0">
      <w:pPr>
        <w:pStyle w:val="NormalWeb"/>
        <w:spacing w:line="360" w:lineRule="auto"/>
        <w:ind w:left="720" w:hanging="720"/>
        <w:jc w:val="both"/>
      </w:pPr>
      <w:proofErr w:type="spellStart"/>
      <w:r>
        <w:t>Chandel</w:t>
      </w:r>
      <w:proofErr w:type="spellEnd"/>
      <w:r>
        <w:t>, S., &amp; Kumar, V. (2017). Effect of plant extracts as pre-storage seed treatment on storage fungi, germination percentage and seedling vigour of pea (</w:t>
      </w:r>
      <w:r>
        <w:rPr>
          <w:rStyle w:val="Emphasis"/>
        </w:rPr>
        <w:t>Pisum sativum</w:t>
      </w:r>
      <w:r>
        <w:t xml:space="preserve">). </w:t>
      </w:r>
      <w:r>
        <w:rPr>
          <w:rStyle w:val="Emphasis"/>
        </w:rPr>
        <w:t>Indian Journal of Agricultural Sciences, 87</w:t>
      </w:r>
      <w:r>
        <w:t>(11), 1476–1481.</w:t>
      </w:r>
    </w:p>
    <w:p w14:paraId="6721A302" w14:textId="77777777" w:rsidR="000D36D0" w:rsidRDefault="000D36D0" w:rsidP="000D36D0">
      <w:pPr>
        <w:pStyle w:val="NormalWeb"/>
        <w:spacing w:line="360" w:lineRule="auto"/>
        <w:ind w:left="720" w:hanging="720"/>
        <w:jc w:val="both"/>
      </w:pPr>
      <w:r>
        <w:lastRenderedPageBreak/>
        <w:t xml:space="preserve">Dalvi, D. G., </w:t>
      </w:r>
      <w:proofErr w:type="spellStart"/>
      <w:r>
        <w:t>Kardile</w:t>
      </w:r>
      <w:proofErr w:type="spellEnd"/>
      <w:r>
        <w:t xml:space="preserve">, P. B., &amp; </w:t>
      </w:r>
      <w:proofErr w:type="spellStart"/>
      <w:r>
        <w:t>Pawar</w:t>
      </w:r>
      <w:proofErr w:type="spellEnd"/>
      <w:r>
        <w:t>, Y. (2020). Effect of seed priming and foliar spray of bio-agents on quality seed production in chickpea (</w:t>
      </w:r>
      <w:proofErr w:type="spellStart"/>
      <w:r>
        <w:rPr>
          <w:rStyle w:val="Emphasis"/>
        </w:rPr>
        <w:t>Cicer</w:t>
      </w:r>
      <w:proofErr w:type="spellEnd"/>
      <w:r>
        <w:rPr>
          <w:rStyle w:val="Emphasis"/>
        </w:rPr>
        <w:t xml:space="preserve"> arietinum</w:t>
      </w:r>
      <w:r>
        <w:t xml:space="preserve"> L.). </w:t>
      </w:r>
      <w:r>
        <w:rPr>
          <w:rStyle w:val="Emphasis"/>
        </w:rPr>
        <w:t>Journal of Pharmacognosy and Phytochemistry, 4</w:t>
      </w:r>
      <w:r>
        <w:t>, 2–6.</w:t>
      </w:r>
    </w:p>
    <w:p w14:paraId="10776789" w14:textId="77777777" w:rsidR="000D36D0" w:rsidRDefault="000D36D0" w:rsidP="000D36D0">
      <w:pPr>
        <w:pStyle w:val="NormalWeb"/>
        <w:spacing w:line="360" w:lineRule="auto"/>
        <w:ind w:left="720" w:hanging="720"/>
        <w:jc w:val="both"/>
      </w:pPr>
      <w:proofErr w:type="spellStart"/>
      <w:r>
        <w:t>Dutt</w:t>
      </w:r>
      <w:proofErr w:type="spellEnd"/>
      <w:r>
        <w:t xml:space="preserve">, B., &amp; Kumar, R. (2025). An ethnopharmacological review on the antibacterial, antifungal and therapeutic potentials of </w:t>
      </w:r>
      <w:proofErr w:type="spellStart"/>
      <w:r>
        <w:rPr>
          <w:rStyle w:val="Emphasis"/>
        </w:rPr>
        <w:t>Acorus</w:t>
      </w:r>
      <w:proofErr w:type="spellEnd"/>
      <w:r>
        <w:rPr>
          <w:rStyle w:val="Emphasis"/>
        </w:rPr>
        <w:t xml:space="preserve"> calamus</w:t>
      </w:r>
      <w:r>
        <w:t xml:space="preserve"> Linn. </w:t>
      </w:r>
      <w:r>
        <w:rPr>
          <w:rStyle w:val="Emphasis"/>
        </w:rPr>
        <w:t>European Journal of Medicinal Plants, 36</w:t>
      </w:r>
      <w:r>
        <w:t>(2), 98–105.</w:t>
      </w:r>
    </w:p>
    <w:p w14:paraId="4FCBA426" w14:textId="77777777" w:rsidR="000D36D0" w:rsidRDefault="000D36D0" w:rsidP="000D36D0">
      <w:pPr>
        <w:pStyle w:val="NormalWeb"/>
        <w:spacing w:line="360" w:lineRule="auto"/>
        <w:ind w:left="720" w:hanging="720"/>
        <w:jc w:val="both"/>
      </w:pPr>
      <w:r>
        <w:t>El-</w:t>
      </w:r>
      <w:proofErr w:type="spellStart"/>
      <w:r>
        <w:t>Gammal</w:t>
      </w:r>
      <w:proofErr w:type="spellEnd"/>
      <w:r>
        <w:t>, Y. H., El-</w:t>
      </w:r>
      <w:proofErr w:type="spellStart"/>
      <w:r>
        <w:t>Blasy</w:t>
      </w:r>
      <w:proofErr w:type="spellEnd"/>
      <w:r>
        <w:t>, S. A., Khalifa, N. A., Abu El-</w:t>
      </w:r>
      <w:proofErr w:type="spellStart"/>
      <w:r>
        <w:t>Maaty</w:t>
      </w:r>
      <w:proofErr w:type="spellEnd"/>
      <w:r>
        <w:t xml:space="preserve">, S., &amp; </w:t>
      </w:r>
      <w:proofErr w:type="spellStart"/>
      <w:r>
        <w:t>Awaly</w:t>
      </w:r>
      <w:proofErr w:type="spellEnd"/>
      <w:r>
        <w:t xml:space="preserve">, S. B. (2025). Efficacy of biocontrol agents against damping-off and </w:t>
      </w:r>
      <w:proofErr w:type="spellStart"/>
      <w:r>
        <w:rPr>
          <w:rStyle w:val="Emphasis"/>
        </w:rPr>
        <w:t>Sclerotinia</w:t>
      </w:r>
      <w:proofErr w:type="spellEnd"/>
      <w:r>
        <w:t xml:space="preserve"> stem rot diseases and their role in eliciting </w:t>
      </w:r>
      <w:proofErr w:type="spellStart"/>
      <w:r>
        <w:t>defense</w:t>
      </w:r>
      <w:proofErr w:type="spellEnd"/>
      <w:r>
        <w:t xml:space="preserve"> in chickpea plants. </w:t>
      </w:r>
      <w:r>
        <w:rPr>
          <w:rStyle w:val="Emphasis"/>
        </w:rPr>
        <w:t>Egyptian Journal of Biological Pest Control, 35</w:t>
      </w:r>
      <w:r>
        <w:t>(1), 5.</w:t>
      </w:r>
    </w:p>
    <w:p w14:paraId="5265142E" w14:textId="77777777" w:rsidR="000D36D0" w:rsidRDefault="000D36D0" w:rsidP="000D36D0">
      <w:pPr>
        <w:pStyle w:val="NormalWeb"/>
        <w:spacing w:line="360" w:lineRule="auto"/>
        <w:ind w:left="720" w:hanging="720"/>
        <w:jc w:val="both"/>
      </w:pPr>
      <w:r>
        <w:t xml:space="preserve">Ghosh, A., Das, R., Mohanty, J. P., &amp; Roy, S. (2025). An updated review on therapeutic and phytochemical profiling of </w:t>
      </w:r>
      <w:proofErr w:type="spellStart"/>
      <w:r>
        <w:rPr>
          <w:rStyle w:val="Emphasis"/>
        </w:rPr>
        <w:t>Acorus</w:t>
      </w:r>
      <w:proofErr w:type="spellEnd"/>
      <w:r>
        <w:rPr>
          <w:rStyle w:val="Emphasis"/>
        </w:rPr>
        <w:t xml:space="preserve"> calamus</w:t>
      </w:r>
      <w:r>
        <w:t xml:space="preserve"> Linn. A natural remedy explored. </w:t>
      </w:r>
      <w:r>
        <w:rPr>
          <w:rStyle w:val="Emphasis"/>
        </w:rPr>
        <w:t>Journal of Pharmacognosy and Phytochemistry, 14</w:t>
      </w:r>
      <w:r>
        <w:t>(3), 738–746.</w:t>
      </w:r>
    </w:p>
    <w:p w14:paraId="0AC40267" w14:textId="77777777" w:rsidR="000D36D0" w:rsidRDefault="000D36D0" w:rsidP="000D36D0">
      <w:pPr>
        <w:pStyle w:val="NormalWeb"/>
        <w:spacing w:line="360" w:lineRule="auto"/>
        <w:ind w:left="720" w:hanging="720"/>
        <w:jc w:val="both"/>
      </w:pPr>
      <w:proofErr w:type="spellStart"/>
      <w:r>
        <w:t>Ismil</w:t>
      </w:r>
      <w:proofErr w:type="spellEnd"/>
      <w:r>
        <w:t xml:space="preserve">, R., &amp; Ali </w:t>
      </w:r>
      <w:proofErr w:type="spellStart"/>
      <w:r>
        <w:t>Besar</w:t>
      </w:r>
      <w:proofErr w:type="spellEnd"/>
      <w:r>
        <w:t xml:space="preserve">, N. (2025). Therapeutic, cosmetic and agricultural applications of </w:t>
      </w:r>
      <w:r>
        <w:rPr>
          <w:rStyle w:val="Emphasis"/>
        </w:rPr>
        <w:t>Allium sativum</w:t>
      </w:r>
      <w:r>
        <w:t xml:space="preserve"> L. (garlic) and </w:t>
      </w:r>
      <w:r>
        <w:rPr>
          <w:rStyle w:val="Emphasis"/>
        </w:rPr>
        <w:t xml:space="preserve">Allium </w:t>
      </w:r>
      <w:proofErr w:type="spellStart"/>
      <w:r>
        <w:rPr>
          <w:rStyle w:val="Emphasis"/>
        </w:rPr>
        <w:t>cepa</w:t>
      </w:r>
      <w:proofErr w:type="spellEnd"/>
      <w:r>
        <w:t xml:space="preserve"> L. (onion): A review. </w:t>
      </w:r>
      <w:r>
        <w:rPr>
          <w:rStyle w:val="Emphasis"/>
        </w:rPr>
        <w:t>Egyptian Journal of Botany, 65</w:t>
      </w:r>
      <w:r>
        <w:t>(1), 303–310.</w:t>
      </w:r>
    </w:p>
    <w:p w14:paraId="1C9CED28" w14:textId="77777777" w:rsidR="000D36D0" w:rsidRDefault="000D36D0" w:rsidP="000D36D0">
      <w:pPr>
        <w:pStyle w:val="NormalWeb"/>
        <w:spacing w:line="360" w:lineRule="auto"/>
        <w:ind w:left="720" w:hanging="720"/>
        <w:jc w:val="both"/>
      </w:pPr>
      <w:proofErr w:type="spellStart"/>
      <w:r>
        <w:t>Krishnasamy</w:t>
      </w:r>
      <w:proofErr w:type="spellEnd"/>
      <w:r>
        <w:t xml:space="preserve">, R., &amp; </w:t>
      </w:r>
      <w:proofErr w:type="spellStart"/>
      <w:r>
        <w:t>Obbineri</w:t>
      </w:r>
      <w:proofErr w:type="spellEnd"/>
      <w:r>
        <w:t xml:space="preserve">, J. M. (2025). </w:t>
      </w:r>
      <w:proofErr w:type="spellStart"/>
      <w:r>
        <w:t>Phytopriming</w:t>
      </w:r>
      <w:proofErr w:type="spellEnd"/>
      <w:r>
        <w:t xml:space="preserve"> of </w:t>
      </w:r>
      <w:r>
        <w:rPr>
          <w:rStyle w:val="Emphasis"/>
        </w:rPr>
        <w:t>Vigna mungo</w:t>
      </w:r>
      <w:r>
        <w:t xml:space="preserve"> (L.) Hepper (black gram) seeds using aqueous extracts of </w:t>
      </w:r>
      <w:r>
        <w:rPr>
          <w:rStyle w:val="Emphasis"/>
        </w:rPr>
        <w:t>Moringa oleifera</w:t>
      </w:r>
      <w:r>
        <w:t xml:space="preserve"> Lam., </w:t>
      </w:r>
      <w:proofErr w:type="spellStart"/>
      <w:r>
        <w:rPr>
          <w:rStyle w:val="Emphasis"/>
        </w:rPr>
        <w:t>Gliricidia</w:t>
      </w:r>
      <w:proofErr w:type="spellEnd"/>
      <w:r>
        <w:rPr>
          <w:rStyle w:val="Emphasis"/>
        </w:rPr>
        <w:t xml:space="preserve"> </w:t>
      </w:r>
      <w:proofErr w:type="spellStart"/>
      <w:r>
        <w:rPr>
          <w:rStyle w:val="Emphasis"/>
        </w:rPr>
        <w:t>sepium</w:t>
      </w:r>
      <w:proofErr w:type="spellEnd"/>
      <w:r>
        <w:t xml:space="preserve"> (Jacq.) </w:t>
      </w:r>
      <w:proofErr w:type="spellStart"/>
      <w:r>
        <w:t>Walp</w:t>
      </w:r>
      <w:proofErr w:type="spellEnd"/>
      <w:r>
        <w:t xml:space="preserve">. and </w:t>
      </w:r>
      <w:proofErr w:type="spellStart"/>
      <w:r>
        <w:rPr>
          <w:rStyle w:val="Emphasis"/>
        </w:rPr>
        <w:t>Pongamia</w:t>
      </w:r>
      <w:proofErr w:type="spellEnd"/>
      <w:r>
        <w:rPr>
          <w:rStyle w:val="Emphasis"/>
        </w:rPr>
        <w:t xml:space="preserve"> </w:t>
      </w:r>
      <w:proofErr w:type="spellStart"/>
      <w:r>
        <w:rPr>
          <w:rStyle w:val="Emphasis"/>
        </w:rPr>
        <w:t>pinnata</w:t>
      </w:r>
      <w:proofErr w:type="spellEnd"/>
      <w:r>
        <w:t xml:space="preserve"> (L.) Pierre improves seedling emergence, growth and yield. </w:t>
      </w:r>
      <w:r>
        <w:rPr>
          <w:rStyle w:val="Emphasis"/>
        </w:rPr>
        <w:t>Indian Journal of Agricultural Research, 59</w:t>
      </w:r>
      <w:r>
        <w:t>(4), 545–552.</w:t>
      </w:r>
    </w:p>
    <w:p w14:paraId="4B42D2CD" w14:textId="77777777" w:rsidR="000D36D0" w:rsidRDefault="000D36D0" w:rsidP="000D36D0">
      <w:pPr>
        <w:pStyle w:val="NormalWeb"/>
        <w:spacing w:line="360" w:lineRule="auto"/>
        <w:ind w:left="720" w:hanging="720"/>
        <w:jc w:val="both"/>
      </w:pPr>
      <w:r>
        <w:t xml:space="preserve">Kumar, R., </w:t>
      </w:r>
      <w:proofErr w:type="spellStart"/>
      <w:r>
        <w:t>Mor</w:t>
      </w:r>
      <w:proofErr w:type="spellEnd"/>
      <w:r>
        <w:t xml:space="preserve">, V. S., </w:t>
      </w:r>
      <w:proofErr w:type="spellStart"/>
      <w:r>
        <w:t>Bhuker</w:t>
      </w:r>
      <w:proofErr w:type="spellEnd"/>
      <w:r>
        <w:t xml:space="preserve">, A., </w:t>
      </w:r>
      <w:proofErr w:type="spellStart"/>
      <w:r>
        <w:t>Tanwar</w:t>
      </w:r>
      <w:proofErr w:type="spellEnd"/>
      <w:r>
        <w:t>, H., &amp; Singh, G. (2023). Exploring the relationship between organic seed treatments and storage period on seed quality of mung bean (</w:t>
      </w:r>
      <w:r>
        <w:rPr>
          <w:rStyle w:val="Emphasis"/>
        </w:rPr>
        <w:t>Vigna radiata</w:t>
      </w:r>
      <w:r>
        <w:t xml:space="preserve"> L.). </w:t>
      </w:r>
      <w:r>
        <w:rPr>
          <w:rStyle w:val="Emphasis"/>
        </w:rPr>
        <w:t>Journal of Food Legumes, 36</w:t>
      </w:r>
      <w:r>
        <w:t>(1), 59–65.</w:t>
      </w:r>
    </w:p>
    <w:p w14:paraId="5D9DCFF2" w14:textId="77777777" w:rsidR="000D36D0" w:rsidRDefault="000D36D0" w:rsidP="000D36D0">
      <w:pPr>
        <w:pStyle w:val="NormalWeb"/>
        <w:spacing w:line="360" w:lineRule="auto"/>
        <w:ind w:left="720" w:hanging="720"/>
        <w:jc w:val="both"/>
      </w:pPr>
      <w:r>
        <w:t>Lokesh, G. B. (2004). Sweet flag (</w:t>
      </w:r>
      <w:proofErr w:type="spellStart"/>
      <w:r>
        <w:rPr>
          <w:rStyle w:val="Emphasis"/>
        </w:rPr>
        <w:t>Acorus</w:t>
      </w:r>
      <w:proofErr w:type="spellEnd"/>
      <w:r>
        <w:rPr>
          <w:rStyle w:val="Emphasis"/>
        </w:rPr>
        <w:t xml:space="preserve"> calamus</w:t>
      </w:r>
      <w:r>
        <w:t xml:space="preserve">)—Cultivation and economics aspects. </w:t>
      </w:r>
      <w:r>
        <w:rPr>
          <w:rStyle w:val="Emphasis"/>
        </w:rPr>
        <w:t>Indian Journal of Natural Products Research, 3</w:t>
      </w:r>
      <w:r>
        <w:t>(1), 19–21.</w:t>
      </w:r>
    </w:p>
    <w:p w14:paraId="0A3F7014" w14:textId="77777777" w:rsidR="000D36D0" w:rsidRDefault="000D36D0" w:rsidP="000D36D0">
      <w:pPr>
        <w:pStyle w:val="NormalWeb"/>
        <w:spacing w:line="360" w:lineRule="auto"/>
        <w:ind w:left="720" w:hanging="720"/>
        <w:jc w:val="both"/>
      </w:pPr>
      <w:r>
        <w:t xml:space="preserve">Maguire, J. D. (1962). Speed of germination aid in selection and evaluation of seedling emergence and vigour. </w:t>
      </w:r>
      <w:r>
        <w:rPr>
          <w:rStyle w:val="Emphasis"/>
        </w:rPr>
        <w:t>Crop Science, 2</w:t>
      </w:r>
      <w:r>
        <w:t>, 176–177.</w:t>
      </w:r>
    </w:p>
    <w:p w14:paraId="3EBB57BA" w14:textId="77777777" w:rsidR="000D36D0" w:rsidRDefault="000D36D0" w:rsidP="000D36D0">
      <w:pPr>
        <w:pStyle w:val="NormalWeb"/>
        <w:spacing w:line="360" w:lineRule="auto"/>
        <w:ind w:left="720" w:hanging="720"/>
        <w:jc w:val="both"/>
      </w:pPr>
      <w:proofErr w:type="spellStart"/>
      <w:r>
        <w:lastRenderedPageBreak/>
        <w:t>Nivethadevi</w:t>
      </w:r>
      <w:proofErr w:type="spellEnd"/>
      <w:r>
        <w:t xml:space="preserve">, P., Swaminathan, C., Kannan, P., &amp; </w:t>
      </w:r>
      <w:proofErr w:type="spellStart"/>
      <w:r>
        <w:t>Tamilselvi</w:t>
      </w:r>
      <w:proofErr w:type="spellEnd"/>
      <w:r>
        <w:t xml:space="preserve">, E. (2022). Seed fortification and foliar spraying with </w:t>
      </w:r>
      <w:r>
        <w:rPr>
          <w:rStyle w:val="Emphasis"/>
        </w:rPr>
        <w:t>Moringa oleifera</w:t>
      </w:r>
      <w:r>
        <w:t xml:space="preserve"> leaf extract enhances yield and yield attributes in black gram [</w:t>
      </w:r>
      <w:r>
        <w:rPr>
          <w:rStyle w:val="Emphasis"/>
        </w:rPr>
        <w:t>Vigna mungo</w:t>
      </w:r>
      <w:r>
        <w:t xml:space="preserve"> (L.) Hepper]. </w:t>
      </w:r>
      <w:r>
        <w:rPr>
          <w:rStyle w:val="Emphasis"/>
        </w:rPr>
        <w:t>Legume Research, 45</w:t>
      </w:r>
      <w:r>
        <w:t>(3), 352–356.</w:t>
      </w:r>
    </w:p>
    <w:p w14:paraId="342157B5" w14:textId="77777777" w:rsidR="000D36D0" w:rsidRDefault="000D36D0" w:rsidP="000D36D0">
      <w:pPr>
        <w:pStyle w:val="NormalWeb"/>
        <w:spacing w:line="360" w:lineRule="auto"/>
        <w:ind w:left="720" w:hanging="720"/>
        <w:jc w:val="both"/>
      </w:pPr>
      <w:proofErr w:type="spellStart"/>
      <w:r>
        <w:t>Paikaray</w:t>
      </w:r>
      <w:proofErr w:type="spellEnd"/>
      <w:r>
        <w:t xml:space="preserve">, S. S., </w:t>
      </w:r>
      <w:proofErr w:type="spellStart"/>
      <w:r>
        <w:t>Satapathy</w:t>
      </w:r>
      <w:proofErr w:type="spellEnd"/>
      <w:r>
        <w:t xml:space="preserve">, S. N., &amp; Sahoo, B. K. (2022). Estimation of yield loss due to pulse beetle, </w:t>
      </w:r>
      <w:proofErr w:type="spellStart"/>
      <w:r>
        <w:rPr>
          <w:rStyle w:val="Emphasis"/>
        </w:rPr>
        <w:t>Callosobruchus</w:t>
      </w:r>
      <w:proofErr w:type="spellEnd"/>
      <w:r>
        <w:rPr>
          <w:rStyle w:val="Emphasis"/>
        </w:rPr>
        <w:t xml:space="preserve"> </w:t>
      </w:r>
      <w:proofErr w:type="spellStart"/>
      <w:r>
        <w:rPr>
          <w:rStyle w:val="Emphasis"/>
        </w:rPr>
        <w:t>chinensis</w:t>
      </w:r>
      <w:proofErr w:type="spellEnd"/>
      <w:r>
        <w:t xml:space="preserve"> (L.) on different mung bean cultivars. </w:t>
      </w:r>
      <w:r>
        <w:rPr>
          <w:rStyle w:val="Emphasis"/>
        </w:rPr>
        <w:t>Journal of Pharmacognosy and Phytochemistry, 11</w:t>
      </w:r>
      <w:r>
        <w:t>(3), 924–927.</w:t>
      </w:r>
    </w:p>
    <w:p w14:paraId="7E2E8C1F" w14:textId="77777777" w:rsidR="000D36D0" w:rsidRDefault="000D36D0" w:rsidP="000D36D0">
      <w:pPr>
        <w:pStyle w:val="NormalWeb"/>
        <w:spacing w:line="360" w:lineRule="auto"/>
        <w:ind w:left="720" w:hanging="720"/>
        <w:jc w:val="both"/>
      </w:pPr>
      <w:proofErr w:type="spellStart"/>
      <w:r>
        <w:t>Panse</w:t>
      </w:r>
      <w:proofErr w:type="spellEnd"/>
      <w:r>
        <w:t xml:space="preserve">, V. G., &amp; </w:t>
      </w:r>
      <w:proofErr w:type="spellStart"/>
      <w:r>
        <w:t>Sukhatme</w:t>
      </w:r>
      <w:proofErr w:type="spellEnd"/>
      <w:r>
        <w:t xml:space="preserve">, P. U. (1967). </w:t>
      </w:r>
      <w:r>
        <w:rPr>
          <w:rStyle w:val="Emphasis"/>
        </w:rPr>
        <w:t>Statistical methods for agricultural workers.</w:t>
      </w:r>
      <w:r>
        <w:t xml:space="preserve"> ICAR, New Delhi.</w:t>
      </w:r>
    </w:p>
    <w:p w14:paraId="5AC28B81" w14:textId="77777777" w:rsidR="000D36D0" w:rsidRDefault="000D36D0" w:rsidP="000D36D0">
      <w:pPr>
        <w:pStyle w:val="NormalWeb"/>
        <w:spacing w:line="360" w:lineRule="auto"/>
        <w:ind w:left="720" w:hanging="720"/>
        <w:jc w:val="both"/>
      </w:pPr>
      <w:r>
        <w:t xml:space="preserve">Park, C., Cha, H. J., </w:t>
      </w:r>
      <w:proofErr w:type="spellStart"/>
      <w:r>
        <w:t>Hwangbo</w:t>
      </w:r>
      <w:proofErr w:type="spellEnd"/>
      <w:r>
        <w:t>, H., Bang, E., Hong, S. H., Song, K. S., Noh, J. S., Kim, D. H., Kim, G. Y., &amp; Choi, Y. H. (2023). β-</w:t>
      </w:r>
      <w:proofErr w:type="spellStart"/>
      <w:r>
        <w:t>Asarone</w:t>
      </w:r>
      <w:proofErr w:type="spellEnd"/>
      <w:r>
        <w:t xml:space="preserve"> alleviates high-glucose-induced oxidative damage via inhibition of ROS generation and inactivation of the NF-</w:t>
      </w:r>
      <w:proofErr w:type="spellStart"/>
      <w:r>
        <w:t>κB</w:t>
      </w:r>
      <w:proofErr w:type="spellEnd"/>
      <w:r>
        <w:t xml:space="preserve">/NLRP3 inflammasome pathway in human retinal pigment epithelial cells. </w:t>
      </w:r>
      <w:r>
        <w:rPr>
          <w:rStyle w:val="Emphasis"/>
        </w:rPr>
        <w:t>Antioxidants, 12</w:t>
      </w:r>
      <w:r>
        <w:t>(7), 1410.</w:t>
      </w:r>
    </w:p>
    <w:p w14:paraId="746EB2A5" w14:textId="77777777" w:rsidR="000D36D0" w:rsidRDefault="000D36D0" w:rsidP="000D36D0">
      <w:pPr>
        <w:pStyle w:val="NormalWeb"/>
        <w:spacing w:line="360" w:lineRule="auto"/>
        <w:ind w:left="720" w:hanging="720"/>
        <w:jc w:val="both"/>
      </w:pPr>
      <w:r>
        <w:t xml:space="preserve">Prajapati, C., Rai, S. N., Singh, A. K., </w:t>
      </w:r>
      <w:proofErr w:type="spellStart"/>
      <w:r>
        <w:t>Rajak</w:t>
      </w:r>
      <w:proofErr w:type="spellEnd"/>
      <w:r>
        <w:t xml:space="preserve">, N., Garg, N., &amp; Singh, S. K. (2025). Untargeted metabolomics and bioactivities assessment of </w:t>
      </w:r>
      <w:proofErr w:type="spellStart"/>
      <w:r>
        <w:rPr>
          <w:rStyle w:val="Emphasis"/>
        </w:rPr>
        <w:t>Xylaria</w:t>
      </w:r>
      <w:proofErr w:type="spellEnd"/>
      <w:r>
        <w:rPr>
          <w:rStyle w:val="Emphasis"/>
        </w:rPr>
        <w:t xml:space="preserve"> </w:t>
      </w:r>
      <w:proofErr w:type="spellStart"/>
      <w:r>
        <w:rPr>
          <w:rStyle w:val="Emphasis"/>
        </w:rPr>
        <w:t>ellisii</w:t>
      </w:r>
      <w:proofErr w:type="spellEnd"/>
      <w:r>
        <w:t xml:space="preserve">, an endophytic fungus isolated from the leaf of the plant </w:t>
      </w:r>
      <w:proofErr w:type="spellStart"/>
      <w:r>
        <w:rPr>
          <w:rStyle w:val="Emphasis"/>
        </w:rPr>
        <w:t>Acorus</w:t>
      </w:r>
      <w:proofErr w:type="spellEnd"/>
      <w:r>
        <w:rPr>
          <w:rStyle w:val="Emphasis"/>
        </w:rPr>
        <w:t xml:space="preserve"> calamus</w:t>
      </w:r>
      <w:r>
        <w:t xml:space="preserve"> Linn. </w:t>
      </w:r>
      <w:r>
        <w:rPr>
          <w:rStyle w:val="Emphasis"/>
        </w:rPr>
        <w:t>Current Pharmaceutical Design, 31</w:t>
      </w:r>
      <w:r>
        <w:t>(22), 1781–1799.</w:t>
      </w:r>
    </w:p>
    <w:p w14:paraId="55C85B87" w14:textId="77777777" w:rsidR="000D36D0" w:rsidRDefault="000D36D0" w:rsidP="000D36D0">
      <w:pPr>
        <w:pStyle w:val="NormalWeb"/>
        <w:spacing w:line="360" w:lineRule="auto"/>
        <w:ind w:left="720" w:hanging="720"/>
        <w:jc w:val="both"/>
      </w:pPr>
      <w:proofErr w:type="spellStart"/>
      <w:r>
        <w:t>Rajeshwaran</w:t>
      </w:r>
      <w:proofErr w:type="spellEnd"/>
      <w:r>
        <w:t xml:space="preserve">, B., Faizal, M. H., </w:t>
      </w:r>
      <w:proofErr w:type="spellStart"/>
      <w:r>
        <w:t>Themuthi</w:t>
      </w:r>
      <w:proofErr w:type="spellEnd"/>
      <w:r>
        <w:t xml:space="preserve">, M., &amp; </w:t>
      </w:r>
      <w:proofErr w:type="spellStart"/>
      <w:r>
        <w:t>Anith</w:t>
      </w:r>
      <w:proofErr w:type="spellEnd"/>
      <w:r>
        <w:t xml:space="preserve">, K. N. (2025). Harnessing endophytic allies: </w:t>
      </w:r>
      <w:proofErr w:type="spellStart"/>
      <w:r>
        <w:t>Defense</w:t>
      </w:r>
      <w:proofErr w:type="spellEnd"/>
      <w:r>
        <w:t xml:space="preserve"> priming in </w:t>
      </w:r>
      <w:r>
        <w:rPr>
          <w:rStyle w:val="Emphasis"/>
        </w:rPr>
        <w:t xml:space="preserve">Vigna </w:t>
      </w:r>
      <w:proofErr w:type="spellStart"/>
      <w:r>
        <w:rPr>
          <w:rStyle w:val="Emphasis"/>
        </w:rPr>
        <w:t>unguiculata</w:t>
      </w:r>
      <w:proofErr w:type="spellEnd"/>
      <w:r>
        <w:t xml:space="preserve"> (L.) </w:t>
      </w:r>
      <w:proofErr w:type="spellStart"/>
      <w:r>
        <w:t>Walp</w:t>
      </w:r>
      <w:proofErr w:type="spellEnd"/>
      <w:r>
        <w:t xml:space="preserve">. against </w:t>
      </w:r>
      <w:proofErr w:type="spellStart"/>
      <w:r>
        <w:rPr>
          <w:rStyle w:val="Emphasis"/>
        </w:rPr>
        <w:t>Spodoptera</w:t>
      </w:r>
      <w:proofErr w:type="spellEnd"/>
      <w:r>
        <w:rPr>
          <w:rStyle w:val="Emphasis"/>
        </w:rPr>
        <w:t xml:space="preserve"> </w:t>
      </w:r>
      <w:proofErr w:type="spellStart"/>
      <w:r>
        <w:rPr>
          <w:rStyle w:val="Emphasis"/>
        </w:rPr>
        <w:t>litura</w:t>
      </w:r>
      <w:proofErr w:type="spellEnd"/>
      <w:r>
        <w:t xml:space="preserve"> (</w:t>
      </w:r>
      <w:proofErr w:type="spellStart"/>
      <w:r>
        <w:t>Fabricius</w:t>
      </w:r>
      <w:proofErr w:type="spellEnd"/>
      <w:r>
        <w:t xml:space="preserve">) by bacterial endophytes. </w:t>
      </w:r>
      <w:r>
        <w:rPr>
          <w:rStyle w:val="Emphasis"/>
        </w:rPr>
        <w:t>Symbiosis, 95</w:t>
      </w:r>
      <w:r>
        <w:t>(1), 125–140.</w:t>
      </w:r>
    </w:p>
    <w:p w14:paraId="026C1FFD" w14:textId="77777777" w:rsidR="000D36D0" w:rsidRDefault="000D36D0" w:rsidP="000D36D0">
      <w:pPr>
        <w:pStyle w:val="NormalWeb"/>
        <w:spacing w:line="360" w:lineRule="auto"/>
        <w:ind w:left="720" w:hanging="720"/>
        <w:jc w:val="both"/>
      </w:pPr>
      <w:r>
        <w:t xml:space="preserve">Sandeep, V., </w:t>
      </w:r>
      <w:proofErr w:type="spellStart"/>
      <w:r>
        <w:t>Jayaramaiah</w:t>
      </w:r>
      <w:proofErr w:type="spellEnd"/>
      <w:r>
        <w:t xml:space="preserve">, R., Navi, L., &amp; </w:t>
      </w:r>
      <w:proofErr w:type="spellStart"/>
      <w:r>
        <w:t>Umashanker</w:t>
      </w:r>
      <w:proofErr w:type="spellEnd"/>
      <w:r>
        <w:t xml:space="preserve">, N. (2024). Influence of planting geometry and nutrient levels on growth, yield, economics and nutrient uptake of field bean. </w:t>
      </w:r>
      <w:r>
        <w:rPr>
          <w:rStyle w:val="Emphasis"/>
        </w:rPr>
        <w:t>Mysore Journal of Agricultural Sciences, 58</w:t>
      </w:r>
      <w:r>
        <w:t>(4).</w:t>
      </w:r>
    </w:p>
    <w:p w14:paraId="0913ED81" w14:textId="77777777" w:rsidR="000D36D0" w:rsidRDefault="000D36D0" w:rsidP="000D36D0">
      <w:pPr>
        <w:pStyle w:val="NormalWeb"/>
        <w:spacing w:line="360" w:lineRule="auto"/>
        <w:ind w:left="720" w:hanging="720"/>
        <w:jc w:val="both"/>
      </w:pPr>
      <w:r>
        <w:t xml:space="preserve">Sandhi, R. K., &amp; Reddy, G. V. (2020). Biology, ecology and management strategies for pea aphid (Hemiptera: </w:t>
      </w:r>
      <w:proofErr w:type="spellStart"/>
      <w:r>
        <w:t>Aphididae</w:t>
      </w:r>
      <w:proofErr w:type="spellEnd"/>
      <w:r>
        <w:t xml:space="preserve">) in pulse crops. </w:t>
      </w:r>
      <w:r>
        <w:rPr>
          <w:rStyle w:val="Emphasis"/>
        </w:rPr>
        <w:t>Journal of Integrated Pest Management, 11</w:t>
      </w:r>
      <w:r>
        <w:t>(1), 18.</w:t>
      </w:r>
    </w:p>
    <w:p w14:paraId="5C8B1101" w14:textId="77777777" w:rsidR="000D36D0" w:rsidRDefault="000D36D0" w:rsidP="000D36D0">
      <w:pPr>
        <w:pStyle w:val="NormalWeb"/>
        <w:spacing w:line="360" w:lineRule="auto"/>
        <w:ind w:left="720" w:hanging="720"/>
        <w:jc w:val="both"/>
      </w:pPr>
      <w:r>
        <w:lastRenderedPageBreak/>
        <w:t xml:space="preserve">Singh, W. R., </w:t>
      </w:r>
      <w:proofErr w:type="spellStart"/>
      <w:r>
        <w:t>Sagolshemcha</w:t>
      </w:r>
      <w:proofErr w:type="spellEnd"/>
      <w:r>
        <w:t xml:space="preserve">, R., Devi, W. R., &amp; Devi, A. I. (2025). Insecticidal and biological activities of </w:t>
      </w:r>
      <w:proofErr w:type="spellStart"/>
      <w:r>
        <w:rPr>
          <w:rStyle w:val="Emphasis"/>
        </w:rPr>
        <w:t>Acorus</w:t>
      </w:r>
      <w:proofErr w:type="spellEnd"/>
      <w:r>
        <w:rPr>
          <w:rStyle w:val="Emphasis"/>
        </w:rPr>
        <w:t xml:space="preserve"> calamus</w:t>
      </w:r>
      <w:r>
        <w:t xml:space="preserve"> Linn.: A valuable medicinal and aromatic plant. </w:t>
      </w:r>
      <w:r>
        <w:rPr>
          <w:rStyle w:val="Emphasis"/>
        </w:rPr>
        <w:t>Journal of Experimental Zoology India, 28</w:t>
      </w:r>
      <w:r>
        <w:t>(1).</w:t>
      </w:r>
    </w:p>
    <w:p w14:paraId="5E184B76" w14:textId="77777777" w:rsidR="000D36D0" w:rsidRDefault="000D36D0" w:rsidP="000D36D0">
      <w:pPr>
        <w:pStyle w:val="NormalWeb"/>
        <w:spacing w:line="360" w:lineRule="auto"/>
        <w:ind w:left="720" w:hanging="720"/>
        <w:jc w:val="both"/>
      </w:pPr>
      <w:proofErr w:type="spellStart"/>
      <w:r>
        <w:t>Thamburaj</w:t>
      </w:r>
      <w:proofErr w:type="spellEnd"/>
      <w:r>
        <w:t xml:space="preserve">, S., &amp; Narendra Singh. (2003). </w:t>
      </w:r>
      <w:r>
        <w:rPr>
          <w:rStyle w:val="Emphasis"/>
        </w:rPr>
        <w:t>Vegetables, tuber crops and spices</w:t>
      </w:r>
      <w:r>
        <w:t xml:space="preserve"> (Vol. 2, No. 4, p. 214–216). Directorate of Information and Publication of Agriculture, ICAR.</w:t>
      </w:r>
    </w:p>
    <w:p w14:paraId="03304033" w14:textId="7C7D5DCC" w:rsidR="000D36D0" w:rsidRPr="000D36D0" w:rsidRDefault="000D36D0" w:rsidP="000D36D0">
      <w:pPr>
        <w:pStyle w:val="NormalWeb"/>
        <w:spacing w:line="360" w:lineRule="auto"/>
        <w:ind w:left="720" w:hanging="720"/>
        <w:jc w:val="both"/>
      </w:pPr>
      <w:proofErr w:type="spellStart"/>
      <w:r>
        <w:t>Vatchev</w:t>
      </w:r>
      <w:proofErr w:type="spellEnd"/>
      <w:r>
        <w:t xml:space="preserve">, T., </w:t>
      </w:r>
      <w:proofErr w:type="spellStart"/>
      <w:r>
        <w:t>Yanashkov</w:t>
      </w:r>
      <w:proofErr w:type="spellEnd"/>
      <w:r>
        <w:t xml:space="preserve">, I. T., </w:t>
      </w:r>
      <w:proofErr w:type="spellStart"/>
      <w:r>
        <w:t>Marinova</w:t>
      </w:r>
      <w:proofErr w:type="spellEnd"/>
      <w:r>
        <w:t xml:space="preserve">, P., &amp; </w:t>
      </w:r>
      <w:proofErr w:type="spellStart"/>
      <w:r>
        <w:t>Benova</w:t>
      </w:r>
      <w:proofErr w:type="spellEnd"/>
      <w:r>
        <w:t xml:space="preserve">, E. (2025). Pre-sowing seed treatments with cold atmospheric plasma for the control of seedling blights of winter wheat. </w:t>
      </w:r>
      <w:r>
        <w:rPr>
          <w:rStyle w:val="Emphasis"/>
        </w:rPr>
        <w:t>Processes, 13</w:t>
      </w:r>
      <w:r>
        <w:t>, 632.</w:t>
      </w:r>
    </w:p>
    <w:sectPr w:rsidR="000D36D0" w:rsidRPr="000D36D0" w:rsidSect="000D36D0">
      <w:pgSz w:w="11906" w:h="16838"/>
      <w:pgMar w:top="1440" w:right="1440" w:bottom="1440" w:left="18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1A07D" w14:textId="77777777" w:rsidR="002E0CBB" w:rsidRDefault="002E0CBB" w:rsidP="00BA3CA5">
      <w:pPr>
        <w:spacing w:after="0" w:line="240" w:lineRule="auto"/>
      </w:pPr>
      <w:r>
        <w:separator/>
      </w:r>
    </w:p>
  </w:endnote>
  <w:endnote w:type="continuationSeparator" w:id="0">
    <w:p w14:paraId="022F22A1" w14:textId="77777777" w:rsidR="002E0CBB" w:rsidRDefault="002E0CBB" w:rsidP="00BA3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113A4" w14:textId="77777777" w:rsidR="00542386" w:rsidRDefault="005423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22EC8" w14:textId="77777777" w:rsidR="00542386" w:rsidRDefault="005423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513D6" w14:textId="77777777" w:rsidR="00542386" w:rsidRDefault="005423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C9E3A" w14:textId="6C204A69" w:rsidR="000D36D0" w:rsidRPr="00086E07" w:rsidRDefault="000D36D0" w:rsidP="000D36D0">
    <w:pPr>
      <w:pStyle w:val="Footer"/>
      <w:tabs>
        <w:tab w:val="clear" w:pos="4680"/>
        <w:tab w:val="clear" w:pos="9360"/>
        <w:tab w:val="center" w:pos="4320"/>
        <w:tab w:val="right" w:pos="8640"/>
      </w:tabs>
      <w:spacing w:after="0" w:line="240" w:lineRule="auto"/>
      <w:rPr>
        <w:rFonts w:ascii="Times New Roman" w:hAnsi="Times New Roman"/>
        <w:bCs/>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9A7E1" w14:textId="77777777" w:rsidR="000D36D0" w:rsidRPr="00533D38" w:rsidRDefault="000D36D0" w:rsidP="000D3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7C20A" w14:textId="77777777" w:rsidR="002E0CBB" w:rsidRDefault="002E0CBB" w:rsidP="00BA3CA5">
      <w:pPr>
        <w:spacing w:after="0" w:line="240" w:lineRule="auto"/>
      </w:pPr>
      <w:r>
        <w:separator/>
      </w:r>
    </w:p>
  </w:footnote>
  <w:footnote w:type="continuationSeparator" w:id="0">
    <w:p w14:paraId="6B6B2BA5" w14:textId="77777777" w:rsidR="002E0CBB" w:rsidRDefault="002E0CBB" w:rsidP="00BA3C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BB51" w14:textId="17474C56" w:rsidR="00542386" w:rsidRDefault="002E0CBB">
    <w:pPr>
      <w:pStyle w:val="Header"/>
    </w:pPr>
    <w:r>
      <w:rPr>
        <w:noProof/>
      </w:rPr>
      <w:pict w14:anchorId="267FFE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07" o:spid="_x0000_s2050" type="#_x0000_t136" style="position:absolute;margin-left:0;margin-top:0;width:510.7pt;height:96.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9EBF4" w14:textId="5480DBB2" w:rsidR="00542386" w:rsidRDefault="002E0CBB">
    <w:pPr>
      <w:pStyle w:val="Header"/>
    </w:pPr>
    <w:r>
      <w:rPr>
        <w:noProof/>
      </w:rPr>
      <w:pict w14:anchorId="5B9A9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08" o:spid="_x0000_s2051" type="#_x0000_t136" style="position:absolute;margin-left:0;margin-top:0;width:510.7pt;height:96.3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99E10" w14:textId="1134ACC7" w:rsidR="00542386" w:rsidRDefault="002E0CBB">
    <w:pPr>
      <w:pStyle w:val="Header"/>
    </w:pPr>
    <w:r>
      <w:rPr>
        <w:noProof/>
      </w:rPr>
      <w:pict w14:anchorId="11053E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06" o:spid="_x0000_s2049" type="#_x0000_t136" style="position:absolute;margin-left:0;margin-top:0;width:510.7pt;height:96.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ABC6A" w14:textId="2A09E493" w:rsidR="00542386" w:rsidRDefault="002E0CBB">
    <w:pPr>
      <w:pStyle w:val="Header"/>
    </w:pPr>
    <w:r>
      <w:rPr>
        <w:noProof/>
      </w:rPr>
      <w:pict w14:anchorId="6B800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10" o:spid="_x0000_s2053" type="#_x0000_t136" style="position:absolute;margin-left:0;margin-top:0;width:510.7pt;height:96.3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3A6B7" w14:textId="5DF6C142" w:rsidR="000D36D0" w:rsidRPr="00533D38" w:rsidRDefault="002E0CBB" w:rsidP="000D36D0">
    <w:pPr>
      <w:pStyle w:val="Header"/>
    </w:pPr>
    <w:r>
      <w:rPr>
        <w:noProof/>
      </w:rPr>
      <w:pict w14:anchorId="02BB1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11" o:spid="_x0000_s2054" type="#_x0000_t136" style="position:absolute;margin-left:0;margin-top:0;width:510.7pt;height:96.3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D011C" w14:textId="18E446C8" w:rsidR="00542386" w:rsidRDefault="002E0CBB">
    <w:pPr>
      <w:pStyle w:val="Header"/>
    </w:pPr>
    <w:r>
      <w:rPr>
        <w:noProof/>
      </w:rPr>
      <w:pict w14:anchorId="06843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09" o:spid="_x0000_s2052" type="#_x0000_t136" style="position:absolute;margin-left:0;margin-top:0;width:510.7pt;height:96.3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8C254" w14:textId="199BA4E3" w:rsidR="00542386" w:rsidRDefault="002E0CBB">
    <w:pPr>
      <w:pStyle w:val="Header"/>
    </w:pPr>
    <w:r>
      <w:rPr>
        <w:noProof/>
      </w:rPr>
      <w:pict w14:anchorId="3D950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13" o:spid="_x0000_s2056" type="#_x0000_t136" style="position:absolute;margin-left:0;margin-top:0;width:510.7pt;height:96.3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B550" w14:textId="7047CD76" w:rsidR="000D36D0" w:rsidRPr="00345F8C" w:rsidRDefault="002E0CBB" w:rsidP="000D36D0">
    <w:pPr>
      <w:pStyle w:val="Footer"/>
      <w:tabs>
        <w:tab w:val="clear" w:pos="4680"/>
        <w:tab w:val="clear" w:pos="9360"/>
        <w:tab w:val="center" w:pos="4320"/>
        <w:tab w:val="right" w:pos="8640"/>
      </w:tabs>
      <w:spacing w:after="0" w:line="240" w:lineRule="auto"/>
      <w:rPr>
        <w:rFonts w:ascii="Times New Roman" w:hAnsi="Times New Roman"/>
        <w:bCs/>
        <w:sz w:val="24"/>
        <w:szCs w:val="24"/>
      </w:rPr>
    </w:pPr>
    <w:r>
      <w:rPr>
        <w:noProof/>
      </w:rPr>
      <w:pict w14:anchorId="7C3AA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14" o:spid="_x0000_s2057" type="#_x0000_t136" style="position:absolute;margin-left:0;margin-top:0;width:510.7pt;height:96.3pt;rotation:315;z-index:-25163878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0D36D0">
      <w:rPr>
        <w:noProof/>
      </w:rPr>
      <mc:AlternateContent>
        <mc:Choice Requires="wps">
          <w:drawing>
            <wp:anchor distT="0" distB="0" distL="114300" distR="114300" simplePos="0" relativeHeight="251659264" behindDoc="0" locked="0" layoutInCell="1" allowOverlap="1" wp14:anchorId="74E93F5E" wp14:editId="3330F980">
              <wp:simplePos x="0" y="0"/>
              <wp:positionH relativeFrom="column">
                <wp:posOffset>-594360</wp:posOffset>
              </wp:positionH>
              <wp:positionV relativeFrom="margin">
                <wp:align>center</wp:align>
              </wp:positionV>
              <wp:extent cx="365760" cy="5586984"/>
              <wp:effectExtent l="0" t="0" r="0" b="0"/>
              <wp:wrapNone/>
              <wp:docPr id="1433396341" name="Text Box 1"/>
              <wp:cNvGraphicFramePr/>
              <a:graphic xmlns:a="http://schemas.openxmlformats.org/drawingml/2006/main">
                <a:graphicData uri="http://schemas.microsoft.com/office/word/2010/wordprocessingShape">
                  <wps:wsp>
                    <wps:cNvSpPr txBox="1"/>
                    <wps:spPr>
                      <a:xfrm>
                        <a:off x="0" y="0"/>
                        <a:ext cx="365760" cy="5586984"/>
                      </a:xfrm>
                      <a:prstGeom prst="rect">
                        <a:avLst/>
                      </a:prstGeom>
                      <a:noFill/>
                      <a:ln w="6350">
                        <a:noFill/>
                      </a:ln>
                    </wps:spPr>
                    <wps:txbx>
                      <w:txbxContent>
                        <w:p w14:paraId="1B0314E9" w14:textId="28F8DEE5" w:rsidR="000D36D0" w:rsidRPr="004D3409" w:rsidRDefault="000D36D0" w:rsidP="000D36D0">
                          <w:pPr>
                            <w:pStyle w:val="Footer"/>
                            <w:tabs>
                              <w:tab w:val="clear" w:pos="4680"/>
                              <w:tab w:val="clear" w:pos="9360"/>
                              <w:tab w:val="center" w:pos="4320"/>
                              <w:tab w:val="right" w:pos="8640"/>
                            </w:tabs>
                            <w:spacing w:after="0" w:line="240" w:lineRule="auto"/>
                            <w:rPr>
                              <w:rFonts w:ascii="Times New Roman" w:hAnsi="Times New Roman"/>
                              <w:bCs/>
                              <w:sz w:val="20"/>
                              <w:szCs w:val="20"/>
                            </w:rPr>
                          </w:pP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4E93F5E" id="_x0000_t202" coordsize="21600,21600" o:spt="202" path="m,l,21600r21600,l21600,xe">
              <v:stroke joinstyle="miter"/>
              <v:path gradientshapeok="t" o:connecttype="rect"/>
            </v:shapetype>
            <v:shape id="Text Box 1" o:spid="_x0000_s1026" type="#_x0000_t202" style="position:absolute;margin-left:-46.8pt;margin-top:0;width:28.8pt;height:439.9pt;z-index:251659264;visibility:visible;mso-wrap-style:non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" filled="f" stroked="f" strokeweight=".5pt">
              <v:textbox style="layout-flow:vertical;mso-fit-shape-to-text:t">
                <w:txbxContent>
                  <w:p w14:paraId="1B0314E9" w14:textId="28F8DEE5" w:rsidR="000D36D0" w:rsidRPr="004D3409" w:rsidRDefault="000D36D0" w:rsidP="000D36D0">
                    <w:pPr>
                      <w:pStyle w:val="Footer"/>
                      <w:tabs>
                        <w:tab w:val="clear" w:pos="4680"/>
                        <w:tab w:val="clear" w:pos="9360"/>
                        <w:tab w:val="center" w:pos="4320"/>
                        <w:tab w:val="right" w:pos="8640"/>
                      </w:tabs>
                      <w:spacing w:after="0" w:line="240" w:lineRule="auto"/>
                      <w:rPr>
                        <w:rFonts w:ascii="Times New Roman" w:hAnsi="Times New Roman"/>
                        <w:bCs/>
                        <w:sz w:val="20"/>
                        <w:szCs w:val="20"/>
                      </w:rPr>
                    </w:pPr>
                  </w:p>
                </w:txbxContent>
              </v:textbox>
              <w10:wrap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79379" w14:textId="29D720A6" w:rsidR="00542386" w:rsidRDefault="002E0CBB">
    <w:pPr>
      <w:pStyle w:val="Header"/>
    </w:pPr>
    <w:r>
      <w:rPr>
        <w:noProof/>
      </w:rPr>
      <w:pict w14:anchorId="6D4C7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00912" o:spid="_x0000_s2055" type="#_x0000_t136" style="position:absolute;margin-left:0;margin-top:0;width:510.7pt;height:96.3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6D00"/>
    <w:multiLevelType w:val="hybridMultilevel"/>
    <w:tmpl w:val="933C0660"/>
    <w:lvl w:ilvl="0" w:tplc="83446114">
      <w:start w:val="1"/>
      <w:numFmt w:val="decimal"/>
      <w:lvlText w:val="%1."/>
      <w:lvlJc w:val="left"/>
      <w:pPr>
        <w:ind w:left="720" w:hanging="360"/>
      </w:pPr>
      <w:rPr>
        <w:rFonts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E43116"/>
    <w:multiLevelType w:val="hybridMultilevel"/>
    <w:tmpl w:val="8F204D46"/>
    <w:lvl w:ilvl="0" w:tplc="481AA528">
      <w:start w:val="1"/>
      <w:numFmt w:val="decimal"/>
      <w:lvlText w:val="%1"/>
      <w:lvlJc w:val="left"/>
      <w:pPr>
        <w:ind w:left="720" w:hanging="360"/>
      </w:pPr>
      <w:rPr>
        <w:rFonts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754741B"/>
    <w:multiLevelType w:val="hybridMultilevel"/>
    <w:tmpl w:val="F1C22DB2"/>
    <w:lvl w:ilvl="0" w:tplc="355C7DE4">
      <w:start w:val="1"/>
      <w:numFmt w:val="decimal"/>
      <w:lvlText w:val="%1"/>
      <w:lvlJc w:val="left"/>
      <w:pPr>
        <w:ind w:left="720" w:hanging="360"/>
      </w:pPr>
      <w:rPr>
        <w:rFonts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5D32CBF"/>
    <w:multiLevelType w:val="hybridMultilevel"/>
    <w:tmpl w:val="E566FD48"/>
    <w:lvl w:ilvl="0" w:tplc="2BEC6F6C">
      <w:start w:val="1"/>
      <w:numFmt w:val="decimal"/>
      <w:lvlText w:val="%1"/>
      <w:lvlJc w:val="left"/>
      <w:pPr>
        <w:ind w:left="720" w:hanging="360"/>
      </w:pPr>
      <w:rPr>
        <w:rFonts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DC71DBA"/>
    <w:multiLevelType w:val="hybridMultilevel"/>
    <w:tmpl w:val="9CE0E484"/>
    <w:lvl w:ilvl="0" w:tplc="7ACEBA38">
      <w:start w:val="1"/>
      <w:numFmt w:val="decimal"/>
      <w:lvlText w:val="%1."/>
      <w:lvlJc w:val="left"/>
      <w:pPr>
        <w:ind w:left="720" w:hanging="360"/>
      </w:pPr>
      <w:rPr>
        <w:rFonts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3AE03FF"/>
    <w:multiLevelType w:val="hybridMultilevel"/>
    <w:tmpl w:val="79DA03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ADF"/>
    <w:rsid w:val="0005285E"/>
    <w:rsid w:val="00074023"/>
    <w:rsid w:val="000940EA"/>
    <w:rsid w:val="000D36D0"/>
    <w:rsid w:val="00130604"/>
    <w:rsid w:val="001C3D6B"/>
    <w:rsid w:val="001D0FE8"/>
    <w:rsid w:val="00226B09"/>
    <w:rsid w:val="002B688D"/>
    <w:rsid w:val="002E0CBB"/>
    <w:rsid w:val="002E5DA8"/>
    <w:rsid w:val="002F5205"/>
    <w:rsid w:val="00314ADF"/>
    <w:rsid w:val="003171FF"/>
    <w:rsid w:val="0032604C"/>
    <w:rsid w:val="00335F18"/>
    <w:rsid w:val="00336313"/>
    <w:rsid w:val="00405CB7"/>
    <w:rsid w:val="00413143"/>
    <w:rsid w:val="0043450A"/>
    <w:rsid w:val="004450A2"/>
    <w:rsid w:val="00452E8E"/>
    <w:rsid w:val="004B0567"/>
    <w:rsid w:val="004C1027"/>
    <w:rsid w:val="004C475D"/>
    <w:rsid w:val="00542386"/>
    <w:rsid w:val="005A29B8"/>
    <w:rsid w:val="00620589"/>
    <w:rsid w:val="006D4ED9"/>
    <w:rsid w:val="00744FF0"/>
    <w:rsid w:val="00745ACC"/>
    <w:rsid w:val="007E4338"/>
    <w:rsid w:val="00833583"/>
    <w:rsid w:val="008E10C6"/>
    <w:rsid w:val="008F37D1"/>
    <w:rsid w:val="00913D23"/>
    <w:rsid w:val="00943F66"/>
    <w:rsid w:val="00977EEB"/>
    <w:rsid w:val="00A429FF"/>
    <w:rsid w:val="00A4597A"/>
    <w:rsid w:val="00A73FD9"/>
    <w:rsid w:val="00A76D45"/>
    <w:rsid w:val="00AA0016"/>
    <w:rsid w:val="00B23384"/>
    <w:rsid w:val="00B25F41"/>
    <w:rsid w:val="00B52F37"/>
    <w:rsid w:val="00B81898"/>
    <w:rsid w:val="00B93BF9"/>
    <w:rsid w:val="00BA3CA5"/>
    <w:rsid w:val="00BD595F"/>
    <w:rsid w:val="00CA1FEA"/>
    <w:rsid w:val="00CC55FE"/>
    <w:rsid w:val="00CD1D72"/>
    <w:rsid w:val="00CE45D1"/>
    <w:rsid w:val="00D146CF"/>
    <w:rsid w:val="00D678C0"/>
    <w:rsid w:val="00DE64A0"/>
    <w:rsid w:val="00E23C21"/>
    <w:rsid w:val="00E779CD"/>
    <w:rsid w:val="00E9122F"/>
    <w:rsid w:val="00EA2F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DF9CC9B"/>
  <w15:chartTrackingRefBased/>
  <w15:docId w15:val="{1B950EE3-7CBC-4411-A589-7BE0B86A1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CE45D1"/>
    <w:pPr>
      <w:keepNext/>
      <w:spacing w:before="240" w:after="60" w:line="276" w:lineRule="auto"/>
      <w:outlineLvl w:val="2"/>
    </w:pPr>
    <w:rPr>
      <w:rFonts w:ascii="Calibri Light" w:eastAsia="Times New Roman" w:hAnsi="Calibri Light"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A0016"/>
    <w:pPr>
      <w:widowControl w:val="0"/>
      <w:autoSpaceDE w:val="0"/>
      <w:autoSpaceDN w:val="0"/>
      <w:adjustRightInd w:val="0"/>
      <w:spacing w:after="0" w:line="240" w:lineRule="auto"/>
    </w:pPr>
    <w:rPr>
      <w:rFonts w:ascii="Times New Roman" w:eastAsia="Times New Roman" w:hAnsi="Times New Roman" w:cs="Times New Roman"/>
      <w:sz w:val="20"/>
      <w:szCs w:val="24"/>
      <w:lang w:val="x-none" w:eastAsia="x-none"/>
    </w:rPr>
  </w:style>
  <w:style w:type="character" w:customStyle="1" w:styleId="BodyTextChar">
    <w:name w:val="Body Text Char"/>
    <w:basedOn w:val="DefaultParagraphFont"/>
    <w:link w:val="BodyText"/>
    <w:uiPriority w:val="1"/>
    <w:rsid w:val="00AA0016"/>
    <w:rPr>
      <w:rFonts w:ascii="Times New Roman" w:eastAsia="Times New Roman" w:hAnsi="Times New Roman" w:cs="Times New Roman"/>
      <w:sz w:val="20"/>
      <w:szCs w:val="24"/>
      <w:lang w:val="x-none" w:eastAsia="x-none"/>
    </w:rPr>
  </w:style>
  <w:style w:type="character" w:styleId="Hyperlink">
    <w:name w:val="Hyperlink"/>
    <w:basedOn w:val="DefaultParagraphFont"/>
    <w:uiPriority w:val="99"/>
    <w:unhideWhenUsed/>
    <w:rsid w:val="00405CB7"/>
    <w:rPr>
      <w:color w:val="0563C1" w:themeColor="hyperlink"/>
      <w:u w:val="single"/>
    </w:rPr>
  </w:style>
  <w:style w:type="character" w:styleId="UnresolvedMention">
    <w:name w:val="Unresolved Mention"/>
    <w:basedOn w:val="DefaultParagraphFont"/>
    <w:uiPriority w:val="99"/>
    <w:semiHidden/>
    <w:unhideWhenUsed/>
    <w:rsid w:val="00405CB7"/>
    <w:rPr>
      <w:color w:val="605E5C"/>
      <w:shd w:val="clear" w:color="auto" w:fill="E1DFDD"/>
    </w:rPr>
  </w:style>
  <w:style w:type="character" w:styleId="Strong">
    <w:name w:val="Strong"/>
    <w:basedOn w:val="DefaultParagraphFont"/>
    <w:uiPriority w:val="22"/>
    <w:qFormat/>
    <w:rsid w:val="00A4597A"/>
    <w:rPr>
      <w:b/>
      <w:bCs/>
    </w:rPr>
  </w:style>
  <w:style w:type="character" w:styleId="Emphasis">
    <w:name w:val="Emphasis"/>
    <w:uiPriority w:val="20"/>
    <w:qFormat/>
    <w:rsid w:val="00DE64A0"/>
    <w:rPr>
      <w:i/>
      <w:iCs/>
    </w:rPr>
  </w:style>
  <w:style w:type="paragraph" w:styleId="NormalWeb">
    <w:name w:val="Normal (Web)"/>
    <w:basedOn w:val="Normal"/>
    <w:uiPriority w:val="99"/>
    <w:unhideWhenUsed/>
    <w:rsid w:val="00CE45D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CE45D1"/>
    <w:pPr>
      <w:spacing w:after="0" w:line="240" w:lineRule="auto"/>
    </w:pPr>
    <w:rPr>
      <w:rFonts w:ascii="Calibri" w:eastAsia="Times New Roman" w:hAnsi="Calibri" w:cs="Times New Roman"/>
      <w:lang w:val="en-US"/>
    </w:rPr>
  </w:style>
  <w:style w:type="character" w:customStyle="1" w:styleId="Heading3Char">
    <w:name w:val="Heading 3 Char"/>
    <w:basedOn w:val="DefaultParagraphFont"/>
    <w:link w:val="Heading3"/>
    <w:uiPriority w:val="9"/>
    <w:rsid w:val="00CE45D1"/>
    <w:rPr>
      <w:rFonts w:ascii="Calibri Light" w:eastAsia="Times New Roman" w:hAnsi="Calibri Light" w:cs="Times New Roman"/>
      <w:b/>
      <w:bCs/>
      <w:sz w:val="26"/>
      <w:szCs w:val="26"/>
      <w:lang w:val="en-US"/>
    </w:rPr>
  </w:style>
  <w:style w:type="table" w:styleId="TableGrid">
    <w:name w:val="Table Grid"/>
    <w:basedOn w:val="TableNormal"/>
    <w:uiPriority w:val="39"/>
    <w:rsid w:val="00335F18"/>
    <w:pPr>
      <w:spacing w:after="0" w:line="240" w:lineRule="auto"/>
    </w:pPr>
    <w:rPr>
      <w:rFonts w:ascii="Calibri" w:eastAsia="Calibri" w:hAnsi="Calibri" w:cs="Times New Roman"/>
      <w:sz w:val="20"/>
      <w:szCs w:val="20"/>
      <w:lang w:eastAsia="en-IN" w:bidi="k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2E8E"/>
    <w:pPr>
      <w:ind w:left="720"/>
      <w:contextualSpacing/>
    </w:pPr>
  </w:style>
  <w:style w:type="paragraph" w:styleId="Footer">
    <w:name w:val="footer"/>
    <w:basedOn w:val="Normal"/>
    <w:link w:val="FooterChar"/>
    <w:uiPriority w:val="99"/>
    <w:unhideWhenUsed/>
    <w:rsid w:val="00BA3CA5"/>
    <w:pPr>
      <w:tabs>
        <w:tab w:val="center" w:pos="4680"/>
        <w:tab w:val="right" w:pos="9360"/>
      </w:tabs>
      <w:spacing w:after="200" w:line="276" w:lineRule="auto"/>
    </w:pPr>
    <w:rPr>
      <w:rFonts w:ascii="Calibri" w:eastAsia="Times New Roman" w:hAnsi="Calibri" w:cs="Times New Roman"/>
      <w:lang w:val="x-none" w:eastAsia="x-none"/>
    </w:rPr>
  </w:style>
  <w:style w:type="character" w:customStyle="1" w:styleId="FooterChar">
    <w:name w:val="Footer Char"/>
    <w:basedOn w:val="DefaultParagraphFont"/>
    <w:link w:val="Footer"/>
    <w:uiPriority w:val="99"/>
    <w:rsid w:val="00BA3CA5"/>
    <w:rPr>
      <w:rFonts w:ascii="Calibri" w:eastAsia="Times New Roman" w:hAnsi="Calibri" w:cs="Times New Roman"/>
      <w:lang w:val="x-none" w:eastAsia="x-none"/>
    </w:rPr>
  </w:style>
  <w:style w:type="paragraph" w:styleId="Header">
    <w:name w:val="header"/>
    <w:basedOn w:val="Normal"/>
    <w:link w:val="HeaderChar"/>
    <w:uiPriority w:val="99"/>
    <w:unhideWhenUsed/>
    <w:rsid w:val="00BA3CA5"/>
    <w:pPr>
      <w:tabs>
        <w:tab w:val="center" w:pos="4680"/>
        <w:tab w:val="right" w:pos="9360"/>
      </w:tabs>
      <w:spacing w:after="200" w:line="276" w:lineRule="auto"/>
    </w:pPr>
    <w:rPr>
      <w:rFonts w:ascii="Calibri" w:eastAsia="Times New Roman" w:hAnsi="Calibri" w:cs="Times New Roman"/>
      <w:lang w:val="x-none" w:eastAsia="x-none"/>
    </w:rPr>
  </w:style>
  <w:style w:type="character" w:customStyle="1" w:styleId="HeaderChar">
    <w:name w:val="Header Char"/>
    <w:basedOn w:val="DefaultParagraphFont"/>
    <w:link w:val="Header"/>
    <w:uiPriority w:val="99"/>
    <w:rsid w:val="00BA3CA5"/>
    <w:rPr>
      <w:rFonts w:ascii="Calibri" w:eastAsia="Times New Roman" w:hAnsi="Calibri"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224692">
      <w:bodyDiv w:val="1"/>
      <w:marLeft w:val="0"/>
      <w:marRight w:val="0"/>
      <w:marTop w:val="0"/>
      <w:marBottom w:val="0"/>
      <w:divBdr>
        <w:top w:val="none" w:sz="0" w:space="0" w:color="auto"/>
        <w:left w:val="none" w:sz="0" w:space="0" w:color="auto"/>
        <w:bottom w:val="none" w:sz="0" w:space="0" w:color="auto"/>
        <w:right w:val="none" w:sz="0" w:space="0" w:color="auto"/>
      </w:divBdr>
    </w:div>
    <w:div w:id="344720173">
      <w:bodyDiv w:val="1"/>
      <w:marLeft w:val="0"/>
      <w:marRight w:val="0"/>
      <w:marTop w:val="0"/>
      <w:marBottom w:val="0"/>
      <w:divBdr>
        <w:top w:val="none" w:sz="0" w:space="0" w:color="auto"/>
        <w:left w:val="none" w:sz="0" w:space="0" w:color="auto"/>
        <w:bottom w:val="none" w:sz="0" w:space="0" w:color="auto"/>
        <w:right w:val="none" w:sz="0" w:space="0" w:color="auto"/>
      </w:divBdr>
    </w:div>
    <w:div w:id="493763210">
      <w:bodyDiv w:val="1"/>
      <w:marLeft w:val="0"/>
      <w:marRight w:val="0"/>
      <w:marTop w:val="0"/>
      <w:marBottom w:val="0"/>
      <w:divBdr>
        <w:top w:val="none" w:sz="0" w:space="0" w:color="auto"/>
        <w:left w:val="none" w:sz="0" w:space="0" w:color="auto"/>
        <w:bottom w:val="none" w:sz="0" w:space="0" w:color="auto"/>
        <w:right w:val="none" w:sz="0" w:space="0" w:color="auto"/>
      </w:divBdr>
    </w:div>
    <w:div w:id="955603978">
      <w:bodyDiv w:val="1"/>
      <w:marLeft w:val="0"/>
      <w:marRight w:val="0"/>
      <w:marTop w:val="0"/>
      <w:marBottom w:val="0"/>
      <w:divBdr>
        <w:top w:val="none" w:sz="0" w:space="0" w:color="auto"/>
        <w:left w:val="none" w:sz="0" w:space="0" w:color="auto"/>
        <w:bottom w:val="none" w:sz="0" w:space="0" w:color="auto"/>
        <w:right w:val="none" w:sz="0" w:space="0" w:color="auto"/>
      </w:divBdr>
    </w:div>
    <w:div w:id="135641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eader" Target="header8.xml"/><Relationship Id="rId39" Type="http://schemas.openxmlformats.org/officeDocument/2006/relationships/theme" Target="theme/theme1.xml"/><Relationship Id="rId21" Type="http://schemas.openxmlformats.org/officeDocument/2006/relationships/header" Target="header5.xml"/><Relationship Id="rId34" Type="http://schemas.microsoft.com/office/2007/relationships/hdphoto" Target="media/hdphoto4.wdp"/><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hart" Target="charts/chart1.xml"/><Relationship Id="rId32" Type="http://schemas.microsoft.com/office/2007/relationships/hdphoto" Target="media/hdphoto3.wdp"/><Relationship Id="rId37" Type="http://schemas.openxmlformats.org/officeDocument/2006/relationships/hyperlink" Target="http://www.agriwelfare.gov.in"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9.xml"/><Relationship Id="rId36" Type="http://schemas.microsoft.com/office/2007/relationships/hdphoto" Target="media/hdphoto5.wdp"/><Relationship Id="rId10" Type="http://schemas.openxmlformats.org/officeDocument/2006/relationships/image" Target="media/image4.jpeg"/><Relationship Id="rId19" Type="http://schemas.microsoft.com/office/2007/relationships/hdphoto" Target="media/hdphoto1.wdp"/><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5.xml"/><Relationship Id="rId30" Type="http://schemas.microsoft.com/office/2007/relationships/hdphoto" Target="media/hdphoto2.wdp"/><Relationship Id="rId35" Type="http://schemas.openxmlformats.org/officeDocument/2006/relationships/image" Target="media/image10.png"/><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AAA%20PHD%20RESEARCH\I,%20MM,%20R&amp;D,%20ROL\FINAL%20TABLES%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87513366384751E-2"/>
          <c:y val="3.7246011754827876E-2"/>
          <c:w val="0.70933155924953828"/>
          <c:h val="0.83767930171519245"/>
        </c:manualLayout>
      </c:layout>
      <c:barChart>
        <c:barDir val="col"/>
        <c:grouping val="clustered"/>
        <c:varyColors val="0"/>
        <c:ser>
          <c:idx val="0"/>
          <c:order val="0"/>
          <c:tx>
            <c:strRef>
              <c:f>OII!$I$116</c:f>
              <c:strCache>
                <c:ptCount val="1"/>
                <c:pt idx="0">
                  <c:v>Seed germination (%)</c:v>
                </c:pt>
              </c:strCache>
            </c:strRef>
          </c:tx>
          <c:spPr>
            <a:solidFill>
              <a:schemeClr val="accent3">
                <a:lumMod val="75000"/>
              </a:schemeClr>
            </a:solidFill>
            <a:ln>
              <a:noFill/>
            </a:ln>
            <a:effectLst/>
          </c:spPr>
          <c:invertIfNegative val="0"/>
          <c:cat>
            <c:strRef>
              <c:f>OII!$H$117:$H$124</c:f>
              <c:strCache>
                <c:ptCount val="8"/>
                <c:pt idx="0">
                  <c:v>T1</c:v>
                </c:pt>
                <c:pt idx="1">
                  <c:v>T2</c:v>
                </c:pt>
                <c:pt idx="2">
                  <c:v>T3</c:v>
                </c:pt>
                <c:pt idx="3">
                  <c:v>T4</c:v>
                </c:pt>
                <c:pt idx="4">
                  <c:v>T5</c:v>
                </c:pt>
                <c:pt idx="5">
                  <c:v>T6</c:v>
                </c:pt>
                <c:pt idx="6">
                  <c:v>T7</c:v>
                </c:pt>
                <c:pt idx="7">
                  <c:v>T8</c:v>
                </c:pt>
              </c:strCache>
            </c:strRef>
          </c:cat>
          <c:val>
            <c:numRef>
              <c:f>OII!$I$117:$I$124</c:f>
              <c:numCache>
                <c:formatCode>0.0</c:formatCode>
                <c:ptCount val="8"/>
                <c:pt idx="0">
                  <c:v>91.90000000000002</c:v>
                </c:pt>
                <c:pt idx="1">
                  <c:v>94.8</c:v>
                </c:pt>
                <c:pt idx="2">
                  <c:v>96.90000000000002</c:v>
                </c:pt>
                <c:pt idx="3">
                  <c:v>97.3</c:v>
                </c:pt>
                <c:pt idx="4">
                  <c:v>93.7</c:v>
                </c:pt>
                <c:pt idx="5">
                  <c:v>95.100000000000009</c:v>
                </c:pt>
                <c:pt idx="6">
                  <c:v>95.59999999999998</c:v>
                </c:pt>
                <c:pt idx="7">
                  <c:v>94.90000000000002</c:v>
                </c:pt>
              </c:numCache>
            </c:numRef>
          </c:val>
          <c:extLst>
            <c:ext xmlns:c16="http://schemas.microsoft.com/office/drawing/2014/chart" uri="{C3380CC4-5D6E-409C-BE32-E72D297353CC}">
              <c16:uniqueId val="{00000000-EF5B-477D-9FB1-062830835EE6}"/>
            </c:ext>
          </c:extLst>
        </c:ser>
        <c:ser>
          <c:idx val="1"/>
          <c:order val="1"/>
          <c:tx>
            <c:strRef>
              <c:f>OII!$J$116</c:f>
              <c:strCache>
                <c:ptCount val="1"/>
                <c:pt idx="0">
                  <c:v>Electrical conductivity (µS/cm/g)</c:v>
                </c:pt>
              </c:strCache>
            </c:strRef>
          </c:tx>
          <c:spPr>
            <a:solidFill>
              <a:srgbClr val="FFC000"/>
            </a:solidFill>
            <a:ln>
              <a:noFill/>
            </a:ln>
            <a:effectLst/>
          </c:spPr>
          <c:invertIfNegative val="0"/>
          <c:cat>
            <c:strRef>
              <c:f>OII!$H$117:$H$124</c:f>
              <c:strCache>
                <c:ptCount val="8"/>
                <c:pt idx="0">
                  <c:v>T1</c:v>
                </c:pt>
                <c:pt idx="1">
                  <c:v>T2</c:v>
                </c:pt>
                <c:pt idx="2">
                  <c:v>T3</c:v>
                </c:pt>
                <c:pt idx="3">
                  <c:v>T4</c:v>
                </c:pt>
                <c:pt idx="4">
                  <c:v>T5</c:v>
                </c:pt>
                <c:pt idx="5">
                  <c:v>T6</c:v>
                </c:pt>
                <c:pt idx="6">
                  <c:v>T7</c:v>
                </c:pt>
                <c:pt idx="7">
                  <c:v>T8</c:v>
                </c:pt>
              </c:strCache>
            </c:strRef>
          </c:cat>
          <c:val>
            <c:numRef>
              <c:f>OII!$J$117:$J$124</c:f>
              <c:numCache>
                <c:formatCode>0.0</c:formatCode>
                <c:ptCount val="8"/>
                <c:pt idx="0">
                  <c:v>134</c:v>
                </c:pt>
                <c:pt idx="1">
                  <c:v>124.59999999999998</c:v>
                </c:pt>
                <c:pt idx="2">
                  <c:v>122.5</c:v>
                </c:pt>
                <c:pt idx="3">
                  <c:v>121.3</c:v>
                </c:pt>
                <c:pt idx="4">
                  <c:v>132.69999999999996</c:v>
                </c:pt>
                <c:pt idx="5">
                  <c:v>128.6</c:v>
                </c:pt>
                <c:pt idx="6">
                  <c:v>127.40000000000002</c:v>
                </c:pt>
                <c:pt idx="7">
                  <c:v>131.30000000000004</c:v>
                </c:pt>
              </c:numCache>
            </c:numRef>
          </c:val>
          <c:extLst>
            <c:ext xmlns:c16="http://schemas.microsoft.com/office/drawing/2014/chart" uri="{C3380CC4-5D6E-409C-BE32-E72D297353CC}">
              <c16:uniqueId val="{00000001-EF5B-477D-9FB1-062830835EE6}"/>
            </c:ext>
          </c:extLst>
        </c:ser>
        <c:dLbls>
          <c:showLegendKey val="0"/>
          <c:showVal val="0"/>
          <c:showCatName val="0"/>
          <c:showSerName val="0"/>
          <c:showPercent val="0"/>
          <c:showBubbleSize val="0"/>
        </c:dLbls>
        <c:gapWidth val="219"/>
        <c:overlap val="-27"/>
        <c:axId val="953648863"/>
        <c:axId val="865969999"/>
      </c:barChart>
      <c:catAx>
        <c:axId val="953648863"/>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Treatments</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5969999"/>
        <c:crosses val="autoZero"/>
        <c:auto val="1"/>
        <c:lblAlgn val="ctr"/>
        <c:lblOffset val="100"/>
        <c:noMultiLvlLbl val="0"/>
      </c:catAx>
      <c:valAx>
        <c:axId val="8659699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SG (%) AND EC (µS/cm/g)</a:t>
                </a:r>
              </a:p>
            </c:rich>
          </c:tx>
          <c:overlay val="0"/>
          <c:spPr>
            <a:noFill/>
            <a:ln>
              <a:noFill/>
            </a:ln>
            <a:effectLst/>
          </c:spPr>
          <c:txPr>
            <a:bodyPr rot="-5400000" spcFirstLastPara="1" vertOverflow="ellipsis" vert="horz" wrap="square" anchor="ctr" anchorCtr="1"/>
            <a:lstStyle/>
            <a:p>
              <a:pPr algn="ctr" rtl="0">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53648863"/>
        <c:crosses val="autoZero"/>
        <c:crossBetween val="between"/>
      </c:valAx>
      <c:spPr>
        <a:solidFill>
          <a:schemeClr val="bg1"/>
        </a:solidFill>
        <a:ln>
          <a:noFill/>
        </a:ln>
        <a:effectLst/>
      </c:spPr>
    </c:plotArea>
    <c:legend>
      <c:legendPos val="r"/>
      <c:layout>
        <c:manualLayout>
          <c:xMode val="edge"/>
          <c:yMode val="edge"/>
          <c:x val="0.77393640031107225"/>
          <c:y val="0.43935130274962475"/>
          <c:w val="0.22606359968892775"/>
          <c:h val="0.2149664794807625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2">
        <a:lumMod val="90000"/>
      </a:schemeClr>
    </a:solidFill>
    <a:ln w="9525" cap="flat" cmpd="sng" algn="ctr">
      <a:solidFill>
        <a:schemeClr val="tx1"/>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TotalTime>
  <Pages>27</Pages>
  <Words>5670</Words>
  <Characters>32323</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1183</cp:lastModifiedBy>
  <cp:revision>8</cp:revision>
  <dcterms:created xsi:type="dcterms:W3CDTF">2025-11-09T03:50:00Z</dcterms:created>
  <dcterms:modified xsi:type="dcterms:W3CDTF">2025-11-11T07:25:00Z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2210824</vt:lpwstr>
  </property>
  <property fmtid="{D5CDD505-2E9C-101B-9397-08002B2CF9AE}" pid="3" name="NXPowerLiteSettings">
    <vt:lpwstr>C7000400038000</vt:lpwstr>
  </property>
  <property fmtid="{D5CDD505-2E9C-101B-9397-08002B2CF9AE}" pid="4" name="NXPowerLiteVersion">
    <vt:lpwstr>S10.9.4</vt:lpwstr>
  </property>
</Properties>
</file>