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4A69A" w14:textId="77777777" w:rsidR="00221CFA" w:rsidRPr="00221CFA" w:rsidRDefault="00221CFA" w:rsidP="00221CFA">
      <w:pPr>
        <w:pStyle w:val="Default"/>
        <w:jc w:val="right"/>
        <w:rPr>
          <w:rFonts w:ascii="Arial" w:hAnsi="Arial" w:cs="Arial"/>
          <w:b/>
          <w:sz w:val="32"/>
          <w:highlight w:val="yellow"/>
          <w:lang w:val="en-US"/>
        </w:rPr>
      </w:pPr>
      <w:r w:rsidRPr="00221CFA">
        <w:rPr>
          <w:rFonts w:ascii="Arial" w:hAnsi="Arial" w:cs="Arial"/>
          <w:b/>
          <w:bCs/>
          <w:sz w:val="32"/>
          <w:highlight w:val="yellow"/>
        </w:rPr>
        <w:t>Integrating Biofertilizers in Nutrient Management of Millets: A Review of Advances and Prospects</w:t>
      </w:r>
    </w:p>
    <w:p w14:paraId="2478442E" w14:textId="77777777" w:rsidR="00221CFA" w:rsidRPr="00221CFA" w:rsidRDefault="00221CFA" w:rsidP="00221CFA">
      <w:pPr>
        <w:pStyle w:val="Default"/>
        <w:jc w:val="center"/>
        <w:rPr>
          <w:rFonts w:ascii="Arial" w:hAnsi="Arial" w:cs="Arial"/>
          <w:b/>
          <w:sz w:val="20"/>
          <w:szCs w:val="20"/>
          <w:highlight w:val="yellow"/>
          <w:lang w:val="en-US"/>
        </w:rPr>
      </w:pPr>
    </w:p>
    <w:p w14:paraId="2CC19959" w14:textId="576E920D" w:rsidR="00221CFA" w:rsidRPr="00645466" w:rsidRDefault="00221CFA" w:rsidP="002267D8">
      <w:pPr>
        <w:spacing w:after="0" w:line="240" w:lineRule="auto"/>
        <w:jc w:val="center"/>
        <w:rPr>
          <w:rFonts w:ascii="Arial" w:eastAsia="Times New Roman" w:hAnsi="Arial" w:cs="Arial"/>
          <w:bCs/>
          <w:i/>
          <w:sz w:val="24"/>
          <w:szCs w:val="20"/>
        </w:rPr>
      </w:pPr>
    </w:p>
    <w:p w14:paraId="66EF027C" w14:textId="77777777" w:rsidR="004E2AB7" w:rsidRDefault="004E2AB7" w:rsidP="004E2AB7">
      <w:pPr>
        <w:pStyle w:val="NoSpacing"/>
        <w:jc w:val="right"/>
        <w:rPr>
          <w:rFonts w:ascii="Arial" w:hAnsi="Arial" w:cs="Arial"/>
          <w:i/>
          <w:sz w:val="20"/>
        </w:rPr>
      </w:pPr>
    </w:p>
    <w:p w14:paraId="7A3F4FFF" w14:textId="77777777" w:rsidR="001E188E" w:rsidRPr="004E2AB7" w:rsidRDefault="001E188E" w:rsidP="004E2AB7">
      <w:pPr>
        <w:pStyle w:val="NoSpacing"/>
        <w:jc w:val="right"/>
        <w:rPr>
          <w:rFonts w:ascii="Arial" w:hAnsi="Arial" w:cs="Arial"/>
          <w:i/>
          <w:sz w:val="20"/>
        </w:rPr>
      </w:pPr>
    </w:p>
    <w:p w14:paraId="69ECDAA0" w14:textId="77777777" w:rsidR="005C391E" w:rsidRPr="00221CFA" w:rsidRDefault="00AD01D2" w:rsidP="004E2AB7">
      <w:pPr>
        <w:pStyle w:val="Default"/>
        <w:jc w:val="center"/>
        <w:rPr>
          <w:rFonts w:ascii="Arial" w:hAnsi="Arial" w:cs="Arial"/>
          <w:b/>
          <w:color w:val="auto"/>
          <w:szCs w:val="20"/>
          <w:lang w:val="en-US"/>
        </w:rPr>
      </w:pPr>
      <w:r w:rsidRPr="00221CFA">
        <w:rPr>
          <w:rFonts w:ascii="Arial" w:hAnsi="Arial" w:cs="Arial"/>
          <w:b/>
          <w:color w:val="auto"/>
          <w:szCs w:val="20"/>
          <w:lang w:val="en-US"/>
        </w:rPr>
        <w:t>ABSTRACT</w:t>
      </w:r>
    </w:p>
    <w:p w14:paraId="3E8C2908" w14:textId="53790998" w:rsidR="00AA4A81" w:rsidRPr="00221CFA" w:rsidRDefault="00AA4A81" w:rsidP="00A43B43">
      <w:pPr>
        <w:spacing w:before="100" w:beforeAutospacing="1" w:after="100" w:afterAutospacing="1" w:line="240" w:lineRule="auto"/>
        <w:jc w:val="both"/>
        <w:rPr>
          <w:rFonts w:ascii="Arial" w:eastAsia="Times New Roman" w:hAnsi="Arial" w:cs="Arial"/>
          <w:sz w:val="20"/>
          <w:szCs w:val="24"/>
          <w:lang w:val="en-IN" w:eastAsia="en-IN"/>
        </w:rPr>
      </w:pPr>
      <w:r w:rsidRPr="00221CFA">
        <w:rPr>
          <w:rFonts w:ascii="Arial" w:eastAsia="Times New Roman" w:hAnsi="Arial" w:cs="Arial"/>
          <w:sz w:val="20"/>
          <w:szCs w:val="24"/>
          <w:lang w:val="en-IN" w:eastAsia="en-IN"/>
        </w:rPr>
        <w:t xml:space="preserve">Millets, </w:t>
      </w:r>
      <w:r w:rsidRPr="00221CFA">
        <w:rPr>
          <w:rFonts w:ascii="Arial" w:eastAsia="Times New Roman" w:hAnsi="Arial" w:cs="Arial"/>
          <w:sz w:val="20"/>
          <w:szCs w:val="24"/>
          <w:highlight w:val="yellow"/>
          <w:lang w:val="en-IN" w:eastAsia="en-IN"/>
        </w:rPr>
        <w:t xml:space="preserve">often </w:t>
      </w:r>
      <w:r w:rsidR="000411C5" w:rsidRPr="00221CFA">
        <w:rPr>
          <w:rFonts w:ascii="Arial" w:eastAsia="Times New Roman" w:hAnsi="Arial" w:cs="Arial"/>
          <w:sz w:val="20"/>
          <w:szCs w:val="24"/>
          <w:highlight w:val="yellow"/>
          <w:lang w:val="en-IN" w:eastAsia="en-IN"/>
        </w:rPr>
        <w:t xml:space="preserve">called </w:t>
      </w:r>
      <w:r w:rsidRPr="00221CFA">
        <w:rPr>
          <w:rFonts w:ascii="Arial" w:eastAsia="Times New Roman" w:hAnsi="Arial" w:cs="Arial"/>
          <w:sz w:val="20"/>
          <w:szCs w:val="24"/>
          <w:highlight w:val="yellow"/>
          <w:lang w:val="en-IN" w:eastAsia="en-IN"/>
        </w:rPr>
        <w:t>“</w:t>
      </w:r>
      <w:proofErr w:type="spellStart"/>
      <w:r w:rsidRPr="00221CFA">
        <w:rPr>
          <w:rFonts w:ascii="Arial" w:eastAsia="Times New Roman" w:hAnsi="Arial" w:cs="Arial"/>
          <w:sz w:val="20"/>
          <w:szCs w:val="24"/>
          <w:highlight w:val="yellow"/>
          <w:lang w:val="en-IN" w:eastAsia="en-IN"/>
        </w:rPr>
        <w:t>nutri</w:t>
      </w:r>
      <w:proofErr w:type="spellEnd"/>
      <w:r w:rsidRPr="00221CFA">
        <w:rPr>
          <w:rFonts w:ascii="Arial" w:eastAsia="Times New Roman" w:hAnsi="Arial" w:cs="Arial"/>
          <w:sz w:val="20"/>
          <w:szCs w:val="24"/>
          <w:highlight w:val="yellow"/>
          <w:lang w:val="en-IN" w:eastAsia="en-IN"/>
        </w:rPr>
        <w:t xml:space="preserve">-cereals,” </w:t>
      </w:r>
      <w:r w:rsidRPr="00221CFA">
        <w:rPr>
          <w:rFonts w:ascii="Arial" w:eastAsia="Times New Roman" w:hAnsi="Arial" w:cs="Arial"/>
          <w:sz w:val="20"/>
          <w:szCs w:val="24"/>
          <w:lang w:val="en-IN" w:eastAsia="en-IN"/>
        </w:rPr>
        <w:t xml:space="preserve">are gaining renewed attention for their resilience, </w:t>
      </w:r>
      <w:r w:rsidRPr="00221CFA">
        <w:rPr>
          <w:rFonts w:ascii="Arial" w:eastAsia="Times New Roman" w:hAnsi="Arial" w:cs="Arial"/>
          <w:sz w:val="20"/>
          <w:szCs w:val="24"/>
          <w:highlight w:val="yellow"/>
          <w:lang w:val="en-IN" w:eastAsia="en-IN"/>
        </w:rPr>
        <w:t xml:space="preserve">nutritional </w:t>
      </w:r>
      <w:r w:rsidR="000411C5" w:rsidRPr="00221CFA">
        <w:rPr>
          <w:rFonts w:ascii="Arial" w:eastAsia="Times New Roman" w:hAnsi="Arial" w:cs="Arial"/>
          <w:sz w:val="20"/>
          <w:szCs w:val="24"/>
          <w:highlight w:val="yellow"/>
          <w:lang w:val="en-IN" w:eastAsia="en-IN"/>
        </w:rPr>
        <w:t>value</w:t>
      </w:r>
      <w:r w:rsidRPr="00221CFA">
        <w:rPr>
          <w:rFonts w:ascii="Arial" w:eastAsia="Times New Roman" w:hAnsi="Arial" w:cs="Arial"/>
          <w:sz w:val="20"/>
          <w:szCs w:val="24"/>
          <w:highlight w:val="yellow"/>
          <w:lang w:val="en-IN" w:eastAsia="en-IN"/>
        </w:rPr>
        <w:t xml:space="preserve">, </w:t>
      </w:r>
      <w:r w:rsidRPr="00221CFA">
        <w:rPr>
          <w:rFonts w:ascii="Arial" w:eastAsia="Times New Roman" w:hAnsi="Arial" w:cs="Arial"/>
          <w:sz w:val="20"/>
          <w:szCs w:val="24"/>
          <w:lang w:val="en-IN" w:eastAsia="en-IN"/>
        </w:rPr>
        <w:t xml:space="preserve">and adaptability to marginal environments. However, </w:t>
      </w:r>
      <w:r w:rsidRPr="00221CFA">
        <w:rPr>
          <w:rFonts w:ascii="Arial" w:eastAsia="Times New Roman" w:hAnsi="Arial" w:cs="Arial"/>
          <w:sz w:val="20"/>
          <w:szCs w:val="24"/>
          <w:highlight w:val="yellow"/>
          <w:lang w:val="en-IN" w:eastAsia="en-IN"/>
        </w:rPr>
        <w:t xml:space="preserve">their productivity </w:t>
      </w:r>
      <w:r w:rsidR="000411C5" w:rsidRPr="00221CFA">
        <w:rPr>
          <w:rFonts w:ascii="Arial" w:eastAsia="Times New Roman" w:hAnsi="Arial" w:cs="Arial"/>
          <w:sz w:val="20"/>
          <w:szCs w:val="24"/>
          <w:highlight w:val="yellow"/>
          <w:lang w:val="en-IN" w:eastAsia="en-IN"/>
        </w:rPr>
        <w:t xml:space="preserve">is still restricted </w:t>
      </w:r>
      <w:r w:rsidRPr="00221CFA">
        <w:rPr>
          <w:rFonts w:ascii="Arial" w:eastAsia="Times New Roman" w:hAnsi="Arial" w:cs="Arial"/>
          <w:sz w:val="20"/>
          <w:szCs w:val="24"/>
          <w:highlight w:val="yellow"/>
          <w:lang w:val="en-IN" w:eastAsia="en-IN"/>
        </w:rPr>
        <w:t xml:space="preserve">by poor soil </w:t>
      </w:r>
      <w:r w:rsidRPr="00221CFA">
        <w:rPr>
          <w:rFonts w:ascii="Arial" w:eastAsia="Times New Roman" w:hAnsi="Arial" w:cs="Arial"/>
          <w:sz w:val="20"/>
          <w:szCs w:val="24"/>
          <w:lang w:val="en-IN" w:eastAsia="en-IN"/>
        </w:rPr>
        <w:t xml:space="preserve">fertility and inefficient nutrient management. Integrating biofertilizers into millet cultivation offers an eco-friendly, cost-effective, and sustainable alternative to conventional fertilizer practices. This review synthesizes recent advances in biofertilizer application, nutrient dynamics, and </w:t>
      </w:r>
      <w:r w:rsidRPr="00221CFA">
        <w:rPr>
          <w:rFonts w:ascii="Arial" w:eastAsia="Times New Roman" w:hAnsi="Arial" w:cs="Arial"/>
          <w:sz w:val="20"/>
          <w:szCs w:val="24"/>
          <w:highlight w:val="yellow"/>
          <w:lang w:val="en-IN" w:eastAsia="en-IN"/>
        </w:rPr>
        <w:t xml:space="preserve">their </w:t>
      </w:r>
      <w:r w:rsidR="00CD3C14" w:rsidRPr="00221CFA">
        <w:rPr>
          <w:rFonts w:ascii="Arial" w:eastAsia="Times New Roman" w:hAnsi="Arial" w:cs="Arial"/>
          <w:sz w:val="20"/>
          <w:szCs w:val="24"/>
          <w:highlight w:val="yellow"/>
          <w:lang w:val="en-IN" w:eastAsia="en-IN"/>
        </w:rPr>
        <w:t>combined</w:t>
      </w:r>
      <w:r w:rsidR="00CD3C14" w:rsidRPr="00221CFA">
        <w:rPr>
          <w:rFonts w:ascii="Arial" w:eastAsia="Times New Roman" w:hAnsi="Arial" w:cs="Arial"/>
          <w:strike/>
          <w:sz w:val="20"/>
          <w:szCs w:val="24"/>
          <w:highlight w:val="yellow"/>
          <w:lang w:val="en-IN" w:eastAsia="en-IN"/>
        </w:rPr>
        <w:t xml:space="preserve"> </w:t>
      </w:r>
      <w:r w:rsidR="00CD3C14" w:rsidRPr="00221CFA">
        <w:rPr>
          <w:rFonts w:ascii="Arial" w:eastAsia="Times New Roman" w:hAnsi="Arial" w:cs="Arial"/>
          <w:sz w:val="20"/>
          <w:szCs w:val="24"/>
          <w:highlight w:val="yellow"/>
          <w:lang w:val="en-IN" w:eastAsia="en-IN"/>
        </w:rPr>
        <w:t>effects</w:t>
      </w:r>
      <w:r w:rsidRPr="00221CFA">
        <w:rPr>
          <w:rFonts w:ascii="Arial" w:eastAsia="Times New Roman" w:hAnsi="Arial" w:cs="Arial"/>
          <w:sz w:val="20"/>
          <w:szCs w:val="24"/>
          <w:highlight w:val="yellow"/>
          <w:lang w:val="en-IN" w:eastAsia="en-IN"/>
        </w:rPr>
        <w:t xml:space="preserve"> </w:t>
      </w:r>
      <w:r w:rsidRPr="00221CFA">
        <w:rPr>
          <w:rFonts w:ascii="Arial" w:eastAsia="Times New Roman" w:hAnsi="Arial" w:cs="Arial"/>
          <w:sz w:val="20"/>
          <w:szCs w:val="24"/>
          <w:lang w:val="en-IN" w:eastAsia="en-IN"/>
        </w:rPr>
        <w:t xml:space="preserve">on millet growth, yield, and grain quality. Biofertilizers such as </w:t>
      </w:r>
      <w:r w:rsidRPr="00221CFA">
        <w:rPr>
          <w:rFonts w:ascii="Arial" w:eastAsia="Times New Roman" w:hAnsi="Arial" w:cs="Arial"/>
          <w:i/>
          <w:iCs/>
          <w:sz w:val="20"/>
          <w:szCs w:val="24"/>
          <w:lang w:val="en-IN" w:eastAsia="en-IN"/>
        </w:rPr>
        <w:t>Rhizobium</w:t>
      </w:r>
      <w:r w:rsidRPr="00221CFA">
        <w:rPr>
          <w:rFonts w:ascii="Arial" w:eastAsia="Times New Roman" w:hAnsi="Arial" w:cs="Arial"/>
          <w:sz w:val="20"/>
          <w:szCs w:val="24"/>
          <w:lang w:val="en-IN" w:eastAsia="en-IN"/>
        </w:rPr>
        <w:t xml:space="preserve">, </w:t>
      </w:r>
      <w:proofErr w:type="spellStart"/>
      <w:r w:rsidRPr="00221CFA">
        <w:rPr>
          <w:rFonts w:ascii="Arial" w:eastAsia="Times New Roman" w:hAnsi="Arial" w:cs="Arial"/>
          <w:i/>
          <w:iCs/>
          <w:sz w:val="20"/>
          <w:szCs w:val="24"/>
          <w:lang w:val="en-IN" w:eastAsia="en-IN"/>
        </w:rPr>
        <w:t>Azospirillum</w:t>
      </w:r>
      <w:proofErr w:type="spellEnd"/>
      <w:r w:rsidRPr="00221CFA">
        <w:rPr>
          <w:rFonts w:ascii="Arial" w:eastAsia="Times New Roman" w:hAnsi="Arial" w:cs="Arial"/>
          <w:sz w:val="20"/>
          <w:szCs w:val="24"/>
          <w:lang w:val="en-IN" w:eastAsia="en-IN"/>
        </w:rPr>
        <w:t xml:space="preserve">, </w:t>
      </w:r>
      <w:proofErr w:type="spellStart"/>
      <w:r w:rsidRPr="00221CFA">
        <w:rPr>
          <w:rFonts w:ascii="Arial" w:eastAsia="Times New Roman" w:hAnsi="Arial" w:cs="Arial"/>
          <w:i/>
          <w:iCs/>
          <w:sz w:val="20"/>
          <w:szCs w:val="24"/>
          <w:lang w:val="en-IN" w:eastAsia="en-IN"/>
        </w:rPr>
        <w:t>Azotobacter</w:t>
      </w:r>
      <w:proofErr w:type="spellEnd"/>
      <w:r w:rsidRPr="00221CFA">
        <w:rPr>
          <w:rFonts w:ascii="Arial" w:eastAsia="Times New Roman" w:hAnsi="Arial" w:cs="Arial"/>
          <w:sz w:val="20"/>
          <w:szCs w:val="24"/>
          <w:lang w:val="en-IN" w:eastAsia="en-IN"/>
        </w:rPr>
        <w:t xml:space="preserve">, and phosphate-solubilizing bacteria (PSB) enhance nutrient availability by fixing atmospheric nitrogen, solubilizing phosphorus, and mobilizing micronutrients, while mycorrhizal associations improve root absorption and stress tolerance. Evidence suggests that inoculation with appropriate microbial strains can increase millet yield by 20–30%, improve nutrient uptake efficiency, and maintain soil health. The review further highlights the influence of </w:t>
      </w:r>
      <w:r w:rsidRPr="00221CFA">
        <w:rPr>
          <w:rFonts w:ascii="Arial" w:eastAsia="Times New Roman" w:hAnsi="Arial" w:cs="Arial"/>
          <w:sz w:val="20"/>
          <w:szCs w:val="24"/>
          <w:highlight w:val="yellow"/>
          <w:lang w:val="en-IN" w:eastAsia="en-IN"/>
        </w:rPr>
        <w:t xml:space="preserve">processing on </w:t>
      </w:r>
      <w:r w:rsidR="005E26E7" w:rsidRPr="00221CFA">
        <w:rPr>
          <w:rFonts w:ascii="Arial" w:eastAsia="Times New Roman" w:hAnsi="Arial" w:cs="Arial"/>
          <w:sz w:val="20"/>
          <w:szCs w:val="24"/>
          <w:highlight w:val="yellow"/>
          <w:lang w:val="en-IN" w:eastAsia="en-IN"/>
        </w:rPr>
        <w:t>millet's</w:t>
      </w:r>
      <w:r w:rsidRPr="00221CFA">
        <w:rPr>
          <w:rFonts w:ascii="Arial" w:eastAsia="Times New Roman" w:hAnsi="Arial" w:cs="Arial"/>
          <w:sz w:val="20"/>
          <w:szCs w:val="24"/>
          <w:highlight w:val="yellow"/>
          <w:lang w:val="en-IN" w:eastAsia="en-IN"/>
        </w:rPr>
        <w:t xml:space="preserve"> antioxidant </w:t>
      </w:r>
      <w:r w:rsidRPr="00221CFA">
        <w:rPr>
          <w:rFonts w:ascii="Arial" w:eastAsia="Times New Roman" w:hAnsi="Arial" w:cs="Arial"/>
          <w:sz w:val="20"/>
          <w:szCs w:val="24"/>
          <w:lang w:val="en-IN" w:eastAsia="en-IN"/>
        </w:rPr>
        <w:t xml:space="preserve">potential, where techniques such as germination and malting </w:t>
      </w:r>
      <w:r w:rsidRPr="00221CFA">
        <w:rPr>
          <w:rFonts w:ascii="Arial" w:eastAsia="Times New Roman" w:hAnsi="Arial" w:cs="Arial"/>
          <w:sz w:val="20"/>
          <w:szCs w:val="24"/>
          <w:highlight w:val="yellow"/>
          <w:lang w:val="en-IN" w:eastAsia="en-IN"/>
        </w:rPr>
        <w:t xml:space="preserve">significantly </w:t>
      </w:r>
      <w:proofErr w:type="spellStart"/>
      <w:r w:rsidR="005E26E7" w:rsidRPr="00221CFA">
        <w:rPr>
          <w:rFonts w:ascii="Arial" w:eastAsia="Times New Roman" w:hAnsi="Arial" w:cs="Arial"/>
          <w:sz w:val="20"/>
          <w:szCs w:val="24"/>
          <w:highlight w:val="yellow"/>
          <w:lang w:val="en-IN" w:eastAsia="en-IN"/>
        </w:rPr>
        <w:t>enhanceing</w:t>
      </w:r>
      <w:proofErr w:type="spellEnd"/>
      <w:r w:rsidRPr="00221CFA">
        <w:rPr>
          <w:rFonts w:ascii="Arial" w:eastAsia="Times New Roman" w:hAnsi="Arial" w:cs="Arial"/>
          <w:sz w:val="20"/>
          <w:szCs w:val="24"/>
          <w:highlight w:val="yellow"/>
          <w:lang w:val="en-IN" w:eastAsia="en-IN"/>
        </w:rPr>
        <w:t xml:space="preserve"> </w:t>
      </w:r>
      <w:r w:rsidRPr="00221CFA">
        <w:rPr>
          <w:rFonts w:ascii="Arial" w:eastAsia="Times New Roman" w:hAnsi="Arial" w:cs="Arial"/>
          <w:sz w:val="20"/>
          <w:szCs w:val="24"/>
          <w:lang w:val="en-IN" w:eastAsia="en-IN"/>
        </w:rPr>
        <w:t xml:space="preserve">the bioavailability of phenolic compounds and antioxidant capacity. Policy </w:t>
      </w:r>
      <w:r w:rsidRPr="00221CFA">
        <w:rPr>
          <w:rFonts w:ascii="Arial" w:eastAsia="Times New Roman" w:hAnsi="Arial" w:cs="Arial"/>
          <w:sz w:val="20"/>
          <w:szCs w:val="24"/>
          <w:highlight w:val="yellow"/>
          <w:lang w:val="en-IN" w:eastAsia="en-IN"/>
        </w:rPr>
        <w:t xml:space="preserve">recommendations </w:t>
      </w:r>
      <w:r w:rsidR="005E26E7" w:rsidRPr="00221CFA">
        <w:rPr>
          <w:rFonts w:ascii="Arial" w:eastAsia="Times New Roman" w:hAnsi="Arial" w:cs="Arial"/>
          <w:sz w:val="20"/>
          <w:szCs w:val="24"/>
          <w:highlight w:val="yellow"/>
          <w:lang w:val="en-IN" w:eastAsia="en-IN"/>
        </w:rPr>
        <w:t>to promote</w:t>
      </w:r>
      <w:r w:rsidRPr="00221CFA">
        <w:rPr>
          <w:rFonts w:ascii="Arial" w:eastAsia="Times New Roman" w:hAnsi="Arial" w:cs="Arial"/>
          <w:sz w:val="20"/>
          <w:szCs w:val="24"/>
          <w:highlight w:val="yellow"/>
          <w:lang w:val="en-IN" w:eastAsia="en-IN"/>
        </w:rPr>
        <w:t xml:space="preserve"> millet </w:t>
      </w:r>
      <w:r w:rsidRPr="00221CFA">
        <w:rPr>
          <w:rFonts w:ascii="Arial" w:eastAsia="Times New Roman" w:hAnsi="Arial" w:cs="Arial"/>
          <w:sz w:val="20"/>
          <w:szCs w:val="24"/>
          <w:lang w:val="en-IN" w:eastAsia="en-IN"/>
        </w:rPr>
        <w:t xml:space="preserve">production include strengthening seed inoculation protocols, optimizing organic–inorganic fertilizer combinations, and integrating biofertilizers within national nutrient management frameworks. The convergence of biofertilizer technology with sustainable agronomic practices holds immense </w:t>
      </w:r>
      <w:r w:rsidRPr="00221CFA">
        <w:rPr>
          <w:rFonts w:ascii="Arial" w:eastAsia="Times New Roman" w:hAnsi="Arial" w:cs="Arial"/>
          <w:sz w:val="20"/>
          <w:szCs w:val="24"/>
          <w:highlight w:val="yellow"/>
          <w:lang w:val="en-IN" w:eastAsia="en-IN"/>
        </w:rPr>
        <w:t xml:space="preserve">potential </w:t>
      </w:r>
      <w:r w:rsidR="00A43B43" w:rsidRPr="00221CFA">
        <w:rPr>
          <w:rFonts w:ascii="Arial" w:eastAsia="Times New Roman" w:hAnsi="Arial" w:cs="Arial"/>
          <w:sz w:val="20"/>
          <w:szCs w:val="24"/>
          <w:highlight w:val="yellow"/>
          <w:lang w:val="en-IN" w:eastAsia="en-IN"/>
        </w:rPr>
        <w:t xml:space="preserve">to revitalize </w:t>
      </w:r>
      <w:r w:rsidRPr="00221CFA">
        <w:rPr>
          <w:rFonts w:ascii="Arial" w:eastAsia="Times New Roman" w:hAnsi="Arial" w:cs="Arial"/>
          <w:sz w:val="20"/>
          <w:szCs w:val="24"/>
          <w:highlight w:val="yellow"/>
          <w:lang w:val="en-IN" w:eastAsia="en-IN"/>
        </w:rPr>
        <w:t xml:space="preserve">millet cultivation, </w:t>
      </w:r>
      <w:r w:rsidRPr="00221CFA">
        <w:rPr>
          <w:rFonts w:ascii="Arial" w:eastAsia="Times New Roman" w:hAnsi="Arial" w:cs="Arial"/>
          <w:sz w:val="20"/>
          <w:szCs w:val="24"/>
          <w:lang w:val="en-IN" w:eastAsia="en-IN"/>
        </w:rPr>
        <w:t>improving nutritional security, and reducing chemical fertilizer dependency in smallholder farming systems.</w:t>
      </w:r>
    </w:p>
    <w:p w14:paraId="220EE9E1" w14:textId="77777777" w:rsidR="00AA4A81" w:rsidRPr="00221CFA" w:rsidRDefault="00AA4A81" w:rsidP="00AA4A81">
      <w:pPr>
        <w:spacing w:before="100" w:beforeAutospacing="1" w:after="100" w:afterAutospacing="1" w:line="240" w:lineRule="auto"/>
        <w:jc w:val="both"/>
        <w:rPr>
          <w:rFonts w:ascii="Arial" w:eastAsia="Times New Roman" w:hAnsi="Arial" w:cs="Arial"/>
          <w:i/>
          <w:sz w:val="20"/>
          <w:szCs w:val="24"/>
          <w:lang w:val="en-IN" w:eastAsia="en-IN"/>
        </w:rPr>
      </w:pPr>
      <w:r w:rsidRPr="00221CFA">
        <w:rPr>
          <w:rFonts w:ascii="Arial" w:eastAsia="Times New Roman" w:hAnsi="Arial" w:cs="Arial"/>
          <w:b/>
          <w:bCs/>
          <w:i/>
          <w:sz w:val="20"/>
          <w:szCs w:val="24"/>
          <w:lang w:val="en-IN" w:eastAsia="en-IN"/>
        </w:rPr>
        <w:t>Keywords:</w:t>
      </w:r>
      <w:r w:rsidRPr="00221CFA">
        <w:rPr>
          <w:rFonts w:ascii="Arial" w:eastAsia="Times New Roman" w:hAnsi="Arial" w:cs="Arial"/>
          <w:i/>
          <w:sz w:val="20"/>
          <w:szCs w:val="24"/>
          <w:lang w:val="en-IN" w:eastAsia="en-IN"/>
        </w:rPr>
        <w:t xml:space="preserve"> Millets, biofertilizers, nutrient management, sustainable agriculture, soil health, antioxidant activity</w:t>
      </w:r>
    </w:p>
    <w:p w14:paraId="312F2BA4" w14:textId="77777777" w:rsidR="00AD01D2" w:rsidRPr="00221CFA" w:rsidRDefault="00AD01D2" w:rsidP="005F09B8">
      <w:pPr>
        <w:pStyle w:val="ListParagraph"/>
        <w:numPr>
          <w:ilvl w:val="0"/>
          <w:numId w:val="10"/>
        </w:numPr>
        <w:spacing w:line="240" w:lineRule="auto"/>
        <w:jc w:val="both"/>
        <w:rPr>
          <w:rFonts w:ascii="Arial" w:hAnsi="Arial" w:cs="Arial"/>
          <w:b/>
          <w:sz w:val="24"/>
          <w:szCs w:val="20"/>
        </w:rPr>
      </w:pPr>
      <w:r w:rsidRPr="00221CFA">
        <w:rPr>
          <w:rFonts w:ascii="Arial" w:hAnsi="Arial" w:cs="Arial"/>
          <w:b/>
          <w:sz w:val="24"/>
          <w:szCs w:val="20"/>
        </w:rPr>
        <w:t>INTRODUCTION</w:t>
      </w:r>
    </w:p>
    <w:p w14:paraId="79A9F051" w14:textId="55209F00" w:rsidR="00AA4A81" w:rsidRPr="00221CFA" w:rsidRDefault="00AA4A81" w:rsidP="00AA4A81">
      <w:pPr>
        <w:spacing w:before="100" w:beforeAutospacing="1" w:after="100" w:afterAutospacing="1" w:line="240" w:lineRule="auto"/>
        <w:jc w:val="both"/>
        <w:rPr>
          <w:rFonts w:ascii="Arial" w:eastAsia="Times New Roman" w:hAnsi="Arial" w:cs="Arial"/>
          <w:sz w:val="20"/>
          <w:szCs w:val="24"/>
          <w:lang w:val="en-IN" w:eastAsia="en-IN"/>
        </w:rPr>
      </w:pPr>
      <w:r w:rsidRPr="00221CFA">
        <w:rPr>
          <w:rFonts w:ascii="Arial" w:eastAsia="Times New Roman" w:hAnsi="Arial" w:cs="Arial"/>
          <w:sz w:val="20"/>
          <w:szCs w:val="24"/>
          <w:lang w:val="en-IN" w:eastAsia="en-IN"/>
        </w:rPr>
        <w:t>The escalating demand for sustainable agricultural production in the face of climate change, soil degradation, and growing global food insecurity has revived interest in traditional, resilient, and nutrient-dense crops such as millets</w:t>
      </w:r>
      <w:r w:rsidR="003E29B1">
        <w:rPr>
          <w:rFonts w:ascii="Arial" w:eastAsia="Times New Roman" w:hAnsi="Arial" w:cs="Arial"/>
          <w:sz w:val="20"/>
          <w:szCs w:val="24"/>
          <w:lang w:val="en-IN" w:eastAsia="en-IN"/>
        </w:rPr>
        <w:t xml:space="preserve"> (</w:t>
      </w:r>
      <w:r w:rsidR="003E29B1" w:rsidRPr="003E29B1">
        <w:rPr>
          <w:rFonts w:ascii="Arial" w:eastAsia="Times New Roman" w:hAnsi="Arial" w:cs="Arial"/>
          <w:sz w:val="20"/>
          <w:szCs w:val="24"/>
          <w:lang w:val="en-IN" w:eastAsia="en-IN"/>
        </w:rPr>
        <w:t>Mukherjee</w:t>
      </w:r>
      <w:r w:rsidR="003E29B1">
        <w:rPr>
          <w:rFonts w:ascii="Arial" w:eastAsia="Times New Roman" w:hAnsi="Arial" w:cs="Arial"/>
          <w:sz w:val="20"/>
          <w:szCs w:val="24"/>
          <w:lang w:val="en-IN" w:eastAsia="en-IN"/>
        </w:rPr>
        <w:t xml:space="preserve"> et al, 2025)</w:t>
      </w:r>
      <w:r w:rsidRPr="00221CFA">
        <w:rPr>
          <w:rFonts w:ascii="Arial" w:eastAsia="Times New Roman" w:hAnsi="Arial" w:cs="Arial"/>
          <w:sz w:val="20"/>
          <w:szCs w:val="24"/>
          <w:lang w:val="en-IN" w:eastAsia="en-IN"/>
        </w:rPr>
        <w:t>. Often referred to as “</w:t>
      </w:r>
      <w:proofErr w:type="spellStart"/>
      <w:r w:rsidRPr="00221CFA">
        <w:rPr>
          <w:rFonts w:ascii="Arial" w:eastAsia="Times New Roman" w:hAnsi="Arial" w:cs="Arial"/>
          <w:sz w:val="20"/>
          <w:szCs w:val="24"/>
          <w:lang w:val="en-IN" w:eastAsia="en-IN"/>
        </w:rPr>
        <w:t>nutri</w:t>
      </w:r>
      <w:proofErr w:type="spellEnd"/>
      <w:r w:rsidRPr="00221CFA">
        <w:rPr>
          <w:rFonts w:ascii="Arial" w:eastAsia="Times New Roman" w:hAnsi="Arial" w:cs="Arial"/>
          <w:sz w:val="20"/>
          <w:szCs w:val="24"/>
          <w:lang w:val="en-IN" w:eastAsia="en-IN"/>
        </w:rPr>
        <w:t xml:space="preserve">-cereals,” millets are a diverse group of small-seeded grasses belonging to the family </w:t>
      </w:r>
      <w:proofErr w:type="spellStart"/>
      <w:r w:rsidRPr="00221CFA">
        <w:rPr>
          <w:rFonts w:ascii="Arial" w:eastAsia="Times New Roman" w:hAnsi="Arial" w:cs="Arial"/>
          <w:i/>
          <w:iCs/>
          <w:sz w:val="20"/>
          <w:szCs w:val="24"/>
          <w:lang w:val="en-IN" w:eastAsia="en-IN"/>
        </w:rPr>
        <w:t>Poaceae</w:t>
      </w:r>
      <w:proofErr w:type="spellEnd"/>
      <w:r w:rsidRPr="00221CFA">
        <w:rPr>
          <w:rFonts w:ascii="Arial" w:eastAsia="Times New Roman" w:hAnsi="Arial" w:cs="Arial"/>
          <w:sz w:val="20"/>
          <w:szCs w:val="24"/>
          <w:lang w:val="en-IN" w:eastAsia="en-IN"/>
        </w:rPr>
        <w:t>, which includes species like pearl millet (</w:t>
      </w:r>
      <w:r w:rsidRPr="00221CFA">
        <w:rPr>
          <w:rFonts w:ascii="Arial" w:eastAsia="Times New Roman" w:hAnsi="Arial" w:cs="Arial"/>
          <w:i/>
          <w:iCs/>
          <w:sz w:val="20"/>
          <w:szCs w:val="24"/>
          <w:lang w:val="en-IN" w:eastAsia="en-IN"/>
        </w:rPr>
        <w:t>Pennisetum glaucum</w:t>
      </w:r>
      <w:r w:rsidRPr="00221CFA">
        <w:rPr>
          <w:rFonts w:ascii="Arial" w:eastAsia="Times New Roman" w:hAnsi="Arial" w:cs="Arial"/>
          <w:sz w:val="20"/>
          <w:szCs w:val="24"/>
          <w:lang w:val="en-IN" w:eastAsia="en-IN"/>
        </w:rPr>
        <w:t>), finger millet (</w:t>
      </w:r>
      <w:r w:rsidRPr="00221CFA">
        <w:rPr>
          <w:rFonts w:ascii="Arial" w:eastAsia="Times New Roman" w:hAnsi="Arial" w:cs="Arial"/>
          <w:i/>
          <w:iCs/>
          <w:sz w:val="20"/>
          <w:szCs w:val="24"/>
          <w:lang w:val="en-IN" w:eastAsia="en-IN"/>
        </w:rPr>
        <w:t>Eleusine coracana</w:t>
      </w:r>
      <w:r w:rsidRPr="00221CFA">
        <w:rPr>
          <w:rFonts w:ascii="Arial" w:eastAsia="Times New Roman" w:hAnsi="Arial" w:cs="Arial"/>
          <w:sz w:val="20"/>
          <w:szCs w:val="24"/>
          <w:lang w:val="en-IN" w:eastAsia="en-IN"/>
        </w:rPr>
        <w:t>), foxtail millet (</w:t>
      </w:r>
      <w:proofErr w:type="spellStart"/>
      <w:r w:rsidRPr="00221CFA">
        <w:rPr>
          <w:rFonts w:ascii="Arial" w:eastAsia="Times New Roman" w:hAnsi="Arial" w:cs="Arial"/>
          <w:i/>
          <w:iCs/>
          <w:sz w:val="20"/>
          <w:szCs w:val="24"/>
          <w:lang w:val="en-IN" w:eastAsia="en-IN"/>
        </w:rPr>
        <w:t>Setaria</w:t>
      </w:r>
      <w:proofErr w:type="spellEnd"/>
      <w:r w:rsidRPr="00221CFA">
        <w:rPr>
          <w:rFonts w:ascii="Arial" w:eastAsia="Times New Roman" w:hAnsi="Arial" w:cs="Arial"/>
          <w:i/>
          <w:iCs/>
          <w:sz w:val="20"/>
          <w:szCs w:val="24"/>
          <w:lang w:val="en-IN" w:eastAsia="en-IN"/>
        </w:rPr>
        <w:t xml:space="preserve"> </w:t>
      </w:r>
      <w:proofErr w:type="spellStart"/>
      <w:r w:rsidRPr="00221CFA">
        <w:rPr>
          <w:rFonts w:ascii="Arial" w:eastAsia="Times New Roman" w:hAnsi="Arial" w:cs="Arial"/>
          <w:i/>
          <w:iCs/>
          <w:sz w:val="20"/>
          <w:szCs w:val="24"/>
          <w:lang w:val="en-IN" w:eastAsia="en-IN"/>
        </w:rPr>
        <w:t>italica</w:t>
      </w:r>
      <w:proofErr w:type="spellEnd"/>
      <w:r w:rsidRPr="00221CFA">
        <w:rPr>
          <w:rFonts w:ascii="Arial" w:eastAsia="Times New Roman" w:hAnsi="Arial" w:cs="Arial"/>
          <w:sz w:val="20"/>
          <w:szCs w:val="24"/>
          <w:lang w:val="en-IN" w:eastAsia="en-IN"/>
        </w:rPr>
        <w:t>), barnyard millet (</w:t>
      </w:r>
      <w:proofErr w:type="spellStart"/>
      <w:r w:rsidRPr="00221CFA">
        <w:rPr>
          <w:rFonts w:ascii="Arial" w:eastAsia="Times New Roman" w:hAnsi="Arial" w:cs="Arial"/>
          <w:i/>
          <w:iCs/>
          <w:sz w:val="20"/>
          <w:szCs w:val="24"/>
          <w:lang w:val="en-IN" w:eastAsia="en-IN"/>
        </w:rPr>
        <w:t>Echinochloa</w:t>
      </w:r>
      <w:proofErr w:type="spellEnd"/>
      <w:r w:rsidRPr="00221CFA">
        <w:rPr>
          <w:rFonts w:ascii="Arial" w:eastAsia="Times New Roman" w:hAnsi="Arial" w:cs="Arial"/>
          <w:i/>
          <w:iCs/>
          <w:sz w:val="20"/>
          <w:szCs w:val="24"/>
          <w:lang w:val="en-IN" w:eastAsia="en-IN"/>
        </w:rPr>
        <w:t xml:space="preserve"> </w:t>
      </w:r>
      <w:proofErr w:type="spellStart"/>
      <w:r w:rsidRPr="00221CFA">
        <w:rPr>
          <w:rFonts w:ascii="Arial" w:eastAsia="Times New Roman" w:hAnsi="Arial" w:cs="Arial"/>
          <w:i/>
          <w:iCs/>
          <w:sz w:val="20"/>
          <w:szCs w:val="24"/>
          <w:lang w:val="en-IN" w:eastAsia="en-IN"/>
        </w:rPr>
        <w:t>frumentacea</w:t>
      </w:r>
      <w:proofErr w:type="spellEnd"/>
      <w:r w:rsidRPr="00221CFA">
        <w:rPr>
          <w:rFonts w:ascii="Arial" w:eastAsia="Times New Roman" w:hAnsi="Arial" w:cs="Arial"/>
          <w:sz w:val="20"/>
          <w:szCs w:val="24"/>
          <w:lang w:val="en-IN" w:eastAsia="en-IN"/>
        </w:rPr>
        <w:t>), and little millet (</w:t>
      </w:r>
      <w:r w:rsidRPr="00221CFA">
        <w:rPr>
          <w:rFonts w:ascii="Arial" w:eastAsia="Times New Roman" w:hAnsi="Arial" w:cs="Arial"/>
          <w:i/>
          <w:iCs/>
          <w:sz w:val="20"/>
          <w:szCs w:val="24"/>
          <w:lang w:val="en-IN" w:eastAsia="en-IN"/>
        </w:rPr>
        <w:t xml:space="preserve">Panicum </w:t>
      </w:r>
      <w:proofErr w:type="spellStart"/>
      <w:r w:rsidRPr="00221CFA">
        <w:rPr>
          <w:rFonts w:ascii="Arial" w:eastAsia="Times New Roman" w:hAnsi="Arial" w:cs="Arial"/>
          <w:i/>
          <w:iCs/>
          <w:sz w:val="20"/>
          <w:szCs w:val="24"/>
          <w:lang w:val="en-IN" w:eastAsia="en-IN"/>
        </w:rPr>
        <w:t>sumatrense</w:t>
      </w:r>
      <w:proofErr w:type="spellEnd"/>
      <w:r w:rsidRPr="00221CFA">
        <w:rPr>
          <w:rFonts w:ascii="Arial" w:eastAsia="Times New Roman" w:hAnsi="Arial" w:cs="Arial"/>
          <w:sz w:val="20"/>
          <w:szCs w:val="24"/>
          <w:lang w:val="en-IN" w:eastAsia="en-IN"/>
        </w:rPr>
        <w:t>)</w:t>
      </w:r>
      <w:r w:rsidR="003E29B1">
        <w:rPr>
          <w:rFonts w:ascii="Arial" w:eastAsia="Times New Roman" w:hAnsi="Arial" w:cs="Arial"/>
          <w:sz w:val="20"/>
          <w:szCs w:val="24"/>
          <w:lang w:val="en-IN" w:eastAsia="en-IN"/>
        </w:rPr>
        <w:t xml:space="preserve"> (</w:t>
      </w:r>
      <w:proofErr w:type="spellStart"/>
      <w:r w:rsidR="003E29B1" w:rsidRPr="003E29B1">
        <w:rPr>
          <w:rFonts w:ascii="Arial" w:eastAsia="Times New Roman" w:hAnsi="Arial" w:cs="Arial"/>
          <w:sz w:val="20"/>
          <w:szCs w:val="24"/>
          <w:lang w:val="en-IN" w:eastAsia="en-IN"/>
        </w:rPr>
        <w:t>Porwal</w:t>
      </w:r>
      <w:proofErr w:type="spellEnd"/>
      <w:r w:rsidR="003E29B1">
        <w:rPr>
          <w:rFonts w:ascii="Arial" w:eastAsia="Times New Roman" w:hAnsi="Arial" w:cs="Arial"/>
          <w:sz w:val="20"/>
          <w:szCs w:val="24"/>
          <w:lang w:val="en-IN" w:eastAsia="en-IN"/>
        </w:rPr>
        <w:t xml:space="preserve"> et al., 2023)</w:t>
      </w:r>
      <w:r w:rsidRPr="00221CFA">
        <w:rPr>
          <w:rFonts w:ascii="Arial" w:eastAsia="Times New Roman" w:hAnsi="Arial" w:cs="Arial"/>
          <w:sz w:val="20"/>
          <w:szCs w:val="24"/>
          <w:lang w:val="en-IN" w:eastAsia="en-IN"/>
        </w:rPr>
        <w:t xml:space="preserve">. These crops thrive in semi-arid and marginal ecosystems where major cereals often fail, offering climate resilience, low input requirements, and rich </w:t>
      </w:r>
      <w:r w:rsidRPr="00221CFA">
        <w:rPr>
          <w:rFonts w:ascii="Arial" w:eastAsia="Times New Roman" w:hAnsi="Arial" w:cs="Arial"/>
          <w:sz w:val="20"/>
          <w:szCs w:val="24"/>
          <w:highlight w:val="yellow"/>
          <w:lang w:val="en-IN" w:eastAsia="en-IN"/>
        </w:rPr>
        <w:t xml:space="preserve">nutritional profiles </w:t>
      </w:r>
      <w:r w:rsidR="003A6821" w:rsidRPr="00221CFA">
        <w:rPr>
          <w:rFonts w:ascii="Arial" w:eastAsia="Times New Roman" w:hAnsi="Arial" w:cs="Arial"/>
          <w:sz w:val="20"/>
          <w:szCs w:val="24"/>
          <w:highlight w:val="yellow"/>
          <w:lang w:eastAsia="en-IN"/>
        </w:rPr>
        <w:t>including</w:t>
      </w:r>
      <w:r w:rsidRPr="00221CFA">
        <w:rPr>
          <w:rFonts w:ascii="Arial" w:eastAsia="Times New Roman" w:hAnsi="Arial" w:cs="Arial"/>
          <w:sz w:val="20"/>
          <w:szCs w:val="24"/>
          <w:highlight w:val="yellow"/>
          <w:lang w:val="en-IN" w:eastAsia="en-IN"/>
        </w:rPr>
        <w:t xml:space="preserve"> high </w:t>
      </w:r>
      <w:proofErr w:type="spellStart"/>
      <w:r w:rsidRPr="00221CFA">
        <w:rPr>
          <w:rFonts w:ascii="Arial" w:eastAsia="Times New Roman" w:hAnsi="Arial" w:cs="Arial"/>
          <w:sz w:val="20"/>
          <w:szCs w:val="24"/>
          <w:lang w:val="en-IN" w:eastAsia="en-IN"/>
        </w:rPr>
        <w:t>fiber</w:t>
      </w:r>
      <w:proofErr w:type="spellEnd"/>
      <w:r w:rsidRPr="00221CFA">
        <w:rPr>
          <w:rFonts w:ascii="Arial" w:eastAsia="Times New Roman" w:hAnsi="Arial" w:cs="Arial"/>
          <w:sz w:val="20"/>
          <w:szCs w:val="24"/>
          <w:lang w:val="en-IN" w:eastAsia="en-IN"/>
        </w:rPr>
        <w:t>, essential amino acids, minerals, and antioxidants (</w:t>
      </w:r>
      <w:proofErr w:type="spellStart"/>
      <w:r w:rsidRPr="00221CFA">
        <w:rPr>
          <w:rFonts w:ascii="Arial" w:eastAsia="Times New Roman" w:hAnsi="Arial" w:cs="Arial"/>
          <w:sz w:val="20"/>
          <w:szCs w:val="24"/>
          <w:lang w:val="en-IN" w:eastAsia="en-IN"/>
        </w:rPr>
        <w:t>Samtiya</w:t>
      </w:r>
      <w:proofErr w:type="spellEnd"/>
      <w:r w:rsidRPr="00221CFA">
        <w:rPr>
          <w:rFonts w:ascii="Arial" w:eastAsia="Times New Roman" w:hAnsi="Arial" w:cs="Arial"/>
          <w:sz w:val="20"/>
          <w:szCs w:val="24"/>
          <w:lang w:val="en-IN" w:eastAsia="en-IN"/>
        </w:rPr>
        <w:t xml:space="preserve"> et al., 2023</w:t>
      </w:r>
      <w:r w:rsidR="003E29B1">
        <w:rPr>
          <w:rFonts w:ascii="Arial" w:eastAsia="Times New Roman" w:hAnsi="Arial" w:cs="Arial"/>
          <w:sz w:val="20"/>
          <w:szCs w:val="24"/>
          <w:lang w:val="en-IN" w:eastAsia="en-IN"/>
        </w:rPr>
        <w:t xml:space="preserve">; </w:t>
      </w:r>
      <w:r w:rsidR="003E29B1" w:rsidRPr="003E29B1">
        <w:rPr>
          <w:rFonts w:ascii="Arial" w:eastAsia="Times New Roman" w:hAnsi="Arial" w:cs="Arial"/>
          <w:sz w:val="20"/>
          <w:szCs w:val="24"/>
          <w:lang w:val="en-IN" w:eastAsia="en-IN"/>
        </w:rPr>
        <w:t>Das</w:t>
      </w:r>
      <w:r w:rsidR="003E29B1">
        <w:rPr>
          <w:rFonts w:ascii="Arial" w:eastAsia="Times New Roman" w:hAnsi="Arial" w:cs="Arial"/>
          <w:sz w:val="20"/>
          <w:szCs w:val="24"/>
          <w:lang w:val="en-IN" w:eastAsia="en-IN"/>
        </w:rPr>
        <w:t xml:space="preserve"> et al., 2025</w:t>
      </w:r>
      <w:r w:rsidRPr="00221CFA">
        <w:rPr>
          <w:rFonts w:ascii="Arial" w:eastAsia="Times New Roman" w:hAnsi="Arial" w:cs="Arial"/>
          <w:sz w:val="20"/>
          <w:szCs w:val="24"/>
          <w:lang w:val="en-IN" w:eastAsia="en-IN"/>
        </w:rPr>
        <w:t>). Despite these advantages, millet productivity remains suboptimal, largely due to poor soil fertility, limited adoption of improved agronomic practices, and imbalanced fertilizer use</w:t>
      </w:r>
      <w:r w:rsidR="003E29B1">
        <w:rPr>
          <w:rFonts w:ascii="Arial" w:eastAsia="Times New Roman" w:hAnsi="Arial" w:cs="Arial"/>
          <w:sz w:val="20"/>
          <w:szCs w:val="24"/>
          <w:lang w:val="en-IN" w:eastAsia="en-IN"/>
        </w:rPr>
        <w:t xml:space="preserve"> (</w:t>
      </w:r>
      <w:proofErr w:type="spellStart"/>
      <w:r w:rsidR="003E29B1" w:rsidRPr="003E29B1">
        <w:rPr>
          <w:rFonts w:ascii="Arial" w:eastAsia="Times New Roman" w:hAnsi="Arial" w:cs="Arial"/>
          <w:sz w:val="20"/>
          <w:szCs w:val="24"/>
          <w:lang w:val="en-IN" w:eastAsia="en-IN"/>
        </w:rPr>
        <w:t>Sawargaonkar</w:t>
      </w:r>
      <w:proofErr w:type="spellEnd"/>
      <w:r w:rsidR="003E29B1">
        <w:rPr>
          <w:rFonts w:ascii="Arial" w:eastAsia="Times New Roman" w:hAnsi="Arial" w:cs="Arial"/>
          <w:sz w:val="20"/>
          <w:szCs w:val="24"/>
          <w:lang w:val="en-IN" w:eastAsia="en-IN"/>
        </w:rPr>
        <w:t xml:space="preserve"> et al., 2025)</w:t>
      </w:r>
      <w:r w:rsidRPr="00221CFA">
        <w:rPr>
          <w:rFonts w:ascii="Arial" w:eastAsia="Times New Roman" w:hAnsi="Arial" w:cs="Arial"/>
          <w:sz w:val="20"/>
          <w:szCs w:val="24"/>
          <w:lang w:val="en-IN" w:eastAsia="en-IN"/>
        </w:rPr>
        <w:t>. Addressing these constraints through integrated nutrient management, particularly via biofertilizers, has emerged as a promising strategy to enhance both yield and soil sustainability.</w:t>
      </w:r>
    </w:p>
    <w:p w14:paraId="0775470B" w14:textId="34E0C475" w:rsidR="00AA4A81" w:rsidRPr="00221CFA" w:rsidRDefault="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221CFA">
        <w:rPr>
          <w:rFonts w:ascii="Arial" w:eastAsia="Times New Roman" w:hAnsi="Arial" w:cs="Arial"/>
          <w:sz w:val="20"/>
          <w:szCs w:val="24"/>
          <w:lang w:val="en-IN" w:eastAsia="en-IN"/>
        </w:rPr>
        <w:t>Chemical fertilizers have undoubtedly contributed to yield enhancement and global food security; however, their excessive and unbalanced use has led to several ecological and agronomic challenges, including nutrient leaching, soil acidification, loss of beneficial microbes, and declining soil organic matter (Shah &amp; Wu, 2019</w:t>
      </w:r>
      <w:r w:rsidR="003E29B1">
        <w:rPr>
          <w:rFonts w:ascii="Arial" w:eastAsia="Times New Roman" w:hAnsi="Arial" w:cs="Arial"/>
          <w:sz w:val="20"/>
          <w:szCs w:val="24"/>
          <w:lang w:val="en-IN" w:eastAsia="en-IN"/>
        </w:rPr>
        <w:t xml:space="preserve">; </w:t>
      </w:r>
      <w:r w:rsidR="003E29B1" w:rsidRPr="003E29B1">
        <w:rPr>
          <w:rFonts w:ascii="Arial" w:eastAsia="Times New Roman" w:hAnsi="Arial" w:cs="Arial"/>
          <w:sz w:val="20"/>
          <w:szCs w:val="24"/>
          <w:lang w:val="en-IN" w:eastAsia="en-IN"/>
        </w:rPr>
        <w:t>Penuelas</w:t>
      </w:r>
      <w:r w:rsidR="003E29B1">
        <w:rPr>
          <w:rFonts w:ascii="Arial" w:eastAsia="Times New Roman" w:hAnsi="Arial" w:cs="Arial"/>
          <w:sz w:val="20"/>
          <w:szCs w:val="24"/>
          <w:lang w:val="en-IN" w:eastAsia="en-IN"/>
        </w:rPr>
        <w:t xml:space="preserve"> et al, 2023</w:t>
      </w:r>
      <w:r w:rsidRPr="00221CFA">
        <w:rPr>
          <w:rFonts w:ascii="Arial" w:eastAsia="Times New Roman" w:hAnsi="Arial" w:cs="Arial"/>
          <w:sz w:val="20"/>
          <w:szCs w:val="24"/>
          <w:lang w:val="en-IN" w:eastAsia="en-IN"/>
        </w:rPr>
        <w:t>). The long-</w:t>
      </w:r>
      <w:r w:rsidRPr="00221CFA">
        <w:rPr>
          <w:rFonts w:ascii="Arial" w:eastAsia="Times New Roman" w:hAnsi="Arial" w:cs="Arial"/>
          <w:sz w:val="20"/>
          <w:szCs w:val="24"/>
          <w:highlight w:val="yellow"/>
          <w:lang w:val="en-IN" w:eastAsia="en-IN"/>
        </w:rPr>
        <w:t xml:space="preserve">term </w:t>
      </w:r>
      <w:r w:rsidR="0003397F" w:rsidRPr="00221CFA">
        <w:rPr>
          <w:rFonts w:ascii="Arial" w:eastAsia="Times New Roman" w:hAnsi="Arial" w:cs="Arial"/>
          <w:sz w:val="20"/>
          <w:szCs w:val="24"/>
          <w:highlight w:val="yellow"/>
          <w:lang w:val="en-IN" w:eastAsia="en-IN"/>
        </w:rPr>
        <w:t xml:space="preserve">reliance </w:t>
      </w:r>
      <w:r w:rsidRPr="00221CFA">
        <w:rPr>
          <w:rFonts w:ascii="Arial" w:eastAsia="Times New Roman" w:hAnsi="Arial" w:cs="Arial"/>
          <w:sz w:val="20"/>
          <w:szCs w:val="24"/>
          <w:highlight w:val="yellow"/>
          <w:lang w:val="en-IN" w:eastAsia="en-IN"/>
        </w:rPr>
        <w:t xml:space="preserve">on </w:t>
      </w:r>
      <w:r w:rsidRPr="00221CFA">
        <w:rPr>
          <w:rFonts w:ascii="Arial" w:eastAsia="Times New Roman" w:hAnsi="Arial" w:cs="Arial"/>
          <w:sz w:val="20"/>
          <w:szCs w:val="24"/>
          <w:lang w:val="en-IN" w:eastAsia="en-IN"/>
        </w:rPr>
        <w:t xml:space="preserve">synthetic fertilizers has disrupted natural nutrient cycles and increased </w:t>
      </w:r>
      <w:r w:rsidRPr="00221CFA">
        <w:rPr>
          <w:rFonts w:ascii="Arial" w:eastAsia="Times New Roman" w:hAnsi="Arial" w:cs="Arial"/>
          <w:sz w:val="20"/>
          <w:szCs w:val="24"/>
          <w:highlight w:val="yellow"/>
          <w:lang w:val="en-IN" w:eastAsia="en-IN"/>
        </w:rPr>
        <w:t>cultivation</w:t>
      </w:r>
      <w:r w:rsidR="0003397F" w:rsidRPr="00221CFA">
        <w:rPr>
          <w:rFonts w:ascii="Arial" w:eastAsia="Times New Roman" w:hAnsi="Arial" w:cs="Arial"/>
          <w:sz w:val="20"/>
          <w:szCs w:val="24"/>
          <w:highlight w:val="yellow"/>
          <w:lang w:val="en-IN" w:eastAsia="en-IN"/>
        </w:rPr>
        <w:t xml:space="preserve"> costs</w:t>
      </w:r>
      <w:r w:rsidRPr="00221CFA">
        <w:rPr>
          <w:rFonts w:ascii="Arial" w:eastAsia="Times New Roman" w:hAnsi="Arial" w:cs="Arial"/>
          <w:sz w:val="20"/>
          <w:szCs w:val="24"/>
          <w:highlight w:val="yellow"/>
          <w:lang w:val="en-IN" w:eastAsia="en-IN"/>
        </w:rPr>
        <w:t xml:space="preserve">, posing </w:t>
      </w:r>
      <w:r w:rsidRPr="00221CFA">
        <w:rPr>
          <w:rFonts w:ascii="Arial" w:eastAsia="Times New Roman" w:hAnsi="Arial" w:cs="Arial"/>
          <w:sz w:val="20"/>
          <w:szCs w:val="24"/>
          <w:lang w:val="en-IN" w:eastAsia="en-IN"/>
        </w:rPr>
        <w:t>economic and environmental concerns for resource-poor farmers</w:t>
      </w:r>
      <w:r w:rsidR="003E29B1">
        <w:rPr>
          <w:rFonts w:ascii="Arial" w:eastAsia="Times New Roman" w:hAnsi="Arial" w:cs="Arial"/>
          <w:sz w:val="20"/>
          <w:szCs w:val="24"/>
          <w:lang w:val="en-IN" w:eastAsia="en-IN"/>
        </w:rPr>
        <w:t xml:space="preserve"> (</w:t>
      </w:r>
      <w:r w:rsidR="003E29B1" w:rsidRPr="003E29B1">
        <w:rPr>
          <w:rFonts w:ascii="Arial" w:eastAsia="Times New Roman" w:hAnsi="Arial" w:cs="Arial"/>
          <w:sz w:val="20"/>
          <w:szCs w:val="24"/>
          <w:lang w:val="en-IN" w:eastAsia="en-IN"/>
        </w:rPr>
        <w:t>Chen</w:t>
      </w:r>
      <w:r w:rsidR="003E29B1">
        <w:rPr>
          <w:rFonts w:ascii="Arial" w:eastAsia="Times New Roman" w:hAnsi="Arial" w:cs="Arial"/>
          <w:sz w:val="20"/>
          <w:szCs w:val="24"/>
          <w:lang w:val="en-IN" w:eastAsia="en-IN"/>
        </w:rPr>
        <w:t xml:space="preserve"> et al., 2018)</w:t>
      </w:r>
      <w:r w:rsidRPr="00221CFA">
        <w:rPr>
          <w:rFonts w:ascii="Arial" w:eastAsia="Times New Roman" w:hAnsi="Arial" w:cs="Arial"/>
          <w:sz w:val="20"/>
          <w:szCs w:val="24"/>
          <w:lang w:val="en-IN" w:eastAsia="en-IN"/>
        </w:rPr>
        <w:t>. In this context, biofertilizers</w:t>
      </w:r>
      <w:r w:rsidR="003A178B" w:rsidRPr="00221CFA">
        <w:rPr>
          <w:rFonts w:ascii="Arial" w:eastAsia="Times New Roman" w:hAnsi="Arial" w:cs="Arial"/>
          <w:sz w:val="20"/>
          <w:szCs w:val="24"/>
          <w:lang w:val="en-IN" w:eastAsia="en-IN"/>
        </w:rPr>
        <w:t xml:space="preserve"> </w:t>
      </w:r>
      <w:r w:rsidRPr="00221CFA">
        <w:rPr>
          <w:rFonts w:ascii="Arial" w:eastAsia="Times New Roman" w:hAnsi="Arial" w:cs="Arial"/>
          <w:sz w:val="20"/>
          <w:szCs w:val="24"/>
          <w:lang w:val="en-IN" w:eastAsia="en-IN"/>
        </w:rPr>
        <w:t xml:space="preserve">living formulations containing beneficial microorganisms </w:t>
      </w:r>
      <w:r w:rsidR="004F4AA0" w:rsidRPr="00221CFA">
        <w:rPr>
          <w:rFonts w:ascii="Arial" w:eastAsia="Times New Roman" w:hAnsi="Arial" w:cs="Arial"/>
          <w:sz w:val="20"/>
          <w:szCs w:val="24"/>
          <w:highlight w:val="yellow"/>
          <w:lang w:val="en-IN" w:eastAsia="en-IN"/>
        </w:rPr>
        <w:t xml:space="preserve">that enhance </w:t>
      </w:r>
      <w:r w:rsidRPr="00221CFA">
        <w:rPr>
          <w:rFonts w:ascii="Arial" w:eastAsia="Times New Roman" w:hAnsi="Arial" w:cs="Arial"/>
          <w:sz w:val="20"/>
          <w:szCs w:val="24"/>
          <w:highlight w:val="yellow"/>
          <w:lang w:val="en-IN" w:eastAsia="en-IN"/>
        </w:rPr>
        <w:t xml:space="preserve">nutrient availability </w:t>
      </w:r>
      <w:r w:rsidRPr="00221CFA">
        <w:rPr>
          <w:rFonts w:ascii="Arial" w:eastAsia="Times New Roman" w:hAnsi="Arial" w:cs="Arial"/>
          <w:sz w:val="20"/>
          <w:szCs w:val="24"/>
          <w:lang w:val="en-IN" w:eastAsia="en-IN"/>
        </w:rPr>
        <w:t>to plants</w:t>
      </w:r>
      <w:r w:rsidR="003A178B" w:rsidRPr="00221CFA">
        <w:rPr>
          <w:rFonts w:ascii="Arial" w:eastAsia="Times New Roman" w:hAnsi="Arial" w:cs="Arial"/>
          <w:sz w:val="20"/>
          <w:szCs w:val="24"/>
          <w:lang w:val="en-IN" w:eastAsia="en-IN"/>
        </w:rPr>
        <w:t xml:space="preserve"> </w:t>
      </w:r>
      <w:r w:rsidRPr="00221CFA">
        <w:rPr>
          <w:rFonts w:ascii="Arial" w:eastAsia="Times New Roman" w:hAnsi="Arial" w:cs="Arial"/>
          <w:sz w:val="20"/>
          <w:szCs w:val="24"/>
          <w:lang w:val="en-IN" w:eastAsia="en-IN"/>
        </w:rPr>
        <w:t>offer an eco-friendly and cost-effective complement or alternative to conventional fertilizers (Basu et al., 2021</w:t>
      </w:r>
      <w:r w:rsidR="003E29B1">
        <w:rPr>
          <w:rFonts w:ascii="Arial" w:eastAsia="Times New Roman" w:hAnsi="Arial" w:cs="Arial"/>
          <w:sz w:val="20"/>
          <w:szCs w:val="24"/>
          <w:lang w:val="en-IN" w:eastAsia="en-IN"/>
        </w:rPr>
        <w:t xml:space="preserve">; </w:t>
      </w:r>
      <w:r w:rsidR="003E29B1" w:rsidRPr="003E29B1">
        <w:rPr>
          <w:rFonts w:ascii="Arial" w:eastAsia="Times New Roman" w:hAnsi="Arial" w:cs="Arial"/>
          <w:sz w:val="20"/>
          <w:szCs w:val="24"/>
          <w:lang w:val="en-IN" w:eastAsia="en-IN"/>
        </w:rPr>
        <w:t>Kumar</w:t>
      </w:r>
      <w:r w:rsidR="003E29B1">
        <w:rPr>
          <w:rFonts w:ascii="Arial" w:eastAsia="Times New Roman" w:hAnsi="Arial" w:cs="Arial"/>
          <w:sz w:val="20"/>
          <w:szCs w:val="24"/>
          <w:lang w:val="en-IN" w:eastAsia="en-IN"/>
        </w:rPr>
        <w:t xml:space="preserve"> et al., 2022</w:t>
      </w:r>
      <w:r w:rsidRPr="00221CFA">
        <w:rPr>
          <w:rFonts w:ascii="Arial" w:eastAsia="Times New Roman" w:hAnsi="Arial" w:cs="Arial"/>
          <w:sz w:val="20"/>
          <w:szCs w:val="24"/>
          <w:lang w:val="en-IN" w:eastAsia="en-IN"/>
        </w:rPr>
        <w:t>). By improving nutrient mobilization, promoting root development, and fostering soil microbial diversity, biofertilizers play a vital role in restoring soil fertility and promoting sustainable crop production</w:t>
      </w:r>
      <w:r w:rsidR="00175D30" w:rsidRPr="00221CFA">
        <w:rPr>
          <w:rFonts w:ascii="Arial" w:eastAsia="Times New Roman" w:hAnsi="Arial" w:cs="Arial"/>
          <w:sz w:val="20"/>
          <w:szCs w:val="24"/>
          <w:lang w:val="en-IN" w:eastAsia="en-IN"/>
        </w:rPr>
        <w:t xml:space="preserve"> (</w:t>
      </w:r>
      <w:proofErr w:type="spellStart"/>
      <w:r w:rsidR="00175D30" w:rsidRPr="00221CFA">
        <w:rPr>
          <w:rFonts w:ascii="Arial" w:hAnsi="Arial" w:cs="Arial"/>
          <w:sz w:val="20"/>
          <w:highlight w:val="yellow"/>
        </w:rPr>
        <w:t>Chapke</w:t>
      </w:r>
      <w:proofErr w:type="spellEnd"/>
      <w:r w:rsidR="00175D30" w:rsidRPr="00221CFA">
        <w:rPr>
          <w:rFonts w:ascii="Arial" w:hAnsi="Arial" w:cs="Arial"/>
          <w:sz w:val="20"/>
          <w:highlight w:val="yellow"/>
        </w:rPr>
        <w:t xml:space="preserve"> et al., 2018</w:t>
      </w:r>
      <w:r w:rsidR="003E29B1">
        <w:rPr>
          <w:rFonts w:ascii="Arial" w:hAnsi="Arial" w:cs="Arial"/>
          <w:sz w:val="20"/>
          <w:highlight w:val="yellow"/>
        </w:rPr>
        <w:t xml:space="preserve">; </w:t>
      </w:r>
      <w:r w:rsidR="003E29B1" w:rsidRPr="003E29B1">
        <w:rPr>
          <w:rFonts w:ascii="Arial" w:hAnsi="Arial" w:cs="Arial"/>
          <w:sz w:val="20"/>
        </w:rPr>
        <w:t>Bhardwaj</w:t>
      </w:r>
      <w:r w:rsidR="003E29B1">
        <w:rPr>
          <w:rFonts w:ascii="Arial" w:hAnsi="Arial" w:cs="Arial"/>
          <w:sz w:val="20"/>
        </w:rPr>
        <w:t xml:space="preserve"> et al., 2014</w:t>
      </w:r>
      <w:r w:rsidR="00175D30" w:rsidRPr="00221CFA">
        <w:rPr>
          <w:rFonts w:ascii="Arial" w:eastAsia="Times New Roman" w:hAnsi="Arial" w:cs="Arial"/>
          <w:sz w:val="20"/>
          <w:szCs w:val="24"/>
          <w:lang w:val="en-IN" w:eastAsia="en-IN"/>
        </w:rPr>
        <w:t>)</w:t>
      </w:r>
      <w:r w:rsidRPr="00221CFA">
        <w:rPr>
          <w:rFonts w:ascii="Arial" w:eastAsia="Times New Roman" w:hAnsi="Arial" w:cs="Arial"/>
          <w:sz w:val="20"/>
          <w:szCs w:val="24"/>
          <w:lang w:val="en-IN" w:eastAsia="en-IN"/>
        </w:rPr>
        <w:t>.</w:t>
      </w:r>
    </w:p>
    <w:p w14:paraId="39332EF6" w14:textId="15068B90" w:rsidR="00AA4A81" w:rsidRPr="00221CFA"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221CFA">
        <w:rPr>
          <w:rFonts w:ascii="Arial" w:eastAsia="Times New Roman" w:hAnsi="Arial" w:cs="Arial"/>
          <w:sz w:val="20"/>
          <w:szCs w:val="24"/>
          <w:lang w:val="en-IN" w:eastAsia="en-IN"/>
        </w:rPr>
        <w:lastRenderedPageBreak/>
        <w:t>Biofertilizers encompass a wide range of microbial inoculants, including nitrogen-fixing bacteria (</w:t>
      </w:r>
      <w:r w:rsidRPr="00221CFA">
        <w:rPr>
          <w:rFonts w:ascii="Arial" w:eastAsia="Times New Roman" w:hAnsi="Arial" w:cs="Arial"/>
          <w:i/>
          <w:iCs/>
          <w:sz w:val="20"/>
          <w:szCs w:val="24"/>
          <w:lang w:val="en-IN" w:eastAsia="en-IN"/>
        </w:rPr>
        <w:t>Rhizobium</w:t>
      </w:r>
      <w:r w:rsidRPr="00221CFA">
        <w:rPr>
          <w:rFonts w:ascii="Arial" w:eastAsia="Times New Roman" w:hAnsi="Arial" w:cs="Arial"/>
          <w:sz w:val="20"/>
          <w:szCs w:val="24"/>
          <w:lang w:val="en-IN" w:eastAsia="en-IN"/>
        </w:rPr>
        <w:t xml:space="preserve">, </w:t>
      </w:r>
      <w:proofErr w:type="spellStart"/>
      <w:r w:rsidRPr="00221CFA">
        <w:rPr>
          <w:rFonts w:ascii="Arial" w:eastAsia="Times New Roman" w:hAnsi="Arial" w:cs="Arial"/>
          <w:i/>
          <w:iCs/>
          <w:sz w:val="20"/>
          <w:szCs w:val="24"/>
          <w:lang w:val="en-IN" w:eastAsia="en-IN"/>
        </w:rPr>
        <w:t>Azotobacter</w:t>
      </w:r>
      <w:proofErr w:type="spellEnd"/>
      <w:r w:rsidRPr="00221CFA">
        <w:rPr>
          <w:rFonts w:ascii="Arial" w:eastAsia="Times New Roman" w:hAnsi="Arial" w:cs="Arial"/>
          <w:sz w:val="20"/>
          <w:szCs w:val="24"/>
          <w:lang w:val="en-IN" w:eastAsia="en-IN"/>
        </w:rPr>
        <w:t xml:space="preserve">, </w:t>
      </w:r>
      <w:proofErr w:type="spellStart"/>
      <w:r w:rsidRPr="00221CFA">
        <w:rPr>
          <w:rFonts w:ascii="Arial" w:eastAsia="Times New Roman" w:hAnsi="Arial" w:cs="Arial"/>
          <w:i/>
          <w:iCs/>
          <w:sz w:val="20"/>
          <w:szCs w:val="24"/>
          <w:lang w:val="en-IN" w:eastAsia="en-IN"/>
        </w:rPr>
        <w:t>Azospirillum</w:t>
      </w:r>
      <w:proofErr w:type="spellEnd"/>
      <w:r w:rsidRPr="00221CFA">
        <w:rPr>
          <w:rFonts w:ascii="Arial" w:eastAsia="Times New Roman" w:hAnsi="Arial" w:cs="Arial"/>
          <w:sz w:val="20"/>
          <w:szCs w:val="24"/>
          <w:lang w:val="en-IN" w:eastAsia="en-IN"/>
        </w:rPr>
        <w:t xml:space="preserve">, </w:t>
      </w:r>
      <w:r w:rsidRPr="00221CFA">
        <w:rPr>
          <w:rFonts w:ascii="Arial" w:eastAsia="Times New Roman" w:hAnsi="Arial" w:cs="Arial"/>
          <w:i/>
          <w:iCs/>
          <w:sz w:val="20"/>
          <w:szCs w:val="24"/>
          <w:lang w:val="en-IN" w:eastAsia="en-IN"/>
        </w:rPr>
        <w:t>Acetobacter</w:t>
      </w:r>
      <w:r w:rsidRPr="00221CFA">
        <w:rPr>
          <w:rFonts w:ascii="Arial" w:eastAsia="Times New Roman" w:hAnsi="Arial" w:cs="Arial"/>
          <w:sz w:val="20"/>
          <w:szCs w:val="24"/>
          <w:lang w:val="en-IN" w:eastAsia="en-IN"/>
        </w:rPr>
        <w:t>), phosphate-solubilizing microorganisms (</w:t>
      </w:r>
      <w:r w:rsidRPr="00221CFA">
        <w:rPr>
          <w:rFonts w:ascii="Arial" w:eastAsia="Times New Roman" w:hAnsi="Arial" w:cs="Arial"/>
          <w:i/>
          <w:iCs/>
          <w:sz w:val="20"/>
          <w:szCs w:val="24"/>
          <w:lang w:val="en-IN" w:eastAsia="en-IN"/>
        </w:rPr>
        <w:t>Bacillus</w:t>
      </w:r>
      <w:r w:rsidRPr="00221CFA">
        <w:rPr>
          <w:rFonts w:ascii="Arial" w:eastAsia="Times New Roman" w:hAnsi="Arial" w:cs="Arial"/>
          <w:sz w:val="20"/>
          <w:szCs w:val="24"/>
          <w:lang w:val="en-IN" w:eastAsia="en-IN"/>
        </w:rPr>
        <w:t xml:space="preserve">, </w:t>
      </w:r>
      <w:r w:rsidRPr="00221CFA">
        <w:rPr>
          <w:rFonts w:ascii="Arial" w:eastAsia="Times New Roman" w:hAnsi="Arial" w:cs="Arial"/>
          <w:i/>
          <w:iCs/>
          <w:sz w:val="20"/>
          <w:szCs w:val="24"/>
          <w:lang w:val="en-IN" w:eastAsia="en-IN"/>
        </w:rPr>
        <w:t>Pseudomonas</w:t>
      </w:r>
      <w:r w:rsidRPr="00221CFA">
        <w:rPr>
          <w:rFonts w:ascii="Arial" w:eastAsia="Times New Roman" w:hAnsi="Arial" w:cs="Arial"/>
          <w:sz w:val="20"/>
          <w:szCs w:val="24"/>
          <w:lang w:val="en-IN" w:eastAsia="en-IN"/>
        </w:rPr>
        <w:t xml:space="preserve">, </w:t>
      </w:r>
      <w:r w:rsidRPr="00221CFA">
        <w:rPr>
          <w:rFonts w:ascii="Arial" w:eastAsia="Times New Roman" w:hAnsi="Arial" w:cs="Arial"/>
          <w:i/>
          <w:iCs/>
          <w:sz w:val="20"/>
          <w:szCs w:val="24"/>
          <w:lang w:val="en-IN" w:eastAsia="en-IN"/>
        </w:rPr>
        <w:t>Aspergillus</w:t>
      </w:r>
      <w:r w:rsidRPr="00221CFA">
        <w:rPr>
          <w:rFonts w:ascii="Arial" w:eastAsia="Times New Roman" w:hAnsi="Arial" w:cs="Arial"/>
          <w:sz w:val="20"/>
          <w:szCs w:val="24"/>
          <w:lang w:val="en-IN" w:eastAsia="en-IN"/>
        </w:rPr>
        <w:t xml:space="preserve">), and nutrient-mobilizing fungi such as vesicular-arbuscular mycorrhizae (VAM), which enhance phosphorus and micronutrient uptake (Mitra et al., 2023). These microorganisms colonize the rhizosphere and the interior of plant roots, facilitating improved nutrient acquisition through processes such as nitrogen fixation, phosphate solubilization, siderophore </w:t>
      </w:r>
      <w:r w:rsidRPr="00221CFA">
        <w:rPr>
          <w:rFonts w:ascii="Arial" w:eastAsia="Times New Roman" w:hAnsi="Arial" w:cs="Arial"/>
          <w:sz w:val="20"/>
          <w:szCs w:val="24"/>
          <w:highlight w:val="yellow"/>
          <w:lang w:val="en-IN" w:eastAsia="en-IN"/>
        </w:rPr>
        <w:t xml:space="preserve">production, and </w:t>
      </w:r>
      <w:r w:rsidR="003641D5" w:rsidRPr="00221CFA">
        <w:rPr>
          <w:rFonts w:ascii="Arial" w:eastAsia="Times New Roman" w:hAnsi="Arial" w:cs="Arial"/>
          <w:sz w:val="20"/>
          <w:szCs w:val="24"/>
          <w:highlight w:val="yellow"/>
          <w:lang w:val="en-IN" w:eastAsia="en-IN"/>
        </w:rPr>
        <w:t xml:space="preserve">the </w:t>
      </w:r>
      <w:r w:rsidRPr="00221CFA">
        <w:rPr>
          <w:rFonts w:ascii="Arial" w:eastAsia="Times New Roman" w:hAnsi="Arial" w:cs="Arial"/>
          <w:sz w:val="20"/>
          <w:szCs w:val="24"/>
          <w:highlight w:val="yellow"/>
          <w:lang w:val="en-IN" w:eastAsia="en-IN"/>
        </w:rPr>
        <w:t xml:space="preserve">secretion </w:t>
      </w:r>
      <w:r w:rsidRPr="00221CFA">
        <w:rPr>
          <w:rFonts w:ascii="Arial" w:eastAsia="Times New Roman" w:hAnsi="Arial" w:cs="Arial"/>
          <w:sz w:val="20"/>
          <w:szCs w:val="24"/>
          <w:lang w:val="en-IN" w:eastAsia="en-IN"/>
        </w:rPr>
        <w:t xml:space="preserve">of growth-promoting </w:t>
      </w:r>
      <w:r w:rsidRPr="00221CFA">
        <w:rPr>
          <w:rFonts w:ascii="Arial" w:eastAsia="Times New Roman" w:hAnsi="Arial" w:cs="Arial"/>
          <w:sz w:val="20"/>
          <w:szCs w:val="24"/>
          <w:highlight w:val="yellow"/>
          <w:lang w:val="en-IN" w:eastAsia="en-IN"/>
        </w:rPr>
        <w:t xml:space="preserve">phytohormones </w:t>
      </w:r>
      <w:r w:rsidR="003641D5" w:rsidRPr="00221CFA">
        <w:rPr>
          <w:rFonts w:ascii="Arial" w:eastAsia="Times New Roman" w:hAnsi="Arial" w:cs="Arial"/>
          <w:sz w:val="20"/>
          <w:szCs w:val="24"/>
          <w:highlight w:val="yellow"/>
          <w:lang w:val="en-IN" w:eastAsia="en-IN"/>
        </w:rPr>
        <w:t>such as</w:t>
      </w:r>
      <w:r w:rsidRPr="00221CFA">
        <w:rPr>
          <w:rFonts w:ascii="Arial" w:eastAsia="Times New Roman" w:hAnsi="Arial" w:cs="Arial"/>
          <w:sz w:val="20"/>
          <w:szCs w:val="24"/>
          <w:highlight w:val="yellow"/>
          <w:lang w:val="en-IN" w:eastAsia="en-IN"/>
        </w:rPr>
        <w:t xml:space="preserve"> indole-3-acetic </w:t>
      </w:r>
      <w:r w:rsidRPr="00221CFA">
        <w:rPr>
          <w:rFonts w:ascii="Arial" w:eastAsia="Times New Roman" w:hAnsi="Arial" w:cs="Arial"/>
          <w:sz w:val="20"/>
          <w:szCs w:val="24"/>
          <w:lang w:val="en-IN" w:eastAsia="en-IN"/>
        </w:rPr>
        <w:t xml:space="preserve">acid and gibberellins (Basu et al., 2021). In millet-based systems, microbial inoculation has been shown to significantly improve plant height, biomass accumulation, grain yield, and nutrient use efficiency. Studies by Gite et al. (2021) reported that inoculating pearl millet with </w:t>
      </w:r>
      <w:proofErr w:type="spellStart"/>
      <w:r w:rsidRPr="00221CFA">
        <w:rPr>
          <w:rFonts w:ascii="Arial" w:eastAsia="Times New Roman" w:hAnsi="Arial" w:cs="Arial"/>
          <w:i/>
          <w:iCs/>
          <w:sz w:val="20"/>
          <w:szCs w:val="24"/>
          <w:lang w:val="en-IN" w:eastAsia="en-IN"/>
        </w:rPr>
        <w:t>Azospirillum</w:t>
      </w:r>
      <w:proofErr w:type="spellEnd"/>
      <w:r w:rsidRPr="00221CFA">
        <w:rPr>
          <w:rFonts w:ascii="Arial" w:eastAsia="Times New Roman" w:hAnsi="Arial" w:cs="Arial"/>
          <w:i/>
          <w:iCs/>
          <w:sz w:val="20"/>
          <w:szCs w:val="24"/>
          <w:lang w:val="en-IN" w:eastAsia="en-IN"/>
        </w:rPr>
        <w:t xml:space="preserve"> </w:t>
      </w:r>
      <w:proofErr w:type="spellStart"/>
      <w:r w:rsidRPr="00221CFA">
        <w:rPr>
          <w:rFonts w:ascii="Arial" w:eastAsia="Times New Roman" w:hAnsi="Arial" w:cs="Arial"/>
          <w:i/>
          <w:iCs/>
          <w:sz w:val="20"/>
          <w:szCs w:val="24"/>
          <w:lang w:val="en-IN" w:eastAsia="en-IN"/>
        </w:rPr>
        <w:t>lipoferum</w:t>
      </w:r>
      <w:proofErr w:type="spellEnd"/>
      <w:r w:rsidRPr="00221CFA">
        <w:rPr>
          <w:rFonts w:ascii="Arial" w:eastAsia="Times New Roman" w:hAnsi="Arial" w:cs="Arial"/>
          <w:sz w:val="20"/>
          <w:szCs w:val="24"/>
          <w:lang w:val="en-IN" w:eastAsia="en-IN"/>
        </w:rPr>
        <w:t xml:space="preserve">, </w:t>
      </w:r>
      <w:r w:rsidRPr="00221CFA">
        <w:rPr>
          <w:rFonts w:ascii="Arial" w:eastAsia="Times New Roman" w:hAnsi="Arial" w:cs="Arial"/>
          <w:i/>
          <w:iCs/>
          <w:sz w:val="20"/>
          <w:szCs w:val="24"/>
          <w:lang w:val="en-IN" w:eastAsia="en-IN"/>
        </w:rPr>
        <w:t>Pseudomonas fluorescens</w:t>
      </w:r>
      <w:r w:rsidRPr="00221CFA">
        <w:rPr>
          <w:rFonts w:ascii="Arial" w:eastAsia="Times New Roman" w:hAnsi="Arial" w:cs="Arial"/>
          <w:sz w:val="20"/>
          <w:szCs w:val="24"/>
          <w:lang w:val="en-IN" w:eastAsia="en-IN"/>
        </w:rPr>
        <w:t xml:space="preserve">, and phosphate-solubilizing bacteria improved nitrogen and phosphorus uptake, enhancing grain yield by up to 30% compared to untreated controls. Similarly, </w:t>
      </w:r>
      <w:r w:rsidR="003641D5" w:rsidRPr="00221CFA">
        <w:rPr>
          <w:rFonts w:ascii="Arial" w:eastAsia="Times New Roman" w:hAnsi="Arial" w:cs="Arial"/>
          <w:sz w:val="20"/>
          <w:szCs w:val="24"/>
          <w:highlight w:val="yellow"/>
          <w:lang w:val="en-IN" w:eastAsia="en-IN"/>
        </w:rPr>
        <w:t xml:space="preserve">inoculations with </w:t>
      </w:r>
      <w:r w:rsidRPr="00221CFA">
        <w:rPr>
          <w:rFonts w:ascii="Arial" w:eastAsia="Times New Roman" w:hAnsi="Arial" w:cs="Arial"/>
          <w:i/>
          <w:iCs/>
          <w:sz w:val="20"/>
          <w:szCs w:val="24"/>
          <w:highlight w:val="yellow"/>
          <w:lang w:val="en-IN" w:eastAsia="en-IN"/>
        </w:rPr>
        <w:t>Azotobacter</w:t>
      </w:r>
      <w:r w:rsidRPr="00221CFA">
        <w:rPr>
          <w:rFonts w:ascii="Arial" w:eastAsia="Times New Roman" w:hAnsi="Arial" w:cs="Arial"/>
          <w:sz w:val="20"/>
          <w:szCs w:val="24"/>
          <w:highlight w:val="yellow"/>
          <w:lang w:val="en-IN" w:eastAsia="en-IN"/>
        </w:rPr>
        <w:t xml:space="preserve"> and </w:t>
      </w:r>
      <w:r w:rsidRPr="00221CFA">
        <w:rPr>
          <w:rFonts w:ascii="Arial" w:eastAsia="Times New Roman" w:hAnsi="Arial" w:cs="Arial"/>
          <w:i/>
          <w:iCs/>
          <w:sz w:val="20"/>
          <w:szCs w:val="24"/>
          <w:lang w:val="en-IN" w:eastAsia="en-IN"/>
        </w:rPr>
        <w:t>Rhizobium</w:t>
      </w:r>
      <w:r w:rsidRPr="00221CFA">
        <w:rPr>
          <w:rFonts w:ascii="Arial" w:eastAsia="Times New Roman" w:hAnsi="Arial" w:cs="Arial"/>
          <w:sz w:val="20"/>
          <w:szCs w:val="24"/>
          <w:lang w:val="en-IN" w:eastAsia="en-IN"/>
        </w:rPr>
        <w:t xml:space="preserve"> in finger millet and sorghum have been associated with increased germination, improved </w:t>
      </w:r>
      <w:proofErr w:type="spellStart"/>
      <w:r w:rsidRPr="00221CFA">
        <w:rPr>
          <w:rFonts w:ascii="Arial" w:eastAsia="Times New Roman" w:hAnsi="Arial" w:cs="Arial"/>
          <w:sz w:val="20"/>
          <w:szCs w:val="24"/>
          <w:lang w:val="en-IN" w:eastAsia="en-IN"/>
        </w:rPr>
        <w:t>vigor</w:t>
      </w:r>
      <w:proofErr w:type="spellEnd"/>
      <w:r w:rsidRPr="00221CFA">
        <w:rPr>
          <w:rFonts w:ascii="Arial" w:eastAsia="Times New Roman" w:hAnsi="Arial" w:cs="Arial"/>
          <w:sz w:val="20"/>
          <w:szCs w:val="24"/>
          <w:lang w:val="en-IN" w:eastAsia="en-IN"/>
        </w:rPr>
        <w:t>, and enhanced yield attributes (Aamir et al., 2020).</w:t>
      </w:r>
    </w:p>
    <w:p w14:paraId="7B9D7585" w14:textId="77777777" w:rsidR="00AA4A81" w:rsidRPr="00221CFA" w:rsidRDefault="00AA4A81" w:rsidP="00AA4A81">
      <w:pPr>
        <w:spacing w:before="100" w:beforeAutospacing="1" w:after="100" w:afterAutospacing="1" w:line="240" w:lineRule="auto"/>
        <w:ind w:firstLine="720"/>
        <w:jc w:val="both"/>
        <w:rPr>
          <w:rFonts w:ascii="Arial" w:eastAsia="Times New Roman" w:hAnsi="Arial" w:cs="Arial"/>
          <w:sz w:val="20"/>
          <w:szCs w:val="24"/>
          <w:lang w:val="en-IN" w:eastAsia="en-IN"/>
        </w:rPr>
      </w:pPr>
      <w:r w:rsidRPr="00221CFA">
        <w:rPr>
          <w:rFonts w:ascii="Arial" w:eastAsia="Times New Roman" w:hAnsi="Arial" w:cs="Arial"/>
          <w:sz w:val="20"/>
          <w:szCs w:val="24"/>
          <w:lang w:val="en-IN" w:eastAsia="en-IN"/>
        </w:rPr>
        <w:t xml:space="preserve">Integrating biofertilizers into the nutrient management of millets not only improves productivity but also contributes to the long-term sustainability of soil ecosystems. The synergistic use of organic manures, biofertilizers, and judicious chemical inputs optimizes nutrient availability and enhances fertilizer use efficiency. The inclusion of organic sources such as compost or farmyard manure supports microbial proliferation, while biofertilizers improve nutrient mobilization and uptake. According to Gao et al. (2020), replacing 50–75% of nitrogen in chemical fertilizers with organic sources significantly improved millet yield and grain quality while maintaining soil microbial balance. Han et al. (2023) further demonstrated that integrating biogas slurry or biofertilizers into conventional nutrient regimes increased beneficial microbial populations such as </w:t>
      </w:r>
      <w:proofErr w:type="spellStart"/>
      <w:r w:rsidRPr="00221CFA">
        <w:rPr>
          <w:rFonts w:ascii="Arial" w:eastAsia="Times New Roman" w:hAnsi="Arial" w:cs="Arial"/>
          <w:i/>
          <w:iCs/>
          <w:sz w:val="20"/>
          <w:szCs w:val="24"/>
          <w:lang w:val="en-IN" w:eastAsia="en-IN"/>
        </w:rPr>
        <w:t>Chloroflexi</w:t>
      </w:r>
      <w:proofErr w:type="spellEnd"/>
      <w:r w:rsidRPr="00221CFA">
        <w:rPr>
          <w:rFonts w:ascii="Arial" w:eastAsia="Times New Roman" w:hAnsi="Arial" w:cs="Arial"/>
          <w:sz w:val="20"/>
          <w:szCs w:val="24"/>
          <w:lang w:val="en-IN" w:eastAsia="en-IN"/>
        </w:rPr>
        <w:t xml:space="preserve"> and </w:t>
      </w:r>
      <w:r w:rsidRPr="00221CFA">
        <w:rPr>
          <w:rFonts w:ascii="Arial" w:eastAsia="Times New Roman" w:hAnsi="Arial" w:cs="Arial"/>
          <w:i/>
          <w:iCs/>
          <w:sz w:val="20"/>
          <w:szCs w:val="24"/>
          <w:lang w:val="en-IN" w:eastAsia="en-IN"/>
        </w:rPr>
        <w:t>Basidiomycota</w:t>
      </w:r>
      <w:r w:rsidRPr="00221CFA">
        <w:rPr>
          <w:rFonts w:ascii="Arial" w:eastAsia="Times New Roman" w:hAnsi="Arial" w:cs="Arial"/>
          <w:sz w:val="20"/>
          <w:szCs w:val="24"/>
          <w:lang w:val="en-IN" w:eastAsia="en-IN"/>
        </w:rPr>
        <w:t>, enhancing soil structure and fertility. These findings underscore that partial substitution of synthetic fertilizers with bio-based inputs can sustain yield levels while improving soil health and biodiversity.</w:t>
      </w:r>
    </w:p>
    <w:p w14:paraId="62B26D92" w14:textId="77777777" w:rsidR="00AA4A81" w:rsidRPr="00221CFA"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221CFA">
        <w:rPr>
          <w:rFonts w:ascii="Arial" w:eastAsia="Times New Roman" w:hAnsi="Arial" w:cs="Arial"/>
          <w:sz w:val="20"/>
          <w:szCs w:val="20"/>
          <w:lang w:val="en-IN" w:eastAsia="en-IN"/>
        </w:rPr>
        <w:t>Beyond nutrient management, biofertilizers also play a critical role in enhancing plant resilience against abiotic and biotic stresses. Millets, though naturally hardy, often face constraints under extreme drought or poor soil conditions. The use of biofertilizers can mitigate such stresses by improving root</w:t>
      </w:r>
      <w:r w:rsidR="003A178B" w:rsidRPr="00221CFA">
        <w:rPr>
          <w:rFonts w:ascii="Arial" w:eastAsia="Times New Roman" w:hAnsi="Arial" w:cs="Arial"/>
          <w:sz w:val="20"/>
          <w:szCs w:val="20"/>
          <w:lang w:val="en-IN" w:eastAsia="en-IN"/>
        </w:rPr>
        <w:t xml:space="preserve"> </w:t>
      </w:r>
      <w:r w:rsidRPr="00221CFA">
        <w:rPr>
          <w:rFonts w:ascii="Arial" w:eastAsia="Times New Roman" w:hAnsi="Arial" w:cs="Arial"/>
          <w:sz w:val="20"/>
          <w:szCs w:val="20"/>
          <w:lang w:val="en-IN" w:eastAsia="en-IN"/>
        </w:rPr>
        <w:t>microbe symbiosis, enhancing water retention, and stimulating antioxidant enzyme activity in plants (Mitra et al., 2023). Moreover, plant growth-promoting rhizobacteria (PGPR) act as bio-protectants and bio-stimulants by suppressing pathogenic microorganisms through competition, antibiosis, or the induction of systemic resistance (Basu et al., 2021). This multifaceted functionality positions biofertilizers as vital components in building climate-resilient millet production systems that can withstand adverse growing conditions.</w:t>
      </w:r>
    </w:p>
    <w:p w14:paraId="7222566C" w14:textId="1BEBE00F" w:rsidR="00AA4A81" w:rsidRPr="00221CFA"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221CFA">
        <w:rPr>
          <w:rFonts w:ascii="Arial" w:eastAsia="Times New Roman" w:hAnsi="Arial" w:cs="Arial"/>
          <w:sz w:val="20"/>
          <w:szCs w:val="20"/>
          <w:lang w:val="en-IN" w:eastAsia="en-IN"/>
        </w:rPr>
        <w:t xml:space="preserve">An additional dimension to millet </w:t>
      </w:r>
      <w:r w:rsidRPr="00221CFA">
        <w:rPr>
          <w:rFonts w:ascii="Arial" w:eastAsia="Times New Roman" w:hAnsi="Arial" w:cs="Arial"/>
          <w:sz w:val="20"/>
          <w:szCs w:val="20"/>
          <w:highlight w:val="yellow"/>
          <w:lang w:val="en-IN" w:eastAsia="en-IN"/>
        </w:rPr>
        <w:t xml:space="preserve">sustainability is </w:t>
      </w:r>
      <w:r w:rsidR="00055C94" w:rsidRPr="00221CFA">
        <w:rPr>
          <w:rFonts w:ascii="Arial" w:eastAsia="Times New Roman" w:hAnsi="Arial" w:cs="Arial"/>
          <w:sz w:val="20"/>
          <w:szCs w:val="20"/>
          <w:highlight w:val="yellow"/>
          <w:lang w:val="en-IN" w:eastAsia="en-IN"/>
        </w:rPr>
        <w:t>its</w:t>
      </w:r>
      <w:r w:rsidRPr="00221CFA">
        <w:rPr>
          <w:rFonts w:ascii="Arial" w:eastAsia="Times New Roman" w:hAnsi="Arial" w:cs="Arial"/>
          <w:sz w:val="20"/>
          <w:szCs w:val="20"/>
          <w:highlight w:val="yellow"/>
          <w:lang w:val="en-IN" w:eastAsia="en-IN"/>
        </w:rPr>
        <w:t xml:space="preserve"> health-</w:t>
      </w:r>
      <w:r w:rsidRPr="00221CFA">
        <w:rPr>
          <w:rFonts w:ascii="Arial" w:eastAsia="Times New Roman" w:hAnsi="Arial" w:cs="Arial"/>
          <w:sz w:val="20"/>
          <w:szCs w:val="20"/>
          <w:lang w:val="en-IN" w:eastAsia="en-IN"/>
        </w:rPr>
        <w:t xml:space="preserve">promoting potential. Millets are rich in bioactive compounds </w:t>
      </w:r>
      <w:proofErr w:type="spellStart"/>
      <w:r w:rsidR="00055C94" w:rsidRPr="00221CFA">
        <w:rPr>
          <w:rFonts w:ascii="Arial" w:eastAsia="Times New Roman" w:hAnsi="Arial" w:cs="Arial"/>
          <w:sz w:val="20"/>
          <w:szCs w:val="20"/>
          <w:highlight w:val="yellow"/>
          <w:lang w:val="en-IN" w:eastAsia="en-IN"/>
        </w:rPr>
        <w:t>inculding</w:t>
      </w:r>
      <w:proofErr w:type="spellEnd"/>
      <w:r w:rsidRPr="00221CFA">
        <w:rPr>
          <w:rFonts w:ascii="Arial" w:eastAsia="Times New Roman" w:hAnsi="Arial" w:cs="Arial"/>
          <w:sz w:val="20"/>
          <w:szCs w:val="20"/>
          <w:highlight w:val="yellow"/>
          <w:lang w:val="en-IN" w:eastAsia="en-IN"/>
        </w:rPr>
        <w:t xml:space="preserve"> phenolic acids, </w:t>
      </w:r>
      <w:r w:rsidRPr="00221CFA">
        <w:rPr>
          <w:rFonts w:ascii="Arial" w:eastAsia="Times New Roman" w:hAnsi="Arial" w:cs="Arial"/>
          <w:sz w:val="20"/>
          <w:szCs w:val="20"/>
          <w:lang w:val="en-IN" w:eastAsia="en-IN"/>
        </w:rPr>
        <w:t>flavonoids, and tannins, which possess antioxidant, anti-inflammatory, and antidiabetic properties (Majid &amp; Priyadarshini, 2020). However, the nutritional value and antioxidant activity of millets can be influenced by processing methods like malting, germination, soaking, and roasting. Studies have shown that malting finger millet for 96 hours increased its free phenolic acid content twofold, enhancing antioxidant activity (Sunil et al., 2024). Similarly, germination of foxtail millet improved DPPH scavenging capacity and increased bioavailability of essential nutrients</w:t>
      </w:r>
      <w:r w:rsidR="00902B0F">
        <w:rPr>
          <w:rFonts w:ascii="Arial" w:eastAsia="Times New Roman" w:hAnsi="Arial" w:cs="Arial"/>
          <w:sz w:val="20"/>
          <w:szCs w:val="20"/>
          <w:lang w:val="en-IN" w:eastAsia="en-IN"/>
        </w:rPr>
        <w:t xml:space="preserve"> (</w:t>
      </w:r>
      <w:r w:rsidR="00902B0F" w:rsidRPr="00902B0F">
        <w:rPr>
          <w:rFonts w:ascii="Arial" w:hAnsi="Arial" w:cs="Arial"/>
          <w:color w:val="222222"/>
          <w:sz w:val="20"/>
          <w:szCs w:val="20"/>
          <w:highlight w:val="yellow"/>
          <w:shd w:val="clear" w:color="auto" w:fill="FFFFFF"/>
        </w:rPr>
        <w:t>Khatri</w:t>
      </w:r>
      <w:r w:rsidR="00902B0F">
        <w:rPr>
          <w:rFonts w:ascii="Arial" w:hAnsi="Arial" w:cs="Arial"/>
          <w:color w:val="222222"/>
          <w:sz w:val="20"/>
          <w:szCs w:val="20"/>
          <w:highlight w:val="yellow"/>
          <w:shd w:val="clear" w:color="auto" w:fill="FFFFFF"/>
        </w:rPr>
        <w:t xml:space="preserve"> et al., 2016</w:t>
      </w:r>
      <w:r w:rsidR="00902B0F">
        <w:rPr>
          <w:rFonts w:ascii="Arial" w:eastAsia="Times New Roman" w:hAnsi="Arial" w:cs="Arial"/>
          <w:sz w:val="20"/>
          <w:szCs w:val="20"/>
          <w:lang w:val="en-IN" w:eastAsia="en-IN"/>
        </w:rPr>
        <w:t>)</w:t>
      </w:r>
      <w:r w:rsidRPr="00221CFA">
        <w:rPr>
          <w:rFonts w:ascii="Arial" w:eastAsia="Times New Roman" w:hAnsi="Arial" w:cs="Arial"/>
          <w:sz w:val="20"/>
          <w:szCs w:val="20"/>
          <w:lang w:val="en-IN" w:eastAsia="en-IN"/>
        </w:rPr>
        <w:t xml:space="preserve">. Conversely, harsh </w:t>
      </w:r>
      <w:r w:rsidRPr="00221CFA">
        <w:rPr>
          <w:rFonts w:ascii="Arial" w:eastAsia="Times New Roman" w:hAnsi="Arial" w:cs="Arial"/>
          <w:sz w:val="20"/>
          <w:szCs w:val="20"/>
          <w:highlight w:val="yellow"/>
          <w:lang w:val="en-IN" w:eastAsia="en-IN"/>
        </w:rPr>
        <w:t>heat treatments</w:t>
      </w:r>
      <w:r w:rsidR="009E2966" w:rsidRPr="00221CFA">
        <w:rPr>
          <w:rFonts w:ascii="Arial" w:eastAsia="Times New Roman" w:hAnsi="Arial" w:cs="Arial"/>
          <w:sz w:val="20"/>
          <w:szCs w:val="20"/>
          <w:highlight w:val="yellow"/>
          <w:lang w:val="en-IN" w:eastAsia="en-IN"/>
        </w:rPr>
        <w:t>,</w:t>
      </w:r>
      <w:r w:rsidRPr="00221CFA">
        <w:rPr>
          <w:rFonts w:ascii="Arial" w:eastAsia="Times New Roman" w:hAnsi="Arial" w:cs="Arial"/>
          <w:sz w:val="20"/>
          <w:szCs w:val="20"/>
          <w:highlight w:val="yellow"/>
          <w:lang w:val="en-IN" w:eastAsia="en-IN"/>
        </w:rPr>
        <w:t xml:space="preserve"> </w:t>
      </w:r>
      <w:r w:rsidRPr="00221CFA">
        <w:rPr>
          <w:rFonts w:ascii="Arial" w:eastAsia="Times New Roman" w:hAnsi="Arial" w:cs="Arial"/>
          <w:sz w:val="20"/>
          <w:szCs w:val="20"/>
          <w:lang w:val="en-IN" w:eastAsia="en-IN"/>
        </w:rPr>
        <w:t>such as boiling and roasting</w:t>
      </w:r>
      <w:r w:rsidR="009E2966" w:rsidRPr="00221CFA">
        <w:rPr>
          <w:rFonts w:ascii="Arial" w:eastAsia="Times New Roman" w:hAnsi="Arial" w:cs="Arial"/>
          <w:sz w:val="20"/>
          <w:szCs w:val="20"/>
          <w:lang w:val="en-IN" w:eastAsia="en-IN"/>
        </w:rPr>
        <w:t>,</w:t>
      </w:r>
      <w:r w:rsidRPr="00221CFA">
        <w:rPr>
          <w:rFonts w:ascii="Arial" w:eastAsia="Times New Roman" w:hAnsi="Arial" w:cs="Arial"/>
          <w:sz w:val="20"/>
          <w:szCs w:val="20"/>
          <w:lang w:val="en-IN" w:eastAsia="en-IN"/>
        </w:rPr>
        <w:t xml:space="preserve"> can degrade thermolabile antioxidant compounds and reduce </w:t>
      </w:r>
      <w:r w:rsidRPr="00221CFA">
        <w:rPr>
          <w:rFonts w:ascii="Arial" w:eastAsia="Times New Roman" w:hAnsi="Arial" w:cs="Arial"/>
          <w:sz w:val="20"/>
          <w:szCs w:val="20"/>
          <w:highlight w:val="yellow"/>
          <w:lang w:val="en-IN" w:eastAsia="en-IN"/>
        </w:rPr>
        <w:t>overall</w:t>
      </w:r>
      <w:r w:rsidR="009E2966" w:rsidRPr="00221CFA">
        <w:rPr>
          <w:rFonts w:ascii="Arial" w:eastAsia="Times New Roman" w:hAnsi="Arial" w:cs="Arial"/>
          <w:sz w:val="20"/>
          <w:szCs w:val="20"/>
          <w:highlight w:val="yellow"/>
          <w:lang w:val="en-IN" w:eastAsia="en-IN"/>
        </w:rPr>
        <w:t xml:space="preserve"> antioxidant</w:t>
      </w:r>
      <w:r w:rsidRPr="00221CFA">
        <w:rPr>
          <w:rFonts w:ascii="Arial" w:eastAsia="Times New Roman" w:hAnsi="Arial" w:cs="Arial"/>
          <w:sz w:val="20"/>
          <w:szCs w:val="20"/>
          <w:highlight w:val="yellow"/>
          <w:lang w:val="en-IN" w:eastAsia="en-IN"/>
        </w:rPr>
        <w:t xml:space="preserve"> activity </w:t>
      </w:r>
      <w:r w:rsidRPr="00221CFA">
        <w:rPr>
          <w:rFonts w:ascii="Arial" w:eastAsia="Times New Roman" w:hAnsi="Arial" w:cs="Arial"/>
          <w:sz w:val="20"/>
          <w:szCs w:val="20"/>
          <w:lang w:val="en-IN" w:eastAsia="en-IN"/>
        </w:rPr>
        <w:t>(Singh et al., 2023). Hence, optimizing processing techniques is crucial not only for improving the functional properties of millets but also for maximizing their nutritional benefits in human diets</w:t>
      </w:r>
      <w:r w:rsidR="00902B0F">
        <w:rPr>
          <w:rFonts w:ascii="Arial" w:eastAsia="Times New Roman" w:hAnsi="Arial" w:cs="Arial"/>
          <w:sz w:val="20"/>
          <w:szCs w:val="20"/>
          <w:lang w:val="en-IN" w:eastAsia="en-IN"/>
        </w:rPr>
        <w:t xml:space="preserve"> (</w:t>
      </w:r>
      <w:r w:rsidR="00902B0F" w:rsidRPr="00902B0F">
        <w:rPr>
          <w:rFonts w:ascii="Arial" w:hAnsi="Arial" w:cs="Arial"/>
          <w:color w:val="222222"/>
          <w:sz w:val="20"/>
          <w:szCs w:val="20"/>
          <w:highlight w:val="yellow"/>
          <w:shd w:val="clear" w:color="auto" w:fill="FFFFFF"/>
        </w:rPr>
        <w:t>Yadav</w:t>
      </w:r>
      <w:r w:rsidR="00902B0F">
        <w:rPr>
          <w:rFonts w:ascii="Arial" w:hAnsi="Arial" w:cs="Arial"/>
          <w:color w:val="222222"/>
          <w:sz w:val="20"/>
          <w:szCs w:val="20"/>
          <w:highlight w:val="yellow"/>
          <w:shd w:val="clear" w:color="auto" w:fill="FFFFFF"/>
        </w:rPr>
        <w:t xml:space="preserve"> et al., 2024</w:t>
      </w:r>
      <w:r w:rsidR="00902B0F">
        <w:rPr>
          <w:rFonts w:ascii="Arial" w:eastAsia="Times New Roman" w:hAnsi="Arial" w:cs="Arial"/>
          <w:sz w:val="20"/>
          <w:szCs w:val="20"/>
          <w:lang w:val="en-IN" w:eastAsia="en-IN"/>
        </w:rPr>
        <w:t>)</w:t>
      </w:r>
      <w:r w:rsidRPr="00221CFA">
        <w:rPr>
          <w:rFonts w:ascii="Arial" w:eastAsia="Times New Roman" w:hAnsi="Arial" w:cs="Arial"/>
          <w:sz w:val="20"/>
          <w:szCs w:val="20"/>
          <w:lang w:val="en-IN" w:eastAsia="en-IN"/>
        </w:rPr>
        <w:t>. The integration of biofertilizers in millet cultivation can further enhance these qualities by improving micronutrient uptake and stimulating the biosynthesis of health-promoting phytochemicals.</w:t>
      </w:r>
    </w:p>
    <w:p w14:paraId="2A5A6C04" w14:textId="3FE6E1A3" w:rsidR="00AA4A81" w:rsidRPr="00221CFA" w:rsidRDefault="00AA4A81" w:rsidP="00FA0018">
      <w:pPr>
        <w:spacing w:before="100" w:beforeAutospacing="1" w:after="100" w:afterAutospacing="1" w:line="240" w:lineRule="auto"/>
        <w:ind w:firstLine="720"/>
        <w:jc w:val="both"/>
        <w:rPr>
          <w:rFonts w:ascii="Arial" w:eastAsia="Times New Roman" w:hAnsi="Arial" w:cs="Arial"/>
          <w:sz w:val="20"/>
          <w:szCs w:val="20"/>
          <w:lang w:val="en-IN" w:eastAsia="en-IN"/>
        </w:rPr>
      </w:pPr>
      <w:r w:rsidRPr="00221CFA">
        <w:rPr>
          <w:rFonts w:ascii="Arial" w:eastAsia="Times New Roman" w:hAnsi="Arial" w:cs="Arial"/>
          <w:sz w:val="20"/>
          <w:szCs w:val="20"/>
          <w:lang w:val="en-IN" w:eastAsia="en-IN"/>
        </w:rPr>
        <w:t xml:space="preserve">India, the world’s largest producer of millets, plays a pivotal role in promoting these crops as part of national food and nutrition security programs. However, millet production and productivity have declined over the decades due to policy neglect, limited research investment, and the dominance of rice and wheat in public procurement and consumption patterns (Sajeev &amp; </w:t>
      </w:r>
      <w:proofErr w:type="spellStart"/>
      <w:r w:rsidRPr="00221CFA">
        <w:rPr>
          <w:rFonts w:ascii="Arial" w:eastAsia="Times New Roman" w:hAnsi="Arial" w:cs="Arial"/>
          <w:sz w:val="20"/>
          <w:szCs w:val="20"/>
          <w:lang w:val="en-IN" w:eastAsia="en-IN"/>
        </w:rPr>
        <w:t>Kundapura</w:t>
      </w:r>
      <w:proofErr w:type="spellEnd"/>
      <w:r w:rsidRPr="00221CFA">
        <w:rPr>
          <w:rFonts w:ascii="Arial" w:eastAsia="Times New Roman" w:hAnsi="Arial" w:cs="Arial"/>
          <w:sz w:val="20"/>
          <w:szCs w:val="20"/>
          <w:lang w:val="en-IN" w:eastAsia="en-IN"/>
        </w:rPr>
        <w:t>, 2023). To revive millet cultivation, a two-pronged approach addressing both production and consumption is essential. On the production side, integrating biofertilizers and improved nutrient management strategies can significantly increase yields, profitability, and resource-use efficiency</w:t>
      </w:r>
      <w:r w:rsidR="00902B0F">
        <w:rPr>
          <w:rFonts w:ascii="Arial" w:eastAsia="Times New Roman" w:hAnsi="Arial" w:cs="Arial"/>
          <w:sz w:val="20"/>
          <w:szCs w:val="20"/>
          <w:lang w:val="en-IN" w:eastAsia="en-IN"/>
        </w:rPr>
        <w:t xml:space="preserve"> (</w:t>
      </w:r>
      <w:r w:rsidR="00902B0F" w:rsidRPr="00902B0F">
        <w:rPr>
          <w:rFonts w:ascii="Arial" w:hAnsi="Arial" w:cs="Arial"/>
          <w:color w:val="222222"/>
          <w:sz w:val="20"/>
          <w:szCs w:val="20"/>
          <w:highlight w:val="yellow"/>
          <w:shd w:val="clear" w:color="auto" w:fill="FFFFFF"/>
        </w:rPr>
        <w:t>Angel</w:t>
      </w:r>
      <w:r w:rsidR="00902B0F">
        <w:rPr>
          <w:rFonts w:ascii="Arial" w:hAnsi="Arial" w:cs="Arial"/>
          <w:color w:val="222222"/>
          <w:sz w:val="20"/>
          <w:szCs w:val="20"/>
          <w:highlight w:val="yellow"/>
          <w:shd w:val="clear" w:color="auto" w:fill="FFFFFF"/>
        </w:rPr>
        <w:t xml:space="preserve"> et al., 2023</w:t>
      </w:r>
      <w:r w:rsidR="00902B0F">
        <w:rPr>
          <w:rFonts w:ascii="Arial" w:eastAsia="Times New Roman" w:hAnsi="Arial" w:cs="Arial"/>
          <w:sz w:val="20"/>
          <w:szCs w:val="20"/>
          <w:lang w:val="en-IN" w:eastAsia="en-IN"/>
        </w:rPr>
        <w:t>)</w:t>
      </w:r>
      <w:r w:rsidRPr="00221CFA">
        <w:rPr>
          <w:rFonts w:ascii="Arial" w:eastAsia="Times New Roman" w:hAnsi="Arial" w:cs="Arial"/>
          <w:sz w:val="20"/>
          <w:szCs w:val="20"/>
          <w:lang w:val="en-IN" w:eastAsia="en-IN"/>
        </w:rPr>
        <w:t xml:space="preserve">. On the consumption side, awareness programs, product diversification, and inclusion of millets in institutional </w:t>
      </w:r>
      <w:r w:rsidRPr="00221CFA">
        <w:rPr>
          <w:rFonts w:ascii="Arial" w:eastAsia="Times New Roman" w:hAnsi="Arial" w:cs="Arial"/>
          <w:sz w:val="20"/>
          <w:szCs w:val="20"/>
          <w:lang w:val="en-IN" w:eastAsia="en-IN"/>
        </w:rPr>
        <w:lastRenderedPageBreak/>
        <w:t>and public feeding schemes can boost demand. The government’s recent initiatives under the International Year of Millets (</w:t>
      </w:r>
      <w:r w:rsidRPr="00221CFA">
        <w:rPr>
          <w:rFonts w:ascii="Arial" w:eastAsia="Times New Roman" w:hAnsi="Arial" w:cs="Arial"/>
          <w:sz w:val="20"/>
          <w:szCs w:val="20"/>
          <w:highlight w:val="yellow"/>
          <w:lang w:val="en-IN" w:eastAsia="en-IN"/>
        </w:rPr>
        <w:t xml:space="preserve">2023) mark a major step </w:t>
      </w:r>
      <w:r w:rsidR="00264EE1" w:rsidRPr="00221CFA">
        <w:rPr>
          <w:rFonts w:ascii="Arial" w:eastAsia="Times New Roman" w:hAnsi="Arial" w:cs="Arial"/>
          <w:sz w:val="20"/>
          <w:szCs w:val="20"/>
          <w:highlight w:val="yellow"/>
          <w:lang w:val="en-IN" w:eastAsia="en-IN"/>
        </w:rPr>
        <w:t xml:space="preserve">toward </w:t>
      </w:r>
      <w:r w:rsidRPr="00221CFA">
        <w:rPr>
          <w:rFonts w:ascii="Arial" w:eastAsia="Times New Roman" w:hAnsi="Arial" w:cs="Arial"/>
          <w:sz w:val="20"/>
          <w:szCs w:val="20"/>
          <w:highlight w:val="yellow"/>
          <w:lang w:val="en-IN" w:eastAsia="en-IN"/>
        </w:rPr>
        <w:t>repositioning millets as climate-smart</w:t>
      </w:r>
      <w:r w:rsidR="00264EE1" w:rsidRPr="00221CFA">
        <w:rPr>
          <w:rFonts w:ascii="Arial" w:eastAsia="Times New Roman" w:hAnsi="Arial" w:cs="Arial"/>
          <w:sz w:val="20"/>
          <w:szCs w:val="20"/>
          <w:highlight w:val="yellow"/>
          <w:lang w:val="en-IN" w:eastAsia="en-IN"/>
        </w:rPr>
        <w:t>,</w:t>
      </w:r>
      <w:r w:rsidRPr="00221CFA">
        <w:rPr>
          <w:rFonts w:ascii="Arial" w:eastAsia="Times New Roman" w:hAnsi="Arial" w:cs="Arial"/>
          <w:sz w:val="20"/>
          <w:szCs w:val="20"/>
          <w:highlight w:val="yellow"/>
          <w:lang w:val="en-IN" w:eastAsia="en-IN"/>
        </w:rPr>
        <w:t xml:space="preserve"> nutrition-rich grains for the</w:t>
      </w:r>
      <w:r w:rsidRPr="00221CFA">
        <w:rPr>
          <w:rFonts w:ascii="Arial" w:eastAsia="Times New Roman" w:hAnsi="Arial" w:cs="Arial"/>
          <w:sz w:val="20"/>
          <w:szCs w:val="20"/>
          <w:lang w:val="en-IN" w:eastAsia="en-IN"/>
        </w:rPr>
        <w:t xml:space="preserve"> future.</w:t>
      </w:r>
    </w:p>
    <w:p w14:paraId="69EE95D0" w14:textId="28035D51" w:rsidR="00A2768A" w:rsidRPr="00221CFA" w:rsidRDefault="003A178B" w:rsidP="00264EE1">
      <w:pPr>
        <w:spacing w:before="100" w:beforeAutospacing="1" w:after="100" w:afterAutospacing="1" w:line="240" w:lineRule="auto"/>
        <w:ind w:firstLine="720"/>
        <w:jc w:val="both"/>
        <w:rPr>
          <w:rFonts w:ascii="Arial" w:hAnsi="Arial" w:cs="Arial"/>
          <w:b/>
          <w:sz w:val="20"/>
          <w:szCs w:val="20"/>
        </w:rPr>
      </w:pPr>
      <w:r w:rsidRPr="00221CFA">
        <w:rPr>
          <w:rFonts w:ascii="Arial" w:eastAsia="Times New Roman" w:hAnsi="Arial" w:cs="Arial"/>
          <w:sz w:val="20"/>
          <w:szCs w:val="20"/>
          <w:lang w:val="en-IN" w:eastAsia="en-IN"/>
        </w:rPr>
        <w:t>I</w:t>
      </w:r>
      <w:r w:rsidR="00AA4A81" w:rsidRPr="00221CFA">
        <w:rPr>
          <w:rFonts w:ascii="Arial" w:eastAsia="Times New Roman" w:hAnsi="Arial" w:cs="Arial"/>
          <w:sz w:val="20"/>
          <w:szCs w:val="20"/>
          <w:lang w:val="en-IN" w:eastAsia="en-IN"/>
        </w:rPr>
        <w:t>ntegrating biofertilizers into the nutrient management of millets represents a sustainable</w:t>
      </w:r>
      <w:r w:rsidR="00264EE1" w:rsidRPr="00221CFA">
        <w:rPr>
          <w:rFonts w:ascii="Arial" w:eastAsia="Times New Roman" w:hAnsi="Arial" w:cs="Arial"/>
          <w:sz w:val="20"/>
          <w:szCs w:val="20"/>
          <w:lang w:val="en-IN" w:eastAsia="en-IN"/>
        </w:rPr>
        <w:t>,</w:t>
      </w:r>
      <w:r w:rsidR="00AA4A81" w:rsidRPr="00221CFA">
        <w:rPr>
          <w:rFonts w:ascii="Arial" w:eastAsia="Times New Roman" w:hAnsi="Arial" w:cs="Arial"/>
          <w:sz w:val="20"/>
          <w:szCs w:val="20"/>
          <w:lang w:val="en-IN" w:eastAsia="en-IN"/>
        </w:rPr>
        <w:t xml:space="preserve"> scientifically grounded </w:t>
      </w:r>
      <w:r w:rsidR="00AA4A81" w:rsidRPr="00221CFA">
        <w:rPr>
          <w:rFonts w:ascii="Arial" w:eastAsia="Times New Roman" w:hAnsi="Arial" w:cs="Arial"/>
          <w:sz w:val="20"/>
          <w:szCs w:val="20"/>
          <w:highlight w:val="yellow"/>
          <w:lang w:val="en-IN" w:eastAsia="en-IN"/>
        </w:rPr>
        <w:t xml:space="preserve">pathway </w:t>
      </w:r>
      <w:r w:rsidR="00264EE1" w:rsidRPr="00221CFA">
        <w:rPr>
          <w:rFonts w:ascii="Arial" w:eastAsia="Times New Roman" w:hAnsi="Arial" w:cs="Arial"/>
          <w:sz w:val="20"/>
          <w:szCs w:val="20"/>
          <w:highlight w:val="yellow"/>
          <w:lang w:val="en-IN" w:eastAsia="en-IN"/>
        </w:rPr>
        <w:t xml:space="preserve">to enhancing </w:t>
      </w:r>
      <w:r w:rsidR="00AA4A81" w:rsidRPr="00221CFA">
        <w:rPr>
          <w:rFonts w:ascii="Arial" w:eastAsia="Times New Roman" w:hAnsi="Arial" w:cs="Arial"/>
          <w:sz w:val="20"/>
          <w:szCs w:val="20"/>
          <w:highlight w:val="yellow"/>
          <w:lang w:val="en-IN" w:eastAsia="en-IN"/>
        </w:rPr>
        <w:t xml:space="preserve">productivity </w:t>
      </w:r>
      <w:r w:rsidR="00264EE1" w:rsidRPr="00221CFA">
        <w:rPr>
          <w:rFonts w:ascii="Arial" w:eastAsia="Times New Roman" w:hAnsi="Arial" w:cs="Arial"/>
          <w:sz w:val="20"/>
          <w:szCs w:val="20"/>
          <w:highlight w:val="yellow"/>
          <w:lang w:val="en-IN" w:eastAsia="en-IN"/>
        </w:rPr>
        <w:t>rejuvenation soils</w:t>
      </w:r>
      <w:r w:rsidR="00AA4A81" w:rsidRPr="00221CFA">
        <w:rPr>
          <w:rFonts w:ascii="Arial" w:eastAsia="Times New Roman" w:hAnsi="Arial" w:cs="Arial"/>
          <w:sz w:val="20"/>
          <w:szCs w:val="20"/>
          <w:highlight w:val="yellow"/>
          <w:lang w:val="en-IN" w:eastAsia="en-IN"/>
        </w:rPr>
        <w:t xml:space="preserve">, and </w:t>
      </w:r>
      <w:r w:rsidR="00264EE1" w:rsidRPr="00221CFA">
        <w:rPr>
          <w:rFonts w:ascii="Arial" w:eastAsia="Times New Roman" w:hAnsi="Arial" w:cs="Arial"/>
          <w:sz w:val="20"/>
          <w:szCs w:val="20"/>
          <w:highlight w:val="yellow"/>
          <w:lang w:val="en-IN" w:eastAsia="en-IN"/>
        </w:rPr>
        <w:t xml:space="preserve">securing </w:t>
      </w:r>
      <w:r w:rsidR="00AA4A81" w:rsidRPr="00221CFA">
        <w:rPr>
          <w:rFonts w:ascii="Arial" w:eastAsia="Times New Roman" w:hAnsi="Arial" w:cs="Arial"/>
          <w:sz w:val="20"/>
          <w:szCs w:val="20"/>
          <w:highlight w:val="yellow"/>
          <w:lang w:val="en-IN" w:eastAsia="en-IN"/>
        </w:rPr>
        <w:t xml:space="preserve">food–nutrient </w:t>
      </w:r>
      <w:r w:rsidR="00AA4A81" w:rsidRPr="00221CFA">
        <w:rPr>
          <w:rFonts w:ascii="Arial" w:eastAsia="Times New Roman" w:hAnsi="Arial" w:cs="Arial"/>
          <w:sz w:val="20"/>
          <w:szCs w:val="20"/>
          <w:lang w:val="en-IN" w:eastAsia="en-IN"/>
        </w:rPr>
        <w:t xml:space="preserve">security. The adoption of microbial inoculants and organic fertilizers, coupled with optimized nutrient management, can help restore soil health while </w:t>
      </w:r>
      <w:r w:rsidR="00AA4A81" w:rsidRPr="00221CFA">
        <w:rPr>
          <w:rFonts w:ascii="Arial" w:eastAsia="Times New Roman" w:hAnsi="Arial" w:cs="Arial"/>
          <w:sz w:val="20"/>
          <w:szCs w:val="20"/>
          <w:highlight w:val="yellow"/>
          <w:lang w:val="en-IN" w:eastAsia="en-IN"/>
        </w:rPr>
        <w:t xml:space="preserve">reducing </w:t>
      </w:r>
      <w:r w:rsidR="00264EE1" w:rsidRPr="00221CFA">
        <w:rPr>
          <w:rFonts w:ascii="Arial" w:eastAsia="Times New Roman" w:hAnsi="Arial" w:cs="Arial"/>
          <w:sz w:val="20"/>
          <w:szCs w:val="20"/>
          <w:highlight w:val="yellow"/>
          <w:lang w:val="en-IN" w:eastAsia="en-IN"/>
        </w:rPr>
        <w:t>reliance</w:t>
      </w:r>
      <w:r w:rsidR="00AA4A81" w:rsidRPr="00221CFA">
        <w:rPr>
          <w:rFonts w:ascii="Arial" w:eastAsia="Times New Roman" w:hAnsi="Arial" w:cs="Arial"/>
          <w:sz w:val="20"/>
          <w:szCs w:val="20"/>
          <w:highlight w:val="yellow"/>
          <w:lang w:val="en-IN" w:eastAsia="en-IN"/>
        </w:rPr>
        <w:t xml:space="preserve"> on costly</w:t>
      </w:r>
      <w:r w:rsidR="00264EE1" w:rsidRPr="00221CFA">
        <w:rPr>
          <w:rFonts w:ascii="Arial" w:eastAsia="Times New Roman" w:hAnsi="Arial" w:cs="Arial"/>
          <w:sz w:val="20"/>
          <w:szCs w:val="20"/>
          <w:highlight w:val="yellow"/>
          <w:lang w:val="en-IN" w:eastAsia="en-IN"/>
        </w:rPr>
        <w:t>,</w:t>
      </w:r>
      <w:r w:rsidR="00AA4A81" w:rsidRPr="00221CFA">
        <w:rPr>
          <w:rFonts w:ascii="Arial" w:eastAsia="Times New Roman" w:hAnsi="Arial" w:cs="Arial"/>
          <w:sz w:val="20"/>
          <w:szCs w:val="20"/>
          <w:highlight w:val="yellow"/>
          <w:lang w:val="en-IN" w:eastAsia="en-IN"/>
        </w:rPr>
        <w:t xml:space="preserve"> </w:t>
      </w:r>
      <w:r w:rsidR="00AA4A81" w:rsidRPr="00221CFA">
        <w:rPr>
          <w:rFonts w:ascii="Arial" w:eastAsia="Times New Roman" w:hAnsi="Arial" w:cs="Arial"/>
          <w:sz w:val="20"/>
          <w:szCs w:val="20"/>
          <w:lang w:val="en-IN" w:eastAsia="en-IN"/>
        </w:rPr>
        <w:t>environmentally damaging chemical fertilizers. The convergence of biotechnology, soil microbiology, and agronomy offers new opportunities to develop location-specific biofertilizer formulations and delivery systems. With coordinated efforts in research, policy, and farmer capacity building, biofertilizer-based millet cultivation can serve as a cornerstone of sustainable agricultural transformation in the decades ahead.</w:t>
      </w:r>
      <w:r w:rsidR="00491984" w:rsidRPr="00221CFA">
        <w:rPr>
          <w:rFonts w:ascii="Arial" w:hAnsi="Arial" w:cs="Arial"/>
          <w:b/>
          <w:sz w:val="20"/>
          <w:szCs w:val="20"/>
        </w:rPr>
        <w:t xml:space="preserve"> </w:t>
      </w:r>
    </w:p>
    <w:p w14:paraId="00F64DE5" w14:textId="77777777" w:rsidR="00414543" w:rsidRPr="00221CFA" w:rsidRDefault="00414543" w:rsidP="00FA0018">
      <w:pPr>
        <w:pStyle w:val="Heading3"/>
        <w:ind w:firstLine="720"/>
        <w:jc w:val="both"/>
        <w:rPr>
          <w:rFonts w:ascii="Arial" w:hAnsi="Arial" w:cs="Arial"/>
          <w:sz w:val="24"/>
          <w:szCs w:val="20"/>
        </w:rPr>
      </w:pPr>
      <w:r w:rsidRPr="00221CFA">
        <w:rPr>
          <w:rStyle w:val="Strong"/>
          <w:rFonts w:ascii="Arial" w:hAnsi="Arial" w:cs="Arial"/>
          <w:b/>
          <w:bCs/>
          <w:sz w:val="24"/>
          <w:szCs w:val="20"/>
        </w:rPr>
        <w:t>2. Millets: The Climate-Resilient Nutri-Cereals</w:t>
      </w:r>
    </w:p>
    <w:p w14:paraId="0416EAF0" w14:textId="77777777" w:rsidR="00414543" w:rsidRPr="00221CFA" w:rsidRDefault="00414543" w:rsidP="00FA0018">
      <w:pPr>
        <w:pStyle w:val="Heading3"/>
        <w:jc w:val="both"/>
        <w:rPr>
          <w:rFonts w:ascii="Arial" w:hAnsi="Arial" w:cs="Arial"/>
          <w:sz w:val="20"/>
          <w:szCs w:val="20"/>
        </w:rPr>
      </w:pPr>
      <w:r w:rsidRPr="00221CFA">
        <w:rPr>
          <w:rFonts w:ascii="Arial" w:hAnsi="Arial" w:cs="Arial"/>
          <w:sz w:val="20"/>
          <w:szCs w:val="20"/>
        </w:rPr>
        <w:t>2.1. Diversity and Classification of Millets</w:t>
      </w:r>
    </w:p>
    <w:p w14:paraId="7E3FBB1F" w14:textId="77777777" w:rsidR="00414543" w:rsidRPr="00221CFA" w:rsidRDefault="00414543" w:rsidP="00FA0018">
      <w:pPr>
        <w:pStyle w:val="NormalWeb"/>
        <w:jc w:val="both"/>
        <w:rPr>
          <w:rFonts w:ascii="Arial" w:hAnsi="Arial" w:cs="Arial"/>
          <w:sz w:val="20"/>
          <w:szCs w:val="20"/>
        </w:rPr>
      </w:pPr>
      <w:r w:rsidRPr="00221CFA">
        <w:rPr>
          <w:rFonts w:ascii="Arial" w:hAnsi="Arial" w:cs="Arial"/>
          <w:sz w:val="20"/>
          <w:szCs w:val="20"/>
        </w:rPr>
        <w:t>Millets encompass a broad group of small-grained cereals and pseudo-cereals, traditionally grown in semi-arid and arid regions of the world. According to the Food and Agriculture Organization of the United Nations (FAO), millets include major species such as pearl millet (</w:t>
      </w:r>
      <w:r w:rsidRPr="00221CFA">
        <w:rPr>
          <w:rStyle w:val="Emphasis"/>
          <w:rFonts w:ascii="Arial" w:hAnsi="Arial" w:cs="Arial"/>
          <w:sz w:val="20"/>
          <w:szCs w:val="20"/>
        </w:rPr>
        <w:t>Pennisetum glaucum</w:t>
      </w:r>
      <w:r w:rsidRPr="00221CFA">
        <w:rPr>
          <w:rFonts w:ascii="Arial" w:hAnsi="Arial" w:cs="Arial"/>
          <w:sz w:val="20"/>
          <w:szCs w:val="20"/>
        </w:rPr>
        <w:t>) as well as a range of “minor” millets like finger millet (</w:t>
      </w:r>
      <w:r w:rsidRPr="00221CFA">
        <w:rPr>
          <w:rStyle w:val="Emphasis"/>
          <w:rFonts w:ascii="Arial" w:hAnsi="Arial" w:cs="Arial"/>
          <w:sz w:val="20"/>
          <w:szCs w:val="20"/>
        </w:rPr>
        <w:t>Eleusine coracana</w:t>
      </w:r>
      <w:r w:rsidRPr="00221CFA">
        <w:rPr>
          <w:rFonts w:ascii="Arial" w:hAnsi="Arial" w:cs="Arial"/>
          <w:sz w:val="20"/>
          <w:szCs w:val="20"/>
        </w:rPr>
        <w:t>), foxtail millet (</w:t>
      </w:r>
      <w:proofErr w:type="spellStart"/>
      <w:r w:rsidRPr="00221CFA">
        <w:rPr>
          <w:rStyle w:val="Emphasis"/>
          <w:rFonts w:ascii="Arial" w:hAnsi="Arial" w:cs="Arial"/>
          <w:sz w:val="20"/>
          <w:szCs w:val="20"/>
        </w:rPr>
        <w:t>Setaria</w:t>
      </w:r>
      <w:proofErr w:type="spellEnd"/>
      <w:r w:rsidRPr="00221CFA">
        <w:rPr>
          <w:rStyle w:val="Emphasis"/>
          <w:rFonts w:ascii="Arial" w:hAnsi="Arial" w:cs="Arial"/>
          <w:sz w:val="20"/>
          <w:szCs w:val="20"/>
        </w:rPr>
        <w:t xml:space="preserve"> </w:t>
      </w:r>
      <w:proofErr w:type="spellStart"/>
      <w:r w:rsidRPr="00221CFA">
        <w:rPr>
          <w:rStyle w:val="Emphasis"/>
          <w:rFonts w:ascii="Arial" w:hAnsi="Arial" w:cs="Arial"/>
          <w:sz w:val="20"/>
          <w:szCs w:val="20"/>
        </w:rPr>
        <w:t>italica</w:t>
      </w:r>
      <w:proofErr w:type="spellEnd"/>
      <w:r w:rsidRPr="00221CFA">
        <w:rPr>
          <w:rFonts w:ascii="Arial" w:hAnsi="Arial" w:cs="Arial"/>
          <w:sz w:val="20"/>
          <w:szCs w:val="20"/>
        </w:rPr>
        <w:t xml:space="preserve">), </w:t>
      </w:r>
      <w:proofErr w:type="spellStart"/>
      <w:r w:rsidRPr="00221CFA">
        <w:rPr>
          <w:rFonts w:ascii="Arial" w:hAnsi="Arial" w:cs="Arial"/>
          <w:sz w:val="20"/>
          <w:szCs w:val="20"/>
        </w:rPr>
        <w:t>proso</w:t>
      </w:r>
      <w:proofErr w:type="spellEnd"/>
      <w:r w:rsidRPr="00221CFA">
        <w:rPr>
          <w:rFonts w:ascii="Arial" w:hAnsi="Arial" w:cs="Arial"/>
          <w:sz w:val="20"/>
          <w:szCs w:val="20"/>
        </w:rPr>
        <w:t xml:space="preserve"> millet (</w:t>
      </w:r>
      <w:r w:rsidRPr="00221CFA">
        <w:rPr>
          <w:rStyle w:val="Emphasis"/>
          <w:rFonts w:ascii="Arial" w:hAnsi="Arial" w:cs="Arial"/>
          <w:sz w:val="20"/>
          <w:szCs w:val="20"/>
        </w:rPr>
        <w:t xml:space="preserve">Panicum </w:t>
      </w:r>
      <w:proofErr w:type="spellStart"/>
      <w:r w:rsidRPr="00221CFA">
        <w:rPr>
          <w:rStyle w:val="Emphasis"/>
          <w:rFonts w:ascii="Arial" w:hAnsi="Arial" w:cs="Arial"/>
          <w:sz w:val="20"/>
          <w:szCs w:val="20"/>
        </w:rPr>
        <w:t>miliaceum</w:t>
      </w:r>
      <w:proofErr w:type="spellEnd"/>
      <w:r w:rsidRPr="00221CFA">
        <w:rPr>
          <w:rFonts w:ascii="Arial" w:hAnsi="Arial" w:cs="Arial"/>
          <w:sz w:val="20"/>
          <w:szCs w:val="20"/>
        </w:rPr>
        <w:t>), barnyard millet (</w:t>
      </w:r>
      <w:proofErr w:type="spellStart"/>
      <w:r w:rsidRPr="00221CFA">
        <w:rPr>
          <w:rStyle w:val="Emphasis"/>
          <w:rFonts w:ascii="Arial" w:hAnsi="Arial" w:cs="Arial"/>
          <w:sz w:val="20"/>
          <w:szCs w:val="20"/>
        </w:rPr>
        <w:t>Echinochloa</w:t>
      </w:r>
      <w:proofErr w:type="spellEnd"/>
      <w:r w:rsidRPr="00221CFA">
        <w:rPr>
          <w:rStyle w:val="Emphasis"/>
          <w:rFonts w:ascii="Arial" w:hAnsi="Arial" w:cs="Arial"/>
          <w:sz w:val="20"/>
          <w:szCs w:val="20"/>
        </w:rPr>
        <w:t xml:space="preserve"> </w:t>
      </w:r>
      <w:proofErr w:type="spellStart"/>
      <w:r w:rsidRPr="00221CFA">
        <w:rPr>
          <w:rStyle w:val="Emphasis"/>
          <w:rFonts w:ascii="Arial" w:hAnsi="Arial" w:cs="Arial"/>
          <w:sz w:val="20"/>
          <w:szCs w:val="20"/>
        </w:rPr>
        <w:t>frumentacea</w:t>
      </w:r>
      <w:proofErr w:type="spellEnd"/>
      <w:r w:rsidRPr="00221CFA">
        <w:rPr>
          <w:rFonts w:ascii="Arial" w:hAnsi="Arial" w:cs="Arial"/>
          <w:sz w:val="20"/>
          <w:szCs w:val="20"/>
        </w:rPr>
        <w:t xml:space="preserve">), </w:t>
      </w:r>
      <w:proofErr w:type="spellStart"/>
      <w:r w:rsidRPr="00221CFA">
        <w:rPr>
          <w:rFonts w:ascii="Arial" w:hAnsi="Arial" w:cs="Arial"/>
          <w:sz w:val="20"/>
          <w:szCs w:val="20"/>
        </w:rPr>
        <w:t>kodo</w:t>
      </w:r>
      <w:proofErr w:type="spellEnd"/>
      <w:r w:rsidRPr="00221CFA">
        <w:rPr>
          <w:rFonts w:ascii="Arial" w:hAnsi="Arial" w:cs="Arial"/>
          <w:sz w:val="20"/>
          <w:szCs w:val="20"/>
        </w:rPr>
        <w:t xml:space="preserve"> millet (</w:t>
      </w:r>
      <w:proofErr w:type="spellStart"/>
      <w:r w:rsidRPr="00221CFA">
        <w:rPr>
          <w:rStyle w:val="Emphasis"/>
          <w:rFonts w:ascii="Arial" w:hAnsi="Arial" w:cs="Arial"/>
          <w:sz w:val="20"/>
          <w:szCs w:val="20"/>
        </w:rPr>
        <w:t>Paspalum</w:t>
      </w:r>
      <w:proofErr w:type="spellEnd"/>
      <w:r w:rsidRPr="00221CFA">
        <w:rPr>
          <w:rStyle w:val="Emphasis"/>
          <w:rFonts w:ascii="Arial" w:hAnsi="Arial" w:cs="Arial"/>
          <w:sz w:val="20"/>
          <w:szCs w:val="20"/>
        </w:rPr>
        <w:t xml:space="preserve"> </w:t>
      </w:r>
      <w:proofErr w:type="spellStart"/>
      <w:r w:rsidRPr="00221CFA">
        <w:rPr>
          <w:rStyle w:val="Emphasis"/>
          <w:rFonts w:ascii="Arial" w:hAnsi="Arial" w:cs="Arial"/>
          <w:sz w:val="20"/>
          <w:szCs w:val="20"/>
        </w:rPr>
        <w:t>scrobiculatum</w:t>
      </w:r>
      <w:proofErr w:type="spellEnd"/>
      <w:r w:rsidRPr="00221CFA">
        <w:rPr>
          <w:rFonts w:ascii="Arial" w:hAnsi="Arial" w:cs="Arial"/>
          <w:sz w:val="20"/>
          <w:szCs w:val="20"/>
        </w:rPr>
        <w:t>), little millet (</w:t>
      </w:r>
      <w:r w:rsidRPr="00221CFA">
        <w:rPr>
          <w:rStyle w:val="Emphasis"/>
          <w:rFonts w:ascii="Arial" w:hAnsi="Arial" w:cs="Arial"/>
          <w:sz w:val="20"/>
          <w:szCs w:val="20"/>
        </w:rPr>
        <w:t xml:space="preserve">Panicum </w:t>
      </w:r>
      <w:proofErr w:type="spellStart"/>
      <w:r w:rsidRPr="00221CFA">
        <w:rPr>
          <w:rStyle w:val="Emphasis"/>
          <w:rFonts w:ascii="Arial" w:hAnsi="Arial" w:cs="Arial"/>
          <w:sz w:val="20"/>
          <w:szCs w:val="20"/>
        </w:rPr>
        <w:t>antidotale</w:t>
      </w:r>
      <w:proofErr w:type="spellEnd"/>
      <w:r w:rsidRPr="00221CFA">
        <w:rPr>
          <w:rFonts w:ascii="Arial" w:hAnsi="Arial" w:cs="Arial"/>
          <w:sz w:val="20"/>
          <w:szCs w:val="20"/>
        </w:rPr>
        <w:t xml:space="preserve">), and </w:t>
      </w:r>
      <w:proofErr w:type="spellStart"/>
      <w:r w:rsidRPr="00221CFA">
        <w:rPr>
          <w:rFonts w:ascii="Arial" w:hAnsi="Arial" w:cs="Arial"/>
          <w:sz w:val="20"/>
          <w:szCs w:val="20"/>
        </w:rPr>
        <w:t>browntop</w:t>
      </w:r>
      <w:proofErr w:type="spellEnd"/>
      <w:r w:rsidRPr="00221CFA">
        <w:rPr>
          <w:rFonts w:ascii="Arial" w:hAnsi="Arial" w:cs="Arial"/>
          <w:sz w:val="20"/>
          <w:szCs w:val="20"/>
        </w:rPr>
        <w:t xml:space="preserve"> millet (</w:t>
      </w:r>
      <w:proofErr w:type="spellStart"/>
      <w:r w:rsidRPr="00221CFA">
        <w:rPr>
          <w:rStyle w:val="Emphasis"/>
          <w:rFonts w:ascii="Arial" w:hAnsi="Arial" w:cs="Arial"/>
          <w:sz w:val="20"/>
          <w:szCs w:val="20"/>
        </w:rPr>
        <w:t>Brachiaria</w:t>
      </w:r>
      <w:proofErr w:type="spellEnd"/>
      <w:r w:rsidRPr="00221CFA">
        <w:rPr>
          <w:rStyle w:val="Emphasis"/>
          <w:rFonts w:ascii="Arial" w:hAnsi="Arial" w:cs="Arial"/>
          <w:sz w:val="20"/>
          <w:szCs w:val="20"/>
        </w:rPr>
        <w:t xml:space="preserve"> </w:t>
      </w:r>
      <w:proofErr w:type="spellStart"/>
      <w:r w:rsidRPr="00221CFA">
        <w:rPr>
          <w:rStyle w:val="Emphasis"/>
          <w:rFonts w:ascii="Arial" w:hAnsi="Arial" w:cs="Arial"/>
          <w:sz w:val="20"/>
          <w:szCs w:val="20"/>
        </w:rPr>
        <w:t>ramosa</w:t>
      </w:r>
      <w:proofErr w:type="spellEnd"/>
      <w:r w:rsidRPr="00221CFA">
        <w:rPr>
          <w:rFonts w:ascii="Arial" w:hAnsi="Arial" w:cs="Arial"/>
          <w:sz w:val="20"/>
          <w:szCs w:val="20"/>
        </w:rPr>
        <w:t>).</w:t>
      </w:r>
    </w:p>
    <w:p w14:paraId="6DFA99F7" w14:textId="77777777" w:rsidR="00414543" w:rsidRPr="00221CFA" w:rsidRDefault="00414543" w:rsidP="003A178B">
      <w:pPr>
        <w:pStyle w:val="NormalWeb"/>
        <w:ind w:firstLine="720"/>
        <w:jc w:val="both"/>
        <w:rPr>
          <w:rFonts w:ascii="Arial" w:hAnsi="Arial" w:cs="Arial"/>
          <w:sz w:val="20"/>
          <w:szCs w:val="20"/>
        </w:rPr>
      </w:pPr>
      <w:r w:rsidRPr="00221CFA">
        <w:rPr>
          <w:rFonts w:ascii="Arial" w:hAnsi="Arial" w:cs="Arial"/>
          <w:sz w:val="20"/>
          <w:szCs w:val="20"/>
        </w:rPr>
        <w:t xml:space="preserve">In terms of classification, millets are primarily grasses belonging to the family </w:t>
      </w:r>
      <w:proofErr w:type="spellStart"/>
      <w:r w:rsidRPr="00221CFA">
        <w:rPr>
          <w:rFonts w:ascii="Arial" w:hAnsi="Arial" w:cs="Arial"/>
          <w:sz w:val="20"/>
          <w:szCs w:val="20"/>
        </w:rPr>
        <w:t>Poaceae</w:t>
      </w:r>
      <w:proofErr w:type="spellEnd"/>
      <w:r w:rsidRPr="00221CFA">
        <w:rPr>
          <w:rFonts w:ascii="Arial" w:hAnsi="Arial" w:cs="Arial"/>
          <w:sz w:val="20"/>
          <w:szCs w:val="20"/>
        </w:rPr>
        <w:t xml:space="preserve"> (sub-families </w:t>
      </w:r>
      <w:proofErr w:type="spellStart"/>
      <w:r w:rsidRPr="00221CFA">
        <w:rPr>
          <w:rFonts w:ascii="Arial" w:hAnsi="Arial" w:cs="Arial"/>
          <w:sz w:val="20"/>
          <w:szCs w:val="20"/>
        </w:rPr>
        <w:t>Panicoideae</w:t>
      </w:r>
      <w:proofErr w:type="spellEnd"/>
      <w:r w:rsidRPr="00221CFA">
        <w:rPr>
          <w:rFonts w:ascii="Arial" w:hAnsi="Arial" w:cs="Arial"/>
          <w:sz w:val="20"/>
          <w:szCs w:val="20"/>
        </w:rPr>
        <w:t>/</w:t>
      </w:r>
      <w:proofErr w:type="spellStart"/>
      <w:r w:rsidRPr="00221CFA">
        <w:rPr>
          <w:rFonts w:ascii="Arial" w:hAnsi="Arial" w:cs="Arial"/>
          <w:sz w:val="20"/>
          <w:szCs w:val="20"/>
        </w:rPr>
        <w:t>Chloridoideae</w:t>
      </w:r>
      <w:proofErr w:type="spellEnd"/>
      <w:r w:rsidRPr="00221CFA">
        <w:rPr>
          <w:rFonts w:ascii="Arial" w:hAnsi="Arial" w:cs="Arial"/>
          <w:sz w:val="20"/>
          <w:szCs w:val="20"/>
        </w:rPr>
        <w:t>).</w:t>
      </w:r>
      <w:r w:rsidR="009664D1" w:rsidRPr="00221CFA">
        <w:rPr>
          <w:rFonts w:ascii="Arial" w:hAnsi="Arial" w:cs="Arial"/>
          <w:sz w:val="20"/>
          <w:szCs w:val="20"/>
        </w:rPr>
        <w:t xml:space="preserve"> </w:t>
      </w:r>
      <w:r w:rsidRPr="00221CFA">
        <w:rPr>
          <w:rFonts w:ascii="Arial" w:hAnsi="Arial" w:cs="Arial"/>
          <w:sz w:val="20"/>
          <w:szCs w:val="20"/>
        </w:rPr>
        <w:t>The distinction between “major” and “minor” millets is largely agronomic and commercial: major millets are widely cultivated and have large acreage, whereas minor millets are grown on smaller, often marginal, lands.</w:t>
      </w:r>
      <w:r w:rsidR="009664D1" w:rsidRPr="00221CFA">
        <w:rPr>
          <w:rFonts w:ascii="Arial" w:hAnsi="Arial" w:cs="Arial"/>
          <w:sz w:val="20"/>
          <w:szCs w:val="20"/>
        </w:rPr>
        <w:t xml:space="preserve"> </w:t>
      </w:r>
      <w:r w:rsidRPr="00221CFA">
        <w:rPr>
          <w:rFonts w:ascii="Arial" w:hAnsi="Arial" w:cs="Arial"/>
          <w:sz w:val="20"/>
          <w:szCs w:val="20"/>
        </w:rPr>
        <w:t>This diversity reflects both historical cultivation patterns and adaptation to marginal growing conditions. Many millet species were domesticated thousands of years ago and maintained under low-input farming systems, thereby conserving a wide genetic base.</w:t>
      </w:r>
    </w:p>
    <w:p w14:paraId="41F18381" w14:textId="77777777" w:rsidR="00414543" w:rsidRPr="00221CFA" w:rsidRDefault="00414543" w:rsidP="00FA0018">
      <w:pPr>
        <w:pStyle w:val="Heading3"/>
        <w:jc w:val="both"/>
        <w:rPr>
          <w:rFonts w:ascii="Arial" w:hAnsi="Arial" w:cs="Arial"/>
          <w:sz w:val="20"/>
          <w:szCs w:val="20"/>
        </w:rPr>
      </w:pPr>
      <w:r w:rsidRPr="00221CFA">
        <w:rPr>
          <w:rFonts w:ascii="Arial" w:hAnsi="Arial" w:cs="Arial"/>
          <w:sz w:val="20"/>
          <w:szCs w:val="20"/>
        </w:rPr>
        <w:t>2.2. Nutritional Composition and Health Benefits</w:t>
      </w:r>
    </w:p>
    <w:p w14:paraId="694EBF8E" w14:textId="7222AF14" w:rsidR="00414543" w:rsidRPr="00221CFA" w:rsidRDefault="00414543" w:rsidP="00FA0018">
      <w:pPr>
        <w:pStyle w:val="NormalWeb"/>
        <w:jc w:val="both"/>
        <w:rPr>
          <w:rFonts w:ascii="Arial" w:hAnsi="Arial" w:cs="Arial"/>
          <w:sz w:val="20"/>
          <w:szCs w:val="20"/>
        </w:rPr>
      </w:pPr>
      <w:r w:rsidRPr="00221CFA">
        <w:rPr>
          <w:rFonts w:ascii="Arial" w:hAnsi="Arial" w:cs="Arial"/>
          <w:sz w:val="20"/>
          <w:szCs w:val="20"/>
        </w:rPr>
        <w:t>Millets are increasingly recognised as “</w:t>
      </w:r>
      <w:proofErr w:type="spellStart"/>
      <w:r w:rsidRPr="00221CFA">
        <w:rPr>
          <w:rFonts w:ascii="Arial" w:hAnsi="Arial" w:cs="Arial"/>
          <w:sz w:val="20"/>
          <w:szCs w:val="20"/>
        </w:rPr>
        <w:t>nutri</w:t>
      </w:r>
      <w:proofErr w:type="spellEnd"/>
      <w:r w:rsidRPr="00221CFA">
        <w:rPr>
          <w:rFonts w:ascii="Arial" w:hAnsi="Arial" w:cs="Arial"/>
          <w:sz w:val="20"/>
          <w:szCs w:val="20"/>
        </w:rPr>
        <w:t>-cereals” owing to their favourable nutrient profile relative to many staple cereals. Their macronutrient composition typically includes 60–70% carbohydrates, 6–12% proteins, 1.5–5% fats, and modest amounts of ash (minerals) and dietary fibre</w:t>
      </w:r>
      <w:r w:rsidR="003A178B" w:rsidRPr="00221CFA">
        <w:rPr>
          <w:rFonts w:ascii="Arial" w:hAnsi="Arial" w:cs="Arial"/>
          <w:sz w:val="20"/>
          <w:szCs w:val="20"/>
        </w:rPr>
        <w:t xml:space="preserve"> (Joshi and Sharma, 2023)</w:t>
      </w:r>
      <w:r w:rsidRPr="00221CFA">
        <w:rPr>
          <w:rFonts w:ascii="Arial" w:hAnsi="Arial" w:cs="Arial"/>
          <w:sz w:val="20"/>
          <w:szCs w:val="20"/>
        </w:rPr>
        <w:t xml:space="preserve">. For example, little millet has been </w:t>
      </w:r>
      <w:r w:rsidRPr="00221CFA">
        <w:rPr>
          <w:rFonts w:ascii="Arial" w:hAnsi="Arial" w:cs="Arial"/>
          <w:sz w:val="20"/>
          <w:szCs w:val="20"/>
          <w:highlight w:val="yellow"/>
        </w:rPr>
        <w:t xml:space="preserve">reported </w:t>
      </w:r>
      <w:r w:rsidR="00F565CE" w:rsidRPr="00221CFA">
        <w:rPr>
          <w:rFonts w:ascii="Arial" w:hAnsi="Arial" w:cs="Arial"/>
          <w:sz w:val="20"/>
          <w:szCs w:val="20"/>
          <w:highlight w:val="yellow"/>
          <w:lang w:val="en-US"/>
        </w:rPr>
        <w:t>to contain</w:t>
      </w:r>
      <w:r w:rsidRPr="00221CFA">
        <w:rPr>
          <w:rFonts w:ascii="Arial" w:hAnsi="Arial" w:cs="Arial"/>
          <w:sz w:val="20"/>
          <w:szCs w:val="20"/>
          <w:highlight w:val="yellow"/>
        </w:rPr>
        <w:t xml:space="preserve"> ~83% carbohydrates</w:t>
      </w:r>
      <w:r w:rsidRPr="00221CFA">
        <w:rPr>
          <w:rFonts w:ascii="Arial" w:hAnsi="Arial" w:cs="Arial"/>
          <w:sz w:val="20"/>
          <w:szCs w:val="20"/>
        </w:rPr>
        <w:t>, ~7.7% protein, 11.5% fibre</w:t>
      </w:r>
      <w:r w:rsidR="00070342" w:rsidRPr="00221CFA">
        <w:rPr>
          <w:rFonts w:ascii="Arial" w:hAnsi="Arial" w:cs="Arial"/>
          <w:sz w:val="20"/>
          <w:szCs w:val="20"/>
        </w:rPr>
        <w:t>,</w:t>
      </w:r>
      <w:r w:rsidRPr="00221CFA">
        <w:rPr>
          <w:rFonts w:ascii="Arial" w:hAnsi="Arial" w:cs="Arial"/>
          <w:sz w:val="20"/>
          <w:szCs w:val="20"/>
        </w:rPr>
        <w:t xml:space="preserve"> and ~1.5% fat. Micronutrient-wise, several millets stand out. They provide appreciable amounts of calcium, iron, zinc, magnesium, phosphorus, and B</w:t>
      </w:r>
      <w:r w:rsidR="00175D30" w:rsidRPr="00221CFA">
        <w:rPr>
          <w:rFonts w:ascii="Arial" w:hAnsi="Arial" w:cs="Arial"/>
          <w:sz w:val="20"/>
          <w:szCs w:val="20"/>
        </w:rPr>
        <w:t xml:space="preserve"> </w:t>
      </w:r>
      <w:r w:rsidRPr="00221CFA">
        <w:rPr>
          <w:rFonts w:ascii="Arial" w:hAnsi="Arial" w:cs="Arial"/>
          <w:sz w:val="20"/>
          <w:szCs w:val="20"/>
        </w:rPr>
        <w:t xml:space="preserve">vitamins. </w:t>
      </w:r>
      <w:r w:rsidRPr="00221CFA">
        <w:rPr>
          <w:rFonts w:ascii="Arial" w:hAnsi="Arial" w:cs="Arial"/>
          <w:sz w:val="20"/>
          <w:szCs w:val="20"/>
          <w:highlight w:val="yellow"/>
        </w:rPr>
        <w:t xml:space="preserve">One review </w:t>
      </w:r>
      <w:r w:rsidR="00070342" w:rsidRPr="00221CFA">
        <w:rPr>
          <w:rFonts w:ascii="Arial" w:hAnsi="Arial" w:cs="Arial"/>
          <w:sz w:val="20"/>
          <w:szCs w:val="20"/>
          <w:highlight w:val="yellow"/>
        </w:rPr>
        <w:t>reports</w:t>
      </w:r>
      <w:r w:rsidRPr="00221CFA">
        <w:rPr>
          <w:rFonts w:ascii="Arial" w:hAnsi="Arial" w:cs="Arial"/>
          <w:sz w:val="20"/>
          <w:szCs w:val="20"/>
          <w:highlight w:val="yellow"/>
        </w:rPr>
        <w:t xml:space="preserve"> calcium </w:t>
      </w:r>
      <w:proofErr w:type="gramStart"/>
      <w:r w:rsidRPr="00221CFA">
        <w:rPr>
          <w:rFonts w:ascii="Arial" w:hAnsi="Arial" w:cs="Arial"/>
          <w:sz w:val="20"/>
          <w:szCs w:val="20"/>
        </w:rPr>
        <w:t>levels</w:t>
      </w:r>
      <w:proofErr w:type="gramEnd"/>
      <w:r w:rsidRPr="00221CFA">
        <w:rPr>
          <w:rFonts w:ascii="Arial" w:hAnsi="Arial" w:cs="Arial"/>
          <w:sz w:val="20"/>
          <w:szCs w:val="20"/>
        </w:rPr>
        <w:t xml:space="preserve"> ranging from 10–348 mg/100 g, </w:t>
      </w:r>
      <w:r w:rsidRPr="00221CFA">
        <w:rPr>
          <w:rFonts w:ascii="Arial" w:hAnsi="Arial" w:cs="Arial"/>
          <w:sz w:val="20"/>
          <w:szCs w:val="20"/>
          <w:highlight w:val="yellow"/>
        </w:rPr>
        <w:t>iron</w:t>
      </w:r>
      <w:r w:rsidR="0088339F" w:rsidRPr="00221CFA">
        <w:rPr>
          <w:rFonts w:ascii="Arial" w:hAnsi="Arial" w:cs="Arial"/>
          <w:sz w:val="20"/>
          <w:szCs w:val="20"/>
          <w:highlight w:val="yellow"/>
        </w:rPr>
        <w:t xml:space="preserve"> levels</w:t>
      </w:r>
      <w:r w:rsidRPr="00221CFA">
        <w:rPr>
          <w:rFonts w:ascii="Arial" w:hAnsi="Arial" w:cs="Arial"/>
          <w:sz w:val="20"/>
          <w:szCs w:val="20"/>
          <w:highlight w:val="yellow"/>
        </w:rPr>
        <w:t xml:space="preserve"> from 2.2–17.7 mg/100 g, and zinc</w:t>
      </w:r>
      <w:r w:rsidR="00070342" w:rsidRPr="00221CFA">
        <w:rPr>
          <w:rFonts w:ascii="Arial" w:hAnsi="Arial" w:cs="Arial"/>
          <w:sz w:val="20"/>
          <w:szCs w:val="20"/>
          <w:highlight w:val="yellow"/>
        </w:rPr>
        <w:t xml:space="preserve"> levels</w:t>
      </w:r>
      <w:r w:rsidRPr="00221CFA">
        <w:rPr>
          <w:rFonts w:ascii="Arial" w:hAnsi="Arial" w:cs="Arial"/>
          <w:sz w:val="20"/>
          <w:szCs w:val="20"/>
          <w:highlight w:val="yellow"/>
        </w:rPr>
        <w:t xml:space="preserve"> up to 60 </w:t>
      </w:r>
      <w:r w:rsidRPr="00221CFA">
        <w:rPr>
          <w:rFonts w:ascii="Arial" w:hAnsi="Arial" w:cs="Arial"/>
          <w:sz w:val="20"/>
          <w:szCs w:val="20"/>
        </w:rPr>
        <w:t>mg/100 g in certain millet grains</w:t>
      </w:r>
      <w:r w:rsidR="003A178B" w:rsidRPr="00221CFA">
        <w:rPr>
          <w:rFonts w:ascii="Arial" w:hAnsi="Arial" w:cs="Arial"/>
          <w:sz w:val="20"/>
          <w:szCs w:val="20"/>
        </w:rPr>
        <w:t xml:space="preserve"> (</w:t>
      </w:r>
      <w:r w:rsidR="003A178B" w:rsidRPr="00221CFA">
        <w:rPr>
          <w:rFonts w:ascii="Arial" w:hAnsi="Arial" w:cs="Arial"/>
          <w:sz w:val="20"/>
          <w:szCs w:val="20"/>
          <w:shd w:val="clear" w:color="auto" w:fill="FFFFFF"/>
        </w:rPr>
        <w:t>Niraula, 2018</w:t>
      </w:r>
      <w:r w:rsidR="003A178B" w:rsidRPr="00221CFA">
        <w:rPr>
          <w:rFonts w:ascii="Arial" w:hAnsi="Arial" w:cs="Arial"/>
          <w:sz w:val="20"/>
          <w:szCs w:val="20"/>
        </w:rPr>
        <w:t>)</w:t>
      </w:r>
      <w:r w:rsidRPr="00221CFA">
        <w:rPr>
          <w:rFonts w:ascii="Arial" w:hAnsi="Arial" w:cs="Arial"/>
          <w:sz w:val="20"/>
          <w:szCs w:val="20"/>
        </w:rPr>
        <w:t>.</w:t>
      </w:r>
    </w:p>
    <w:p w14:paraId="0D17A6AC" w14:textId="7945FAE7" w:rsidR="00414543" w:rsidRPr="00221CFA" w:rsidRDefault="00414543" w:rsidP="00FA0018">
      <w:pPr>
        <w:pStyle w:val="NormalWeb"/>
        <w:jc w:val="both"/>
        <w:rPr>
          <w:rFonts w:ascii="Arial" w:hAnsi="Arial" w:cs="Arial"/>
          <w:sz w:val="20"/>
          <w:szCs w:val="20"/>
        </w:rPr>
      </w:pPr>
      <w:r w:rsidRPr="00221CFA">
        <w:rPr>
          <w:rFonts w:ascii="Arial" w:hAnsi="Arial" w:cs="Arial"/>
          <w:sz w:val="20"/>
          <w:szCs w:val="20"/>
        </w:rPr>
        <w:t>Beyond basic nutrients, millets also harbour bioactive compounds such as phenolic acids, tannins, flavonoids</w:t>
      </w:r>
      <w:r w:rsidR="0088339F" w:rsidRPr="00221CFA">
        <w:rPr>
          <w:rFonts w:ascii="Arial" w:hAnsi="Arial" w:cs="Arial"/>
          <w:sz w:val="20"/>
          <w:szCs w:val="20"/>
        </w:rPr>
        <w:t>,</w:t>
      </w:r>
      <w:r w:rsidRPr="00221CFA">
        <w:rPr>
          <w:rFonts w:ascii="Arial" w:hAnsi="Arial" w:cs="Arial"/>
          <w:sz w:val="20"/>
          <w:szCs w:val="20"/>
        </w:rPr>
        <w:t xml:space="preserve"> and resistant starches that confer health-promoting effects.</w:t>
      </w:r>
    </w:p>
    <w:p w14:paraId="5F61C02A" w14:textId="613CD499" w:rsidR="00414543" w:rsidRPr="00221CFA" w:rsidRDefault="00414543" w:rsidP="00FA0018">
      <w:pPr>
        <w:pStyle w:val="NormalWeb"/>
        <w:jc w:val="both"/>
        <w:rPr>
          <w:rFonts w:ascii="Arial" w:hAnsi="Arial" w:cs="Arial"/>
          <w:b/>
          <w:sz w:val="20"/>
          <w:szCs w:val="20"/>
        </w:rPr>
      </w:pPr>
      <w:r w:rsidRPr="00221CFA">
        <w:rPr>
          <w:rFonts w:ascii="Arial" w:hAnsi="Arial" w:cs="Arial"/>
          <w:b/>
          <w:sz w:val="20"/>
          <w:szCs w:val="20"/>
        </w:rPr>
        <w:t>From a healt</w:t>
      </w:r>
      <w:r w:rsidR="00175D30" w:rsidRPr="00221CFA">
        <w:rPr>
          <w:rFonts w:ascii="Arial" w:hAnsi="Arial" w:cs="Arial"/>
          <w:b/>
          <w:sz w:val="20"/>
          <w:szCs w:val="20"/>
        </w:rPr>
        <w:t>h p</w:t>
      </w:r>
      <w:r w:rsidRPr="00221CFA">
        <w:rPr>
          <w:rFonts w:ascii="Arial" w:hAnsi="Arial" w:cs="Arial"/>
          <w:b/>
          <w:sz w:val="20"/>
          <w:szCs w:val="20"/>
        </w:rPr>
        <w:t>erspective, several benefits emerge:</w:t>
      </w:r>
    </w:p>
    <w:p w14:paraId="4416077D" w14:textId="77777777" w:rsidR="00414543" w:rsidRPr="00221CFA" w:rsidRDefault="00414543" w:rsidP="00FA0018">
      <w:pPr>
        <w:pStyle w:val="NormalWeb"/>
        <w:numPr>
          <w:ilvl w:val="0"/>
          <w:numId w:val="13"/>
        </w:numPr>
        <w:jc w:val="both"/>
        <w:rPr>
          <w:rFonts w:ascii="Arial" w:hAnsi="Arial" w:cs="Arial"/>
          <w:sz w:val="20"/>
          <w:szCs w:val="20"/>
        </w:rPr>
      </w:pPr>
      <w:r w:rsidRPr="00221CFA">
        <w:rPr>
          <w:rFonts w:ascii="Arial" w:hAnsi="Arial" w:cs="Arial"/>
          <w:sz w:val="20"/>
          <w:szCs w:val="20"/>
        </w:rPr>
        <w:t>The gluten-free nature of most millets makes them suitable for individuals with celiac disease or gluten intolerance.</w:t>
      </w:r>
    </w:p>
    <w:p w14:paraId="1C2A2665" w14:textId="77777777" w:rsidR="00414543" w:rsidRPr="00221CFA" w:rsidRDefault="00414543" w:rsidP="00FA0018">
      <w:pPr>
        <w:pStyle w:val="NormalWeb"/>
        <w:numPr>
          <w:ilvl w:val="0"/>
          <w:numId w:val="13"/>
        </w:numPr>
        <w:jc w:val="both"/>
        <w:rPr>
          <w:rFonts w:ascii="Arial" w:hAnsi="Arial" w:cs="Arial"/>
          <w:sz w:val="20"/>
          <w:szCs w:val="20"/>
        </w:rPr>
      </w:pPr>
      <w:r w:rsidRPr="00221CFA">
        <w:rPr>
          <w:rFonts w:ascii="Arial" w:hAnsi="Arial" w:cs="Arial"/>
          <w:sz w:val="20"/>
          <w:szCs w:val="20"/>
        </w:rPr>
        <w:t xml:space="preserve">The low glycaemic index of many millets supports blood-sugar regulation, which may be beneficial in diabetes management. </w:t>
      </w:r>
    </w:p>
    <w:p w14:paraId="180FBE52" w14:textId="77777777" w:rsidR="009664D1" w:rsidRPr="00221CFA" w:rsidRDefault="00414543" w:rsidP="009664D1">
      <w:pPr>
        <w:pStyle w:val="NormalWeb"/>
        <w:numPr>
          <w:ilvl w:val="0"/>
          <w:numId w:val="13"/>
        </w:numPr>
        <w:jc w:val="both"/>
        <w:rPr>
          <w:rFonts w:ascii="Arial" w:hAnsi="Arial" w:cs="Arial"/>
          <w:sz w:val="20"/>
          <w:szCs w:val="20"/>
        </w:rPr>
      </w:pPr>
      <w:r w:rsidRPr="00221CFA">
        <w:rPr>
          <w:rFonts w:ascii="Arial" w:hAnsi="Arial" w:cs="Arial"/>
          <w:sz w:val="20"/>
          <w:szCs w:val="20"/>
        </w:rPr>
        <w:t>Their high dietary-fibre and micronutrient content contribute to satiety, improved gut health, and may reduce risks of non-communicable diseases (cardiovascular ailments, certain cancers).</w:t>
      </w:r>
    </w:p>
    <w:p w14:paraId="2F050A29" w14:textId="75B4E62B" w:rsidR="00414543" w:rsidRPr="00221CFA" w:rsidRDefault="00414543" w:rsidP="009664D1">
      <w:pPr>
        <w:pStyle w:val="NormalWeb"/>
        <w:jc w:val="both"/>
        <w:rPr>
          <w:rFonts w:ascii="Arial" w:hAnsi="Arial" w:cs="Arial"/>
          <w:b/>
          <w:sz w:val="20"/>
          <w:szCs w:val="20"/>
        </w:rPr>
      </w:pPr>
      <w:r w:rsidRPr="00221CFA">
        <w:rPr>
          <w:rFonts w:ascii="Arial" w:hAnsi="Arial" w:cs="Arial"/>
          <w:b/>
          <w:sz w:val="20"/>
          <w:szCs w:val="20"/>
        </w:rPr>
        <w:t>2.3. Agronomic Advantages and Ecological Adaptability</w:t>
      </w:r>
    </w:p>
    <w:p w14:paraId="6F638D79" w14:textId="37A38F2C" w:rsidR="00414543" w:rsidRPr="00221CFA" w:rsidRDefault="00414543" w:rsidP="00FA0018">
      <w:pPr>
        <w:pStyle w:val="NormalWeb"/>
        <w:jc w:val="both"/>
        <w:rPr>
          <w:rFonts w:ascii="Arial" w:hAnsi="Arial" w:cs="Arial"/>
          <w:sz w:val="20"/>
          <w:szCs w:val="20"/>
        </w:rPr>
      </w:pPr>
      <w:r w:rsidRPr="00221CFA">
        <w:rPr>
          <w:rFonts w:ascii="Arial" w:hAnsi="Arial" w:cs="Arial"/>
          <w:sz w:val="20"/>
          <w:szCs w:val="20"/>
        </w:rPr>
        <w:lastRenderedPageBreak/>
        <w:t>One of the most compelling features of millets is their ability to thrive under harsh or marginal conditions</w:t>
      </w:r>
      <w:r w:rsidR="005F6AAC" w:rsidRPr="00221CFA">
        <w:rPr>
          <w:rFonts w:ascii="Arial" w:hAnsi="Arial" w:cs="Arial"/>
          <w:sz w:val="20"/>
          <w:szCs w:val="20"/>
        </w:rPr>
        <w:t>,</w:t>
      </w:r>
      <w:r w:rsidR="009664D1" w:rsidRPr="00221CFA">
        <w:rPr>
          <w:rFonts w:ascii="Arial" w:hAnsi="Arial" w:cs="Arial"/>
          <w:sz w:val="20"/>
          <w:szCs w:val="20"/>
        </w:rPr>
        <w:t xml:space="preserve"> </w:t>
      </w:r>
      <w:r w:rsidRPr="00221CFA">
        <w:rPr>
          <w:rFonts w:ascii="Arial" w:hAnsi="Arial" w:cs="Arial"/>
          <w:sz w:val="20"/>
          <w:szCs w:val="20"/>
        </w:rPr>
        <w:t>under low rainfall, high temperatures, poor soils, and low</w:t>
      </w:r>
      <w:r w:rsidRPr="00221CFA">
        <w:rPr>
          <w:rFonts w:ascii="Cambria Math" w:hAnsi="Cambria Math" w:cs="Cambria Math"/>
          <w:sz w:val="20"/>
          <w:szCs w:val="20"/>
        </w:rPr>
        <w:t>‐</w:t>
      </w:r>
      <w:r w:rsidRPr="00221CFA">
        <w:rPr>
          <w:rFonts w:ascii="Arial" w:hAnsi="Arial" w:cs="Arial"/>
          <w:sz w:val="20"/>
          <w:szCs w:val="20"/>
        </w:rPr>
        <w:t xml:space="preserve">input regimes. </w:t>
      </w:r>
      <w:r w:rsidRPr="00221CFA">
        <w:rPr>
          <w:rFonts w:ascii="Arial" w:hAnsi="Arial" w:cs="Arial"/>
          <w:sz w:val="20"/>
          <w:szCs w:val="20"/>
          <w:highlight w:val="yellow"/>
        </w:rPr>
        <w:t>As C4-</w:t>
      </w:r>
      <w:r w:rsidR="00B92D41" w:rsidRPr="00221CFA">
        <w:rPr>
          <w:highlight w:val="yellow"/>
        </w:rPr>
        <w:t xml:space="preserve"> </w:t>
      </w:r>
      <w:r w:rsidR="00B92D41" w:rsidRPr="00221CFA">
        <w:rPr>
          <w:rFonts w:ascii="Arial" w:hAnsi="Arial" w:cs="Arial"/>
          <w:sz w:val="20"/>
          <w:szCs w:val="20"/>
          <w:highlight w:val="yellow"/>
        </w:rPr>
        <w:t>photosynthetic</w:t>
      </w:r>
      <w:r w:rsidRPr="00221CFA">
        <w:rPr>
          <w:rFonts w:ascii="Arial" w:hAnsi="Arial" w:cs="Arial"/>
          <w:sz w:val="20"/>
          <w:szCs w:val="20"/>
          <w:highlight w:val="yellow"/>
        </w:rPr>
        <w:t xml:space="preserve"> plants,</w:t>
      </w:r>
      <w:r w:rsidRPr="00221CFA">
        <w:rPr>
          <w:rFonts w:ascii="Arial" w:hAnsi="Arial" w:cs="Arial"/>
          <w:sz w:val="20"/>
          <w:szCs w:val="20"/>
        </w:rPr>
        <w:t xml:space="preserve"> many millets exhibit high water-use efficiency and better tolerance to heat and drought compared to conventional cereals</w:t>
      </w:r>
      <w:r w:rsidR="003A178B" w:rsidRPr="00221CFA">
        <w:rPr>
          <w:rFonts w:ascii="Arial" w:hAnsi="Arial" w:cs="Arial"/>
          <w:sz w:val="20"/>
          <w:szCs w:val="20"/>
        </w:rPr>
        <w:t xml:space="preserve"> (Joshi et al., 2023)</w:t>
      </w:r>
      <w:r w:rsidRPr="00221CFA">
        <w:rPr>
          <w:rFonts w:ascii="Arial" w:hAnsi="Arial" w:cs="Arial"/>
          <w:sz w:val="20"/>
          <w:szCs w:val="20"/>
        </w:rPr>
        <w:t>. Their resilience extends to soil: they can tolerate acidic, saline, or nutrient-poor substrates, and are less susceptible to many pests and diseases.</w:t>
      </w:r>
      <w:r w:rsidR="009664D1" w:rsidRPr="00221CFA">
        <w:rPr>
          <w:rFonts w:ascii="Arial" w:hAnsi="Arial" w:cs="Arial"/>
          <w:sz w:val="20"/>
          <w:szCs w:val="20"/>
        </w:rPr>
        <w:t xml:space="preserve"> </w:t>
      </w:r>
      <w:r w:rsidRPr="00221CFA">
        <w:rPr>
          <w:rFonts w:ascii="Arial" w:hAnsi="Arial" w:cs="Arial"/>
          <w:sz w:val="20"/>
          <w:szCs w:val="20"/>
        </w:rPr>
        <w:t>They also have relatively short growing seasons, enabling cropping in regions or windows not accessible to slower</w:t>
      </w:r>
      <w:r w:rsidRPr="00221CFA">
        <w:rPr>
          <w:rFonts w:ascii="Cambria Math" w:hAnsi="Cambria Math" w:cs="Cambria Math"/>
          <w:sz w:val="20"/>
          <w:szCs w:val="20"/>
        </w:rPr>
        <w:t>‐</w:t>
      </w:r>
      <w:r w:rsidRPr="00221CFA">
        <w:rPr>
          <w:rFonts w:ascii="Arial" w:hAnsi="Arial" w:cs="Arial"/>
          <w:sz w:val="20"/>
          <w:szCs w:val="20"/>
        </w:rPr>
        <w:t xml:space="preserve">maturing cereals. </w:t>
      </w:r>
    </w:p>
    <w:p w14:paraId="59375F34" w14:textId="329566F6" w:rsidR="00414543" w:rsidRPr="00221CFA" w:rsidRDefault="00414543">
      <w:pPr>
        <w:pStyle w:val="NormalWeb"/>
        <w:ind w:firstLine="720"/>
        <w:jc w:val="both"/>
        <w:rPr>
          <w:rFonts w:ascii="Arial" w:hAnsi="Arial" w:cs="Arial"/>
          <w:sz w:val="20"/>
          <w:szCs w:val="20"/>
        </w:rPr>
      </w:pPr>
      <w:r w:rsidRPr="00221CFA">
        <w:rPr>
          <w:rFonts w:ascii="Arial" w:hAnsi="Arial" w:cs="Arial"/>
          <w:sz w:val="20"/>
          <w:szCs w:val="20"/>
        </w:rPr>
        <w:t>From a sustainability lens, millets are “climate-smart foods”</w:t>
      </w:r>
      <w:r w:rsidR="00B92D41" w:rsidRPr="00221CFA">
        <w:rPr>
          <w:rFonts w:ascii="Arial" w:hAnsi="Arial" w:cs="Arial"/>
          <w:sz w:val="20"/>
          <w:szCs w:val="20"/>
        </w:rPr>
        <w:t xml:space="preserve">; </w:t>
      </w:r>
      <w:r w:rsidRPr="00221CFA">
        <w:rPr>
          <w:rFonts w:ascii="Arial" w:hAnsi="Arial" w:cs="Arial"/>
          <w:sz w:val="20"/>
          <w:szCs w:val="20"/>
        </w:rPr>
        <w:t>they require fewer inputs (fertilizers, irrigation), adapt to erratic weather, and often support the livelihoods of smallholder and marginal farmers.</w:t>
      </w:r>
      <w:r w:rsidR="009664D1" w:rsidRPr="00221CFA">
        <w:rPr>
          <w:rFonts w:ascii="Arial" w:hAnsi="Arial" w:cs="Arial"/>
          <w:sz w:val="20"/>
          <w:szCs w:val="20"/>
        </w:rPr>
        <w:t xml:space="preserve"> </w:t>
      </w:r>
      <w:r w:rsidRPr="00221CFA">
        <w:rPr>
          <w:rFonts w:ascii="Arial" w:hAnsi="Arial" w:cs="Arial"/>
          <w:sz w:val="20"/>
          <w:szCs w:val="20"/>
        </w:rPr>
        <w:t>These agronomic features make millets particularly attractive in the context of climate change, land degradation, and resource constraints. Their capacity to cover and stabilise degraded lands and maintain production in suboptimal environments adds to ecosystem resilience.</w:t>
      </w:r>
    </w:p>
    <w:p w14:paraId="3C4C3EA9" w14:textId="77777777" w:rsidR="00414543" w:rsidRPr="00221CFA" w:rsidRDefault="00414543" w:rsidP="00FA0018">
      <w:pPr>
        <w:pStyle w:val="Heading3"/>
        <w:jc w:val="both"/>
        <w:rPr>
          <w:rFonts w:ascii="Arial" w:hAnsi="Arial" w:cs="Arial"/>
          <w:sz w:val="20"/>
          <w:szCs w:val="20"/>
        </w:rPr>
      </w:pPr>
      <w:r w:rsidRPr="00221CFA">
        <w:rPr>
          <w:rFonts w:ascii="Arial" w:hAnsi="Arial" w:cs="Arial"/>
          <w:sz w:val="20"/>
          <w:szCs w:val="20"/>
        </w:rPr>
        <w:t>2.4. Global and Indian Scenario of Millet Production</w:t>
      </w:r>
    </w:p>
    <w:p w14:paraId="540C9B08" w14:textId="5C85C952" w:rsidR="00FA0018" w:rsidRPr="00221CFA" w:rsidRDefault="00414543" w:rsidP="0090146B">
      <w:pPr>
        <w:pStyle w:val="NormalWeb"/>
        <w:jc w:val="both"/>
        <w:rPr>
          <w:rFonts w:ascii="Arial" w:hAnsi="Arial" w:cs="Arial"/>
          <w:sz w:val="20"/>
          <w:szCs w:val="20"/>
        </w:rPr>
      </w:pPr>
      <w:r w:rsidRPr="00221CFA">
        <w:rPr>
          <w:rFonts w:ascii="Arial" w:hAnsi="Arial" w:cs="Arial"/>
          <w:sz w:val="20"/>
          <w:szCs w:val="20"/>
        </w:rPr>
        <w:t xml:space="preserve">Globally, millets account for a modest share of cereal production, but their importance is steadily rising. The FAO, recognising this potential, designated 2023 as the International Year of Millets (IYM 2023) to </w:t>
      </w:r>
      <w:r w:rsidR="00B92D41" w:rsidRPr="00221CFA">
        <w:rPr>
          <w:rFonts w:ascii="Arial" w:hAnsi="Arial" w:cs="Arial"/>
          <w:sz w:val="20"/>
          <w:szCs w:val="20"/>
          <w:highlight w:val="yellow"/>
        </w:rPr>
        <w:t>raise awareness of</w:t>
      </w:r>
      <w:r w:rsidRPr="00221CFA">
        <w:rPr>
          <w:rFonts w:ascii="Arial" w:hAnsi="Arial" w:cs="Arial"/>
          <w:sz w:val="20"/>
          <w:szCs w:val="20"/>
          <w:highlight w:val="yellow"/>
        </w:rPr>
        <w:t xml:space="preserve"> their role in sustainable </w:t>
      </w:r>
      <w:r w:rsidRPr="00221CFA">
        <w:rPr>
          <w:rFonts w:ascii="Arial" w:hAnsi="Arial" w:cs="Arial"/>
          <w:sz w:val="20"/>
          <w:szCs w:val="20"/>
        </w:rPr>
        <w:t>food systems, nutrition</w:t>
      </w:r>
      <w:r w:rsidR="00B92D41" w:rsidRPr="00221CFA">
        <w:rPr>
          <w:rFonts w:ascii="Arial" w:hAnsi="Arial" w:cs="Arial"/>
          <w:sz w:val="20"/>
          <w:szCs w:val="20"/>
        </w:rPr>
        <w:t>,</w:t>
      </w:r>
      <w:r w:rsidRPr="00221CFA">
        <w:rPr>
          <w:rFonts w:ascii="Arial" w:hAnsi="Arial" w:cs="Arial"/>
          <w:sz w:val="20"/>
          <w:szCs w:val="20"/>
        </w:rPr>
        <w:t xml:space="preserve"> and climate resilience. In the Indian context, millets have long been cultivated under dryland farming systems. India is regarded as the world’s largest producer of millets, contributing around 38.4% of global production as of December 2023. According to recent data, in FY 24</w:t>
      </w:r>
      <w:r w:rsidR="00B92D41" w:rsidRPr="00221CFA">
        <w:rPr>
          <w:rFonts w:ascii="Arial" w:hAnsi="Arial" w:cs="Arial"/>
          <w:sz w:val="20"/>
          <w:szCs w:val="20"/>
        </w:rPr>
        <w:t>,</w:t>
      </w:r>
      <w:r w:rsidRPr="00221CFA">
        <w:rPr>
          <w:rFonts w:ascii="Arial" w:hAnsi="Arial" w:cs="Arial"/>
          <w:sz w:val="20"/>
          <w:szCs w:val="20"/>
        </w:rPr>
        <w:t xml:space="preserve"> India produced approximately 15.38 million tonnes of millets across 12.19 million hectares</w:t>
      </w:r>
      <w:r w:rsidR="00221CFA" w:rsidRPr="00221CFA">
        <w:rPr>
          <w:rFonts w:ascii="Arial" w:hAnsi="Arial" w:cs="Arial"/>
          <w:sz w:val="20"/>
          <w:szCs w:val="20"/>
        </w:rPr>
        <w:t xml:space="preserve">. </w:t>
      </w:r>
      <w:r w:rsidRPr="00221CFA">
        <w:rPr>
          <w:rFonts w:ascii="Arial" w:hAnsi="Arial" w:cs="Arial"/>
          <w:sz w:val="20"/>
          <w:szCs w:val="20"/>
        </w:rPr>
        <w:t xml:space="preserve">States such as Rajasthan, Karnataka, Maharashtra, Uttar Pradesh, Haryana, Gujarat, and Madhya </w:t>
      </w:r>
      <w:r w:rsidRPr="00221CFA">
        <w:rPr>
          <w:rFonts w:ascii="Arial" w:hAnsi="Arial" w:cs="Arial"/>
          <w:sz w:val="20"/>
          <w:szCs w:val="20"/>
          <w:highlight w:val="yellow"/>
        </w:rPr>
        <w:t xml:space="preserve">Pradesh </w:t>
      </w:r>
      <w:r w:rsidR="0090146B" w:rsidRPr="00221CFA">
        <w:rPr>
          <w:rFonts w:ascii="Arial" w:hAnsi="Arial" w:cs="Arial"/>
          <w:sz w:val="20"/>
          <w:szCs w:val="20"/>
          <w:highlight w:val="yellow"/>
        </w:rPr>
        <w:t xml:space="preserve">account for the bulk of </w:t>
      </w:r>
      <w:r w:rsidRPr="00221CFA">
        <w:rPr>
          <w:rFonts w:ascii="Arial" w:hAnsi="Arial" w:cs="Arial"/>
          <w:sz w:val="20"/>
          <w:szCs w:val="20"/>
          <w:highlight w:val="yellow"/>
        </w:rPr>
        <w:t xml:space="preserve">millet acreage. </w:t>
      </w:r>
      <w:r w:rsidRPr="00221CFA">
        <w:rPr>
          <w:rFonts w:ascii="Arial" w:hAnsi="Arial" w:cs="Arial"/>
          <w:sz w:val="20"/>
          <w:szCs w:val="20"/>
        </w:rPr>
        <w:t xml:space="preserve">Policy interest is on the rise. The IYM 2023 declaration and associated national and international programmes aim to reposition millets within food systems, promote value-chains, and integrate them into nutrition and sustainable agriculture agendas. </w:t>
      </w:r>
    </w:p>
    <w:p w14:paraId="02A4603F" w14:textId="21EE5955" w:rsidR="00FA0018" w:rsidRPr="00221CFA" w:rsidRDefault="00221CFA" w:rsidP="007D1F72">
      <w:pPr>
        <w:pStyle w:val="Heading4"/>
        <w:spacing w:line="240" w:lineRule="auto"/>
        <w:jc w:val="both"/>
        <w:rPr>
          <w:rFonts w:ascii="Arial" w:hAnsi="Arial" w:cs="Arial"/>
          <w:color w:val="auto"/>
          <w:sz w:val="20"/>
          <w:szCs w:val="20"/>
        </w:rPr>
      </w:pPr>
      <w:r w:rsidRPr="00221CFA">
        <w:rPr>
          <w:rStyle w:val="Strong"/>
          <w:rFonts w:ascii="Arial" w:hAnsi="Arial" w:cs="Arial"/>
          <w:bCs w:val="0"/>
          <w:color w:val="auto"/>
          <w:sz w:val="20"/>
          <w:szCs w:val="20"/>
          <w:highlight w:val="yellow"/>
        </w:rPr>
        <w:t xml:space="preserve">2.4.1 </w:t>
      </w:r>
      <w:r w:rsidR="00FA0018" w:rsidRPr="00221CFA">
        <w:rPr>
          <w:rStyle w:val="Strong"/>
          <w:rFonts w:ascii="Arial" w:hAnsi="Arial" w:cs="Arial"/>
          <w:bCs w:val="0"/>
          <w:color w:val="auto"/>
          <w:sz w:val="20"/>
          <w:szCs w:val="20"/>
          <w:highlight w:val="yellow"/>
        </w:rPr>
        <w:t>Phosphate Solubilization and Micronutrient Mobilization</w:t>
      </w:r>
    </w:p>
    <w:p w14:paraId="770CF84C" w14:textId="6230697A" w:rsidR="00FA0018" w:rsidRPr="00221CFA" w:rsidRDefault="00FA0018" w:rsidP="00944311">
      <w:pPr>
        <w:pStyle w:val="NormalWeb"/>
        <w:jc w:val="both"/>
        <w:rPr>
          <w:rFonts w:ascii="Arial" w:hAnsi="Arial" w:cs="Arial"/>
          <w:sz w:val="20"/>
          <w:szCs w:val="20"/>
        </w:rPr>
      </w:pPr>
      <w:r w:rsidRPr="00221CFA">
        <w:rPr>
          <w:rFonts w:ascii="Arial" w:hAnsi="Arial" w:cs="Arial"/>
          <w:sz w:val="20"/>
          <w:szCs w:val="20"/>
          <w:highlight w:val="yellow"/>
        </w:rPr>
        <w:t xml:space="preserve">Many soils </w:t>
      </w:r>
      <w:r w:rsidR="0090146B" w:rsidRPr="00221CFA">
        <w:rPr>
          <w:rFonts w:ascii="Arial" w:hAnsi="Arial" w:cs="Arial"/>
          <w:sz w:val="20"/>
          <w:szCs w:val="20"/>
          <w:highlight w:val="yellow"/>
        </w:rPr>
        <w:t xml:space="preserve">contain </w:t>
      </w:r>
      <w:r w:rsidRPr="00221CFA">
        <w:rPr>
          <w:rFonts w:ascii="Arial" w:hAnsi="Arial" w:cs="Arial"/>
          <w:sz w:val="20"/>
          <w:szCs w:val="20"/>
          <w:highlight w:val="yellow"/>
        </w:rPr>
        <w:t xml:space="preserve">phosphorus </w:t>
      </w:r>
      <w:r w:rsidR="007A57E8" w:rsidRPr="00221CFA">
        <w:rPr>
          <w:rFonts w:ascii="Arial" w:hAnsi="Arial" w:cs="Arial"/>
          <w:sz w:val="20"/>
          <w:szCs w:val="20"/>
          <w:highlight w:val="yellow"/>
        </w:rPr>
        <w:t>bound to</w:t>
      </w:r>
      <w:r w:rsidRPr="00221CFA">
        <w:rPr>
          <w:rFonts w:ascii="Arial" w:hAnsi="Arial" w:cs="Arial"/>
          <w:sz w:val="20"/>
          <w:szCs w:val="20"/>
          <w:highlight w:val="yellow"/>
        </w:rPr>
        <w:t xml:space="preserve"> Fe, Al, or Ca.</w:t>
      </w:r>
      <w:r w:rsidRPr="00221CFA">
        <w:rPr>
          <w:rFonts w:ascii="Arial" w:hAnsi="Arial" w:cs="Arial"/>
          <w:sz w:val="20"/>
          <w:szCs w:val="20"/>
        </w:rPr>
        <w:t xml:space="preserve"> PSB and PSM secrete organic acids, phosphatases, and chelating compounds that lower soil pH and dissolve these complexes. The mobilized phosphorus becomes available in the form of H</w:t>
      </w:r>
      <w:r w:rsidRPr="00221CFA">
        <w:rPr>
          <w:rFonts w:ascii="Cambria Math" w:hAnsi="Cambria Math" w:cs="Cambria Math"/>
          <w:sz w:val="20"/>
          <w:szCs w:val="20"/>
        </w:rPr>
        <w:t>₂</w:t>
      </w:r>
      <w:r w:rsidRPr="00221CFA">
        <w:rPr>
          <w:rFonts w:ascii="Arial" w:hAnsi="Arial" w:cs="Arial"/>
          <w:sz w:val="20"/>
          <w:szCs w:val="20"/>
        </w:rPr>
        <w:t>PO</w:t>
      </w:r>
      <w:r w:rsidRPr="00221CFA">
        <w:rPr>
          <w:rFonts w:ascii="Cambria Math" w:hAnsi="Cambria Math" w:cs="Cambria Math"/>
          <w:sz w:val="20"/>
          <w:szCs w:val="20"/>
        </w:rPr>
        <w:t>₄⁻</w:t>
      </w:r>
      <w:r w:rsidRPr="00221CFA">
        <w:rPr>
          <w:rFonts w:ascii="Arial" w:hAnsi="Arial" w:cs="Arial"/>
          <w:sz w:val="20"/>
          <w:szCs w:val="20"/>
        </w:rPr>
        <w:t xml:space="preserve"> and HPO</w:t>
      </w:r>
      <w:r w:rsidRPr="00221CFA">
        <w:rPr>
          <w:rFonts w:ascii="Cambria Math" w:hAnsi="Cambria Math" w:cs="Cambria Math"/>
          <w:sz w:val="20"/>
          <w:szCs w:val="20"/>
        </w:rPr>
        <w:t>₄</w:t>
      </w:r>
      <w:r w:rsidRPr="00221CFA">
        <w:rPr>
          <w:rFonts w:ascii="Arial" w:hAnsi="Arial" w:cs="Arial"/>
          <w:sz w:val="20"/>
          <w:szCs w:val="20"/>
        </w:rPr>
        <w:t>²</w:t>
      </w:r>
      <w:r w:rsidRPr="00221CFA">
        <w:rPr>
          <w:rFonts w:ascii="Cambria Math" w:hAnsi="Cambria Math" w:cs="Cambria Math"/>
          <w:sz w:val="20"/>
          <w:szCs w:val="20"/>
        </w:rPr>
        <w:t>⁻</w:t>
      </w:r>
      <w:r w:rsidRPr="00221CFA">
        <w:rPr>
          <w:rFonts w:ascii="Arial" w:hAnsi="Arial" w:cs="Arial"/>
          <w:sz w:val="20"/>
          <w:szCs w:val="20"/>
        </w:rPr>
        <w:t xml:space="preserve"> ions.</w:t>
      </w:r>
      <w:r w:rsidRPr="00221CFA">
        <w:rPr>
          <w:rFonts w:ascii="Arial" w:hAnsi="Arial" w:cs="Arial"/>
          <w:sz w:val="20"/>
          <w:szCs w:val="20"/>
        </w:rPr>
        <w:br/>
        <w:t>Similarly, siderophore-producing microbes improve iron and zinc bioavailability by chelating Fe³</w:t>
      </w:r>
      <w:r w:rsidRPr="00221CFA">
        <w:rPr>
          <w:rFonts w:ascii="Cambria Math" w:hAnsi="Cambria Math" w:cs="Cambria Math"/>
          <w:sz w:val="20"/>
          <w:szCs w:val="20"/>
        </w:rPr>
        <w:t>⁺</w:t>
      </w:r>
      <w:r w:rsidRPr="00221CFA">
        <w:rPr>
          <w:rFonts w:ascii="Arial" w:hAnsi="Arial" w:cs="Arial"/>
          <w:sz w:val="20"/>
          <w:szCs w:val="20"/>
        </w:rPr>
        <w:t xml:space="preserve"> ions and releasing micronutrients into soluble forms, thus enhancing the micronutrient profile of grains — a valuable trait for biofortified millet production (Gao et al., 2020).</w:t>
      </w:r>
    </w:p>
    <w:p w14:paraId="479E6A48" w14:textId="296EDFC6" w:rsidR="00FA0018" w:rsidRPr="00221CFA" w:rsidRDefault="00221CFA" w:rsidP="007D1F72">
      <w:pPr>
        <w:pStyle w:val="Heading4"/>
        <w:spacing w:line="240" w:lineRule="auto"/>
        <w:jc w:val="both"/>
        <w:rPr>
          <w:rFonts w:ascii="Arial" w:hAnsi="Arial" w:cs="Arial"/>
          <w:color w:val="auto"/>
          <w:sz w:val="20"/>
          <w:szCs w:val="20"/>
        </w:rPr>
      </w:pPr>
      <w:r w:rsidRPr="00221CFA">
        <w:rPr>
          <w:rStyle w:val="Strong"/>
          <w:rFonts w:ascii="Arial" w:hAnsi="Arial" w:cs="Arial"/>
          <w:bCs w:val="0"/>
          <w:color w:val="auto"/>
          <w:sz w:val="20"/>
          <w:szCs w:val="20"/>
          <w:highlight w:val="yellow"/>
        </w:rPr>
        <w:t xml:space="preserve">2.4.2 </w:t>
      </w:r>
      <w:r w:rsidR="00FA0018" w:rsidRPr="00221CFA">
        <w:rPr>
          <w:rStyle w:val="Strong"/>
          <w:rFonts w:ascii="Arial" w:hAnsi="Arial" w:cs="Arial"/>
          <w:bCs w:val="0"/>
          <w:color w:val="auto"/>
          <w:sz w:val="20"/>
          <w:szCs w:val="20"/>
          <w:highlight w:val="yellow"/>
        </w:rPr>
        <w:t>Siderophore and Phytohormone Production</w:t>
      </w:r>
    </w:p>
    <w:p w14:paraId="23602180" w14:textId="77777777" w:rsidR="00FA0018" w:rsidRPr="00221CFA" w:rsidRDefault="00FA0018" w:rsidP="007D1F72">
      <w:pPr>
        <w:pStyle w:val="NormalWeb"/>
        <w:jc w:val="both"/>
        <w:rPr>
          <w:rFonts w:ascii="Arial" w:hAnsi="Arial" w:cs="Arial"/>
          <w:sz w:val="20"/>
          <w:szCs w:val="20"/>
        </w:rPr>
      </w:pPr>
      <w:r w:rsidRPr="00221CFA">
        <w:rPr>
          <w:rFonts w:ascii="Arial" w:hAnsi="Arial" w:cs="Arial"/>
          <w:sz w:val="20"/>
          <w:szCs w:val="20"/>
        </w:rPr>
        <w:t xml:space="preserve">Many plant growth-promoting rhizobacteria (PGPR) release siderophores — low-molecular-weight compounds that bind ferric ions, making iron more accessible to plants while restricting pathogen access to iron. In addition, these microbes produce phytohormones such as indole-3-acetic acid (IAA), gibberellins, and </w:t>
      </w:r>
      <w:proofErr w:type="spellStart"/>
      <w:r w:rsidRPr="00221CFA">
        <w:rPr>
          <w:rFonts w:ascii="Arial" w:hAnsi="Arial" w:cs="Arial"/>
          <w:sz w:val="20"/>
          <w:szCs w:val="20"/>
        </w:rPr>
        <w:t>cytokinins</w:t>
      </w:r>
      <w:proofErr w:type="spellEnd"/>
      <w:r w:rsidRPr="00221CFA">
        <w:rPr>
          <w:rFonts w:ascii="Arial" w:hAnsi="Arial" w:cs="Arial"/>
          <w:sz w:val="20"/>
          <w:szCs w:val="20"/>
        </w:rPr>
        <w:t>, which stimulate root elongation, lateral root formation, and improved nutrient absorption.</w:t>
      </w:r>
      <w:r w:rsidR="009664D1" w:rsidRPr="00221CFA">
        <w:rPr>
          <w:rFonts w:ascii="Arial" w:hAnsi="Arial" w:cs="Arial"/>
          <w:sz w:val="20"/>
          <w:szCs w:val="20"/>
        </w:rPr>
        <w:t xml:space="preserve"> </w:t>
      </w:r>
      <w:r w:rsidRPr="00221CFA">
        <w:rPr>
          <w:rFonts w:ascii="Arial" w:hAnsi="Arial" w:cs="Arial"/>
          <w:sz w:val="20"/>
          <w:szCs w:val="20"/>
        </w:rPr>
        <w:t>Enhanced root surface area and root hair proliferation increase nutrient and water uptake, crucial for crops like millets grown in semi-arid regions (Aamir et al., 2020).</w:t>
      </w:r>
    </w:p>
    <w:p w14:paraId="39F20112" w14:textId="676665F5" w:rsidR="00FA0018" w:rsidRPr="00221CFA" w:rsidRDefault="00221CFA" w:rsidP="007D1F72">
      <w:pPr>
        <w:pStyle w:val="Heading4"/>
        <w:spacing w:line="240" w:lineRule="auto"/>
        <w:jc w:val="both"/>
        <w:rPr>
          <w:rFonts w:ascii="Arial" w:hAnsi="Arial" w:cs="Arial"/>
          <w:color w:val="auto"/>
          <w:sz w:val="20"/>
          <w:szCs w:val="20"/>
          <w:highlight w:val="yellow"/>
        </w:rPr>
      </w:pPr>
      <w:r w:rsidRPr="00221CFA">
        <w:rPr>
          <w:rStyle w:val="Strong"/>
          <w:rFonts w:ascii="Arial" w:hAnsi="Arial" w:cs="Arial"/>
          <w:bCs w:val="0"/>
          <w:color w:val="auto"/>
          <w:sz w:val="20"/>
          <w:szCs w:val="20"/>
          <w:highlight w:val="yellow"/>
        </w:rPr>
        <w:t xml:space="preserve">2.4.3 </w:t>
      </w:r>
      <w:r w:rsidR="00FA0018" w:rsidRPr="00221CFA">
        <w:rPr>
          <w:rStyle w:val="Strong"/>
          <w:rFonts w:ascii="Arial" w:hAnsi="Arial" w:cs="Arial"/>
          <w:bCs w:val="0"/>
          <w:color w:val="auto"/>
          <w:sz w:val="20"/>
          <w:szCs w:val="20"/>
          <w:highlight w:val="yellow"/>
        </w:rPr>
        <w:t>Stress Modulation and Plant Growth Promotion</w:t>
      </w:r>
    </w:p>
    <w:p w14:paraId="141FD3A7" w14:textId="612E1105" w:rsidR="00FA0018" w:rsidRPr="00221CFA" w:rsidRDefault="00FA0018">
      <w:pPr>
        <w:pStyle w:val="NormalWeb"/>
        <w:jc w:val="both"/>
        <w:rPr>
          <w:rFonts w:ascii="Arial" w:hAnsi="Arial" w:cs="Arial"/>
          <w:sz w:val="20"/>
          <w:szCs w:val="20"/>
        </w:rPr>
      </w:pPr>
      <w:r w:rsidRPr="00221CFA">
        <w:rPr>
          <w:rFonts w:ascii="Arial" w:hAnsi="Arial" w:cs="Arial"/>
          <w:sz w:val="20"/>
          <w:szCs w:val="20"/>
        </w:rPr>
        <w:t xml:space="preserve">Biofertilizers improve plant tolerance to abiotic stresses (drought, salinity, temperature extremes) through multiple pathways. They enhance osmolyte accumulation, antioxidant enzyme activity (superoxide dismutase, catalase, peroxidase), and modulate hormonal </w:t>
      </w:r>
      <w:proofErr w:type="spellStart"/>
      <w:r w:rsidRPr="00221CFA">
        <w:rPr>
          <w:rFonts w:ascii="Arial" w:hAnsi="Arial" w:cs="Arial"/>
          <w:sz w:val="20"/>
          <w:szCs w:val="20"/>
        </w:rPr>
        <w:t>signaling</w:t>
      </w:r>
      <w:proofErr w:type="spellEnd"/>
      <w:r w:rsidRPr="00221CFA">
        <w:rPr>
          <w:rFonts w:ascii="Arial" w:hAnsi="Arial" w:cs="Arial"/>
          <w:sz w:val="20"/>
          <w:szCs w:val="20"/>
        </w:rPr>
        <w:t xml:space="preserve"> (abscisic acid and ethylene balance).</w:t>
      </w:r>
      <w:r w:rsidR="009664D1" w:rsidRPr="00221CFA">
        <w:rPr>
          <w:rFonts w:ascii="Arial" w:hAnsi="Arial" w:cs="Arial"/>
          <w:sz w:val="20"/>
          <w:szCs w:val="20"/>
        </w:rPr>
        <w:t xml:space="preserve"> </w:t>
      </w:r>
      <w:r w:rsidRPr="00221CFA">
        <w:rPr>
          <w:rFonts w:ascii="Arial" w:hAnsi="Arial" w:cs="Arial"/>
          <w:sz w:val="20"/>
          <w:szCs w:val="20"/>
        </w:rPr>
        <w:t xml:space="preserve">Microbial interactions with plant roots also induce systemic resistance, reducing the incidence of soil-borne pathogens. The combined effects </w:t>
      </w:r>
      <w:r w:rsidR="007F1DD9" w:rsidRPr="00221CFA">
        <w:rPr>
          <w:rFonts w:ascii="Arial" w:hAnsi="Arial" w:cs="Arial"/>
          <w:sz w:val="20"/>
          <w:szCs w:val="20"/>
          <w:highlight w:val="yellow"/>
        </w:rPr>
        <w:t xml:space="preserve">improve </w:t>
      </w:r>
      <w:proofErr w:type="spellStart"/>
      <w:r w:rsidRPr="00221CFA">
        <w:rPr>
          <w:rFonts w:ascii="Arial" w:hAnsi="Arial" w:cs="Arial"/>
          <w:sz w:val="20"/>
          <w:szCs w:val="20"/>
          <w:highlight w:val="yellow"/>
        </w:rPr>
        <w:t>vigor</w:t>
      </w:r>
      <w:proofErr w:type="spellEnd"/>
      <w:r w:rsidRPr="00221CFA">
        <w:rPr>
          <w:rFonts w:ascii="Arial" w:hAnsi="Arial" w:cs="Arial"/>
          <w:sz w:val="20"/>
          <w:szCs w:val="20"/>
          <w:highlight w:val="yellow"/>
        </w:rPr>
        <w:t xml:space="preserve">, </w:t>
      </w:r>
      <w:r w:rsidRPr="00221CFA">
        <w:rPr>
          <w:rFonts w:ascii="Arial" w:hAnsi="Arial" w:cs="Arial"/>
          <w:sz w:val="20"/>
          <w:szCs w:val="20"/>
        </w:rPr>
        <w:t xml:space="preserve">chlorophyll synthesis, grain yield, and </w:t>
      </w:r>
      <w:r w:rsidRPr="00221CFA">
        <w:rPr>
          <w:rFonts w:ascii="Arial" w:hAnsi="Arial" w:cs="Arial"/>
          <w:sz w:val="20"/>
          <w:szCs w:val="20"/>
          <w:highlight w:val="yellow"/>
        </w:rPr>
        <w:t xml:space="preserve">resilience </w:t>
      </w:r>
      <w:r w:rsidR="007F1DD9" w:rsidRPr="00221CFA">
        <w:rPr>
          <w:rFonts w:ascii="Arial" w:hAnsi="Arial" w:cs="Arial"/>
          <w:sz w:val="20"/>
          <w:szCs w:val="20"/>
          <w:highlight w:val="yellow"/>
        </w:rPr>
        <w:t>in</w:t>
      </w:r>
      <w:r w:rsidRPr="00221CFA">
        <w:rPr>
          <w:rFonts w:ascii="Arial" w:hAnsi="Arial" w:cs="Arial"/>
          <w:sz w:val="20"/>
          <w:szCs w:val="20"/>
          <w:highlight w:val="yellow"/>
        </w:rPr>
        <w:t xml:space="preserve"> low-input</w:t>
      </w:r>
      <w:r w:rsidR="007F1DD9" w:rsidRPr="00221CFA">
        <w:rPr>
          <w:rFonts w:ascii="Arial" w:hAnsi="Arial" w:cs="Arial"/>
          <w:sz w:val="20"/>
          <w:szCs w:val="20"/>
          <w:highlight w:val="yellow"/>
        </w:rPr>
        <w:t>,</w:t>
      </w:r>
      <w:r w:rsidRPr="00221CFA">
        <w:rPr>
          <w:rFonts w:ascii="Arial" w:hAnsi="Arial" w:cs="Arial"/>
          <w:sz w:val="20"/>
          <w:szCs w:val="20"/>
          <w:highlight w:val="yellow"/>
        </w:rPr>
        <w:t xml:space="preserve"> </w:t>
      </w:r>
      <w:r w:rsidRPr="00221CFA">
        <w:rPr>
          <w:rFonts w:ascii="Arial" w:hAnsi="Arial" w:cs="Arial"/>
          <w:sz w:val="20"/>
          <w:szCs w:val="20"/>
        </w:rPr>
        <w:t>stress-prone environments characteristic of millet ecosystems (Mitra et al., 2023; Han et al., 2023).</w:t>
      </w:r>
    </w:p>
    <w:p w14:paraId="2407656B" w14:textId="42C76C9E" w:rsidR="00FA0018" w:rsidRPr="00221CFA" w:rsidRDefault="00FA0018">
      <w:pPr>
        <w:pStyle w:val="NormalWeb"/>
        <w:ind w:firstLine="720"/>
        <w:jc w:val="both"/>
        <w:rPr>
          <w:rFonts w:ascii="Arial" w:hAnsi="Arial" w:cs="Arial"/>
          <w:sz w:val="20"/>
          <w:szCs w:val="20"/>
        </w:rPr>
      </w:pPr>
      <w:r w:rsidRPr="00221CFA">
        <w:rPr>
          <w:rFonts w:ascii="Arial" w:hAnsi="Arial" w:cs="Arial"/>
          <w:sz w:val="20"/>
          <w:szCs w:val="20"/>
        </w:rPr>
        <w:t xml:space="preserve">Biofertilizers represent a cornerstone of sustainable nutrient management, acting as both nutrient providers and plant stimulants. Through their multifaceted </w:t>
      </w:r>
      <w:r w:rsidRPr="00221CFA">
        <w:rPr>
          <w:rFonts w:ascii="Arial" w:hAnsi="Arial" w:cs="Arial"/>
          <w:sz w:val="20"/>
          <w:szCs w:val="20"/>
          <w:highlight w:val="yellow"/>
        </w:rPr>
        <w:t>roles</w:t>
      </w:r>
      <w:r w:rsidR="005322C8" w:rsidRPr="00221CFA">
        <w:rPr>
          <w:rFonts w:ascii="Arial" w:hAnsi="Arial" w:cs="Arial"/>
          <w:sz w:val="20"/>
          <w:szCs w:val="20"/>
          <w:highlight w:val="yellow"/>
        </w:rPr>
        <w:t xml:space="preserve"> in</w:t>
      </w:r>
      <w:r w:rsidRPr="00221CFA">
        <w:rPr>
          <w:rFonts w:ascii="Arial" w:hAnsi="Arial" w:cs="Arial"/>
          <w:sz w:val="20"/>
          <w:szCs w:val="20"/>
          <w:highlight w:val="yellow"/>
        </w:rPr>
        <w:t xml:space="preserve"> nitrogen </w:t>
      </w:r>
      <w:r w:rsidRPr="00221CFA">
        <w:rPr>
          <w:rFonts w:ascii="Arial" w:hAnsi="Arial" w:cs="Arial"/>
          <w:sz w:val="20"/>
          <w:szCs w:val="20"/>
        </w:rPr>
        <w:t xml:space="preserve">fixation, nutrient </w:t>
      </w:r>
      <w:r w:rsidRPr="00221CFA">
        <w:rPr>
          <w:rFonts w:ascii="Arial" w:hAnsi="Arial" w:cs="Arial"/>
          <w:sz w:val="20"/>
          <w:szCs w:val="20"/>
        </w:rPr>
        <w:lastRenderedPageBreak/>
        <w:t>solubilization, phytohormone synthesis, and stress mitigation</w:t>
      </w:r>
      <w:r w:rsidR="005322C8" w:rsidRPr="00221CFA">
        <w:rPr>
          <w:rFonts w:ascii="Arial" w:hAnsi="Arial" w:cs="Arial"/>
          <w:sz w:val="20"/>
          <w:szCs w:val="20"/>
        </w:rPr>
        <w:t>,</w:t>
      </w:r>
      <w:r w:rsidRPr="00221CFA">
        <w:rPr>
          <w:rFonts w:ascii="Arial" w:hAnsi="Arial" w:cs="Arial"/>
          <w:sz w:val="20"/>
          <w:szCs w:val="20"/>
        </w:rPr>
        <w:t xml:space="preserve"> they contribute to enhanced productivity, soil health, and ecological stability. Integrating these microbial inoculants into millet-based systems is particularly strategic, as they offer a natural </w:t>
      </w:r>
      <w:r w:rsidRPr="00221CFA">
        <w:rPr>
          <w:rFonts w:ascii="Arial" w:hAnsi="Arial" w:cs="Arial"/>
          <w:sz w:val="20"/>
          <w:szCs w:val="20"/>
          <w:highlight w:val="yellow"/>
        </w:rPr>
        <w:t xml:space="preserve">means </w:t>
      </w:r>
      <w:r w:rsidR="005322C8" w:rsidRPr="00221CFA">
        <w:rPr>
          <w:rFonts w:ascii="Arial" w:hAnsi="Arial" w:cs="Arial"/>
          <w:sz w:val="20"/>
          <w:szCs w:val="20"/>
          <w:highlight w:val="yellow"/>
        </w:rPr>
        <w:t xml:space="preserve">to improve </w:t>
      </w:r>
      <w:r w:rsidRPr="00221CFA">
        <w:rPr>
          <w:rFonts w:ascii="Arial" w:hAnsi="Arial" w:cs="Arial"/>
          <w:sz w:val="20"/>
          <w:szCs w:val="20"/>
          <w:highlight w:val="yellow"/>
        </w:rPr>
        <w:t xml:space="preserve">nutrient-use efficiency and </w:t>
      </w:r>
      <w:r w:rsidR="00F07C6E" w:rsidRPr="00221CFA">
        <w:rPr>
          <w:rFonts w:ascii="Arial" w:hAnsi="Arial" w:cs="Arial"/>
          <w:sz w:val="20"/>
          <w:szCs w:val="20"/>
          <w:highlight w:val="yellow"/>
        </w:rPr>
        <w:t>support</w:t>
      </w:r>
      <w:r w:rsidR="00F07C6E" w:rsidRPr="00221CFA">
        <w:rPr>
          <w:rFonts w:ascii="Arial" w:hAnsi="Arial" w:cs="Arial"/>
          <w:sz w:val="20"/>
          <w:szCs w:val="20"/>
        </w:rPr>
        <w:t xml:space="preserve"> </w:t>
      </w:r>
      <w:r w:rsidRPr="00221CFA">
        <w:rPr>
          <w:rFonts w:ascii="Arial" w:hAnsi="Arial" w:cs="Arial"/>
          <w:sz w:val="20"/>
          <w:szCs w:val="20"/>
        </w:rPr>
        <w:t>climate-resilient agriculture in resource-poor regions.</w:t>
      </w:r>
    </w:p>
    <w:p w14:paraId="4ACA72BE" w14:textId="77777777" w:rsidR="00171AA8" w:rsidRPr="00221CFA" w:rsidRDefault="00171AA8" w:rsidP="00852D55">
      <w:pPr>
        <w:pStyle w:val="NormalWeb"/>
        <w:ind w:firstLine="720"/>
        <w:jc w:val="center"/>
        <w:rPr>
          <w:rStyle w:val="Strong"/>
          <w:rFonts w:ascii="Arial" w:hAnsi="Arial" w:cs="Arial"/>
          <w:sz w:val="20"/>
          <w:szCs w:val="20"/>
        </w:rPr>
      </w:pPr>
      <w:r w:rsidRPr="00221CFA">
        <w:rPr>
          <w:rFonts w:ascii="Arial" w:hAnsi="Arial" w:cs="Arial"/>
          <w:b/>
          <w:sz w:val="20"/>
          <w:szCs w:val="20"/>
        </w:rPr>
        <w:t>Table 1:</w:t>
      </w:r>
      <w:r w:rsidRPr="00221CFA">
        <w:rPr>
          <w:rStyle w:val="Strong"/>
          <w:rFonts w:ascii="Arial" w:hAnsi="Arial" w:cs="Arial"/>
          <w:sz w:val="20"/>
          <w:szCs w:val="20"/>
        </w:rPr>
        <w:t xml:space="preserve"> Mechanisms of Biofertilizer Action in Millets</w:t>
      </w:r>
    </w:p>
    <w:tbl>
      <w:tblPr>
        <w:tblStyle w:val="TableGrid"/>
        <w:tblW w:w="0" w:type="auto"/>
        <w:tblLook w:val="04A0" w:firstRow="1" w:lastRow="0" w:firstColumn="1" w:lastColumn="0" w:noHBand="0" w:noVBand="1"/>
      </w:tblPr>
      <w:tblGrid>
        <w:gridCol w:w="1803"/>
        <w:gridCol w:w="1803"/>
        <w:gridCol w:w="1803"/>
        <w:gridCol w:w="1803"/>
        <w:gridCol w:w="1804"/>
      </w:tblGrid>
      <w:tr w:rsidR="00221CFA" w:rsidRPr="00221CFA" w14:paraId="4B83110F" w14:textId="77777777" w:rsidTr="00095DAB">
        <w:tc>
          <w:tcPr>
            <w:tcW w:w="1803" w:type="dxa"/>
            <w:vAlign w:val="center"/>
          </w:tcPr>
          <w:p w14:paraId="53A0B7B1" w14:textId="77777777" w:rsidR="00852D55" w:rsidRPr="00221CFA" w:rsidRDefault="00852D55" w:rsidP="00852D55">
            <w:pPr>
              <w:jc w:val="center"/>
              <w:rPr>
                <w:rFonts w:ascii="Arial" w:hAnsi="Arial" w:cs="Arial"/>
                <w:b/>
                <w:bCs/>
                <w:sz w:val="20"/>
              </w:rPr>
            </w:pPr>
            <w:r w:rsidRPr="00221CFA">
              <w:rPr>
                <w:rStyle w:val="Strong"/>
                <w:rFonts w:ascii="Arial" w:hAnsi="Arial" w:cs="Arial"/>
                <w:sz w:val="20"/>
              </w:rPr>
              <w:t>Mechanism / Process</w:t>
            </w:r>
          </w:p>
        </w:tc>
        <w:tc>
          <w:tcPr>
            <w:tcW w:w="1803" w:type="dxa"/>
            <w:vAlign w:val="center"/>
          </w:tcPr>
          <w:p w14:paraId="57B3E4E1" w14:textId="77777777" w:rsidR="00852D55" w:rsidRPr="00221CFA" w:rsidRDefault="00852D55" w:rsidP="00852D55">
            <w:pPr>
              <w:jc w:val="center"/>
              <w:rPr>
                <w:rFonts w:ascii="Arial" w:hAnsi="Arial" w:cs="Arial"/>
                <w:b/>
                <w:bCs/>
                <w:sz w:val="20"/>
              </w:rPr>
            </w:pPr>
            <w:r w:rsidRPr="00221CFA">
              <w:rPr>
                <w:rStyle w:val="Strong"/>
                <w:rFonts w:ascii="Arial" w:hAnsi="Arial" w:cs="Arial"/>
                <w:sz w:val="20"/>
              </w:rPr>
              <w:t>Key Microbial Groups / Agents</w:t>
            </w:r>
          </w:p>
        </w:tc>
        <w:tc>
          <w:tcPr>
            <w:tcW w:w="1803" w:type="dxa"/>
            <w:vAlign w:val="center"/>
          </w:tcPr>
          <w:p w14:paraId="2B6074F0" w14:textId="77777777" w:rsidR="00852D55" w:rsidRPr="00221CFA" w:rsidRDefault="00852D55" w:rsidP="00852D55">
            <w:pPr>
              <w:jc w:val="center"/>
              <w:rPr>
                <w:rFonts w:ascii="Arial" w:hAnsi="Arial" w:cs="Arial"/>
                <w:b/>
                <w:bCs/>
                <w:sz w:val="20"/>
              </w:rPr>
            </w:pPr>
            <w:r w:rsidRPr="00221CFA">
              <w:rPr>
                <w:rStyle w:val="Strong"/>
                <w:rFonts w:ascii="Arial" w:hAnsi="Arial" w:cs="Arial"/>
                <w:sz w:val="20"/>
              </w:rPr>
              <w:t>Biochemical / Physiological Action</w:t>
            </w:r>
          </w:p>
        </w:tc>
        <w:tc>
          <w:tcPr>
            <w:tcW w:w="1803" w:type="dxa"/>
            <w:vAlign w:val="center"/>
          </w:tcPr>
          <w:p w14:paraId="2E72F5ED" w14:textId="77777777" w:rsidR="00852D55" w:rsidRPr="00221CFA" w:rsidRDefault="00852D55" w:rsidP="00852D55">
            <w:pPr>
              <w:jc w:val="center"/>
              <w:rPr>
                <w:rFonts w:ascii="Arial" w:hAnsi="Arial" w:cs="Arial"/>
                <w:b/>
                <w:bCs/>
                <w:sz w:val="20"/>
              </w:rPr>
            </w:pPr>
            <w:r w:rsidRPr="00221CFA">
              <w:rPr>
                <w:rStyle w:val="Strong"/>
                <w:rFonts w:ascii="Arial" w:hAnsi="Arial" w:cs="Arial"/>
                <w:sz w:val="20"/>
              </w:rPr>
              <w:t>Effect on Millets / Outcome</w:t>
            </w:r>
          </w:p>
        </w:tc>
        <w:tc>
          <w:tcPr>
            <w:tcW w:w="1804" w:type="dxa"/>
            <w:vAlign w:val="center"/>
          </w:tcPr>
          <w:p w14:paraId="0B515DAB" w14:textId="77777777" w:rsidR="00852D55" w:rsidRPr="00221CFA" w:rsidRDefault="00852D55" w:rsidP="00852D55">
            <w:pPr>
              <w:jc w:val="center"/>
              <w:rPr>
                <w:rFonts w:ascii="Arial" w:hAnsi="Arial" w:cs="Arial"/>
                <w:b/>
                <w:bCs/>
                <w:sz w:val="20"/>
              </w:rPr>
            </w:pPr>
            <w:r w:rsidRPr="00221CFA">
              <w:rPr>
                <w:rStyle w:val="Strong"/>
                <w:rFonts w:ascii="Arial" w:hAnsi="Arial" w:cs="Arial"/>
                <w:sz w:val="20"/>
              </w:rPr>
              <w:t>References</w:t>
            </w:r>
          </w:p>
        </w:tc>
      </w:tr>
      <w:tr w:rsidR="00221CFA" w:rsidRPr="00221CFA" w14:paraId="532AE9FD" w14:textId="77777777" w:rsidTr="00095DAB">
        <w:tc>
          <w:tcPr>
            <w:tcW w:w="1803" w:type="dxa"/>
            <w:vAlign w:val="center"/>
          </w:tcPr>
          <w:p w14:paraId="7E323F2B" w14:textId="77777777" w:rsidR="00852D55" w:rsidRPr="00221CFA" w:rsidRDefault="00852D55" w:rsidP="00852D55">
            <w:pPr>
              <w:rPr>
                <w:rFonts w:ascii="Arial" w:hAnsi="Arial" w:cs="Arial"/>
                <w:sz w:val="20"/>
              </w:rPr>
            </w:pPr>
            <w:r w:rsidRPr="00221CFA">
              <w:rPr>
                <w:rStyle w:val="Strong"/>
                <w:rFonts w:ascii="Arial" w:hAnsi="Arial" w:cs="Arial"/>
                <w:sz w:val="20"/>
              </w:rPr>
              <w:t>Phosphate Solubilization and Micronutrient Mobilization</w:t>
            </w:r>
          </w:p>
        </w:tc>
        <w:tc>
          <w:tcPr>
            <w:tcW w:w="1803" w:type="dxa"/>
            <w:vAlign w:val="center"/>
          </w:tcPr>
          <w:p w14:paraId="68AE42D7" w14:textId="77777777" w:rsidR="00852D55" w:rsidRPr="00221CFA" w:rsidRDefault="00852D55" w:rsidP="00852D55">
            <w:pPr>
              <w:rPr>
                <w:rFonts w:ascii="Arial" w:hAnsi="Arial" w:cs="Arial"/>
                <w:sz w:val="20"/>
              </w:rPr>
            </w:pPr>
            <w:r w:rsidRPr="00221CFA">
              <w:rPr>
                <w:rStyle w:val="Emphasis"/>
                <w:rFonts w:ascii="Arial" w:hAnsi="Arial" w:cs="Arial"/>
                <w:sz w:val="20"/>
              </w:rPr>
              <w:t>Bacillus</w:t>
            </w:r>
            <w:r w:rsidRPr="00221CFA">
              <w:rPr>
                <w:rFonts w:ascii="Arial" w:hAnsi="Arial" w:cs="Arial"/>
                <w:sz w:val="20"/>
              </w:rPr>
              <w:t xml:space="preserve">, </w:t>
            </w:r>
            <w:r w:rsidRPr="00221CFA">
              <w:rPr>
                <w:rStyle w:val="Emphasis"/>
                <w:rFonts w:ascii="Arial" w:hAnsi="Arial" w:cs="Arial"/>
                <w:sz w:val="20"/>
              </w:rPr>
              <w:t>Pseudomonas</w:t>
            </w:r>
            <w:r w:rsidRPr="00221CFA">
              <w:rPr>
                <w:rFonts w:ascii="Arial" w:hAnsi="Arial" w:cs="Arial"/>
                <w:sz w:val="20"/>
              </w:rPr>
              <w:t xml:space="preserve">, </w:t>
            </w:r>
            <w:r w:rsidRPr="00221CFA">
              <w:rPr>
                <w:rStyle w:val="Emphasis"/>
                <w:rFonts w:ascii="Arial" w:hAnsi="Arial" w:cs="Arial"/>
                <w:sz w:val="20"/>
              </w:rPr>
              <w:t>Aspergillus</w:t>
            </w:r>
            <w:r w:rsidRPr="00221CFA">
              <w:rPr>
                <w:rFonts w:ascii="Arial" w:hAnsi="Arial" w:cs="Arial"/>
                <w:sz w:val="20"/>
              </w:rPr>
              <w:t xml:space="preserve">, </w:t>
            </w:r>
            <w:r w:rsidRPr="00221CFA">
              <w:rPr>
                <w:rStyle w:val="Emphasis"/>
                <w:rFonts w:ascii="Arial" w:hAnsi="Arial" w:cs="Arial"/>
                <w:sz w:val="20"/>
              </w:rPr>
              <w:t>Penicillium</w:t>
            </w:r>
            <w:r w:rsidRPr="00221CFA">
              <w:rPr>
                <w:rFonts w:ascii="Arial" w:hAnsi="Arial" w:cs="Arial"/>
                <w:sz w:val="20"/>
              </w:rPr>
              <w:t>, other PSB/PSM strains</w:t>
            </w:r>
          </w:p>
        </w:tc>
        <w:tc>
          <w:tcPr>
            <w:tcW w:w="1803" w:type="dxa"/>
            <w:vAlign w:val="center"/>
          </w:tcPr>
          <w:p w14:paraId="00471371" w14:textId="77777777" w:rsidR="00852D55" w:rsidRPr="00221CFA" w:rsidRDefault="00852D55" w:rsidP="00852D55">
            <w:pPr>
              <w:rPr>
                <w:rFonts w:ascii="Arial" w:hAnsi="Arial" w:cs="Arial"/>
                <w:sz w:val="20"/>
              </w:rPr>
            </w:pPr>
            <w:r w:rsidRPr="00221CFA">
              <w:rPr>
                <w:rFonts w:ascii="Arial" w:hAnsi="Arial" w:cs="Arial"/>
                <w:sz w:val="20"/>
              </w:rPr>
              <w:t>Secrete organic acids, phosphatases, and chelating compounds that dissolve Fe–Al–Ca phosphate complexes; mobilize P into H</w:t>
            </w:r>
            <w:r w:rsidRPr="00221CFA">
              <w:rPr>
                <w:rFonts w:ascii="Cambria Math" w:hAnsi="Cambria Math" w:cs="Cambria Math"/>
                <w:sz w:val="20"/>
              </w:rPr>
              <w:t>₂</w:t>
            </w:r>
            <w:r w:rsidRPr="00221CFA">
              <w:rPr>
                <w:rFonts w:ascii="Arial" w:hAnsi="Arial" w:cs="Arial"/>
                <w:sz w:val="20"/>
              </w:rPr>
              <w:t>PO</w:t>
            </w:r>
            <w:r w:rsidRPr="00221CFA">
              <w:rPr>
                <w:rFonts w:ascii="Cambria Math" w:hAnsi="Cambria Math" w:cs="Cambria Math"/>
                <w:sz w:val="20"/>
              </w:rPr>
              <w:t>₄⁻</w:t>
            </w:r>
            <w:r w:rsidRPr="00221CFA">
              <w:rPr>
                <w:rFonts w:ascii="Arial" w:hAnsi="Arial" w:cs="Arial"/>
                <w:sz w:val="20"/>
              </w:rPr>
              <w:t xml:space="preserve"> and HPO</w:t>
            </w:r>
            <w:r w:rsidRPr="00221CFA">
              <w:rPr>
                <w:rFonts w:ascii="Cambria Math" w:hAnsi="Cambria Math" w:cs="Cambria Math"/>
                <w:sz w:val="20"/>
              </w:rPr>
              <w:t>₄</w:t>
            </w:r>
            <w:r w:rsidRPr="00221CFA">
              <w:rPr>
                <w:rFonts w:ascii="Arial" w:hAnsi="Arial" w:cs="Arial"/>
                <w:sz w:val="20"/>
              </w:rPr>
              <w:t>²</w:t>
            </w:r>
            <w:r w:rsidRPr="00221CFA">
              <w:rPr>
                <w:rFonts w:ascii="Cambria Math" w:hAnsi="Cambria Math" w:cs="Cambria Math"/>
                <w:sz w:val="20"/>
              </w:rPr>
              <w:t>⁻</w:t>
            </w:r>
            <w:r w:rsidRPr="00221CFA">
              <w:rPr>
                <w:rFonts w:ascii="Arial" w:hAnsi="Arial" w:cs="Arial"/>
                <w:sz w:val="20"/>
              </w:rPr>
              <w:t xml:space="preserve"> forms</w:t>
            </w:r>
          </w:p>
        </w:tc>
        <w:tc>
          <w:tcPr>
            <w:tcW w:w="1803" w:type="dxa"/>
            <w:vAlign w:val="center"/>
          </w:tcPr>
          <w:p w14:paraId="41C187A7" w14:textId="77777777" w:rsidR="00852D55" w:rsidRPr="00221CFA" w:rsidRDefault="00852D55" w:rsidP="00852D55">
            <w:pPr>
              <w:rPr>
                <w:rFonts w:ascii="Arial" w:hAnsi="Arial" w:cs="Arial"/>
                <w:sz w:val="20"/>
              </w:rPr>
            </w:pPr>
            <w:r w:rsidRPr="00221CFA">
              <w:rPr>
                <w:rFonts w:ascii="Arial" w:hAnsi="Arial" w:cs="Arial"/>
                <w:sz w:val="20"/>
              </w:rPr>
              <w:t>Increases available phosphorus and improves Fe and Zn bioavailability, enhancing micronutrient content in biofortified millet grains</w:t>
            </w:r>
          </w:p>
        </w:tc>
        <w:tc>
          <w:tcPr>
            <w:tcW w:w="1804" w:type="dxa"/>
            <w:vAlign w:val="center"/>
          </w:tcPr>
          <w:p w14:paraId="387DF4F3" w14:textId="77777777" w:rsidR="00852D55" w:rsidRPr="00221CFA" w:rsidRDefault="00852D55" w:rsidP="00852D55">
            <w:pPr>
              <w:rPr>
                <w:rFonts w:ascii="Arial" w:hAnsi="Arial" w:cs="Arial"/>
                <w:sz w:val="20"/>
              </w:rPr>
            </w:pPr>
            <w:r w:rsidRPr="00221CFA">
              <w:rPr>
                <w:rFonts w:ascii="Arial" w:hAnsi="Arial" w:cs="Arial"/>
                <w:sz w:val="20"/>
              </w:rPr>
              <w:t>Gao et al. (2020)</w:t>
            </w:r>
          </w:p>
        </w:tc>
      </w:tr>
      <w:tr w:rsidR="00221CFA" w:rsidRPr="00221CFA" w14:paraId="2C38D70A" w14:textId="77777777" w:rsidTr="00095DAB">
        <w:tc>
          <w:tcPr>
            <w:tcW w:w="1803" w:type="dxa"/>
            <w:vAlign w:val="center"/>
          </w:tcPr>
          <w:p w14:paraId="305F7557" w14:textId="77777777" w:rsidR="00852D55" w:rsidRPr="00221CFA" w:rsidRDefault="00852D55" w:rsidP="00852D55">
            <w:pPr>
              <w:rPr>
                <w:rFonts w:ascii="Arial" w:hAnsi="Arial" w:cs="Arial"/>
                <w:sz w:val="20"/>
              </w:rPr>
            </w:pPr>
            <w:r w:rsidRPr="00221CFA">
              <w:rPr>
                <w:rStyle w:val="Strong"/>
                <w:rFonts w:ascii="Arial" w:hAnsi="Arial" w:cs="Arial"/>
                <w:sz w:val="20"/>
              </w:rPr>
              <w:t>Siderophore Production</w:t>
            </w:r>
          </w:p>
        </w:tc>
        <w:tc>
          <w:tcPr>
            <w:tcW w:w="1803" w:type="dxa"/>
            <w:vAlign w:val="center"/>
          </w:tcPr>
          <w:p w14:paraId="592549B2" w14:textId="77777777" w:rsidR="00852D55" w:rsidRPr="00221CFA" w:rsidRDefault="00852D55" w:rsidP="00852D55">
            <w:pPr>
              <w:rPr>
                <w:rFonts w:ascii="Arial" w:hAnsi="Arial" w:cs="Arial"/>
                <w:sz w:val="20"/>
              </w:rPr>
            </w:pPr>
            <w:r w:rsidRPr="00221CFA">
              <w:rPr>
                <w:rStyle w:val="Emphasis"/>
                <w:rFonts w:ascii="Arial" w:hAnsi="Arial" w:cs="Arial"/>
                <w:sz w:val="20"/>
              </w:rPr>
              <w:t>Pseudomonas fluorescens</w:t>
            </w:r>
            <w:r w:rsidRPr="00221CFA">
              <w:rPr>
                <w:rFonts w:ascii="Arial" w:hAnsi="Arial" w:cs="Arial"/>
                <w:sz w:val="20"/>
              </w:rPr>
              <w:t xml:space="preserve">, </w:t>
            </w:r>
            <w:proofErr w:type="spellStart"/>
            <w:r w:rsidRPr="00221CFA">
              <w:rPr>
                <w:rStyle w:val="Emphasis"/>
                <w:rFonts w:ascii="Arial" w:hAnsi="Arial" w:cs="Arial"/>
                <w:sz w:val="20"/>
              </w:rPr>
              <w:t>Azospirillum</w:t>
            </w:r>
            <w:proofErr w:type="spellEnd"/>
            <w:r w:rsidRPr="00221CFA">
              <w:rPr>
                <w:rFonts w:ascii="Arial" w:hAnsi="Arial" w:cs="Arial"/>
                <w:sz w:val="20"/>
              </w:rPr>
              <w:t xml:space="preserve">, </w:t>
            </w:r>
            <w:r w:rsidRPr="00221CFA">
              <w:rPr>
                <w:rStyle w:val="Emphasis"/>
                <w:rFonts w:ascii="Arial" w:hAnsi="Arial" w:cs="Arial"/>
                <w:sz w:val="20"/>
              </w:rPr>
              <w:t>Bacillus</w:t>
            </w:r>
            <w:r w:rsidRPr="00221CFA">
              <w:rPr>
                <w:rFonts w:ascii="Arial" w:hAnsi="Arial" w:cs="Arial"/>
                <w:sz w:val="20"/>
              </w:rPr>
              <w:t xml:space="preserve"> spp.</w:t>
            </w:r>
          </w:p>
        </w:tc>
        <w:tc>
          <w:tcPr>
            <w:tcW w:w="1803" w:type="dxa"/>
            <w:vAlign w:val="center"/>
          </w:tcPr>
          <w:p w14:paraId="06890942" w14:textId="77777777" w:rsidR="00852D55" w:rsidRPr="00221CFA" w:rsidRDefault="00852D55" w:rsidP="00852D55">
            <w:pPr>
              <w:rPr>
                <w:rFonts w:ascii="Arial" w:hAnsi="Arial" w:cs="Arial"/>
                <w:sz w:val="20"/>
              </w:rPr>
            </w:pPr>
            <w:r w:rsidRPr="00221CFA">
              <w:rPr>
                <w:rFonts w:ascii="Arial" w:hAnsi="Arial" w:cs="Arial"/>
                <w:sz w:val="20"/>
              </w:rPr>
              <w:t>Release low-molecular-weight siderophores that bind Fe³</w:t>
            </w:r>
            <w:r w:rsidRPr="00221CFA">
              <w:rPr>
                <w:rFonts w:ascii="Cambria Math" w:hAnsi="Cambria Math" w:cs="Cambria Math"/>
                <w:sz w:val="20"/>
              </w:rPr>
              <w:t>⁺</w:t>
            </w:r>
            <w:r w:rsidRPr="00221CFA">
              <w:rPr>
                <w:rFonts w:ascii="Arial" w:hAnsi="Arial" w:cs="Arial"/>
                <w:sz w:val="20"/>
              </w:rPr>
              <w:t>, making iron accessible to plants and limiting pathogen access</w:t>
            </w:r>
          </w:p>
        </w:tc>
        <w:tc>
          <w:tcPr>
            <w:tcW w:w="1803" w:type="dxa"/>
            <w:vAlign w:val="center"/>
          </w:tcPr>
          <w:p w14:paraId="5234E96A" w14:textId="77777777" w:rsidR="00852D55" w:rsidRPr="00221CFA" w:rsidRDefault="00852D55" w:rsidP="00852D55">
            <w:pPr>
              <w:rPr>
                <w:rFonts w:ascii="Arial" w:hAnsi="Arial" w:cs="Arial"/>
                <w:sz w:val="20"/>
              </w:rPr>
            </w:pPr>
            <w:r w:rsidRPr="00221CFA">
              <w:rPr>
                <w:rFonts w:ascii="Arial" w:hAnsi="Arial" w:cs="Arial"/>
                <w:sz w:val="20"/>
              </w:rPr>
              <w:t>Improves micronutrient uptake, reduces root pathogens, strengthens plant defense</w:t>
            </w:r>
          </w:p>
        </w:tc>
        <w:tc>
          <w:tcPr>
            <w:tcW w:w="1804" w:type="dxa"/>
            <w:vAlign w:val="center"/>
          </w:tcPr>
          <w:p w14:paraId="52EB6970" w14:textId="77777777" w:rsidR="00852D55" w:rsidRPr="00221CFA" w:rsidRDefault="00852D55" w:rsidP="00852D55">
            <w:pPr>
              <w:rPr>
                <w:rFonts w:ascii="Arial" w:hAnsi="Arial" w:cs="Arial"/>
                <w:sz w:val="20"/>
              </w:rPr>
            </w:pPr>
            <w:r w:rsidRPr="00221CFA">
              <w:rPr>
                <w:rFonts w:ascii="Arial" w:hAnsi="Arial" w:cs="Arial"/>
                <w:sz w:val="20"/>
              </w:rPr>
              <w:t>Aamir et al. (2020)</w:t>
            </w:r>
          </w:p>
        </w:tc>
      </w:tr>
      <w:tr w:rsidR="00221CFA" w:rsidRPr="00221CFA" w14:paraId="6266AB67" w14:textId="77777777" w:rsidTr="00095DAB">
        <w:tc>
          <w:tcPr>
            <w:tcW w:w="1803" w:type="dxa"/>
            <w:vAlign w:val="center"/>
          </w:tcPr>
          <w:p w14:paraId="1B9E5CF2" w14:textId="77777777" w:rsidR="00852D55" w:rsidRPr="00221CFA" w:rsidRDefault="00852D55" w:rsidP="00852D55">
            <w:pPr>
              <w:rPr>
                <w:rFonts w:ascii="Arial" w:hAnsi="Arial" w:cs="Arial"/>
                <w:sz w:val="20"/>
              </w:rPr>
            </w:pPr>
            <w:r w:rsidRPr="00221CFA">
              <w:rPr>
                <w:rStyle w:val="Strong"/>
                <w:rFonts w:ascii="Arial" w:hAnsi="Arial" w:cs="Arial"/>
                <w:sz w:val="20"/>
              </w:rPr>
              <w:t>Phytohormone Production</w:t>
            </w:r>
          </w:p>
        </w:tc>
        <w:tc>
          <w:tcPr>
            <w:tcW w:w="1803" w:type="dxa"/>
            <w:vAlign w:val="center"/>
          </w:tcPr>
          <w:p w14:paraId="2560803D" w14:textId="77777777" w:rsidR="00852D55" w:rsidRPr="00221CFA" w:rsidRDefault="00852D55" w:rsidP="00852D55">
            <w:pPr>
              <w:rPr>
                <w:rFonts w:ascii="Arial" w:hAnsi="Arial" w:cs="Arial"/>
                <w:sz w:val="20"/>
              </w:rPr>
            </w:pPr>
            <w:r w:rsidRPr="00221CFA">
              <w:rPr>
                <w:rFonts w:ascii="Arial" w:hAnsi="Arial" w:cs="Arial"/>
                <w:sz w:val="20"/>
              </w:rPr>
              <w:t xml:space="preserve">PGPR such as </w:t>
            </w:r>
            <w:proofErr w:type="spellStart"/>
            <w:r w:rsidRPr="00221CFA">
              <w:rPr>
                <w:rStyle w:val="Emphasis"/>
                <w:rFonts w:ascii="Arial" w:hAnsi="Arial" w:cs="Arial"/>
                <w:sz w:val="20"/>
              </w:rPr>
              <w:t>Azotobacter</w:t>
            </w:r>
            <w:proofErr w:type="spellEnd"/>
            <w:r w:rsidRPr="00221CFA">
              <w:rPr>
                <w:rFonts w:ascii="Arial" w:hAnsi="Arial" w:cs="Arial"/>
                <w:sz w:val="20"/>
              </w:rPr>
              <w:t xml:space="preserve">, </w:t>
            </w:r>
            <w:proofErr w:type="spellStart"/>
            <w:r w:rsidRPr="00221CFA">
              <w:rPr>
                <w:rStyle w:val="Emphasis"/>
                <w:rFonts w:ascii="Arial" w:hAnsi="Arial" w:cs="Arial"/>
                <w:sz w:val="20"/>
              </w:rPr>
              <w:t>Azospirillum</w:t>
            </w:r>
            <w:proofErr w:type="spellEnd"/>
            <w:r w:rsidRPr="00221CFA">
              <w:rPr>
                <w:rFonts w:ascii="Arial" w:hAnsi="Arial" w:cs="Arial"/>
                <w:sz w:val="20"/>
              </w:rPr>
              <w:t xml:space="preserve">, </w:t>
            </w:r>
            <w:r w:rsidRPr="00221CFA">
              <w:rPr>
                <w:rStyle w:val="Emphasis"/>
                <w:rFonts w:ascii="Arial" w:hAnsi="Arial" w:cs="Arial"/>
                <w:sz w:val="20"/>
              </w:rPr>
              <w:t>Bacillus</w:t>
            </w:r>
            <w:r w:rsidRPr="00221CFA">
              <w:rPr>
                <w:rFonts w:ascii="Arial" w:hAnsi="Arial" w:cs="Arial"/>
                <w:sz w:val="20"/>
              </w:rPr>
              <w:t xml:space="preserve"> spp.</w:t>
            </w:r>
          </w:p>
        </w:tc>
        <w:tc>
          <w:tcPr>
            <w:tcW w:w="1803" w:type="dxa"/>
            <w:vAlign w:val="center"/>
          </w:tcPr>
          <w:p w14:paraId="02247337" w14:textId="77777777" w:rsidR="00852D55" w:rsidRPr="00221CFA" w:rsidRDefault="00852D55" w:rsidP="00852D55">
            <w:pPr>
              <w:rPr>
                <w:rFonts w:ascii="Arial" w:hAnsi="Arial" w:cs="Arial"/>
                <w:sz w:val="20"/>
              </w:rPr>
            </w:pPr>
            <w:r w:rsidRPr="00221CFA">
              <w:rPr>
                <w:rFonts w:ascii="Arial" w:hAnsi="Arial" w:cs="Arial"/>
                <w:sz w:val="20"/>
              </w:rPr>
              <w:t xml:space="preserve">Produce IAA, gibberellins, and </w:t>
            </w:r>
            <w:proofErr w:type="spellStart"/>
            <w:r w:rsidRPr="00221CFA">
              <w:rPr>
                <w:rFonts w:ascii="Arial" w:hAnsi="Arial" w:cs="Arial"/>
                <w:sz w:val="20"/>
              </w:rPr>
              <w:t>cytokinins</w:t>
            </w:r>
            <w:proofErr w:type="spellEnd"/>
            <w:r w:rsidRPr="00221CFA">
              <w:rPr>
                <w:rFonts w:ascii="Arial" w:hAnsi="Arial" w:cs="Arial"/>
                <w:sz w:val="20"/>
              </w:rPr>
              <w:t xml:space="preserve"> that promote cell division, elongation, and root development</w:t>
            </w:r>
          </w:p>
        </w:tc>
        <w:tc>
          <w:tcPr>
            <w:tcW w:w="1803" w:type="dxa"/>
            <w:vAlign w:val="center"/>
          </w:tcPr>
          <w:p w14:paraId="4B64AA4B" w14:textId="77777777" w:rsidR="00852D55" w:rsidRPr="00221CFA" w:rsidRDefault="00852D55" w:rsidP="00852D55">
            <w:pPr>
              <w:rPr>
                <w:rFonts w:ascii="Arial" w:hAnsi="Arial" w:cs="Arial"/>
                <w:sz w:val="20"/>
              </w:rPr>
            </w:pPr>
            <w:r w:rsidRPr="00221CFA">
              <w:rPr>
                <w:rFonts w:ascii="Arial" w:hAnsi="Arial" w:cs="Arial"/>
                <w:sz w:val="20"/>
              </w:rPr>
              <w:t>Enhances root surface area and nutrient absorption; improves plant vigor and water-use efficiency</w:t>
            </w:r>
          </w:p>
        </w:tc>
        <w:tc>
          <w:tcPr>
            <w:tcW w:w="1804" w:type="dxa"/>
            <w:vAlign w:val="center"/>
          </w:tcPr>
          <w:p w14:paraId="6FE5EA9E" w14:textId="77777777" w:rsidR="00852D55" w:rsidRPr="00221CFA" w:rsidRDefault="00852D55" w:rsidP="00852D55">
            <w:pPr>
              <w:rPr>
                <w:rFonts w:ascii="Arial" w:hAnsi="Arial" w:cs="Arial"/>
                <w:sz w:val="20"/>
              </w:rPr>
            </w:pPr>
            <w:r w:rsidRPr="00221CFA">
              <w:rPr>
                <w:rFonts w:ascii="Arial" w:hAnsi="Arial" w:cs="Arial"/>
                <w:sz w:val="20"/>
              </w:rPr>
              <w:t>Aamir et al. (2020)</w:t>
            </w:r>
          </w:p>
        </w:tc>
      </w:tr>
      <w:tr w:rsidR="00221CFA" w:rsidRPr="00221CFA" w14:paraId="0565888C" w14:textId="77777777" w:rsidTr="00095DAB">
        <w:tc>
          <w:tcPr>
            <w:tcW w:w="1803" w:type="dxa"/>
            <w:vAlign w:val="center"/>
          </w:tcPr>
          <w:p w14:paraId="17CA7FF0" w14:textId="77777777" w:rsidR="00852D55" w:rsidRPr="00221CFA" w:rsidRDefault="00852D55" w:rsidP="00852D55">
            <w:pPr>
              <w:rPr>
                <w:rFonts w:ascii="Arial" w:hAnsi="Arial" w:cs="Arial"/>
                <w:sz w:val="20"/>
              </w:rPr>
            </w:pPr>
            <w:r w:rsidRPr="00221CFA">
              <w:rPr>
                <w:rStyle w:val="Strong"/>
                <w:rFonts w:ascii="Arial" w:hAnsi="Arial" w:cs="Arial"/>
                <w:sz w:val="20"/>
              </w:rPr>
              <w:t>Stress Modulation and Plant Growth Promotion</w:t>
            </w:r>
          </w:p>
        </w:tc>
        <w:tc>
          <w:tcPr>
            <w:tcW w:w="1803" w:type="dxa"/>
            <w:vAlign w:val="center"/>
          </w:tcPr>
          <w:p w14:paraId="4E9AD4C8" w14:textId="77777777" w:rsidR="00852D55" w:rsidRPr="00221CFA" w:rsidRDefault="00852D55" w:rsidP="00852D55">
            <w:pPr>
              <w:rPr>
                <w:rFonts w:ascii="Arial" w:hAnsi="Arial" w:cs="Arial"/>
                <w:sz w:val="20"/>
              </w:rPr>
            </w:pPr>
            <w:r w:rsidRPr="00221CFA">
              <w:rPr>
                <w:rFonts w:ascii="Arial" w:hAnsi="Arial" w:cs="Arial"/>
                <w:sz w:val="20"/>
              </w:rPr>
              <w:t>Multifunctional microbial consortia (</w:t>
            </w:r>
            <w:proofErr w:type="spellStart"/>
            <w:r w:rsidRPr="00221CFA">
              <w:rPr>
                <w:rStyle w:val="Emphasis"/>
                <w:rFonts w:ascii="Arial" w:hAnsi="Arial" w:cs="Arial"/>
                <w:sz w:val="20"/>
              </w:rPr>
              <w:t>Azospirillum</w:t>
            </w:r>
            <w:proofErr w:type="spellEnd"/>
            <w:r w:rsidRPr="00221CFA">
              <w:rPr>
                <w:rFonts w:ascii="Arial" w:hAnsi="Arial" w:cs="Arial"/>
                <w:sz w:val="20"/>
              </w:rPr>
              <w:t xml:space="preserve">, </w:t>
            </w:r>
            <w:r w:rsidRPr="00221CFA">
              <w:rPr>
                <w:rStyle w:val="Emphasis"/>
                <w:rFonts w:ascii="Arial" w:hAnsi="Arial" w:cs="Arial"/>
                <w:sz w:val="20"/>
              </w:rPr>
              <w:t>Bacillus</w:t>
            </w:r>
            <w:r w:rsidRPr="00221CFA">
              <w:rPr>
                <w:rFonts w:ascii="Arial" w:hAnsi="Arial" w:cs="Arial"/>
                <w:sz w:val="20"/>
              </w:rPr>
              <w:t xml:space="preserve">, </w:t>
            </w:r>
            <w:r w:rsidRPr="00221CFA">
              <w:rPr>
                <w:rStyle w:val="Emphasis"/>
                <w:rFonts w:ascii="Arial" w:hAnsi="Arial" w:cs="Arial"/>
                <w:sz w:val="20"/>
              </w:rPr>
              <w:t>Pseudomonas</w:t>
            </w:r>
            <w:r w:rsidRPr="00221CFA">
              <w:rPr>
                <w:rFonts w:ascii="Arial" w:hAnsi="Arial" w:cs="Arial"/>
                <w:sz w:val="20"/>
              </w:rPr>
              <w:t>, AMF)</w:t>
            </w:r>
          </w:p>
        </w:tc>
        <w:tc>
          <w:tcPr>
            <w:tcW w:w="1803" w:type="dxa"/>
            <w:vAlign w:val="center"/>
          </w:tcPr>
          <w:p w14:paraId="24E1D825" w14:textId="77777777" w:rsidR="00852D55" w:rsidRPr="00221CFA" w:rsidRDefault="00852D55" w:rsidP="00852D55">
            <w:pPr>
              <w:rPr>
                <w:rFonts w:ascii="Arial" w:hAnsi="Arial" w:cs="Arial"/>
                <w:sz w:val="20"/>
              </w:rPr>
            </w:pPr>
            <w:r w:rsidRPr="00221CFA">
              <w:rPr>
                <w:rFonts w:ascii="Arial" w:hAnsi="Arial" w:cs="Arial"/>
                <w:sz w:val="20"/>
              </w:rPr>
              <w:t>Enhance osmolyte accumulation and antioxidant enzymes (SOD, CAT, POD); regulate hormones (ABA, ethylene); induce systemic resistance</w:t>
            </w:r>
          </w:p>
        </w:tc>
        <w:tc>
          <w:tcPr>
            <w:tcW w:w="1803" w:type="dxa"/>
            <w:vAlign w:val="center"/>
          </w:tcPr>
          <w:p w14:paraId="072DD4F8" w14:textId="77777777" w:rsidR="00852D55" w:rsidRPr="00221CFA" w:rsidRDefault="00852D55" w:rsidP="00852D55">
            <w:pPr>
              <w:rPr>
                <w:rFonts w:ascii="Arial" w:hAnsi="Arial" w:cs="Arial"/>
                <w:sz w:val="20"/>
              </w:rPr>
            </w:pPr>
            <w:r w:rsidRPr="00221CFA">
              <w:rPr>
                <w:rFonts w:ascii="Arial" w:hAnsi="Arial" w:cs="Arial"/>
                <w:sz w:val="20"/>
              </w:rPr>
              <w:t>Increases drought, salinity, and temperature tolerance; improves chlorophyll synthesis, yield, and resilience under low-input conditions</w:t>
            </w:r>
          </w:p>
        </w:tc>
        <w:tc>
          <w:tcPr>
            <w:tcW w:w="1804" w:type="dxa"/>
            <w:vAlign w:val="center"/>
          </w:tcPr>
          <w:p w14:paraId="044FD330" w14:textId="77777777" w:rsidR="00852D55" w:rsidRPr="00221CFA" w:rsidRDefault="00852D55" w:rsidP="00852D55">
            <w:pPr>
              <w:rPr>
                <w:rFonts w:ascii="Arial" w:hAnsi="Arial" w:cs="Arial"/>
                <w:sz w:val="20"/>
              </w:rPr>
            </w:pPr>
            <w:r w:rsidRPr="002267D8">
              <w:rPr>
                <w:rFonts w:ascii="Arial" w:hAnsi="Arial" w:cs="Arial"/>
                <w:sz w:val="20"/>
                <w:lang w:val="nl-BE"/>
              </w:rPr>
              <w:t xml:space="preserve">Mitra et al. (2023); Han et al. </w:t>
            </w:r>
            <w:r w:rsidRPr="00221CFA">
              <w:rPr>
                <w:rFonts w:ascii="Arial" w:hAnsi="Arial" w:cs="Arial"/>
                <w:sz w:val="20"/>
              </w:rPr>
              <w:t>(2023)</w:t>
            </w:r>
          </w:p>
        </w:tc>
      </w:tr>
      <w:tr w:rsidR="00221CFA" w:rsidRPr="00221CFA" w14:paraId="3A5DCAE3" w14:textId="77777777" w:rsidTr="00095DAB">
        <w:tc>
          <w:tcPr>
            <w:tcW w:w="1803" w:type="dxa"/>
            <w:vAlign w:val="center"/>
          </w:tcPr>
          <w:p w14:paraId="23340780" w14:textId="77777777" w:rsidR="00852D55" w:rsidRPr="00221CFA" w:rsidRDefault="00852D55" w:rsidP="00852D55">
            <w:pPr>
              <w:rPr>
                <w:rFonts w:ascii="Arial" w:hAnsi="Arial" w:cs="Arial"/>
                <w:sz w:val="20"/>
              </w:rPr>
            </w:pPr>
            <w:r w:rsidRPr="00221CFA">
              <w:rPr>
                <w:rStyle w:val="Strong"/>
                <w:rFonts w:ascii="Arial" w:hAnsi="Arial" w:cs="Arial"/>
                <w:sz w:val="20"/>
              </w:rPr>
              <w:lastRenderedPageBreak/>
              <w:t>Integrated Multifunctional Role</w:t>
            </w:r>
          </w:p>
        </w:tc>
        <w:tc>
          <w:tcPr>
            <w:tcW w:w="1803" w:type="dxa"/>
            <w:vAlign w:val="center"/>
          </w:tcPr>
          <w:p w14:paraId="1E108C86" w14:textId="77777777" w:rsidR="00852D55" w:rsidRPr="00221CFA" w:rsidRDefault="00852D55" w:rsidP="00852D55">
            <w:pPr>
              <w:rPr>
                <w:rFonts w:ascii="Arial" w:hAnsi="Arial" w:cs="Arial"/>
                <w:sz w:val="20"/>
              </w:rPr>
            </w:pPr>
            <w:r w:rsidRPr="00221CFA">
              <w:rPr>
                <w:rFonts w:ascii="Arial" w:hAnsi="Arial" w:cs="Arial"/>
                <w:sz w:val="20"/>
              </w:rPr>
              <w:t>Mixed microbial inoculants and consortia</w:t>
            </w:r>
          </w:p>
        </w:tc>
        <w:tc>
          <w:tcPr>
            <w:tcW w:w="1803" w:type="dxa"/>
            <w:vAlign w:val="center"/>
          </w:tcPr>
          <w:p w14:paraId="7BEBAE0B" w14:textId="77777777" w:rsidR="00852D55" w:rsidRPr="00221CFA" w:rsidRDefault="00852D55" w:rsidP="00852D55">
            <w:pPr>
              <w:rPr>
                <w:rFonts w:ascii="Arial" w:hAnsi="Arial" w:cs="Arial"/>
                <w:sz w:val="20"/>
              </w:rPr>
            </w:pPr>
            <w:r w:rsidRPr="00221CFA">
              <w:rPr>
                <w:rFonts w:ascii="Arial" w:hAnsi="Arial" w:cs="Arial"/>
                <w:sz w:val="20"/>
              </w:rPr>
              <w:t>Combine nitrogen fixation, nutrient solubilization, hormone synthesis, and stress alleviation</w:t>
            </w:r>
          </w:p>
        </w:tc>
        <w:tc>
          <w:tcPr>
            <w:tcW w:w="1803" w:type="dxa"/>
            <w:vAlign w:val="center"/>
          </w:tcPr>
          <w:p w14:paraId="1B80D322" w14:textId="77777777" w:rsidR="00852D55" w:rsidRPr="00221CFA" w:rsidRDefault="00852D55" w:rsidP="00852D55">
            <w:pPr>
              <w:rPr>
                <w:rFonts w:ascii="Arial" w:hAnsi="Arial" w:cs="Arial"/>
                <w:sz w:val="20"/>
              </w:rPr>
            </w:pPr>
            <w:r w:rsidRPr="00221CFA">
              <w:rPr>
                <w:rFonts w:ascii="Arial" w:hAnsi="Arial" w:cs="Arial"/>
                <w:sz w:val="20"/>
              </w:rPr>
              <w:t>Boost overall nutrient-use efficiency, soil biological activity, and climate resilience of millet systems</w:t>
            </w:r>
          </w:p>
        </w:tc>
        <w:tc>
          <w:tcPr>
            <w:tcW w:w="1804" w:type="dxa"/>
            <w:vAlign w:val="center"/>
          </w:tcPr>
          <w:p w14:paraId="38309200" w14:textId="77777777" w:rsidR="00852D55" w:rsidRPr="00221CFA" w:rsidRDefault="00852D55" w:rsidP="00852D55">
            <w:pPr>
              <w:rPr>
                <w:rFonts w:ascii="Arial" w:hAnsi="Arial" w:cs="Arial"/>
                <w:sz w:val="20"/>
              </w:rPr>
            </w:pPr>
            <w:r w:rsidRPr="002267D8">
              <w:rPr>
                <w:rFonts w:ascii="Arial" w:hAnsi="Arial" w:cs="Arial"/>
                <w:sz w:val="20"/>
                <w:lang w:val="nl-BE"/>
              </w:rPr>
              <w:t xml:space="preserve">Mitra et al. (2023); Gao et al. </w:t>
            </w:r>
            <w:r w:rsidRPr="00221CFA">
              <w:rPr>
                <w:rFonts w:ascii="Arial" w:hAnsi="Arial" w:cs="Arial"/>
                <w:sz w:val="20"/>
              </w:rPr>
              <w:t>(2020)</w:t>
            </w:r>
          </w:p>
        </w:tc>
      </w:tr>
    </w:tbl>
    <w:p w14:paraId="3B3D4BD8" w14:textId="77777777" w:rsidR="00414543" w:rsidRPr="00221CFA" w:rsidRDefault="009664D1" w:rsidP="009664D1">
      <w:pPr>
        <w:pStyle w:val="Heading3"/>
        <w:ind w:firstLine="720"/>
        <w:jc w:val="both"/>
        <w:rPr>
          <w:rFonts w:ascii="Arial" w:hAnsi="Arial" w:cs="Arial"/>
          <w:sz w:val="24"/>
          <w:szCs w:val="20"/>
        </w:rPr>
      </w:pPr>
      <w:r w:rsidRPr="00221CFA">
        <w:rPr>
          <w:rStyle w:val="Strong"/>
          <w:rFonts w:ascii="Arial" w:hAnsi="Arial" w:cs="Arial"/>
          <w:b/>
          <w:bCs/>
          <w:sz w:val="24"/>
          <w:szCs w:val="20"/>
        </w:rPr>
        <w:t>3</w:t>
      </w:r>
      <w:r w:rsidR="00414543" w:rsidRPr="00221CFA">
        <w:rPr>
          <w:rStyle w:val="Strong"/>
          <w:rFonts w:ascii="Arial" w:hAnsi="Arial" w:cs="Arial"/>
          <w:b/>
          <w:bCs/>
          <w:sz w:val="24"/>
          <w:szCs w:val="20"/>
        </w:rPr>
        <w:t>. Role of Biofertilizers in Millets</w:t>
      </w:r>
    </w:p>
    <w:p w14:paraId="39936E18" w14:textId="77777777" w:rsidR="00FA0018" w:rsidRPr="00221CFA" w:rsidRDefault="009664D1" w:rsidP="007D1F72">
      <w:pPr>
        <w:pStyle w:val="Heading3"/>
        <w:jc w:val="both"/>
        <w:rPr>
          <w:rFonts w:ascii="Arial" w:hAnsi="Arial" w:cs="Arial"/>
          <w:sz w:val="20"/>
          <w:szCs w:val="20"/>
        </w:rPr>
      </w:pPr>
      <w:r w:rsidRPr="00221CFA">
        <w:rPr>
          <w:rFonts w:ascii="Arial" w:hAnsi="Arial" w:cs="Arial"/>
          <w:sz w:val="20"/>
          <w:szCs w:val="20"/>
        </w:rPr>
        <w:t>3</w:t>
      </w:r>
      <w:r w:rsidR="00FA0018" w:rsidRPr="00221CFA">
        <w:rPr>
          <w:rFonts w:ascii="Arial" w:hAnsi="Arial" w:cs="Arial"/>
          <w:sz w:val="20"/>
          <w:szCs w:val="20"/>
        </w:rPr>
        <w:t>.1. Impact on growth and yield attributes</w:t>
      </w:r>
    </w:p>
    <w:p w14:paraId="67F35347" w14:textId="779EB359" w:rsidR="00FA0018" w:rsidRPr="00221CFA" w:rsidRDefault="00FA0018">
      <w:pPr>
        <w:pStyle w:val="NormalWeb"/>
        <w:jc w:val="both"/>
        <w:rPr>
          <w:rFonts w:ascii="Arial" w:hAnsi="Arial" w:cs="Arial"/>
          <w:sz w:val="20"/>
          <w:szCs w:val="20"/>
        </w:rPr>
      </w:pPr>
      <w:r w:rsidRPr="00221CFA">
        <w:rPr>
          <w:rFonts w:ascii="Arial" w:hAnsi="Arial" w:cs="Arial"/>
          <w:sz w:val="20"/>
          <w:szCs w:val="20"/>
        </w:rPr>
        <w:t xml:space="preserve">Biofertilizers consistently improve early </w:t>
      </w:r>
      <w:proofErr w:type="spellStart"/>
      <w:r w:rsidRPr="00221CFA">
        <w:rPr>
          <w:rFonts w:ascii="Arial" w:hAnsi="Arial" w:cs="Arial"/>
          <w:sz w:val="20"/>
          <w:szCs w:val="20"/>
        </w:rPr>
        <w:t>vigor</w:t>
      </w:r>
      <w:proofErr w:type="spellEnd"/>
      <w:r w:rsidRPr="00221CFA">
        <w:rPr>
          <w:rFonts w:ascii="Arial" w:hAnsi="Arial" w:cs="Arial"/>
          <w:sz w:val="20"/>
          <w:szCs w:val="20"/>
        </w:rPr>
        <w:t>, root architecture</w:t>
      </w:r>
      <w:r w:rsidR="002B1243" w:rsidRPr="00221CFA">
        <w:rPr>
          <w:rFonts w:ascii="Arial" w:hAnsi="Arial" w:cs="Arial"/>
          <w:sz w:val="20"/>
          <w:szCs w:val="20"/>
          <w:lang w:val="en-US"/>
        </w:rPr>
        <w:t>,</w:t>
      </w:r>
      <w:r w:rsidRPr="00221CFA">
        <w:rPr>
          <w:rFonts w:ascii="Arial" w:hAnsi="Arial" w:cs="Arial"/>
          <w:sz w:val="20"/>
          <w:szCs w:val="20"/>
        </w:rPr>
        <w:t xml:space="preserve"> and yield components in millet crops. Inoculation with plant-growth-promoting bacteria (PGPB) such as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w:t>
      </w:r>
      <w:proofErr w:type="spellStart"/>
      <w:r w:rsidRPr="00221CFA">
        <w:rPr>
          <w:rStyle w:val="Emphasis"/>
          <w:rFonts w:ascii="Arial" w:hAnsi="Arial" w:cs="Arial"/>
          <w:sz w:val="20"/>
          <w:szCs w:val="20"/>
        </w:rPr>
        <w:t>Azotobacter</w:t>
      </w:r>
      <w:proofErr w:type="spellEnd"/>
      <w:r w:rsidRPr="00221CFA">
        <w:rPr>
          <w:rFonts w:ascii="Arial" w:hAnsi="Arial" w:cs="Arial"/>
          <w:sz w:val="20"/>
          <w:szCs w:val="20"/>
        </w:rPr>
        <w:t xml:space="preserve">, and </w:t>
      </w:r>
      <w:r w:rsidRPr="00221CFA">
        <w:rPr>
          <w:rStyle w:val="Emphasis"/>
          <w:rFonts w:ascii="Arial" w:hAnsi="Arial" w:cs="Arial"/>
          <w:sz w:val="20"/>
          <w:szCs w:val="20"/>
        </w:rPr>
        <w:t>Bacillus</w:t>
      </w:r>
      <w:r w:rsidRPr="00221CFA">
        <w:rPr>
          <w:rFonts w:ascii="Arial" w:hAnsi="Arial" w:cs="Arial"/>
          <w:sz w:val="20"/>
          <w:szCs w:val="20"/>
        </w:rPr>
        <w:t xml:space="preserve"> often leads to taller plants, more tillers, heavier panicles</w:t>
      </w:r>
      <w:r w:rsidR="002B1243" w:rsidRPr="00221CFA">
        <w:rPr>
          <w:rFonts w:ascii="Arial" w:hAnsi="Arial" w:cs="Arial"/>
          <w:sz w:val="20"/>
          <w:szCs w:val="20"/>
        </w:rPr>
        <w:t>,</w:t>
      </w:r>
      <w:r w:rsidRPr="00221CFA">
        <w:rPr>
          <w:rFonts w:ascii="Arial" w:hAnsi="Arial" w:cs="Arial"/>
          <w:sz w:val="20"/>
          <w:szCs w:val="20"/>
        </w:rPr>
        <w:t xml:space="preserve"> and improved 1,000-seed weight</w:t>
      </w:r>
      <w:r w:rsidR="002B1243" w:rsidRPr="00221CFA">
        <w:rPr>
          <w:rFonts w:ascii="Arial" w:hAnsi="Arial" w:cs="Arial"/>
          <w:sz w:val="20"/>
          <w:szCs w:val="20"/>
        </w:rPr>
        <w:t>,</w:t>
      </w:r>
      <w:r w:rsidRPr="00221CFA">
        <w:rPr>
          <w:rFonts w:ascii="Arial" w:hAnsi="Arial" w:cs="Arial"/>
          <w:sz w:val="20"/>
          <w:szCs w:val="20"/>
        </w:rPr>
        <w:t xml:space="preserve"> all translating into higher grain yields. Field and on-station studies </w:t>
      </w:r>
      <w:r w:rsidRPr="00221CFA">
        <w:rPr>
          <w:rFonts w:ascii="Arial" w:hAnsi="Arial" w:cs="Arial"/>
          <w:sz w:val="20"/>
          <w:szCs w:val="20"/>
          <w:highlight w:val="yellow"/>
        </w:rPr>
        <w:t xml:space="preserve">report typical yield gains of </w:t>
      </w:r>
      <w:r w:rsidRPr="00221CFA">
        <w:rPr>
          <w:rStyle w:val="Strong"/>
          <w:rFonts w:ascii="Arial" w:hAnsi="Arial" w:cs="Arial"/>
          <w:b w:val="0"/>
          <w:sz w:val="20"/>
          <w:szCs w:val="20"/>
          <w:highlight w:val="yellow"/>
        </w:rPr>
        <w:t>15–35%</w:t>
      </w:r>
      <w:r w:rsidRPr="00221CFA">
        <w:rPr>
          <w:rFonts w:ascii="Arial" w:hAnsi="Arial" w:cs="Arial"/>
          <w:sz w:val="20"/>
          <w:szCs w:val="20"/>
        </w:rPr>
        <w:t xml:space="preserve"> over uninoculated controls when effective strains (or compatible consortia) are used under rainfed or low-input conditions. For example, dual inoculation of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and phosphate-solubilizing bacteria (PSB) in foxtail and pearl millet produced statistically significant increases in panicle weight, root and shoot biomass</w:t>
      </w:r>
      <w:r w:rsidR="002B1243" w:rsidRPr="00221CFA">
        <w:rPr>
          <w:rFonts w:ascii="Arial" w:hAnsi="Arial" w:cs="Arial"/>
          <w:sz w:val="20"/>
          <w:szCs w:val="20"/>
        </w:rPr>
        <w:t>,</w:t>
      </w:r>
      <w:r w:rsidRPr="00221CFA">
        <w:rPr>
          <w:rFonts w:ascii="Arial" w:hAnsi="Arial" w:cs="Arial"/>
          <w:sz w:val="20"/>
          <w:szCs w:val="20"/>
        </w:rPr>
        <w:t xml:space="preserve"> and final grain yield compared with single inoculants or control plots. These effects are attributed to enhanced root growth and improved nutrient capture during critical vegetative phases. </w:t>
      </w:r>
      <w:r w:rsidR="009664D1" w:rsidRPr="00221CFA">
        <w:rPr>
          <w:rFonts w:ascii="Arial" w:hAnsi="Arial" w:cs="Arial"/>
          <w:sz w:val="20"/>
          <w:szCs w:val="20"/>
        </w:rPr>
        <w:t xml:space="preserve"> </w:t>
      </w:r>
      <w:r w:rsidRPr="00221CFA">
        <w:rPr>
          <w:rFonts w:ascii="Arial" w:hAnsi="Arial" w:cs="Arial"/>
          <w:sz w:val="20"/>
          <w:szCs w:val="20"/>
        </w:rPr>
        <w:t>Meta-analyses and syntheses corroborate these field results: country-level and cross-study reviews from India report average yield responses to biofertilizers that are agronomically meaningful (often measured in hundreds of kilograms to &gt;1 t ha</w:t>
      </w:r>
      <w:r w:rsidRPr="00221CFA">
        <w:rPr>
          <w:rFonts w:ascii="Cambria Math" w:hAnsi="Cambria Math" w:cs="Cambria Math"/>
          <w:sz w:val="20"/>
          <w:szCs w:val="20"/>
        </w:rPr>
        <w:t>⁻</w:t>
      </w:r>
      <w:r w:rsidRPr="00221CFA">
        <w:rPr>
          <w:rFonts w:ascii="Arial" w:hAnsi="Arial" w:cs="Arial"/>
          <w:sz w:val="20"/>
          <w:szCs w:val="20"/>
        </w:rPr>
        <w:t>¹ in high-response environments), although variability is large and depends on strain, soil status, crop, and management.</w:t>
      </w:r>
    </w:p>
    <w:p w14:paraId="7CCEAC59" w14:textId="77777777" w:rsidR="00FA0018" w:rsidRPr="00221CFA" w:rsidRDefault="009664D1" w:rsidP="007D1F72">
      <w:pPr>
        <w:pStyle w:val="Heading3"/>
        <w:jc w:val="both"/>
        <w:rPr>
          <w:rFonts w:ascii="Arial" w:hAnsi="Arial" w:cs="Arial"/>
          <w:sz w:val="20"/>
          <w:szCs w:val="20"/>
        </w:rPr>
      </w:pPr>
      <w:r w:rsidRPr="00221CFA">
        <w:rPr>
          <w:rFonts w:ascii="Arial" w:hAnsi="Arial" w:cs="Arial"/>
          <w:sz w:val="20"/>
          <w:szCs w:val="20"/>
        </w:rPr>
        <w:t>3</w:t>
      </w:r>
      <w:r w:rsidR="00FA0018" w:rsidRPr="00221CFA">
        <w:rPr>
          <w:rFonts w:ascii="Arial" w:hAnsi="Arial" w:cs="Arial"/>
          <w:sz w:val="20"/>
          <w:szCs w:val="20"/>
        </w:rPr>
        <w:t>.2. Effects on nutrient uptake and use efficiency</w:t>
      </w:r>
    </w:p>
    <w:p w14:paraId="1FB6BF35" w14:textId="1E536840" w:rsidR="00FA0018" w:rsidRPr="00221CFA" w:rsidRDefault="00FA0018" w:rsidP="007D1F72">
      <w:pPr>
        <w:pStyle w:val="NormalWeb"/>
        <w:jc w:val="both"/>
        <w:rPr>
          <w:rFonts w:ascii="Arial" w:hAnsi="Arial" w:cs="Arial"/>
          <w:sz w:val="20"/>
          <w:szCs w:val="20"/>
        </w:rPr>
      </w:pPr>
      <w:r w:rsidRPr="00221CFA">
        <w:rPr>
          <w:rFonts w:ascii="Arial" w:hAnsi="Arial" w:cs="Arial"/>
          <w:sz w:val="20"/>
          <w:szCs w:val="20"/>
        </w:rPr>
        <w:t>Beyond raw yield responses, biofertilizers improve nutrient-use efficiency (NUE) by enhancing the proportion of applied (or native) nutrients taken up by the crop. Studies report increases in plant N, P</w:t>
      </w:r>
      <w:r w:rsidR="002B1243" w:rsidRPr="00221CFA">
        <w:rPr>
          <w:rFonts w:ascii="Arial" w:hAnsi="Arial" w:cs="Arial"/>
          <w:sz w:val="20"/>
          <w:szCs w:val="20"/>
        </w:rPr>
        <w:t>,</w:t>
      </w:r>
      <w:r w:rsidRPr="00221CFA">
        <w:rPr>
          <w:rFonts w:ascii="Arial" w:hAnsi="Arial" w:cs="Arial"/>
          <w:sz w:val="20"/>
          <w:szCs w:val="20"/>
        </w:rPr>
        <w:t xml:space="preserve"> and K concentration and in the total uptake of these macronutrients following inoculation with nitrogen-fixers and PSB. A recent meta-analysis of biofertilizer field trials found average increases in total soil available nitrogen and available phosphorus attributable to biofertilizer treatments (e.g., reported increases in total N of ~15–17% and available P of ~10% in pooled analyses), reflecting both microbial mobilization and improved plant recovery of soil nutrients. When paired with fertilizer microdosing, inoculated plots </w:t>
      </w:r>
      <w:r w:rsidRPr="00221CFA">
        <w:rPr>
          <w:rFonts w:ascii="Arial" w:hAnsi="Arial" w:cs="Arial"/>
          <w:sz w:val="20"/>
          <w:szCs w:val="20"/>
          <w:highlight w:val="yellow"/>
        </w:rPr>
        <w:t xml:space="preserve">achieve </w:t>
      </w:r>
      <w:r w:rsidR="002B1243" w:rsidRPr="00221CFA">
        <w:rPr>
          <w:rFonts w:ascii="Arial" w:hAnsi="Arial" w:cs="Arial"/>
          <w:sz w:val="20"/>
          <w:szCs w:val="20"/>
          <w:highlight w:val="yellow"/>
        </w:rPr>
        <w:t xml:space="preserve">yields </w:t>
      </w:r>
      <w:r w:rsidRPr="00221CFA">
        <w:rPr>
          <w:rFonts w:ascii="Arial" w:hAnsi="Arial" w:cs="Arial"/>
          <w:sz w:val="20"/>
          <w:szCs w:val="20"/>
          <w:highlight w:val="yellow"/>
        </w:rPr>
        <w:t xml:space="preserve">similar </w:t>
      </w:r>
      <w:r w:rsidR="002B1243" w:rsidRPr="00221CFA">
        <w:rPr>
          <w:rFonts w:ascii="Arial" w:hAnsi="Arial" w:cs="Arial"/>
          <w:sz w:val="20"/>
          <w:szCs w:val="20"/>
          <w:highlight w:val="yellow"/>
        </w:rPr>
        <w:t>to those with chemical fertilizers</w:t>
      </w:r>
      <w:r w:rsidRPr="00221CFA">
        <w:rPr>
          <w:rFonts w:ascii="Arial" w:hAnsi="Arial" w:cs="Arial"/>
          <w:sz w:val="20"/>
          <w:szCs w:val="20"/>
        </w:rPr>
        <w:t xml:space="preserve"> at reduced chemical fertilizer rates, demonstrating that biofertilizers can be a practical component of fertilizer-saving strategies for smallholders. </w:t>
      </w:r>
      <w:r w:rsidR="009664D1" w:rsidRPr="00221CFA">
        <w:rPr>
          <w:rFonts w:ascii="Arial" w:hAnsi="Arial" w:cs="Arial"/>
          <w:sz w:val="20"/>
          <w:szCs w:val="20"/>
        </w:rPr>
        <w:t xml:space="preserve"> </w:t>
      </w:r>
      <w:r w:rsidRPr="00221CFA">
        <w:rPr>
          <w:rFonts w:ascii="Arial" w:hAnsi="Arial" w:cs="Arial"/>
          <w:sz w:val="20"/>
          <w:szCs w:val="20"/>
        </w:rPr>
        <w:t xml:space="preserve">Mechanistically, associative N-fixers (e.g.,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w:t>
      </w:r>
      <w:proofErr w:type="spellStart"/>
      <w:r w:rsidRPr="00221CFA">
        <w:rPr>
          <w:rStyle w:val="Emphasis"/>
          <w:rFonts w:ascii="Arial" w:hAnsi="Arial" w:cs="Arial"/>
          <w:sz w:val="20"/>
          <w:szCs w:val="20"/>
        </w:rPr>
        <w:t>Azotobacter</w:t>
      </w:r>
      <w:proofErr w:type="spellEnd"/>
      <w:r w:rsidRPr="00221CFA">
        <w:rPr>
          <w:rFonts w:ascii="Arial" w:hAnsi="Arial" w:cs="Arial"/>
          <w:sz w:val="20"/>
          <w:szCs w:val="20"/>
        </w:rPr>
        <w:t xml:space="preserve">) supply a portion of plant N directly or stimulate root growth to capture more soil N. PSB and mycorrhizal fungi mobilize phosphorus from sparingly soluble pools, while siderophore-producing bacteria increase micronutrient (Fe, Zn) availability. The net outcome is improved harvest index and nutrient-use efficiency under both low and moderate fertilizer regimes. </w:t>
      </w:r>
    </w:p>
    <w:p w14:paraId="40D204E2" w14:textId="77777777" w:rsidR="00FA0018" w:rsidRPr="00221CFA" w:rsidRDefault="009664D1" w:rsidP="007D1F72">
      <w:pPr>
        <w:pStyle w:val="Heading3"/>
        <w:jc w:val="both"/>
        <w:rPr>
          <w:rFonts w:ascii="Arial" w:hAnsi="Arial" w:cs="Arial"/>
          <w:sz w:val="20"/>
          <w:szCs w:val="20"/>
        </w:rPr>
      </w:pPr>
      <w:r w:rsidRPr="00221CFA">
        <w:rPr>
          <w:rFonts w:ascii="Arial" w:hAnsi="Arial" w:cs="Arial"/>
          <w:sz w:val="20"/>
          <w:szCs w:val="20"/>
        </w:rPr>
        <w:t>3</w:t>
      </w:r>
      <w:r w:rsidR="00FA0018" w:rsidRPr="00221CFA">
        <w:rPr>
          <w:rFonts w:ascii="Arial" w:hAnsi="Arial" w:cs="Arial"/>
          <w:sz w:val="20"/>
          <w:szCs w:val="20"/>
        </w:rPr>
        <w:t>.3. Improvement of soil health and microbial diversity</w:t>
      </w:r>
    </w:p>
    <w:p w14:paraId="54122785" w14:textId="7516C42E" w:rsidR="00FA0018" w:rsidRPr="00221CFA" w:rsidRDefault="00FA0018" w:rsidP="007D1F72">
      <w:pPr>
        <w:pStyle w:val="NormalWeb"/>
        <w:jc w:val="both"/>
        <w:rPr>
          <w:rFonts w:ascii="Arial" w:hAnsi="Arial" w:cs="Arial"/>
          <w:sz w:val="20"/>
          <w:szCs w:val="20"/>
        </w:rPr>
      </w:pPr>
      <w:r w:rsidRPr="00221CFA">
        <w:rPr>
          <w:rFonts w:ascii="Arial" w:hAnsi="Arial" w:cs="Arial"/>
          <w:sz w:val="20"/>
          <w:szCs w:val="20"/>
        </w:rPr>
        <w:t xml:space="preserve">Longer-term applications of biofertilizers, especially when combined with organic amendments, can shift soil properties in favourable </w:t>
      </w:r>
      <w:r w:rsidRPr="00221CFA">
        <w:rPr>
          <w:rFonts w:ascii="Arial" w:hAnsi="Arial" w:cs="Arial"/>
          <w:sz w:val="20"/>
          <w:szCs w:val="20"/>
          <w:highlight w:val="yellow"/>
        </w:rPr>
        <w:t xml:space="preserve">directions. Field reports and controlled trials indicate measurable increases in soil microbial </w:t>
      </w:r>
      <w:proofErr w:type="gramStart"/>
      <w:r w:rsidRPr="00221CFA">
        <w:rPr>
          <w:rFonts w:ascii="Arial" w:hAnsi="Arial" w:cs="Arial"/>
          <w:sz w:val="20"/>
          <w:szCs w:val="20"/>
          <w:highlight w:val="yellow"/>
        </w:rPr>
        <w:t>biomass</w:t>
      </w:r>
      <w:r w:rsidRPr="00221CFA">
        <w:rPr>
          <w:rFonts w:ascii="Arial" w:hAnsi="Arial" w:cs="Arial"/>
          <w:strike/>
          <w:sz w:val="20"/>
          <w:szCs w:val="20"/>
          <w:highlight w:val="yellow"/>
        </w:rPr>
        <w:t>,</w:t>
      </w:r>
      <w:r w:rsidRPr="00221CFA">
        <w:rPr>
          <w:rFonts w:ascii="Arial" w:hAnsi="Arial" w:cs="Arial"/>
          <w:sz w:val="20"/>
          <w:szCs w:val="20"/>
          <w:highlight w:val="yellow"/>
        </w:rPr>
        <w:t xml:space="preserve"> </w:t>
      </w:r>
      <w:r w:rsidR="002B1243" w:rsidRPr="00221CFA">
        <w:rPr>
          <w:rFonts w:ascii="Arial" w:hAnsi="Arial" w:cs="Arial"/>
          <w:sz w:val="20"/>
          <w:szCs w:val="20"/>
          <w:highlight w:val="yellow"/>
        </w:rPr>
        <w:t xml:space="preserve"> and</w:t>
      </w:r>
      <w:proofErr w:type="gramEnd"/>
      <w:r w:rsidR="002B1243" w:rsidRPr="00221CFA">
        <w:rPr>
          <w:rFonts w:ascii="Arial" w:hAnsi="Arial" w:cs="Arial"/>
          <w:sz w:val="20"/>
          <w:szCs w:val="20"/>
          <w:highlight w:val="yellow"/>
        </w:rPr>
        <w:t xml:space="preserve"> </w:t>
      </w:r>
      <w:r w:rsidRPr="00221CFA">
        <w:rPr>
          <w:rFonts w:ascii="Arial" w:hAnsi="Arial" w:cs="Arial"/>
          <w:sz w:val="20"/>
          <w:szCs w:val="20"/>
          <w:highlight w:val="yellow"/>
        </w:rPr>
        <w:t xml:space="preserve">enzyme activities (dehydrogenase, phosphatase), </w:t>
      </w:r>
      <w:r w:rsidR="002B1243" w:rsidRPr="00221CFA">
        <w:rPr>
          <w:rFonts w:ascii="Arial" w:hAnsi="Arial" w:cs="Arial"/>
          <w:sz w:val="20"/>
          <w:szCs w:val="20"/>
          <w:highlight w:val="yellow"/>
        </w:rPr>
        <w:t xml:space="preserve">as well as </w:t>
      </w:r>
      <w:r w:rsidRPr="00221CFA">
        <w:rPr>
          <w:rFonts w:ascii="Arial" w:hAnsi="Arial" w:cs="Arial"/>
          <w:sz w:val="20"/>
          <w:szCs w:val="20"/>
        </w:rPr>
        <w:t>modest rises in soil organic carbon following repeated inoculation combined with residue retention or manure. These biological improvements underpin better nutrient cycling and greater resilience to stress. At the community level, the introduction of beneficial strains can increase the abundance of functional groups (e.g., P-solubilizers, N-fixers, saprophytic fungi) and</w:t>
      </w:r>
      <w:r w:rsidR="008C5FBD" w:rsidRPr="00221CFA">
        <w:rPr>
          <w:rFonts w:ascii="Arial" w:hAnsi="Arial" w:cs="Arial"/>
          <w:sz w:val="20"/>
          <w:szCs w:val="20"/>
        </w:rPr>
        <w:t>,</w:t>
      </w:r>
      <w:r w:rsidRPr="00221CFA">
        <w:rPr>
          <w:rFonts w:ascii="Arial" w:hAnsi="Arial" w:cs="Arial"/>
          <w:sz w:val="20"/>
          <w:szCs w:val="20"/>
        </w:rPr>
        <w:t xml:space="preserve"> when used as part of integrated practices</w:t>
      </w:r>
      <w:r w:rsidR="002F35EA" w:rsidRPr="00221CFA">
        <w:rPr>
          <w:rFonts w:ascii="Arial" w:hAnsi="Arial" w:cs="Arial"/>
          <w:sz w:val="20"/>
          <w:szCs w:val="20"/>
        </w:rPr>
        <w:t>,</w:t>
      </w:r>
      <w:r w:rsidRPr="00221CFA">
        <w:rPr>
          <w:rFonts w:ascii="Arial" w:hAnsi="Arial" w:cs="Arial"/>
          <w:sz w:val="20"/>
          <w:szCs w:val="20"/>
        </w:rPr>
        <w:t xml:space="preserve"> help restore microbial diversity that is often depleted under intensive mineral fertilizer regimes. However, the magnitude of change depends strongly on background soil organic matter and management: soils with higher organic inputs show the greatest, most persistent gains.</w:t>
      </w:r>
      <w:r w:rsidR="00BA21E6" w:rsidRPr="00221CFA">
        <w:rPr>
          <w:rFonts w:ascii="Arial" w:hAnsi="Arial" w:cs="Arial"/>
          <w:b/>
          <w:bCs/>
          <w:sz w:val="20"/>
          <w:szCs w:val="20"/>
        </w:rPr>
        <w:t xml:space="preserve"> </w:t>
      </w:r>
      <w:r w:rsidR="00BA21E6" w:rsidRPr="00221CFA">
        <w:rPr>
          <w:rFonts w:ascii="Arial" w:hAnsi="Arial" w:cs="Arial"/>
          <w:bCs/>
          <w:sz w:val="20"/>
          <w:szCs w:val="20"/>
        </w:rPr>
        <w:t xml:space="preserve">Soil Fertility Constraints and Challenges in Millet-Based Cropping </w:t>
      </w:r>
      <w:r w:rsidR="00BA21E6" w:rsidRPr="00221CFA">
        <w:rPr>
          <w:rFonts w:ascii="Arial" w:hAnsi="Arial" w:cs="Arial"/>
          <w:bCs/>
          <w:sz w:val="20"/>
          <w:szCs w:val="20"/>
          <w:highlight w:val="yellow"/>
        </w:rPr>
        <w:t>Systems</w:t>
      </w:r>
      <w:r w:rsidR="002F35EA" w:rsidRPr="00221CFA">
        <w:rPr>
          <w:rFonts w:ascii="Arial" w:hAnsi="Arial" w:cs="Arial"/>
          <w:bCs/>
          <w:sz w:val="20"/>
          <w:szCs w:val="20"/>
          <w:highlight w:val="yellow"/>
        </w:rPr>
        <w:t xml:space="preserve"> </w:t>
      </w:r>
      <w:r w:rsidR="00221CFA" w:rsidRPr="00221CFA">
        <w:rPr>
          <w:rFonts w:ascii="Arial" w:hAnsi="Arial" w:cs="Arial"/>
          <w:bCs/>
          <w:sz w:val="20"/>
          <w:szCs w:val="20"/>
          <w:highlight w:val="yellow"/>
        </w:rPr>
        <w:t>are tabulated</w:t>
      </w:r>
      <w:r w:rsidR="00BA21E6" w:rsidRPr="00221CFA">
        <w:rPr>
          <w:rFonts w:ascii="Arial" w:hAnsi="Arial" w:cs="Arial"/>
          <w:bCs/>
          <w:sz w:val="20"/>
          <w:szCs w:val="20"/>
          <w:highlight w:val="yellow"/>
        </w:rPr>
        <w:t xml:space="preserve"> </w:t>
      </w:r>
      <w:r w:rsidR="00BA21E6" w:rsidRPr="00221CFA">
        <w:rPr>
          <w:rFonts w:ascii="Arial" w:hAnsi="Arial" w:cs="Arial"/>
          <w:bCs/>
          <w:sz w:val="20"/>
          <w:szCs w:val="20"/>
        </w:rPr>
        <w:t xml:space="preserve">in Table </w:t>
      </w:r>
      <w:r w:rsidR="00852D55" w:rsidRPr="00221CFA">
        <w:rPr>
          <w:rFonts w:ascii="Arial" w:hAnsi="Arial" w:cs="Arial"/>
          <w:bCs/>
          <w:sz w:val="20"/>
          <w:szCs w:val="20"/>
        </w:rPr>
        <w:t>2</w:t>
      </w:r>
      <w:r w:rsidR="00BA21E6" w:rsidRPr="00221CFA">
        <w:rPr>
          <w:rFonts w:ascii="Arial" w:hAnsi="Arial" w:cs="Arial"/>
          <w:bCs/>
          <w:sz w:val="20"/>
          <w:szCs w:val="20"/>
        </w:rPr>
        <w:t>.</w:t>
      </w:r>
      <w:r w:rsidR="00BA21E6" w:rsidRPr="00221CFA">
        <w:rPr>
          <w:rFonts w:ascii="Arial" w:hAnsi="Arial" w:cs="Arial"/>
          <w:b/>
          <w:bCs/>
          <w:sz w:val="20"/>
          <w:szCs w:val="20"/>
        </w:rPr>
        <w:t xml:space="preserve"> </w:t>
      </w:r>
    </w:p>
    <w:p w14:paraId="5782F5DA" w14:textId="77777777" w:rsidR="00FA0018" w:rsidRPr="00221CFA" w:rsidRDefault="009664D1" w:rsidP="007D1F72">
      <w:pPr>
        <w:pStyle w:val="Heading3"/>
        <w:jc w:val="both"/>
        <w:rPr>
          <w:rFonts w:ascii="Arial" w:hAnsi="Arial" w:cs="Arial"/>
          <w:sz w:val="20"/>
          <w:szCs w:val="20"/>
        </w:rPr>
      </w:pPr>
      <w:r w:rsidRPr="00221CFA">
        <w:rPr>
          <w:rFonts w:ascii="Arial" w:hAnsi="Arial" w:cs="Arial"/>
          <w:sz w:val="20"/>
          <w:szCs w:val="20"/>
        </w:rPr>
        <w:lastRenderedPageBreak/>
        <w:t>3</w:t>
      </w:r>
      <w:r w:rsidR="00FA0018" w:rsidRPr="00221CFA">
        <w:rPr>
          <w:rFonts w:ascii="Arial" w:hAnsi="Arial" w:cs="Arial"/>
          <w:sz w:val="20"/>
          <w:szCs w:val="20"/>
        </w:rPr>
        <w:t>.4. Case studies and quantitative evidence</w:t>
      </w:r>
    </w:p>
    <w:p w14:paraId="561E928C" w14:textId="6335E4C3" w:rsidR="00FA0018" w:rsidRPr="00221CFA" w:rsidRDefault="00221CFA" w:rsidP="007D1F72">
      <w:pPr>
        <w:pStyle w:val="Heading4"/>
        <w:jc w:val="both"/>
        <w:rPr>
          <w:rFonts w:ascii="Arial" w:hAnsi="Arial" w:cs="Arial"/>
          <w:b/>
          <w:color w:val="auto"/>
          <w:sz w:val="20"/>
          <w:szCs w:val="20"/>
          <w:highlight w:val="yellow"/>
        </w:rPr>
      </w:pPr>
      <w:r w:rsidRPr="00221CFA">
        <w:rPr>
          <w:rFonts w:ascii="Arial" w:hAnsi="Arial" w:cs="Arial"/>
          <w:b/>
          <w:color w:val="auto"/>
          <w:sz w:val="20"/>
          <w:szCs w:val="20"/>
          <w:highlight w:val="yellow"/>
        </w:rPr>
        <w:t xml:space="preserve">3.4.1 </w:t>
      </w:r>
      <w:r w:rsidR="00FA0018" w:rsidRPr="00221CFA">
        <w:rPr>
          <w:rFonts w:ascii="Arial" w:hAnsi="Arial" w:cs="Arial"/>
          <w:b/>
          <w:color w:val="auto"/>
          <w:sz w:val="20"/>
          <w:szCs w:val="20"/>
          <w:highlight w:val="yellow"/>
        </w:rPr>
        <w:t xml:space="preserve">Pearl millet </w:t>
      </w:r>
      <w:r w:rsidRPr="00221CFA">
        <w:rPr>
          <w:rFonts w:ascii="Arial" w:hAnsi="Arial" w:cs="Arial"/>
          <w:b/>
          <w:color w:val="auto"/>
          <w:sz w:val="20"/>
          <w:szCs w:val="20"/>
          <w:highlight w:val="yellow"/>
        </w:rPr>
        <w:t>-</w:t>
      </w:r>
      <w:r w:rsidR="00FA0018" w:rsidRPr="00221CFA">
        <w:rPr>
          <w:rFonts w:ascii="Arial" w:hAnsi="Arial" w:cs="Arial"/>
          <w:b/>
          <w:color w:val="auto"/>
          <w:sz w:val="20"/>
          <w:szCs w:val="20"/>
          <w:highlight w:val="yellow"/>
        </w:rPr>
        <w:t xml:space="preserve"> </w:t>
      </w:r>
      <w:proofErr w:type="spellStart"/>
      <w:r w:rsidR="00FA0018" w:rsidRPr="00221CFA">
        <w:rPr>
          <w:rStyle w:val="Emphasis"/>
          <w:rFonts w:ascii="Arial" w:hAnsi="Arial" w:cs="Arial"/>
          <w:b/>
          <w:color w:val="auto"/>
          <w:sz w:val="20"/>
          <w:szCs w:val="20"/>
          <w:highlight w:val="yellow"/>
        </w:rPr>
        <w:t>Azospirillum</w:t>
      </w:r>
      <w:proofErr w:type="spellEnd"/>
      <w:r w:rsidR="00FA0018" w:rsidRPr="00221CFA">
        <w:rPr>
          <w:rFonts w:ascii="Arial" w:hAnsi="Arial" w:cs="Arial"/>
          <w:b/>
          <w:color w:val="auto"/>
          <w:sz w:val="20"/>
          <w:szCs w:val="20"/>
          <w:highlight w:val="yellow"/>
        </w:rPr>
        <w:t xml:space="preserve"> and PSB</w:t>
      </w:r>
    </w:p>
    <w:p w14:paraId="6DE8E357" w14:textId="77777777" w:rsidR="00FA0018" w:rsidRPr="00221CFA" w:rsidRDefault="00FA0018" w:rsidP="007D1F72">
      <w:pPr>
        <w:pStyle w:val="NormalWeb"/>
        <w:jc w:val="both"/>
        <w:rPr>
          <w:rFonts w:ascii="Arial" w:hAnsi="Arial" w:cs="Arial"/>
          <w:sz w:val="20"/>
          <w:szCs w:val="20"/>
        </w:rPr>
      </w:pPr>
      <w:r w:rsidRPr="00221CFA">
        <w:rPr>
          <w:rFonts w:ascii="Arial" w:hAnsi="Arial" w:cs="Arial"/>
          <w:sz w:val="20"/>
          <w:szCs w:val="20"/>
        </w:rPr>
        <w:t xml:space="preserve">Multiple station and farmer-field trials on pearl millet report consistent positive effects of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(often combined with PSB or </w:t>
      </w:r>
      <w:r w:rsidRPr="00221CFA">
        <w:rPr>
          <w:rStyle w:val="Emphasis"/>
          <w:rFonts w:ascii="Arial" w:hAnsi="Arial" w:cs="Arial"/>
          <w:sz w:val="20"/>
          <w:szCs w:val="20"/>
        </w:rPr>
        <w:t>Bacillus</w:t>
      </w:r>
      <w:r w:rsidRPr="00221CFA">
        <w:rPr>
          <w:rFonts w:ascii="Arial" w:hAnsi="Arial" w:cs="Arial"/>
          <w:sz w:val="20"/>
          <w:szCs w:val="20"/>
        </w:rPr>
        <w:t xml:space="preserve"> spp.) on tiller number, biomass and grain yield. Reported yield increases range from </w:t>
      </w:r>
      <w:r w:rsidRPr="00221CFA">
        <w:rPr>
          <w:rStyle w:val="Strong"/>
          <w:rFonts w:ascii="Arial" w:hAnsi="Arial" w:cs="Arial"/>
          <w:b w:val="0"/>
          <w:sz w:val="20"/>
          <w:szCs w:val="20"/>
        </w:rPr>
        <w:t>15% to ~30%</w:t>
      </w:r>
      <w:r w:rsidRPr="00221CFA">
        <w:rPr>
          <w:rFonts w:ascii="Arial" w:hAnsi="Arial" w:cs="Arial"/>
          <w:b/>
          <w:sz w:val="20"/>
          <w:szCs w:val="20"/>
        </w:rPr>
        <w:t>,</w:t>
      </w:r>
      <w:r w:rsidRPr="00221CFA">
        <w:rPr>
          <w:rFonts w:ascii="Arial" w:hAnsi="Arial" w:cs="Arial"/>
          <w:sz w:val="20"/>
          <w:szCs w:val="20"/>
        </w:rPr>
        <w:t xml:space="preserve"> with accompanying improvements in available soil P and root biomass</w:t>
      </w:r>
      <w:r w:rsidR="00BA21E6" w:rsidRPr="00221CFA">
        <w:rPr>
          <w:rFonts w:ascii="Arial" w:hAnsi="Arial" w:cs="Arial"/>
          <w:sz w:val="20"/>
          <w:szCs w:val="20"/>
        </w:rPr>
        <w:t xml:space="preserve"> (Fig. 1)</w:t>
      </w:r>
      <w:r w:rsidRPr="00221CFA">
        <w:rPr>
          <w:rFonts w:ascii="Arial" w:hAnsi="Arial" w:cs="Arial"/>
          <w:sz w:val="20"/>
          <w:szCs w:val="20"/>
        </w:rPr>
        <w:t xml:space="preserve">. Studies indicate that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boosts root surface area and exerts hormonal effects (IAA production) that enhance early </w:t>
      </w:r>
      <w:proofErr w:type="spellStart"/>
      <w:r w:rsidRPr="00221CFA">
        <w:rPr>
          <w:rFonts w:ascii="Arial" w:hAnsi="Arial" w:cs="Arial"/>
          <w:sz w:val="20"/>
          <w:szCs w:val="20"/>
        </w:rPr>
        <w:t>vigor</w:t>
      </w:r>
      <w:proofErr w:type="spellEnd"/>
      <w:r w:rsidRPr="00221CFA">
        <w:rPr>
          <w:rFonts w:ascii="Arial" w:hAnsi="Arial" w:cs="Arial"/>
          <w:sz w:val="20"/>
          <w:szCs w:val="20"/>
        </w:rPr>
        <w:t xml:space="preserve"> and water uptake — valuable traits under semi-arid pearl millet environments</w:t>
      </w:r>
      <w:r w:rsidR="003A178B" w:rsidRPr="00221CFA">
        <w:rPr>
          <w:rFonts w:ascii="Arial" w:hAnsi="Arial" w:cs="Arial"/>
          <w:sz w:val="20"/>
          <w:szCs w:val="20"/>
        </w:rPr>
        <w:t xml:space="preserve"> (</w:t>
      </w:r>
      <w:proofErr w:type="spellStart"/>
      <w:r w:rsidR="003A178B" w:rsidRPr="00221CFA">
        <w:rPr>
          <w:rFonts w:ascii="Arial" w:hAnsi="Arial" w:cs="Arial"/>
          <w:sz w:val="20"/>
          <w:szCs w:val="20"/>
          <w:shd w:val="clear" w:color="auto" w:fill="FFFFFF"/>
        </w:rPr>
        <w:t>Shivhare</w:t>
      </w:r>
      <w:proofErr w:type="spellEnd"/>
      <w:r w:rsidR="003A178B" w:rsidRPr="00221CFA">
        <w:rPr>
          <w:rFonts w:ascii="Arial" w:hAnsi="Arial" w:cs="Arial"/>
          <w:sz w:val="20"/>
          <w:szCs w:val="20"/>
          <w:shd w:val="clear" w:color="auto" w:fill="FFFFFF"/>
        </w:rPr>
        <w:t xml:space="preserve"> et al., 2024</w:t>
      </w:r>
      <w:r w:rsidR="003A178B" w:rsidRPr="00221CFA">
        <w:rPr>
          <w:rFonts w:ascii="Arial" w:hAnsi="Arial" w:cs="Arial"/>
          <w:sz w:val="20"/>
          <w:szCs w:val="20"/>
        </w:rPr>
        <w:t>)</w:t>
      </w:r>
      <w:r w:rsidRPr="00221CFA">
        <w:rPr>
          <w:rFonts w:ascii="Arial" w:hAnsi="Arial" w:cs="Arial"/>
          <w:sz w:val="20"/>
          <w:szCs w:val="20"/>
        </w:rPr>
        <w:t xml:space="preserve">. </w:t>
      </w:r>
    </w:p>
    <w:p w14:paraId="1A6682AF" w14:textId="0343ACF0" w:rsidR="00FA0018" w:rsidRPr="00221CFA" w:rsidRDefault="00221CFA" w:rsidP="007D1F72">
      <w:pPr>
        <w:pStyle w:val="Heading4"/>
        <w:jc w:val="both"/>
        <w:rPr>
          <w:rFonts w:ascii="Arial" w:hAnsi="Arial" w:cs="Arial"/>
          <w:b/>
          <w:color w:val="auto"/>
          <w:sz w:val="20"/>
          <w:szCs w:val="20"/>
          <w:highlight w:val="yellow"/>
        </w:rPr>
      </w:pPr>
      <w:r w:rsidRPr="00221CFA">
        <w:rPr>
          <w:rFonts w:ascii="Arial" w:hAnsi="Arial" w:cs="Arial"/>
          <w:b/>
          <w:color w:val="auto"/>
          <w:sz w:val="20"/>
          <w:szCs w:val="20"/>
          <w:highlight w:val="yellow"/>
        </w:rPr>
        <w:t xml:space="preserve">3.4.2 </w:t>
      </w:r>
      <w:r w:rsidR="00FA0018" w:rsidRPr="00221CFA">
        <w:rPr>
          <w:rFonts w:ascii="Arial" w:hAnsi="Arial" w:cs="Arial"/>
          <w:b/>
          <w:color w:val="auto"/>
          <w:sz w:val="20"/>
          <w:szCs w:val="20"/>
          <w:highlight w:val="yellow"/>
        </w:rPr>
        <w:t xml:space="preserve">Finger millet </w:t>
      </w:r>
      <w:r w:rsidRPr="00221CFA">
        <w:rPr>
          <w:rFonts w:ascii="Arial" w:hAnsi="Arial" w:cs="Arial"/>
          <w:b/>
          <w:color w:val="auto"/>
          <w:sz w:val="20"/>
          <w:szCs w:val="20"/>
          <w:highlight w:val="yellow"/>
        </w:rPr>
        <w:t>-</w:t>
      </w:r>
      <w:r w:rsidR="00FA0018" w:rsidRPr="00221CFA">
        <w:rPr>
          <w:rFonts w:ascii="Arial" w:hAnsi="Arial" w:cs="Arial"/>
          <w:b/>
          <w:color w:val="auto"/>
          <w:sz w:val="20"/>
          <w:szCs w:val="20"/>
          <w:highlight w:val="yellow"/>
        </w:rPr>
        <w:t xml:space="preserve"> </w:t>
      </w:r>
      <w:r w:rsidR="00FA0018" w:rsidRPr="00221CFA">
        <w:rPr>
          <w:rStyle w:val="Emphasis"/>
          <w:rFonts w:ascii="Arial" w:hAnsi="Arial" w:cs="Arial"/>
          <w:b/>
          <w:color w:val="auto"/>
          <w:sz w:val="20"/>
          <w:szCs w:val="20"/>
          <w:highlight w:val="yellow"/>
        </w:rPr>
        <w:t>Rhizobium</w:t>
      </w:r>
      <w:r w:rsidR="00FA0018" w:rsidRPr="00221CFA">
        <w:rPr>
          <w:rFonts w:ascii="Arial" w:hAnsi="Arial" w:cs="Arial"/>
          <w:b/>
          <w:color w:val="auto"/>
          <w:sz w:val="20"/>
          <w:szCs w:val="20"/>
          <w:highlight w:val="yellow"/>
        </w:rPr>
        <w:t xml:space="preserve"> and </w:t>
      </w:r>
      <w:r w:rsidR="00FA0018" w:rsidRPr="00221CFA">
        <w:rPr>
          <w:rStyle w:val="Emphasis"/>
          <w:rFonts w:ascii="Arial" w:hAnsi="Arial" w:cs="Arial"/>
          <w:b/>
          <w:color w:val="auto"/>
          <w:sz w:val="20"/>
          <w:szCs w:val="20"/>
          <w:highlight w:val="yellow"/>
        </w:rPr>
        <w:t>Azotobacter</w:t>
      </w:r>
    </w:p>
    <w:p w14:paraId="69B033A3" w14:textId="5083EF5A" w:rsidR="00FA0018" w:rsidRPr="00221CFA" w:rsidRDefault="00FA0018" w:rsidP="007D1F72">
      <w:pPr>
        <w:pStyle w:val="NormalWeb"/>
        <w:jc w:val="both"/>
        <w:rPr>
          <w:rFonts w:ascii="Arial" w:hAnsi="Arial" w:cs="Arial"/>
          <w:sz w:val="20"/>
          <w:szCs w:val="20"/>
        </w:rPr>
      </w:pPr>
      <w:r w:rsidRPr="00221CFA">
        <w:rPr>
          <w:rFonts w:ascii="Arial" w:hAnsi="Arial" w:cs="Arial"/>
          <w:sz w:val="20"/>
          <w:szCs w:val="20"/>
        </w:rPr>
        <w:t xml:space="preserve">Although </w:t>
      </w:r>
      <w:r w:rsidRPr="00221CFA">
        <w:rPr>
          <w:rStyle w:val="Emphasis"/>
          <w:rFonts w:ascii="Arial" w:hAnsi="Arial" w:cs="Arial"/>
          <w:sz w:val="20"/>
          <w:szCs w:val="20"/>
        </w:rPr>
        <w:t>Rhizobium</w:t>
      </w:r>
      <w:r w:rsidRPr="00221CFA">
        <w:rPr>
          <w:rFonts w:ascii="Arial" w:hAnsi="Arial" w:cs="Arial"/>
          <w:sz w:val="20"/>
          <w:szCs w:val="20"/>
        </w:rPr>
        <w:t xml:space="preserve"> is classically associated with legumes, </w:t>
      </w:r>
      <w:r w:rsidRPr="00221CFA">
        <w:rPr>
          <w:rStyle w:val="Emphasis"/>
          <w:rFonts w:ascii="Arial" w:hAnsi="Arial" w:cs="Arial"/>
          <w:sz w:val="20"/>
          <w:szCs w:val="20"/>
        </w:rPr>
        <w:t>Rhizobium</w:t>
      </w:r>
      <w:r w:rsidRPr="00221CFA">
        <w:rPr>
          <w:rFonts w:ascii="Arial" w:hAnsi="Arial" w:cs="Arial"/>
          <w:sz w:val="20"/>
          <w:szCs w:val="20"/>
        </w:rPr>
        <w:t xml:space="preserve"> and </w:t>
      </w:r>
      <w:r w:rsidRPr="00221CFA">
        <w:rPr>
          <w:rStyle w:val="Emphasis"/>
          <w:rFonts w:ascii="Arial" w:hAnsi="Arial" w:cs="Arial"/>
          <w:sz w:val="20"/>
          <w:szCs w:val="20"/>
        </w:rPr>
        <w:t>Azotobacter</w:t>
      </w:r>
      <w:r w:rsidRPr="00221CFA">
        <w:rPr>
          <w:rFonts w:ascii="Arial" w:hAnsi="Arial" w:cs="Arial"/>
          <w:sz w:val="20"/>
          <w:szCs w:val="20"/>
        </w:rPr>
        <w:t xml:space="preserve"> strains used as seed or soil inoculants have improved germination, seedling </w:t>
      </w:r>
      <w:proofErr w:type="spellStart"/>
      <w:r w:rsidRPr="00221CFA">
        <w:rPr>
          <w:rFonts w:ascii="Arial" w:hAnsi="Arial" w:cs="Arial"/>
          <w:sz w:val="20"/>
          <w:szCs w:val="20"/>
        </w:rPr>
        <w:t>vigor</w:t>
      </w:r>
      <w:proofErr w:type="spellEnd"/>
      <w:r w:rsidRPr="00221CFA">
        <w:rPr>
          <w:rFonts w:ascii="Arial" w:hAnsi="Arial" w:cs="Arial"/>
          <w:sz w:val="20"/>
          <w:szCs w:val="20"/>
        </w:rPr>
        <w:t xml:space="preserve"> and grain yield in finger millet trials. Reported effects include better test weight, higher panicle biomass</w:t>
      </w:r>
      <w:r w:rsidR="002F35EA" w:rsidRPr="00221CFA">
        <w:rPr>
          <w:rFonts w:ascii="Arial" w:hAnsi="Arial" w:cs="Arial"/>
          <w:sz w:val="20"/>
          <w:szCs w:val="20"/>
          <w:lang w:val="en-US"/>
        </w:rPr>
        <w:t>,</w:t>
      </w:r>
      <w:r w:rsidRPr="00221CFA">
        <w:rPr>
          <w:rFonts w:ascii="Arial" w:hAnsi="Arial" w:cs="Arial"/>
          <w:sz w:val="20"/>
          <w:szCs w:val="20"/>
        </w:rPr>
        <w:t xml:space="preserve"> and yield increments commonly </w:t>
      </w:r>
      <w:r w:rsidRPr="00221CFA">
        <w:rPr>
          <w:rStyle w:val="Strong"/>
          <w:rFonts w:ascii="Arial" w:hAnsi="Arial" w:cs="Arial"/>
          <w:b w:val="0"/>
          <w:sz w:val="20"/>
          <w:szCs w:val="20"/>
        </w:rPr>
        <w:t>in the range of 10–25%</w:t>
      </w:r>
      <w:r w:rsidRPr="00221CFA">
        <w:rPr>
          <w:rFonts w:ascii="Arial" w:hAnsi="Arial" w:cs="Arial"/>
          <w:b/>
          <w:sz w:val="20"/>
          <w:szCs w:val="20"/>
        </w:rPr>
        <w:t>,</w:t>
      </w:r>
      <w:r w:rsidRPr="00221CFA">
        <w:rPr>
          <w:rFonts w:ascii="Arial" w:hAnsi="Arial" w:cs="Arial"/>
          <w:sz w:val="20"/>
          <w:szCs w:val="20"/>
        </w:rPr>
        <w:t xml:space="preserve"> with larger gains where organic mulches or manures were also applied</w:t>
      </w:r>
      <w:r w:rsidR="003A178B" w:rsidRPr="00221CFA">
        <w:rPr>
          <w:rFonts w:ascii="Arial" w:hAnsi="Arial" w:cs="Arial"/>
          <w:sz w:val="20"/>
          <w:szCs w:val="20"/>
        </w:rPr>
        <w:t xml:space="preserve"> (</w:t>
      </w:r>
      <w:r w:rsidR="003A178B" w:rsidRPr="00221CFA">
        <w:rPr>
          <w:rFonts w:ascii="Arial" w:hAnsi="Arial" w:cs="Arial"/>
          <w:sz w:val="20"/>
          <w:szCs w:val="20"/>
          <w:shd w:val="clear" w:color="auto" w:fill="FFFFFF"/>
        </w:rPr>
        <w:t>Gupta et al., 2023</w:t>
      </w:r>
      <w:r w:rsidR="003A178B" w:rsidRPr="00221CFA">
        <w:rPr>
          <w:rFonts w:ascii="Arial" w:hAnsi="Arial" w:cs="Arial"/>
          <w:sz w:val="20"/>
          <w:szCs w:val="20"/>
        </w:rPr>
        <w:t>)</w:t>
      </w:r>
      <w:r w:rsidR="00BA21E6" w:rsidRPr="00221CFA">
        <w:rPr>
          <w:rFonts w:ascii="Arial" w:hAnsi="Arial" w:cs="Arial"/>
          <w:sz w:val="20"/>
          <w:szCs w:val="20"/>
        </w:rPr>
        <w:t xml:space="preserve"> (Fig. 1)</w:t>
      </w:r>
      <w:r w:rsidRPr="00221CFA">
        <w:rPr>
          <w:rFonts w:ascii="Arial" w:hAnsi="Arial" w:cs="Arial"/>
          <w:sz w:val="20"/>
          <w:szCs w:val="20"/>
        </w:rPr>
        <w:t xml:space="preserve">. Some agronomic studies show near-doubling of marketable yield in mulched + inoculated plots relative to bare, uninoculated controls, illustrating the power of combining biofertilizers with improved residue/soil management. </w:t>
      </w:r>
    </w:p>
    <w:p w14:paraId="27B9D9AB" w14:textId="183FE021" w:rsidR="00FA0018" w:rsidRPr="00221CFA" w:rsidRDefault="00221CFA" w:rsidP="007D1F72">
      <w:pPr>
        <w:pStyle w:val="Heading4"/>
        <w:jc w:val="both"/>
        <w:rPr>
          <w:rFonts w:ascii="Arial" w:hAnsi="Arial" w:cs="Arial"/>
          <w:b/>
          <w:color w:val="auto"/>
          <w:sz w:val="20"/>
          <w:szCs w:val="20"/>
          <w:highlight w:val="yellow"/>
        </w:rPr>
      </w:pPr>
      <w:r w:rsidRPr="00221CFA">
        <w:rPr>
          <w:rFonts w:ascii="Arial" w:hAnsi="Arial" w:cs="Arial"/>
          <w:b/>
          <w:color w:val="auto"/>
          <w:sz w:val="20"/>
          <w:szCs w:val="20"/>
          <w:highlight w:val="yellow"/>
        </w:rPr>
        <w:t xml:space="preserve">3.4.3 </w:t>
      </w:r>
      <w:r w:rsidR="00FA0018" w:rsidRPr="00221CFA">
        <w:rPr>
          <w:rFonts w:ascii="Arial" w:hAnsi="Arial" w:cs="Arial"/>
          <w:b/>
          <w:color w:val="auto"/>
          <w:sz w:val="20"/>
          <w:szCs w:val="20"/>
          <w:highlight w:val="yellow"/>
        </w:rPr>
        <w:t>Foxtail, barnyard and little millet examples</w:t>
      </w:r>
    </w:p>
    <w:p w14:paraId="1FE04CB7" w14:textId="564E2876" w:rsidR="004F0D2A" w:rsidRPr="00221CFA" w:rsidRDefault="00FA0018" w:rsidP="004F0D2A">
      <w:pPr>
        <w:pStyle w:val="NormalWeb"/>
        <w:jc w:val="both"/>
        <w:rPr>
          <w:rFonts w:ascii="Arial" w:hAnsi="Arial" w:cs="Arial"/>
          <w:sz w:val="20"/>
          <w:szCs w:val="20"/>
        </w:rPr>
        <w:sectPr w:rsidR="004F0D2A" w:rsidRPr="00221CF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221CFA">
        <w:rPr>
          <w:rFonts w:ascii="Arial" w:hAnsi="Arial" w:cs="Arial"/>
          <w:sz w:val="20"/>
          <w:szCs w:val="20"/>
        </w:rPr>
        <w:t xml:space="preserve">In foxtail and other small millets, inoculation with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 PSB increased shoot and root dry weight, panicle attributes and 1,000-seed weight in replicated trials with yield gains frequently reported between </w:t>
      </w:r>
      <w:r w:rsidRPr="00221CFA">
        <w:rPr>
          <w:rStyle w:val="Strong"/>
          <w:rFonts w:ascii="Arial" w:hAnsi="Arial" w:cs="Arial"/>
          <w:b w:val="0"/>
          <w:sz w:val="20"/>
          <w:szCs w:val="20"/>
        </w:rPr>
        <w:t>15–35%</w:t>
      </w:r>
      <w:r w:rsidRPr="00221CFA">
        <w:rPr>
          <w:rFonts w:ascii="Arial" w:hAnsi="Arial" w:cs="Arial"/>
          <w:sz w:val="20"/>
          <w:szCs w:val="20"/>
        </w:rPr>
        <w:t xml:space="preserve"> depending on season and treatment</w:t>
      </w:r>
      <w:r w:rsidR="00BA21E6" w:rsidRPr="00221CFA">
        <w:rPr>
          <w:rFonts w:ascii="Arial" w:hAnsi="Arial" w:cs="Arial"/>
          <w:sz w:val="20"/>
          <w:szCs w:val="20"/>
        </w:rPr>
        <w:t xml:space="preserve"> (Fig. 1)</w:t>
      </w:r>
      <w:r w:rsidRPr="00221CFA">
        <w:rPr>
          <w:rFonts w:ascii="Arial" w:hAnsi="Arial" w:cs="Arial"/>
          <w:sz w:val="20"/>
          <w:szCs w:val="20"/>
        </w:rPr>
        <w:t xml:space="preserve">. Foxtail millet experiments also show that </w:t>
      </w:r>
      <w:proofErr w:type="spellStart"/>
      <w:r w:rsidRPr="00221CFA">
        <w:rPr>
          <w:rFonts w:ascii="Arial" w:hAnsi="Arial" w:cs="Arial"/>
          <w:sz w:val="20"/>
          <w:szCs w:val="20"/>
        </w:rPr>
        <w:t>multistrain</w:t>
      </w:r>
      <w:proofErr w:type="spellEnd"/>
      <w:r w:rsidRPr="00221CFA">
        <w:rPr>
          <w:rFonts w:ascii="Arial" w:hAnsi="Arial" w:cs="Arial"/>
          <w:sz w:val="20"/>
          <w:szCs w:val="20"/>
        </w:rPr>
        <w:t xml:space="preserve"> consortia often outperform single strains under field variability</w:t>
      </w:r>
      <w:r w:rsidR="003A178B" w:rsidRPr="00221CFA">
        <w:rPr>
          <w:rFonts w:ascii="Arial" w:hAnsi="Arial" w:cs="Arial"/>
          <w:sz w:val="20"/>
          <w:szCs w:val="20"/>
        </w:rPr>
        <w:t xml:space="preserve"> (Kaur et al., 2023)</w:t>
      </w:r>
      <w:r w:rsidRPr="00221CFA">
        <w:rPr>
          <w:rFonts w:ascii="Arial" w:hAnsi="Arial" w:cs="Arial"/>
          <w:sz w:val="20"/>
          <w:szCs w:val="20"/>
        </w:rPr>
        <w:t xml:space="preserve">. For barnyard and little millet, fewer studies </w:t>
      </w:r>
      <w:r w:rsidRPr="00221CFA">
        <w:rPr>
          <w:rFonts w:ascii="Arial" w:hAnsi="Arial" w:cs="Arial"/>
          <w:sz w:val="20"/>
          <w:szCs w:val="20"/>
          <w:highlight w:val="yellow"/>
        </w:rPr>
        <w:t xml:space="preserve">exist, </w:t>
      </w:r>
      <w:r w:rsidR="002F35EA" w:rsidRPr="00221CFA">
        <w:rPr>
          <w:rFonts w:ascii="Arial" w:hAnsi="Arial" w:cs="Arial"/>
          <w:sz w:val="20"/>
          <w:szCs w:val="20"/>
          <w:highlight w:val="yellow"/>
        </w:rPr>
        <w:t>still, available</w:t>
      </w:r>
      <w:r w:rsidRPr="00221CFA">
        <w:rPr>
          <w:rFonts w:ascii="Arial" w:hAnsi="Arial" w:cs="Arial"/>
          <w:sz w:val="20"/>
          <w:szCs w:val="20"/>
          <w:highlight w:val="yellow"/>
        </w:rPr>
        <w:t xml:space="preserve"> trials</w:t>
      </w:r>
      <w:r w:rsidRPr="00221CFA">
        <w:rPr>
          <w:rFonts w:ascii="Arial" w:hAnsi="Arial" w:cs="Arial"/>
          <w:sz w:val="20"/>
          <w:szCs w:val="20"/>
        </w:rPr>
        <w:t xml:space="preserve"> report similar directions of response: improved nutrient uptake, greater biomass</w:t>
      </w:r>
      <w:r w:rsidR="002F35EA" w:rsidRPr="00221CFA">
        <w:rPr>
          <w:rFonts w:ascii="Arial" w:hAnsi="Arial" w:cs="Arial"/>
          <w:sz w:val="20"/>
          <w:szCs w:val="20"/>
        </w:rPr>
        <w:t>,</w:t>
      </w:r>
      <w:r w:rsidRPr="00221CFA">
        <w:rPr>
          <w:rFonts w:ascii="Arial" w:hAnsi="Arial" w:cs="Arial"/>
          <w:sz w:val="20"/>
          <w:szCs w:val="20"/>
        </w:rPr>
        <w:t xml:space="preserve"> and higher grain yields with inoculation, especially where soils are P-deficient or organic carbon is low. </w:t>
      </w:r>
    </w:p>
    <w:p w14:paraId="7AEBC8EA" w14:textId="77777777" w:rsidR="004F0D2A" w:rsidRPr="00221CFA" w:rsidRDefault="004F0D2A" w:rsidP="004F0D2A">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0"/>
          <w:lang w:eastAsia="en-IN"/>
        </w:rPr>
        <w:lastRenderedPageBreak/>
        <w:t xml:space="preserve">Table </w:t>
      </w:r>
      <w:r w:rsidR="00852D55" w:rsidRPr="00221CFA">
        <w:rPr>
          <w:rFonts w:ascii="Arial" w:eastAsia="Times New Roman" w:hAnsi="Arial" w:cs="Arial"/>
          <w:b/>
          <w:bCs/>
          <w:sz w:val="20"/>
          <w:szCs w:val="20"/>
          <w:lang w:eastAsia="en-IN"/>
        </w:rPr>
        <w:t>2</w:t>
      </w:r>
      <w:r w:rsidRPr="00221CFA">
        <w:rPr>
          <w:rFonts w:ascii="Arial" w:eastAsia="Times New Roman" w:hAnsi="Arial" w:cs="Arial"/>
          <w:b/>
          <w:bCs/>
          <w:sz w:val="20"/>
          <w:szCs w:val="20"/>
          <w:lang w:eastAsia="en-IN"/>
        </w:rPr>
        <w:t>: Soil Fertility Constraints and Challenges in Millet-Based Cropping Systems</w:t>
      </w:r>
    </w:p>
    <w:tbl>
      <w:tblPr>
        <w:tblStyle w:val="TableGrid"/>
        <w:tblW w:w="0" w:type="auto"/>
        <w:tblLook w:val="04A0" w:firstRow="1" w:lastRow="0" w:firstColumn="1" w:lastColumn="0" w:noHBand="0" w:noVBand="1"/>
      </w:tblPr>
      <w:tblGrid>
        <w:gridCol w:w="3964"/>
        <w:gridCol w:w="5812"/>
        <w:gridCol w:w="3364"/>
      </w:tblGrid>
      <w:tr w:rsidR="00221CFA" w:rsidRPr="00221CFA" w14:paraId="2D804998" w14:textId="77777777" w:rsidTr="004F0D2A">
        <w:trPr>
          <w:trHeight w:val="215"/>
        </w:trPr>
        <w:tc>
          <w:tcPr>
            <w:tcW w:w="3964" w:type="dxa"/>
            <w:vAlign w:val="center"/>
          </w:tcPr>
          <w:p w14:paraId="4287C14D"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Aspect / Theme</w:t>
            </w:r>
          </w:p>
        </w:tc>
        <w:tc>
          <w:tcPr>
            <w:tcW w:w="5812" w:type="dxa"/>
            <w:vAlign w:val="center"/>
          </w:tcPr>
          <w:p w14:paraId="6D0F9065"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Key Findings and Information</w:t>
            </w:r>
          </w:p>
        </w:tc>
        <w:tc>
          <w:tcPr>
            <w:tcW w:w="3364" w:type="dxa"/>
            <w:vAlign w:val="center"/>
          </w:tcPr>
          <w:p w14:paraId="09236257"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Supporting References</w:t>
            </w:r>
          </w:p>
        </w:tc>
      </w:tr>
      <w:tr w:rsidR="00221CFA" w:rsidRPr="00221CFA" w14:paraId="252D6B6D" w14:textId="77777777" w:rsidTr="004F0D2A">
        <w:trPr>
          <w:trHeight w:val="1296"/>
        </w:trPr>
        <w:tc>
          <w:tcPr>
            <w:tcW w:w="3964" w:type="dxa"/>
            <w:vAlign w:val="center"/>
          </w:tcPr>
          <w:p w14:paraId="2D942995"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Nutrient depletion in low-input millet fields</w:t>
            </w:r>
          </w:p>
        </w:tc>
        <w:tc>
          <w:tcPr>
            <w:tcW w:w="5812" w:type="dxa"/>
            <w:vAlign w:val="center"/>
          </w:tcPr>
          <w:p w14:paraId="280BF90B"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 xml:space="preserve">Millets are mainly grown on marginal, rainfed soils with minimal fertilizer use. Continuous nutrient extraction without replenishment causes persistent negative N, P, and K balances and declining soil fertility. South Asian croplands have lost several million </w:t>
            </w:r>
            <w:proofErr w:type="spellStart"/>
            <w:r w:rsidRPr="00221CFA">
              <w:rPr>
                <w:rFonts w:ascii="Arial" w:eastAsia="Times New Roman" w:hAnsi="Arial" w:cs="Arial"/>
                <w:sz w:val="20"/>
                <w:szCs w:val="24"/>
                <w:lang w:eastAsia="en-IN"/>
              </w:rPr>
              <w:t>tonnes</w:t>
            </w:r>
            <w:proofErr w:type="spellEnd"/>
            <w:r w:rsidRPr="00221CFA">
              <w:rPr>
                <w:rFonts w:ascii="Arial" w:eastAsia="Times New Roman" w:hAnsi="Arial" w:cs="Arial"/>
                <w:sz w:val="20"/>
                <w:szCs w:val="24"/>
                <w:lang w:eastAsia="en-IN"/>
              </w:rPr>
              <w:t xml:space="preserve"> of N and tens of millions of </w:t>
            </w:r>
            <w:proofErr w:type="spellStart"/>
            <w:r w:rsidRPr="00221CFA">
              <w:rPr>
                <w:rFonts w:ascii="Arial" w:eastAsia="Times New Roman" w:hAnsi="Arial" w:cs="Arial"/>
                <w:sz w:val="20"/>
                <w:szCs w:val="24"/>
                <w:lang w:eastAsia="en-IN"/>
              </w:rPr>
              <w:t>tonnes</w:t>
            </w:r>
            <w:proofErr w:type="spellEnd"/>
            <w:r w:rsidRPr="00221CFA">
              <w:rPr>
                <w:rFonts w:ascii="Arial" w:eastAsia="Times New Roman" w:hAnsi="Arial" w:cs="Arial"/>
                <w:sz w:val="20"/>
                <w:szCs w:val="24"/>
                <w:lang w:eastAsia="en-IN"/>
              </w:rPr>
              <w:t xml:space="preserve"> of P and K over the last five decades.</w:t>
            </w:r>
          </w:p>
        </w:tc>
        <w:tc>
          <w:tcPr>
            <w:tcW w:w="3364" w:type="dxa"/>
            <w:vAlign w:val="center"/>
          </w:tcPr>
          <w:p w14:paraId="6E5DF283"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Shah &amp; Wu (2019); FAO &amp; Global Soil Partnership (2022); Pathak et al. (2010)</w:t>
            </w:r>
          </w:p>
        </w:tc>
      </w:tr>
      <w:tr w:rsidR="00221CFA" w:rsidRPr="00221CFA" w14:paraId="0882FD3B" w14:textId="77777777" w:rsidTr="004F0D2A">
        <w:trPr>
          <w:trHeight w:val="864"/>
        </w:trPr>
        <w:tc>
          <w:tcPr>
            <w:tcW w:w="3964" w:type="dxa"/>
            <w:vAlign w:val="center"/>
          </w:tcPr>
          <w:p w14:paraId="5A7EF45C"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Organic matter scarcity</w:t>
            </w:r>
          </w:p>
        </w:tc>
        <w:tc>
          <w:tcPr>
            <w:tcW w:w="5812" w:type="dxa"/>
            <w:vAlign w:val="center"/>
          </w:tcPr>
          <w:p w14:paraId="53715D5D"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Limited addition of manures and residues leads to poor soil organic carbon (&lt;0.4 %) and weak aggregate stability in millet regions. Soil Health Card data show widespread N and organic C deficiency in dryland states.</w:t>
            </w:r>
          </w:p>
        </w:tc>
        <w:tc>
          <w:tcPr>
            <w:tcW w:w="3364" w:type="dxa"/>
            <w:vAlign w:val="center"/>
          </w:tcPr>
          <w:p w14:paraId="3F17A0DC"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ICAR–IIMR (2023); FAO &amp; Global Soil Partnership (2022)</w:t>
            </w:r>
          </w:p>
        </w:tc>
      </w:tr>
      <w:tr w:rsidR="00221CFA" w:rsidRPr="00221CFA" w14:paraId="1A81DB5B" w14:textId="77777777" w:rsidTr="004F0D2A">
        <w:trPr>
          <w:trHeight w:val="972"/>
        </w:trPr>
        <w:tc>
          <w:tcPr>
            <w:tcW w:w="3964" w:type="dxa"/>
            <w:vAlign w:val="center"/>
          </w:tcPr>
          <w:p w14:paraId="243963BA"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Imbalanced chemical fertilizer use</w:t>
            </w:r>
          </w:p>
        </w:tc>
        <w:tc>
          <w:tcPr>
            <w:tcW w:w="5812" w:type="dxa"/>
            <w:vAlign w:val="center"/>
          </w:tcPr>
          <w:p w14:paraId="48B39F40"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Over-reliance on urea and under-application of P and K reduce nutrient-use efficiency (NUE &lt; 30 %), acidify soils, and accelerate leaching losses. Productivity gains become dependent on higher fertilizer doses—a “nutrient trap.”</w:t>
            </w:r>
          </w:p>
        </w:tc>
        <w:tc>
          <w:tcPr>
            <w:tcW w:w="3364" w:type="dxa"/>
            <w:vAlign w:val="center"/>
          </w:tcPr>
          <w:p w14:paraId="2DF13B6F"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67D8">
              <w:rPr>
                <w:rFonts w:ascii="Arial" w:eastAsia="Times New Roman" w:hAnsi="Arial" w:cs="Arial"/>
                <w:sz w:val="20"/>
                <w:szCs w:val="24"/>
                <w:lang w:val="nl-BE" w:eastAsia="en-IN"/>
              </w:rPr>
              <w:t xml:space="preserve">Gao et al. (2020); Han et al. </w:t>
            </w:r>
            <w:r w:rsidRPr="00221CFA">
              <w:rPr>
                <w:rFonts w:ascii="Arial" w:eastAsia="Times New Roman" w:hAnsi="Arial" w:cs="Arial"/>
                <w:sz w:val="20"/>
                <w:szCs w:val="24"/>
                <w:lang w:eastAsia="en-IN"/>
              </w:rPr>
              <w:t>(2023); Shah &amp; Wu (2019)</w:t>
            </w:r>
          </w:p>
        </w:tc>
      </w:tr>
      <w:tr w:rsidR="00221CFA" w:rsidRPr="00221CFA" w14:paraId="7DB1C621" w14:textId="77777777" w:rsidTr="004F0D2A">
        <w:trPr>
          <w:trHeight w:val="540"/>
        </w:trPr>
        <w:tc>
          <w:tcPr>
            <w:tcW w:w="3964" w:type="dxa"/>
            <w:vAlign w:val="center"/>
          </w:tcPr>
          <w:p w14:paraId="02C8F739"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Soil biological degradation</w:t>
            </w:r>
          </w:p>
        </w:tc>
        <w:tc>
          <w:tcPr>
            <w:tcW w:w="5812" w:type="dxa"/>
            <w:vAlign w:val="center"/>
          </w:tcPr>
          <w:p w14:paraId="72C0EBEB"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Long-term NPK-only fertilization lowers microbial diversity and enzyme activities (urease, dehydrogenase, phosphatase) by 20–40 %, reducing natural nutrient cycling capacity. Beneficial fungi and PGPR populations decline sharply.</w:t>
            </w:r>
          </w:p>
        </w:tc>
        <w:tc>
          <w:tcPr>
            <w:tcW w:w="3364" w:type="dxa"/>
            <w:vAlign w:val="center"/>
          </w:tcPr>
          <w:p w14:paraId="6E2788A3"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67D8">
              <w:rPr>
                <w:rFonts w:ascii="Arial" w:eastAsia="Times New Roman" w:hAnsi="Arial" w:cs="Arial"/>
                <w:sz w:val="20"/>
                <w:szCs w:val="24"/>
                <w:lang w:val="nl-BE" w:eastAsia="en-IN"/>
              </w:rPr>
              <w:t xml:space="preserve">Basu et al. (2021); Aamir et al. (2020); Mitra et al. (2023); Han et al. </w:t>
            </w:r>
            <w:r w:rsidRPr="00221CFA">
              <w:rPr>
                <w:rFonts w:ascii="Arial" w:eastAsia="Times New Roman" w:hAnsi="Arial" w:cs="Arial"/>
                <w:sz w:val="20"/>
                <w:szCs w:val="24"/>
                <w:lang w:eastAsia="en-IN"/>
              </w:rPr>
              <w:t>(2023)</w:t>
            </w:r>
          </w:p>
        </w:tc>
      </w:tr>
      <w:tr w:rsidR="00221CFA" w:rsidRPr="00221CFA" w14:paraId="5FA8B2DF" w14:textId="77777777" w:rsidTr="004F0D2A">
        <w:trPr>
          <w:trHeight w:val="647"/>
        </w:trPr>
        <w:tc>
          <w:tcPr>
            <w:tcW w:w="3964" w:type="dxa"/>
            <w:vAlign w:val="center"/>
          </w:tcPr>
          <w:p w14:paraId="280AD601"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Soil physical deterioration</w:t>
            </w:r>
          </w:p>
        </w:tc>
        <w:tc>
          <w:tcPr>
            <w:tcW w:w="5812" w:type="dxa"/>
            <w:vAlign w:val="center"/>
          </w:tcPr>
          <w:p w14:paraId="42C09B23"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Continuous cultivation and low residue return cause crusting, compaction, and poor infiltration, further limiting root growth and moisture retention.</w:t>
            </w:r>
          </w:p>
        </w:tc>
        <w:tc>
          <w:tcPr>
            <w:tcW w:w="3364" w:type="dxa"/>
            <w:vAlign w:val="center"/>
          </w:tcPr>
          <w:p w14:paraId="720C5F16"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FAO &amp; Global Soil Partnership (2022); ICAR–IIMR (2023)</w:t>
            </w:r>
          </w:p>
        </w:tc>
      </w:tr>
      <w:tr w:rsidR="00221CFA" w:rsidRPr="00221CFA" w14:paraId="0D90E33E" w14:textId="77777777" w:rsidTr="004F0D2A">
        <w:trPr>
          <w:trHeight w:val="756"/>
        </w:trPr>
        <w:tc>
          <w:tcPr>
            <w:tcW w:w="3964" w:type="dxa"/>
            <w:vAlign w:val="center"/>
          </w:tcPr>
          <w:p w14:paraId="65E2F3CB"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b/>
                <w:bCs/>
                <w:sz w:val="20"/>
                <w:szCs w:val="24"/>
                <w:lang w:eastAsia="en-IN"/>
              </w:rPr>
              <w:t>Integrated nutrient management (INM) need</w:t>
            </w:r>
          </w:p>
        </w:tc>
        <w:tc>
          <w:tcPr>
            <w:tcW w:w="5812" w:type="dxa"/>
            <w:vAlign w:val="center"/>
          </w:tcPr>
          <w:p w14:paraId="4EAFAA55"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1CFA">
              <w:rPr>
                <w:rFonts w:ascii="Arial" w:eastAsia="Times New Roman" w:hAnsi="Arial" w:cs="Arial"/>
                <w:sz w:val="20"/>
                <w:szCs w:val="24"/>
                <w:lang w:eastAsia="en-IN"/>
              </w:rPr>
              <w:t>Combining organic amendments and biofertilizers with balanced mineral inputs can restore nutrient balance, enhance microbial activity, and improve soil structure and water use efficiency.</w:t>
            </w:r>
          </w:p>
        </w:tc>
        <w:tc>
          <w:tcPr>
            <w:tcW w:w="3364" w:type="dxa"/>
            <w:vAlign w:val="center"/>
          </w:tcPr>
          <w:p w14:paraId="442654D2" w14:textId="77777777" w:rsidR="004F0D2A" w:rsidRPr="00221CFA" w:rsidRDefault="004F0D2A" w:rsidP="00DE6C02">
            <w:pPr>
              <w:spacing w:before="100" w:beforeAutospacing="1" w:after="100" w:afterAutospacing="1" w:line="240" w:lineRule="auto"/>
              <w:jc w:val="center"/>
              <w:outlineLvl w:val="2"/>
              <w:rPr>
                <w:rFonts w:ascii="Arial" w:eastAsia="Times New Roman" w:hAnsi="Arial" w:cs="Arial"/>
                <w:b/>
                <w:bCs/>
                <w:sz w:val="20"/>
                <w:szCs w:val="20"/>
                <w:lang w:eastAsia="en-IN"/>
              </w:rPr>
            </w:pPr>
            <w:r w:rsidRPr="002267D8">
              <w:rPr>
                <w:rFonts w:ascii="Arial" w:eastAsia="Times New Roman" w:hAnsi="Arial" w:cs="Arial"/>
                <w:sz w:val="20"/>
                <w:szCs w:val="24"/>
                <w:lang w:val="nl-BE" w:eastAsia="en-IN"/>
              </w:rPr>
              <w:t xml:space="preserve">FAO (2023); ICAR–IIMR (2023); Basu et al. </w:t>
            </w:r>
            <w:r w:rsidRPr="00221CFA">
              <w:rPr>
                <w:rFonts w:ascii="Arial" w:eastAsia="Times New Roman" w:hAnsi="Arial" w:cs="Arial"/>
                <w:sz w:val="20"/>
                <w:szCs w:val="24"/>
                <w:lang w:eastAsia="en-IN"/>
              </w:rPr>
              <w:t>(2021)</w:t>
            </w:r>
          </w:p>
        </w:tc>
      </w:tr>
    </w:tbl>
    <w:p w14:paraId="0A6A8B08" w14:textId="77777777" w:rsidR="004F0D2A" w:rsidRPr="00221CFA" w:rsidRDefault="004F0D2A" w:rsidP="004F0D2A">
      <w:pPr>
        <w:pStyle w:val="NormalWeb"/>
        <w:jc w:val="both"/>
        <w:rPr>
          <w:rFonts w:ascii="Arial" w:hAnsi="Arial" w:cs="Arial"/>
          <w:sz w:val="20"/>
          <w:szCs w:val="20"/>
        </w:rPr>
        <w:sectPr w:rsidR="004F0D2A" w:rsidRPr="00221CFA" w:rsidSect="004F0D2A">
          <w:pgSz w:w="16838" w:h="11906" w:orient="landscape"/>
          <w:pgMar w:top="1440" w:right="1440" w:bottom="1440" w:left="1440" w:header="708" w:footer="708" w:gutter="0"/>
          <w:cols w:space="708"/>
          <w:docGrid w:linePitch="360"/>
        </w:sectPr>
      </w:pPr>
    </w:p>
    <w:p w14:paraId="34646CA7" w14:textId="77777777" w:rsidR="00BA21E6" w:rsidRPr="00221CFA" w:rsidRDefault="00BA21E6" w:rsidP="00A64DC5">
      <w:pPr>
        <w:pStyle w:val="Heading3"/>
        <w:jc w:val="both"/>
        <w:rPr>
          <w:rStyle w:val="Strong"/>
          <w:rFonts w:ascii="Arial" w:hAnsi="Arial" w:cs="Arial"/>
          <w:b/>
          <w:bCs/>
          <w:noProof/>
          <w:sz w:val="24"/>
          <w:szCs w:val="20"/>
        </w:rPr>
      </w:pPr>
    </w:p>
    <w:p w14:paraId="0BA905BB" w14:textId="77777777" w:rsidR="00A64DC5" w:rsidRPr="00221CFA" w:rsidRDefault="00BA21E6" w:rsidP="00A64DC5">
      <w:pPr>
        <w:pStyle w:val="Heading3"/>
        <w:jc w:val="both"/>
        <w:rPr>
          <w:rStyle w:val="Strong"/>
          <w:rFonts w:ascii="Arial" w:hAnsi="Arial" w:cs="Arial"/>
          <w:b/>
          <w:bCs/>
          <w:sz w:val="24"/>
          <w:szCs w:val="20"/>
        </w:rPr>
      </w:pPr>
      <w:r w:rsidRPr="00221CFA">
        <w:rPr>
          <w:rStyle w:val="Strong"/>
          <w:rFonts w:ascii="Arial" w:hAnsi="Arial" w:cs="Arial"/>
          <w:b/>
          <w:bCs/>
          <w:noProof/>
          <w:sz w:val="24"/>
          <w:szCs w:val="20"/>
          <w:lang w:val="en-US" w:eastAsia="en-US"/>
        </w:rPr>
        <w:drawing>
          <wp:inline distT="0" distB="0" distL="0" distR="0" wp14:anchorId="779263A9" wp14:editId="460653BD">
            <wp:extent cx="5727700" cy="40957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rotWithShape="1">
                    <a:blip r:embed="rId13">
                      <a:extLst>
                        <a:ext uri="{28A0092B-C50C-407E-A947-70E740481C1C}">
                          <a14:useLocalDpi xmlns:a14="http://schemas.microsoft.com/office/drawing/2010/main" val="0"/>
                        </a:ext>
                      </a:extLst>
                    </a:blip>
                    <a:srcRect t="2578" b="9905"/>
                    <a:stretch/>
                  </pic:blipFill>
                  <pic:spPr bwMode="auto">
                    <a:xfrm>
                      <a:off x="0" y="0"/>
                      <a:ext cx="57277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6E4DA036" w14:textId="77777777" w:rsidR="00BA21E6" w:rsidRPr="00221CFA" w:rsidRDefault="00BA21E6" w:rsidP="00BA21E6">
      <w:pPr>
        <w:pStyle w:val="NoSpacing"/>
        <w:jc w:val="center"/>
        <w:rPr>
          <w:rStyle w:val="Strong"/>
          <w:rFonts w:ascii="Arial" w:hAnsi="Arial" w:cs="Arial"/>
          <w:bCs w:val="0"/>
          <w:sz w:val="20"/>
          <w:szCs w:val="20"/>
        </w:rPr>
      </w:pPr>
      <w:r w:rsidRPr="00221CFA">
        <w:rPr>
          <w:rStyle w:val="Strong"/>
          <w:rFonts w:ascii="Arial" w:hAnsi="Arial" w:cs="Arial"/>
          <w:bCs w:val="0"/>
          <w:sz w:val="20"/>
          <w:szCs w:val="20"/>
        </w:rPr>
        <w:t>Fig. 1: Biofertilizers Boost Millet Growth: Species-Specific Benefits</w:t>
      </w:r>
    </w:p>
    <w:p w14:paraId="33082A2F" w14:textId="77777777" w:rsidR="00414543" w:rsidRPr="00221CFA" w:rsidRDefault="009664D1" w:rsidP="009664D1">
      <w:pPr>
        <w:pStyle w:val="Heading3"/>
        <w:ind w:firstLine="720"/>
        <w:jc w:val="both"/>
        <w:rPr>
          <w:rFonts w:ascii="Arial" w:hAnsi="Arial" w:cs="Arial"/>
          <w:sz w:val="24"/>
          <w:szCs w:val="20"/>
        </w:rPr>
      </w:pPr>
      <w:r w:rsidRPr="00221CFA">
        <w:rPr>
          <w:rStyle w:val="Strong"/>
          <w:rFonts w:ascii="Arial" w:hAnsi="Arial" w:cs="Arial"/>
          <w:b/>
          <w:bCs/>
          <w:sz w:val="24"/>
          <w:szCs w:val="20"/>
        </w:rPr>
        <w:t>4</w:t>
      </w:r>
      <w:r w:rsidR="00414543" w:rsidRPr="00221CFA">
        <w:rPr>
          <w:rStyle w:val="Strong"/>
          <w:rFonts w:ascii="Arial" w:hAnsi="Arial" w:cs="Arial"/>
          <w:b/>
          <w:bCs/>
          <w:sz w:val="24"/>
          <w:szCs w:val="20"/>
        </w:rPr>
        <w:t>. Integrating Biofertilizers with Nutrient Management Systems</w:t>
      </w:r>
    </w:p>
    <w:p w14:paraId="5B471C92"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4</w:t>
      </w:r>
      <w:r w:rsidR="007D1F72" w:rsidRPr="00221CFA">
        <w:rPr>
          <w:rStyle w:val="Strong"/>
          <w:rFonts w:ascii="Arial" w:hAnsi="Arial" w:cs="Arial"/>
          <w:b/>
          <w:bCs/>
          <w:sz w:val="20"/>
          <w:szCs w:val="20"/>
        </w:rPr>
        <w:t>.1. Combined Use with Organic Manures and Composts</w:t>
      </w:r>
    </w:p>
    <w:p w14:paraId="52200287" w14:textId="5BF8CF0E"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 xml:space="preserve">Integrating biofertilizers with organic amendments such as farmyard manure (FYM), compost, green manures, or crop residues creates a synergistic system that enhances soil fertility and productivity in millet-based cropping </w:t>
      </w:r>
      <w:r w:rsidRPr="000F7E9D">
        <w:rPr>
          <w:rFonts w:ascii="Arial" w:hAnsi="Arial" w:cs="Arial"/>
          <w:sz w:val="20"/>
          <w:szCs w:val="20"/>
          <w:highlight w:val="yellow"/>
        </w:rPr>
        <w:t>systems</w:t>
      </w:r>
      <w:r w:rsidR="000F7E9D" w:rsidRPr="000F7E9D">
        <w:rPr>
          <w:rFonts w:ascii="Arial" w:hAnsi="Arial" w:cs="Arial"/>
          <w:sz w:val="20"/>
          <w:szCs w:val="20"/>
          <w:highlight w:val="yellow"/>
        </w:rPr>
        <w:t xml:space="preserve"> (Kumari et al., 2023)</w:t>
      </w:r>
      <w:r w:rsidRPr="000F7E9D">
        <w:rPr>
          <w:rFonts w:ascii="Arial" w:hAnsi="Arial" w:cs="Arial"/>
          <w:sz w:val="20"/>
          <w:szCs w:val="20"/>
          <w:highlight w:val="yellow"/>
        </w:rPr>
        <w:t>.</w:t>
      </w:r>
      <w:r w:rsidRPr="00221CFA">
        <w:rPr>
          <w:rFonts w:ascii="Arial" w:hAnsi="Arial" w:cs="Arial"/>
          <w:sz w:val="20"/>
          <w:szCs w:val="20"/>
        </w:rPr>
        <w:t xml:space="preserve"> Organic manures provide the carbon and energy substrates essential for microbial proliferation, while biofertilizers supply specific functional microorganisms that accelerate nutrient transformation and mineralization processes.</w:t>
      </w:r>
      <w:r w:rsidR="009664D1" w:rsidRPr="00221CFA">
        <w:rPr>
          <w:rFonts w:ascii="Arial" w:hAnsi="Arial" w:cs="Arial"/>
          <w:sz w:val="20"/>
          <w:szCs w:val="20"/>
        </w:rPr>
        <w:t xml:space="preserve"> </w:t>
      </w:r>
      <w:r w:rsidRPr="00221CFA">
        <w:rPr>
          <w:rFonts w:ascii="Arial" w:hAnsi="Arial" w:cs="Arial"/>
          <w:sz w:val="20"/>
          <w:szCs w:val="20"/>
        </w:rPr>
        <w:t xml:space="preserve">The decomposition of organic residues releases humic substances and low-molecular-weight organic acids that, in turn, improve the survival and efficiency of inoculated microbes. For instance, co-application of FYM with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and phosphate-solubilizing bacteria (PSB) in pearl millet has been shown to increase plant height, leaf area, and dry matter accumulation by </w:t>
      </w:r>
      <w:r w:rsidRPr="00221CFA">
        <w:rPr>
          <w:rStyle w:val="Strong"/>
          <w:rFonts w:ascii="Arial" w:hAnsi="Arial" w:cs="Arial"/>
          <w:b w:val="0"/>
          <w:sz w:val="20"/>
          <w:szCs w:val="20"/>
        </w:rPr>
        <w:t>20–30</w:t>
      </w:r>
      <w:r w:rsidRPr="00221CFA">
        <w:rPr>
          <w:rStyle w:val="Strong"/>
          <w:rFonts w:ascii="Arial" w:hAnsi="Arial" w:cs="Arial"/>
          <w:b w:val="0"/>
          <w:strike/>
          <w:sz w:val="20"/>
          <w:szCs w:val="20"/>
        </w:rPr>
        <w:t xml:space="preserve"> </w:t>
      </w:r>
      <w:r w:rsidRPr="00221CFA">
        <w:rPr>
          <w:rStyle w:val="Strong"/>
          <w:rFonts w:ascii="Arial" w:hAnsi="Arial" w:cs="Arial"/>
          <w:b w:val="0"/>
          <w:sz w:val="20"/>
          <w:szCs w:val="20"/>
        </w:rPr>
        <w:t>%</w:t>
      </w:r>
      <w:r w:rsidRPr="00221CFA">
        <w:rPr>
          <w:rFonts w:ascii="Arial" w:hAnsi="Arial" w:cs="Arial"/>
          <w:sz w:val="20"/>
          <w:szCs w:val="20"/>
        </w:rPr>
        <w:t xml:space="preserve"> </w:t>
      </w:r>
      <w:r w:rsidRPr="00221CFA">
        <w:rPr>
          <w:rFonts w:ascii="Arial" w:hAnsi="Arial" w:cs="Arial"/>
          <w:sz w:val="20"/>
          <w:szCs w:val="20"/>
          <w:highlight w:val="yellow"/>
        </w:rPr>
        <w:t xml:space="preserve">compared </w:t>
      </w:r>
      <w:r w:rsidR="002F35EA" w:rsidRPr="00221CFA">
        <w:rPr>
          <w:rFonts w:ascii="Arial" w:hAnsi="Arial" w:cs="Arial"/>
          <w:sz w:val="20"/>
          <w:szCs w:val="20"/>
          <w:highlight w:val="yellow"/>
        </w:rPr>
        <w:t xml:space="preserve">with </w:t>
      </w:r>
      <w:r w:rsidRPr="00221CFA">
        <w:rPr>
          <w:rFonts w:ascii="Arial" w:hAnsi="Arial" w:cs="Arial"/>
          <w:sz w:val="20"/>
          <w:szCs w:val="20"/>
        </w:rPr>
        <w:t xml:space="preserve">mineral fertilizers alone. Studies conducted in semi-arid regions of Rajasthan and Karnataka reported that applying </w:t>
      </w:r>
      <w:r w:rsidRPr="00221CFA">
        <w:rPr>
          <w:rStyle w:val="Strong"/>
          <w:rFonts w:ascii="Arial" w:hAnsi="Arial" w:cs="Arial"/>
          <w:b w:val="0"/>
          <w:sz w:val="20"/>
          <w:szCs w:val="20"/>
        </w:rPr>
        <w:t>75 % of the recommended nitrogen dose</w:t>
      </w:r>
      <w:r w:rsidRPr="00221CFA">
        <w:rPr>
          <w:rFonts w:ascii="Arial" w:hAnsi="Arial" w:cs="Arial"/>
          <w:b/>
          <w:sz w:val="20"/>
          <w:szCs w:val="20"/>
        </w:rPr>
        <w:t xml:space="preserve"> </w:t>
      </w:r>
      <w:r w:rsidRPr="00221CFA">
        <w:rPr>
          <w:rFonts w:ascii="Arial" w:hAnsi="Arial" w:cs="Arial"/>
          <w:sz w:val="20"/>
          <w:szCs w:val="20"/>
        </w:rPr>
        <w:t>through FYM combined with microbial inoculants produced yields statistically equivalent to full fertilizer doses, with the added benefits of improved soil structure and organic carbon content.</w:t>
      </w:r>
    </w:p>
    <w:p w14:paraId="310DC7B1" w14:textId="776521A7" w:rsidR="007D1F72" w:rsidRPr="00221CFA" w:rsidRDefault="007D1F72" w:rsidP="003A178B">
      <w:pPr>
        <w:pStyle w:val="NormalWeb"/>
        <w:ind w:firstLine="720"/>
        <w:jc w:val="both"/>
        <w:rPr>
          <w:rFonts w:ascii="Arial" w:hAnsi="Arial" w:cs="Arial"/>
          <w:sz w:val="20"/>
          <w:szCs w:val="20"/>
        </w:rPr>
      </w:pPr>
      <w:r w:rsidRPr="00221CFA">
        <w:rPr>
          <w:rFonts w:ascii="Arial" w:hAnsi="Arial" w:cs="Arial"/>
          <w:sz w:val="20"/>
          <w:szCs w:val="20"/>
        </w:rPr>
        <w:t xml:space="preserve">Similarly, finger millet inoculated with </w:t>
      </w:r>
      <w:r w:rsidRPr="00221CFA">
        <w:rPr>
          <w:rStyle w:val="Emphasis"/>
          <w:rFonts w:ascii="Arial" w:hAnsi="Arial" w:cs="Arial"/>
          <w:sz w:val="20"/>
          <w:szCs w:val="20"/>
        </w:rPr>
        <w:t>Azotobacter</w:t>
      </w:r>
      <w:r w:rsidRPr="00221CFA">
        <w:rPr>
          <w:rFonts w:ascii="Arial" w:hAnsi="Arial" w:cs="Arial"/>
          <w:sz w:val="20"/>
          <w:szCs w:val="20"/>
        </w:rPr>
        <w:t xml:space="preserve"> and </w:t>
      </w:r>
      <w:r w:rsidRPr="00221CFA">
        <w:rPr>
          <w:rStyle w:val="Emphasis"/>
          <w:rFonts w:ascii="Arial" w:hAnsi="Arial" w:cs="Arial"/>
          <w:sz w:val="20"/>
          <w:szCs w:val="20"/>
        </w:rPr>
        <w:t>Rhizobium</w:t>
      </w:r>
      <w:r w:rsidR="0079247F" w:rsidRPr="00221CFA">
        <w:rPr>
          <w:rStyle w:val="Emphasis"/>
          <w:rFonts w:ascii="Arial" w:hAnsi="Arial" w:cs="Arial"/>
          <w:sz w:val="20"/>
          <w:szCs w:val="20"/>
        </w:rPr>
        <w:t>,</w:t>
      </w:r>
      <w:r w:rsidRPr="00221CFA">
        <w:rPr>
          <w:rFonts w:ascii="Arial" w:hAnsi="Arial" w:cs="Arial"/>
          <w:sz w:val="20"/>
          <w:szCs w:val="20"/>
        </w:rPr>
        <w:t xml:space="preserve"> along with composted biomass</w:t>
      </w:r>
      <w:r w:rsidR="0079247F" w:rsidRPr="00221CFA">
        <w:rPr>
          <w:rFonts w:ascii="Arial" w:hAnsi="Arial" w:cs="Arial"/>
          <w:sz w:val="20"/>
          <w:szCs w:val="20"/>
        </w:rPr>
        <w:t>,</w:t>
      </w:r>
      <w:r w:rsidRPr="00221CFA">
        <w:rPr>
          <w:rFonts w:ascii="Arial" w:hAnsi="Arial" w:cs="Arial"/>
          <w:sz w:val="20"/>
          <w:szCs w:val="20"/>
        </w:rPr>
        <w:t xml:space="preserve"> recorded </w:t>
      </w:r>
      <w:r w:rsidRPr="00221CFA">
        <w:rPr>
          <w:rStyle w:val="Strong"/>
          <w:rFonts w:ascii="Arial" w:hAnsi="Arial" w:cs="Arial"/>
          <w:b w:val="0"/>
          <w:sz w:val="20"/>
          <w:szCs w:val="20"/>
        </w:rPr>
        <w:t>higher root colonization, chlorophyll content, and nutrient uptake</w:t>
      </w:r>
      <w:r w:rsidRPr="00221CFA">
        <w:rPr>
          <w:rFonts w:ascii="Arial" w:hAnsi="Arial" w:cs="Arial"/>
          <w:sz w:val="20"/>
          <w:szCs w:val="20"/>
        </w:rPr>
        <w:t xml:space="preserve"> than either treatment alone. The organic–biofertilizer combination also enhances water retention capacity and soil </w:t>
      </w:r>
      <w:r w:rsidRPr="00221CFA">
        <w:rPr>
          <w:rFonts w:ascii="Arial" w:hAnsi="Arial" w:cs="Arial"/>
          <w:sz w:val="20"/>
          <w:szCs w:val="20"/>
          <w:highlight w:val="yellow"/>
        </w:rPr>
        <w:t>pH</w:t>
      </w:r>
      <w:r w:rsidR="00492F17" w:rsidRPr="00221CFA">
        <w:rPr>
          <w:rFonts w:ascii="Arial" w:hAnsi="Arial" w:cs="Arial"/>
          <w:sz w:val="20"/>
          <w:szCs w:val="20"/>
          <w:highlight w:val="yellow"/>
        </w:rPr>
        <w:t xml:space="preserve"> buffering</w:t>
      </w:r>
      <w:r w:rsidRPr="00221CFA">
        <w:rPr>
          <w:rFonts w:ascii="Arial" w:hAnsi="Arial" w:cs="Arial"/>
          <w:sz w:val="20"/>
          <w:szCs w:val="20"/>
          <w:highlight w:val="yellow"/>
        </w:rPr>
        <w:t xml:space="preserve">, </w:t>
      </w:r>
      <w:r w:rsidRPr="00221CFA">
        <w:rPr>
          <w:rFonts w:ascii="Arial" w:hAnsi="Arial" w:cs="Arial"/>
          <w:sz w:val="20"/>
          <w:szCs w:val="20"/>
        </w:rPr>
        <w:t xml:space="preserve">which is particularly advantageous in the light-textured, nutrient-poor soils typical of millet-growing </w:t>
      </w:r>
      <w:r w:rsidRPr="000F7E9D">
        <w:rPr>
          <w:rFonts w:ascii="Arial" w:hAnsi="Arial" w:cs="Arial"/>
          <w:sz w:val="20"/>
          <w:szCs w:val="20"/>
          <w:highlight w:val="yellow"/>
        </w:rPr>
        <w:t>regions</w:t>
      </w:r>
      <w:r w:rsidR="00E12FFA" w:rsidRPr="000F7E9D">
        <w:rPr>
          <w:rFonts w:ascii="Arial" w:hAnsi="Arial" w:cs="Arial"/>
          <w:sz w:val="20"/>
          <w:szCs w:val="20"/>
          <w:highlight w:val="yellow"/>
        </w:rPr>
        <w:t xml:space="preserve"> (Sham et al., 2024)</w:t>
      </w:r>
      <w:r w:rsidRPr="000F7E9D">
        <w:rPr>
          <w:rFonts w:ascii="Arial" w:hAnsi="Arial" w:cs="Arial"/>
          <w:sz w:val="20"/>
          <w:szCs w:val="20"/>
          <w:highlight w:val="yellow"/>
        </w:rPr>
        <w:t>.</w:t>
      </w:r>
      <w:r w:rsidR="009664D1" w:rsidRPr="000F7E9D">
        <w:rPr>
          <w:rFonts w:ascii="Arial" w:hAnsi="Arial" w:cs="Arial"/>
          <w:sz w:val="20"/>
          <w:szCs w:val="20"/>
          <w:highlight w:val="yellow"/>
        </w:rPr>
        <w:t xml:space="preserve"> </w:t>
      </w:r>
      <w:r w:rsidRPr="000F7E9D">
        <w:rPr>
          <w:rFonts w:ascii="Arial" w:hAnsi="Arial" w:cs="Arial"/>
          <w:sz w:val="20"/>
          <w:szCs w:val="20"/>
          <w:highlight w:val="yellow"/>
        </w:rPr>
        <w:t>Thus</w:t>
      </w:r>
      <w:r w:rsidRPr="00221CFA">
        <w:rPr>
          <w:rFonts w:ascii="Arial" w:hAnsi="Arial" w:cs="Arial"/>
          <w:sz w:val="20"/>
          <w:szCs w:val="20"/>
        </w:rPr>
        <w:t>, organic matter acts as a medium that sustains the microbial population, moderates nutrient release, and provides a slow</w:t>
      </w:r>
      <w:r w:rsidR="00492F17" w:rsidRPr="00221CFA">
        <w:rPr>
          <w:rFonts w:ascii="Arial" w:hAnsi="Arial" w:cs="Arial"/>
          <w:sz w:val="20"/>
          <w:szCs w:val="20"/>
        </w:rPr>
        <w:t>,</w:t>
      </w:r>
      <w:r w:rsidRPr="00221CFA">
        <w:rPr>
          <w:rFonts w:ascii="Arial" w:hAnsi="Arial" w:cs="Arial"/>
          <w:sz w:val="20"/>
          <w:szCs w:val="20"/>
        </w:rPr>
        <w:t xml:space="preserve"> steady supply of nutrients</w:t>
      </w:r>
      <w:r w:rsidR="00492F17" w:rsidRPr="00221CFA">
        <w:rPr>
          <w:rFonts w:ascii="Arial" w:hAnsi="Arial" w:cs="Arial"/>
          <w:sz w:val="20"/>
          <w:szCs w:val="20"/>
        </w:rPr>
        <w:t>,</w:t>
      </w:r>
      <w:r w:rsidRPr="00221CFA">
        <w:rPr>
          <w:rFonts w:ascii="Arial" w:hAnsi="Arial" w:cs="Arial"/>
          <w:sz w:val="20"/>
          <w:szCs w:val="20"/>
        </w:rPr>
        <w:t xml:space="preserve"> leading to improved nutrient use efficiency and sustained crop growth under rainfed conditions.</w:t>
      </w:r>
    </w:p>
    <w:p w14:paraId="78B29230"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lastRenderedPageBreak/>
        <w:t>4</w:t>
      </w:r>
      <w:r w:rsidR="007D1F72" w:rsidRPr="00221CFA">
        <w:rPr>
          <w:rStyle w:val="Strong"/>
          <w:rFonts w:ascii="Arial" w:hAnsi="Arial" w:cs="Arial"/>
          <w:b/>
          <w:bCs/>
          <w:sz w:val="20"/>
          <w:szCs w:val="20"/>
        </w:rPr>
        <w:t>.2. Interaction with Chemical Fertilizers: Optimization and Substitution Levels</w:t>
      </w:r>
    </w:p>
    <w:p w14:paraId="759F20D0" w14:textId="5AF6656A" w:rsidR="007D1F72" w:rsidRPr="00221CFA" w:rsidRDefault="007D1F72">
      <w:pPr>
        <w:pStyle w:val="NormalWeb"/>
        <w:jc w:val="both"/>
        <w:rPr>
          <w:rFonts w:ascii="Arial" w:hAnsi="Arial" w:cs="Arial"/>
          <w:sz w:val="20"/>
          <w:szCs w:val="20"/>
        </w:rPr>
      </w:pPr>
      <w:r w:rsidRPr="00221CFA">
        <w:rPr>
          <w:rFonts w:ascii="Arial" w:hAnsi="Arial" w:cs="Arial"/>
          <w:sz w:val="20"/>
          <w:szCs w:val="20"/>
        </w:rPr>
        <w:t xml:space="preserve">The integration of biofertilizers with mineral fertilizers aims not to eliminate chemical inputs but to optimize their use and minimize environmental losses. Numerous field experiments have shown that partial substitution of synthetic fertilizers with biofertilizers (and organics) can maintain or </w:t>
      </w:r>
      <w:r w:rsidRPr="00221CFA">
        <w:rPr>
          <w:rFonts w:ascii="Arial" w:hAnsi="Arial" w:cs="Arial"/>
          <w:sz w:val="20"/>
          <w:szCs w:val="20"/>
          <w:highlight w:val="yellow"/>
        </w:rPr>
        <w:t xml:space="preserve">even </w:t>
      </w:r>
      <w:r w:rsidR="00492F17" w:rsidRPr="00221CFA">
        <w:rPr>
          <w:rFonts w:ascii="Arial" w:hAnsi="Arial" w:cs="Arial"/>
          <w:sz w:val="20"/>
          <w:szCs w:val="20"/>
          <w:highlight w:val="yellow"/>
        </w:rPr>
        <w:t>increase</w:t>
      </w:r>
      <w:r w:rsidRPr="00221CFA">
        <w:rPr>
          <w:rFonts w:ascii="Arial" w:hAnsi="Arial" w:cs="Arial"/>
          <w:sz w:val="20"/>
          <w:szCs w:val="20"/>
          <w:highlight w:val="yellow"/>
        </w:rPr>
        <w:t xml:space="preserve"> </w:t>
      </w:r>
      <w:r w:rsidR="00492F17" w:rsidRPr="00221CFA">
        <w:rPr>
          <w:rFonts w:ascii="Arial" w:hAnsi="Arial" w:cs="Arial"/>
          <w:sz w:val="20"/>
          <w:szCs w:val="20"/>
          <w:highlight w:val="yellow"/>
        </w:rPr>
        <w:t>yields</w:t>
      </w:r>
      <w:r w:rsidR="00492F17" w:rsidRPr="00221CFA">
        <w:rPr>
          <w:rFonts w:ascii="Arial" w:hAnsi="Arial" w:cs="Arial"/>
          <w:sz w:val="20"/>
          <w:szCs w:val="20"/>
        </w:rPr>
        <w:t xml:space="preserve"> </w:t>
      </w:r>
      <w:r w:rsidRPr="00221CFA">
        <w:rPr>
          <w:rFonts w:ascii="Arial" w:hAnsi="Arial" w:cs="Arial"/>
          <w:sz w:val="20"/>
          <w:szCs w:val="20"/>
        </w:rPr>
        <w:t>while reducing input costs.</w:t>
      </w:r>
      <w:r w:rsidR="00492F17" w:rsidRPr="00221CFA">
        <w:rPr>
          <w:rFonts w:ascii="Arial" w:hAnsi="Arial" w:cs="Arial"/>
          <w:sz w:val="20"/>
          <w:szCs w:val="20"/>
        </w:rPr>
        <w:t xml:space="preserve"> </w:t>
      </w:r>
      <w:r w:rsidRPr="00221CFA">
        <w:rPr>
          <w:rFonts w:ascii="Arial" w:hAnsi="Arial" w:cs="Arial"/>
          <w:sz w:val="20"/>
          <w:szCs w:val="20"/>
        </w:rPr>
        <w:t xml:space="preserve">For instance, </w:t>
      </w:r>
      <w:r w:rsidRPr="00221CFA">
        <w:rPr>
          <w:rFonts w:ascii="Arial" w:hAnsi="Arial" w:cs="Arial"/>
          <w:sz w:val="20"/>
          <w:szCs w:val="20"/>
          <w:highlight w:val="yellow"/>
        </w:rPr>
        <w:t>replacing</w:t>
      </w:r>
      <w:r w:rsidRPr="00221CFA">
        <w:rPr>
          <w:rFonts w:ascii="Arial" w:hAnsi="Arial" w:cs="Arial"/>
          <w:b/>
          <w:sz w:val="20"/>
          <w:szCs w:val="20"/>
        </w:rPr>
        <w:t xml:space="preserve"> </w:t>
      </w:r>
      <w:r w:rsidRPr="00221CFA">
        <w:rPr>
          <w:rStyle w:val="Strong"/>
          <w:rFonts w:ascii="Arial" w:hAnsi="Arial" w:cs="Arial"/>
          <w:b w:val="0"/>
          <w:sz w:val="20"/>
          <w:szCs w:val="20"/>
        </w:rPr>
        <w:t>25–50 % of nitrogen and phosphorus fertilizers</w:t>
      </w:r>
      <w:r w:rsidRPr="00221CFA">
        <w:rPr>
          <w:rFonts w:ascii="Arial" w:hAnsi="Arial" w:cs="Arial"/>
          <w:sz w:val="20"/>
          <w:szCs w:val="20"/>
        </w:rPr>
        <w:t xml:space="preserve"> with biofertilizer inoculants such as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w:t>
      </w:r>
      <w:proofErr w:type="spellStart"/>
      <w:r w:rsidRPr="00221CFA">
        <w:rPr>
          <w:rStyle w:val="Emphasis"/>
          <w:rFonts w:ascii="Arial" w:hAnsi="Arial" w:cs="Arial"/>
          <w:sz w:val="20"/>
          <w:szCs w:val="20"/>
        </w:rPr>
        <w:t>Azotobacter</w:t>
      </w:r>
      <w:proofErr w:type="spellEnd"/>
      <w:r w:rsidRPr="00221CFA">
        <w:rPr>
          <w:rFonts w:ascii="Arial" w:hAnsi="Arial" w:cs="Arial"/>
          <w:sz w:val="20"/>
          <w:szCs w:val="20"/>
        </w:rPr>
        <w:t>, and PSB in pearl millet and foxtail millet systems yielded results comparable to 100 % chemical fertilizer treatments. Gao et al. (2020) and Han et al. (2023) demonstrated that biofertilizer inclusion not only sustained yields but also improved fertilizer recovery efficiency and reduced nutrient leaching.</w:t>
      </w:r>
    </w:p>
    <w:p w14:paraId="74BAC29F" w14:textId="399D73B7" w:rsidR="007D1F72" w:rsidRPr="00221CFA" w:rsidRDefault="007D1F72">
      <w:pPr>
        <w:pStyle w:val="NormalWeb"/>
        <w:ind w:firstLine="720"/>
        <w:jc w:val="both"/>
        <w:rPr>
          <w:rFonts w:ascii="Arial" w:hAnsi="Arial" w:cs="Arial"/>
          <w:sz w:val="20"/>
          <w:szCs w:val="20"/>
        </w:rPr>
      </w:pPr>
      <w:r w:rsidRPr="00221CFA">
        <w:rPr>
          <w:rFonts w:ascii="Arial" w:hAnsi="Arial" w:cs="Arial"/>
          <w:sz w:val="20"/>
          <w:szCs w:val="20"/>
        </w:rPr>
        <w:t xml:space="preserve">Long-term trials in sandy loam soils showed that millet plots treated with </w:t>
      </w:r>
      <w:r w:rsidRPr="00221CFA">
        <w:rPr>
          <w:rStyle w:val="Strong"/>
          <w:rFonts w:ascii="Arial" w:hAnsi="Arial" w:cs="Arial"/>
          <w:b w:val="0"/>
          <w:sz w:val="20"/>
          <w:szCs w:val="20"/>
          <w:highlight w:val="yellow"/>
        </w:rPr>
        <w:t>75 % NPK + biofertilizers</w:t>
      </w:r>
      <w:r w:rsidRPr="00221CFA">
        <w:rPr>
          <w:rFonts w:ascii="Arial" w:hAnsi="Arial" w:cs="Arial"/>
          <w:sz w:val="20"/>
          <w:szCs w:val="20"/>
          <w:highlight w:val="yellow"/>
        </w:rPr>
        <w:t xml:space="preserve"> </w:t>
      </w:r>
      <w:r w:rsidRPr="00221CFA">
        <w:rPr>
          <w:rFonts w:ascii="Arial" w:hAnsi="Arial" w:cs="Arial"/>
          <w:sz w:val="20"/>
          <w:szCs w:val="20"/>
        </w:rPr>
        <w:t xml:space="preserve">achieved up to </w:t>
      </w:r>
      <w:r w:rsidRPr="00221CFA">
        <w:rPr>
          <w:rStyle w:val="Strong"/>
          <w:rFonts w:ascii="Arial" w:hAnsi="Arial" w:cs="Arial"/>
          <w:b w:val="0"/>
          <w:sz w:val="20"/>
          <w:szCs w:val="20"/>
          <w:highlight w:val="yellow"/>
        </w:rPr>
        <w:t>90–95 % of full-fertilizer yield levels</w:t>
      </w:r>
      <w:r w:rsidRPr="00221CFA">
        <w:rPr>
          <w:rFonts w:ascii="Arial" w:hAnsi="Arial" w:cs="Arial"/>
          <w:sz w:val="20"/>
          <w:szCs w:val="20"/>
        </w:rPr>
        <w:t>, with an increase in soil organic carbon and microbial biomass by 10–20 % relative to chemical fertilizers alone. This substitution effect is critical in resource-poor regions, where fertilizer access is limited and cost constraints hinder full recommended dose application.</w:t>
      </w:r>
      <w:r w:rsidR="009664D1" w:rsidRPr="00221CFA">
        <w:rPr>
          <w:rFonts w:ascii="Arial" w:hAnsi="Arial" w:cs="Arial"/>
          <w:sz w:val="20"/>
          <w:szCs w:val="20"/>
        </w:rPr>
        <w:t xml:space="preserve"> </w:t>
      </w:r>
      <w:r w:rsidRPr="00221CFA">
        <w:rPr>
          <w:rFonts w:ascii="Arial" w:hAnsi="Arial" w:cs="Arial"/>
          <w:sz w:val="20"/>
          <w:szCs w:val="20"/>
        </w:rPr>
        <w:t>Moreover, balanced nutrient management through calibrated fertilizer–biofertilizer ratios prevents nutrient antagonism and ensures that both immediate and long-term nutrient requirements are met. Integrating microbial inoculants with targeted chemical fertilization</w:t>
      </w:r>
      <w:r w:rsidR="00492F17" w:rsidRPr="00221CFA">
        <w:rPr>
          <w:rFonts w:ascii="Arial" w:hAnsi="Arial" w:cs="Arial"/>
          <w:sz w:val="20"/>
          <w:szCs w:val="20"/>
        </w:rPr>
        <w:t>,</w:t>
      </w:r>
      <w:r w:rsidRPr="00221CFA">
        <w:rPr>
          <w:rFonts w:ascii="Arial" w:hAnsi="Arial" w:cs="Arial"/>
          <w:sz w:val="20"/>
          <w:szCs w:val="20"/>
        </w:rPr>
        <w:t xml:space="preserve"> therefore</w:t>
      </w:r>
      <w:r w:rsidR="00492F17" w:rsidRPr="00221CFA">
        <w:rPr>
          <w:rFonts w:ascii="Arial" w:hAnsi="Arial" w:cs="Arial"/>
          <w:sz w:val="20"/>
          <w:szCs w:val="20"/>
        </w:rPr>
        <w:t>,</w:t>
      </w:r>
      <w:r w:rsidRPr="00221CFA">
        <w:rPr>
          <w:rFonts w:ascii="Arial" w:hAnsi="Arial" w:cs="Arial"/>
          <w:sz w:val="20"/>
          <w:szCs w:val="20"/>
        </w:rPr>
        <w:t xml:space="preserve"> supports sustainable intensification</w:t>
      </w:r>
      <w:r w:rsidR="00492F17" w:rsidRPr="00221CFA">
        <w:rPr>
          <w:rFonts w:ascii="Arial" w:hAnsi="Arial" w:cs="Arial"/>
          <w:sz w:val="20"/>
          <w:szCs w:val="20"/>
        </w:rPr>
        <w:t>,</w:t>
      </w:r>
      <w:r w:rsidRPr="00221CFA">
        <w:rPr>
          <w:rFonts w:ascii="Arial" w:hAnsi="Arial" w:cs="Arial"/>
          <w:sz w:val="20"/>
          <w:szCs w:val="20"/>
        </w:rPr>
        <w:t xml:space="preserve"> achieving higher productivity with lower </w:t>
      </w:r>
      <w:r w:rsidR="00492F17" w:rsidRPr="00221CFA">
        <w:rPr>
          <w:rFonts w:ascii="Arial" w:hAnsi="Arial" w:cs="Arial"/>
          <w:sz w:val="20"/>
          <w:szCs w:val="20"/>
          <w:highlight w:val="yellow"/>
        </w:rPr>
        <w:t>dependence on external inputs</w:t>
      </w:r>
      <w:r w:rsidRPr="00221CFA">
        <w:rPr>
          <w:rFonts w:ascii="Arial" w:hAnsi="Arial" w:cs="Arial"/>
          <w:sz w:val="20"/>
          <w:szCs w:val="20"/>
          <w:highlight w:val="yellow"/>
        </w:rPr>
        <w:t>.</w:t>
      </w:r>
    </w:p>
    <w:p w14:paraId="3BC93FBA"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4</w:t>
      </w:r>
      <w:r w:rsidR="007D1F72" w:rsidRPr="00221CFA">
        <w:rPr>
          <w:rStyle w:val="Strong"/>
          <w:rFonts w:ascii="Arial" w:hAnsi="Arial" w:cs="Arial"/>
          <w:b/>
          <w:bCs/>
          <w:sz w:val="20"/>
          <w:szCs w:val="20"/>
        </w:rPr>
        <w:t>.3. Synergistic Effects in Integrated Nutrient Management (INM)</w:t>
      </w:r>
    </w:p>
    <w:p w14:paraId="329EA70D" w14:textId="7777777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Integrated Nutrient Management (INM) combines organic, inorganic, and biological sources of nutrients to optimize productivity, nutrient cycling, and soil health. Biofertilizers serve as the biological catalyst in this triad, mediating key transformations that complement organic and mineral inputs.</w:t>
      </w:r>
    </w:p>
    <w:p w14:paraId="0B7B6775" w14:textId="7777777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When used together, the components of INM exhibit strong synergism</w:t>
      </w:r>
      <w:r w:rsidR="001D1193" w:rsidRPr="00221CFA">
        <w:rPr>
          <w:rFonts w:ascii="Arial" w:hAnsi="Arial" w:cs="Arial"/>
          <w:sz w:val="20"/>
          <w:szCs w:val="20"/>
        </w:rPr>
        <w:t xml:space="preserve"> (Fig. 2)</w:t>
      </w:r>
      <w:r w:rsidRPr="00221CFA">
        <w:rPr>
          <w:rFonts w:ascii="Arial" w:hAnsi="Arial" w:cs="Arial"/>
          <w:sz w:val="20"/>
          <w:szCs w:val="20"/>
        </w:rPr>
        <w:t>:</w:t>
      </w:r>
    </w:p>
    <w:p w14:paraId="183C9CCB" w14:textId="77777777" w:rsidR="007D1F72" w:rsidRPr="00221CFA" w:rsidRDefault="007D1F72" w:rsidP="007D1F72">
      <w:pPr>
        <w:pStyle w:val="NormalWeb"/>
        <w:numPr>
          <w:ilvl w:val="0"/>
          <w:numId w:val="17"/>
        </w:numPr>
        <w:jc w:val="both"/>
        <w:rPr>
          <w:rFonts w:ascii="Arial" w:hAnsi="Arial" w:cs="Arial"/>
          <w:sz w:val="20"/>
          <w:szCs w:val="20"/>
        </w:rPr>
      </w:pPr>
      <w:r w:rsidRPr="00221CFA">
        <w:rPr>
          <w:rStyle w:val="Strong"/>
          <w:rFonts w:ascii="Arial" w:hAnsi="Arial" w:cs="Arial"/>
          <w:sz w:val="20"/>
          <w:szCs w:val="20"/>
        </w:rPr>
        <w:t>Organic matter</w:t>
      </w:r>
      <w:r w:rsidRPr="00221CFA">
        <w:rPr>
          <w:rFonts w:ascii="Arial" w:hAnsi="Arial" w:cs="Arial"/>
          <w:sz w:val="20"/>
          <w:szCs w:val="20"/>
        </w:rPr>
        <w:t xml:space="preserve"> improves microbial survival, supplies carbon, and enhances soil structure.</w:t>
      </w:r>
    </w:p>
    <w:p w14:paraId="6857CE71" w14:textId="77777777" w:rsidR="007D1F72" w:rsidRPr="00221CFA" w:rsidRDefault="007D1F72" w:rsidP="007D1F72">
      <w:pPr>
        <w:pStyle w:val="NormalWeb"/>
        <w:numPr>
          <w:ilvl w:val="0"/>
          <w:numId w:val="17"/>
        </w:numPr>
        <w:jc w:val="both"/>
        <w:rPr>
          <w:rFonts w:ascii="Arial" w:hAnsi="Arial" w:cs="Arial"/>
          <w:sz w:val="20"/>
          <w:szCs w:val="20"/>
        </w:rPr>
      </w:pPr>
      <w:r w:rsidRPr="00221CFA">
        <w:rPr>
          <w:rStyle w:val="Strong"/>
          <w:rFonts w:ascii="Arial" w:hAnsi="Arial" w:cs="Arial"/>
          <w:sz w:val="20"/>
          <w:szCs w:val="20"/>
        </w:rPr>
        <w:t>Chemical fertilizers</w:t>
      </w:r>
      <w:r w:rsidRPr="00221CFA">
        <w:rPr>
          <w:rFonts w:ascii="Arial" w:hAnsi="Arial" w:cs="Arial"/>
          <w:sz w:val="20"/>
          <w:szCs w:val="20"/>
        </w:rPr>
        <w:t xml:space="preserve"> provide an immediate supply of available nutrients for early growth.</w:t>
      </w:r>
    </w:p>
    <w:p w14:paraId="0B97B5D2" w14:textId="77777777" w:rsidR="007D1F72" w:rsidRPr="00221CFA" w:rsidRDefault="007D1F72" w:rsidP="007D1F72">
      <w:pPr>
        <w:pStyle w:val="NormalWeb"/>
        <w:numPr>
          <w:ilvl w:val="0"/>
          <w:numId w:val="17"/>
        </w:numPr>
        <w:jc w:val="both"/>
        <w:rPr>
          <w:rFonts w:ascii="Arial" w:hAnsi="Arial" w:cs="Arial"/>
          <w:sz w:val="20"/>
          <w:szCs w:val="20"/>
        </w:rPr>
      </w:pPr>
      <w:r w:rsidRPr="00221CFA">
        <w:rPr>
          <w:rStyle w:val="Strong"/>
          <w:rFonts w:ascii="Arial" w:hAnsi="Arial" w:cs="Arial"/>
          <w:sz w:val="20"/>
          <w:szCs w:val="20"/>
        </w:rPr>
        <w:t>Biofertilizers</w:t>
      </w:r>
      <w:r w:rsidRPr="00221CFA">
        <w:rPr>
          <w:rFonts w:ascii="Arial" w:hAnsi="Arial" w:cs="Arial"/>
          <w:sz w:val="20"/>
          <w:szCs w:val="20"/>
        </w:rPr>
        <w:t xml:space="preserve"> sustain nutrient availability by mobilizing bound forms and maintaining microbial activity throughout the cropping season.</w:t>
      </w:r>
    </w:p>
    <w:p w14:paraId="5626FAED" w14:textId="77777777" w:rsidR="001D1193" w:rsidRPr="00221CFA" w:rsidRDefault="001D1193" w:rsidP="001D1193">
      <w:pPr>
        <w:pStyle w:val="NoSpacing"/>
        <w:jc w:val="center"/>
      </w:pPr>
      <w:r w:rsidRPr="00221CFA">
        <w:rPr>
          <w:noProof/>
        </w:rPr>
        <w:drawing>
          <wp:inline distT="0" distB="0" distL="0" distR="0" wp14:anchorId="7BC7518C" wp14:editId="28906A89">
            <wp:extent cx="4689475"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rotWithShape="1">
                    <a:blip r:embed="rId14">
                      <a:extLst>
                        <a:ext uri="{28A0092B-C50C-407E-A947-70E740481C1C}">
                          <a14:useLocalDpi xmlns:a14="http://schemas.microsoft.com/office/drawing/2010/main" val="0"/>
                        </a:ext>
                      </a:extLst>
                    </a:blip>
                    <a:srcRect t="3770" b="18513"/>
                    <a:stretch/>
                  </pic:blipFill>
                  <pic:spPr bwMode="auto">
                    <a:xfrm>
                      <a:off x="0" y="0"/>
                      <a:ext cx="4691743" cy="3049474"/>
                    </a:xfrm>
                    <a:prstGeom prst="rect">
                      <a:avLst/>
                    </a:prstGeom>
                    <a:noFill/>
                    <a:ln>
                      <a:noFill/>
                    </a:ln>
                    <a:extLst>
                      <a:ext uri="{53640926-AAD7-44D8-BBD7-CCE9431645EC}">
                        <a14:shadowObscured xmlns:a14="http://schemas.microsoft.com/office/drawing/2010/main"/>
                      </a:ext>
                    </a:extLst>
                  </pic:spPr>
                </pic:pic>
              </a:graphicData>
            </a:graphic>
          </wp:inline>
        </w:drawing>
      </w:r>
    </w:p>
    <w:p w14:paraId="3075346F" w14:textId="77777777" w:rsidR="001D1193" w:rsidRPr="00221CFA" w:rsidRDefault="001D1193" w:rsidP="001D1193">
      <w:pPr>
        <w:pStyle w:val="NoSpacing"/>
        <w:jc w:val="center"/>
        <w:rPr>
          <w:rFonts w:ascii="Arial" w:hAnsi="Arial" w:cs="Arial"/>
          <w:b/>
          <w:sz w:val="20"/>
        </w:rPr>
      </w:pPr>
      <w:r w:rsidRPr="00221CFA">
        <w:rPr>
          <w:rFonts w:ascii="Arial" w:hAnsi="Arial" w:cs="Arial"/>
          <w:b/>
          <w:sz w:val="20"/>
        </w:rPr>
        <w:t>Fig. 2: Synergistic Components of Integrated Nutrient Management</w:t>
      </w:r>
    </w:p>
    <w:p w14:paraId="1B69541A" w14:textId="40CED30A" w:rsidR="007D1F72" w:rsidRPr="00221CFA" w:rsidRDefault="007D1F72">
      <w:pPr>
        <w:pStyle w:val="NormalWeb"/>
        <w:jc w:val="both"/>
        <w:rPr>
          <w:rFonts w:ascii="Arial" w:hAnsi="Arial" w:cs="Arial"/>
          <w:sz w:val="20"/>
          <w:szCs w:val="20"/>
        </w:rPr>
      </w:pPr>
      <w:r w:rsidRPr="00221CFA">
        <w:rPr>
          <w:rFonts w:ascii="Arial" w:hAnsi="Arial" w:cs="Arial"/>
          <w:sz w:val="20"/>
          <w:szCs w:val="20"/>
        </w:rPr>
        <w:lastRenderedPageBreak/>
        <w:t xml:space="preserve">Field data show that INM approaches in millets can </w:t>
      </w:r>
      <w:r w:rsidRPr="00221CFA">
        <w:rPr>
          <w:rStyle w:val="Strong"/>
          <w:rFonts w:ascii="Arial" w:hAnsi="Arial" w:cs="Arial"/>
          <w:sz w:val="20"/>
          <w:szCs w:val="20"/>
        </w:rPr>
        <w:t>increase yield by 20–40 %</w:t>
      </w:r>
      <w:r w:rsidRPr="00221CFA">
        <w:rPr>
          <w:rFonts w:ascii="Arial" w:hAnsi="Arial" w:cs="Arial"/>
          <w:sz w:val="20"/>
          <w:szCs w:val="20"/>
        </w:rPr>
        <w:t>, improve nutrient use efficiency by 15–25 %, and enhance soil enzymatic activities (urease, phosphatase, dehydrogenase) compared to fertilizer-only management. Such systems also stabilize production under moisture stress, as microbial metabolites promote deeper rooting and higher antioxidant enzyme activity in plants.</w:t>
      </w:r>
      <w:r w:rsidR="0089766D" w:rsidRPr="00221CFA">
        <w:rPr>
          <w:rFonts w:ascii="Arial" w:hAnsi="Arial" w:cs="Arial"/>
          <w:sz w:val="20"/>
          <w:szCs w:val="20"/>
        </w:rPr>
        <w:t xml:space="preserve"> </w:t>
      </w:r>
      <w:r w:rsidRPr="00221CFA">
        <w:rPr>
          <w:rFonts w:ascii="Arial" w:hAnsi="Arial" w:cs="Arial"/>
          <w:sz w:val="20"/>
          <w:szCs w:val="20"/>
        </w:rPr>
        <w:t>In pearl millet, an INM package of 50 % RDF + FYM @ 5 t ha</w:t>
      </w:r>
      <w:r w:rsidRPr="00221CFA">
        <w:rPr>
          <w:rFonts w:ascii="Cambria Math" w:hAnsi="Cambria Math" w:cs="Cambria Math"/>
          <w:sz w:val="20"/>
          <w:szCs w:val="20"/>
        </w:rPr>
        <w:t>⁻</w:t>
      </w:r>
      <w:r w:rsidRPr="00221CFA">
        <w:rPr>
          <w:rFonts w:ascii="Arial" w:hAnsi="Arial" w:cs="Arial"/>
          <w:sz w:val="20"/>
          <w:szCs w:val="20"/>
        </w:rPr>
        <w:t xml:space="preserve">¹ + </w:t>
      </w:r>
      <w:proofErr w:type="spellStart"/>
      <w:r w:rsidRPr="00221CFA">
        <w:rPr>
          <w:rFonts w:ascii="Arial" w:hAnsi="Arial" w:cs="Arial"/>
          <w:sz w:val="20"/>
          <w:szCs w:val="20"/>
        </w:rPr>
        <w:t>Azospirillum</w:t>
      </w:r>
      <w:proofErr w:type="spellEnd"/>
      <w:r w:rsidRPr="00221CFA">
        <w:rPr>
          <w:rFonts w:ascii="Arial" w:hAnsi="Arial" w:cs="Arial"/>
          <w:sz w:val="20"/>
          <w:szCs w:val="20"/>
        </w:rPr>
        <w:t xml:space="preserve"> + PSB recorded higher grain and straw yields than 100 % RDF alone, highlighting the efficiency of partial substitution when biofertilizers are part of the nutrient chain. Similarly, in finger millet, INM systems using </w:t>
      </w:r>
      <w:r w:rsidRPr="00221CFA">
        <w:rPr>
          <w:rStyle w:val="Emphasis"/>
          <w:rFonts w:ascii="Arial" w:hAnsi="Arial" w:cs="Arial"/>
          <w:sz w:val="20"/>
          <w:szCs w:val="20"/>
        </w:rPr>
        <w:t>Azotobacter</w:t>
      </w:r>
      <w:r w:rsidRPr="00221CFA">
        <w:rPr>
          <w:rFonts w:ascii="Arial" w:hAnsi="Arial" w:cs="Arial"/>
          <w:sz w:val="20"/>
          <w:szCs w:val="20"/>
        </w:rPr>
        <w:t xml:space="preserve"> and </w:t>
      </w:r>
      <w:r w:rsidRPr="00221CFA">
        <w:rPr>
          <w:rStyle w:val="Emphasis"/>
          <w:rFonts w:ascii="Arial" w:hAnsi="Arial" w:cs="Arial"/>
          <w:sz w:val="20"/>
          <w:szCs w:val="20"/>
        </w:rPr>
        <w:t>Rhizobium</w:t>
      </w:r>
      <w:r w:rsidRPr="00221CFA">
        <w:rPr>
          <w:rFonts w:ascii="Arial" w:hAnsi="Arial" w:cs="Arial"/>
          <w:sz w:val="20"/>
          <w:szCs w:val="20"/>
        </w:rPr>
        <w:t xml:space="preserve"> combined with 50–75 % RDF improved nutrient uptake and protein content in grains, reflecting the comprehensive impact of biological </w:t>
      </w:r>
      <w:r w:rsidRPr="00F5679C">
        <w:rPr>
          <w:rFonts w:ascii="Arial" w:hAnsi="Arial" w:cs="Arial"/>
          <w:sz w:val="20"/>
          <w:szCs w:val="20"/>
          <w:highlight w:val="yellow"/>
        </w:rPr>
        <w:t>integration</w:t>
      </w:r>
      <w:r w:rsidR="00F5679C" w:rsidRPr="00F5679C">
        <w:rPr>
          <w:rFonts w:ascii="Arial" w:hAnsi="Arial" w:cs="Arial"/>
          <w:sz w:val="20"/>
          <w:szCs w:val="20"/>
          <w:highlight w:val="yellow"/>
        </w:rPr>
        <w:t xml:space="preserve"> (Prabhakar et al., 2013)</w:t>
      </w:r>
      <w:r w:rsidRPr="00F5679C">
        <w:rPr>
          <w:rFonts w:ascii="Arial" w:hAnsi="Arial" w:cs="Arial"/>
          <w:sz w:val="20"/>
          <w:szCs w:val="20"/>
          <w:highlight w:val="yellow"/>
        </w:rPr>
        <w:t>.</w:t>
      </w:r>
      <w:r w:rsidR="0089766D" w:rsidRPr="00221CFA">
        <w:rPr>
          <w:rFonts w:ascii="Arial" w:hAnsi="Arial" w:cs="Arial"/>
          <w:sz w:val="20"/>
          <w:szCs w:val="20"/>
        </w:rPr>
        <w:t xml:space="preserve"> </w:t>
      </w:r>
      <w:r w:rsidRPr="00221CFA">
        <w:rPr>
          <w:rFonts w:ascii="Arial" w:hAnsi="Arial" w:cs="Arial"/>
          <w:sz w:val="20"/>
          <w:szCs w:val="20"/>
        </w:rPr>
        <w:t xml:space="preserve">Overall, INM strategies that combine microbial inoculants with organic and inorganic sources ensure a sustained nutrient supply, improved </w:t>
      </w:r>
      <w:r w:rsidRPr="00221CFA">
        <w:rPr>
          <w:rFonts w:ascii="Arial" w:hAnsi="Arial" w:cs="Arial"/>
          <w:sz w:val="20"/>
          <w:szCs w:val="20"/>
          <w:highlight w:val="yellow"/>
        </w:rPr>
        <w:t>soil quality, and reduced dependence on chemical fertilizers aligning with climate-resilient</w:t>
      </w:r>
      <w:r w:rsidR="00492F17" w:rsidRPr="00221CFA">
        <w:rPr>
          <w:rFonts w:ascii="Arial" w:hAnsi="Arial" w:cs="Arial"/>
          <w:sz w:val="20"/>
          <w:szCs w:val="20"/>
          <w:highlight w:val="yellow"/>
        </w:rPr>
        <w:t>,</w:t>
      </w:r>
      <w:r w:rsidRPr="00221CFA">
        <w:rPr>
          <w:rFonts w:ascii="Arial" w:hAnsi="Arial" w:cs="Arial"/>
          <w:sz w:val="20"/>
          <w:szCs w:val="20"/>
          <w:highlight w:val="yellow"/>
        </w:rPr>
        <w:t xml:space="preserve"> low-carbon </w:t>
      </w:r>
      <w:r w:rsidR="00EF70C0" w:rsidRPr="00221CFA">
        <w:rPr>
          <w:rFonts w:ascii="Arial" w:hAnsi="Arial" w:cs="Arial"/>
          <w:sz w:val="20"/>
          <w:szCs w:val="20"/>
          <w:highlight w:val="yellow"/>
        </w:rPr>
        <w:t xml:space="preserve">agricultural </w:t>
      </w:r>
      <w:r w:rsidRPr="00221CFA">
        <w:rPr>
          <w:rFonts w:ascii="Arial" w:hAnsi="Arial" w:cs="Arial"/>
          <w:sz w:val="20"/>
          <w:szCs w:val="20"/>
          <w:highlight w:val="yellow"/>
        </w:rPr>
        <w:t>goals.</w:t>
      </w:r>
    </w:p>
    <w:p w14:paraId="32CC31C1"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4</w:t>
      </w:r>
      <w:r w:rsidR="007D1F72" w:rsidRPr="00221CFA">
        <w:rPr>
          <w:rStyle w:val="Strong"/>
          <w:rFonts w:ascii="Arial" w:hAnsi="Arial" w:cs="Arial"/>
          <w:b/>
          <w:bCs/>
          <w:sz w:val="20"/>
          <w:szCs w:val="20"/>
        </w:rPr>
        <w:t>.4. Influence on Nutrient Cycling</w:t>
      </w:r>
    </w:p>
    <w:p w14:paraId="5E9D7774" w14:textId="74D5AEF1"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 xml:space="preserve">One of the most profound impacts of biofertilizer integration is on nutrient cycling dynamics. Microbial inoculants accelerate the transformation of nutrients from unavailable to plant-available forms through enzymatic and biochemical </w:t>
      </w:r>
      <w:r w:rsidRPr="00221CFA">
        <w:rPr>
          <w:rFonts w:ascii="Arial" w:hAnsi="Arial" w:cs="Arial"/>
          <w:sz w:val="20"/>
          <w:szCs w:val="20"/>
          <w:highlight w:val="yellow"/>
        </w:rPr>
        <w:t>processes</w:t>
      </w:r>
      <w:r w:rsidR="00175D30" w:rsidRPr="00221CFA">
        <w:rPr>
          <w:rFonts w:ascii="Arial" w:hAnsi="Arial" w:cs="Arial"/>
          <w:sz w:val="20"/>
          <w:szCs w:val="20"/>
          <w:highlight w:val="yellow"/>
        </w:rPr>
        <w:t xml:space="preserve"> (</w:t>
      </w:r>
      <w:r w:rsidR="00175D30" w:rsidRPr="00221CFA">
        <w:rPr>
          <w:rFonts w:ascii="Arial" w:hAnsi="Arial" w:cs="Arial"/>
          <w:sz w:val="20"/>
          <w:highlight w:val="yellow"/>
        </w:rPr>
        <w:t>Snehal &amp; Neena</w:t>
      </w:r>
      <w:r w:rsidR="00175D30" w:rsidRPr="00221CFA">
        <w:rPr>
          <w:rFonts w:ascii="Arial" w:hAnsi="Arial" w:cs="Arial"/>
          <w:sz w:val="20"/>
          <w:szCs w:val="20"/>
          <w:highlight w:val="yellow"/>
        </w:rPr>
        <w:t>, 2018).</w:t>
      </w:r>
      <w:r w:rsidRPr="00221CFA">
        <w:rPr>
          <w:rFonts w:ascii="Arial" w:hAnsi="Arial" w:cs="Arial"/>
          <w:sz w:val="20"/>
          <w:szCs w:val="20"/>
        </w:rPr>
        <w:t xml:space="preserve"> Nitrogen-fixers replenish the soil N pool, while phosphate-solubilizing and mycorrhizal inoculants mobilize bound phosphorus and micronutrients.</w:t>
      </w:r>
      <w:r w:rsidR="0089766D" w:rsidRPr="00221CFA">
        <w:rPr>
          <w:rFonts w:ascii="Arial" w:hAnsi="Arial" w:cs="Arial"/>
          <w:sz w:val="20"/>
          <w:szCs w:val="20"/>
        </w:rPr>
        <w:t xml:space="preserve"> </w:t>
      </w:r>
      <w:r w:rsidRPr="00221CFA">
        <w:rPr>
          <w:rFonts w:ascii="Arial" w:hAnsi="Arial" w:cs="Arial"/>
          <w:sz w:val="20"/>
          <w:szCs w:val="20"/>
        </w:rPr>
        <w:t xml:space="preserve">Long-term experiments have revealed that soils under biofertilizer–organic combinations exhibit higher </w:t>
      </w:r>
      <w:r w:rsidRPr="00221CFA">
        <w:rPr>
          <w:rStyle w:val="Strong"/>
          <w:rFonts w:ascii="Arial" w:hAnsi="Arial" w:cs="Arial"/>
          <w:b w:val="0"/>
          <w:sz w:val="20"/>
          <w:szCs w:val="20"/>
        </w:rPr>
        <w:t>soil enzyme activities</w:t>
      </w:r>
      <w:r w:rsidRPr="00221CFA">
        <w:rPr>
          <w:rFonts w:ascii="Arial" w:hAnsi="Arial" w:cs="Arial"/>
          <w:sz w:val="20"/>
          <w:szCs w:val="20"/>
        </w:rPr>
        <w:t xml:space="preserve"> (urease, dehydrogenase, phosphatase)</w:t>
      </w:r>
      <w:r w:rsidR="00EF70C0" w:rsidRPr="00221CFA">
        <w:rPr>
          <w:rFonts w:ascii="Arial" w:hAnsi="Arial" w:cs="Arial"/>
          <w:sz w:val="20"/>
          <w:szCs w:val="20"/>
        </w:rPr>
        <w:t>,</w:t>
      </w:r>
      <w:r w:rsidRPr="00221CFA">
        <w:rPr>
          <w:rFonts w:ascii="Arial" w:hAnsi="Arial" w:cs="Arial"/>
          <w:sz w:val="20"/>
          <w:szCs w:val="20"/>
        </w:rPr>
        <w:t xml:space="preserve"> indicators of active nutrient turnover and microbial respiration</w:t>
      </w:r>
      <w:r w:rsidR="00E12FFA" w:rsidRPr="00221CFA">
        <w:rPr>
          <w:rFonts w:ascii="Arial" w:hAnsi="Arial" w:cs="Arial"/>
          <w:sz w:val="20"/>
          <w:szCs w:val="20"/>
        </w:rPr>
        <w:t xml:space="preserve"> (Ali et al., 2024)</w:t>
      </w:r>
      <w:r w:rsidRPr="00221CFA">
        <w:rPr>
          <w:rFonts w:ascii="Arial" w:hAnsi="Arial" w:cs="Arial"/>
          <w:sz w:val="20"/>
          <w:szCs w:val="20"/>
        </w:rPr>
        <w:t>. Enhanced microbial biomass carbon and nitrogen pools indicate improved soil biological fertility. These processes reduce nutrient losses via leaching or volatilization and support a more balanced nutrient cycle within the soil–plant system.</w:t>
      </w:r>
    </w:p>
    <w:p w14:paraId="59FC7BC6" w14:textId="56EF4BD7" w:rsidR="007D1F72" w:rsidRPr="00221CFA" w:rsidRDefault="007D1F72">
      <w:pPr>
        <w:pStyle w:val="NormalWeb"/>
        <w:ind w:firstLine="720"/>
        <w:jc w:val="both"/>
        <w:rPr>
          <w:rFonts w:ascii="Arial" w:hAnsi="Arial" w:cs="Arial"/>
          <w:sz w:val="20"/>
          <w:szCs w:val="20"/>
        </w:rPr>
      </w:pPr>
      <w:r w:rsidRPr="00221CFA">
        <w:rPr>
          <w:rFonts w:ascii="Arial" w:hAnsi="Arial" w:cs="Arial"/>
          <w:sz w:val="20"/>
          <w:szCs w:val="20"/>
        </w:rPr>
        <w:t>Furthermore, biofertilizers improve carbon sequestration potential by enhancing root biomass and rhizodeposition, which feeds the microbial community and stabilizes soil organic matter. In the context of millet-based systems</w:t>
      </w:r>
      <w:r w:rsidR="00EF70C0" w:rsidRPr="00221CFA">
        <w:rPr>
          <w:rFonts w:ascii="Arial" w:hAnsi="Arial" w:cs="Arial"/>
          <w:sz w:val="20"/>
          <w:szCs w:val="20"/>
        </w:rPr>
        <w:t>,</w:t>
      </w:r>
      <w:r w:rsidRPr="00221CFA">
        <w:rPr>
          <w:rFonts w:ascii="Arial" w:hAnsi="Arial" w:cs="Arial"/>
          <w:sz w:val="20"/>
          <w:szCs w:val="20"/>
        </w:rPr>
        <w:t xml:space="preserve"> typically characterized by low soil fertility and organic carbon</w:t>
      </w:r>
      <w:r w:rsidR="00EF70C0" w:rsidRPr="00221CFA">
        <w:rPr>
          <w:rFonts w:ascii="Arial" w:hAnsi="Arial" w:cs="Arial"/>
          <w:sz w:val="20"/>
          <w:szCs w:val="20"/>
        </w:rPr>
        <w:t>,</w:t>
      </w:r>
      <w:r w:rsidRPr="00221CFA">
        <w:rPr>
          <w:rFonts w:ascii="Arial" w:hAnsi="Arial" w:cs="Arial"/>
          <w:sz w:val="20"/>
          <w:szCs w:val="20"/>
        </w:rPr>
        <w:t xml:space="preserve"> the improvement in nutrient cycling through microbial interventions is a pivotal step toward achieving both productivity and </w:t>
      </w:r>
      <w:r w:rsidRPr="000F7E9D">
        <w:rPr>
          <w:rFonts w:ascii="Arial" w:hAnsi="Arial" w:cs="Arial"/>
          <w:sz w:val="20"/>
          <w:szCs w:val="20"/>
          <w:highlight w:val="yellow"/>
        </w:rPr>
        <w:t>sustainability</w:t>
      </w:r>
      <w:r w:rsidR="000F7E9D" w:rsidRPr="000F7E9D">
        <w:rPr>
          <w:rFonts w:ascii="Arial" w:hAnsi="Arial" w:cs="Arial"/>
          <w:sz w:val="20"/>
          <w:szCs w:val="20"/>
          <w:highlight w:val="yellow"/>
        </w:rPr>
        <w:t xml:space="preserve"> (Raj et al., 2024)</w:t>
      </w:r>
      <w:r w:rsidRPr="000F7E9D">
        <w:rPr>
          <w:rFonts w:ascii="Arial" w:hAnsi="Arial" w:cs="Arial"/>
          <w:sz w:val="20"/>
          <w:szCs w:val="20"/>
          <w:highlight w:val="yellow"/>
        </w:rPr>
        <w:t>.</w:t>
      </w:r>
      <w:r w:rsidR="0089766D" w:rsidRPr="00221CFA">
        <w:rPr>
          <w:rFonts w:ascii="Arial" w:hAnsi="Arial" w:cs="Arial"/>
          <w:sz w:val="20"/>
          <w:szCs w:val="20"/>
        </w:rPr>
        <w:t xml:space="preserve"> </w:t>
      </w:r>
      <w:r w:rsidRPr="00221CFA">
        <w:rPr>
          <w:rFonts w:ascii="Arial" w:hAnsi="Arial" w:cs="Arial"/>
          <w:sz w:val="20"/>
          <w:szCs w:val="20"/>
        </w:rPr>
        <w:t>Collectively, integrated nutrient management incorporating biofertilizers transforms the soil from a passive nutrient reservoir into an active biological engine, sustaining fertility and productivity under variable environmental conditions.</w:t>
      </w:r>
    </w:p>
    <w:p w14:paraId="46254494" w14:textId="77777777" w:rsidR="00414543" w:rsidRPr="00221CFA" w:rsidRDefault="009664D1" w:rsidP="00E12FFA">
      <w:pPr>
        <w:pStyle w:val="NormalWeb"/>
        <w:ind w:firstLine="720"/>
        <w:jc w:val="both"/>
        <w:rPr>
          <w:rFonts w:ascii="Arial" w:hAnsi="Arial" w:cs="Arial"/>
          <w:szCs w:val="20"/>
        </w:rPr>
      </w:pPr>
      <w:r w:rsidRPr="00221CFA">
        <w:rPr>
          <w:rStyle w:val="Strong"/>
          <w:rFonts w:ascii="Arial" w:hAnsi="Arial" w:cs="Arial"/>
          <w:bCs w:val="0"/>
          <w:szCs w:val="20"/>
        </w:rPr>
        <w:t>5</w:t>
      </w:r>
      <w:r w:rsidR="00414543" w:rsidRPr="00221CFA">
        <w:rPr>
          <w:rStyle w:val="Strong"/>
          <w:rFonts w:ascii="Arial" w:hAnsi="Arial" w:cs="Arial"/>
          <w:bCs w:val="0"/>
          <w:szCs w:val="20"/>
        </w:rPr>
        <w:t>. Future Prospects and Research Directions</w:t>
      </w:r>
    </w:p>
    <w:p w14:paraId="1EC4BFF4"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5</w:t>
      </w:r>
      <w:r w:rsidR="007D1F72" w:rsidRPr="00221CFA">
        <w:rPr>
          <w:rStyle w:val="Strong"/>
          <w:rFonts w:ascii="Arial" w:hAnsi="Arial" w:cs="Arial"/>
          <w:b/>
          <w:bCs/>
          <w:sz w:val="20"/>
          <w:szCs w:val="20"/>
        </w:rPr>
        <w:t>.1. Integration of Biofertilizers in Climate-Smart Agriculture</w:t>
      </w:r>
    </w:p>
    <w:p w14:paraId="7D04B37A" w14:textId="6237E1A5" w:rsidR="007D1F72" w:rsidRPr="00221CFA" w:rsidRDefault="007D1F72">
      <w:pPr>
        <w:pStyle w:val="NormalWeb"/>
        <w:jc w:val="both"/>
        <w:rPr>
          <w:rFonts w:ascii="Arial" w:hAnsi="Arial" w:cs="Arial"/>
          <w:sz w:val="20"/>
          <w:szCs w:val="20"/>
        </w:rPr>
      </w:pPr>
      <w:r w:rsidRPr="00221CFA">
        <w:rPr>
          <w:rFonts w:ascii="Arial" w:hAnsi="Arial" w:cs="Arial"/>
          <w:sz w:val="20"/>
          <w:szCs w:val="20"/>
        </w:rPr>
        <w:t>Climate-smart agriculture (CSA) aims to enhance agricultural productivity, improve resilience (adaptation), and reduce greenhouse gas emissions (mitigation). Biofertilizers are central to this framework because they simultaneously improve nutrient efficiency, reduce reliance on synthetic fertilizers, and strengthen crop tolerance to climatic stressors.</w:t>
      </w:r>
      <w:r w:rsidR="0089766D" w:rsidRPr="00221CFA">
        <w:rPr>
          <w:rFonts w:ascii="Arial" w:hAnsi="Arial" w:cs="Arial"/>
          <w:sz w:val="20"/>
          <w:szCs w:val="20"/>
        </w:rPr>
        <w:t xml:space="preserve"> </w:t>
      </w:r>
      <w:r w:rsidRPr="00221CFA">
        <w:rPr>
          <w:rFonts w:ascii="Arial" w:hAnsi="Arial" w:cs="Arial"/>
          <w:sz w:val="20"/>
          <w:szCs w:val="20"/>
        </w:rPr>
        <w:t>In millet-based systems</w:t>
      </w:r>
      <w:r w:rsidR="00EF70C0" w:rsidRPr="00221CFA">
        <w:rPr>
          <w:rFonts w:ascii="Arial" w:hAnsi="Arial" w:cs="Arial"/>
          <w:sz w:val="20"/>
          <w:szCs w:val="20"/>
        </w:rPr>
        <w:t>,</w:t>
      </w:r>
      <w:r w:rsidRPr="00221CFA">
        <w:rPr>
          <w:rFonts w:ascii="Arial" w:hAnsi="Arial" w:cs="Arial"/>
          <w:sz w:val="20"/>
          <w:szCs w:val="20"/>
        </w:rPr>
        <w:t xml:space="preserve"> typically cultivated in semi-arid and marginal environments</w:t>
      </w:r>
      <w:r w:rsidR="00EF70C0" w:rsidRPr="00221CFA">
        <w:rPr>
          <w:rFonts w:ascii="Arial" w:hAnsi="Arial" w:cs="Arial"/>
          <w:sz w:val="20"/>
          <w:szCs w:val="20"/>
        </w:rPr>
        <w:t>,</w:t>
      </w:r>
      <w:r w:rsidRPr="00221CFA">
        <w:rPr>
          <w:rFonts w:ascii="Arial" w:hAnsi="Arial" w:cs="Arial"/>
          <w:sz w:val="20"/>
          <w:szCs w:val="20"/>
        </w:rPr>
        <w:t xml:space="preserve"> biofertilizers directly support CSA goals by:</w:t>
      </w:r>
    </w:p>
    <w:p w14:paraId="3866463B" w14:textId="77777777" w:rsidR="007D1F72" w:rsidRPr="00221CFA" w:rsidRDefault="007D1F72" w:rsidP="007D1F72">
      <w:pPr>
        <w:pStyle w:val="NormalWeb"/>
        <w:numPr>
          <w:ilvl w:val="0"/>
          <w:numId w:val="18"/>
        </w:numPr>
        <w:jc w:val="both"/>
        <w:rPr>
          <w:rFonts w:ascii="Arial" w:hAnsi="Arial" w:cs="Arial"/>
          <w:sz w:val="20"/>
          <w:szCs w:val="20"/>
        </w:rPr>
      </w:pPr>
      <w:r w:rsidRPr="00221CFA">
        <w:rPr>
          <w:rStyle w:val="Strong"/>
          <w:rFonts w:ascii="Arial" w:hAnsi="Arial" w:cs="Arial"/>
          <w:sz w:val="20"/>
          <w:szCs w:val="20"/>
        </w:rPr>
        <w:t>Enhancing resource-use efficiency:</w:t>
      </w:r>
      <w:r w:rsidRPr="00221CFA">
        <w:rPr>
          <w:rFonts w:ascii="Arial" w:hAnsi="Arial" w:cs="Arial"/>
          <w:sz w:val="20"/>
          <w:szCs w:val="20"/>
        </w:rPr>
        <w:t xml:space="preserve"> Microbial inoculants reduce nitrogen and phosphorus losses through fixation and solubilization, lowering the carbon footprint associated with chemical fertilizer manufacture and transport.</w:t>
      </w:r>
    </w:p>
    <w:p w14:paraId="46A12976" w14:textId="77777777" w:rsidR="007D1F72" w:rsidRPr="00221CFA" w:rsidRDefault="007D1F72" w:rsidP="007D1F72">
      <w:pPr>
        <w:pStyle w:val="NormalWeb"/>
        <w:numPr>
          <w:ilvl w:val="0"/>
          <w:numId w:val="18"/>
        </w:numPr>
        <w:jc w:val="both"/>
        <w:rPr>
          <w:rFonts w:ascii="Arial" w:hAnsi="Arial" w:cs="Arial"/>
          <w:sz w:val="20"/>
          <w:szCs w:val="20"/>
        </w:rPr>
      </w:pPr>
      <w:r w:rsidRPr="00221CFA">
        <w:rPr>
          <w:rStyle w:val="Strong"/>
          <w:rFonts w:ascii="Arial" w:hAnsi="Arial" w:cs="Arial"/>
          <w:sz w:val="20"/>
          <w:szCs w:val="20"/>
        </w:rPr>
        <w:t>Improving stress resilience:</w:t>
      </w:r>
      <w:r w:rsidRPr="00221CFA">
        <w:rPr>
          <w:rFonts w:ascii="Arial" w:hAnsi="Arial" w:cs="Arial"/>
          <w:sz w:val="20"/>
          <w:szCs w:val="20"/>
        </w:rPr>
        <w:t xml:space="preserve"> Certain strains of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w:t>
      </w:r>
      <w:r w:rsidRPr="00221CFA">
        <w:rPr>
          <w:rStyle w:val="Emphasis"/>
          <w:rFonts w:ascii="Arial" w:hAnsi="Arial" w:cs="Arial"/>
          <w:sz w:val="20"/>
          <w:szCs w:val="20"/>
        </w:rPr>
        <w:t>Pseudomonas</w:t>
      </w:r>
      <w:r w:rsidRPr="00221CFA">
        <w:rPr>
          <w:rFonts w:ascii="Arial" w:hAnsi="Arial" w:cs="Arial"/>
          <w:sz w:val="20"/>
          <w:szCs w:val="20"/>
        </w:rPr>
        <w:t>, and arbuscular mycorrhizal fungi (AMF) upregulate plant antioxidant enzymes and osmolyte accumulation, enabling crops to withstand drought and heat waves.</w:t>
      </w:r>
    </w:p>
    <w:p w14:paraId="2FC08084" w14:textId="77777777" w:rsidR="007D1F72" w:rsidRPr="00221CFA" w:rsidRDefault="007D1F72" w:rsidP="007D1F72">
      <w:pPr>
        <w:pStyle w:val="NormalWeb"/>
        <w:numPr>
          <w:ilvl w:val="0"/>
          <w:numId w:val="18"/>
        </w:numPr>
        <w:jc w:val="both"/>
        <w:rPr>
          <w:rFonts w:ascii="Arial" w:hAnsi="Arial" w:cs="Arial"/>
          <w:sz w:val="20"/>
          <w:szCs w:val="20"/>
        </w:rPr>
      </w:pPr>
      <w:r w:rsidRPr="00221CFA">
        <w:rPr>
          <w:rStyle w:val="Strong"/>
          <w:rFonts w:ascii="Arial" w:hAnsi="Arial" w:cs="Arial"/>
          <w:sz w:val="20"/>
          <w:szCs w:val="20"/>
        </w:rPr>
        <w:t>Building soil carbon pools:</w:t>
      </w:r>
      <w:r w:rsidRPr="00221CFA">
        <w:rPr>
          <w:rFonts w:ascii="Arial" w:hAnsi="Arial" w:cs="Arial"/>
          <w:sz w:val="20"/>
          <w:szCs w:val="20"/>
        </w:rPr>
        <w:t xml:space="preserve"> Increased root biomass and microbial exudates promote organic carbon sequestration and improve aggregate stability, mitigating soil erosion under erratic rainfall.</w:t>
      </w:r>
    </w:p>
    <w:p w14:paraId="070F09F8" w14:textId="7777777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According to FAO (2023), integrated biofertilizer management can reduce fertilizer-related nitrous oxide (N</w:t>
      </w:r>
      <w:r w:rsidRPr="00221CFA">
        <w:rPr>
          <w:rFonts w:ascii="Cambria Math" w:hAnsi="Cambria Math" w:cs="Cambria Math"/>
          <w:sz w:val="20"/>
          <w:szCs w:val="20"/>
        </w:rPr>
        <w:t>₂</w:t>
      </w:r>
      <w:r w:rsidRPr="00221CFA">
        <w:rPr>
          <w:rFonts w:ascii="Arial" w:hAnsi="Arial" w:cs="Arial"/>
          <w:sz w:val="20"/>
          <w:szCs w:val="20"/>
        </w:rPr>
        <w:t xml:space="preserve">O) emissions by </w:t>
      </w:r>
      <w:r w:rsidRPr="00221CFA">
        <w:rPr>
          <w:rStyle w:val="Strong"/>
          <w:rFonts w:ascii="Arial" w:hAnsi="Arial" w:cs="Arial"/>
          <w:b w:val="0"/>
          <w:sz w:val="20"/>
          <w:szCs w:val="20"/>
        </w:rPr>
        <w:t>10–25 %</w:t>
      </w:r>
      <w:r w:rsidRPr="00221CFA">
        <w:rPr>
          <w:rFonts w:ascii="Arial" w:hAnsi="Arial" w:cs="Arial"/>
          <w:b/>
          <w:sz w:val="20"/>
          <w:szCs w:val="20"/>
        </w:rPr>
        <w:t>,</w:t>
      </w:r>
      <w:r w:rsidRPr="00221CFA">
        <w:rPr>
          <w:rFonts w:ascii="Arial" w:hAnsi="Arial" w:cs="Arial"/>
          <w:sz w:val="20"/>
          <w:szCs w:val="20"/>
        </w:rPr>
        <w:t xml:space="preserve"> while maintaining yield levels comparable to full mineral fertilization. Thus, microbial inoculants play a vital role in transitioning millet farming toward climate-resilient, low-emission systems that safeguard food and nutrition security.</w:t>
      </w:r>
    </w:p>
    <w:p w14:paraId="66FE238B"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lastRenderedPageBreak/>
        <w:t>5</w:t>
      </w:r>
      <w:r w:rsidR="007D1F72" w:rsidRPr="00221CFA">
        <w:rPr>
          <w:rStyle w:val="Strong"/>
          <w:rFonts w:ascii="Arial" w:hAnsi="Arial" w:cs="Arial"/>
          <w:b/>
          <w:bCs/>
          <w:sz w:val="20"/>
          <w:szCs w:val="20"/>
        </w:rPr>
        <w:t>.2. Development of Millet-Specific Microbial Consortia</w:t>
      </w:r>
    </w:p>
    <w:p w14:paraId="3EA66B08" w14:textId="5E7EA9D7" w:rsidR="007D1F72" w:rsidRPr="00221CFA" w:rsidRDefault="007D1F72" w:rsidP="0089766D">
      <w:pPr>
        <w:pStyle w:val="NormalWeb"/>
        <w:jc w:val="both"/>
        <w:rPr>
          <w:rFonts w:ascii="Arial" w:hAnsi="Arial" w:cs="Arial"/>
          <w:sz w:val="20"/>
          <w:szCs w:val="20"/>
        </w:rPr>
      </w:pPr>
      <w:r w:rsidRPr="00221CFA">
        <w:rPr>
          <w:rFonts w:ascii="Arial" w:hAnsi="Arial" w:cs="Arial"/>
          <w:sz w:val="20"/>
          <w:szCs w:val="20"/>
        </w:rPr>
        <w:t xml:space="preserve">Most commercially available biofertilizers were originally designed for legumes or major cereals like rice and wheat. However, millets possess unique </w:t>
      </w:r>
      <w:proofErr w:type="spellStart"/>
      <w:r w:rsidRPr="00221CFA">
        <w:rPr>
          <w:rFonts w:ascii="Arial" w:hAnsi="Arial" w:cs="Arial"/>
          <w:sz w:val="20"/>
          <w:szCs w:val="20"/>
        </w:rPr>
        <w:t>rhizospheric</w:t>
      </w:r>
      <w:proofErr w:type="spellEnd"/>
      <w:r w:rsidRPr="00221CFA">
        <w:rPr>
          <w:rFonts w:ascii="Arial" w:hAnsi="Arial" w:cs="Arial"/>
          <w:sz w:val="20"/>
          <w:szCs w:val="20"/>
        </w:rPr>
        <w:t xml:space="preserve"> conditions</w:t>
      </w:r>
      <w:r w:rsidR="00EF70C0" w:rsidRPr="00221CFA">
        <w:rPr>
          <w:rFonts w:ascii="Arial" w:hAnsi="Arial" w:cs="Arial"/>
          <w:sz w:val="20"/>
          <w:szCs w:val="20"/>
        </w:rPr>
        <w:t>,</w:t>
      </w:r>
      <w:r w:rsidRPr="00221CFA">
        <w:rPr>
          <w:rFonts w:ascii="Arial" w:hAnsi="Arial" w:cs="Arial"/>
          <w:sz w:val="20"/>
          <w:szCs w:val="20"/>
        </w:rPr>
        <w:t xml:space="preserve"> low fertility, high </w:t>
      </w:r>
      <w:r w:rsidRPr="00221CFA">
        <w:rPr>
          <w:rFonts w:ascii="Arial" w:hAnsi="Arial" w:cs="Arial"/>
          <w:sz w:val="20"/>
          <w:szCs w:val="20"/>
          <w:highlight w:val="yellow"/>
        </w:rPr>
        <w:t xml:space="preserve">temperature, </w:t>
      </w:r>
      <w:r w:rsidR="00EF70C0" w:rsidRPr="00221CFA">
        <w:rPr>
          <w:rFonts w:ascii="Arial" w:hAnsi="Arial" w:cs="Arial"/>
          <w:sz w:val="20"/>
          <w:szCs w:val="20"/>
          <w:highlight w:val="yellow"/>
        </w:rPr>
        <w:t xml:space="preserve">and </w:t>
      </w:r>
      <w:r w:rsidRPr="00221CFA">
        <w:rPr>
          <w:rFonts w:ascii="Arial" w:hAnsi="Arial" w:cs="Arial"/>
          <w:sz w:val="20"/>
          <w:szCs w:val="20"/>
        </w:rPr>
        <w:t>drought-prone soils</w:t>
      </w:r>
      <w:r w:rsidR="00EF70C0" w:rsidRPr="00221CFA">
        <w:rPr>
          <w:rFonts w:ascii="Arial" w:hAnsi="Arial" w:cs="Arial"/>
          <w:sz w:val="20"/>
          <w:szCs w:val="20"/>
        </w:rPr>
        <w:t>,</w:t>
      </w:r>
      <w:r w:rsidRPr="00221CFA">
        <w:rPr>
          <w:rFonts w:ascii="Arial" w:hAnsi="Arial" w:cs="Arial"/>
          <w:sz w:val="20"/>
          <w:szCs w:val="20"/>
        </w:rPr>
        <w:t xml:space="preserve"> which demand </w:t>
      </w:r>
      <w:r w:rsidRPr="00221CFA">
        <w:rPr>
          <w:rStyle w:val="Strong"/>
          <w:rFonts w:ascii="Arial" w:hAnsi="Arial" w:cs="Arial"/>
          <w:b w:val="0"/>
          <w:sz w:val="20"/>
          <w:szCs w:val="20"/>
        </w:rPr>
        <w:t>tailored microbial formulations</w:t>
      </w:r>
      <w:r w:rsidRPr="00221CFA">
        <w:rPr>
          <w:rFonts w:ascii="Arial" w:hAnsi="Arial" w:cs="Arial"/>
          <w:sz w:val="20"/>
          <w:szCs w:val="20"/>
        </w:rPr>
        <w:t>.</w:t>
      </w:r>
      <w:r w:rsidR="0089766D" w:rsidRPr="00221CFA">
        <w:rPr>
          <w:rFonts w:ascii="Arial" w:hAnsi="Arial" w:cs="Arial"/>
          <w:sz w:val="20"/>
          <w:szCs w:val="20"/>
        </w:rPr>
        <w:t xml:space="preserve"> </w:t>
      </w:r>
      <w:r w:rsidRPr="00221CFA">
        <w:rPr>
          <w:rFonts w:ascii="Arial" w:hAnsi="Arial" w:cs="Arial"/>
          <w:sz w:val="20"/>
          <w:szCs w:val="20"/>
        </w:rPr>
        <w:t xml:space="preserve">Recent research has moved toward developing </w:t>
      </w:r>
      <w:r w:rsidRPr="00221CFA">
        <w:rPr>
          <w:rStyle w:val="Strong"/>
          <w:rFonts w:ascii="Arial" w:hAnsi="Arial" w:cs="Arial"/>
          <w:b w:val="0"/>
          <w:sz w:val="20"/>
          <w:szCs w:val="20"/>
        </w:rPr>
        <w:t>millet-specific microbial consortia</w:t>
      </w:r>
      <w:r w:rsidRPr="00221CFA">
        <w:rPr>
          <w:rFonts w:ascii="Arial" w:hAnsi="Arial" w:cs="Arial"/>
          <w:b/>
          <w:sz w:val="20"/>
          <w:szCs w:val="20"/>
        </w:rPr>
        <w:t>,</w:t>
      </w:r>
      <w:r w:rsidRPr="00221CFA">
        <w:rPr>
          <w:rFonts w:ascii="Arial" w:hAnsi="Arial" w:cs="Arial"/>
          <w:sz w:val="20"/>
          <w:szCs w:val="20"/>
        </w:rPr>
        <w:t xml:space="preserve"> combining complementary strains that function synergistically. For instance:</w:t>
      </w:r>
      <w:r w:rsidR="0089766D" w:rsidRPr="00221CFA">
        <w:rPr>
          <w:rFonts w:ascii="Arial" w:hAnsi="Arial" w:cs="Arial"/>
          <w:sz w:val="20"/>
          <w:szCs w:val="20"/>
        </w:rPr>
        <w:t xml:space="preserve"> </w:t>
      </w:r>
      <w:proofErr w:type="spellStart"/>
      <w:r w:rsidRPr="00221CFA">
        <w:rPr>
          <w:rStyle w:val="Emphasis"/>
          <w:rFonts w:ascii="Arial" w:hAnsi="Arial" w:cs="Arial"/>
          <w:sz w:val="20"/>
          <w:szCs w:val="20"/>
        </w:rPr>
        <w:t>Azospirillum</w:t>
      </w:r>
      <w:proofErr w:type="spellEnd"/>
      <w:r w:rsidRPr="00221CFA">
        <w:rPr>
          <w:rFonts w:ascii="Arial" w:hAnsi="Arial" w:cs="Arial"/>
          <w:sz w:val="20"/>
          <w:szCs w:val="20"/>
        </w:rPr>
        <w:t xml:space="preserve"> and </w:t>
      </w:r>
      <w:r w:rsidRPr="00221CFA">
        <w:rPr>
          <w:rStyle w:val="Emphasis"/>
          <w:rFonts w:ascii="Arial" w:hAnsi="Arial" w:cs="Arial"/>
          <w:sz w:val="20"/>
          <w:szCs w:val="20"/>
        </w:rPr>
        <w:t>Bacillus</w:t>
      </w:r>
      <w:r w:rsidRPr="00221CFA">
        <w:rPr>
          <w:rFonts w:ascii="Arial" w:hAnsi="Arial" w:cs="Arial"/>
          <w:sz w:val="20"/>
          <w:szCs w:val="20"/>
        </w:rPr>
        <w:t xml:space="preserve"> species for nitrogen fixation and root stimulation,</w:t>
      </w:r>
      <w:r w:rsidR="0089766D" w:rsidRPr="00221CFA">
        <w:rPr>
          <w:rFonts w:ascii="Arial" w:hAnsi="Arial" w:cs="Arial"/>
          <w:sz w:val="20"/>
          <w:szCs w:val="20"/>
        </w:rPr>
        <w:t xml:space="preserve"> </w:t>
      </w:r>
      <w:r w:rsidRPr="00221CFA">
        <w:rPr>
          <w:rStyle w:val="Emphasis"/>
          <w:rFonts w:ascii="Arial" w:hAnsi="Arial" w:cs="Arial"/>
          <w:sz w:val="20"/>
          <w:szCs w:val="20"/>
        </w:rPr>
        <w:t>Pseudomonas fluorescens</w:t>
      </w:r>
      <w:r w:rsidRPr="00221CFA">
        <w:rPr>
          <w:rFonts w:ascii="Arial" w:hAnsi="Arial" w:cs="Arial"/>
          <w:sz w:val="20"/>
          <w:szCs w:val="20"/>
        </w:rPr>
        <w:t xml:space="preserve"> and </w:t>
      </w:r>
      <w:r w:rsidRPr="00221CFA">
        <w:rPr>
          <w:rStyle w:val="Emphasis"/>
          <w:rFonts w:ascii="Arial" w:hAnsi="Arial" w:cs="Arial"/>
          <w:sz w:val="20"/>
          <w:szCs w:val="20"/>
        </w:rPr>
        <w:t>Bacillus megaterium</w:t>
      </w:r>
      <w:r w:rsidRPr="00221CFA">
        <w:rPr>
          <w:rFonts w:ascii="Arial" w:hAnsi="Arial" w:cs="Arial"/>
          <w:sz w:val="20"/>
          <w:szCs w:val="20"/>
        </w:rPr>
        <w:t xml:space="preserve"> for phosphate </w:t>
      </w:r>
      <w:r w:rsidRPr="00221CFA">
        <w:rPr>
          <w:rFonts w:ascii="Arial" w:hAnsi="Arial" w:cs="Arial"/>
          <w:sz w:val="20"/>
          <w:szCs w:val="20"/>
          <w:highlight w:val="yellow"/>
        </w:rPr>
        <w:t>solubilization,</w:t>
      </w:r>
      <w:r w:rsidR="0089766D" w:rsidRPr="00221CFA">
        <w:rPr>
          <w:rFonts w:ascii="Arial" w:hAnsi="Arial" w:cs="Arial"/>
          <w:sz w:val="20"/>
          <w:szCs w:val="20"/>
          <w:highlight w:val="yellow"/>
        </w:rPr>
        <w:t xml:space="preserve"> </w:t>
      </w:r>
      <w:r w:rsidR="00EF70C0" w:rsidRPr="00221CFA">
        <w:rPr>
          <w:rFonts w:ascii="Arial" w:hAnsi="Arial" w:cs="Arial"/>
          <w:sz w:val="20"/>
          <w:szCs w:val="20"/>
          <w:highlight w:val="yellow"/>
        </w:rPr>
        <w:t xml:space="preserve">and </w:t>
      </w:r>
      <w:r w:rsidRPr="00221CFA">
        <w:rPr>
          <w:rStyle w:val="Emphasis"/>
          <w:rFonts w:ascii="Arial" w:hAnsi="Arial" w:cs="Arial"/>
          <w:sz w:val="20"/>
          <w:szCs w:val="20"/>
        </w:rPr>
        <w:t xml:space="preserve">Glomus </w:t>
      </w:r>
      <w:proofErr w:type="spellStart"/>
      <w:r w:rsidRPr="00221CFA">
        <w:rPr>
          <w:rStyle w:val="Emphasis"/>
          <w:rFonts w:ascii="Arial" w:hAnsi="Arial" w:cs="Arial"/>
          <w:sz w:val="20"/>
          <w:szCs w:val="20"/>
        </w:rPr>
        <w:t>intraradices</w:t>
      </w:r>
      <w:proofErr w:type="spellEnd"/>
      <w:r w:rsidRPr="00221CFA">
        <w:rPr>
          <w:rFonts w:ascii="Arial" w:hAnsi="Arial" w:cs="Arial"/>
          <w:sz w:val="20"/>
          <w:szCs w:val="20"/>
        </w:rPr>
        <w:t xml:space="preserve"> for improved phosphorus uptake and drought tolerance.</w:t>
      </w:r>
    </w:p>
    <w:p w14:paraId="1164DC17" w14:textId="49223BB6" w:rsidR="007D1F72" w:rsidRPr="00221CFA" w:rsidRDefault="007D1F72" w:rsidP="00F5679C">
      <w:pPr>
        <w:pStyle w:val="NormalWeb"/>
        <w:ind w:firstLine="720"/>
        <w:jc w:val="both"/>
        <w:rPr>
          <w:rFonts w:ascii="Arial" w:hAnsi="Arial" w:cs="Arial"/>
          <w:sz w:val="20"/>
          <w:szCs w:val="20"/>
        </w:rPr>
      </w:pPr>
      <w:r w:rsidRPr="00221CFA">
        <w:rPr>
          <w:rFonts w:ascii="Arial" w:hAnsi="Arial" w:cs="Arial"/>
          <w:sz w:val="20"/>
          <w:szCs w:val="20"/>
        </w:rPr>
        <w:t xml:space="preserve">Studies at ICAR–Indian Institute of Millets Research (IIMR) and SKUAST–Kashmir have shown that customized multi-strain inoculants can raise grain yield by </w:t>
      </w:r>
      <w:r w:rsidRPr="00221CFA">
        <w:rPr>
          <w:rStyle w:val="Strong"/>
          <w:rFonts w:ascii="Arial" w:hAnsi="Arial" w:cs="Arial"/>
          <w:b w:val="0"/>
          <w:sz w:val="20"/>
          <w:szCs w:val="20"/>
        </w:rPr>
        <w:t>20–35 %</w:t>
      </w:r>
      <w:r w:rsidRPr="00221CFA">
        <w:rPr>
          <w:rFonts w:ascii="Arial" w:hAnsi="Arial" w:cs="Arial"/>
          <w:b/>
          <w:sz w:val="20"/>
          <w:szCs w:val="20"/>
        </w:rPr>
        <w:t>,</w:t>
      </w:r>
      <w:r w:rsidRPr="00221CFA">
        <w:rPr>
          <w:rFonts w:ascii="Arial" w:hAnsi="Arial" w:cs="Arial"/>
          <w:sz w:val="20"/>
          <w:szCs w:val="20"/>
        </w:rPr>
        <w:t xml:space="preserve"> nutrient uptake by </w:t>
      </w:r>
      <w:r w:rsidRPr="00221CFA">
        <w:rPr>
          <w:rStyle w:val="Strong"/>
          <w:rFonts w:ascii="Arial" w:hAnsi="Arial" w:cs="Arial"/>
          <w:b w:val="0"/>
          <w:sz w:val="20"/>
          <w:szCs w:val="20"/>
        </w:rPr>
        <w:t>15–25 %</w:t>
      </w:r>
      <w:r w:rsidRPr="00221CFA">
        <w:rPr>
          <w:rFonts w:ascii="Arial" w:hAnsi="Arial" w:cs="Arial"/>
          <w:b/>
          <w:sz w:val="20"/>
          <w:szCs w:val="20"/>
        </w:rPr>
        <w:t>,</w:t>
      </w:r>
      <w:r w:rsidRPr="00221CFA">
        <w:rPr>
          <w:rFonts w:ascii="Arial" w:hAnsi="Arial" w:cs="Arial"/>
          <w:sz w:val="20"/>
          <w:szCs w:val="20"/>
        </w:rPr>
        <w:t xml:space="preserve"> and enhance microbial enzyme activity by </w:t>
      </w:r>
      <w:r w:rsidRPr="00221CFA">
        <w:rPr>
          <w:rStyle w:val="Strong"/>
          <w:rFonts w:ascii="Arial" w:hAnsi="Arial" w:cs="Arial"/>
          <w:b w:val="0"/>
          <w:sz w:val="20"/>
          <w:szCs w:val="20"/>
        </w:rPr>
        <w:t>30–40 %</w:t>
      </w:r>
      <w:r w:rsidRPr="00221CFA">
        <w:rPr>
          <w:rFonts w:ascii="Arial" w:hAnsi="Arial" w:cs="Arial"/>
          <w:sz w:val="20"/>
          <w:szCs w:val="20"/>
        </w:rPr>
        <w:t xml:space="preserve"> compared to conventional single-strain inoculants</w:t>
      </w:r>
      <w:r w:rsidR="00F5679C">
        <w:rPr>
          <w:rFonts w:ascii="Arial" w:hAnsi="Arial" w:cs="Arial"/>
          <w:sz w:val="20"/>
          <w:szCs w:val="20"/>
        </w:rPr>
        <w:t xml:space="preserve"> </w:t>
      </w:r>
      <w:r w:rsidR="00F5679C" w:rsidRPr="00F5679C">
        <w:rPr>
          <w:rFonts w:ascii="Arial" w:hAnsi="Arial" w:cs="Arial"/>
          <w:sz w:val="20"/>
          <w:szCs w:val="20"/>
          <w:highlight w:val="yellow"/>
        </w:rPr>
        <w:t>(Kumar et al., 2016)</w:t>
      </w:r>
      <w:r w:rsidRPr="00F5679C">
        <w:rPr>
          <w:rFonts w:ascii="Arial" w:hAnsi="Arial" w:cs="Arial"/>
          <w:sz w:val="20"/>
          <w:szCs w:val="20"/>
          <w:highlight w:val="yellow"/>
        </w:rPr>
        <w:t>.</w:t>
      </w:r>
      <w:r w:rsidR="0089766D" w:rsidRPr="00F5679C">
        <w:rPr>
          <w:rFonts w:ascii="Arial" w:hAnsi="Arial" w:cs="Arial"/>
          <w:sz w:val="20"/>
          <w:szCs w:val="20"/>
          <w:highlight w:val="yellow"/>
        </w:rPr>
        <w:t xml:space="preserve"> </w:t>
      </w:r>
      <w:r w:rsidRPr="00F5679C">
        <w:rPr>
          <w:rFonts w:ascii="Arial" w:hAnsi="Arial" w:cs="Arial"/>
          <w:sz w:val="20"/>
          <w:szCs w:val="20"/>
          <w:highlight w:val="yellow"/>
        </w:rPr>
        <w:t xml:space="preserve">The next frontier is </w:t>
      </w:r>
      <w:r w:rsidRPr="00F5679C">
        <w:rPr>
          <w:rStyle w:val="Strong"/>
          <w:rFonts w:ascii="Arial" w:hAnsi="Arial" w:cs="Arial"/>
          <w:b w:val="0"/>
          <w:sz w:val="20"/>
          <w:szCs w:val="20"/>
          <w:highlight w:val="yellow"/>
        </w:rPr>
        <w:t>genomics-guided microbial selection</w:t>
      </w:r>
      <w:r w:rsidRPr="00F5679C">
        <w:rPr>
          <w:rFonts w:ascii="Arial" w:hAnsi="Arial" w:cs="Arial"/>
          <w:b/>
          <w:sz w:val="20"/>
          <w:szCs w:val="20"/>
          <w:highlight w:val="yellow"/>
        </w:rPr>
        <w:t>,</w:t>
      </w:r>
      <w:r w:rsidRPr="00F5679C">
        <w:rPr>
          <w:rFonts w:ascii="Arial" w:hAnsi="Arial" w:cs="Arial"/>
          <w:sz w:val="20"/>
          <w:szCs w:val="20"/>
          <w:highlight w:val="yellow"/>
        </w:rPr>
        <w:t xml:space="preserve"> using metagenomic and transcriptomic tools to</w:t>
      </w:r>
      <w:r w:rsidRPr="00221CFA">
        <w:rPr>
          <w:rFonts w:ascii="Arial" w:hAnsi="Arial" w:cs="Arial"/>
          <w:sz w:val="20"/>
          <w:szCs w:val="20"/>
        </w:rPr>
        <w:t xml:space="preserve"> identify native endophytes and rhizobacteria that naturally associate with specific millet genotypes. Such tailored consortia will ensure greater colonization success and stability under diverse agro-ecological conditions.</w:t>
      </w:r>
    </w:p>
    <w:p w14:paraId="655C0B16"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5</w:t>
      </w:r>
      <w:r w:rsidR="007D1F72" w:rsidRPr="00221CFA">
        <w:rPr>
          <w:rStyle w:val="Strong"/>
          <w:rFonts w:ascii="Arial" w:hAnsi="Arial" w:cs="Arial"/>
          <w:b/>
          <w:bCs/>
          <w:sz w:val="20"/>
          <w:szCs w:val="20"/>
        </w:rPr>
        <w:t>.3. Digital and Precision Tools for Biofertilizer Application</w:t>
      </w:r>
    </w:p>
    <w:p w14:paraId="172235B1" w14:textId="0A92961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Advances in digital agriculture and precision nutrient management provide new opportunities to improve the accuracy, timing, and efficiency of biofertilizer application.</w:t>
      </w:r>
      <w:r w:rsidRPr="00221CFA">
        <w:rPr>
          <w:rFonts w:ascii="Arial" w:hAnsi="Arial" w:cs="Arial"/>
          <w:sz w:val="20"/>
          <w:szCs w:val="20"/>
        </w:rPr>
        <w:br/>
      </w:r>
      <w:r w:rsidRPr="00221CFA">
        <w:rPr>
          <w:rStyle w:val="Strong"/>
          <w:rFonts w:ascii="Arial" w:hAnsi="Arial" w:cs="Arial"/>
          <w:b w:val="0"/>
          <w:sz w:val="20"/>
          <w:szCs w:val="20"/>
        </w:rPr>
        <w:t>Smart farming tools</w:t>
      </w:r>
      <w:r w:rsidR="00870453" w:rsidRPr="00221CFA">
        <w:rPr>
          <w:rStyle w:val="Strong"/>
          <w:rFonts w:ascii="Arial" w:hAnsi="Arial" w:cs="Arial"/>
          <w:b w:val="0"/>
          <w:sz w:val="20"/>
          <w:szCs w:val="20"/>
        </w:rPr>
        <w:t>,</w:t>
      </w:r>
      <w:r w:rsidR="0089766D" w:rsidRPr="00221CFA">
        <w:rPr>
          <w:rFonts w:ascii="Arial" w:hAnsi="Arial" w:cs="Arial"/>
          <w:sz w:val="20"/>
          <w:szCs w:val="20"/>
        </w:rPr>
        <w:t xml:space="preserve"> </w:t>
      </w:r>
      <w:r w:rsidRPr="00221CFA">
        <w:rPr>
          <w:rFonts w:ascii="Arial" w:hAnsi="Arial" w:cs="Arial"/>
          <w:sz w:val="20"/>
          <w:szCs w:val="20"/>
        </w:rPr>
        <w:t>including remote sensing, soil sensors, and Internet of Things (IoT)-based monitoring</w:t>
      </w:r>
      <w:r w:rsidR="00870453" w:rsidRPr="00221CFA">
        <w:rPr>
          <w:rFonts w:ascii="Arial" w:hAnsi="Arial" w:cs="Arial"/>
          <w:sz w:val="20"/>
          <w:szCs w:val="20"/>
        </w:rPr>
        <w:t>,</w:t>
      </w:r>
      <w:r w:rsidR="0089766D" w:rsidRPr="00221CFA">
        <w:rPr>
          <w:rFonts w:ascii="Arial" w:hAnsi="Arial" w:cs="Arial"/>
          <w:sz w:val="20"/>
          <w:szCs w:val="20"/>
        </w:rPr>
        <w:t xml:space="preserve"> </w:t>
      </w:r>
      <w:r w:rsidRPr="00221CFA">
        <w:rPr>
          <w:rFonts w:ascii="Arial" w:hAnsi="Arial" w:cs="Arial"/>
          <w:sz w:val="20"/>
          <w:szCs w:val="20"/>
        </w:rPr>
        <w:t>can be integrated to guide biofertilizer use more effectively:</w:t>
      </w:r>
    </w:p>
    <w:p w14:paraId="167293F5" w14:textId="77777777" w:rsidR="007D1F72" w:rsidRPr="00221CFA" w:rsidRDefault="007D1F72" w:rsidP="007D1F72">
      <w:pPr>
        <w:pStyle w:val="NormalWeb"/>
        <w:numPr>
          <w:ilvl w:val="0"/>
          <w:numId w:val="20"/>
        </w:numPr>
        <w:jc w:val="both"/>
        <w:rPr>
          <w:rFonts w:ascii="Arial" w:hAnsi="Arial" w:cs="Arial"/>
          <w:sz w:val="20"/>
          <w:szCs w:val="20"/>
        </w:rPr>
      </w:pPr>
      <w:r w:rsidRPr="00221CFA">
        <w:rPr>
          <w:rStyle w:val="Strong"/>
          <w:rFonts w:ascii="Arial" w:hAnsi="Arial" w:cs="Arial"/>
          <w:sz w:val="20"/>
          <w:szCs w:val="20"/>
        </w:rPr>
        <w:t>Geo-referenced soil mapping</w:t>
      </w:r>
      <w:r w:rsidRPr="00221CFA">
        <w:rPr>
          <w:rFonts w:ascii="Arial" w:hAnsi="Arial" w:cs="Arial"/>
          <w:sz w:val="20"/>
          <w:szCs w:val="20"/>
        </w:rPr>
        <w:t xml:space="preserve"> can identify microbial-deficient zones or nutrient-stressed fields where inoculation is most beneficial.</w:t>
      </w:r>
    </w:p>
    <w:p w14:paraId="44A2CA83" w14:textId="77777777" w:rsidR="007D1F72" w:rsidRPr="00221CFA" w:rsidRDefault="007D1F72" w:rsidP="007D1F72">
      <w:pPr>
        <w:pStyle w:val="NormalWeb"/>
        <w:numPr>
          <w:ilvl w:val="0"/>
          <w:numId w:val="20"/>
        </w:numPr>
        <w:jc w:val="both"/>
        <w:rPr>
          <w:rFonts w:ascii="Arial" w:hAnsi="Arial" w:cs="Arial"/>
          <w:sz w:val="20"/>
          <w:szCs w:val="20"/>
        </w:rPr>
      </w:pPr>
      <w:r w:rsidRPr="00221CFA">
        <w:rPr>
          <w:rStyle w:val="Strong"/>
          <w:rFonts w:ascii="Arial" w:hAnsi="Arial" w:cs="Arial"/>
          <w:sz w:val="20"/>
          <w:szCs w:val="20"/>
        </w:rPr>
        <w:t>Drones and variable-rate applicators</w:t>
      </w:r>
      <w:r w:rsidRPr="00221CFA">
        <w:rPr>
          <w:rFonts w:ascii="Arial" w:hAnsi="Arial" w:cs="Arial"/>
          <w:sz w:val="20"/>
          <w:szCs w:val="20"/>
        </w:rPr>
        <w:t xml:space="preserve"> enable precise biofertilizer spraying or seed coating, reducing wastage and ensuring even distribution across large fields.</w:t>
      </w:r>
    </w:p>
    <w:p w14:paraId="343FD962" w14:textId="77777777" w:rsidR="007D1F72" w:rsidRPr="00221CFA" w:rsidRDefault="007D1F72" w:rsidP="007D1F72">
      <w:pPr>
        <w:pStyle w:val="NormalWeb"/>
        <w:numPr>
          <w:ilvl w:val="0"/>
          <w:numId w:val="20"/>
        </w:numPr>
        <w:jc w:val="both"/>
        <w:rPr>
          <w:rFonts w:ascii="Arial" w:hAnsi="Arial" w:cs="Arial"/>
          <w:sz w:val="20"/>
          <w:szCs w:val="20"/>
        </w:rPr>
      </w:pPr>
      <w:r w:rsidRPr="00221CFA">
        <w:rPr>
          <w:rStyle w:val="Strong"/>
          <w:rFonts w:ascii="Arial" w:hAnsi="Arial" w:cs="Arial"/>
          <w:sz w:val="20"/>
          <w:szCs w:val="20"/>
        </w:rPr>
        <w:t>Artificial intelligence (AI) and data analytics</w:t>
      </w:r>
      <w:r w:rsidRPr="00221CFA">
        <w:rPr>
          <w:rFonts w:ascii="Arial" w:hAnsi="Arial" w:cs="Arial"/>
          <w:sz w:val="20"/>
          <w:szCs w:val="20"/>
        </w:rPr>
        <w:t xml:space="preserve"> can predict soil microbial health trends and recommend specific microbial strains suited to local climatic and edaphic conditions.</w:t>
      </w:r>
    </w:p>
    <w:p w14:paraId="10835D9F" w14:textId="77777777" w:rsidR="007D1F72" w:rsidRPr="00221CFA" w:rsidRDefault="007D1F72" w:rsidP="007D1F72">
      <w:pPr>
        <w:pStyle w:val="NormalWeb"/>
        <w:numPr>
          <w:ilvl w:val="0"/>
          <w:numId w:val="20"/>
        </w:numPr>
        <w:jc w:val="both"/>
        <w:rPr>
          <w:rFonts w:ascii="Arial" w:hAnsi="Arial" w:cs="Arial"/>
          <w:sz w:val="20"/>
          <w:szCs w:val="20"/>
        </w:rPr>
      </w:pPr>
      <w:r w:rsidRPr="00221CFA">
        <w:rPr>
          <w:rStyle w:val="Strong"/>
          <w:rFonts w:ascii="Arial" w:hAnsi="Arial" w:cs="Arial"/>
          <w:sz w:val="20"/>
          <w:szCs w:val="20"/>
        </w:rPr>
        <w:t>Mobile-based advisory platforms</w:t>
      </w:r>
      <w:r w:rsidRPr="00221CFA">
        <w:rPr>
          <w:rFonts w:ascii="Arial" w:hAnsi="Arial" w:cs="Arial"/>
          <w:sz w:val="20"/>
          <w:szCs w:val="20"/>
        </w:rPr>
        <w:t>, developed by ICAR and FAO’s e-Agriculture program, can assist farmers in choosing, applying, and storing biofertilizers safely.</w:t>
      </w:r>
    </w:p>
    <w:p w14:paraId="1AAB4826" w14:textId="3494A3D5"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 xml:space="preserve">Emerging innovations, such as </w:t>
      </w:r>
      <w:r w:rsidRPr="00221CFA">
        <w:rPr>
          <w:rStyle w:val="Strong"/>
          <w:rFonts w:ascii="Arial" w:hAnsi="Arial" w:cs="Arial"/>
          <w:b w:val="0"/>
          <w:sz w:val="20"/>
          <w:szCs w:val="20"/>
        </w:rPr>
        <w:t>nano-encapsulated microbial formulations</w:t>
      </w:r>
      <w:r w:rsidRPr="00221CFA">
        <w:rPr>
          <w:rFonts w:ascii="Arial" w:hAnsi="Arial" w:cs="Arial"/>
          <w:sz w:val="20"/>
          <w:szCs w:val="20"/>
        </w:rPr>
        <w:t xml:space="preserve"> and </w:t>
      </w:r>
      <w:r w:rsidRPr="00221CFA">
        <w:rPr>
          <w:rStyle w:val="Strong"/>
          <w:rFonts w:ascii="Arial" w:hAnsi="Arial" w:cs="Arial"/>
          <w:b w:val="0"/>
          <w:sz w:val="20"/>
          <w:szCs w:val="20"/>
        </w:rPr>
        <w:t>AI-driven soil microbiome diagnostics</w:t>
      </w:r>
      <w:r w:rsidRPr="00221CFA">
        <w:rPr>
          <w:rFonts w:ascii="Arial" w:hAnsi="Arial" w:cs="Arial"/>
          <w:b/>
          <w:sz w:val="20"/>
          <w:szCs w:val="20"/>
        </w:rPr>
        <w:t>,</w:t>
      </w:r>
      <w:r w:rsidRPr="00221CFA">
        <w:rPr>
          <w:rFonts w:ascii="Arial" w:hAnsi="Arial" w:cs="Arial"/>
          <w:sz w:val="20"/>
          <w:szCs w:val="20"/>
        </w:rPr>
        <w:t xml:space="preserve"> promise better inoculant shelf-life, field stability, and performance predictability</w:t>
      </w:r>
      <w:r w:rsidR="00870453" w:rsidRPr="00221CFA">
        <w:rPr>
          <w:rFonts w:ascii="Arial" w:hAnsi="Arial" w:cs="Arial"/>
          <w:sz w:val="20"/>
          <w:szCs w:val="20"/>
        </w:rPr>
        <w:t>,</w:t>
      </w:r>
      <w:r w:rsidRPr="00221CFA">
        <w:rPr>
          <w:rFonts w:ascii="Arial" w:hAnsi="Arial" w:cs="Arial"/>
          <w:sz w:val="20"/>
          <w:szCs w:val="20"/>
        </w:rPr>
        <w:t xml:space="preserve"> critical factors for scaling biofertilizer adoption in millet systems.</w:t>
      </w:r>
    </w:p>
    <w:p w14:paraId="37FB93CD" w14:textId="77777777" w:rsidR="007D1F72" w:rsidRPr="00221CFA" w:rsidRDefault="009664D1" w:rsidP="007D1F72">
      <w:pPr>
        <w:pStyle w:val="Heading3"/>
        <w:jc w:val="both"/>
        <w:rPr>
          <w:rFonts w:ascii="Arial" w:hAnsi="Arial" w:cs="Arial"/>
          <w:sz w:val="20"/>
          <w:szCs w:val="20"/>
        </w:rPr>
      </w:pPr>
      <w:r w:rsidRPr="00221CFA">
        <w:rPr>
          <w:rStyle w:val="Strong"/>
          <w:rFonts w:ascii="Arial" w:hAnsi="Arial" w:cs="Arial"/>
          <w:b/>
          <w:bCs/>
          <w:sz w:val="20"/>
          <w:szCs w:val="20"/>
        </w:rPr>
        <w:t>5</w:t>
      </w:r>
      <w:r w:rsidR="007D1F72" w:rsidRPr="00221CFA">
        <w:rPr>
          <w:rStyle w:val="Strong"/>
          <w:rFonts w:ascii="Arial" w:hAnsi="Arial" w:cs="Arial"/>
          <w:b/>
          <w:bCs/>
          <w:sz w:val="20"/>
          <w:szCs w:val="20"/>
        </w:rPr>
        <w:t>.4. Long-Term Soil Health Monitoring and Sustainability Indices</w:t>
      </w:r>
    </w:p>
    <w:p w14:paraId="4961E994" w14:textId="7777777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 xml:space="preserve">For biofertilizer-based nutrient management to gain institutional support, its benefits must be quantifiable and traceable through </w:t>
      </w:r>
      <w:r w:rsidRPr="00221CFA">
        <w:rPr>
          <w:rStyle w:val="Strong"/>
          <w:rFonts w:ascii="Arial" w:hAnsi="Arial" w:cs="Arial"/>
          <w:b w:val="0"/>
          <w:sz w:val="20"/>
          <w:szCs w:val="20"/>
        </w:rPr>
        <w:t>long-term soil health indicators</w:t>
      </w:r>
      <w:r w:rsidRPr="00221CFA">
        <w:rPr>
          <w:rFonts w:ascii="Arial" w:hAnsi="Arial" w:cs="Arial"/>
          <w:b/>
          <w:sz w:val="20"/>
          <w:szCs w:val="20"/>
        </w:rPr>
        <w:t>.</w:t>
      </w:r>
    </w:p>
    <w:p w14:paraId="4C4A9EE4" w14:textId="77777777"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Key measurable parameters include:</w:t>
      </w:r>
    </w:p>
    <w:p w14:paraId="65BE7FA5" w14:textId="77777777" w:rsidR="007D1F72" w:rsidRPr="00221CFA" w:rsidRDefault="007D1F72" w:rsidP="007D1F72">
      <w:pPr>
        <w:pStyle w:val="NormalWeb"/>
        <w:numPr>
          <w:ilvl w:val="0"/>
          <w:numId w:val="21"/>
        </w:numPr>
        <w:jc w:val="both"/>
        <w:rPr>
          <w:rFonts w:ascii="Arial" w:hAnsi="Arial" w:cs="Arial"/>
          <w:sz w:val="20"/>
          <w:szCs w:val="20"/>
        </w:rPr>
      </w:pPr>
      <w:r w:rsidRPr="00221CFA">
        <w:rPr>
          <w:rStyle w:val="Strong"/>
          <w:rFonts w:ascii="Arial" w:hAnsi="Arial" w:cs="Arial"/>
          <w:sz w:val="20"/>
          <w:szCs w:val="20"/>
        </w:rPr>
        <w:t>Soil organic carbon (SOC)</w:t>
      </w:r>
      <w:r w:rsidRPr="00221CFA">
        <w:rPr>
          <w:rFonts w:ascii="Arial" w:hAnsi="Arial" w:cs="Arial"/>
          <w:sz w:val="20"/>
          <w:szCs w:val="20"/>
        </w:rPr>
        <w:t xml:space="preserve"> levels and microbial biomass carbon,</w:t>
      </w:r>
    </w:p>
    <w:p w14:paraId="5833CF95" w14:textId="77777777" w:rsidR="007D1F72" w:rsidRPr="00221CFA" w:rsidRDefault="007D1F72" w:rsidP="007D1F72">
      <w:pPr>
        <w:pStyle w:val="NormalWeb"/>
        <w:numPr>
          <w:ilvl w:val="0"/>
          <w:numId w:val="21"/>
        </w:numPr>
        <w:jc w:val="both"/>
        <w:rPr>
          <w:rFonts w:ascii="Arial" w:hAnsi="Arial" w:cs="Arial"/>
          <w:sz w:val="20"/>
          <w:szCs w:val="20"/>
        </w:rPr>
      </w:pPr>
      <w:r w:rsidRPr="00221CFA">
        <w:rPr>
          <w:rStyle w:val="Strong"/>
          <w:rFonts w:ascii="Arial" w:hAnsi="Arial" w:cs="Arial"/>
          <w:sz w:val="20"/>
          <w:szCs w:val="20"/>
        </w:rPr>
        <w:t>Enzymatic activity indices</w:t>
      </w:r>
      <w:r w:rsidRPr="00221CFA">
        <w:rPr>
          <w:rFonts w:ascii="Arial" w:hAnsi="Arial" w:cs="Arial"/>
          <w:sz w:val="20"/>
          <w:szCs w:val="20"/>
        </w:rPr>
        <w:t xml:space="preserve"> (dehydrogenase, phosphatase, urease),</w:t>
      </w:r>
    </w:p>
    <w:p w14:paraId="56AF5D85" w14:textId="77777777" w:rsidR="007D1F72" w:rsidRPr="00221CFA" w:rsidRDefault="007D1F72" w:rsidP="007D1F72">
      <w:pPr>
        <w:pStyle w:val="NormalWeb"/>
        <w:numPr>
          <w:ilvl w:val="0"/>
          <w:numId w:val="21"/>
        </w:numPr>
        <w:jc w:val="both"/>
        <w:rPr>
          <w:rFonts w:ascii="Arial" w:hAnsi="Arial" w:cs="Arial"/>
          <w:sz w:val="20"/>
          <w:szCs w:val="20"/>
        </w:rPr>
      </w:pPr>
      <w:r w:rsidRPr="00221CFA">
        <w:rPr>
          <w:rStyle w:val="Strong"/>
          <w:rFonts w:ascii="Arial" w:hAnsi="Arial" w:cs="Arial"/>
          <w:sz w:val="20"/>
          <w:szCs w:val="20"/>
        </w:rPr>
        <w:t>Nutrient balance sheets</w:t>
      </w:r>
      <w:r w:rsidRPr="00221CFA">
        <w:rPr>
          <w:rFonts w:ascii="Arial" w:hAnsi="Arial" w:cs="Arial"/>
          <w:sz w:val="20"/>
          <w:szCs w:val="20"/>
        </w:rPr>
        <w:t xml:space="preserve"> tracking available N, P, K, and micronutrients,</w:t>
      </w:r>
    </w:p>
    <w:p w14:paraId="20A3A1B8" w14:textId="77777777" w:rsidR="007D1F72" w:rsidRPr="00221CFA" w:rsidRDefault="007D1F72" w:rsidP="007D1F72">
      <w:pPr>
        <w:pStyle w:val="NormalWeb"/>
        <w:numPr>
          <w:ilvl w:val="0"/>
          <w:numId w:val="21"/>
        </w:numPr>
        <w:jc w:val="both"/>
        <w:rPr>
          <w:rFonts w:ascii="Arial" w:hAnsi="Arial" w:cs="Arial"/>
          <w:sz w:val="20"/>
          <w:szCs w:val="20"/>
        </w:rPr>
      </w:pPr>
      <w:r w:rsidRPr="00221CFA">
        <w:rPr>
          <w:rStyle w:val="Strong"/>
          <w:rFonts w:ascii="Arial" w:hAnsi="Arial" w:cs="Arial"/>
          <w:sz w:val="20"/>
          <w:szCs w:val="20"/>
        </w:rPr>
        <w:t>Microbial diversity indices</w:t>
      </w:r>
      <w:r w:rsidRPr="00221CFA">
        <w:rPr>
          <w:rFonts w:ascii="Arial" w:hAnsi="Arial" w:cs="Arial"/>
          <w:sz w:val="20"/>
          <w:szCs w:val="20"/>
        </w:rPr>
        <w:t xml:space="preserve"> derived from DNA-based metagenomic assays,</w:t>
      </w:r>
    </w:p>
    <w:p w14:paraId="407FC09F" w14:textId="77777777" w:rsidR="007D1F72" w:rsidRPr="00221CFA" w:rsidRDefault="007D1F72" w:rsidP="007D1F72">
      <w:pPr>
        <w:pStyle w:val="NormalWeb"/>
        <w:numPr>
          <w:ilvl w:val="0"/>
          <w:numId w:val="21"/>
        </w:numPr>
        <w:jc w:val="both"/>
        <w:rPr>
          <w:rFonts w:ascii="Arial" w:hAnsi="Arial" w:cs="Arial"/>
          <w:sz w:val="20"/>
          <w:szCs w:val="20"/>
        </w:rPr>
      </w:pPr>
      <w:r w:rsidRPr="00221CFA">
        <w:rPr>
          <w:rStyle w:val="Strong"/>
          <w:rFonts w:ascii="Arial" w:hAnsi="Arial" w:cs="Arial"/>
          <w:sz w:val="20"/>
          <w:szCs w:val="20"/>
        </w:rPr>
        <w:t>Soil sustainability indices</w:t>
      </w:r>
      <w:r w:rsidRPr="00221CFA">
        <w:rPr>
          <w:rFonts w:ascii="Arial" w:hAnsi="Arial" w:cs="Arial"/>
          <w:sz w:val="20"/>
          <w:szCs w:val="20"/>
        </w:rPr>
        <w:t xml:space="preserve"> that integrate chemical, biological, and physical parameters.</w:t>
      </w:r>
    </w:p>
    <w:p w14:paraId="000D771F" w14:textId="72FCCD8B"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 xml:space="preserve">Long-term monitoring programs by ICAR and FAO’s Global Soil Partnership emphasize that biological indicators respond faster to management changes than chemical ones. Thus, incorporating microbial activity metrics into national soil health schemes (like India’s </w:t>
      </w:r>
      <w:r w:rsidRPr="00221CFA">
        <w:rPr>
          <w:rStyle w:val="Emphasis"/>
          <w:rFonts w:ascii="Arial" w:hAnsi="Arial" w:cs="Arial"/>
          <w:sz w:val="20"/>
          <w:szCs w:val="20"/>
        </w:rPr>
        <w:t xml:space="preserve">Soil Health </w:t>
      </w:r>
      <w:proofErr w:type="spellStart"/>
      <w:r w:rsidRPr="00221CFA">
        <w:rPr>
          <w:rStyle w:val="Emphasis"/>
          <w:rFonts w:ascii="Arial" w:hAnsi="Arial" w:cs="Arial"/>
          <w:sz w:val="20"/>
          <w:szCs w:val="20"/>
        </w:rPr>
        <w:t>Card</w:t>
      </w:r>
      <w:proofErr w:type="spellEnd"/>
      <w:r w:rsidRPr="00221CFA">
        <w:rPr>
          <w:rFonts w:ascii="Arial" w:hAnsi="Arial" w:cs="Arial"/>
          <w:sz w:val="20"/>
          <w:szCs w:val="20"/>
        </w:rPr>
        <w:t xml:space="preserve"> initiative) can provide real-time feedback on the ecological benefits of biofertilizer adoption.</w:t>
      </w:r>
      <w:r w:rsidR="0089766D" w:rsidRPr="00221CFA">
        <w:rPr>
          <w:rFonts w:ascii="Arial" w:hAnsi="Arial" w:cs="Arial"/>
          <w:sz w:val="20"/>
          <w:szCs w:val="20"/>
        </w:rPr>
        <w:t xml:space="preserve"> </w:t>
      </w:r>
      <w:r w:rsidRPr="00221CFA">
        <w:rPr>
          <w:rFonts w:ascii="Arial" w:hAnsi="Arial" w:cs="Arial"/>
          <w:sz w:val="20"/>
          <w:szCs w:val="20"/>
        </w:rPr>
        <w:t xml:space="preserve">Developing </w:t>
      </w:r>
      <w:r w:rsidRPr="00221CFA">
        <w:rPr>
          <w:rStyle w:val="Strong"/>
          <w:rFonts w:ascii="Arial" w:hAnsi="Arial" w:cs="Arial"/>
          <w:b w:val="0"/>
          <w:sz w:val="20"/>
          <w:szCs w:val="20"/>
        </w:rPr>
        <w:t>Millet Soil Health Indices (MSHI)</w:t>
      </w:r>
      <w:r w:rsidRPr="00221CFA">
        <w:rPr>
          <w:rFonts w:ascii="Arial" w:hAnsi="Arial" w:cs="Arial"/>
          <w:b/>
          <w:sz w:val="20"/>
          <w:szCs w:val="20"/>
        </w:rPr>
        <w:t xml:space="preserve"> </w:t>
      </w:r>
      <w:r w:rsidRPr="00221CFA">
        <w:rPr>
          <w:rFonts w:ascii="Arial" w:hAnsi="Arial" w:cs="Arial"/>
          <w:sz w:val="20"/>
          <w:szCs w:val="20"/>
        </w:rPr>
        <w:t>that reflect nutrient balance, microbial vitality, and carbon sequestration potential would be a powerful policy tool for evaluating the sustainability of millet-based farming systems.</w:t>
      </w:r>
      <w:r w:rsidR="0089766D" w:rsidRPr="00221CFA">
        <w:rPr>
          <w:rFonts w:ascii="Arial" w:hAnsi="Arial" w:cs="Arial"/>
          <w:sz w:val="20"/>
          <w:szCs w:val="20"/>
        </w:rPr>
        <w:t xml:space="preserve"> </w:t>
      </w:r>
      <w:r w:rsidRPr="00221CFA">
        <w:rPr>
          <w:rFonts w:ascii="Arial" w:hAnsi="Arial" w:cs="Arial"/>
          <w:sz w:val="20"/>
          <w:szCs w:val="20"/>
        </w:rPr>
        <w:t xml:space="preserve">Such indices </w:t>
      </w:r>
      <w:r w:rsidRPr="00221CFA">
        <w:rPr>
          <w:rFonts w:ascii="Arial" w:hAnsi="Arial" w:cs="Arial"/>
          <w:sz w:val="20"/>
          <w:szCs w:val="20"/>
        </w:rPr>
        <w:lastRenderedPageBreak/>
        <w:t>can guide policymakers and extension agencies to reward regenerative practices</w:t>
      </w:r>
      <w:r w:rsidR="00870453" w:rsidRPr="00221CFA">
        <w:rPr>
          <w:rFonts w:ascii="Arial" w:hAnsi="Arial" w:cs="Arial"/>
          <w:sz w:val="20"/>
          <w:szCs w:val="20"/>
        </w:rPr>
        <w:t>,</w:t>
      </w:r>
      <w:r w:rsidR="0089766D" w:rsidRPr="00221CFA">
        <w:rPr>
          <w:rFonts w:ascii="Arial" w:hAnsi="Arial" w:cs="Arial"/>
          <w:sz w:val="20"/>
          <w:szCs w:val="20"/>
        </w:rPr>
        <w:t xml:space="preserve"> </w:t>
      </w:r>
      <w:r w:rsidRPr="00221CFA">
        <w:rPr>
          <w:rFonts w:ascii="Arial" w:hAnsi="Arial" w:cs="Arial"/>
          <w:sz w:val="20"/>
          <w:szCs w:val="20"/>
        </w:rPr>
        <w:t>thereby integrating biofertilizer adoption into broader sustainability frameworks and carbon credit programs.</w:t>
      </w:r>
    </w:p>
    <w:p w14:paraId="1F9F8E32" w14:textId="77777777" w:rsidR="00414543" w:rsidRPr="00221CFA" w:rsidRDefault="009664D1" w:rsidP="009664D1">
      <w:pPr>
        <w:pStyle w:val="Heading3"/>
        <w:ind w:firstLine="720"/>
        <w:jc w:val="both"/>
        <w:rPr>
          <w:rFonts w:ascii="Arial" w:hAnsi="Arial" w:cs="Arial"/>
          <w:sz w:val="24"/>
          <w:szCs w:val="20"/>
        </w:rPr>
      </w:pPr>
      <w:r w:rsidRPr="00221CFA">
        <w:rPr>
          <w:rStyle w:val="Strong"/>
          <w:rFonts w:ascii="Arial" w:hAnsi="Arial" w:cs="Arial"/>
          <w:b/>
          <w:bCs/>
          <w:sz w:val="24"/>
          <w:szCs w:val="20"/>
        </w:rPr>
        <w:t>6</w:t>
      </w:r>
      <w:r w:rsidR="0089766D" w:rsidRPr="00221CFA">
        <w:rPr>
          <w:rStyle w:val="Strong"/>
          <w:rFonts w:ascii="Arial" w:hAnsi="Arial" w:cs="Arial"/>
          <w:b/>
          <w:bCs/>
          <w:sz w:val="24"/>
          <w:szCs w:val="20"/>
        </w:rPr>
        <w:t>. CONCLUSION</w:t>
      </w:r>
    </w:p>
    <w:p w14:paraId="471ED4E7" w14:textId="5A425816" w:rsidR="007D1F72" w:rsidRPr="00221CFA" w:rsidRDefault="007D1F72" w:rsidP="007D1F72">
      <w:pPr>
        <w:pStyle w:val="NormalWeb"/>
        <w:jc w:val="both"/>
        <w:rPr>
          <w:rFonts w:ascii="Arial" w:hAnsi="Arial" w:cs="Arial"/>
          <w:sz w:val="20"/>
          <w:szCs w:val="20"/>
        </w:rPr>
      </w:pPr>
      <w:r w:rsidRPr="00221CFA">
        <w:rPr>
          <w:rFonts w:ascii="Arial" w:hAnsi="Arial" w:cs="Arial"/>
          <w:sz w:val="20"/>
          <w:szCs w:val="20"/>
        </w:rPr>
        <w:t>The integration of biofertilizers into millet-based nutrient management represents a powerful step toward achieving sustainable, climate-resilient, and nutritionally secure agriculture. Millets, with their innate tolerance to drought, heat, and poor soils, are naturally suited to low-input production systems</w:t>
      </w:r>
      <w:r w:rsidR="00870453" w:rsidRPr="00221CFA">
        <w:rPr>
          <w:rFonts w:ascii="Arial" w:hAnsi="Arial" w:cs="Arial"/>
          <w:sz w:val="20"/>
          <w:szCs w:val="20"/>
        </w:rPr>
        <w:t>,</w:t>
      </w:r>
      <w:r w:rsidRPr="00221CFA">
        <w:rPr>
          <w:rFonts w:ascii="Arial" w:hAnsi="Arial" w:cs="Arial"/>
          <w:sz w:val="20"/>
          <w:szCs w:val="20"/>
        </w:rPr>
        <w:t xml:space="preserve"> and biofertilizers complement this resilience by enhancing nutrient acquisition, biological soil fertility, and crop productivity without ecological harm. The synergistic action of nitrogen-fixing, phosphate-solubilizing, and mycorrhizal inoculants not only supplements plant nutrition but also rejuvenates soil ecosystems depleted by years of chemical dependence.</w:t>
      </w:r>
      <w:r w:rsidR="0089766D" w:rsidRPr="00221CFA">
        <w:rPr>
          <w:rFonts w:ascii="Arial" w:hAnsi="Arial" w:cs="Arial"/>
          <w:sz w:val="20"/>
          <w:szCs w:val="20"/>
        </w:rPr>
        <w:t xml:space="preserve"> </w:t>
      </w:r>
      <w:r w:rsidRPr="00221CFA">
        <w:rPr>
          <w:rFonts w:ascii="Arial" w:hAnsi="Arial" w:cs="Arial"/>
          <w:sz w:val="20"/>
          <w:szCs w:val="20"/>
        </w:rPr>
        <w:t>By stimulating soil enzymatic activity, enriching microbial diversity, and improving organic matter turnover, biofertilizers restore the living dynamics of soil</w:t>
      </w:r>
      <w:r w:rsidR="00870453" w:rsidRPr="00221CFA">
        <w:rPr>
          <w:rFonts w:ascii="Arial" w:hAnsi="Arial" w:cs="Arial"/>
          <w:sz w:val="20"/>
          <w:szCs w:val="20"/>
        </w:rPr>
        <w:t>,</w:t>
      </w:r>
      <w:r w:rsidRPr="00221CFA">
        <w:rPr>
          <w:rFonts w:ascii="Arial" w:hAnsi="Arial" w:cs="Arial"/>
          <w:sz w:val="20"/>
          <w:szCs w:val="20"/>
        </w:rPr>
        <w:t xml:space="preserve"> converting it from a passive substrate into a self-sustaining biological engine. Their integration with organic and mineral fertilizers optimizes nutrient-use efficiency, stabilizes yields, and reduces environmental losses. These outcomes directly contribute to </w:t>
      </w:r>
      <w:r w:rsidRPr="00221CFA">
        <w:rPr>
          <w:rStyle w:val="Strong"/>
          <w:rFonts w:ascii="Arial" w:hAnsi="Arial" w:cs="Arial"/>
          <w:b w:val="0"/>
          <w:sz w:val="20"/>
          <w:szCs w:val="20"/>
        </w:rPr>
        <w:t>food–nutrient security</w:t>
      </w:r>
      <w:r w:rsidRPr="00221CFA">
        <w:rPr>
          <w:rFonts w:ascii="Arial" w:hAnsi="Arial" w:cs="Arial"/>
          <w:b/>
          <w:sz w:val="20"/>
          <w:szCs w:val="20"/>
        </w:rPr>
        <w:t>,</w:t>
      </w:r>
      <w:r w:rsidRPr="00221CFA">
        <w:rPr>
          <w:rFonts w:ascii="Arial" w:hAnsi="Arial" w:cs="Arial"/>
          <w:sz w:val="20"/>
          <w:szCs w:val="20"/>
        </w:rPr>
        <w:t xml:space="preserve"> as enhanced micronutrient uptake and bioactive compound synthesis in millets translate into improved human nutrition and health outcomes. Looking ahead, the path forward lies in research and innovation. </w:t>
      </w:r>
      <w:r w:rsidRPr="00221CFA">
        <w:rPr>
          <w:rStyle w:val="Strong"/>
          <w:rFonts w:ascii="Arial" w:hAnsi="Arial" w:cs="Arial"/>
          <w:b w:val="0"/>
          <w:sz w:val="20"/>
          <w:szCs w:val="20"/>
        </w:rPr>
        <w:t>Millet-specific microbial consortia</w:t>
      </w:r>
      <w:r w:rsidRPr="00221CFA">
        <w:rPr>
          <w:rFonts w:ascii="Arial" w:hAnsi="Arial" w:cs="Arial"/>
          <w:sz w:val="20"/>
          <w:szCs w:val="20"/>
        </w:rPr>
        <w:t xml:space="preserve"> need to be developed using molecular and metagenomic tools to ensure compatibility across genotypes and agro-ecologies. Field validation under diverse climatic zones, along with standardization of formulations, quality control, and shelf-life testing, remains critical for large-scale farmer adoption.</w:t>
      </w:r>
      <w:r w:rsidRPr="00221CFA">
        <w:rPr>
          <w:rFonts w:ascii="Arial" w:hAnsi="Arial" w:cs="Arial"/>
          <w:b/>
          <w:sz w:val="20"/>
          <w:szCs w:val="20"/>
        </w:rPr>
        <w:t xml:space="preserve"> </w:t>
      </w:r>
      <w:r w:rsidRPr="00221CFA">
        <w:rPr>
          <w:rStyle w:val="Strong"/>
          <w:rFonts w:ascii="Arial" w:hAnsi="Arial" w:cs="Arial"/>
          <w:b w:val="0"/>
          <w:sz w:val="20"/>
          <w:szCs w:val="20"/>
        </w:rPr>
        <w:t>Policy support</w:t>
      </w:r>
      <w:r w:rsidRPr="00221CFA">
        <w:rPr>
          <w:rFonts w:ascii="Arial" w:hAnsi="Arial" w:cs="Arial"/>
          <w:sz w:val="20"/>
          <w:szCs w:val="20"/>
        </w:rPr>
        <w:t xml:space="preserve"> through national soil health programs, climate-smart agriculture missions, and incentive schemes</w:t>
      </w:r>
      <w:r w:rsidR="0089766D" w:rsidRPr="00221CFA">
        <w:rPr>
          <w:rFonts w:ascii="Arial" w:hAnsi="Arial" w:cs="Arial"/>
          <w:sz w:val="20"/>
          <w:szCs w:val="20"/>
        </w:rPr>
        <w:t xml:space="preserve"> </w:t>
      </w:r>
      <w:r w:rsidRPr="00221CFA">
        <w:rPr>
          <w:rFonts w:ascii="Arial" w:hAnsi="Arial" w:cs="Arial"/>
          <w:sz w:val="20"/>
          <w:szCs w:val="20"/>
        </w:rPr>
        <w:t>will be essential to mainstream biofertilizer use and ensure its inclusion in official nutrient management recommendations. In essence, the widespread and scientifically informed adoption of biofertilizers can transform millet farming into a model of ecological intensification</w:t>
      </w:r>
      <w:r w:rsidR="00870453" w:rsidRPr="00221CFA">
        <w:rPr>
          <w:rFonts w:ascii="Arial" w:hAnsi="Arial" w:cs="Arial"/>
          <w:sz w:val="20"/>
          <w:szCs w:val="20"/>
        </w:rPr>
        <w:t>,</w:t>
      </w:r>
      <w:r w:rsidRPr="00221CFA">
        <w:rPr>
          <w:rFonts w:ascii="Arial" w:hAnsi="Arial" w:cs="Arial"/>
          <w:sz w:val="20"/>
          <w:szCs w:val="20"/>
        </w:rPr>
        <w:t xml:space="preserve"> producing more grain and nutrition with fewer external inputs, healthier soils, and a smaller environmental footprint. As agriculture faces the twin challenges of climate stress and nutritional insecurity, biofertilizer-based millet cultivation stands out as a sustainable pathway toward resilient livelihoods and regenerative food systems.</w:t>
      </w:r>
    </w:p>
    <w:p w14:paraId="2920F424" w14:textId="77777777" w:rsidR="00F053BC" w:rsidRPr="000121E6" w:rsidRDefault="00F053BC" w:rsidP="00F053BC">
      <w:pPr>
        <w:rPr>
          <w:b/>
        </w:rPr>
      </w:pPr>
      <w:r w:rsidRPr="000121E6">
        <w:rPr>
          <w:b/>
        </w:rPr>
        <w:t>Disclaimer (Artificial intelligence)</w:t>
      </w:r>
    </w:p>
    <w:p w14:paraId="7042CA57" w14:textId="77777777" w:rsidR="00F053BC" w:rsidRDefault="00F053BC" w:rsidP="00F053BC">
      <w:r>
        <w:t xml:space="preserve">Option 1: </w:t>
      </w:r>
    </w:p>
    <w:p w14:paraId="4D594D76" w14:textId="77777777" w:rsidR="00F053BC" w:rsidRDefault="00F053BC" w:rsidP="00F053BC">
      <w:r>
        <w:t xml:space="preserve">Author(s) hereby declare that NO generative AI technologies such as Large Language Models (ChatGPT, COPILOT, etc.) and text-to-image generators have been used during the writing or editing of this manuscript. </w:t>
      </w:r>
    </w:p>
    <w:p w14:paraId="75FD8A65" w14:textId="77777777" w:rsidR="00F053BC" w:rsidRDefault="00F053BC" w:rsidP="00F053BC">
      <w:r>
        <w:t xml:space="preserve">Option 2: </w:t>
      </w:r>
    </w:p>
    <w:p w14:paraId="1AB33F6D" w14:textId="77777777" w:rsidR="00F053BC" w:rsidRDefault="00F053BC" w:rsidP="00F053BC">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950074" w14:textId="77777777" w:rsidR="00F053BC" w:rsidRDefault="00F053BC" w:rsidP="00F053BC">
      <w:r>
        <w:t>Details of the AI usage are given below:</w:t>
      </w:r>
    </w:p>
    <w:p w14:paraId="143F4367" w14:textId="77777777" w:rsidR="00F053BC" w:rsidRDefault="00F053BC" w:rsidP="00F053BC">
      <w:r>
        <w:t>1.</w:t>
      </w:r>
    </w:p>
    <w:p w14:paraId="5A09710D" w14:textId="77777777" w:rsidR="00F053BC" w:rsidRDefault="00F053BC" w:rsidP="00F053BC">
      <w:r>
        <w:t>2.</w:t>
      </w:r>
    </w:p>
    <w:p w14:paraId="3742E720" w14:textId="77777777" w:rsidR="00F053BC" w:rsidRPr="0053103C" w:rsidRDefault="00F053BC" w:rsidP="00F053BC">
      <w:r>
        <w:t>3.</w:t>
      </w:r>
    </w:p>
    <w:p w14:paraId="04DA8700" w14:textId="77777777" w:rsidR="00EE64E6" w:rsidRPr="00491984" w:rsidRDefault="00491984" w:rsidP="004E2AB7">
      <w:pPr>
        <w:spacing w:line="240" w:lineRule="auto"/>
        <w:jc w:val="both"/>
        <w:rPr>
          <w:rFonts w:ascii="Arial" w:hAnsi="Arial" w:cs="Arial"/>
          <w:b/>
          <w:sz w:val="24"/>
          <w:szCs w:val="20"/>
        </w:rPr>
      </w:pPr>
      <w:r w:rsidRPr="00491984">
        <w:rPr>
          <w:rFonts w:ascii="Arial" w:hAnsi="Arial" w:cs="Arial"/>
          <w:b/>
          <w:sz w:val="24"/>
          <w:szCs w:val="20"/>
        </w:rPr>
        <w:t>REFERENCES</w:t>
      </w:r>
    </w:p>
    <w:p w14:paraId="13E3ECBE"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lastRenderedPageBreak/>
        <w:t xml:space="preserve">Aamir, M., Rai, K. K., Zehra, A., Dubey, M. K., Kumar, S., Shukla, V., &amp; Upadhyay, R. S. (2020). Microbial bioformulation-based plant </w:t>
      </w:r>
      <w:proofErr w:type="spellStart"/>
      <w:r w:rsidRPr="003E29B1">
        <w:rPr>
          <w:rFonts w:ascii="Arial" w:hAnsi="Arial" w:cs="Arial"/>
          <w:sz w:val="20"/>
        </w:rPr>
        <w:t>biostimulants</w:t>
      </w:r>
      <w:proofErr w:type="spellEnd"/>
      <w:r w:rsidRPr="003E29B1">
        <w:rPr>
          <w:rFonts w:ascii="Arial" w:hAnsi="Arial" w:cs="Arial"/>
          <w:sz w:val="20"/>
        </w:rPr>
        <w:t xml:space="preserve">: A plausible approach toward next generation of sustainable agriculture. In </w:t>
      </w:r>
      <w:r w:rsidRPr="003E29B1">
        <w:rPr>
          <w:rStyle w:val="Emphasis"/>
          <w:rFonts w:ascii="Arial" w:hAnsi="Arial" w:cs="Arial"/>
          <w:sz w:val="20"/>
        </w:rPr>
        <w:t>Microbial Endophytes</w:t>
      </w:r>
      <w:r w:rsidRPr="003E29B1">
        <w:rPr>
          <w:rFonts w:ascii="Arial" w:hAnsi="Arial" w:cs="Arial"/>
          <w:sz w:val="20"/>
        </w:rPr>
        <w:t xml:space="preserve"> (pp. 195–225). Woodhead Publishing. </w:t>
      </w:r>
      <w:hyperlink r:id="rId15" w:history="1">
        <w:r w:rsidRPr="003E29B1">
          <w:rPr>
            <w:rStyle w:val="Hyperlink"/>
            <w:rFonts w:ascii="Arial" w:hAnsi="Arial" w:cs="Arial"/>
            <w:sz w:val="20"/>
          </w:rPr>
          <w:t>https://doi.org/10.1016/B978-0-12-819692-6.00009-7</w:t>
        </w:r>
      </w:hyperlink>
    </w:p>
    <w:p w14:paraId="29FDEA86"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color w:val="222222"/>
          <w:sz w:val="20"/>
          <w:szCs w:val="20"/>
          <w:shd w:val="clear" w:color="auto" w:fill="FFFFFF"/>
        </w:rPr>
        <w:t>Ali, A., Liu, X., Yang, W., Li, W., Chen, J., Qiao, Y., ... &amp; Yang, Z. (2024). Impact of bio-organic fertilizer incorporation on soil nutrients, enzymatic activity, and microbial community in wheat–maize rotation system. </w:t>
      </w:r>
      <w:r w:rsidRPr="003E29B1">
        <w:rPr>
          <w:rFonts w:ascii="Arial" w:hAnsi="Arial" w:cs="Arial"/>
          <w:i/>
          <w:iCs/>
          <w:color w:val="222222"/>
          <w:sz w:val="20"/>
          <w:szCs w:val="20"/>
          <w:shd w:val="clear" w:color="auto" w:fill="FFFFFF"/>
        </w:rPr>
        <w:t>Agronomy</w:t>
      </w:r>
      <w:r w:rsidRPr="003E29B1">
        <w:rPr>
          <w:rFonts w:ascii="Arial" w:hAnsi="Arial" w:cs="Arial"/>
          <w:color w:val="222222"/>
          <w:sz w:val="20"/>
          <w:szCs w:val="20"/>
          <w:shd w:val="clear" w:color="auto" w:fill="FFFFFF"/>
        </w:rPr>
        <w:t>, </w:t>
      </w:r>
      <w:r w:rsidRPr="003E29B1">
        <w:rPr>
          <w:rFonts w:ascii="Arial" w:hAnsi="Arial" w:cs="Arial"/>
          <w:i/>
          <w:iCs/>
          <w:color w:val="222222"/>
          <w:sz w:val="20"/>
          <w:szCs w:val="20"/>
          <w:shd w:val="clear" w:color="auto" w:fill="FFFFFF"/>
        </w:rPr>
        <w:t>14</w:t>
      </w:r>
      <w:r w:rsidRPr="003E29B1">
        <w:rPr>
          <w:rFonts w:ascii="Arial" w:hAnsi="Arial" w:cs="Arial"/>
          <w:color w:val="222222"/>
          <w:sz w:val="20"/>
          <w:szCs w:val="20"/>
          <w:shd w:val="clear" w:color="auto" w:fill="FFFFFF"/>
        </w:rPr>
        <w:t>(9), 1942.</w:t>
      </w:r>
    </w:p>
    <w:p w14:paraId="0D1AE4AF" w14:textId="77777777" w:rsidR="000F7E9D" w:rsidRPr="003E29B1" w:rsidRDefault="000F7E9D" w:rsidP="003E29B1">
      <w:pPr>
        <w:pStyle w:val="ListParagraph"/>
        <w:numPr>
          <w:ilvl w:val="0"/>
          <w:numId w:val="23"/>
        </w:numPr>
        <w:spacing w:line="240" w:lineRule="auto"/>
        <w:jc w:val="both"/>
        <w:rPr>
          <w:rFonts w:ascii="Arial" w:hAnsi="Arial" w:cs="Arial"/>
          <w:sz w:val="20"/>
          <w:szCs w:val="20"/>
          <w:highlight w:val="yellow"/>
          <w:lang w:val="en-GB"/>
        </w:rPr>
      </w:pPr>
      <w:r w:rsidRPr="003E29B1">
        <w:rPr>
          <w:rFonts w:ascii="Arial" w:hAnsi="Arial" w:cs="Arial"/>
          <w:color w:val="222222"/>
          <w:sz w:val="20"/>
          <w:szCs w:val="20"/>
          <w:highlight w:val="yellow"/>
          <w:shd w:val="clear" w:color="auto" w:fill="FFFFFF"/>
        </w:rPr>
        <w:t>Angel, N. S., Singh, R., &amp; Indu, T. (2023). Effect of Bio Fertilizers and Phosphorus on Growth and Yield of Pearl Millet (</w:t>
      </w:r>
      <w:r w:rsidRPr="003E29B1">
        <w:rPr>
          <w:rFonts w:ascii="Arial" w:hAnsi="Arial" w:cs="Arial"/>
          <w:i/>
          <w:color w:val="222222"/>
          <w:sz w:val="20"/>
          <w:szCs w:val="20"/>
          <w:highlight w:val="yellow"/>
          <w:shd w:val="clear" w:color="auto" w:fill="FFFFFF"/>
        </w:rPr>
        <w:t>Pennisetum glaucum</w:t>
      </w:r>
      <w:r w:rsidRPr="003E29B1">
        <w:rPr>
          <w:rFonts w:ascii="Arial" w:hAnsi="Arial" w:cs="Arial"/>
          <w:color w:val="222222"/>
          <w:sz w:val="20"/>
          <w:szCs w:val="20"/>
          <w:highlight w:val="yellow"/>
          <w:shd w:val="clear" w:color="auto" w:fill="FFFFFF"/>
        </w:rPr>
        <w:t xml:space="preserve"> L.). </w:t>
      </w:r>
      <w:r w:rsidRPr="003E29B1">
        <w:rPr>
          <w:rFonts w:ascii="Arial" w:hAnsi="Arial" w:cs="Arial"/>
          <w:i/>
          <w:iCs/>
          <w:color w:val="222222"/>
          <w:sz w:val="20"/>
          <w:szCs w:val="20"/>
          <w:highlight w:val="yellow"/>
          <w:shd w:val="clear" w:color="auto" w:fill="FFFFFF"/>
        </w:rPr>
        <w:t>International Journal of Plant &amp; Soil Science</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35</w:t>
      </w:r>
      <w:r w:rsidRPr="003E29B1">
        <w:rPr>
          <w:rFonts w:ascii="Arial" w:hAnsi="Arial" w:cs="Arial"/>
          <w:color w:val="222222"/>
          <w:sz w:val="20"/>
          <w:szCs w:val="20"/>
          <w:highlight w:val="yellow"/>
          <w:shd w:val="clear" w:color="auto" w:fill="FFFFFF"/>
        </w:rPr>
        <w:t xml:space="preserve">(9), 146-152. </w:t>
      </w:r>
      <w:hyperlink r:id="rId16" w:history="1">
        <w:r w:rsidRPr="003E29B1">
          <w:rPr>
            <w:rStyle w:val="Hyperlink"/>
            <w:rFonts w:ascii="Arial" w:hAnsi="Arial" w:cs="Arial"/>
            <w:sz w:val="20"/>
            <w:szCs w:val="20"/>
            <w:highlight w:val="yellow"/>
            <w:lang w:val="en-GB"/>
          </w:rPr>
          <w:t>https://doi.org/10.9734/ijpss/2023/v35i92915</w:t>
        </w:r>
      </w:hyperlink>
      <w:r w:rsidRPr="003E29B1">
        <w:rPr>
          <w:rFonts w:ascii="Arial" w:hAnsi="Arial" w:cs="Arial"/>
          <w:sz w:val="20"/>
          <w:szCs w:val="20"/>
          <w:highlight w:val="yellow"/>
          <w:lang w:val="en-GB"/>
        </w:rPr>
        <w:t xml:space="preserve"> </w:t>
      </w:r>
    </w:p>
    <w:p w14:paraId="5BC3C46C"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Basu, A., Prasad, P., Das, S. N., Kalam, S., Sayyed, R. Z., Reddy, M. S., &amp; El </w:t>
      </w:r>
      <w:proofErr w:type="spellStart"/>
      <w:r w:rsidRPr="003E29B1">
        <w:rPr>
          <w:rFonts w:ascii="Arial" w:hAnsi="Arial" w:cs="Arial"/>
          <w:sz w:val="20"/>
        </w:rPr>
        <w:t>Enshasy</w:t>
      </w:r>
      <w:proofErr w:type="spellEnd"/>
      <w:r w:rsidRPr="003E29B1">
        <w:rPr>
          <w:rFonts w:ascii="Arial" w:hAnsi="Arial" w:cs="Arial"/>
          <w:sz w:val="20"/>
        </w:rPr>
        <w:t xml:space="preserve">, H. (2021). Plant growth-promoting rhizobacteria (PGPR) as green bioinoculants: Recent developments, constraints, and prospects. </w:t>
      </w:r>
      <w:r w:rsidRPr="003E29B1">
        <w:rPr>
          <w:rStyle w:val="Emphasis"/>
          <w:rFonts w:ascii="Arial" w:hAnsi="Arial" w:cs="Arial"/>
          <w:sz w:val="20"/>
        </w:rPr>
        <w:t>Sustainability, 13</w:t>
      </w:r>
      <w:r w:rsidRPr="003E29B1">
        <w:rPr>
          <w:rFonts w:ascii="Arial" w:hAnsi="Arial" w:cs="Arial"/>
          <w:sz w:val="20"/>
        </w:rPr>
        <w:t xml:space="preserve">(3), 1140. </w:t>
      </w:r>
      <w:hyperlink r:id="rId17" w:history="1">
        <w:r w:rsidRPr="003E29B1">
          <w:rPr>
            <w:rStyle w:val="Hyperlink"/>
            <w:rFonts w:ascii="Arial" w:hAnsi="Arial" w:cs="Arial"/>
            <w:sz w:val="20"/>
          </w:rPr>
          <w:t>https://doi.org/10.3390/su13031140</w:t>
        </w:r>
      </w:hyperlink>
    </w:p>
    <w:p w14:paraId="00533B94" w14:textId="77777777" w:rsidR="000F7E9D" w:rsidRPr="003E29B1" w:rsidRDefault="000F7E9D" w:rsidP="003E29B1">
      <w:pPr>
        <w:pStyle w:val="ListParagraph"/>
        <w:numPr>
          <w:ilvl w:val="0"/>
          <w:numId w:val="23"/>
        </w:numPr>
        <w:spacing w:line="240" w:lineRule="auto"/>
        <w:jc w:val="both"/>
        <w:rPr>
          <w:rFonts w:ascii="Arial" w:hAnsi="Arial" w:cs="Arial"/>
          <w:sz w:val="20"/>
        </w:rPr>
      </w:pPr>
      <w:proofErr w:type="spellStart"/>
      <w:r w:rsidRPr="003E29B1">
        <w:rPr>
          <w:rFonts w:ascii="Arial" w:hAnsi="Arial" w:cs="Arial"/>
          <w:sz w:val="20"/>
          <w:highlight w:val="yellow"/>
        </w:rPr>
        <w:t>Chapke</w:t>
      </w:r>
      <w:proofErr w:type="spellEnd"/>
      <w:r w:rsidRPr="003E29B1">
        <w:rPr>
          <w:rFonts w:ascii="Arial" w:hAnsi="Arial" w:cs="Arial"/>
          <w:sz w:val="20"/>
          <w:highlight w:val="yellow"/>
        </w:rPr>
        <w:t xml:space="preserve">, R. R., </w:t>
      </w:r>
      <w:proofErr w:type="spellStart"/>
      <w:r w:rsidRPr="003E29B1">
        <w:rPr>
          <w:rFonts w:ascii="Arial" w:hAnsi="Arial" w:cs="Arial"/>
          <w:sz w:val="20"/>
          <w:highlight w:val="yellow"/>
        </w:rPr>
        <w:t>Shyamprasad</w:t>
      </w:r>
      <w:proofErr w:type="spellEnd"/>
      <w:r w:rsidRPr="003E29B1">
        <w:rPr>
          <w:rFonts w:ascii="Arial" w:hAnsi="Arial" w:cs="Arial"/>
          <w:sz w:val="20"/>
          <w:highlight w:val="yellow"/>
        </w:rPr>
        <w:t xml:space="preserve">, G., Das, I. K., &amp; </w:t>
      </w:r>
      <w:proofErr w:type="spellStart"/>
      <w:r w:rsidRPr="003E29B1">
        <w:rPr>
          <w:rFonts w:ascii="Arial" w:hAnsi="Arial" w:cs="Arial"/>
          <w:sz w:val="20"/>
          <w:highlight w:val="yellow"/>
        </w:rPr>
        <w:t>Tonapi</w:t>
      </w:r>
      <w:proofErr w:type="spellEnd"/>
      <w:r w:rsidRPr="003E29B1">
        <w:rPr>
          <w:rFonts w:ascii="Arial" w:hAnsi="Arial" w:cs="Arial"/>
          <w:sz w:val="20"/>
          <w:highlight w:val="yellow"/>
        </w:rPr>
        <w:t xml:space="preserve">, V. A. (2018). Improved millets production technologies and their impact. </w:t>
      </w:r>
      <w:r w:rsidRPr="003E29B1">
        <w:rPr>
          <w:rStyle w:val="Emphasis"/>
          <w:rFonts w:ascii="Arial" w:hAnsi="Arial" w:cs="Arial"/>
          <w:sz w:val="20"/>
          <w:highlight w:val="yellow"/>
        </w:rPr>
        <w:t>Indian Journal of Agricultural Sciences, 88</w:t>
      </w:r>
      <w:r w:rsidRPr="003E29B1">
        <w:rPr>
          <w:rFonts w:ascii="Arial" w:hAnsi="Arial" w:cs="Arial"/>
          <w:sz w:val="20"/>
          <w:highlight w:val="yellow"/>
        </w:rPr>
        <w:t>(12), 1909–1914.</w:t>
      </w:r>
    </w:p>
    <w:p w14:paraId="1421562A"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FAO. (2023). </w:t>
      </w:r>
      <w:r w:rsidRPr="003E29B1">
        <w:rPr>
          <w:rStyle w:val="Emphasis"/>
          <w:rFonts w:ascii="Arial" w:hAnsi="Arial" w:cs="Arial"/>
          <w:sz w:val="20"/>
        </w:rPr>
        <w:t>International Year of Millets 2023: Harnessing the potential of millets for food security, nutrition, and climate resilience.</w:t>
      </w:r>
      <w:r w:rsidRPr="003E29B1">
        <w:rPr>
          <w:rFonts w:ascii="Arial" w:hAnsi="Arial" w:cs="Arial"/>
          <w:sz w:val="20"/>
        </w:rPr>
        <w:t xml:space="preserve"> Food and Agriculture Organization of the United Nations. </w:t>
      </w:r>
      <w:hyperlink r:id="rId18" w:history="1">
        <w:r w:rsidRPr="003E29B1">
          <w:rPr>
            <w:rStyle w:val="Hyperlink"/>
            <w:rFonts w:ascii="Arial" w:hAnsi="Arial" w:cs="Arial"/>
            <w:sz w:val="20"/>
          </w:rPr>
          <w:t>https://www.fao.org/millets-2023</w:t>
        </w:r>
      </w:hyperlink>
    </w:p>
    <w:p w14:paraId="5DF341FA"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Gao, C., El-Sawah, A. M., Ali, D. F. I., Alhaj Hamoud, Y., </w:t>
      </w:r>
      <w:proofErr w:type="spellStart"/>
      <w:r w:rsidRPr="003E29B1">
        <w:rPr>
          <w:rFonts w:ascii="Arial" w:hAnsi="Arial" w:cs="Arial"/>
          <w:sz w:val="20"/>
        </w:rPr>
        <w:t>Shaghaleh</w:t>
      </w:r>
      <w:proofErr w:type="spellEnd"/>
      <w:r w:rsidRPr="003E29B1">
        <w:rPr>
          <w:rFonts w:ascii="Arial" w:hAnsi="Arial" w:cs="Arial"/>
          <w:sz w:val="20"/>
        </w:rPr>
        <w:t xml:space="preserve">, H., &amp; </w:t>
      </w:r>
      <w:proofErr w:type="spellStart"/>
      <w:r w:rsidRPr="003E29B1">
        <w:rPr>
          <w:rFonts w:ascii="Arial" w:hAnsi="Arial" w:cs="Arial"/>
          <w:sz w:val="20"/>
        </w:rPr>
        <w:t>Sheteiwy</w:t>
      </w:r>
      <w:proofErr w:type="spellEnd"/>
      <w:r w:rsidRPr="003E29B1">
        <w:rPr>
          <w:rFonts w:ascii="Arial" w:hAnsi="Arial" w:cs="Arial"/>
          <w:sz w:val="20"/>
        </w:rPr>
        <w:t>, M. S. (2020). The integration of bio and organic fertilizers improves plant growth, grain yield, quality and metabolism of hybrid maize (</w:t>
      </w:r>
      <w:r w:rsidRPr="003E29B1">
        <w:rPr>
          <w:rStyle w:val="Emphasis"/>
          <w:rFonts w:ascii="Arial" w:hAnsi="Arial" w:cs="Arial"/>
          <w:sz w:val="20"/>
        </w:rPr>
        <w:t>Zea mays</w:t>
      </w:r>
      <w:r w:rsidRPr="003E29B1">
        <w:rPr>
          <w:rFonts w:ascii="Arial" w:hAnsi="Arial" w:cs="Arial"/>
          <w:sz w:val="20"/>
        </w:rPr>
        <w:t xml:space="preserve"> L.). </w:t>
      </w:r>
      <w:r w:rsidRPr="003E29B1">
        <w:rPr>
          <w:rStyle w:val="Emphasis"/>
          <w:rFonts w:ascii="Arial" w:hAnsi="Arial" w:cs="Arial"/>
          <w:sz w:val="20"/>
        </w:rPr>
        <w:t>Agronomy, 10</w:t>
      </w:r>
      <w:r w:rsidRPr="003E29B1">
        <w:rPr>
          <w:rFonts w:ascii="Arial" w:hAnsi="Arial" w:cs="Arial"/>
          <w:sz w:val="20"/>
        </w:rPr>
        <w:t xml:space="preserve">(3), 319. </w:t>
      </w:r>
      <w:hyperlink r:id="rId19" w:history="1">
        <w:r w:rsidRPr="003E29B1">
          <w:rPr>
            <w:rStyle w:val="Hyperlink"/>
            <w:rFonts w:ascii="Arial" w:hAnsi="Arial" w:cs="Arial"/>
            <w:sz w:val="20"/>
          </w:rPr>
          <w:t>https://doi.org/10.3390/agronomy10030319</w:t>
        </w:r>
      </w:hyperlink>
    </w:p>
    <w:p w14:paraId="58370F48" w14:textId="38594C6E"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Gite, D. P., Gite, P. A., &amp; </w:t>
      </w:r>
      <w:proofErr w:type="spellStart"/>
      <w:r w:rsidRPr="003E29B1">
        <w:rPr>
          <w:rFonts w:ascii="Arial" w:hAnsi="Arial" w:cs="Arial"/>
          <w:sz w:val="20"/>
        </w:rPr>
        <w:t>Darvhankar</w:t>
      </w:r>
      <w:proofErr w:type="spellEnd"/>
      <w:r w:rsidRPr="003E29B1">
        <w:rPr>
          <w:rFonts w:ascii="Arial" w:hAnsi="Arial" w:cs="Arial"/>
          <w:sz w:val="20"/>
        </w:rPr>
        <w:t xml:space="preserve">, M. S. (2021). The response of bio-fertilizers to the production potential of cereal crops. </w:t>
      </w:r>
      <w:r w:rsidRPr="003E29B1">
        <w:rPr>
          <w:rStyle w:val="Emphasis"/>
          <w:rFonts w:ascii="Arial" w:hAnsi="Arial" w:cs="Arial"/>
          <w:sz w:val="20"/>
        </w:rPr>
        <w:t>Plant Archives, 21</w:t>
      </w:r>
      <w:r w:rsidRPr="003E29B1">
        <w:rPr>
          <w:rFonts w:ascii="Arial" w:hAnsi="Arial" w:cs="Arial"/>
          <w:sz w:val="20"/>
        </w:rPr>
        <w:t>(1), 2401–2407.</w:t>
      </w:r>
      <w:r w:rsidR="00471B99">
        <w:rPr>
          <w:rFonts w:ascii="Arial" w:hAnsi="Arial" w:cs="Arial"/>
          <w:sz w:val="20"/>
        </w:rPr>
        <w:t xml:space="preserve"> </w:t>
      </w:r>
      <w:r w:rsidR="00471B99">
        <w:rPr>
          <w:rFonts w:ascii="Arial" w:hAnsi="Arial" w:cs="Arial"/>
          <w:color w:val="555555"/>
          <w:sz w:val="21"/>
          <w:szCs w:val="21"/>
          <w:shd w:val="clear" w:color="auto" w:fill="FFFFFF"/>
        </w:rPr>
        <w:t>DOI:</w:t>
      </w:r>
      <w:hyperlink r:id="rId20" w:tgtFrame="_blank" w:history="1">
        <w:r w:rsidR="00471B99">
          <w:rPr>
            <w:rStyle w:val="Hyperlink"/>
            <w:rFonts w:ascii="Arial" w:hAnsi="Arial" w:cs="Arial"/>
            <w:sz w:val="21"/>
            <w:szCs w:val="21"/>
            <w:bdr w:val="none" w:sz="0" w:space="0" w:color="auto" w:frame="1"/>
            <w:shd w:val="clear" w:color="auto" w:fill="FFFFFF"/>
          </w:rPr>
          <w:t>10.51470/</w:t>
        </w:r>
        <w:proofErr w:type="gramStart"/>
        <w:r w:rsidR="00471B99">
          <w:rPr>
            <w:rStyle w:val="Hyperlink"/>
            <w:rFonts w:ascii="Arial" w:hAnsi="Arial" w:cs="Arial"/>
            <w:sz w:val="21"/>
            <w:szCs w:val="21"/>
            <w:bdr w:val="none" w:sz="0" w:space="0" w:color="auto" w:frame="1"/>
            <w:shd w:val="clear" w:color="auto" w:fill="FFFFFF"/>
          </w:rPr>
          <w:t>PLANTARCHIVES.2021.v</w:t>
        </w:r>
        <w:proofErr w:type="gramEnd"/>
        <w:r w:rsidR="00471B99">
          <w:rPr>
            <w:rStyle w:val="Hyperlink"/>
            <w:rFonts w:ascii="Arial" w:hAnsi="Arial" w:cs="Arial"/>
            <w:sz w:val="21"/>
            <w:szCs w:val="21"/>
            <w:bdr w:val="none" w:sz="0" w:space="0" w:color="auto" w:frame="1"/>
            <w:shd w:val="clear" w:color="auto" w:fill="FFFFFF"/>
          </w:rPr>
          <w:t>21.S1.392</w:t>
        </w:r>
      </w:hyperlink>
      <w:r w:rsidR="00471B99">
        <w:t xml:space="preserve"> </w:t>
      </w:r>
    </w:p>
    <w:p w14:paraId="53522C0D" w14:textId="77777777"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Gupta, S., Abbas, M., &amp; Singh, P. (2023). Optimizing Maize Harvests: Unraveling the Impact of Organic Mulching on Yield Parameters. </w:t>
      </w:r>
      <w:r w:rsidRPr="003E29B1">
        <w:rPr>
          <w:rFonts w:ascii="Arial" w:hAnsi="Arial" w:cs="Arial"/>
          <w:i/>
          <w:iCs/>
          <w:color w:val="222222"/>
          <w:sz w:val="20"/>
          <w:szCs w:val="20"/>
          <w:shd w:val="clear" w:color="auto" w:fill="FFFFFF"/>
        </w:rPr>
        <w:t>Indus Journal of Animal and Plant Sciences</w:t>
      </w:r>
      <w:r w:rsidRPr="003E29B1">
        <w:rPr>
          <w:rFonts w:ascii="Arial" w:hAnsi="Arial" w:cs="Arial"/>
          <w:color w:val="222222"/>
          <w:sz w:val="20"/>
          <w:szCs w:val="20"/>
          <w:shd w:val="clear" w:color="auto" w:fill="FFFFFF"/>
        </w:rPr>
        <w:t>, </w:t>
      </w:r>
      <w:r w:rsidRPr="003E29B1">
        <w:rPr>
          <w:rFonts w:ascii="Arial" w:hAnsi="Arial" w:cs="Arial"/>
          <w:i/>
          <w:iCs/>
          <w:color w:val="222222"/>
          <w:sz w:val="20"/>
          <w:szCs w:val="20"/>
          <w:shd w:val="clear" w:color="auto" w:fill="FFFFFF"/>
        </w:rPr>
        <w:t>1</w:t>
      </w:r>
      <w:r w:rsidRPr="003E29B1">
        <w:rPr>
          <w:rFonts w:ascii="Arial" w:hAnsi="Arial" w:cs="Arial"/>
          <w:color w:val="222222"/>
          <w:sz w:val="20"/>
          <w:szCs w:val="20"/>
          <w:shd w:val="clear" w:color="auto" w:fill="FFFFFF"/>
        </w:rPr>
        <w:t>(02), 48-53.</w:t>
      </w:r>
    </w:p>
    <w:p w14:paraId="1270C1F9"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Han, C., Zhang, Z., Gao, Y., Wang, W., Chen, J., &amp; Wang, Y. (2023). Microbiome reveals the effects of biogas fertilizer on soil microbial community structure and diversity in perennial apple orchards. </w:t>
      </w:r>
      <w:proofErr w:type="spellStart"/>
      <w:r w:rsidRPr="003E29B1">
        <w:rPr>
          <w:rStyle w:val="Emphasis"/>
          <w:rFonts w:ascii="Arial" w:hAnsi="Arial" w:cs="Arial"/>
          <w:sz w:val="20"/>
        </w:rPr>
        <w:t>Horticulturae</w:t>
      </w:r>
      <w:proofErr w:type="spellEnd"/>
      <w:r w:rsidRPr="003E29B1">
        <w:rPr>
          <w:rStyle w:val="Emphasis"/>
          <w:rFonts w:ascii="Arial" w:hAnsi="Arial" w:cs="Arial"/>
          <w:sz w:val="20"/>
        </w:rPr>
        <w:t>, 9</w:t>
      </w:r>
      <w:r w:rsidRPr="003E29B1">
        <w:rPr>
          <w:rFonts w:ascii="Arial" w:hAnsi="Arial" w:cs="Arial"/>
          <w:sz w:val="20"/>
        </w:rPr>
        <w:t xml:space="preserve">(9), 1023. </w:t>
      </w:r>
      <w:hyperlink r:id="rId21" w:history="1">
        <w:r w:rsidRPr="003E29B1">
          <w:rPr>
            <w:rStyle w:val="Hyperlink"/>
            <w:rFonts w:ascii="Arial" w:hAnsi="Arial" w:cs="Arial"/>
            <w:sz w:val="20"/>
          </w:rPr>
          <w:t>https://doi.org/10.3390/horticulturae9091023</w:t>
        </w:r>
      </w:hyperlink>
    </w:p>
    <w:p w14:paraId="0ACE195E"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ICAR–Indian Institute of Millets Research (IIMR). (2023). </w:t>
      </w:r>
      <w:r w:rsidRPr="003E29B1">
        <w:rPr>
          <w:rStyle w:val="Emphasis"/>
          <w:rFonts w:ascii="Arial" w:hAnsi="Arial" w:cs="Arial"/>
          <w:sz w:val="20"/>
        </w:rPr>
        <w:t>Millet Research and Development in India: Annual Report 2023.</w:t>
      </w:r>
      <w:r w:rsidRPr="003E29B1">
        <w:rPr>
          <w:rFonts w:ascii="Arial" w:hAnsi="Arial" w:cs="Arial"/>
          <w:sz w:val="20"/>
        </w:rPr>
        <w:t xml:space="preserve"> Indian Council of Agricultural Research. </w:t>
      </w:r>
      <w:hyperlink r:id="rId22" w:history="1">
        <w:r w:rsidRPr="003E29B1">
          <w:rPr>
            <w:rStyle w:val="Hyperlink"/>
            <w:rFonts w:ascii="Arial" w:hAnsi="Arial" w:cs="Arial"/>
            <w:sz w:val="20"/>
          </w:rPr>
          <w:t>https://millets.res.in</w:t>
        </w:r>
      </w:hyperlink>
    </w:p>
    <w:p w14:paraId="1FAFEF8F" w14:textId="77777777"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Joshi, R. K., Ghimire, K. H., KC, H., &amp; GC, A. (2023). Millets–Resilient Crops in the Changing Climate: a review. </w:t>
      </w:r>
      <w:r w:rsidRPr="003E29B1">
        <w:rPr>
          <w:rFonts w:ascii="Arial" w:hAnsi="Arial" w:cs="Arial"/>
          <w:i/>
          <w:iCs/>
          <w:color w:val="222222"/>
          <w:sz w:val="20"/>
          <w:szCs w:val="20"/>
          <w:shd w:val="clear" w:color="auto" w:fill="FFFFFF"/>
        </w:rPr>
        <w:t>NAGRC, CCDABC and FAO; Kathmandu</w:t>
      </w:r>
      <w:r w:rsidRPr="003E29B1">
        <w:rPr>
          <w:rFonts w:ascii="Arial" w:hAnsi="Arial" w:cs="Arial"/>
          <w:color w:val="222222"/>
          <w:sz w:val="20"/>
          <w:szCs w:val="20"/>
          <w:shd w:val="clear" w:color="auto" w:fill="FFFFFF"/>
        </w:rPr>
        <w:t>, 478-486.</w:t>
      </w:r>
    </w:p>
    <w:p w14:paraId="3B861492" w14:textId="77777777"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Joshi, S., &amp; Sharma, R. (2023). Nutri-Cereals: Niche to Mainstream. In </w:t>
      </w:r>
      <w:r w:rsidRPr="003E29B1">
        <w:rPr>
          <w:rFonts w:ascii="Arial" w:hAnsi="Arial" w:cs="Arial"/>
          <w:i/>
          <w:iCs/>
          <w:color w:val="222222"/>
          <w:sz w:val="20"/>
          <w:szCs w:val="20"/>
          <w:shd w:val="clear" w:color="auto" w:fill="FFFFFF"/>
        </w:rPr>
        <w:t>Nutri-Cereals</w:t>
      </w:r>
      <w:r w:rsidRPr="003E29B1">
        <w:rPr>
          <w:rFonts w:ascii="Arial" w:hAnsi="Arial" w:cs="Arial"/>
          <w:color w:val="222222"/>
          <w:sz w:val="20"/>
          <w:szCs w:val="20"/>
          <w:shd w:val="clear" w:color="auto" w:fill="FFFFFF"/>
        </w:rPr>
        <w:t> (pp. 1-25). CRC Press.</w:t>
      </w:r>
    </w:p>
    <w:p w14:paraId="21CFF3CA" w14:textId="1A679373"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Kaur, T., Devi, R., Kumar, S., Kour, D., &amp; Yadav, A. N. (2023). Plant growth promotion of pearl millet (</w:t>
      </w:r>
      <w:r w:rsidRPr="003E29B1">
        <w:rPr>
          <w:rFonts w:ascii="Arial" w:hAnsi="Arial" w:cs="Arial"/>
          <w:i/>
          <w:color w:val="222222"/>
          <w:sz w:val="20"/>
          <w:szCs w:val="20"/>
          <w:shd w:val="clear" w:color="auto" w:fill="FFFFFF"/>
        </w:rPr>
        <w:t>Pennisetum glaucum</w:t>
      </w:r>
      <w:r w:rsidRPr="003E29B1">
        <w:rPr>
          <w:rFonts w:ascii="Arial" w:hAnsi="Arial" w:cs="Arial"/>
          <w:color w:val="222222"/>
          <w:sz w:val="20"/>
          <w:szCs w:val="20"/>
          <w:shd w:val="clear" w:color="auto" w:fill="FFFFFF"/>
        </w:rPr>
        <w:t xml:space="preserve"> L.) by novel bacterial consortium with multifunctional attributes. </w:t>
      </w:r>
      <w:proofErr w:type="spellStart"/>
      <w:r w:rsidRPr="003E29B1">
        <w:rPr>
          <w:rFonts w:ascii="Arial" w:hAnsi="Arial" w:cs="Arial"/>
          <w:i/>
          <w:iCs/>
          <w:color w:val="222222"/>
          <w:sz w:val="20"/>
          <w:szCs w:val="20"/>
          <w:shd w:val="clear" w:color="auto" w:fill="FFFFFF"/>
        </w:rPr>
        <w:t>Biologia</w:t>
      </w:r>
      <w:proofErr w:type="spellEnd"/>
      <w:r w:rsidRPr="003E29B1">
        <w:rPr>
          <w:rFonts w:ascii="Arial" w:hAnsi="Arial" w:cs="Arial"/>
          <w:color w:val="222222"/>
          <w:sz w:val="20"/>
          <w:szCs w:val="20"/>
          <w:shd w:val="clear" w:color="auto" w:fill="FFFFFF"/>
        </w:rPr>
        <w:t>, </w:t>
      </w:r>
      <w:r w:rsidRPr="003E29B1">
        <w:rPr>
          <w:rFonts w:ascii="Arial" w:hAnsi="Arial" w:cs="Arial"/>
          <w:i/>
          <w:iCs/>
          <w:color w:val="222222"/>
          <w:sz w:val="20"/>
          <w:szCs w:val="20"/>
          <w:shd w:val="clear" w:color="auto" w:fill="FFFFFF"/>
        </w:rPr>
        <w:t>78</w:t>
      </w:r>
      <w:r w:rsidRPr="003E29B1">
        <w:rPr>
          <w:rFonts w:ascii="Arial" w:hAnsi="Arial" w:cs="Arial"/>
          <w:color w:val="222222"/>
          <w:sz w:val="20"/>
          <w:szCs w:val="20"/>
          <w:shd w:val="clear" w:color="auto" w:fill="FFFFFF"/>
        </w:rPr>
        <w:t>(2), 621-631.</w:t>
      </w:r>
      <w:r w:rsidR="00471B99">
        <w:rPr>
          <w:rFonts w:ascii="Arial" w:hAnsi="Arial" w:cs="Arial"/>
          <w:color w:val="222222"/>
          <w:sz w:val="20"/>
          <w:szCs w:val="20"/>
          <w:shd w:val="clear" w:color="auto" w:fill="FFFFFF"/>
        </w:rPr>
        <w:t xml:space="preserve"> </w:t>
      </w:r>
      <w:hyperlink r:id="rId23" w:history="1">
        <w:r w:rsidR="00471B99" w:rsidRPr="00405134">
          <w:rPr>
            <w:rStyle w:val="Hyperlink"/>
            <w:rFonts w:ascii="Helvetica" w:hAnsi="Helvetica" w:cs="Helvetica"/>
            <w:shd w:val="clear" w:color="auto" w:fill="FFFFFF"/>
          </w:rPr>
          <w:t>https://doi.org/10.1007/s11756-022-01291-5</w:t>
        </w:r>
      </w:hyperlink>
      <w:r w:rsidR="00471B99">
        <w:rPr>
          <w:rFonts w:ascii="Helvetica" w:hAnsi="Helvetica" w:cs="Helvetica"/>
          <w:color w:val="222222"/>
          <w:shd w:val="clear" w:color="auto" w:fill="FFFFFF"/>
        </w:rPr>
        <w:t xml:space="preserve"> </w:t>
      </w:r>
    </w:p>
    <w:p w14:paraId="41C8628D" w14:textId="77777777" w:rsidR="000F7E9D" w:rsidRPr="003E29B1" w:rsidRDefault="000F7E9D" w:rsidP="003E29B1">
      <w:pPr>
        <w:pStyle w:val="ListParagraph"/>
        <w:numPr>
          <w:ilvl w:val="0"/>
          <w:numId w:val="23"/>
        </w:numPr>
        <w:spacing w:line="240" w:lineRule="auto"/>
        <w:jc w:val="both"/>
        <w:rPr>
          <w:rStyle w:val="Hyperlink"/>
          <w:rFonts w:ascii="Arial" w:hAnsi="Arial" w:cs="Arial"/>
          <w:sz w:val="20"/>
          <w:szCs w:val="20"/>
          <w:highlight w:val="yellow"/>
          <w:lang w:val="en-GB"/>
        </w:rPr>
      </w:pPr>
      <w:r w:rsidRPr="003E29B1">
        <w:rPr>
          <w:rFonts w:ascii="Arial" w:hAnsi="Arial" w:cs="Arial"/>
          <w:color w:val="222222"/>
          <w:sz w:val="20"/>
          <w:szCs w:val="20"/>
          <w:highlight w:val="yellow"/>
          <w:shd w:val="clear" w:color="auto" w:fill="FFFFFF"/>
        </w:rPr>
        <w:t xml:space="preserve">Khatri, D., </w:t>
      </w:r>
      <w:proofErr w:type="spellStart"/>
      <w:r w:rsidRPr="003E29B1">
        <w:rPr>
          <w:rFonts w:ascii="Arial" w:hAnsi="Arial" w:cs="Arial"/>
          <w:color w:val="222222"/>
          <w:sz w:val="20"/>
          <w:szCs w:val="20"/>
          <w:highlight w:val="yellow"/>
          <w:shd w:val="clear" w:color="auto" w:fill="FFFFFF"/>
        </w:rPr>
        <w:t>Durgapal</w:t>
      </w:r>
      <w:proofErr w:type="spellEnd"/>
      <w:r w:rsidRPr="003E29B1">
        <w:rPr>
          <w:rFonts w:ascii="Arial" w:hAnsi="Arial" w:cs="Arial"/>
          <w:color w:val="222222"/>
          <w:sz w:val="20"/>
          <w:szCs w:val="20"/>
          <w:highlight w:val="yellow"/>
          <w:shd w:val="clear" w:color="auto" w:fill="FFFFFF"/>
        </w:rPr>
        <w:t>, A., &amp; Joshi, P. K. (2016). Biofertilization enhances productivity and nutrient uptake of foxtail millet plants. </w:t>
      </w:r>
      <w:r w:rsidRPr="003E29B1">
        <w:rPr>
          <w:rFonts w:ascii="Arial" w:hAnsi="Arial" w:cs="Arial"/>
          <w:i/>
          <w:iCs/>
          <w:color w:val="222222"/>
          <w:sz w:val="20"/>
          <w:szCs w:val="20"/>
          <w:highlight w:val="yellow"/>
          <w:shd w:val="clear" w:color="auto" w:fill="FFFFFF"/>
        </w:rPr>
        <w:t>Journal of Crop Improvement</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30</w:t>
      </w:r>
      <w:r w:rsidRPr="003E29B1">
        <w:rPr>
          <w:rFonts w:ascii="Arial" w:hAnsi="Arial" w:cs="Arial"/>
          <w:color w:val="222222"/>
          <w:sz w:val="20"/>
          <w:szCs w:val="20"/>
          <w:highlight w:val="yellow"/>
          <w:shd w:val="clear" w:color="auto" w:fill="FFFFFF"/>
        </w:rPr>
        <w:t xml:space="preserve">(1), 32-46. </w:t>
      </w:r>
      <w:hyperlink r:id="rId24" w:history="1">
        <w:r w:rsidRPr="003E29B1">
          <w:rPr>
            <w:rStyle w:val="Hyperlink"/>
            <w:rFonts w:ascii="Arial" w:hAnsi="Arial" w:cs="Arial"/>
            <w:sz w:val="20"/>
            <w:szCs w:val="20"/>
            <w:highlight w:val="yellow"/>
            <w:lang w:val="en-GB"/>
          </w:rPr>
          <w:t>https://www.tandfonline.com/doi/abs/10.1080/15427528.2015.1105343</w:t>
        </w:r>
      </w:hyperlink>
    </w:p>
    <w:p w14:paraId="3F7990B7" w14:textId="77777777" w:rsidR="000F7E9D" w:rsidRPr="003E29B1" w:rsidRDefault="000F7E9D" w:rsidP="003E29B1">
      <w:pPr>
        <w:pStyle w:val="ListParagraph"/>
        <w:numPr>
          <w:ilvl w:val="0"/>
          <w:numId w:val="23"/>
        </w:numPr>
        <w:spacing w:line="240" w:lineRule="auto"/>
        <w:jc w:val="both"/>
        <w:rPr>
          <w:rFonts w:ascii="Arial" w:hAnsi="Arial" w:cs="Arial"/>
          <w:color w:val="222222"/>
          <w:sz w:val="20"/>
          <w:szCs w:val="20"/>
          <w:highlight w:val="yellow"/>
          <w:shd w:val="clear" w:color="auto" w:fill="FFFFFF"/>
        </w:rPr>
      </w:pPr>
      <w:r w:rsidRPr="003E29B1">
        <w:rPr>
          <w:rFonts w:ascii="Arial" w:hAnsi="Arial" w:cs="Arial"/>
          <w:color w:val="222222"/>
          <w:sz w:val="20"/>
          <w:szCs w:val="20"/>
          <w:highlight w:val="yellow"/>
          <w:shd w:val="clear" w:color="auto" w:fill="FFFFFF"/>
        </w:rPr>
        <w:t>Kumar, P., Pandey, P., Dubey, R. C., &amp; Maheshwari, D. K. (2016). Bacteria consortium optimization improves nutrient uptake, nodulation, disease suppression and growth of the common bean (</w:t>
      </w:r>
      <w:r w:rsidRPr="003E29B1">
        <w:rPr>
          <w:rFonts w:ascii="Arial" w:hAnsi="Arial" w:cs="Arial"/>
          <w:i/>
          <w:color w:val="222222"/>
          <w:sz w:val="20"/>
          <w:szCs w:val="20"/>
          <w:highlight w:val="yellow"/>
          <w:shd w:val="clear" w:color="auto" w:fill="FFFFFF"/>
        </w:rPr>
        <w:t>Phaseolus vulgaris</w:t>
      </w:r>
      <w:r w:rsidRPr="003E29B1">
        <w:rPr>
          <w:rFonts w:ascii="Arial" w:hAnsi="Arial" w:cs="Arial"/>
          <w:color w:val="222222"/>
          <w:sz w:val="20"/>
          <w:szCs w:val="20"/>
          <w:highlight w:val="yellow"/>
          <w:shd w:val="clear" w:color="auto" w:fill="FFFFFF"/>
        </w:rPr>
        <w:t>) in both pot and field studies. </w:t>
      </w:r>
      <w:r w:rsidRPr="003E29B1">
        <w:rPr>
          <w:rFonts w:ascii="Arial" w:hAnsi="Arial" w:cs="Arial"/>
          <w:i/>
          <w:iCs/>
          <w:color w:val="222222"/>
          <w:sz w:val="20"/>
          <w:szCs w:val="20"/>
          <w:highlight w:val="yellow"/>
          <w:shd w:val="clear" w:color="auto" w:fill="FFFFFF"/>
        </w:rPr>
        <w:t>Rhizosphere</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2</w:t>
      </w:r>
      <w:r w:rsidRPr="003E29B1">
        <w:rPr>
          <w:rFonts w:ascii="Arial" w:hAnsi="Arial" w:cs="Arial"/>
          <w:color w:val="222222"/>
          <w:sz w:val="20"/>
          <w:szCs w:val="20"/>
          <w:highlight w:val="yellow"/>
          <w:shd w:val="clear" w:color="auto" w:fill="FFFFFF"/>
        </w:rPr>
        <w:t>, 13-23.</w:t>
      </w:r>
    </w:p>
    <w:p w14:paraId="35B19FFC" w14:textId="0D61A515" w:rsidR="000F7E9D" w:rsidRPr="003E29B1" w:rsidRDefault="000F7E9D" w:rsidP="003E29B1">
      <w:pPr>
        <w:pStyle w:val="ListParagraph"/>
        <w:numPr>
          <w:ilvl w:val="0"/>
          <w:numId w:val="23"/>
        </w:numPr>
        <w:spacing w:line="240" w:lineRule="auto"/>
        <w:jc w:val="both"/>
        <w:rPr>
          <w:rFonts w:ascii="Arial" w:hAnsi="Arial" w:cs="Arial"/>
          <w:color w:val="222222"/>
          <w:sz w:val="20"/>
          <w:szCs w:val="20"/>
          <w:highlight w:val="yellow"/>
          <w:shd w:val="clear" w:color="auto" w:fill="FFFFFF"/>
        </w:rPr>
      </w:pPr>
      <w:r w:rsidRPr="003E29B1">
        <w:rPr>
          <w:rFonts w:ascii="Arial" w:hAnsi="Arial" w:cs="Arial"/>
          <w:color w:val="222222"/>
          <w:sz w:val="20"/>
          <w:szCs w:val="20"/>
          <w:highlight w:val="yellow"/>
          <w:shd w:val="clear" w:color="auto" w:fill="FFFFFF"/>
        </w:rPr>
        <w:t>Kumari, S., Kumar, R., Chouhan, S., &amp; Chaudhary, P. L. (2023). Influence of various organic amendments on growth and yield attributes of mung bean (</w:t>
      </w:r>
      <w:r w:rsidRPr="003E29B1">
        <w:rPr>
          <w:rFonts w:ascii="Arial" w:hAnsi="Arial" w:cs="Arial"/>
          <w:i/>
          <w:color w:val="222222"/>
          <w:sz w:val="20"/>
          <w:szCs w:val="20"/>
          <w:highlight w:val="yellow"/>
          <w:shd w:val="clear" w:color="auto" w:fill="FFFFFF"/>
        </w:rPr>
        <w:t>Vigna radiata</w:t>
      </w:r>
      <w:r w:rsidRPr="003E29B1">
        <w:rPr>
          <w:rFonts w:ascii="Arial" w:hAnsi="Arial" w:cs="Arial"/>
          <w:color w:val="222222"/>
          <w:sz w:val="20"/>
          <w:szCs w:val="20"/>
          <w:highlight w:val="yellow"/>
          <w:shd w:val="clear" w:color="auto" w:fill="FFFFFF"/>
        </w:rPr>
        <w:t xml:space="preserve"> L.). </w:t>
      </w:r>
      <w:r w:rsidRPr="003E29B1">
        <w:rPr>
          <w:rFonts w:ascii="Arial" w:hAnsi="Arial" w:cs="Arial"/>
          <w:i/>
          <w:iCs/>
          <w:color w:val="222222"/>
          <w:sz w:val="20"/>
          <w:szCs w:val="20"/>
          <w:highlight w:val="yellow"/>
          <w:shd w:val="clear" w:color="auto" w:fill="FFFFFF"/>
        </w:rPr>
        <w:t>International Journal of Plant &amp; Soil Science</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35</w:t>
      </w:r>
      <w:r w:rsidRPr="003E29B1">
        <w:rPr>
          <w:rFonts w:ascii="Arial" w:hAnsi="Arial" w:cs="Arial"/>
          <w:color w:val="222222"/>
          <w:sz w:val="20"/>
          <w:szCs w:val="20"/>
          <w:highlight w:val="yellow"/>
          <w:shd w:val="clear" w:color="auto" w:fill="FFFFFF"/>
        </w:rPr>
        <w:t>(12), 124-30.</w:t>
      </w:r>
      <w:r w:rsidR="00471B99">
        <w:rPr>
          <w:rFonts w:ascii="Arial" w:hAnsi="Arial" w:cs="Arial"/>
          <w:color w:val="222222"/>
          <w:sz w:val="20"/>
          <w:szCs w:val="20"/>
          <w:highlight w:val="yellow"/>
          <w:shd w:val="clear" w:color="auto" w:fill="FFFFFF"/>
        </w:rPr>
        <w:t xml:space="preserve"> </w:t>
      </w:r>
      <w:hyperlink r:id="rId25" w:history="1">
        <w:r w:rsidR="00471B99" w:rsidRPr="00405134">
          <w:rPr>
            <w:rStyle w:val="Hyperlink"/>
            <w:rFonts w:ascii="Arial" w:hAnsi="Arial" w:cs="Arial"/>
            <w:sz w:val="27"/>
            <w:szCs w:val="27"/>
            <w:shd w:val="clear" w:color="auto" w:fill="FFFFFF"/>
          </w:rPr>
          <w:t>https://doi.org/10.9734/ijpss/2023/v35i122975</w:t>
        </w:r>
      </w:hyperlink>
      <w:r w:rsidR="00471B99">
        <w:rPr>
          <w:rFonts w:ascii="Arial" w:hAnsi="Arial" w:cs="Arial"/>
          <w:color w:val="333333"/>
          <w:sz w:val="27"/>
          <w:szCs w:val="27"/>
          <w:shd w:val="clear" w:color="auto" w:fill="FFFFFF"/>
        </w:rPr>
        <w:t>.</w:t>
      </w:r>
      <w:r w:rsidR="00471B99">
        <w:rPr>
          <w:rFonts w:ascii="Arial" w:hAnsi="Arial" w:cs="Arial"/>
          <w:color w:val="333333"/>
          <w:sz w:val="27"/>
          <w:szCs w:val="27"/>
          <w:shd w:val="clear" w:color="auto" w:fill="FFFFFF"/>
        </w:rPr>
        <w:t xml:space="preserve"> </w:t>
      </w:r>
    </w:p>
    <w:p w14:paraId="7A5368C6"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Majid, A., &amp; Priyadarshini, C. G. P. (2020). Millet-derived bioactive peptides: A review on their functional properties and health benefits. </w:t>
      </w:r>
      <w:r w:rsidRPr="003E29B1">
        <w:rPr>
          <w:rStyle w:val="Emphasis"/>
          <w:rFonts w:ascii="Arial" w:hAnsi="Arial" w:cs="Arial"/>
          <w:sz w:val="20"/>
        </w:rPr>
        <w:t>Critical Reviews in Food Science and Nutrition, 60</w:t>
      </w:r>
      <w:r w:rsidRPr="003E29B1">
        <w:rPr>
          <w:rFonts w:ascii="Arial" w:hAnsi="Arial" w:cs="Arial"/>
          <w:sz w:val="20"/>
        </w:rPr>
        <w:t xml:space="preserve">(19), 3342–3351. </w:t>
      </w:r>
      <w:hyperlink r:id="rId26" w:history="1">
        <w:r w:rsidRPr="003E29B1">
          <w:rPr>
            <w:rStyle w:val="Hyperlink"/>
            <w:rFonts w:ascii="Arial" w:hAnsi="Arial" w:cs="Arial"/>
            <w:sz w:val="20"/>
          </w:rPr>
          <w:t>https://doi.org/10.1080/10408398.2019.1702503</w:t>
        </w:r>
      </w:hyperlink>
    </w:p>
    <w:p w14:paraId="6CE77926"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Mitra, P. K., Adhikary, R., &amp; Mandal, V. (2023). Current status of mycorrhizal biofertilizer in crop improvement and its future prospects. In </w:t>
      </w:r>
      <w:r w:rsidRPr="003E29B1">
        <w:rPr>
          <w:rStyle w:val="Emphasis"/>
          <w:rFonts w:ascii="Arial" w:hAnsi="Arial" w:cs="Arial"/>
          <w:sz w:val="20"/>
        </w:rPr>
        <w:t>Microbial Symbionts and Plant Health: Trends and Applications for Changing Climate</w:t>
      </w:r>
      <w:r w:rsidRPr="003E29B1">
        <w:rPr>
          <w:rFonts w:ascii="Arial" w:hAnsi="Arial" w:cs="Arial"/>
          <w:sz w:val="20"/>
        </w:rPr>
        <w:t xml:space="preserve"> (pp. 465–485). Springer Nature Singapore. </w:t>
      </w:r>
      <w:hyperlink r:id="rId27" w:history="1">
        <w:r w:rsidRPr="003E29B1">
          <w:rPr>
            <w:rStyle w:val="Hyperlink"/>
            <w:rFonts w:ascii="Arial" w:hAnsi="Arial" w:cs="Arial"/>
            <w:sz w:val="20"/>
          </w:rPr>
          <w:t>https://doi.org/10.1007/978-981-19-8772-2_19</w:t>
        </w:r>
      </w:hyperlink>
    </w:p>
    <w:p w14:paraId="071FA583" w14:textId="77777777"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Niraula, P. (2018). </w:t>
      </w:r>
      <w:r w:rsidRPr="003E29B1">
        <w:rPr>
          <w:rFonts w:ascii="Arial" w:hAnsi="Arial" w:cs="Arial"/>
          <w:i/>
          <w:iCs/>
          <w:color w:val="222222"/>
          <w:sz w:val="20"/>
          <w:szCs w:val="20"/>
          <w:shd w:val="clear" w:color="auto" w:fill="FFFFFF"/>
        </w:rPr>
        <w:t>Preparation of Ready to Use Supplementary Food (RUSF) for treating moderately acute malnutrition in children aged 6-24 months</w:t>
      </w:r>
      <w:r w:rsidRPr="003E29B1">
        <w:rPr>
          <w:rFonts w:ascii="Arial" w:hAnsi="Arial" w:cs="Arial"/>
          <w:color w:val="222222"/>
          <w:sz w:val="20"/>
          <w:szCs w:val="20"/>
          <w:shd w:val="clear" w:color="auto" w:fill="FFFFFF"/>
        </w:rPr>
        <w:t> (Doctoral dissertation).</w:t>
      </w:r>
    </w:p>
    <w:p w14:paraId="641D4C0F"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lastRenderedPageBreak/>
        <w:t xml:space="preserve">Pathak, H., Mohanty, S., Jain, N., Bhatia, A., &amp; Kumar, M. (2010). Global warming mitigation potential of biogas plants in India. </w:t>
      </w:r>
      <w:r w:rsidRPr="003E29B1">
        <w:rPr>
          <w:rStyle w:val="Emphasis"/>
          <w:rFonts w:ascii="Arial" w:hAnsi="Arial" w:cs="Arial"/>
          <w:sz w:val="20"/>
        </w:rPr>
        <w:t>Environmental Monitoring and Assessment, 166</w:t>
      </w:r>
      <w:r w:rsidRPr="003E29B1">
        <w:rPr>
          <w:rFonts w:ascii="Arial" w:hAnsi="Arial" w:cs="Arial"/>
          <w:sz w:val="20"/>
        </w:rPr>
        <w:t xml:space="preserve">, 401–409. </w:t>
      </w:r>
      <w:hyperlink r:id="rId28" w:history="1">
        <w:r w:rsidRPr="003E29B1">
          <w:rPr>
            <w:rStyle w:val="Hyperlink"/>
            <w:rFonts w:ascii="Arial" w:hAnsi="Arial" w:cs="Arial"/>
            <w:sz w:val="20"/>
          </w:rPr>
          <w:t>https://doi.org/10.1007/s10661-009-1013-5</w:t>
        </w:r>
      </w:hyperlink>
    </w:p>
    <w:p w14:paraId="52FBC180" w14:textId="4873F96B" w:rsidR="000F7E9D" w:rsidRPr="003E29B1" w:rsidRDefault="000F7E9D" w:rsidP="003E29B1">
      <w:pPr>
        <w:pStyle w:val="ListParagraph"/>
        <w:numPr>
          <w:ilvl w:val="0"/>
          <w:numId w:val="23"/>
        </w:numPr>
        <w:spacing w:line="240" w:lineRule="auto"/>
        <w:jc w:val="both"/>
        <w:rPr>
          <w:rFonts w:ascii="Arial" w:hAnsi="Arial" w:cs="Arial"/>
          <w:color w:val="222222"/>
          <w:sz w:val="20"/>
          <w:szCs w:val="20"/>
          <w:highlight w:val="yellow"/>
          <w:shd w:val="clear" w:color="auto" w:fill="FFFFFF"/>
        </w:rPr>
      </w:pPr>
      <w:r w:rsidRPr="003E29B1">
        <w:rPr>
          <w:rFonts w:ascii="Arial" w:hAnsi="Arial" w:cs="Arial"/>
          <w:color w:val="222222"/>
          <w:sz w:val="20"/>
          <w:szCs w:val="20"/>
          <w:highlight w:val="yellow"/>
          <w:shd w:val="clear" w:color="auto" w:fill="FFFFFF"/>
        </w:rPr>
        <w:t xml:space="preserve">Prabhakar, M., Gopinath, K. A., Sai Sravan, U., </w:t>
      </w:r>
      <w:proofErr w:type="spellStart"/>
      <w:r w:rsidRPr="003E29B1">
        <w:rPr>
          <w:rFonts w:ascii="Arial" w:hAnsi="Arial" w:cs="Arial"/>
          <w:color w:val="222222"/>
          <w:sz w:val="20"/>
          <w:szCs w:val="20"/>
          <w:highlight w:val="yellow"/>
          <w:shd w:val="clear" w:color="auto" w:fill="FFFFFF"/>
        </w:rPr>
        <w:t>Srasvan</w:t>
      </w:r>
      <w:proofErr w:type="spellEnd"/>
      <w:r w:rsidRPr="003E29B1">
        <w:rPr>
          <w:rFonts w:ascii="Arial" w:hAnsi="Arial" w:cs="Arial"/>
          <w:color w:val="222222"/>
          <w:sz w:val="20"/>
          <w:szCs w:val="20"/>
          <w:highlight w:val="yellow"/>
          <w:shd w:val="clear" w:color="auto" w:fill="FFFFFF"/>
        </w:rPr>
        <w:t xml:space="preserve"> Kumar, G., Thirupathi, M., Samba Siva, G., ... &amp; Singh, V. K. (2023). Potential for yield and soil fertility improvement with integration of organics in nutrient management for finger millet under rainfed </w:t>
      </w:r>
      <w:proofErr w:type="spellStart"/>
      <w:r w:rsidRPr="003E29B1">
        <w:rPr>
          <w:rFonts w:ascii="Arial" w:hAnsi="Arial" w:cs="Arial"/>
          <w:color w:val="222222"/>
          <w:sz w:val="20"/>
          <w:szCs w:val="20"/>
          <w:highlight w:val="yellow"/>
          <w:shd w:val="clear" w:color="auto" w:fill="FFFFFF"/>
        </w:rPr>
        <w:t>Alfisols</w:t>
      </w:r>
      <w:proofErr w:type="spellEnd"/>
      <w:r w:rsidRPr="003E29B1">
        <w:rPr>
          <w:rFonts w:ascii="Arial" w:hAnsi="Arial" w:cs="Arial"/>
          <w:color w:val="222222"/>
          <w:sz w:val="20"/>
          <w:szCs w:val="20"/>
          <w:highlight w:val="yellow"/>
          <w:shd w:val="clear" w:color="auto" w:fill="FFFFFF"/>
        </w:rPr>
        <w:t xml:space="preserve"> of Southern India. </w:t>
      </w:r>
      <w:r w:rsidRPr="003E29B1">
        <w:rPr>
          <w:rFonts w:ascii="Arial" w:hAnsi="Arial" w:cs="Arial"/>
          <w:i/>
          <w:iCs/>
          <w:color w:val="222222"/>
          <w:sz w:val="20"/>
          <w:szCs w:val="20"/>
          <w:highlight w:val="yellow"/>
          <w:shd w:val="clear" w:color="auto" w:fill="FFFFFF"/>
        </w:rPr>
        <w:t>Frontiers in Nutrition</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10</w:t>
      </w:r>
      <w:r w:rsidRPr="003E29B1">
        <w:rPr>
          <w:rFonts w:ascii="Arial" w:hAnsi="Arial" w:cs="Arial"/>
          <w:color w:val="222222"/>
          <w:sz w:val="20"/>
          <w:szCs w:val="20"/>
          <w:highlight w:val="yellow"/>
          <w:shd w:val="clear" w:color="auto" w:fill="FFFFFF"/>
        </w:rPr>
        <w:t>, 1095449.</w:t>
      </w:r>
      <w:r w:rsidR="00471B99">
        <w:rPr>
          <w:rFonts w:ascii="Arial" w:hAnsi="Arial" w:cs="Arial"/>
          <w:color w:val="222222"/>
          <w:sz w:val="20"/>
          <w:szCs w:val="20"/>
          <w:highlight w:val="yellow"/>
          <w:shd w:val="clear" w:color="auto" w:fill="FFFFFF"/>
        </w:rPr>
        <w:t xml:space="preserve"> </w:t>
      </w:r>
      <w:hyperlink r:id="rId29" w:history="1">
        <w:r w:rsidR="00471B99">
          <w:rPr>
            <w:rStyle w:val="Hyperlink"/>
            <w:rFonts w:ascii="Helvetica" w:hAnsi="Helvetica" w:cs="Helvetica"/>
            <w:sz w:val="18"/>
            <w:szCs w:val="18"/>
            <w:shd w:val="clear" w:color="auto" w:fill="F7F7F7"/>
          </w:rPr>
          <w:t>https://doi.org/10.3389/fnut.2023.1095449</w:t>
        </w:r>
      </w:hyperlink>
      <w:r w:rsidR="00471B99">
        <w:t xml:space="preserve"> </w:t>
      </w:r>
    </w:p>
    <w:p w14:paraId="1F3B347A" w14:textId="2F74E4A6" w:rsidR="000F7E9D" w:rsidRPr="003E29B1" w:rsidRDefault="000F7E9D" w:rsidP="003E29B1">
      <w:pPr>
        <w:pStyle w:val="ListParagraph"/>
        <w:numPr>
          <w:ilvl w:val="0"/>
          <w:numId w:val="23"/>
        </w:numPr>
        <w:spacing w:line="240" w:lineRule="auto"/>
        <w:jc w:val="both"/>
        <w:rPr>
          <w:rFonts w:ascii="Arial" w:hAnsi="Arial" w:cs="Arial"/>
          <w:color w:val="222222"/>
          <w:sz w:val="20"/>
          <w:szCs w:val="20"/>
          <w:highlight w:val="yellow"/>
          <w:shd w:val="clear" w:color="auto" w:fill="FFFFFF"/>
        </w:rPr>
      </w:pPr>
      <w:r w:rsidRPr="003E29B1">
        <w:rPr>
          <w:rFonts w:ascii="Arial" w:hAnsi="Arial" w:cs="Arial"/>
          <w:color w:val="222222"/>
          <w:sz w:val="20"/>
          <w:szCs w:val="20"/>
          <w:highlight w:val="yellow"/>
          <w:shd w:val="clear" w:color="auto" w:fill="FFFFFF"/>
        </w:rPr>
        <w:t>Raj, S., Chaudhary, S., Ghule, N. S., Baral, K., Padhan, S. R., Gawande, K. N., &amp; Singh, V. (2024). Sustainable farming and soil health enhancement through millet cultivation: A review. </w:t>
      </w:r>
      <w:r w:rsidRPr="003E29B1">
        <w:rPr>
          <w:rFonts w:ascii="Arial" w:hAnsi="Arial" w:cs="Arial"/>
          <w:i/>
          <w:iCs/>
          <w:color w:val="222222"/>
          <w:sz w:val="20"/>
          <w:szCs w:val="20"/>
          <w:highlight w:val="yellow"/>
          <w:shd w:val="clear" w:color="auto" w:fill="FFFFFF"/>
        </w:rPr>
        <w:t>Int. J. Plant Soil Sci</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36</w:t>
      </w:r>
      <w:r w:rsidRPr="003E29B1">
        <w:rPr>
          <w:rFonts w:ascii="Arial" w:hAnsi="Arial" w:cs="Arial"/>
          <w:color w:val="222222"/>
          <w:sz w:val="20"/>
          <w:szCs w:val="20"/>
          <w:highlight w:val="yellow"/>
          <w:shd w:val="clear" w:color="auto" w:fill="FFFFFF"/>
        </w:rPr>
        <w:t>(3), 222-233.</w:t>
      </w:r>
      <w:r w:rsidR="00471B99">
        <w:rPr>
          <w:rFonts w:ascii="Arial" w:hAnsi="Arial" w:cs="Arial"/>
          <w:color w:val="222222"/>
          <w:sz w:val="20"/>
          <w:szCs w:val="20"/>
          <w:highlight w:val="yellow"/>
          <w:shd w:val="clear" w:color="auto" w:fill="FFFFFF"/>
        </w:rPr>
        <w:t xml:space="preserve"> </w:t>
      </w:r>
      <w:r w:rsidR="00471B99">
        <w:rPr>
          <w:rFonts w:ascii="Arial" w:hAnsi="Arial" w:cs="Arial"/>
          <w:color w:val="333333"/>
          <w:sz w:val="27"/>
          <w:szCs w:val="27"/>
          <w:shd w:val="clear" w:color="auto" w:fill="FFFFFF"/>
        </w:rPr>
        <w:t> </w:t>
      </w:r>
      <w:hyperlink r:id="rId30" w:history="1">
        <w:r w:rsidR="00471B99" w:rsidRPr="00405134">
          <w:rPr>
            <w:rStyle w:val="Hyperlink"/>
            <w:rFonts w:ascii="Arial" w:hAnsi="Arial" w:cs="Arial"/>
            <w:sz w:val="27"/>
            <w:szCs w:val="27"/>
            <w:shd w:val="clear" w:color="auto" w:fill="FFFFFF"/>
          </w:rPr>
          <w:t>https://doi.org/10.9734/ijpss/2024/v36i34418</w:t>
        </w:r>
      </w:hyperlink>
      <w:r w:rsidR="00471B99">
        <w:rPr>
          <w:rFonts w:ascii="Arial" w:hAnsi="Arial" w:cs="Arial"/>
          <w:color w:val="333333"/>
          <w:sz w:val="27"/>
          <w:szCs w:val="27"/>
          <w:shd w:val="clear" w:color="auto" w:fill="FFFFFF"/>
        </w:rPr>
        <w:t>.</w:t>
      </w:r>
      <w:r w:rsidR="00471B99">
        <w:rPr>
          <w:rFonts w:ascii="Arial" w:hAnsi="Arial" w:cs="Arial"/>
          <w:color w:val="333333"/>
          <w:sz w:val="27"/>
          <w:szCs w:val="27"/>
          <w:shd w:val="clear" w:color="auto" w:fill="FFFFFF"/>
        </w:rPr>
        <w:t xml:space="preserve"> </w:t>
      </w:r>
    </w:p>
    <w:p w14:paraId="3D58F227"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Sajeev, A., &amp; </w:t>
      </w:r>
      <w:proofErr w:type="spellStart"/>
      <w:r w:rsidRPr="003E29B1">
        <w:rPr>
          <w:rFonts w:ascii="Arial" w:hAnsi="Arial" w:cs="Arial"/>
          <w:sz w:val="20"/>
        </w:rPr>
        <w:t>Kundapura</w:t>
      </w:r>
      <w:proofErr w:type="spellEnd"/>
      <w:r w:rsidRPr="003E29B1">
        <w:rPr>
          <w:rFonts w:ascii="Arial" w:hAnsi="Arial" w:cs="Arial"/>
          <w:sz w:val="20"/>
        </w:rPr>
        <w:t xml:space="preserve">, S. (2023). Temporal assessment of meteorological drought events using stationary and nonstationary drought indices for two climate regions in India. </w:t>
      </w:r>
      <w:r w:rsidRPr="003E29B1">
        <w:rPr>
          <w:rStyle w:val="Emphasis"/>
          <w:rFonts w:ascii="Arial" w:hAnsi="Arial" w:cs="Arial"/>
          <w:sz w:val="20"/>
        </w:rPr>
        <w:t>Journal of Hydrologic Engineering, 28</w:t>
      </w:r>
      <w:r w:rsidRPr="003E29B1">
        <w:rPr>
          <w:rFonts w:ascii="Arial" w:hAnsi="Arial" w:cs="Arial"/>
          <w:sz w:val="20"/>
        </w:rPr>
        <w:t xml:space="preserve">(11), 05023018. </w:t>
      </w:r>
      <w:hyperlink r:id="rId31" w:history="1">
        <w:r w:rsidRPr="003E29B1">
          <w:rPr>
            <w:rStyle w:val="Hyperlink"/>
            <w:rFonts w:ascii="Arial" w:hAnsi="Arial" w:cs="Arial"/>
            <w:sz w:val="20"/>
          </w:rPr>
          <w:t>https://doi.org/10.1061/(ASCE)HE.1943-5584.0002297</w:t>
        </w:r>
      </w:hyperlink>
    </w:p>
    <w:p w14:paraId="184EA719" w14:textId="77777777" w:rsidR="000F7E9D" w:rsidRPr="003E29B1" w:rsidRDefault="000F7E9D" w:rsidP="003E29B1">
      <w:pPr>
        <w:pStyle w:val="ListParagraph"/>
        <w:numPr>
          <w:ilvl w:val="0"/>
          <w:numId w:val="23"/>
        </w:numPr>
        <w:spacing w:line="240" w:lineRule="auto"/>
        <w:jc w:val="both"/>
        <w:rPr>
          <w:rFonts w:ascii="Arial" w:hAnsi="Arial" w:cs="Arial"/>
          <w:sz w:val="20"/>
        </w:rPr>
      </w:pPr>
      <w:proofErr w:type="spellStart"/>
      <w:r w:rsidRPr="003E29B1">
        <w:rPr>
          <w:rFonts w:ascii="Arial" w:hAnsi="Arial" w:cs="Arial"/>
          <w:sz w:val="20"/>
        </w:rPr>
        <w:t>Samtiya</w:t>
      </w:r>
      <w:proofErr w:type="spellEnd"/>
      <w:r w:rsidRPr="003E29B1">
        <w:rPr>
          <w:rFonts w:ascii="Arial" w:hAnsi="Arial" w:cs="Arial"/>
          <w:sz w:val="20"/>
        </w:rPr>
        <w:t xml:space="preserve">, M., Aluko, R. E., Dhaka, N., Dhewa, T., &amp; </w:t>
      </w:r>
      <w:proofErr w:type="spellStart"/>
      <w:r w:rsidRPr="003E29B1">
        <w:rPr>
          <w:rFonts w:ascii="Arial" w:hAnsi="Arial" w:cs="Arial"/>
          <w:sz w:val="20"/>
        </w:rPr>
        <w:t>Puniya</w:t>
      </w:r>
      <w:proofErr w:type="spellEnd"/>
      <w:r w:rsidRPr="003E29B1">
        <w:rPr>
          <w:rFonts w:ascii="Arial" w:hAnsi="Arial" w:cs="Arial"/>
          <w:sz w:val="20"/>
        </w:rPr>
        <w:t xml:space="preserve">, A. K. (2023). Nutritional and health-promoting attributes of millet: Current and future perspectives. </w:t>
      </w:r>
      <w:r w:rsidRPr="003E29B1">
        <w:rPr>
          <w:rStyle w:val="Emphasis"/>
          <w:rFonts w:ascii="Arial" w:hAnsi="Arial" w:cs="Arial"/>
          <w:sz w:val="20"/>
        </w:rPr>
        <w:t>Nutrition Reviews, 81</w:t>
      </w:r>
      <w:r w:rsidRPr="003E29B1">
        <w:rPr>
          <w:rFonts w:ascii="Arial" w:hAnsi="Arial" w:cs="Arial"/>
          <w:sz w:val="20"/>
        </w:rPr>
        <w:t xml:space="preserve">(6), 684–704. </w:t>
      </w:r>
      <w:hyperlink r:id="rId32" w:history="1">
        <w:r w:rsidRPr="003E29B1">
          <w:rPr>
            <w:rStyle w:val="Hyperlink"/>
            <w:rFonts w:ascii="Arial" w:hAnsi="Arial" w:cs="Arial"/>
            <w:sz w:val="20"/>
          </w:rPr>
          <w:t>https://doi.org/10.1093/nutrit/nuac106</w:t>
        </w:r>
      </w:hyperlink>
    </w:p>
    <w:p w14:paraId="1C6D3743"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Shah, F., &amp; Wu, W. (2019). Soil and crop management strategies to ensure higher crop productivity within sustainable environments. </w:t>
      </w:r>
      <w:r w:rsidRPr="003E29B1">
        <w:rPr>
          <w:rStyle w:val="Emphasis"/>
          <w:rFonts w:ascii="Arial" w:hAnsi="Arial" w:cs="Arial"/>
          <w:sz w:val="20"/>
        </w:rPr>
        <w:t>Sustainability, 11</w:t>
      </w:r>
      <w:r w:rsidRPr="003E29B1">
        <w:rPr>
          <w:rFonts w:ascii="Arial" w:hAnsi="Arial" w:cs="Arial"/>
          <w:sz w:val="20"/>
        </w:rPr>
        <w:t xml:space="preserve">(5), 1485. </w:t>
      </w:r>
      <w:hyperlink r:id="rId33" w:history="1">
        <w:r w:rsidRPr="003E29B1">
          <w:rPr>
            <w:rStyle w:val="Hyperlink"/>
            <w:rFonts w:ascii="Arial" w:hAnsi="Arial" w:cs="Arial"/>
            <w:sz w:val="20"/>
          </w:rPr>
          <w:t>https://doi.org/10.3390/su11051485</w:t>
        </w:r>
      </w:hyperlink>
    </w:p>
    <w:p w14:paraId="24EDBC44" w14:textId="309A9F32"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r w:rsidRPr="003E29B1">
        <w:rPr>
          <w:rFonts w:ascii="Arial" w:hAnsi="Arial" w:cs="Arial"/>
          <w:color w:val="222222"/>
          <w:sz w:val="20"/>
          <w:szCs w:val="20"/>
          <w:shd w:val="clear" w:color="auto" w:fill="FFFFFF"/>
        </w:rPr>
        <w:t xml:space="preserve">Sham, I. N., Yap, C. K., </w:t>
      </w:r>
      <w:proofErr w:type="spellStart"/>
      <w:r w:rsidRPr="003E29B1">
        <w:rPr>
          <w:rFonts w:ascii="Arial" w:hAnsi="Arial" w:cs="Arial"/>
          <w:color w:val="222222"/>
          <w:sz w:val="20"/>
          <w:szCs w:val="20"/>
          <w:shd w:val="clear" w:color="auto" w:fill="FFFFFF"/>
        </w:rPr>
        <w:t>Nulit</w:t>
      </w:r>
      <w:proofErr w:type="spellEnd"/>
      <w:r w:rsidRPr="003E29B1">
        <w:rPr>
          <w:rFonts w:ascii="Arial" w:hAnsi="Arial" w:cs="Arial"/>
          <w:color w:val="222222"/>
          <w:sz w:val="20"/>
          <w:szCs w:val="20"/>
          <w:shd w:val="clear" w:color="auto" w:fill="FFFFFF"/>
        </w:rPr>
        <w:t>, R., Peng, S. H. T., &amp; Chai, E. W. (2024). Nutrient Leaching in Oil Palm Plantation: A Review on Special Reference to Fertilization Application. </w:t>
      </w:r>
      <w:r w:rsidRPr="003E29B1">
        <w:rPr>
          <w:rFonts w:ascii="Arial" w:hAnsi="Arial" w:cs="Arial"/>
          <w:i/>
          <w:iCs/>
          <w:color w:val="222222"/>
          <w:sz w:val="20"/>
          <w:szCs w:val="20"/>
          <w:shd w:val="clear" w:color="auto" w:fill="FFFFFF"/>
        </w:rPr>
        <w:t>Pakistan Journal of Life &amp; Social Sciences</w:t>
      </w:r>
      <w:r w:rsidRPr="003E29B1">
        <w:rPr>
          <w:rFonts w:ascii="Arial" w:hAnsi="Arial" w:cs="Arial"/>
          <w:color w:val="222222"/>
          <w:sz w:val="20"/>
          <w:szCs w:val="20"/>
          <w:shd w:val="clear" w:color="auto" w:fill="FFFFFF"/>
        </w:rPr>
        <w:t>, </w:t>
      </w:r>
      <w:r w:rsidRPr="003E29B1">
        <w:rPr>
          <w:rFonts w:ascii="Arial" w:hAnsi="Arial" w:cs="Arial"/>
          <w:i/>
          <w:iCs/>
          <w:color w:val="222222"/>
          <w:sz w:val="20"/>
          <w:szCs w:val="20"/>
          <w:shd w:val="clear" w:color="auto" w:fill="FFFFFF"/>
        </w:rPr>
        <w:t>22</w:t>
      </w:r>
      <w:r w:rsidRPr="003E29B1">
        <w:rPr>
          <w:rFonts w:ascii="Arial" w:hAnsi="Arial" w:cs="Arial"/>
          <w:color w:val="222222"/>
          <w:sz w:val="20"/>
          <w:szCs w:val="20"/>
          <w:shd w:val="clear" w:color="auto" w:fill="FFFFFF"/>
        </w:rPr>
        <w:t>(2).</w:t>
      </w:r>
      <w:r w:rsidR="00471B99">
        <w:rPr>
          <w:rFonts w:ascii="Arial" w:hAnsi="Arial" w:cs="Arial"/>
          <w:color w:val="222222"/>
          <w:sz w:val="20"/>
          <w:szCs w:val="20"/>
          <w:shd w:val="clear" w:color="auto" w:fill="FFFFFF"/>
        </w:rPr>
        <w:t xml:space="preserve"> </w:t>
      </w:r>
      <w:r w:rsidR="00471B99">
        <w:rPr>
          <w:rFonts w:ascii="Arial" w:hAnsi="Arial" w:cs="Arial"/>
          <w:color w:val="555555"/>
          <w:sz w:val="21"/>
          <w:szCs w:val="21"/>
          <w:shd w:val="clear" w:color="auto" w:fill="FFFFFF"/>
        </w:rPr>
        <w:t>DOI:</w:t>
      </w:r>
      <w:hyperlink r:id="rId34" w:tgtFrame="_blank" w:history="1">
        <w:r w:rsidR="00471B99">
          <w:rPr>
            <w:rStyle w:val="Hyperlink"/>
            <w:rFonts w:ascii="Arial" w:hAnsi="Arial" w:cs="Arial"/>
            <w:sz w:val="21"/>
            <w:szCs w:val="21"/>
            <w:bdr w:val="none" w:sz="0" w:space="0" w:color="auto" w:frame="1"/>
            <w:shd w:val="clear" w:color="auto" w:fill="FFFFFF"/>
          </w:rPr>
          <w:t>10.57239/PJLSS-2024-22.2.0062</w:t>
        </w:r>
      </w:hyperlink>
    </w:p>
    <w:p w14:paraId="4F5C35A6" w14:textId="04EE7B87" w:rsidR="000F7E9D" w:rsidRPr="003E29B1" w:rsidRDefault="000F7E9D" w:rsidP="003E29B1">
      <w:pPr>
        <w:pStyle w:val="ListParagraph"/>
        <w:numPr>
          <w:ilvl w:val="0"/>
          <w:numId w:val="23"/>
        </w:numPr>
        <w:spacing w:line="240" w:lineRule="auto"/>
        <w:jc w:val="both"/>
        <w:rPr>
          <w:rFonts w:ascii="Arial" w:hAnsi="Arial" w:cs="Arial"/>
          <w:color w:val="222222"/>
          <w:sz w:val="20"/>
          <w:szCs w:val="20"/>
          <w:shd w:val="clear" w:color="auto" w:fill="FFFFFF"/>
        </w:rPr>
      </w:pPr>
      <w:proofErr w:type="spellStart"/>
      <w:r w:rsidRPr="003E29B1">
        <w:rPr>
          <w:rFonts w:ascii="Arial" w:hAnsi="Arial" w:cs="Arial"/>
          <w:color w:val="222222"/>
          <w:sz w:val="20"/>
          <w:szCs w:val="20"/>
          <w:shd w:val="clear" w:color="auto" w:fill="FFFFFF"/>
        </w:rPr>
        <w:t>Shivhare</w:t>
      </w:r>
      <w:proofErr w:type="spellEnd"/>
      <w:r w:rsidRPr="003E29B1">
        <w:rPr>
          <w:rFonts w:ascii="Arial" w:hAnsi="Arial" w:cs="Arial"/>
          <w:color w:val="222222"/>
          <w:sz w:val="20"/>
          <w:szCs w:val="20"/>
          <w:shd w:val="clear" w:color="auto" w:fill="FFFFFF"/>
        </w:rPr>
        <w:t>, R., Semwal, P., Mishra, S. K., &amp; Chauhan, P. S. (2024). Pseudomonas putida Facilitates Pearl Millet Growth in Cold Environments and Alleviates Drought Stress by Modulating Phytohormone, Antioxidant, and Secondary Metabolite Pathways. </w:t>
      </w:r>
      <w:r w:rsidRPr="003E29B1">
        <w:rPr>
          <w:rFonts w:ascii="Arial" w:hAnsi="Arial" w:cs="Arial"/>
          <w:i/>
          <w:iCs/>
          <w:color w:val="222222"/>
          <w:sz w:val="20"/>
          <w:szCs w:val="20"/>
          <w:shd w:val="clear" w:color="auto" w:fill="FFFFFF"/>
        </w:rPr>
        <w:t>Journal of Plant Growth Regulation</w:t>
      </w:r>
      <w:r w:rsidRPr="003E29B1">
        <w:rPr>
          <w:rFonts w:ascii="Arial" w:hAnsi="Arial" w:cs="Arial"/>
          <w:color w:val="222222"/>
          <w:sz w:val="20"/>
          <w:szCs w:val="20"/>
          <w:shd w:val="clear" w:color="auto" w:fill="FFFFFF"/>
        </w:rPr>
        <w:t>, </w:t>
      </w:r>
      <w:r w:rsidRPr="003E29B1">
        <w:rPr>
          <w:rFonts w:ascii="Arial" w:hAnsi="Arial" w:cs="Arial"/>
          <w:i/>
          <w:iCs/>
          <w:color w:val="222222"/>
          <w:sz w:val="20"/>
          <w:szCs w:val="20"/>
          <w:shd w:val="clear" w:color="auto" w:fill="FFFFFF"/>
        </w:rPr>
        <w:t>43</w:t>
      </w:r>
      <w:r w:rsidRPr="003E29B1">
        <w:rPr>
          <w:rFonts w:ascii="Arial" w:hAnsi="Arial" w:cs="Arial"/>
          <w:color w:val="222222"/>
          <w:sz w:val="20"/>
          <w:szCs w:val="20"/>
          <w:shd w:val="clear" w:color="auto" w:fill="FFFFFF"/>
        </w:rPr>
        <w:t>(11), 4199-4218.</w:t>
      </w:r>
      <w:r w:rsidR="00471B99">
        <w:rPr>
          <w:rFonts w:ascii="Arial" w:hAnsi="Arial" w:cs="Arial"/>
          <w:color w:val="222222"/>
          <w:sz w:val="20"/>
          <w:szCs w:val="20"/>
          <w:shd w:val="clear" w:color="auto" w:fill="FFFFFF"/>
        </w:rPr>
        <w:t xml:space="preserve"> </w:t>
      </w:r>
      <w:hyperlink r:id="rId35" w:history="1">
        <w:r w:rsidR="00471B99" w:rsidRPr="00405134">
          <w:rPr>
            <w:rStyle w:val="Hyperlink"/>
            <w:rFonts w:ascii="Helvetica" w:hAnsi="Helvetica" w:cs="Helvetica"/>
            <w:shd w:val="clear" w:color="auto" w:fill="FFFFFF"/>
          </w:rPr>
          <w:t>https://doi.org/10.1007/s00344-024-11384-x</w:t>
        </w:r>
      </w:hyperlink>
      <w:r w:rsidR="00471B99">
        <w:rPr>
          <w:rFonts w:ascii="Helvetica" w:hAnsi="Helvetica" w:cs="Helvetica"/>
          <w:color w:val="222222"/>
          <w:shd w:val="clear" w:color="auto" w:fill="FFFFFF"/>
        </w:rPr>
        <w:t xml:space="preserve"> </w:t>
      </w:r>
      <w:bookmarkStart w:id="0" w:name="_GoBack"/>
      <w:bookmarkEnd w:id="0"/>
    </w:p>
    <w:p w14:paraId="1F82FCF2"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rPr>
        <w:t xml:space="preserve">Singh, P., Singh, R., </w:t>
      </w:r>
      <w:proofErr w:type="spellStart"/>
      <w:r w:rsidRPr="003E29B1">
        <w:rPr>
          <w:rFonts w:ascii="Arial" w:hAnsi="Arial" w:cs="Arial"/>
          <w:sz w:val="20"/>
        </w:rPr>
        <w:t>Bhadauria</w:t>
      </w:r>
      <w:proofErr w:type="spellEnd"/>
      <w:r w:rsidRPr="003E29B1">
        <w:rPr>
          <w:rFonts w:ascii="Arial" w:hAnsi="Arial" w:cs="Arial"/>
          <w:sz w:val="20"/>
        </w:rPr>
        <w:t xml:space="preserve">, V., &amp; Singh, H. (2023). The functionality and extraction of protein from sorghum, finger millet, and </w:t>
      </w:r>
      <w:proofErr w:type="spellStart"/>
      <w:r w:rsidRPr="003E29B1">
        <w:rPr>
          <w:rFonts w:ascii="Arial" w:hAnsi="Arial" w:cs="Arial"/>
          <w:sz w:val="20"/>
        </w:rPr>
        <w:t>kodo</w:t>
      </w:r>
      <w:proofErr w:type="spellEnd"/>
      <w:r w:rsidRPr="003E29B1">
        <w:rPr>
          <w:rFonts w:ascii="Arial" w:hAnsi="Arial" w:cs="Arial"/>
          <w:sz w:val="20"/>
        </w:rPr>
        <w:t xml:space="preserve"> millet: A review. </w:t>
      </w:r>
      <w:r w:rsidRPr="003E29B1">
        <w:rPr>
          <w:rStyle w:val="Emphasis"/>
          <w:rFonts w:ascii="Arial" w:hAnsi="Arial" w:cs="Arial"/>
          <w:sz w:val="20"/>
        </w:rPr>
        <w:t>International Journal of Food Science &amp; Technology, 58</w:t>
      </w:r>
      <w:r w:rsidRPr="003E29B1">
        <w:rPr>
          <w:rFonts w:ascii="Arial" w:hAnsi="Arial" w:cs="Arial"/>
          <w:sz w:val="20"/>
        </w:rPr>
        <w:t xml:space="preserve">(3), 1201–1215. </w:t>
      </w:r>
      <w:hyperlink r:id="rId36" w:history="1">
        <w:r w:rsidRPr="003E29B1">
          <w:rPr>
            <w:rStyle w:val="Hyperlink"/>
            <w:rFonts w:ascii="Arial" w:hAnsi="Arial" w:cs="Arial"/>
            <w:sz w:val="20"/>
          </w:rPr>
          <w:t>https://doi.org/10.1111/ijfs.16165</w:t>
        </w:r>
      </w:hyperlink>
    </w:p>
    <w:p w14:paraId="7F2E8902" w14:textId="77777777" w:rsidR="000F7E9D" w:rsidRPr="003E29B1" w:rsidRDefault="000F7E9D" w:rsidP="003E29B1">
      <w:pPr>
        <w:pStyle w:val="ListParagraph"/>
        <w:numPr>
          <w:ilvl w:val="0"/>
          <w:numId w:val="23"/>
        </w:numPr>
        <w:spacing w:line="240" w:lineRule="auto"/>
        <w:jc w:val="both"/>
        <w:rPr>
          <w:rFonts w:ascii="Arial" w:hAnsi="Arial" w:cs="Arial"/>
          <w:sz w:val="20"/>
        </w:rPr>
      </w:pPr>
      <w:r w:rsidRPr="003E29B1">
        <w:rPr>
          <w:rFonts w:ascii="Arial" w:hAnsi="Arial" w:cs="Arial"/>
          <w:sz w:val="20"/>
          <w:highlight w:val="yellow"/>
        </w:rPr>
        <w:t xml:space="preserve">Snehal, G., &amp; Neena, J. (2018). Effect of hydrothermal treatments on mineral composition, </w:t>
      </w:r>
      <w:proofErr w:type="spellStart"/>
      <w:r w:rsidRPr="003E29B1">
        <w:rPr>
          <w:rFonts w:ascii="Arial" w:hAnsi="Arial" w:cs="Arial"/>
          <w:sz w:val="20"/>
          <w:highlight w:val="yellow"/>
        </w:rPr>
        <w:t>bioaccessibility</w:t>
      </w:r>
      <w:proofErr w:type="spellEnd"/>
      <w:r w:rsidRPr="003E29B1">
        <w:rPr>
          <w:rFonts w:ascii="Arial" w:hAnsi="Arial" w:cs="Arial"/>
          <w:sz w:val="20"/>
          <w:highlight w:val="yellow"/>
        </w:rPr>
        <w:t xml:space="preserve"> and total polyphenols of pearl millet (</w:t>
      </w:r>
      <w:r w:rsidRPr="003E29B1">
        <w:rPr>
          <w:rStyle w:val="Emphasis"/>
          <w:rFonts w:ascii="Arial" w:hAnsi="Arial" w:cs="Arial"/>
          <w:sz w:val="20"/>
          <w:highlight w:val="yellow"/>
        </w:rPr>
        <w:t>Pennisetum glaucum</w:t>
      </w:r>
      <w:r w:rsidRPr="003E29B1">
        <w:rPr>
          <w:rFonts w:ascii="Arial" w:hAnsi="Arial" w:cs="Arial"/>
          <w:sz w:val="20"/>
          <w:highlight w:val="yellow"/>
        </w:rPr>
        <w:t xml:space="preserve">). </w:t>
      </w:r>
      <w:r w:rsidRPr="003E29B1">
        <w:rPr>
          <w:rStyle w:val="Emphasis"/>
          <w:rFonts w:ascii="Arial" w:hAnsi="Arial" w:cs="Arial"/>
          <w:sz w:val="20"/>
          <w:highlight w:val="yellow"/>
        </w:rPr>
        <w:t>Journal of Pharmacognosy and Phytochemistry, 7</w:t>
      </w:r>
      <w:r w:rsidRPr="003E29B1">
        <w:rPr>
          <w:rFonts w:ascii="Arial" w:hAnsi="Arial" w:cs="Arial"/>
          <w:sz w:val="20"/>
          <w:highlight w:val="yellow"/>
        </w:rPr>
        <w:t>(6), 442–448.</w:t>
      </w:r>
    </w:p>
    <w:p w14:paraId="374AFB4D" w14:textId="77777777" w:rsidR="000F7E9D" w:rsidRPr="003E29B1" w:rsidRDefault="000F7E9D" w:rsidP="003E29B1">
      <w:pPr>
        <w:pStyle w:val="ListParagraph"/>
        <w:numPr>
          <w:ilvl w:val="0"/>
          <w:numId w:val="23"/>
        </w:numPr>
        <w:spacing w:line="240" w:lineRule="auto"/>
        <w:jc w:val="both"/>
        <w:rPr>
          <w:rStyle w:val="Hyperlink"/>
          <w:rFonts w:ascii="Arial" w:hAnsi="Arial" w:cs="Arial"/>
          <w:sz w:val="20"/>
        </w:rPr>
      </w:pPr>
      <w:r w:rsidRPr="003E29B1">
        <w:rPr>
          <w:rFonts w:ascii="Arial" w:hAnsi="Arial" w:cs="Arial"/>
          <w:sz w:val="20"/>
        </w:rPr>
        <w:t xml:space="preserve">Sunil, C. K., Gowda, N. N., Nayak, N., &amp; Rawson, A. (2024). Unveiling the effect of processing on bioactive compounds in millets: Implications for health benefits and risks. </w:t>
      </w:r>
      <w:r w:rsidRPr="003E29B1">
        <w:rPr>
          <w:rStyle w:val="Emphasis"/>
          <w:rFonts w:ascii="Arial" w:hAnsi="Arial" w:cs="Arial"/>
          <w:sz w:val="20"/>
        </w:rPr>
        <w:t>Process Biochemistry, 133</w:t>
      </w:r>
      <w:r w:rsidRPr="003E29B1">
        <w:rPr>
          <w:rFonts w:ascii="Arial" w:hAnsi="Arial" w:cs="Arial"/>
          <w:sz w:val="20"/>
        </w:rPr>
        <w:t xml:space="preserve">, 63–75. </w:t>
      </w:r>
      <w:hyperlink r:id="rId37" w:history="1">
        <w:r w:rsidRPr="003E29B1">
          <w:rPr>
            <w:rStyle w:val="Hyperlink"/>
            <w:rFonts w:ascii="Arial" w:hAnsi="Arial" w:cs="Arial"/>
            <w:sz w:val="20"/>
          </w:rPr>
          <w:t>https://doi.org/10.1016/j.procbio.2023.10.004</w:t>
        </w:r>
      </w:hyperlink>
    </w:p>
    <w:p w14:paraId="52979043" w14:textId="35D238FC" w:rsidR="000F7E9D" w:rsidRPr="003E29B1" w:rsidRDefault="000F7E9D" w:rsidP="003E29B1">
      <w:pPr>
        <w:pStyle w:val="ListParagraph"/>
        <w:numPr>
          <w:ilvl w:val="0"/>
          <w:numId w:val="23"/>
        </w:numPr>
        <w:spacing w:line="240" w:lineRule="auto"/>
        <w:jc w:val="both"/>
        <w:rPr>
          <w:rFonts w:ascii="Arial" w:hAnsi="Arial" w:cs="Arial"/>
          <w:sz w:val="20"/>
          <w:szCs w:val="20"/>
          <w:highlight w:val="yellow"/>
          <w:lang w:val="en-GB"/>
        </w:rPr>
      </w:pPr>
      <w:r w:rsidRPr="003E29B1">
        <w:rPr>
          <w:rFonts w:ascii="Arial" w:hAnsi="Arial" w:cs="Arial"/>
          <w:color w:val="222222"/>
          <w:sz w:val="20"/>
          <w:szCs w:val="20"/>
          <w:highlight w:val="yellow"/>
          <w:shd w:val="clear" w:color="auto" w:fill="FFFFFF"/>
        </w:rPr>
        <w:t xml:space="preserve">Yadav, I. R., Trivedi, S. K., Yadav, S. S., Yadav, S. L., </w:t>
      </w:r>
      <w:proofErr w:type="spellStart"/>
      <w:r w:rsidRPr="003E29B1">
        <w:rPr>
          <w:rFonts w:ascii="Arial" w:hAnsi="Arial" w:cs="Arial"/>
          <w:color w:val="222222"/>
          <w:sz w:val="20"/>
          <w:szCs w:val="20"/>
          <w:highlight w:val="yellow"/>
          <w:shd w:val="clear" w:color="auto" w:fill="FFFFFF"/>
        </w:rPr>
        <w:t>Khambalkar</w:t>
      </w:r>
      <w:proofErr w:type="spellEnd"/>
      <w:r w:rsidRPr="003E29B1">
        <w:rPr>
          <w:rFonts w:ascii="Arial" w:hAnsi="Arial" w:cs="Arial"/>
          <w:color w:val="222222"/>
          <w:sz w:val="20"/>
          <w:szCs w:val="20"/>
          <w:highlight w:val="yellow"/>
          <w:shd w:val="clear" w:color="auto" w:fill="FFFFFF"/>
        </w:rPr>
        <w:t>, P. A., Garhwal, B. L., &amp; Tomar, A. (2024). Optimizing Nutrient Management for Pearl Millet: Insights from a Long-term Field Experiment. </w:t>
      </w:r>
      <w:r w:rsidRPr="003E29B1">
        <w:rPr>
          <w:rFonts w:ascii="Arial" w:hAnsi="Arial" w:cs="Arial"/>
          <w:i/>
          <w:iCs/>
          <w:color w:val="222222"/>
          <w:sz w:val="20"/>
          <w:szCs w:val="20"/>
          <w:highlight w:val="yellow"/>
          <w:shd w:val="clear" w:color="auto" w:fill="FFFFFF"/>
        </w:rPr>
        <w:t>Asian Journal of Soil Science and Plant Nutrition</w:t>
      </w:r>
      <w:r w:rsidRPr="003E29B1">
        <w:rPr>
          <w:rFonts w:ascii="Arial" w:hAnsi="Arial" w:cs="Arial"/>
          <w:color w:val="222222"/>
          <w:sz w:val="20"/>
          <w:szCs w:val="20"/>
          <w:highlight w:val="yellow"/>
          <w:shd w:val="clear" w:color="auto" w:fill="FFFFFF"/>
        </w:rPr>
        <w:t>, </w:t>
      </w:r>
      <w:r w:rsidRPr="003E29B1">
        <w:rPr>
          <w:rFonts w:ascii="Arial" w:hAnsi="Arial" w:cs="Arial"/>
          <w:i/>
          <w:iCs/>
          <w:color w:val="222222"/>
          <w:sz w:val="20"/>
          <w:szCs w:val="20"/>
          <w:highlight w:val="yellow"/>
          <w:shd w:val="clear" w:color="auto" w:fill="FFFFFF"/>
        </w:rPr>
        <w:t>10</w:t>
      </w:r>
      <w:r w:rsidRPr="003E29B1">
        <w:rPr>
          <w:rFonts w:ascii="Arial" w:hAnsi="Arial" w:cs="Arial"/>
          <w:color w:val="222222"/>
          <w:sz w:val="20"/>
          <w:szCs w:val="20"/>
          <w:highlight w:val="yellow"/>
          <w:shd w:val="clear" w:color="auto" w:fill="FFFFFF"/>
        </w:rPr>
        <w:t xml:space="preserve">(3), 369-375. </w:t>
      </w:r>
      <w:hyperlink r:id="rId38" w:history="1">
        <w:r w:rsidRPr="003E29B1">
          <w:rPr>
            <w:rStyle w:val="Hyperlink"/>
            <w:rFonts w:ascii="Arial" w:hAnsi="Arial" w:cs="Arial"/>
            <w:sz w:val="20"/>
            <w:szCs w:val="20"/>
            <w:highlight w:val="yellow"/>
            <w:lang w:val="en-GB"/>
          </w:rPr>
          <w:t>https://doi.org/10.9734/ajsspn/2024/v10i3347</w:t>
        </w:r>
      </w:hyperlink>
      <w:r w:rsidRPr="003E29B1">
        <w:rPr>
          <w:rFonts w:ascii="Arial" w:hAnsi="Arial" w:cs="Arial"/>
          <w:sz w:val="20"/>
          <w:szCs w:val="20"/>
          <w:highlight w:val="yellow"/>
          <w:lang w:val="en-GB"/>
        </w:rPr>
        <w:t xml:space="preserve"> </w:t>
      </w:r>
    </w:p>
    <w:p w14:paraId="5CE0DBD5" w14:textId="360F2D20" w:rsidR="003E29B1" w:rsidRPr="003E29B1" w:rsidRDefault="003E29B1" w:rsidP="003E29B1">
      <w:pPr>
        <w:pStyle w:val="ListParagraph"/>
        <w:numPr>
          <w:ilvl w:val="0"/>
          <w:numId w:val="23"/>
        </w:numPr>
        <w:spacing w:line="240" w:lineRule="auto"/>
        <w:jc w:val="both"/>
        <w:rPr>
          <w:rFonts w:ascii="Arial" w:hAnsi="Arial" w:cs="Arial"/>
          <w:sz w:val="20"/>
          <w:szCs w:val="20"/>
          <w:highlight w:val="green"/>
          <w:lang w:val="en-GB"/>
        </w:rPr>
      </w:pPr>
      <w:r w:rsidRPr="003E29B1">
        <w:rPr>
          <w:rFonts w:ascii="Arial" w:hAnsi="Arial" w:cs="Arial"/>
          <w:sz w:val="20"/>
          <w:szCs w:val="20"/>
          <w:highlight w:val="green"/>
          <w:lang w:val="en-GB"/>
        </w:rPr>
        <w:t xml:space="preserve">Mukherjee, B., Jha, R. K., Sattar, A., Dutta, S., Bhattacharya, U., </w:t>
      </w:r>
      <w:proofErr w:type="spellStart"/>
      <w:r w:rsidRPr="003E29B1">
        <w:rPr>
          <w:rFonts w:ascii="Arial" w:hAnsi="Arial" w:cs="Arial"/>
          <w:sz w:val="20"/>
          <w:szCs w:val="20"/>
          <w:highlight w:val="green"/>
          <w:lang w:val="en-GB"/>
        </w:rPr>
        <w:t>Samanta</w:t>
      </w:r>
      <w:proofErr w:type="spellEnd"/>
      <w:r w:rsidRPr="003E29B1">
        <w:rPr>
          <w:rFonts w:ascii="Arial" w:hAnsi="Arial" w:cs="Arial"/>
          <w:sz w:val="20"/>
          <w:szCs w:val="20"/>
          <w:highlight w:val="green"/>
          <w:lang w:val="en-GB"/>
        </w:rPr>
        <w:t>, S., ... &amp; Bal, S. K. (2025). Harnessing the potential of millets for climate-resilient and sustainable agriculture. Frontiers in Plant Science, 16, 1574699.</w:t>
      </w:r>
      <w:r w:rsidRPr="003E29B1">
        <w:rPr>
          <w:highlight w:val="green"/>
        </w:rPr>
        <w:t xml:space="preserve"> </w:t>
      </w:r>
      <w:hyperlink r:id="rId39" w:history="1">
        <w:r w:rsidRPr="003E29B1">
          <w:rPr>
            <w:rStyle w:val="Hyperlink"/>
            <w:rFonts w:ascii="Arial" w:hAnsi="Arial" w:cs="Arial"/>
            <w:sz w:val="20"/>
            <w:szCs w:val="20"/>
            <w:highlight w:val="green"/>
            <w:lang w:val="en-GB"/>
          </w:rPr>
          <w:t>https://doi.org/10.3389/fpls.2025.1574699</w:t>
        </w:r>
      </w:hyperlink>
      <w:r w:rsidRPr="003E29B1">
        <w:rPr>
          <w:rFonts w:ascii="Arial" w:hAnsi="Arial" w:cs="Arial"/>
          <w:sz w:val="20"/>
          <w:szCs w:val="20"/>
          <w:highlight w:val="green"/>
          <w:lang w:val="en-GB"/>
        </w:rPr>
        <w:t xml:space="preserve"> </w:t>
      </w:r>
    </w:p>
    <w:p w14:paraId="17450E1C" w14:textId="20C51B8C" w:rsidR="00F5679C" w:rsidRPr="003E29B1" w:rsidRDefault="003E29B1" w:rsidP="003E29B1">
      <w:pPr>
        <w:pStyle w:val="ListParagraph"/>
        <w:numPr>
          <w:ilvl w:val="0"/>
          <w:numId w:val="23"/>
        </w:numPr>
        <w:spacing w:line="240" w:lineRule="auto"/>
        <w:jc w:val="both"/>
        <w:rPr>
          <w:rFonts w:ascii="Arial" w:hAnsi="Arial" w:cs="Arial"/>
          <w:sz w:val="20"/>
          <w:highlight w:val="green"/>
        </w:rPr>
      </w:pPr>
      <w:proofErr w:type="spellStart"/>
      <w:r w:rsidRPr="003E29B1">
        <w:rPr>
          <w:rFonts w:ascii="Arial" w:hAnsi="Arial" w:cs="Arial"/>
          <w:sz w:val="20"/>
          <w:highlight w:val="green"/>
        </w:rPr>
        <w:t>Porwal</w:t>
      </w:r>
      <w:proofErr w:type="spellEnd"/>
      <w:r w:rsidRPr="003E29B1">
        <w:rPr>
          <w:rFonts w:ascii="Arial" w:hAnsi="Arial" w:cs="Arial"/>
          <w:sz w:val="20"/>
          <w:highlight w:val="green"/>
        </w:rPr>
        <w:t xml:space="preserve">, A., Bhagwat, G., </w:t>
      </w:r>
      <w:proofErr w:type="spellStart"/>
      <w:r w:rsidRPr="003E29B1">
        <w:rPr>
          <w:rFonts w:ascii="Arial" w:hAnsi="Arial" w:cs="Arial"/>
          <w:sz w:val="20"/>
          <w:highlight w:val="green"/>
        </w:rPr>
        <w:t>Sawarkar</w:t>
      </w:r>
      <w:proofErr w:type="spellEnd"/>
      <w:r w:rsidRPr="003E29B1">
        <w:rPr>
          <w:rFonts w:ascii="Arial" w:hAnsi="Arial" w:cs="Arial"/>
          <w:sz w:val="20"/>
          <w:highlight w:val="green"/>
        </w:rPr>
        <w:t xml:space="preserve">, J., </w:t>
      </w:r>
      <w:proofErr w:type="spellStart"/>
      <w:r w:rsidRPr="003E29B1">
        <w:rPr>
          <w:rFonts w:ascii="Arial" w:hAnsi="Arial" w:cs="Arial"/>
          <w:sz w:val="20"/>
          <w:highlight w:val="green"/>
        </w:rPr>
        <w:t>Kamble</w:t>
      </w:r>
      <w:proofErr w:type="spellEnd"/>
      <w:r w:rsidRPr="003E29B1">
        <w:rPr>
          <w:rFonts w:ascii="Arial" w:hAnsi="Arial" w:cs="Arial"/>
          <w:sz w:val="20"/>
          <w:highlight w:val="green"/>
        </w:rPr>
        <w:t xml:space="preserve">, P., &amp; Rode, M. (2023). An overview of millets-the </w:t>
      </w:r>
      <w:proofErr w:type="spellStart"/>
      <w:r w:rsidRPr="003E29B1">
        <w:rPr>
          <w:rFonts w:ascii="Arial" w:hAnsi="Arial" w:cs="Arial"/>
          <w:sz w:val="20"/>
          <w:highlight w:val="green"/>
        </w:rPr>
        <w:t>nutri</w:t>
      </w:r>
      <w:proofErr w:type="spellEnd"/>
      <w:r w:rsidRPr="003E29B1">
        <w:rPr>
          <w:rFonts w:ascii="Arial" w:hAnsi="Arial" w:cs="Arial"/>
          <w:sz w:val="20"/>
          <w:highlight w:val="green"/>
        </w:rPr>
        <w:t>-cereals: Its nutritional profile, potential health benefits and sustainable cultivation approach. Int J Sci Res Arch, 10(1), 841-859.</w:t>
      </w:r>
      <w:r w:rsidRPr="003E29B1">
        <w:rPr>
          <w:highlight w:val="green"/>
        </w:rPr>
        <w:t xml:space="preserve"> </w:t>
      </w:r>
      <w:hyperlink r:id="rId40" w:history="1">
        <w:r w:rsidRPr="003E29B1">
          <w:rPr>
            <w:rStyle w:val="Hyperlink"/>
            <w:rFonts w:ascii="Arial" w:hAnsi="Arial" w:cs="Arial"/>
            <w:sz w:val="20"/>
            <w:highlight w:val="green"/>
          </w:rPr>
          <w:t>https://doi.org/10.30574/ijsra.2023.10.1.0828</w:t>
        </w:r>
      </w:hyperlink>
      <w:r w:rsidRPr="003E29B1">
        <w:rPr>
          <w:rFonts w:ascii="Arial" w:hAnsi="Arial" w:cs="Arial"/>
          <w:sz w:val="20"/>
          <w:highlight w:val="green"/>
        </w:rPr>
        <w:t xml:space="preserve"> </w:t>
      </w:r>
    </w:p>
    <w:p w14:paraId="44BE9EFA" w14:textId="2308E1FD" w:rsidR="003E29B1" w:rsidRPr="003E29B1" w:rsidRDefault="003E29B1" w:rsidP="003E29B1">
      <w:pPr>
        <w:pStyle w:val="ListParagraph"/>
        <w:numPr>
          <w:ilvl w:val="0"/>
          <w:numId w:val="23"/>
        </w:numPr>
        <w:spacing w:line="240" w:lineRule="auto"/>
        <w:jc w:val="both"/>
        <w:rPr>
          <w:rFonts w:ascii="Arial" w:hAnsi="Arial" w:cs="Arial"/>
          <w:sz w:val="20"/>
          <w:highlight w:val="green"/>
        </w:rPr>
      </w:pPr>
      <w:r w:rsidRPr="003E29B1">
        <w:rPr>
          <w:rFonts w:ascii="Arial" w:hAnsi="Arial" w:cs="Arial"/>
          <w:sz w:val="20"/>
          <w:highlight w:val="green"/>
        </w:rPr>
        <w:t xml:space="preserve">Das, J., Sharma, U., </w:t>
      </w:r>
      <w:proofErr w:type="spellStart"/>
      <w:r w:rsidRPr="003E29B1">
        <w:rPr>
          <w:rFonts w:ascii="Arial" w:hAnsi="Arial" w:cs="Arial"/>
          <w:sz w:val="20"/>
          <w:highlight w:val="green"/>
        </w:rPr>
        <w:t>Sankhyan</w:t>
      </w:r>
      <w:proofErr w:type="spellEnd"/>
      <w:r w:rsidRPr="003E29B1">
        <w:rPr>
          <w:rFonts w:ascii="Arial" w:hAnsi="Arial" w:cs="Arial"/>
          <w:sz w:val="20"/>
          <w:highlight w:val="green"/>
        </w:rPr>
        <w:t xml:space="preserve">, N., Sharma, S., Chauhan, V., </w:t>
      </w:r>
      <w:proofErr w:type="spellStart"/>
      <w:r w:rsidRPr="003E29B1">
        <w:rPr>
          <w:rFonts w:ascii="Arial" w:hAnsi="Arial" w:cs="Arial"/>
          <w:sz w:val="20"/>
          <w:highlight w:val="green"/>
        </w:rPr>
        <w:t>Parida</w:t>
      </w:r>
      <w:proofErr w:type="spellEnd"/>
      <w:r w:rsidRPr="003E29B1">
        <w:rPr>
          <w:rFonts w:ascii="Arial" w:hAnsi="Arial" w:cs="Arial"/>
          <w:sz w:val="20"/>
          <w:highlight w:val="green"/>
        </w:rPr>
        <w:t xml:space="preserve">, S., &amp; AR, A. (2025). Integrating Millets into Agroforestry Systems: A Climate-Smart Strategy for Sustainable Land Use and Livelihood Improvement with Special Emphasis on India. Trees, Forests and People, 101087. </w:t>
      </w:r>
      <w:hyperlink r:id="rId41" w:history="1">
        <w:r w:rsidRPr="003E29B1">
          <w:rPr>
            <w:rStyle w:val="Hyperlink"/>
            <w:rFonts w:ascii="Arial" w:hAnsi="Arial" w:cs="Arial"/>
            <w:sz w:val="20"/>
            <w:highlight w:val="green"/>
          </w:rPr>
          <w:t>https://doi.org/10.1016/j.tfp.2025.101087</w:t>
        </w:r>
      </w:hyperlink>
      <w:r w:rsidRPr="003E29B1">
        <w:rPr>
          <w:rFonts w:ascii="Arial" w:hAnsi="Arial" w:cs="Arial"/>
          <w:sz w:val="20"/>
          <w:highlight w:val="green"/>
        </w:rPr>
        <w:t xml:space="preserve"> </w:t>
      </w:r>
    </w:p>
    <w:p w14:paraId="26D27450" w14:textId="546D0F02" w:rsidR="003E29B1" w:rsidRPr="003E29B1" w:rsidRDefault="003E29B1" w:rsidP="003E29B1">
      <w:pPr>
        <w:pStyle w:val="ListParagraph"/>
        <w:numPr>
          <w:ilvl w:val="0"/>
          <w:numId w:val="23"/>
        </w:numPr>
        <w:spacing w:line="240" w:lineRule="auto"/>
        <w:jc w:val="both"/>
        <w:rPr>
          <w:rFonts w:ascii="Arial" w:hAnsi="Arial" w:cs="Arial"/>
          <w:sz w:val="20"/>
          <w:highlight w:val="green"/>
        </w:rPr>
      </w:pPr>
      <w:proofErr w:type="spellStart"/>
      <w:r w:rsidRPr="003E29B1">
        <w:rPr>
          <w:rFonts w:ascii="Arial" w:hAnsi="Arial" w:cs="Arial"/>
          <w:sz w:val="20"/>
          <w:highlight w:val="green"/>
        </w:rPr>
        <w:t>Sawargaonkar</w:t>
      </w:r>
      <w:proofErr w:type="spellEnd"/>
      <w:r w:rsidRPr="003E29B1">
        <w:rPr>
          <w:rFonts w:ascii="Arial" w:hAnsi="Arial" w:cs="Arial"/>
          <w:sz w:val="20"/>
          <w:highlight w:val="green"/>
        </w:rPr>
        <w:t xml:space="preserve">, G. L., Datta, A., </w:t>
      </w:r>
      <w:proofErr w:type="spellStart"/>
      <w:r w:rsidRPr="003E29B1">
        <w:rPr>
          <w:rFonts w:ascii="Arial" w:hAnsi="Arial" w:cs="Arial"/>
          <w:sz w:val="20"/>
          <w:highlight w:val="green"/>
        </w:rPr>
        <w:t>Kamdi</w:t>
      </w:r>
      <w:proofErr w:type="spellEnd"/>
      <w:r w:rsidRPr="003E29B1">
        <w:rPr>
          <w:rFonts w:ascii="Arial" w:hAnsi="Arial" w:cs="Arial"/>
          <w:sz w:val="20"/>
          <w:highlight w:val="green"/>
        </w:rPr>
        <w:t xml:space="preserve">, P. J., Rakesh, S., </w:t>
      </w:r>
      <w:proofErr w:type="spellStart"/>
      <w:r w:rsidRPr="003E29B1">
        <w:rPr>
          <w:rFonts w:ascii="Arial" w:hAnsi="Arial" w:cs="Arial"/>
          <w:sz w:val="20"/>
          <w:highlight w:val="green"/>
        </w:rPr>
        <w:t>Pasumarthi</w:t>
      </w:r>
      <w:proofErr w:type="spellEnd"/>
      <w:r w:rsidRPr="003E29B1">
        <w:rPr>
          <w:rFonts w:ascii="Arial" w:hAnsi="Arial" w:cs="Arial"/>
          <w:sz w:val="20"/>
          <w:highlight w:val="green"/>
        </w:rPr>
        <w:t xml:space="preserve">, R., </w:t>
      </w:r>
      <w:proofErr w:type="spellStart"/>
      <w:r w:rsidRPr="003E29B1">
        <w:rPr>
          <w:rFonts w:ascii="Arial" w:hAnsi="Arial" w:cs="Arial"/>
          <w:sz w:val="20"/>
          <w:highlight w:val="green"/>
        </w:rPr>
        <w:t>Davala</w:t>
      </w:r>
      <w:proofErr w:type="spellEnd"/>
      <w:r w:rsidRPr="003E29B1">
        <w:rPr>
          <w:rFonts w:ascii="Arial" w:hAnsi="Arial" w:cs="Arial"/>
          <w:sz w:val="20"/>
          <w:highlight w:val="green"/>
        </w:rPr>
        <w:t xml:space="preserve">, M. S., ... &amp; </w:t>
      </w:r>
      <w:proofErr w:type="spellStart"/>
      <w:r w:rsidRPr="003E29B1">
        <w:rPr>
          <w:rFonts w:ascii="Arial" w:hAnsi="Arial" w:cs="Arial"/>
          <w:sz w:val="20"/>
          <w:highlight w:val="green"/>
        </w:rPr>
        <w:t>Jat</w:t>
      </w:r>
      <w:proofErr w:type="spellEnd"/>
      <w:r w:rsidRPr="003E29B1">
        <w:rPr>
          <w:rFonts w:ascii="Arial" w:hAnsi="Arial" w:cs="Arial"/>
          <w:sz w:val="20"/>
          <w:highlight w:val="green"/>
        </w:rPr>
        <w:t>, M. L. (2025). Bundled management practices for enhanced finger millet productivity in acid soils: empirical evidence from Odisha, India. Journal of Agriculture and Food Research, 21, 101946.</w:t>
      </w:r>
      <w:r w:rsidRPr="003E29B1">
        <w:rPr>
          <w:highlight w:val="green"/>
        </w:rPr>
        <w:t xml:space="preserve"> </w:t>
      </w:r>
      <w:hyperlink r:id="rId42" w:history="1">
        <w:r w:rsidRPr="003E29B1">
          <w:rPr>
            <w:rStyle w:val="Hyperlink"/>
            <w:rFonts w:ascii="Arial" w:hAnsi="Arial" w:cs="Arial"/>
            <w:sz w:val="20"/>
            <w:highlight w:val="green"/>
          </w:rPr>
          <w:t>https://doi.org/10.1016/j.jafr.2025.101946</w:t>
        </w:r>
      </w:hyperlink>
    </w:p>
    <w:p w14:paraId="192E0852" w14:textId="5CC8C578" w:rsidR="003E29B1" w:rsidRPr="003E29B1" w:rsidRDefault="003E29B1" w:rsidP="003E29B1">
      <w:pPr>
        <w:pStyle w:val="ListParagraph"/>
        <w:numPr>
          <w:ilvl w:val="0"/>
          <w:numId w:val="23"/>
        </w:numPr>
        <w:spacing w:line="240" w:lineRule="auto"/>
        <w:jc w:val="both"/>
        <w:rPr>
          <w:rFonts w:ascii="Arial" w:hAnsi="Arial" w:cs="Arial"/>
          <w:sz w:val="20"/>
          <w:highlight w:val="green"/>
        </w:rPr>
      </w:pPr>
      <w:r w:rsidRPr="003E29B1">
        <w:rPr>
          <w:rFonts w:ascii="Arial" w:hAnsi="Arial" w:cs="Arial"/>
          <w:sz w:val="20"/>
          <w:highlight w:val="green"/>
        </w:rPr>
        <w:t xml:space="preserve">Penuelas, J., </w:t>
      </w:r>
      <w:proofErr w:type="spellStart"/>
      <w:r w:rsidRPr="003E29B1">
        <w:rPr>
          <w:rFonts w:ascii="Arial" w:hAnsi="Arial" w:cs="Arial"/>
          <w:sz w:val="20"/>
          <w:highlight w:val="green"/>
        </w:rPr>
        <w:t>Coello</w:t>
      </w:r>
      <w:proofErr w:type="spellEnd"/>
      <w:r w:rsidRPr="003E29B1">
        <w:rPr>
          <w:rFonts w:ascii="Arial" w:hAnsi="Arial" w:cs="Arial"/>
          <w:sz w:val="20"/>
          <w:highlight w:val="green"/>
        </w:rPr>
        <w:t xml:space="preserve">, F., &amp; </w:t>
      </w:r>
      <w:proofErr w:type="spellStart"/>
      <w:r w:rsidRPr="003E29B1">
        <w:rPr>
          <w:rFonts w:ascii="Arial" w:hAnsi="Arial" w:cs="Arial"/>
          <w:sz w:val="20"/>
          <w:highlight w:val="green"/>
        </w:rPr>
        <w:t>Sardans</w:t>
      </w:r>
      <w:proofErr w:type="spellEnd"/>
      <w:r w:rsidRPr="003E29B1">
        <w:rPr>
          <w:rFonts w:ascii="Arial" w:hAnsi="Arial" w:cs="Arial"/>
          <w:sz w:val="20"/>
          <w:highlight w:val="green"/>
        </w:rPr>
        <w:t>, J. (2023). A better use of fertilizers is needed for global food security and environmental sustainability. Agriculture &amp; Food Security, 12(1), 1-9.</w:t>
      </w:r>
      <w:hyperlink r:id="rId43" w:history="1">
        <w:r w:rsidRPr="003E29B1">
          <w:rPr>
            <w:rStyle w:val="Hyperlink"/>
            <w:rFonts w:ascii="Arial" w:hAnsi="Arial" w:cs="Arial"/>
            <w:sz w:val="20"/>
            <w:highlight w:val="green"/>
          </w:rPr>
          <w:t>https://doi.org/10.1186/s40066-023-00409-5</w:t>
        </w:r>
      </w:hyperlink>
      <w:r w:rsidRPr="003E29B1">
        <w:rPr>
          <w:rFonts w:ascii="Arial" w:hAnsi="Arial" w:cs="Arial"/>
          <w:sz w:val="20"/>
          <w:highlight w:val="green"/>
        </w:rPr>
        <w:t xml:space="preserve"> </w:t>
      </w:r>
    </w:p>
    <w:p w14:paraId="1D4C8515" w14:textId="077EE950" w:rsidR="003E29B1" w:rsidRPr="003E29B1" w:rsidRDefault="003E29B1" w:rsidP="003E29B1">
      <w:pPr>
        <w:pStyle w:val="ListParagraph"/>
        <w:numPr>
          <w:ilvl w:val="0"/>
          <w:numId w:val="23"/>
        </w:numPr>
        <w:spacing w:line="240" w:lineRule="auto"/>
        <w:jc w:val="both"/>
        <w:rPr>
          <w:rFonts w:ascii="Arial" w:hAnsi="Arial" w:cs="Arial"/>
          <w:sz w:val="20"/>
          <w:highlight w:val="green"/>
        </w:rPr>
      </w:pPr>
      <w:r w:rsidRPr="003E29B1">
        <w:rPr>
          <w:rFonts w:ascii="Arial" w:hAnsi="Arial" w:cs="Arial"/>
          <w:sz w:val="20"/>
          <w:highlight w:val="green"/>
        </w:rPr>
        <w:lastRenderedPageBreak/>
        <w:t xml:space="preserve">Chen, J., </w:t>
      </w:r>
      <w:proofErr w:type="spellStart"/>
      <w:r w:rsidRPr="003E29B1">
        <w:rPr>
          <w:rFonts w:ascii="Arial" w:hAnsi="Arial" w:cs="Arial"/>
          <w:sz w:val="20"/>
          <w:highlight w:val="green"/>
        </w:rPr>
        <w:t>Lü</w:t>
      </w:r>
      <w:proofErr w:type="spellEnd"/>
      <w:r w:rsidRPr="003E29B1">
        <w:rPr>
          <w:rFonts w:ascii="Arial" w:hAnsi="Arial" w:cs="Arial"/>
          <w:sz w:val="20"/>
          <w:highlight w:val="green"/>
        </w:rPr>
        <w:t>, S., Zhang, Z., Zhao, X., Li, X., Ning, P., &amp; Liu, M. (2018). Environmentally friendly fertilizers: A review of materials used and their effects on the environment. Science of the total environment, 613, 829-839.</w:t>
      </w:r>
      <w:r w:rsidRPr="003E29B1">
        <w:rPr>
          <w:highlight w:val="green"/>
        </w:rPr>
        <w:t xml:space="preserve"> </w:t>
      </w:r>
      <w:hyperlink r:id="rId44" w:history="1">
        <w:r w:rsidRPr="003E29B1">
          <w:rPr>
            <w:rStyle w:val="Hyperlink"/>
            <w:rFonts w:ascii="Arial" w:hAnsi="Arial" w:cs="Arial"/>
            <w:sz w:val="20"/>
            <w:highlight w:val="green"/>
          </w:rPr>
          <w:t>https://doi.org/10.1016/j.scitotenv.2017.09.186</w:t>
        </w:r>
      </w:hyperlink>
    </w:p>
    <w:p w14:paraId="55942AC9" w14:textId="18A04CAD" w:rsidR="003E29B1" w:rsidRPr="003E29B1" w:rsidRDefault="003E29B1" w:rsidP="003E29B1">
      <w:pPr>
        <w:pStyle w:val="ListParagraph"/>
        <w:numPr>
          <w:ilvl w:val="0"/>
          <w:numId w:val="23"/>
        </w:numPr>
        <w:spacing w:line="240" w:lineRule="auto"/>
        <w:jc w:val="both"/>
        <w:rPr>
          <w:rFonts w:ascii="Arial" w:hAnsi="Arial" w:cs="Arial"/>
          <w:sz w:val="20"/>
          <w:highlight w:val="green"/>
        </w:rPr>
      </w:pPr>
      <w:r w:rsidRPr="003E29B1">
        <w:rPr>
          <w:rFonts w:ascii="Arial" w:hAnsi="Arial" w:cs="Arial"/>
          <w:sz w:val="20"/>
          <w:highlight w:val="green"/>
        </w:rPr>
        <w:t>Kumar, S., Sindhu, S. S., &amp; Kumar, R. (2022). Biofertilizers: An ecofriendly technology for nutrient recycling and environmental sustainability. Current Research in Microbial Sciences, 3, 100094.</w:t>
      </w:r>
      <w:r w:rsidRPr="003E29B1">
        <w:rPr>
          <w:highlight w:val="green"/>
        </w:rPr>
        <w:t xml:space="preserve"> </w:t>
      </w:r>
      <w:hyperlink r:id="rId45" w:history="1">
        <w:r w:rsidRPr="003E29B1">
          <w:rPr>
            <w:rStyle w:val="Hyperlink"/>
            <w:rFonts w:ascii="Arial" w:hAnsi="Arial" w:cs="Arial"/>
            <w:sz w:val="20"/>
            <w:highlight w:val="green"/>
          </w:rPr>
          <w:t>https://doi.org/10.1016/j.crmicr.2021.100094</w:t>
        </w:r>
      </w:hyperlink>
    </w:p>
    <w:p w14:paraId="48A69C26" w14:textId="411BEEDB" w:rsidR="003E29B1" w:rsidRPr="003E29B1" w:rsidRDefault="003E29B1" w:rsidP="003E29B1">
      <w:pPr>
        <w:pStyle w:val="ListParagraph"/>
        <w:numPr>
          <w:ilvl w:val="0"/>
          <w:numId w:val="23"/>
        </w:numPr>
        <w:spacing w:line="240" w:lineRule="auto"/>
        <w:jc w:val="both"/>
        <w:rPr>
          <w:rFonts w:ascii="Arial" w:hAnsi="Arial" w:cs="Arial"/>
          <w:sz w:val="20"/>
          <w:highlight w:val="green"/>
        </w:rPr>
      </w:pPr>
      <w:r w:rsidRPr="003E29B1">
        <w:rPr>
          <w:rFonts w:ascii="Arial" w:hAnsi="Arial" w:cs="Arial"/>
          <w:sz w:val="20"/>
          <w:highlight w:val="green"/>
        </w:rPr>
        <w:t xml:space="preserve">Bhardwaj, D., Ansari, M. W., Sahoo, R. K., &amp; </w:t>
      </w:r>
      <w:proofErr w:type="spellStart"/>
      <w:r w:rsidRPr="003E29B1">
        <w:rPr>
          <w:rFonts w:ascii="Arial" w:hAnsi="Arial" w:cs="Arial"/>
          <w:sz w:val="20"/>
          <w:highlight w:val="green"/>
        </w:rPr>
        <w:t>Tuteja</w:t>
      </w:r>
      <w:proofErr w:type="spellEnd"/>
      <w:r w:rsidRPr="003E29B1">
        <w:rPr>
          <w:rFonts w:ascii="Arial" w:hAnsi="Arial" w:cs="Arial"/>
          <w:sz w:val="20"/>
          <w:highlight w:val="green"/>
        </w:rPr>
        <w:t>, N. (2014). Biofertilizers function as key player in sustainable agriculture by improving soil fertility, plant tolerance and crop productivity. Microbial cell factories, 13(1), 66.</w:t>
      </w:r>
      <w:r w:rsidRPr="003E29B1">
        <w:rPr>
          <w:highlight w:val="green"/>
        </w:rPr>
        <w:t xml:space="preserve"> </w:t>
      </w:r>
      <w:hyperlink r:id="rId46" w:history="1">
        <w:r w:rsidRPr="003E29B1">
          <w:rPr>
            <w:rStyle w:val="Hyperlink"/>
            <w:rFonts w:ascii="Arial" w:hAnsi="Arial" w:cs="Arial"/>
            <w:sz w:val="20"/>
            <w:highlight w:val="green"/>
          </w:rPr>
          <w:t>https://doi.org/10.1186/1475-2859-13-66</w:t>
        </w:r>
      </w:hyperlink>
    </w:p>
    <w:p w14:paraId="39646CE4" w14:textId="77777777" w:rsidR="003E29B1" w:rsidRPr="00902B0F" w:rsidRDefault="003E29B1" w:rsidP="003E29B1">
      <w:pPr>
        <w:spacing w:line="240" w:lineRule="auto"/>
        <w:jc w:val="both"/>
        <w:rPr>
          <w:rFonts w:ascii="Arial" w:hAnsi="Arial" w:cs="Arial"/>
          <w:sz w:val="20"/>
        </w:rPr>
      </w:pPr>
    </w:p>
    <w:sectPr w:rsidR="003E29B1" w:rsidRPr="00902B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23608" w14:textId="77777777" w:rsidR="004369C1" w:rsidRDefault="004369C1" w:rsidP="001E188E">
      <w:pPr>
        <w:spacing w:after="0" w:line="240" w:lineRule="auto"/>
      </w:pPr>
      <w:r>
        <w:separator/>
      </w:r>
    </w:p>
  </w:endnote>
  <w:endnote w:type="continuationSeparator" w:id="0">
    <w:p w14:paraId="59A13029" w14:textId="77777777" w:rsidR="004369C1" w:rsidRDefault="004369C1" w:rsidP="001E1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9288" w14:textId="77777777" w:rsidR="001E188E" w:rsidRDefault="001E18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5CD1" w14:textId="77777777" w:rsidR="001E188E" w:rsidRDefault="001E18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F52C" w14:textId="77777777" w:rsidR="001E188E" w:rsidRDefault="001E18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12094" w14:textId="77777777" w:rsidR="004369C1" w:rsidRDefault="004369C1" w:rsidP="001E188E">
      <w:pPr>
        <w:spacing w:after="0" w:line="240" w:lineRule="auto"/>
      </w:pPr>
      <w:r>
        <w:separator/>
      </w:r>
    </w:p>
  </w:footnote>
  <w:footnote w:type="continuationSeparator" w:id="0">
    <w:p w14:paraId="742F3AA8" w14:textId="77777777" w:rsidR="004369C1" w:rsidRDefault="004369C1" w:rsidP="001E1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8285" w14:textId="77777777" w:rsidR="001E188E" w:rsidRDefault="00471B99">
    <w:pPr>
      <w:pStyle w:val="Header"/>
    </w:pPr>
    <w:r>
      <w:rPr>
        <w:noProof/>
      </w:rPr>
      <w:pict w14:anchorId="35FAD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ECAA" w14:textId="77777777" w:rsidR="001E188E" w:rsidRDefault="00471B99">
    <w:pPr>
      <w:pStyle w:val="Header"/>
    </w:pPr>
    <w:r>
      <w:rPr>
        <w:noProof/>
      </w:rPr>
      <w:pict w14:anchorId="745494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DDD27" w14:textId="77777777" w:rsidR="001E188E" w:rsidRDefault="00471B99">
    <w:pPr>
      <w:pStyle w:val="Header"/>
    </w:pPr>
    <w:r>
      <w:rPr>
        <w:noProof/>
      </w:rPr>
      <w:pict w14:anchorId="6BD43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064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5"/>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C40C41"/>
    <w:multiLevelType w:val="multilevel"/>
    <w:tmpl w:val="980E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6541E"/>
    <w:multiLevelType w:val="hybridMultilevel"/>
    <w:tmpl w:val="A8043E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FD4EF4"/>
    <w:multiLevelType w:val="multilevel"/>
    <w:tmpl w:val="5ADA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B252F"/>
    <w:multiLevelType w:val="hybridMultilevel"/>
    <w:tmpl w:val="452AB0F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A73AF2"/>
    <w:multiLevelType w:val="multilevel"/>
    <w:tmpl w:val="4582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787B19"/>
    <w:multiLevelType w:val="hybridMultilevel"/>
    <w:tmpl w:val="869A5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5A3213"/>
    <w:multiLevelType w:val="hybridMultilevel"/>
    <w:tmpl w:val="5CFA4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B1C01BD"/>
    <w:multiLevelType w:val="multilevel"/>
    <w:tmpl w:val="985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F676C"/>
    <w:multiLevelType w:val="hybridMultilevel"/>
    <w:tmpl w:val="A68E04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41B3FDC"/>
    <w:multiLevelType w:val="multilevel"/>
    <w:tmpl w:val="598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976A1"/>
    <w:multiLevelType w:val="multilevel"/>
    <w:tmpl w:val="89B2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AE42D6"/>
    <w:multiLevelType w:val="hybridMultilevel"/>
    <w:tmpl w:val="EF74E8D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43C7038"/>
    <w:multiLevelType w:val="hybridMultilevel"/>
    <w:tmpl w:val="3ECEDD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9A5063E"/>
    <w:multiLevelType w:val="hybridMultilevel"/>
    <w:tmpl w:val="372846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A96038B"/>
    <w:multiLevelType w:val="multilevel"/>
    <w:tmpl w:val="2484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41CA0"/>
    <w:multiLevelType w:val="multilevel"/>
    <w:tmpl w:val="DC68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7903EE"/>
    <w:multiLevelType w:val="hybridMultilevel"/>
    <w:tmpl w:val="0DCA48D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A60FD6"/>
    <w:multiLevelType w:val="hybridMultilevel"/>
    <w:tmpl w:val="4D34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52750B"/>
    <w:multiLevelType w:val="multilevel"/>
    <w:tmpl w:val="10DE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BF3F6A"/>
    <w:multiLevelType w:val="multilevel"/>
    <w:tmpl w:val="2C6C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5537AA"/>
    <w:multiLevelType w:val="multilevel"/>
    <w:tmpl w:val="6D7E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A03F0"/>
    <w:multiLevelType w:val="multilevel"/>
    <w:tmpl w:val="6CA6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3"/>
  </w:num>
  <w:num w:numId="5">
    <w:abstractNumId w:val="2"/>
  </w:num>
  <w:num w:numId="6">
    <w:abstractNumId w:val="17"/>
  </w:num>
  <w:num w:numId="7">
    <w:abstractNumId w:val="6"/>
  </w:num>
  <w:num w:numId="8">
    <w:abstractNumId w:val="12"/>
  </w:num>
  <w:num w:numId="9">
    <w:abstractNumId w:val="14"/>
  </w:num>
  <w:num w:numId="10">
    <w:abstractNumId w:val="9"/>
  </w:num>
  <w:num w:numId="11">
    <w:abstractNumId w:val="8"/>
  </w:num>
  <w:num w:numId="12">
    <w:abstractNumId w:val="19"/>
  </w:num>
  <w:num w:numId="13">
    <w:abstractNumId w:val="20"/>
  </w:num>
  <w:num w:numId="14">
    <w:abstractNumId w:val="16"/>
  </w:num>
  <w:num w:numId="15">
    <w:abstractNumId w:val="3"/>
  </w:num>
  <w:num w:numId="16">
    <w:abstractNumId w:val="1"/>
  </w:num>
  <w:num w:numId="17">
    <w:abstractNumId w:val="10"/>
  </w:num>
  <w:num w:numId="18">
    <w:abstractNumId w:val="11"/>
  </w:num>
  <w:num w:numId="19">
    <w:abstractNumId w:val="5"/>
  </w:num>
  <w:num w:numId="20">
    <w:abstractNumId w:val="15"/>
  </w:num>
  <w:num w:numId="21">
    <w:abstractNumId w:val="21"/>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szAwNDQwNTU1NDRX0lEKTi0uzszPAykwrAUA7UXnaiwAAAA="/>
  </w:docVars>
  <w:rsids>
    <w:rsidRoot w:val="005C391E"/>
    <w:rsid w:val="000121E6"/>
    <w:rsid w:val="0003397F"/>
    <w:rsid w:val="0003591C"/>
    <w:rsid w:val="000411C5"/>
    <w:rsid w:val="00055C94"/>
    <w:rsid w:val="00070342"/>
    <w:rsid w:val="000F7E9D"/>
    <w:rsid w:val="00111D76"/>
    <w:rsid w:val="00150787"/>
    <w:rsid w:val="00171AA8"/>
    <w:rsid w:val="00175D30"/>
    <w:rsid w:val="001A5A32"/>
    <w:rsid w:val="001D1193"/>
    <w:rsid w:val="001E188E"/>
    <w:rsid w:val="00207D17"/>
    <w:rsid w:val="00221CFA"/>
    <w:rsid w:val="002267D8"/>
    <w:rsid w:val="00236C22"/>
    <w:rsid w:val="00245925"/>
    <w:rsid w:val="00264EE1"/>
    <w:rsid w:val="002B1243"/>
    <w:rsid w:val="002E6B6C"/>
    <w:rsid w:val="002F35EA"/>
    <w:rsid w:val="00362443"/>
    <w:rsid w:val="003641D5"/>
    <w:rsid w:val="003A178B"/>
    <w:rsid w:val="003A6821"/>
    <w:rsid w:val="003E29B1"/>
    <w:rsid w:val="00414543"/>
    <w:rsid w:val="004369C1"/>
    <w:rsid w:val="004562A9"/>
    <w:rsid w:val="00471B99"/>
    <w:rsid w:val="00491984"/>
    <w:rsid w:val="00492F17"/>
    <w:rsid w:val="004A1137"/>
    <w:rsid w:val="004B796A"/>
    <w:rsid w:val="004E2AB7"/>
    <w:rsid w:val="004F0D2A"/>
    <w:rsid w:val="004F4AA0"/>
    <w:rsid w:val="005322C8"/>
    <w:rsid w:val="00560370"/>
    <w:rsid w:val="005C391E"/>
    <w:rsid w:val="005E26E7"/>
    <w:rsid w:val="005F09B8"/>
    <w:rsid w:val="005F6AAC"/>
    <w:rsid w:val="006057F7"/>
    <w:rsid w:val="00653592"/>
    <w:rsid w:val="006977E6"/>
    <w:rsid w:val="00764245"/>
    <w:rsid w:val="0079247F"/>
    <w:rsid w:val="007A57E8"/>
    <w:rsid w:val="007D1F72"/>
    <w:rsid w:val="007E64AA"/>
    <w:rsid w:val="007F1DD9"/>
    <w:rsid w:val="008040A6"/>
    <w:rsid w:val="00852D55"/>
    <w:rsid w:val="00870453"/>
    <w:rsid w:val="0088339F"/>
    <w:rsid w:val="00886A71"/>
    <w:rsid w:val="0089766D"/>
    <w:rsid w:val="008C5FBD"/>
    <w:rsid w:val="0090146B"/>
    <w:rsid w:val="00902B0F"/>
    <w:rsid w:val="00944311"/>
    <w:rsid w:val="0094491B"/>
    <w:rsid w:val="009664D1"/>
    <w:rsid w:val="00980DB8"/>
    <w:rsid w:val="009D6637"/>
    <w:rsid w:val="009E2966"/>
    <w:rsid w:val="009F0947"/>
    <w:rsid w:val="00A2768A"/>
    <w:rsid w:val="00A43B43"/>
    <w:rsid w:val="00A64DC5"/>
    <w:rsid w:val="00A66EA6"/>
    <w:rsid w:val="00A75762"/>
    <w:rsid w:val="00AA4A81"/>
    <w:rsid w:val="00AD01D2"/>
    <w:rsid w:val="00B174A7"/>
    <w:rsid w:val="00B275E9"/>
    <w:rsid w:val="00B43974"/>
    <w:rsid w:val="00B62C9D"/>
    <w:rsid w:val="00B92D41"/>
    <w:rsid w:val="00BA21E6"/>
    <w:rsid w:val="00BA56C7"/>
    <w:rsid w:val="00BD487E"/>
    <w:rsid w:val="00BF3F8C"/>
    <w:rsid w:val="00C8019B"/>
    <w:rsid w:val="00C92E4A"/>
    <w:rsid w:val="00CA4FB8"/>
    <w:rsid w:val="00CD3C14"/>
    <w:rsid w:val="00D44FB5"/>
    <w:rsid w:val="00E12FFA"/>
    <w:rsid w:val="00EE0BBB"/>
    <w:rsid w:val="00EE64E6"/>
    <w:rsid w:val="00EF70C0"/>
    <w:rsid w:val="00F053BC"/>
    <w:rsid w:val="00F07C6E"/>
    <w:rsid w:val="00F4512D"/>
    <w:rsid w:val="00F565CE"/>
    <w:rsid w:val="00F5679C"/>
    <w:rsid w:val="00FA0018"/>
    <w:rsid w:val="00FB3094"/>
    <w:rsid w:val="00FC3FE9"/>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3A4C7"/>
  <w15:chartTrackingRefBased/>
  <w15:docId w15:val="{87FA4640-0F80-485C-8472-EDD3606D6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91E"/>
    <w:pPr>
      <w:spacing w:after="200" w:line="276" w:lineRule="auto"/>
      <w:ind w:left="0"/>
      <w:jc w:val="left"/>
    </w:pPr>
    <w:rPr>
      <w:rFonts w:eastAsiaTheme="minorEastAsia"/>
      <w:lang w:val="en-US"/>
    </w:rPr>
  </w:style>
  <w:style w:type="paragraph" w:styleId="Heading2">
    <w:name w:val="heading 2"/>
    <w:basedOn w:val="Normal"/>
    <w:next w:val="Normal"/>
    <w:link w:val="Heading2Char"/>
    <w:uiPriority w:val="9"/>
    <w:semiHidden/>
    <w:unhideWhenUsed/>
    <w:qFormat/>
    <w:rsid w:val="004145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A4A81"/>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rPr>
  </w:style>
  <w:style w:type="paragraph" w:styleId="Heading4">
    <w:name w:val="heading 4"/>
    <w:basedOn w:val="Normal"/>
    <w:next w:val="Normal"/>
    <w:link w:val="Heading4Char"/>
    <w:uiPriority w:val="9"/>
    <w:semiHidden/>
    <w:unhideWhenUsed/>
    <w:qFormat/>
    <w:rsid w:val="00FA00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91E"/>
    <w:pPr>
      <w:autoSpaceDE w:val="0"/>
      <w:autoSpaceDN w:val="0"/>
      <w:adjustRightInd w:val="0"/>
      <w:spacing w:line="240" w:lineRule="auto"/>
      <w:ind w:left="0"/>
      <w:jc w:val="left"/>
    </w:pPr>
    <w:rPr>
      <w:rFonts w:ascii="Times New Roman" w:hAnsi="Times New Roman" w:cs="Times New Roman"/>
      <w:color w:val="000000"/>
      <w:sz w:val="24"/>
      <w:szCs w:val="24"/>
      <w:lang w:val="tr-TR"/>
    </w:rPr>
  </w:style>
  <w:style w:type="table" w:styleId="TableGrid">
    <w:name w:val="Table Grid"/>
    <w:basedOn w:val="TableNormal"/>
    <w:uiPriority w:val="39"/>
    <w:rsid w:val="00C92E4A"/>
    <w:pPr>
      <w:spacing w:line="240" w:lineRule="auto"/>
      <w:ind w:left="0"/>
      <w:jc w:val="left"/>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D01D2"/>
    <w:pPr>
      <w:spacing w:line="240" w:lineRule="auto"/>
      <w:ind w:left="0"/>
      <w:jc w:val="left"/>
    </w:pPr>
    <w:rPr>
      <w:rFonts w:eastAsiaTheme="minorEastAsia"/>
      <w:lang w:val="en-US"/>
    </w:rPr>
  </w:style>
  <w:style w:type="paragraph" w:styleId="ListParagraph">
    <w:name w:val="List Paragraph"/>
    <w:basedOn w:val="Normal"/>
    <w:uiPriority w:val="34"/>
    <w:qFormat/>
    <w:rsid w:val="00653592"/>
    <w:pPr>
      <w:ind w:left="720"/>
      <w:contextualSpacing/>
    </w:pPr>
  </w:style>
  <w:style w:type="character" w:styleId="Hyperlink">
    <w:name w:val="Hyperlink"/>
    <w:basedOn w:val="DefaultParagraphFont"/>
    <w:uiPriority w:val="99"/>
    <w:unhideWhenUsed/>
    <w:rsid w:val="006977E6"/>
    <w:rPr>
      <w:color w:val="0563C1" w:themeColor="hyperlink"/>
      <w:u w:val="single"/>
    </w:rPr>
  </w:style>
  <w:style w:type="character" w:customStyle="1" w:styleId="Heading3Char">
    <w:name w:val="Heading 3 Char"/>
    <w:basedOn w:val="DefaultParagraphFont"/>
    <w:link w:val="Heading3"/>
    <w:uiPriority w:val="9"/>
    <w:rsid w:val="00AA4A81"/>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AA4A8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AA4A81"/>
    <w:rPr>
      <w:b/>
      <w:bCs/>
    </w:rPr>
  </w:style>
  <w:style w:type="character" w:styleId="Emphasis">
    <w:name w:val="Emphasis"/>
    <w:basedOn w:val="DefaultParagraphFont"/>
    <w:uiPriority w:val="20"/>
    <w:qFormat/>
    <w:rsid w:val="00AA4A81"/>
    <w:rPr>
      <w:i/>
      <w:iCs/>
    </w:rPr>
  </w:style>
  <w:style w:type="character" w:customStyle="1" w:styleId="Heading2Char">
    <w:name w:val="Heading 2 Char"/>
    <w:basedOn w:val="DefaultParagraphFont"/>
    <w:link w:val="Heading2"/>
    <w:uiPriority w:val="9"/>
    <w:semiHidden/>
    <w:rsid w:val="00414543"/>
    <w:rPr>
      <w:rFonts w:asciiTheme="majorHAnsi" w:eastAsiaTheme="majorEastAsia" w:hAnsiTheme="majorHAnsi" w:cstheme="majorBidi"/>
      <w:color w:val="2F5496" w:themeColor="accent1" w:themeShade="BF"/>
      <w:sz w:val="26"/>
      <w:szCs w:val="26"/>
      <w:lang w:val="en-US"/>
    </w:rPr>
  </w:style>
  <w:style w:type="character" w:customStyle="1" w:styleId="Heading4Char">
    <w:name w:val="Heading 4 Char"/>
    <w:basedOn w:val="DefaultParagraphFont"/>
    <w:link w:val="Heading4"/>
    <w:uiPriority w:val="9"/>
    <w:semiHidden/>
    <w:rsid w:val="00FA0018"/>
    <w:rPr>
      <w:rFonts w:asciiTheme="majorHAnsi" w:eastAsiaTheme="majorEastAsia" w:hAnsiTheme="majorHAnsi" w:cstheme="majorBidi"/>
      <w:i/>
      <w:iCs/>
      <w:color w:val="2F5496" w:themeColor="accent1" w:themeShade="BF"/>
      <w:lang w:val="en-US"/>
    </w:rPr>
  </w:style>
  <w:style w:type="character" w:customStyle="1" w:styleId="UnresolvedMention1">
    <w:name w:val="Unresolved Mention1"/>
    <w:basedOn w:val="DefaultParagraphFont"/>
    <w:uiPriority w:val="99"/>
    <w:semiHidden/>
    <w:unhideWhenUsed/>
    <w:rsid w:val="00B174A7"/>
    <w:rPr>
      <w:color w:val="605E5C"/>
      <w:shd w:val="clear" w:color="auto" w:fill="E1DFDD"/>
    </w:rPr>
  </w:style>
  <w:style w:type="paragraph" w:styleId="Header">
    <w:name w:val="header"/>
    <w:basedOn w:val="Normal"/>
    <w:link w:val="HeaderChar"/>
    <w:uiPriority w:val="99"/>
    <w:unhideWhenUsed/>
    <w:rsid w:val="001E1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88E"/>
    <w:rPr>
      <w:rFonts w:eastAsiaTheme="minorEastAsia"/>
      <w:lang w:val="en-US"/>
    </w:rPr>
  </w:style>
  <w:style w:type="paragraph" w:styleId="Footer">
    <w:name w:val="footer"/>
    <w:basedOn w:val="Normal"/>
    <w:link w:val="FooterChar"/>
    <w:uiPriority w:val="99"/>
    <w:unhideWhenUsed/>
    <w:rsid w:val="001E1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88E"/>
    <w:rPr>
      <w:rFonts w:eastAsiaTheme="minorEastAsia"/>
      <w:lang w:val="en-US"/>
    </w:rPr>
  </w:style>
  <w:style w:type="character" w:styleId="CommentReference">
    <w:name w:val="annotation reference"/>
    <w:basedOn w:val="DefaultParagraphFont"/>
    <w:uiPriority w:val="99"/>
    <w:semiHidden/>
    <w:unhideWhenUsed/>
    <w:rsid w:val="003A6821"/>
    <w:rPr>
      <w:sz w:val="16"/>
      <w:szCs w:val="16"/>
    </w:rPr>
  </w:style>
  <w:style w:type="paragraph" w:styleId="CommentText">
    <w:name w:val="annotation text"/>
    <w:basedOn w:val="Normal"/>
    <w:link w:val="CommentTextChar"/>
    <w:uiPriority w:val="99"/>
    <w:semiHidden/>
    <w:unhideWhenUsed/>
    <w:rsid w:val="003A6821"/>
    <w:pPr>
      <w:spacing w:line="240" w:lineRule="auto"/>
    </w:pPr>
    <w:rPr>
      <w:sz w:val="20"/>
      <w:szCs w:val="20"/>
    </w:rPr>
  </w:style>
  <w:style w:type="character" w:customStyle="1" w:styleId="CommentTextChar">
    <w:name w:val="Comment Text Char"/>
    <w:basedOn w:val="DefaultParagraphFont"/>
    <w:link w:val="CommentText"/>
    <w:uiPriority w:val="99"/>
    <w:semiHidden/>
    <w:rsid w:val="003A6821"/>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3A6821"/>
    <w:rPr>
      <w:b/>
      <w:bCs/>
    </w:rPr>
  </w:style>
  <w:style w:type="character" w:customStyle="1" w:styleId="CommentSubjectChar">
    <w:name w:val="Comment Subject Char"/>
    <w:basedOn w:val="CommentTextChar"/>
    <w:link w:val="CommentSubject"/>
    <w:uiPriority w:val="99"/>
    <w:semiHidden/>
    <w:rsid w:val="003A6821"/>
    <w:rPr>
      <w:rFonts w:eastAsiaTheme="minorEastAsia"/>
      <w:b/>
      <w:bCs/>
      <w:sz w:val="20"/>
      <w:szCs w:val="20"/>
      <w:lang w:val="en-US"/>
    </w:rPr>
  </w:style>
  <w:style w:type="paragraph" w:styleId="BalloonText">
    <w:name w:val="Balloon Text"/>
    <w:basedOn w:val="Normal"/>
    <w:link w:val="BalloonTextChar"/>
    <w:uiPriority w:val="99"/>
    <w:semiHidden/>
    <w:unhideWhenUsed/>
    <w:rsid w:val="003A6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821"/>
    <w:rPr>
      <w:rFonts w:ascii="Segoe UI" w:eastAsiaTheme="minorEastAsia" w:hAnsi="Segoe UI" w:cs="Segoe UI"/>
      <w:sz w:val="18"/>
      <w:szCs w:val="18"/>
      <w:lang w:val="en-US"/>
    </w:rPr>
  </w:style>
  <w:style w:type="character" w:styleId="UnresolvedMention">
    <w:name w:val="Unresolved Mention"/>
    <w:basedOn w:val="DefaultParagraphFont"/>
    <w:uiPriority w:val="99"/>
    <w:semiHidden/>
    <w:unhideWhenUsed/>
    <w:rsid w:val="003E2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3295">
      <w:bodyDiv w:val="1"/>
      <w:marLeft w:val="0"/>
      <w:marRight w:val="0"/>
      <w:marTop w:val="0"/>
      <w:marBottom w:val="0"/>
      <w:divBdr>
        <w:top w:val="none" w:sz="0" w:space="0" w:color="auto"/>
        <w:left w:val="none" w:sz="0" w:space="0" w:color="auto"/>
        <w:bottom w:val="none" w:sz="0" w:space="0" w:color="auto"/>
        <w:right w:val="none" w:sz="0" w:space="0" w:color="auto"/>
      </w:divBdr>
      <w:divsChild>
        <w:div w:id="153759654">
          <w:marLeft w:val="0"/>
          <w:marRight w:val="0"/>
          <w:marTop w:val="0"/>
          <w:marBottom w:val="0"/>
          <w:divBdr>
            <w:top w:val="none" w:sz="0" w:space="0" w:color="auto"/>
            <w:left w:val="none" w:sz="0" w:space="0" w:color="auto"/>
            <w:bottom w:val="none" w:sz="0" w:space="0" w:color="auto"/>
            <w:right w:val="none" w:sz="0" w:space="0" w:color="auto"/>
          </w:divBdr>
        </w:div>
      </w:divsChild>
    </w:div>
    <w:div w:id="128211307">
      <w:bodyDiv w:val="1"/>
      <w:marLeft w:val="0"/>
      <w:marRight w:val="0"/>
      <w:marTop w:val="0"/>
      <w:marBottom w:val="0"/>
      <w:divBdr>
        <w:top w:val="none" w:sz="0" w:space="0" w:color="auto"/>
        <w:left w:val="none" w:sz="0" w:space="0" w:color="auto"/>
        <w:bottom w:val="none" w:sz="0" w:space="0" w:color="auto"/>
        <w:right w:val="none" w:sz="0" w:space="0" w:color="auto"/>
      </w:divBdr>
    </w:div>
    <w:div w:id="153958702">
      <w:bodyDiv w:val="1"/>
      <w:marLeft w:val="0"/>
      <w:marRight w:val="0"/>
      <w:marTop w:val="0"/>
      <w:marBottom w:val="0"/>
      <w:divBdr>
        <w:top w:val="none" w:sz="0" w:space="0" w:color="auto"/>
        <w:left w:val="none" w:sz="0" w:space="0" w:color="auto"/>
        <w:bottom w:val="none" w:sz="0" w:space="0" w:color="auto"/>
        <w:right w:val="none" w:sz="0" w:space="0" w:color="auto"/>
      </w:divBdr>
    </w:div>
    <w:div w:id="244998088">
      <w:bodyDiv w:val="1"/>
      <w:marLeft w:val="0"/>
      <w:marRight w:val="0"/>
      <w:marTop w:val="0"/>
      <w:marBottom w:val="0"/>
      <w:divBdr>
        <w:top w:val="none" w:sz="0" w:space="0" w:color="auto"/>
        <w:left w:val="none" w:sz="0" w:space="0" w:color="auto"/>
        <w:bottom w:val="none" w:sz="0" w:space="0" w:color="auto"/>
        <w:right w:val="none" w:sz="0" w:space="0" w:color="auto"/>
      </w:divBdr>
    </w:div>
    <w:div w:id="436019729">
      <w:bodyDiv w:val="1"/>
      <w:marLeft w:val="0"/>
      <w:marRight w:val="0"/>
      <w:marTop w:val="0"/>
      <w:marBottom w:val="0"/>
      <w:divBdr>
        <w:top w:val="none" w:sz="0" w:space="0" w:color="auto"/>
        <w:left w:val="none" w:sz="0" w:space="0" w:color="auto"/>
        <w:bottom w:val="none" w:sz="0" w:space="0" w:color="auto"/>
        <w:right w:val="none" w:sz="0" w:space="0" w:color="auto"/>
      </w:divBdr>
    </w:div>
    <w:div w:id="728304745">
      <w:bodyDiv w:val="1"/>
      <w:marLeft w:val="0"/>
      <w:marRight w:val="0"/>
      <w:marTop w:val="0"/>
      <w:marBottom w:val="0"/>
      <w:divBdr>
        <w:top w:val="none" w:sz="0" w:space="0" w:color="auto"/>
        <w:left w:val="none" w:sz="0" w:space="0" w:color="auto"/>
        <w:bottom w:val="none" w:sz="0" w:space="0" w:color="auto"/>
        <w:right w:val="none" w:sz="0" w:space="0" w:color="auto"/>
      </w:divBdr>
    </w:div>
    <w:div w:id="1056199410">
      <w:bodyDiv w:val="1"/>
      <w:marLeft w:val="0"/>
      <w:marRight w:val="0"/>
      <w:marTop w:val="0"/>
      <w:marBottom w:val="0"/>
      <w:divBdr>
        <w:top w:val="none" w:sz="0" w:space="0" w:color="auto"/>
        <w:left w:val="none" w:sz="0" w:space="0" w:color="auto"/>
        <w:bottom w:val="none" w:sz="0" w:space="0" w:color="auto"/>
        <w:right w:val="none" w:sz="0" w:space="0" w:color="auto"/>
      </w:divBdr>
    </w:div>
    <w:div w:id="1062947719">
      <w:bodyDiv w:val="1"/>
      <w:marLeft w:val="0"/>
      <w:marRight w:val="0"/>
      <w:marTop w:val="0"/>
      <w:marBottom w:val="0"/>
      <w:divBdr>
        <w:top w:val="none" w:sz="0" w:space="0" w:color="auto"/>
        <w:left w:val="none" w:sz="0" w:space="0" w:color="auto"/>
        <w:bottom w:val="none" w:sz="0" w:space="0" w:color="auto"/>
        <w:right w:val="none" w:sz="0" w:space="0" w:color="auto"/>
      </w:divBdr>
      <w:divsChild>
        <w:div w:id="2132430147">
          <w:marLeft w:val="0"/>
          <w:marRight w:val="0"/>
          <w:marTop w:val="0"/>
          <w:marBottom w:val="0"/>
          <w:divBdr>
            <w:top w:val="none" w:sz="0" w:space="0" w:color="auto"/>
            <w:left w:val="none" w:sz="0" w:space="0" w:color="auto"/>
            <w:bottom w:val="none" w:sz="0" w:space="0" w:color="auto"/>
            <w:right w:val="none" w:sz="0" w:space="0" w:color="auto"/>
          </w:divBdr>
        </w:div>
      </w:divsChild>
    </w:div>
    <w:div w:id="1079209217">
      <w:bodyDiv w:val="1"/>
      <w:marLeft w:val="0"/>
      <w:marRight w:val="0"/>
      <w:marTop w:val="0"/>
      <w:marBottom w:val="0"/>
      <w:divBdr>
        <w:top w:val="none" w:sz="0" w:space="0" w:color="auto"/>
        <w:left w:val="none" w:sz="0" w:space="0" w:color="auto"/>
        <w:bottom w:val="none" w:sz="0" w:space="0" w:color="auto"/>
        <w:right w:val="none" w:sz="0" w:space="0" w:color="auto"/>
      </w:divBdr>
      <w:divsChild>
        <w:div w:id="1014067879">
          <w:marLeft w:val="0"/>
          <w:marRight w:val="0"/>
          <w:marTop w:val="0"/>
          <w:marBottom w:val="0"/>
          <w:divBdr>
            <w:top w:val="none" w:sz="0" w:space="0" w:color="auto"/>
            <w:left w:val="none" w:sz="0" w:space="0" w:color="auto"/>
            <w:bottom w:val="none" w:sz="0" w:space="0" w:color="auto"/>
            <w:right w:val="none" w:sz="0" w:space="0" w:color="auto"/>
          </w:divBdr>
        </w:div>
      </w:divsChild>
    </w:div>
    <w:div w:id="1086341984">
      <w:bodyDiv w:val="1"/>
      <w:marLeft w:val="0"/>
      <w:marRight w:val="0"/>
      <w:marTop w:val="0"/>
      <w:marBottom w:val="0"/>
      <w:divBdr>
        <w:top w:val="none" w:sz="0" w:space="0" w:color="auto"/>
        <w:left w:val="none" w:sz="0" w:space="0" w:color="auto"/>
        <w:bottom w:val="none" w:sz="0" w:space="0" w:color="auto"/>
        <w:right w:val="none" w:sz="0" w:space="0" w:color="auto"/>
      </w:divBdr>
    </w:div>
    <w:div w:id="1455564360">
      <w:bodyDiv w:val="1"/>
      <w:marLeft w:val="0"/>
      <w:marRight w:val="0"/>
      <w:marTop w:val="0"/>
      <w:marBottom w:val="0"/>
      <w:divBdr>
        <w:top w:val="none" w:sz="0" w:space="0" w:color="auto"/>
        <w:left w:val="none" w:sz="0" w:space="0" w:color="auto"/>
        <w:bottom w:val="none" w:sz="0" w:space="0" w:color="auto"/>
        <w:right w:val="none" w:sz="0" w:space="0" w:color="auto"/>
      </w:divBdr>
    </w:div>
    <w:div w:id="1688412052">
      <w:bodyDiv w:val="1"/>
      <w:marLeft w:val="0"/>
      <w:marRight w:val="0"/>
      <w:marTop w:val="0"/>
      <w:marBottom w:val="0"/>
      <w:divBdr>
        <w:top w:val="none" w:sz="0" w:space="0" w:color="auto"/>
        <w:left w:val="none" w:sz="0" w:space="0" w:color="auto"/>
        <w:bottom w:val="none" w:sz="0" w:space="0" w:color="auto"/>
        <w:right w:val="none" w:sz="0" w:space="0" w:color="auto"/>
      </w:divBdr>
    </w:div>
    <w:div w:id="1729765740">
      <w:bodyDiv w:val="1"/>
      <w:marLeft w:val="0"/>
      <w:marRight w:val="0"/>
      <w:marTop w:val="0"/>
      <w:marBottom w:val="0"/>
      <w:divBdr>
        <w:top w:val="none" w:sz="0" w:space="0" w:color="auto"/>
        <w:left w:val="none" w:sz="0" w:space="0" w:color="auto"/>
        <w:bottom w:val="none" w:sz="0" w:space="0" w:color="auto"/>
        <w:right w:val="none" w:sz="0" w:space="0" w:color="auto"/>
      </w:divBdr>
      <w:divsChild>
        <w:div w:id="1186334190">
          <w:marLeft w:val="0"/>
          <w:marRight w:val="0"/>
          <w:marTop w:val="0"/>
          <w:marBottom w:val="0"/>
          <w:divBdr>
            <w:top w:val="none" w:sz="0" w:space="0" w:color="auto"/>
            <w:left w:val="none" w:sz="0" w:space="0" w:color="auto"/>
            <w:bottom w:val="none" w:sz="0" w:space="0" w:color="auto"/>
            <w:right w:val="none" w:sz="0" w:space="0" w:color="auto"/>
          </w:divBdr>
        </w:div>
      </w:divsChild>
    </w:div>
    <w:div w:id="1764493772">
      <w:bodyDiv w:val="1"/>
      <w:marLeft w:val="0"/>
      <w:marRight w:val="0"/>
      <w:marTop w:val="0"/>
      <w:marBottom w:val="0"/>
      <w:divBdr>
        <w:top w:val="none" w:sz="0" w:space="0" w:color="auto"/>
        <w:left w:val="none" w:sz="0" w:space="0" w:color="auto"/>
        <w:bottom w:val="none" w:sz="0" w:space="0" w:color="auto"/>
        <w:right w:val="none" w:sz="0" w:space="0" w:color="auto"/>
      </w:divBdr>
    </w:div>
    <w:div w:id="1808475277">
      <w:bodyDiv w:val="1"/>
      <w:marLeft w:val="0"/>
      <w:marRight w:val="0"/>
      <w:marTop w:val="0"/>
      <w:marBottom w:val="0"/>
      <w:divBdr>
        <w:top w:val="none" w:sz="0" w:space="0" w:color="auto"/>
        <w:left w:val="none" w:sz="0" w:space="0" w:color="auto"/>
        <w:bottom w:val="none" w:sz="0" w:space="0" w:color="auto"/>
        <w:right w:val="none" w:sz="0" w:space="0" w:color="auto"/>
      </w:divBdr>
      <w:divsChild>
        <w:div w:id="1421096637">
          <w:marLeft w:val="0"/>
          <w:marRight w:val="0"/>
          <w:marTop w:val="0"/>
          <w:marBottom w:val="0"/>
          <w:divBdr>
            <w:top w:val="none" w:sz="0" w:space="0" w:color="auto"/>
            <w:left w:val="none" w:sz="0" w:space="0" w:color="auto"/>
            <w:bottom w:val="none" w:sz="0" w:space="0" w:color="auto"/>
            <w:right w:val="none" w:sz="0" w:space="0" w:color="auto"/>
          </w:divBdr>
        </w:div>
      </w:divsChild>
    </w:div>
    <w:div w:id="1832483804">
      <w:bodyDiv w:val="1"/>
      <w:marLeft w:val="0"/>
      <w:marRight w:val="0"/>
      <w:marTop w:val="0"/>
      <w:marBottom w:val="0"/>
      <w:divBdr>
        <w:top w:val="none" w:sz="0" w:space="0" w:color="auto"/>
        <w:left w:val="none" w:sz="0" w:space="0" w:color="auto"/>
        <w:bottom w:val="none" w:sz="0" w:space="0" w:color="auto"/>
        <w:right w:val="none" w:sz="0" w:space="0" w:color="auto"/>
      </w:divBdr>
    </w:div>
    <w:div w:id="2013726175">
      <w:bodyDiv w:val="1"/>
      <w:marLeft w:val="0"/>
      <w:marRight w:val="0"/>
      <w:marTop w:val="0"/>
      <w:marBottom w:val="0"/>
      <w:divBdr>
        <w:top w:val="none" w:sz="0" w:space="0" w:color="auto"/>
        <w:left w:val="none" w:sz="0" w:space="0" w:color="auto"/>
        <w:bottom w:val="none" w:sz="0" w:space="0" w:color="auto"/>
        <w:right w:val="none" w:sz="0" w:space="0" w:color="auto"/>
      </w:divBdr>
      <w:divsChild>
        <w:div w:id="1714964569">
          <w:marLeft w:val="0"/>
          <w:marRight w:val="0"/>
          <w:marTop w:val="0"/>
          <w:marBottom w:val="0"/>
          <w:divBdr>
            <w:top w:val="none" w:sz="0" w:space="0" w:color="auto"/>
            <w:left w:val="none" w:sz="0" w:space="0" w:color="auto"/>
            <w:bottom w:val="none" w:sz="0" w:space="0" w:color="auto"/>
            <w:right w:val="none" w:sz="0" w:space="0" w:color="auto"/>
          </w:divBdr>
        </w:div>
      </w:divsChild>
    </w:div>
    <w:div w:id="2084250895">
      <w:bodyDiv w:val="1"/>
      <w:marLeft w:val="0"/>
      <w:marRight w:val="0"/>
      <w:marTop w:val="0"/>
      <w:marBottom w:val="0"/>
      <w:divBdr>
        <w:top w:val="none" w:sz="0" w:space="0" w:color="auto"/>
        <w:left w:val="none" w:sz="0" w:space="0" w:color="auto"/>
        <w:bottom w:val="none" w:sz="0" w:space="0" w:color="auto"/>
        <w:right w:val="none" w:sz="0" w:space="0" w:color="auto"/>
      </w:divBdr>
    </w:div>
    <w:div w:id="209400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fao.org/millets-2023" TargetMode="External"/><Relationship Id="rId26" Type="http://schemas.openxmlformats.org/officeDocument/2006/relationships/hyperlink" Target="https://doi.org/10.1080/10408398.2019.1702503" TargetMode="External"/><Relationship Id="rId39" Type="http://schemas.openxmlformats.org/officeDocument/2006/relationships/hyperlink" Target="https://doi.org/10.3389/fpls.2025.1574699" TargetMode="External"/><Relationship Id="rId21" Type="http://schemas.openxmlformats.org/officeDocument/2006/relationships/hyperlink" Target="https://doi.org/10.3390/horticulturae9091023" TargetMode="External"/><Relationship Id="rId34" Type="http://schemas.openxmlformats.org/officeDocument/2006/relationships/hyperlink" Target="https://doi.org/10.57239/PJLSS-2024-22.2.0062" TargetMode="External"/><Relationship Id="rId42" Type="http://schemas.openxmlformats.org/officeDocument/2006/relationships/hyperlink" Target="https://doi.org/10.1016/j.jafr.2025.101946" TargetMode="Externa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ijpss/2023/v35i92915" TargetMode="External"/><Relationship Id="rId29" Type="http://schemas.openxmlformats.org/officeDocument/2006/relationships/hyperlink" Target="https://doi.org/10.3389/fnut.2023.109544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tandfonline.com/doi/abs/10.1080/15427528.2015.1105343" TargetMode="External"/><Relationship Id="rId32" Type="http://schemas.openxmlformats.org/officeDocument/2006/relationships/hyperlink" Target="https://doi.org/10.1093/nutrit/nuac106" TargetMode="External"/><Relationship Id="rId37" Type="http://schemas.openxmlformats.org/officeDocument/2006/relationships/hyperlink" Target="https://doi.org/10.1016/j.procbio.2023.10.004" TargetMode="External"/><Relationship Id="rId40" Type="http://schemas.openxmlformats.org/officeDocument/2006/relationships/hyperlink" Target="https://doi.org/10.30574/ijsra.2023.10.1.0828" TargetMode="External"/><Relationship Id="rId45" Type="http://schemas.openxmlformats.org/officeDocument/2006/relationships/hyperlink" Target="https://doi.org/10.1016/j.crmicr.2021.100094" TargetMode="External"/><Relationship Id="rId5" Type="http://schemas.openxmlformats.org/officeDocument/2006/relationships/footnotes" Target="footnotes.xml"/><Relationship Id="rId15" Type="http://schemas.openxmlformats.org/officeDocument/2006/relationships/hyperlink" Target="https://doi.org/10.1016/B978-0-12-819692-6.00009-7" TargetMode="External"/><Relationship Id="rId23" Type="http://schemas.openxmlformats.org/officeDocument/2006/relationships/hyperlink" Target="https://doi.org/10.1007/s11756-022-01291-5" TargetMode="External"/><Relationship Id="rId28" Type="http://schemas.openxmlformats.org/officeDocument/2006/relationships/hyperlink" Target="https://doi.org/10.1007/s10661-009-1013-5" TargetMode="External"/><Relationship Id="rId36" Type="http://schemas.openxmlformats.org/officeDocument/2006/relationships/hyperlink" Target="https://doi.org/10.1111/ijfs.16165" TargetMode="External"/><Relationship Id="rId10" Type="http://schemas.openxmlformats.org/officeDocument/2006/relationships/footer" Target="footer2.xml"/><Relationship Id="rId19" Type="http://schemas.openxmlformats.org/officeDocument/2006/relationships/hyperlink" Target="https://doi.org/10.3390/agronomy10030319" TargetMode="External"/><Relationship Id="rId31" Type="http://schemas.openxmlformats.org/officeDocument/2006/relationships/hyperlink" Target="https://doi.org/10.1061/(ASCE)HE.1943-5584.0002297" TargetMode="External"/><Relationship Id="rId44" Type="http://schemas.openxmlformats.org/officeDocument/2006/relationships/hyperlink" Target="https://doi.org/10.1016/j.scitotenv.2017.09.186"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millets.res.in/" TargetMode="External"/><Relationship Id="rId27" Type="http://schemas.openxmlformats.org/officeDocument/2006/relationships/hyperlink" Target="https://doi.org/10.1007/978-981-19-8772-2_19" TargetMode="External"/><Relationship Id="rId30" Type="http://schemas.openxmlformats.org/officeDocument/2006/relationships/hyperlink" Target="https://doi.org/10.9734/ijpss/2024/v36i34418" TargetMode="External"/><Relationship Id="rId35" Type="http://schemas.openxmlformats.org/officeDocument/2006/relationships/hyperlink" Target="https://doi.org/10.1007/s00344-024-11384-x" TargetMode="External"/><Relationship Id="rId43" Type="http://schemas.openxmlformats.org/officeDocument/2006/relationships/hyperlink" Target="https://doi.org/10.1186/s40066-023-00409-5" TargetMode="External"/><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3390/su13031140" TargetMode="External"/><Relationship Id="rId25" Type="http://schemas.openxmlformats.org/officeDocument/2006/relationships/hyperlink" Target="https://doi.org/10.9734/ijpss/2023/v35i122975" TargetMode="External"/><Relationship Id="rId33" Type="http://schemas.openxmlformats.org/officeDocument/2006/relationships/hyperlink" Target="https://doi.org/10.3390/su11051485" TargetMode="External"/><Relationship Id="rId38" Type="http://schemas.openxmlformats.org/officeDocument/2006/relationships/hyperlink" Target="https://doi.org/10.9734/ajsspn/2024/v10i3347" TargetMode="External"/><Relationship Id="rId46" Type="http://schemas.openxmlformats.org/officeDocument/2006/relationships/hyperlink" Target="https://doi.org/10.1186/1475-2859-13-66" TargetMode="External"/><Relationship Id="rId20" Type="http://schemas.openxmlformats.org/officeDocument/2006/relationships/hyperlink" Target="https://doi.org/10.51470/PLANTARCHIVES.2021.v21.S1.392" TargetMode="External"/><Relationship Id="rId41" Type="http://schemas.openxmlformats.org/officeDocument/2006/relationships/hyperlink" Target="https://doi.org/10.1016/j.tfp.2025.1010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11970</TotalTime>
  <Pages>16</Pages>
  <Words>8469</Words>
  <Characters>48274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SDI PC New 16</cp:lastModifiedBy>
  <cp:revision>64</cp:revision>
  <dcterms:created xsi:type="dcterms:W3CDTF">2024-01-22T06:05:00Z</dcterms:created>
  <dcterms:modified xsi:type="dcterms:W3CDTF">2025-11-22T06:56:00Z</dcterms:modified>
</cp:coreProperties>
</file>