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6FDEE" w14:textId="77777777" w:rsidR="00754C9A" w:rsidRDefault="00754C9A" w:rsidP="00441B6F">
      <w:pPr>
        <w:pStyle w:val="Title"/>
        <w:spacing w:after="0"/>
        <w:jc w:val="both"/>
        <w:rPr>
          <w:rFonts w:ascii="Arial" w:hAnsi="Arial" w:cs="Arial"/>
        </w:rPr>
      </w:pPr>
    </w:p>
    <w:p w14:paraId="07247FD6" w14:textId="79CF1643" w:rsidR="00326869" w:rsidRPr="00326869" w:rsidRDefault="007456D1" w:rsidP="00326869">
      <w:pPr>
        <w:pStyle w:val="Author"/>
        <w:spacing w:line="240" w:lineRule="auto"/>
        <w:rPr>
          <w:rFonts w:ascii="Arial" w:hAnsi="Arial" w:cs="Arial"/>
          <w:bCs/>
          <w:iCs/>
          <w:kern w:val="28"/>
          <w:sz w:val="36"/>
        </w:rPr>
      </w:pPr>
      <w:r w:rsidRPr="007456D1">
        <w:rPr>
          <w:rFonts w:ascii="Arial" w:hAnsi="Arial" w:cs="Arial"/>
          <w:bCs/>
          <w:iCs/>
          <w:kern w:val="28"/>
          <w:sz w:val="36"/>
          <w:lang w:val="en-GB"/>
        </w:rPr>
        <w:t>Assessment of Prescribers’ Knowledge, Diagnostic Decision-Making, and Rational Antimalarial Drug Use in the Management of Uncomplicated Malaria in the Buea Health District, Cameroon</w:t>
      </w:r>
    </w:p>
    <w:p w14:paraId="25CC773C" w14:textId="77777777" w:rsidR="00A258C3" w:rsidRPr="00790ADA" w:rsidRDefault="00A258C3" w:rsidP="00441B6F">
      <w:pPr>
        <w:pStyle w:val="Author"/>
        <w:spacing w:line="240" w:lineRule="auto"/>
        <w:jc w:val="both"/>
        <w:rPr>
          <w:rFonts w:ascii="Arial" w:hAnsi="Arial" w:cs="Arial"/>
          <w:sz w:val="36"/>
        </w:rPr>
      </w:pPr>
    </w:p>
    <w:p w14:paraId="61DDC510" w14:textId="4CB5F7D7" w:rsidR="00326869" w:rsidRPr="0083216F" w:rsidRDefault="00326869" w:rsidP="00441B6F">
      <w:pPr>
        <w:pStyle w:val="Affiliation"/>
        <w:spacing w:after="0" w:line="240" w:lineRule="auto"/>
        <w:rPr>
          <w:rFonts w:ascii="Arial" w:hAnsi="Arial" w:cs="Arial"/>
          <w:i/>
        </w:rPr>
      </w:pPr>
      <w:r w:rsidRPr="00326869">
        <w:rPr>
          <w:rFonts w:ascii="Arial" w:hAnsi="Arial" w:cs="Arial"/>
          <w:i/>
        </w:rPr>
        <w:t>.</w:t>
      </w:r>
    </w:p>
    <w:p w14:paraId="091059AE" w14:textId="77777777" w:rsidR="002C57D2" w:rsidRPr="00FB3A86" w:rsidRDefault="002C57D2" w:rsidP="00441B6F">
      <w:pPr>
        <w:pStyle w:val="Affiliation"/>
        <w:spacing w:after="0" w:line="240" w:lineRule="auto"/>
        <w:jc w:val="both"/>
        <w:rPr>
          <w:rFonts w:ascii="Arial" w:hAnsi="Arial" w:cs="Arial"/>
        </w:rPr>
      </w:pPr>
    </w:p>
    <w:p w14:paraId="534D122C" w14:textId="6E68A3CF" w:rsidR="00B01FCD" w:rsidRPr="00FB3A86" w:rsidRDefault="00C6352A" w:rsidP="00441B6F">
      <w:pPr>
        <w:pStyle w:val="Copyright"/>
        <w:spacing w:after="0" w:line="240" w:lineRule="auto"/>
        <w:jc w:val="both"/>
        <w:rPr>
          <w:rFonts w:ascii="Arial" w:hAnsi="Arial" w:cs="Arial"/>
        </w:rPr>
        <w:sectPr w:rsidR="00B01FCD" w:rsidRPr="00FB3A86"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27B69248" wp14:editId="56C2133B">
                <wp:extent cx="5303520" cy="635"/>
                <wp:effectExtent l="17145" t="17780" r="13335" b="10795"/>
                <wp:docPr id="3795747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3F3C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EBEF108" w14:textId="24A652D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31B1F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36C25A9" w14:textId="77777777" w:rsidTr="001E44FE">
        <w:tc>
          <w:tcPr>
            <w:tcW w:w="9576" w:type="dxa"/>
            <w:shd w:val="clear" w:color="auto" w:fill="F2F2F2"/>
          </w:tcPr>
          <w:p w14:paraId="53E03A3C" w14:textId="5E4461D3" w:rsidR="002416EB" w:rsidRPr="002416EB" w:rsidRDefault="002416EB" w:rsidP="002416EB">
            <w:pPr>
              <w:pStyle w:val="Body"/>
              <w:spacing w:after="0"/>
              <w:rPr>
                <w:rFonts w:ascii="Arial" w:eastAsia="Calibri" w:hAnsi="Arial" w:cs="Arial"/>
                <w:szCs w:val="22"/>
              </w:rPr>
            </w:pPr>
            <w:r w:rsidRPr="002416EB">
              <w:rPr>
                <w:rFonts w:ascii="Arial" w:eastAsia="Calibri" w:hAnsi="Arial" w:cs="Arial"/>
                <w:szCs w:val="22"/>
              </w:rPr>
              <w:t>Malaria remains a leading cause of morbidity and mortality in Cameroon. The national policy, aligned with WHO guidelines, mandates parasitological confirmation via microscopy or Rapid Diagnostic Tests (RDTs) before treatment with Artemisinin-based Combination Therapy (ACT) for uncomplicated malaria. However, the adherence to these guidelines at the point of care is often suboptimal. This study assessed the critical determinants of malaria case management by evaluating prescriber knowledge, diagnostic decision-making, and antimalarial drug use patterns in the Buea Health District.</w:t>
            </w:r>
          </w:p>
          <w:p w14:paraId="382FF8E4" w14:textId="2B226EA1" w:rsidR="00505F06" w:rsidRPr="00BA1B01" w:rsidRDefault="002416EB" w:rsidP="002416EB">
            <w:pPr>
              <w:pStyle w:val="Body"/>
              <w:spacing w:after="0"/>
              <w:rPr>
                <w:rFonts w:ascii="Arial" w:eastAsia="Calibri" w:hAnsi="Arial" w:cs="Arial"/>
                <w:szCs w:val="22"/>
              </w:rPr>
            </w:pPr>
            <w:r w:rsidRPr="002416EB">
              <w:rPr>
                <w:rFonts w:ascii="Arial" w:eastAsia="Calibri" w:hAnsi="Arial" w:cs="Arial"/>
                <w:szCs w:val="22"/>
              </w:rPr>
              <w:t>A descriptive cross-sectional study was conducted over four months (February to June 2017) in 31 public and private health facilities. Data were collected from 63 healthcare prescribers and a calculated sample of 323 patients using pre-tested, structured questionnaires. Data analysis was performed using SPSS, employing descriptive statistics and multivariate logistic regression, with a statistical significance level set at p &lt; 0.05.</w:t>
            </w:r>
            <w:r>
              <w:rPr>
                <w:rFonts w:ascii="Arial" w:eastAsia="Calibri" w:hAnsi="Arial" w:cs="Arial"/>
                <w:szCs w:val="22"/>
              </w:rPr>
              <w:t xml:space="preserve"> </w:t>
            </w:r>
            <w:r w:rsidRPr="002416EB">
              <w:rPr>
                <w:rFonts w:ascii="Arial" w:eastAsia="Calibri" w:hAnsi="Arial" w:cs="Arial"/>
                <w:szCs w:val="22"/>
              </w:rPr>
              <w:t>The findings reveal a significant gap between policy awareness and implementation. While all prescribers demonstrated universal awareness of ACTs, knowledge depth was uneven; a significantly higher proportion of physicians knew three or more ACTs (51.6%) compared to nurses and midwives (0%, p &lt; 0.001), highlighting a cadre-specific training deficit. Fever was the predominant diagnostic cue (23.1%). Despite a high stated preference for confirmatory testing (85.7% for RDTs, 79.4% for microscopy), persistent barriers like ACT stockouts (31.7%) and absence of trained personnel (15%) compromised this practice. Artemether-Lumefantrine was the preferred first-line treatment (68.3% of first-line prescriptions), yet its prescription adequacy was alarmingly low for children under five (53.7% for correct posology, 58.9% for correct duration), pointing to a major challenge in pediatric dosing. The reliance on clinical symptoms and the use of non-ACTs due to stockouts or patient refusal not only leads to mismanagement of non-malarial fevers but also exerts unnecessary selective pressure for drug resistance.</w:t>
            </w:r>
            <w:r w:rsidR="005837E4">
              <w:rPr>
                <w:rFonts w:ascii="Arial" w:eastAsia="Calibri" w:hAnsi="Arial" w:cs="Arial"/>
                <w:szCs w:val="22"/>
              </w:rPr>
              <w:t xml:space="preserve"> </w:t>
            </w:r>
            <w:r w:rsidRPr="002416EB">
              <w:rPr>
                <w:rFonts w:ascii="Arial" w:eastAsia="Calibri" w:hAnsi="Arial" w:cs="Arial"/>
                <w:szCs w:val="22"/>
              </w:rPr>
              <w:t>This study underscores that effective malaria control requires moving beyond policy dissemination to address systemic barriers. Strengthening supply chains for diagnostics and ACTs, implementing targeted, continuous training for all prescriber cadres—with emphasis on pediatric dosing—and enhancing community sensitization are essential strategies to bridge the gap between policy and practice in the Buea Health District.</w:t>
            </w:r>
          </w:p>
        </w:tc>
      </w:tr>
    </w:tbl>
    <w:p w14:paraId="06ED8E47" w14:textId="77777777" w:rsidR="00636EB2" w:rsidRDefault="00636EB2" w:rsidP="00441B6F">
      <w:pPr>
        <w:pStyle w:val="Body"/>
        <w:spacing w:after="0"/>
        <w:rPr>
          <w:rFonts w:ascii="Arial" w:hAnsi="Arial" w:cs="Arial"/>
          <w:i/>
        </w:rPr>
      </w:pPr>
    </w:p>
    <w:p w14:paraId="2E65FB46" w14:textId="78CA1DE4" w:rsidR="00790ADA" w:rsidRDefault="00A24E7E" w:rsidP="00441B6F">
      <w:pPr>
        <w:pStyle w:val="Body"/>
        <w:spacing w:after="0"/>
        <w:rPr>
          <w:rFonts w:ascii="Arial" w:hAnsi="Arial" w:cs="Arial"/>
          <w:i/>
        </w:rPr>
      </w:pPr>
      <w:r>
        <w:rPr>
          <w:rFonts w:ascii="Arial" w:hAnsi="Arial" w:cs="Arial"/>
          <w:i/>
        </w:rPr>
        <w:t xml:space="preserve">Keywords: </w:t>
      </w:r>
      <w:r w:rsidR="00326869" w:rsidRPr="00326869">
        <w:rPr>
          <w:rFonts w:ascii="Arial" w:hAnsi="Arial" w:cs="Arial"/>
          <w:i/>
        </w:rPr>
        <w:t>Malaria, Artemisinin-based Combination Therapy, prescriber knowledge, diagnostic practices,</w:t>
      </w:r>
      <w:r w:rsidR="002416EB">
        <w:rPr>
          <w:rFonts w:ascii="Arial" w:hAnsi="Arial" w:cs="Arial"/>
          <w:i/>
        </w:rPr>
        <w:t xml:space="preserve"> Cameroon</w:t>
      </w:r>
    </w:p>
    <w:p w14:paraId="06805B36" w14:textId="77777777" w:rsidR="0024282C" w:rsidRDefault="0024282C" w:rsidP="00441B6F">
      <w:pPr>
        <w:pStyle w:val="Body"/>
        <w:spacing w:after="0"/>
        <w:rPr>
          <w:rFonts w:ascii="Arial" w:hAnsi="Arial" w:cs="Arial"/>
          <w:i/>
          <w:sz w:val="18"/>
        </w:rPr>
      </w:pPr>
    </w:p>
    <w:p w14:paraId="0537CBB6" w14:textId="77777777" w:rsidR="00505F06" w:rsidRPr="00A24E7E" w:rsidRDefault="00505F06" w:rsidP="00441B6F">
      <w:pPr>
        <w:pStyle w:val="Body"/>
        <w:spacing w:after="0"/>
        <w:rPr>
          <w:rFonts w:ascii="Arial" w:hAnsi="Arial" w:cs="Arial"/>
          <w:i/>
        </w:rPr>
      </w:pPr>
    </w:p>
    <w:p w14:paraId="488EB539" w14:textId="3E186B1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5CB16B6" w14:textId="77777777" w:rsidR="00790ADA" w:rsidRPr="00FB3A86" w:rsidRDefault="00790ADA" w:rsidP="00441B6F">
      <w:pPr>
        <w:pStyle w:val="AbstHead"/>
        <w:spacing w:after="0"/>
        <w:jc w:val="both"/>
        <w:rPr>
          <w:rFonts w:ascii="Arial" w:hAnsi="Arial" w:cs="Arial"/>
        </w:rPr>
      </w:pPr>
    </w:p>
    <w:p w14:paraId="70C9CC19" w14:textId="77777777" w:rsidR="00BA1B47" w:rsidRDefault="00BA1B47" w:rsidP="00BA1B47">
      <w:pPr>
        <w:pStyle w:val="Body"/>
        <w:spacing w:after="0"/>
        <w:rPr>
          <w:rFonts w:ascii="Arial" w:hAnsi="Arial" w:cs="Arial"/>
        </w:rPr>
      </w:pPr>
      <w:r w:rsidRPr="00BA1B47">
        <w:rPr>
          <w:rFonts w:ascii="Arial" w:hAnsi="Arial" w:cs="Arial"/>
        </w:rPr>
        <w:t xml:space="preserve">Malaria is a life-threatening disease caused by </w:t>
      </w:r>
      <w:r w:rsidRPr="00BA1B47">
        <w:rPr>
          <w:rFonts w:ascii="Arial" w:hAnsi="Arial" w:cs="Arial"/>
          <w:i/>
          <w:iCs/>
        </w:rPr>
        <w:t>Plasmodium</w:t>
      </w:r>
      <w:r w:rsidRPr="00BA1B47">
        <w:rPr>
          <w:rFonts w:ascii="Arial" w:hAnsi="Arial" w:cs="Arial"/>
        </w:rPr>
        <w:t xml:space="preserve"> parasites and transmitted through the bite of infected female </w:t>
      </w:r>
      <w:r w:rsidRPr="00BA1B47">
        <w:rPr>
          <w:rFonts w:ascii="Arial" w:hAnsi="Arial" w:cs="Arial"/>
          <w:i/>
          <w:iCs/>
        </w:rPr>
        <w:t>Anopheles</w:t>
      </w:r>
      <w:r w:rsidRPr="00BA1B47">
        <w:rPr>
          <w:rFonts w:ascii="Arial" w:hAnsi="Arial" w:cs="Arial"/>
        </w:rPr>
        <w:t xml:space="preserve"> mosquitoes. It remains one of the most severe global public health challenges. Despite significant progress in control and elimination efforts over the past two decades, the disease continues to exert a heavy toll, particularly in sub-Saharan Africa [1]. According to the World Health </w:t>
      </w:r>
      <w:proofErr w:type="spellStart"/>
      <w:r w:rsidRPr="00BA1B47">
        <w:rPr>
          <w:rFonts w:ascii="Arial" w:hAnsi="Arial" w:cs="Arial"/>
        </w:rPr>
        <w:t>Organisation</w:t>
      </w:r>
      <w:proofErr w:type="spellEnd"/>
      <w:r w:rsidRPr="00BA1B47">
        <w:rPr>
          <w:rFonts w:ascii="Arial" w:hAnsi="Arial" w:cs="Arial"/>
        </w:rPr>
        <w:t xml:space="preserve"> (WHO) report in 2022, there were an estimated 247 million malaria cases globally, resulting in 619,000 deaths. The African Region accounted for approximately 95% of all cases and 96% of deaths, with children under five representing about 80% of all malaria-related fatalities [2]. This disproportionate impact underscores malaria’s role as a primary driver of childhood mortality and a barrier to socioeconomic development [3].</w:t>
      </w:r>
    </w:p>
    <w:p w14:paraId="5658A4D1" w14:textId="77777777" w:rsidR="00BA1B47" w:rsidRPr="00BA1B47" w:rsidRDefault="00BA1B47" w:rsidP="00BA1B47">
      <w:pPr>
        <w:pStyle w:val="Body"/>
        <w:spacing w:after="0"/>
        <w:rPr>
          <w:rFonts w:ascii="Arial" w:hAnsi="Arial" w:cs="Arial"/>
        </w:rPr>
      </w:pPr>
    </w:p>
    <w:p w14:paraId="08A7E208" w14:textId="77777777" w:rsidR="00BA1B47" w:rsidRDefault="00BA1B47" w:rsidP="00BA1B47">
      <w:pPr>
        <w:pStyle w:val="Body"/>
        <w:spacing w:after="0"/>
        <w:rPr>
          <w:rFonts w:ascii="Arial" w:hAnsi="Arial" w:cs="Arial"/>
        </w:rPr>
      </w:pPr>
      <w:r w:rsidRPr="00BA1B47">
        <w:rPr>
          <w:rFonts w:ascii="Arial" w:hAnsi="Arial" w:cs="Arial"/>
        </w:rPr>
        <w:t xml:space="preserve">Cameroon exemplifies this continental burden. Located in Central Africa, the country’s diverse ecological zones support year-round malaria transmission, with </w:t>
      </w:r>
      <w:r w:rsidRPr="00BA1B47">
        <w:rPr>
          <w:rFonts w:ascii="Arial" w:hAnsi="Arial" w:cs="Arial"/>
          <w:i/>
          <w:iCs/>
        </w:rPr>
        <w:t>Plasmodium falciparum</w:t>
      </w:r>
      <w:r w:rsidRPr="00BA1B47">
        <w:rPr>
          <w:rFonts w:ascii="Arial" w:hAnsi="Arial" w:cs="Arial"/>
        </w:rPr>
        <w:t xml:space="preserve"> as the dominant species [4]. Cameroon is among the 11 high-burden malaria countries globally (WHO, 2022). In 2024, the country reported over 2 million cases annually, with 65% affecting children under five. Malaria accounts for 50% of hospitalizations and 19% of all deaths in priority districts [5, 6]. Although mortality rates declined by 9% between 2022 and 2023, incidence rose by 11.8%, indicating persistent transmission challenges [6].</w:t>
      </w:r>
    </w:p>
    <w:p w14:paraId="24269DE6" w14:textId="77777777" w:rsidR="00BA1B47" w:rsidRPr="00BA1B47" w:rsidRDefault="00BA1B47" w:rsidP="00BA1B47">
      <w:pPr>
        <w:pStyle w:val="Body"/>
        <w:spacing w:after="0"/>
        <w:rPr>
          <w:rFonts w:ascii="Arial" w:hAnsi="Arial" w:cs="Arial"/>
        </w:rPr>
      </w:pPr>
    </w:p>
    <w:p w14:paraId="2B9705A1" w14:textId="036D6AC2" w:rsidR="00BA1B47" w:rsidRDefault="00BA1B47" w:rsidP="00BA1B47">
      <w:pPr>
        <w:pStyle w:val="Body"/>
        <w:spacing w:after="0"/>
        <w:rPr>
          <w:rFonts w:ascii="Arial" w:hAnsi="Arial" w:cs="Arial"/>
        </w:rPr>
      </w:pPr>
      <w:r w:rsidRPr="00BA1B47">
        <w:rPr>
          <w:rFonts w:ascii="Arial" w:hAnsi="Arial" w:cs="Arial"/>
        </w:rPr>
        <w:t xml:space="preserve">The persistence of malaria in high-transmission settings like Cameroon is multifactorial. Contributing factors include self-medication, inappropriate drug use, and resistance to first-generation therapies such as chloroquine and </w:t>
      </w:r>
      <w:proofErr w:type="spellStart"/>
      <w:r w:rsidRPr="00BA1B47">
        <w:rPr>
          <w:rFonts w:ascii="Arial" w:hAnsi="Arial" w:cs="Arial"/>
        </w:rPr>
        <w:t>sulfadoxine</w:t>
      </w:r>
      <w:proofErr w:type="spellEnd"/>
      <w:r w:rsidRPr="00BA1B47">
        <w:rPr>
          <w:rFonts w:ascii="Arial" w:hAnsi="Arial" w:cs="Arial"/>
        </w:rPr>
        <w:t>-pyrimethamine [7]. The continued use of monotherapies, despite official bans, facilitates the emergence of resistant strains. Artemisinin partial resistance—marked by delayed parasite clearance—has emerged in the Greater Mekong Subregion and was recently detected in East Africa [8, 9</w:t>
      </w:r>
      <w:r w:rsidR="0064507D">
        <w:rPr>
          <w:rFonts w:ascii="Arial" w:hAnsi="Arial" w:cs="Arial"/>
        </w:rPr>
        <w:t>, 10</w:t>
      </w:r>
      <w:r w:rsidRPr="00BA1B47">
        <w:rPr>
          <w:rFonts w:ascii="Arial" w:hAnsi="Arial" w:cs="Arial"/>
        </w:rPr>
        <w:t>].</w:t>
      </w:r>
      <w:r w:rsidR="0064507D">
        <w:rPr>
          <w:rFonts w:ascii="Arial" w:hAnsi="Arial" w:cs="Arial"/>
        </w:rPr>
        <w:t xml:space="preserve"> </w:t>
      </w:r>
    </w:p>
    <w:p w14:paraId="0B5A07B6" w14:textId="77777777" w:rsidR="00BA1B47" w:rsidRPr="00BA1B47" w:rsidRDefault="00BA1B47" w:rsidP="00BA1B47">
      <w:pPr>
        <w:pStyle w:val="Body"/>
        <w:spacing w:after="0"/>
        <w:rPr>
          <w:rFonts w:ascii="Arial" w:hAnsi="Arial" w:cs="Arial"/>
        </w:rPr>
      </w:pPr>
    </w:p>
    <w:p w14:paraId="5BBFB838" w14:textId="1A11E3D6" w:rsidR="00BA1B47" w:rsidRDefault="00BA1B47" w:rsidP="00BA1B47">
      <w:pPr>
        <w:pStyle w:val="Body"/>
        <w:spacing w:after="0"/>
        <w:rPr>
          <w:rFonts w:ascii="Arial" w:hAnsi="Arial" w:cs="Arial"/>
        </w:rPr>
      </w:pPr>
      <w:r w:rsidRPr="00BA1B47">
        <w:rPr>
          <w:rFonts w:ascii="Arial" w:hAnsi="Arial" w:cs="Arial"/>
        </w:rPr>
        <w:t>To address these challenges, the WHO developed the Global Technical Strategy (GTS) for Malaria 2016–2030, adopted during the 78th World Health Assembly. The GTS is built on three pillars: universal access to prevention, diagnosis, and treatment; acceleration toward elimination; and transforming surveillance into a core intervention [1</w:t>
      </w:r>
      <w:r w:rsidR="005E45FF">
        <w:rPr>
          <w:rFonts w:ascii="Arial" w:hAnsi="Arial" w:cs="Arial"/>
        </w:rPr>
        <w:t>1</w:t>
      </w:r>
      <w:r w:rsidRPr="00BA1B47">
        <w:rPr>
          <w:rFonts w:ascii="Arial" w:hAnsi="Arial" w:cs="Arial"/>
        </w:rPr>
        <w:t>]. A key shift under the first pillar is the move from presumptive treatment to a “test-before-treat” model, requiring parasitological confirmation via Rapid Diagnostic Tests (RDTs) or microscopy before treatment [1</w:t>
      </w:r>
      <w:r w:rsidR="005E45FF">
        <w:rPr>
          <w:rFonts w:ascii="Arial" w:hAnsi="Arial" w:cs="Arial"/>
        </w:rPr>
        <w:t>1</w:t>
      </w:r>
      <w:r w:rsidRPr="00BA1B47">
        <w:rPr>
          <w:rFonts w:ascii="Arial" w:hAnsi="Arial" w:cs="Arial"/>
        </w:rPr>
        <w:t>]. This approach reduces antimalarial misuse, preserves Artemisinin-based Combination Therapies (ACTs), and ensures appropriate care for non-malarial febrile illnesses [1</w:t>
      </w:r>
      <w:r w:rsidR="005E45FF">
        <w:rPr>
          <w:rFonts w:ascii="Arial" w:hAnsi="Arial" w:cs="Arial"/>
        </w:rPr>
        <w:t>2</w:t>
      </w:r>
      <w:r w:rsidRPr="00BA1B47">
        <w:rPr>
          <w:rFonts w:ascii="Arial" w:hAnsi="Arial" w:cs="Arial"/>
        </w:rPr>
        <w:t>].</w:t>
      </w:r>
    </w:p>
    <w:p w14:paraId="1F8BA655" w14:textId="77777777" w:rsidR="00BA1B47" w:rsidRPr="00BA1B47" w:rsidRDefault="00BA1B47" w:rsidP="00BA1B47">
      <w:pPr>
        <w:pStyle w:val="Body"/>
        <w:spacing w:after="0"/>
        <w:rPr>
          <w:rFonts w:ascii="Arial" w:hAnsi="Arial" w:cs="Arial"/>
        </w:rPr>
      </w:pPr>
    </w:p>
    <w:p w14:paraId="650B282A" w14:textId="15CB1036" w:rsidR="00BA1B47" w:rsidRDefault="00BA1B47" w:rsidP="00BA1B47">
      <w:pPr>
        <w:pStyle w:val="Body"/>
        <w:spacing w:after="0"/>
        <w:rPr>
          <w:rFonts w:ascii="Arial" w:hAnsi="Arial" w:cs="Arial"/>
        </w:rPr>
      </w:pPr>
      <w:r w:rsidRPr="00BA1B47">
        <w:rPr>
          <w:rFonts w:ascii="Arial" w:hAnsi="Arial" w:cs="Arial"/>
        </w:rPr>
        <w:t>For uncomplicated malaria, WHO recommends ACTs as first-line treatment. In Cameroon, Artesunate-Amodiaquine (ASAQ) and Artemether-Lumefantrine (AL) are the approved ACTs [1</w:t>
      </w:r>
      <w:r w:rsidR="005E45FF">
        <w:rPr>
          <w:rFonts w:ascii="Arial" w:hAnsi="Arial" w:cs="Arial"/>
        </w:rPr>
        <w:t>3</w:t>
      </w:r>
      <w:r w:rsidRPr="00BA1B47">
        <w:rPr>
          <w:rFonts w:ascii="Arial" w:hAnsi="Arial" w:cs="Arial"/>
        </w:rPr>
        <w:t>]. However, implementation has been inconsistent, with usage rates fluctuating between 20% and 51% from 2006 to 2012 [4].</w:t>
      </w:r>
    </w:p>
    <w:p w14:paraId="5C799612" w14:textId="77777777" w:rsidR="00BA1B47" w:rsidRPr="00BA1B47" w:rsidRDefault="00BA1B47" w:rsidP="00BA1B47">
      <w:pPr>
        <w:pStyle w:val="Body"/>
        <w:spacing w:after="0"/>
        <w:rPr>
          <w:rFonts w:ascii="Arial" w:hAnsi="Arial" w:cs="Arial"/>
        </w:rPr>
      </w:pPr>
    </w:p>
    <w:p w14:paraId="7810BBB4" w14:textId="606C0198" w:rsidR="00BA1B47" w:rsidRDefault="00BA1B47" w:rsidP="00BA1B47">
      <w:pPr>
        <w:pStyle w:val="Body"/>
        <w:spacing w:after="0"/>
        <w:rPr>
          <w:rFonts w:ascii="Arial" w:hAnsi="Arial" w:cs="Arial"/>
        </w:rPr>
      </w:pPr>
      <w:r w:rsidRPr="00BA1B47">
        <w:rPr>
          <w:rFonts w:ascii="Arial" w:hAnsi="Arial" w:cs="Arial"/>
        </w:rPr>
        <w:t>Effective implementation of GTS and national guidelines depends on the knowledge, attitudes, and practices of healthcare providers. Prescribers are central to rational drug use. Yet, studies show persistent gaps. In Douala, 31.7% of prescribers did not wait for RDT results before prescribing antimalarials, citing logistical issues like stockouts [1</w:t>
      </w:r>
      <w:r w:rsidR="005E45FF">
        <w:rPr>
          <w:rFonts w:ascii="Arial" w:hAnsi="Arial" w:cs="Arial"/>
        </w:rPr>
        <w:t>4</w:t>
      </w:r>
      <w:r w:rsidRPr="00BA1B47">
        <w:rPr>
          <w:rFonts w:ascii="Arial" w:hAnsi="Arial" w:cs="Arial"/>
        </w:rPr>
        <w:t>]. Other studies report poor adherence to guidelines due to high patient loads, lack of trust in RDTs, and entrenched habits of presumptive treatment [1</w:t>
      </w:r>
      <w:r w:rsidR="005E45FF">
        <w:rPr>
          <w:rFonts w:ascii="Arial" w:hAnsi="Arial" w:cs="Arial"/>
        </w:rPr>
        <w:t>5</w:t>
      </w:r>
      <w:r w:rsidRPr="00BA1B47">
        <w:rPr>
          <w:rFonts w:ascii="Arial" w:hAnsi="Arial" w:cs="Arial"/>
        </w:rPr>
        <w:t>].</w:t>
      </w:r>
    </w:p>
    <w:p w14:paraId="089B6602" w14:textId="77777777" w:rsidR="00BA1B47" w:rsidRPr="00BA1B47" w:rsidRDefault="00BA1B47" w:rsidP="00BA1B47">
      <w:pPr>
        <w:pStyle w:val="Body"/>
        <w:spacing w:after="0"/>
        <w:rPr>
          <w:rFonts w:ascii="Arial" w:hAnsi="Arial" w:cs="Arial"/>
        </w:rPr>
      </w:pPr>
    </w:p>
    <w:p w14:paraId="34FDF089" w14:textId="77777777" w:rsidR="00BA1B47" w:rsidRPr="00BA1B47" w:rsidRDefault="00BA1B47" w:rsidP="00BA1B47">
      <w:pPr>
        <w:pStyle w:val="Body"/>
        <w:spacing w:after="0"/>
        <w:rPr>
          <w:rFonts w:ascii="Arial" w:hAnsi="Arial" w:cs="Arial"/>
        </w:rPr>
      </w:pPr>
      <w:r w:rsidRPr="00BA1B47">
        <w:rPr>
          <w:rFonts w:ascii="Arial" w:hAnsi="Arial" w:cs="Arial"/>
        </w:rPr>
        <w:t xml:space="preserve">While urban centers like Douala, Yaoundé, and Bamenda have been studied, there is limited data from regions such as the Buea Health District. With its unique demographic and epidemiological profile, Buea requires localized evidence to inform interventions. </w:t>
      </w:r>
      <w:r w:rsidRPr="00BA1B47">
        <w:rPr>
          <w:rFonts w:ascii="Arial" w:hAnsi="Arial" w:cs="Arial"/>
        </w:rPr>
        <w:lastRenderedPageBreak/>
        <w:t>Understanding prescriber knowledge, diagnostic decision-making, and drug use patterns in Buea is essential for evaluating policy implementation and identifying barriers to effective care. This study aims to assess these factors to support district and national efforts in improving malaria outcomes.</w:t>
      </w:r>
    </w:p>
    <w:p w14:paraId="2E6596E1" w14:textId="77777777" w:rsidR="00790ADA" w:rsidRPr="00FB3A86" w:rsidRDefault="00790ADA" w:rsidP="00441B6F">
      <w:pPr>
        <w:pStyle w:val="Body"/>
        <w:spacing w:after="0"/>
        <w:rPr>
          <w:rFonts w:ascii="Arial" w:hAnsi="Arial" w:cs="Arial"/>
        </w:rPr>
      </w:pPr>
    </w:p>
    <w:p w14:paraId="0A5A11E7" w14:textId="6150BE4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4EC7F14" w14:textId="77777777" w:rsidR="00790ADA" w:rsidRPr="00FB3A86" w:rsidRDefault="00790ADA" w:rsidP="00441B6F">
      <w:pPr>
        <w:pStyle w:val="Body"/>
        <w:spacing w:after="0"/>
        <w:rPr>
          <w:rFonts w:ascii="Arial" w:hAnsi="Arial" w:cs="Arial"/>
        </w:rPr>
      </w:pPr>
    </w:p>
    <w:p w14:paraId="28835E56" w14:textId="77777777" w:rsidR="00BA1B47" w:rsidRPr="00BA1B47" w:rsidRDefault="00AA74E0" w:rsidP="00BA1B47">
      <w:pPr>
        <w:pStyle w:val="Body"/>
        <w:rPr>
          <w:rFonts w:ascii="Arial" w:hAnsi="Arial" w:cs="Arial"/>
          <w:b/>
          <w:bCs/>
          <w:sz w:val="22"/>
        </w:rPr>
      </w:pPr>
      <w:r w:rsidRPr="00C30A0F">
        <w:rPr>
          <w:rFonts w:ascii="Arial" w:hAnsi="Arial" w:cs="Arial"/>
          <w:b/>
          <w:caps/>
          <w:sz w:val="22"/>
        </w:rPr>
        <w:t xml:space="preserve">2.1 </w:t>
      </w:r>
      <w:r w:rsidR="00BA1B47" w:rsidRPr="00BA1B47">
        <w:rPr>
          <w:rFonts w:ascii="Arial" w:hAnsi="Arial" w:cs="Arial"/>
          <w:b/>
          <w:bCs/>
          <w:sz w:val="22"/>
        </w:rPr>
        <w:t>Study Design</w:t>
      </w:r>
    </w:p>
    <w:p w14:paraId="025C96BC" w14:textId="77777777" w:rsidR="00BA1B47" w:rsidRDefault="00BA1B47" w:rsidP="00BA1B47">
      <w:pPr>
        <w:pStyle w:val="Body"/>
        <w:spacing w:after="0"/>
        <w:rPr>
          <w:rFonts w:ascii="Arial" w:hAnsi="Arial" w:cs="Arial"/>
        </w:rPr>
      </w:pPr>
      <w:r w:rsidRPr="00BA1B47">
        <w:rPr>
          <w:rFonts w:ascii="Arial" w:hAnsi="Arial" w:cs="Arial"/>
        </w:rPr>
        <w:t>A descriptive cross-sectional study was conducted to assess prescriber knowledge, diagnostic practices, and antimalarial drug use in the management of simple malaria.</w:t>
      </w:r>
    </w:p>
    <w:p w14:paraId="67DBD3E6" w14:textId="77777777" w:rsidR="00BA1B47" w:rsidRPr="00BA1B47" w:rsidRDefault="00BA1B47" w:rsidP="00BA1B47">
      <w:pPr>
        <w:pStyle w:val="Body"/>
        <w:spacing w:after="0"/>
        <w:rPr>
          <w:rFonts w:ascii="Arial" w:hAnsi="Arial" w:cs="Arial"/>
        </w:rPr>
      </w:pPr>
    </w:p>
    <w:p w14:paraId="350F69E9" w14:textId="77777777" w:rsidR="00BA1B47" w:rsidRPr="00BA1B47" w:rsidRDefault="00BA1B47" w:rsidP="00BA1B47">
      <w:pPr>
        <w:pStyle w:val="Body"/>
        <w:spacing w:after="0"/>
        <w:rPr>
          <w:rFonts w:ascii="Arial" w:hAnsi="Arial" w:cs="Arial"/>
        </w:rPr>
      </w:pPr>
      <w:r w:rsidRPr="00BA1B47">
        <w:rPr>
          <w:rFonts w:ascii="Arial" w:hAnsi="Arial" w:cs="Arial"/>
        </w:rPr>
        <w:t>The study was carried out in the Buea Health District (BHD), located in the South-West Region of Cameroon, over a four-month period from February-June 2023</w:t>
      </w:r>
    </w:p>
    <w:p w14:paraId="67D3ABEB" w14:textId="52C6D631" w:rsidR="00505F06" w:rsidRDefault="00505F06" w:rsidP="00441B6F">
      <w:pPr>
        <w:pStyle w:val="Body"/>
        <w:spacing w:after="0"/>
        <w:rPr>
          <w:rFonts w:ascii="Arial" w:hAnsi="Arial" w:cs="Arial"/>
        </w:rPr>
      </w:pPr>
    </w:p>
    <w:p w14:paraId="1413AB99" w14:textId="044AA595" w:rsidR="00BA1B47" w:rsidRPr="00BA1B47" w:rsidRDefault="00BA1B47" w:rsidP="00BA1B47">
      <w:pPr>
        <w:pStyle w:val="Body"/>
        <w:spacing w:after="0"/>
        <w:rPr>
          <w:rFonts w:ascii="Arial" w:hAnsi="Arial" w:cs="Arial"/>
          <w:b/>
          <w:bCs/>
          <w:sz w:val="22"/>
          <w:szCs w:val="22"/>
        </w:rPr>
      </w:pPr>
      <w:r>
        <w:rPr>
          <w:rFonts w:ascii="Arial" w:hAnsi="Arial" w:cs="Arial"/>
          <w:b/>
          <w:bCs/>
          <w:sz w:val="22"/>
          <w:szCs w:val="22"/>
        </w:rPr>
        <w:t xml:space="preserve">2.2 </w:t>
      </w:r>
      <w:r w:rsidRPr="00BA1B47">
        <w:rPr>
          <w:rFonts w:ascii="Arial" w:hAnsi="Arial" w:cs="Arial"/>
          <w:b/>
          <w:bCs/>
          <w:sz w:val="22"/>
          <w:szCs w:val="22"/>
        </w:rPr>
        <w:t>Study Area</w:t>
      </w:r>
    </w:p>
    <w:p w14:paraId="241A3533" w14:textId="77777777" w:rsidR="00BA1B47" w:rsidRDefault="00BA1B47" w:rsidP="00441B6F">
      <w:pPr>
        <w:pStyle w:val="Body"/>
        <w:spacing w:after="0"/>
        <w:rPr>
          <w:rFonts w:ascii="Arial" w:hAnsi="Arial" w:cs="Arial"/>
        </w:rPr>
      </w:pPr>
    </w:p>
    <w:p w14:paraId="400D7259" w14:textId="77777777" w:rsidR="002416EB" w:rsidRDefault="00BA1B47" w:rsidP="00BA1B47">
      <w:pPr>
        <w:pStyle w:val="Body"/>
        <w:spacing w:after="0"/>
        <w:rPr>
          <w:rFonts w:ascii="Arial" w:hAnsi="Arial" w:cs="Arial"/>
        </w:rPr>
      </w:pPr>
      <w:r w:rsidRPr="00BA1B47">
        <w:rPr>
          <w:rFonts w:ascii="Arial" w:hAnsi="Arial" w:cs="Arial"/>
        </w:rPr>
        <w:t xml:space="preserve">The Buea Health District is situated on the slopes of Mount Cameroon and has an estimated population of 169,746 inhabitants distributed across seven health areas: </w:t>
      </w:r>
      <w:proofErr w:type="spellStart"/>
      <w:r w:rsidRPr="00BA1B47">
        <w:rPr>
          <w:rFonts w:ascii="Arial" w:hAnsi="Arial" w:cs="Arial"/>
        </w:rPr>
        <w:t>Bokwango</w:t>
      </w:r>
      <w:proofErr w:type="spellEnd"/>
      <w:r w:rsidRPr="00BA1B47">
        <w:rPr>
          <w:rFonts w:ascii="Arial" w:hAnsi="Arial" w:cs="Arial"/>
        </w:rPr>
        <w:t xml:space="preserve">, </w:t>
      </w:r>
      <w:proofErr w:type="spellStart"/>
      <w:r w:rsidRPr="00BA1B47">
        <w:rPr>
          <w:rFonts w:ascii="Arial" w:hAnsi="Arial" w:cs="Arial"/>
        </w:rPr>
        <w:t>Buea</w:t>
      </w:r>
      <w:proofErr w:type="spellEnd"/>
      <w:r w:rsidRPr="00BA1B47">
        <w:rPr>
          <w:rFonts w:ascii="Arial" w:hAnsi="Arial" w:cs="Arial"/>
        </w:rPr>
        <w:t xml:space="preserve"> Road, </w:t>
      </w:r>
      <w:proofErr w:type="spellStart"/>
      <w:r w:rsidRPr="00BA1B47">
        <w:rPr>
          <w:rFonts w:ascii="Arial" w:hAnsi="Arial" w:cs="Arial"/>
        </w:rPr>
        <w:t>Bova</w:t>
      </w:r>
      <w:proofErr w:type="spellEnd"/>
      <w:r w:rsidRPr="00BA1B47">
        <w:rPr>
          <w:rFonts w:ascii="Arial" w:hAnsi="Arial" w:cs="Arial"/>
        </w:rPr>
        <w:t>, Muea, Tole, Molyko, and Buea Town. Administratively, the district comprises 35 health structures: 17 public and 18 private facilities. For this study, 31 of these facilities were included (15 public and 16 private), as two private institutions did not grant authorization and two public facilities were non-operational during the research period.</w:t>
      </w:r>
      <w:r>
        <w:rPr>
          <w:rFonts w:ascii="Arial" w:hAnsi="Arial" w:cs="Arial"/>
        </w:rPr>
        <w:t xml:space="preserve"> </w:t>
      </w:r>
      <w:r w:rsidRPr="00BA1B47">
        <w:rPr>
          <w:rFonts w:ascii="Arial" w:hAnsi="Arial" w:cs="Arial"/>
        </w:rPr>
        <w:t>The public health infrastructure includes:</w:t>
      </w:r>
      <w:r>
        <w:rPr>
          <w:rFonts w:ascii="Arial" w:hAnsi="Arial" w:cs="Arial"/>
        </w:rPr>
        <w:t xml:space="preserve"> o</w:t>
      </w:r>
      <w:r w:rsidRPr="00BA1B47">
        <w:rPr>
          <w:rFonts w:ascii="Arial" w:hAnsi="Arial" w:cs="Arial"/>
        </w:rPr>
        <w:t>ne 2nd-class referral hospital (Buea Regional Hospital)</w:t>
      </w:r>
      <w:r>
        <w:rPr>
          <w:rFonts w:ascii="Arial" w:hAnsi="Arial" w:cs="Arial"/>
        </w:rPr>
        <w:t>, o</w:t>
      </w:r>
      <w:r w:rsidRPr="00BA1B47">
        <w:rPr>
          <w:rFonts w:ascii="Arial" w:hAnsi="Arial" w:cs="Arial"/>
        </w:rPr>
        <w:t>ne 3rd-class hospital (</w:t>
      </w:r>
      <w:proofErr w:type="spellStart"/>
      <w:r w:rsidRPr="00BA1B47">
        <w:rPr>
          <w:rFonts w:ascii="Arial" w:hAnsi="Arial" w:cs="Arial"/>
        </w:rPr>
        <w:t>Medicalised</w:t>
      </w:r>
      <w:proofErr w:type="spellEnd"/>
      <w:r w:rsidRPr="00BA1B47">
        <w:rPr>
          <w:rFonts w:ascii="Arial" w:hAnsi="Arial" w:cs="Arial"/>
        </w:rPr>
        <w:t xml:space="preserve"> Health Centre, </w:t>
      </w:r>
      <w:proofErr w:type="spellStart"/>
      <w:r w:rsidRPr="00BA1B47">
        <w:rPr>
          <w:rFonts w:ascii="Arial" w:hAnsi="Arial" w:cs="Arial"/>
        </w:rPr>
        <w:t>Muea</w:t>
      </w:r>
      <w:proofErr w:type="spellEnd"/>
      <w:r w:rsidRPr="00BA1B47">
        <w:rPr>
          <w:rFonts w:ascii="Arial" w:hAnsi="Arial" w:cs="Arial"/>
        </w:rPr>
        <w:t>)</w:t>
      </w:r>
      <w:r>
        <w:rPr>
          <w:rFonts w:ascii="Arial" w:hAnsi="Arial" w:cs="Arial"/>
        </w:rPr>
        <w:t>, f</w:t>
      </w:r>
      <w:r w:rsidRPr="00BA1B47">
        <w:rPr>
          <w:rFonts w:ascii="Arial" w:hAnsi="Arial" w:cs="Arial"/>
        </w:rPr>
        <w:t xml:space="preserve">ifteen 4th-class health centers (e.g., </w:t>
      </w:r>
      <w:proofErr w:type="spellStart"/>
      <w:r w:rsidRPr="00BA1B47">
        <w:rPr>
          <w:rFonts w:ascii="Arial" w:hAnsi="Arial" w:cs="Arial"/>
        </w:rPr>
        <w:t>Bova</w:t>
      </w:r>
      <w:proofErr w:type="spellEnd"/>
      <w:r w:rsidRPr="00BA1B47">
        <w:rPr>
          <w:rFonts w:ascii="Arial" w:hAnsi="Arial" w:cs="Arial"/>
        </w:rPr>
        <w:t xml:space="preserve">, </w:t>
      </w:r>
      <w:proofErr w:type="spellStart"/>
      <w:r w:rsidRPr="00BA1B47">
        <w:rPr>
          <w:rFonts w:ascii="Arial" w:hAnsi="Arial" w:cs="Arial"/>
        </w:rPr>
        <w:t>Bokwango</w:t>
      </w:r>
      <w:proofErr w:type="spellEnd"/>
      <w:r w:rsidRPr="00BA1B47">
        <w:rPr>
          <w:rFonts w:ascii="Arial" w:hAnsi="Arial" w:cs="Arial"/>
        </w:rPr>
        <w:t xml:space="preserve">, </w:t>
      </w:r>
      <w:proofErr w:type="spellStart"/>
      <w:r w:rsidRPr="00BA1B47">
        <w:rPr>
          <w:rFonts w:ascii="Arial" w:hAnsi="Arial" w:cs="Arial"/>
        </w:rPr>
        <w:t>Molyko</w:t>
      </w:r>
      <w:proofErr w:type="spellEnd"/>
      <w:r w:rsidRPr="00BA1B47">
        <w:rPr>
          <w:rFonts w:ascii="Arial" w:hAnsi="Arial" w:cs="Arial"/>
        </w:rPr>
        <w:t>, Tole).</w:t>
      </w:r>
    </w:p>
    <w:p w14:paraId="14092036" w14:textId="13220001" w:rsidR="00BA1B47" w:rsidRPr="002416EB" w:rsidRDefault="00BA1B47" w:rsidP="00BA1B47">
      <w:pPr>
        <w:pStyle w:val="Body"/>
        <w:spacing w:after="0"/>
        <w:rPr>
          <w:rFonts w:ascii="Arial" w:hAnsi="Arial" w:cs="Arial"/>
        </w:rPr>
      </w:pPr>
      <w:r w:rsidRPr="00BA1B47">
        <w:rPr>
          <w:rFonts w:ascii="Arial" w:hAnsi="Arial" w:cs="Arial"/>
        </w:rPr>
        <w:t>The private sector complements this with five 2nd-class hospitals and 13 clinics.</w:t>
      </w:r>
      <w:r w:rsidRPr="00BA1B47">
        <w:rPr>
          <w:rFonts w:ascii="Arial" w:hAnsi="Arial" w:cs="Arial"/>
        </w:rPr>
        <w:br/>
      </w:r>
      <w:r w:rsidRPr="00BA1B47">
        <w:rPr>
          <w:rFonts w:ascii="Arial" w:hAnsi="Arial" w:cs="Arial"/>
          <w:i/>
          <w:iCs/>
        </w:rPr>
        <w:t>A map of the Buea Health District is provided in Figure 1.</w:t>
      </w:r>
    </w:p>
    <w:p w14:paraId="1F605949" w14:textId="77777777" w:rsidR="00BA1B47" w:rsidRPr="00BA1B47" w:rsidRDefault="00BA1B47" w:rsidP="00BA1B47">
      <w:pPr>
        <w:pStyle w:val="Body"/>
        <w:spacing w:after="0"/>
        <w:rPr>
          <w:rFonts w:ascii="Arial" w:hAnsi="Arial" w:cs="Arial"/>
        </w:rPr>
      </w:pPr>
    </w:p>
    <w:p w14:paraId="40DB5D9F" w14:textId="77777777" w:rsidR="00BA1B47" w:rsidRPr="00BA1B47" w:rsidRDefault="00BA1B47" w:rsidP="00BA1B47">
      <w:pPr>
        <w:pStyle w:val="Body"/>
        <w:spacing w:after="0"/>
        <w:rPr>
          <w:rFonts w:ascii="Arial" w:hAnsi="Arial" w:cs="Arial"/>
        </w:rPr>
      </w:pPr>
      <w:r w:rsidRPr="00BA1B47">
        <w:rPr>
          <w:rFonts w:ascii="Arial" w:hAnsi="Arial" w:cs="Arial"/>
          <w:noProof/>
        </w:rPr>
        <w:drawing>
          <wp:inline distT="0" distB="0" distL="0" distR="0" wp14:anchorId="2B2F4D73" wp14:editId="50BAEE19">
            <wp:extent cx="4869756" cy="2846934"/>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381" cy="2858407"/>
                    </a:xfrm>
                    <a:prstGeom prst="rect">
                      <a:avLst/>
                    </a:prstGeom>
                    <a:noFill/>
                  </pic:spPr>
                </pic:pic>
              </a:graphicData>
            </a:graphic>
          </wp:inline>
        </w:drawing>
      </w:r>
    </w:p>
    <w:p w14:paraId="3AA370E8" w14:textId="0AB18F59" w:rsidR="00BA1B47" w:rsidRPr="00BA1B47" w:rsidRDefault="00BA1B47" w:rsidP="00BA1B47">
      <w:pPr>
        <w:pStyle w:val="Body"/>
        <w:spacing w:after="0"/>
        <w:rPr>
          <w:rFonts w:ascii="Arial" w:hAnsi="Arial" w:cs="Arial"/>
          <w:b/>
          <w:bCs/>
        </w:rPr>
      </w:pPr>
      <w:r w:rsidRPr="00BA1B47">
        <w:rPr>
          <w:rFonts w:ascii="Arial" w:hAnsi="Arial" w:cs="Arial"/>
          <w:b/>
          <w:bCs/>
        </w:rPr>
        <w:t xml:space="preserve">Figure </w:t>
      </w:r>
      <w:r w:rsidRPr="00BA1B47">
        <w:rPr>
          <w:rFonts w:ascii="Arial" w:hAnsi="Arial" w:cs="Arial"/>
          <w:b/>
          <w:bCs/>
        </w:rPr>
        <w:fldChar w:fldCharType="begin"/>
      </w:r>
      <w:r w:rsidRPr="00BA1B47">
        <w:rPr>
          <w:rFonts w:ascii="Arial" w:hAnsi="Arial" w:cs="Arial"/>
          <w:b/>
          <w:bCs/>
        </w:rPr>
        <w:instrText xml:space="preserve"> SEQ Figure \* ARABIC </w:instrText>
      </w:r>
      <w:r w:rsidRPr="00BA1B47">
        <w:rPr>
          <w:rFonts w:ascii="Arial" w:hAnsi="Arial" w:cs="Arial"/>
          <w:b/>
          <w:bCs/>
        </w:rPr>
        <w:fldChar w:fldCharType="separate"/>
      </w:r>
      <w:r w:rsidRPr="00BA1B47">
        <w:rPr>
          <w:rFonts w:ascii="Arial" w:hAnsi="Arial" w:cs="Arial"/>
          <w:b/>
          <w:bCs/>
        </w:rPr>
        <w:t>1</w:t>
      </w:r>
      <w:r w:rsidRPr="00BA1B47">
        <w:rPr>
          <w:rFonts w:ascii="Arial" w:hAnsi="Arial" w:cs="Arial"/>
        </w:rPr>
        <w:fldChar w:fldCharType="end"/>
      </w:r>
      <w:r w:rsidRPr="00BA1B47">
        <w:rPr>
          <w:rFonts w:ascii="Arial" w:hAnsi="Arial" w:cs="Arial"/>
          <w:b/>
          <w:bCs/>
        </w:rPr>
        <w:t xml:space="preserve">: Map of Buea Health District </w:t>
      </w:r>
      <w:r w:rsidRPr="00BA1B47">
        <w:rPr>
          <w:rFonts w:ascii="Arial" w:hAnsi="Arial" w:cs="Arial"/>
          <w:lang w:val="en-GB"/>
        </w:rPr>
        <w:t>[1</w:t>
      </w:r>
      <w:r w:rsidR="005E45FF">
        <w:rPr>
          <w:rFonts w:ascii="Arial" w:hAnsi="Arial" w:cs="Arial"/>
          <w:lang w:val="en-GB"/>
        </w:rPr>
        <w:t>6</w:t>
      </w:r>
      <w:r w:rsidRPr="00BA1B47">
        <w:rPr>
          <w:rFonts w:ascii="Arial" w:hAnsi="Arial" w:cs="Arial"/>
          <w:lang w:val="en-GB"/>
        </w:rPr>
        <w:t>]</w:t>
      </w:r>
    </w:p>
    <w:p w14:paraId="591CC467" w14:textId="77777777" w:rsidR="00BA1B47" w:rsidRDefault="00BA1B47" w:rsidP="00441B6F">
      <w:pPr>
        <w:pStyle w:val="Body"/>
        <w:spacing w:after="0"/>
        <w:rPr>
          <w:rFonts w:ascii="Arial" w:hAnsi="Arial" w:cs="Arial"/>
        </w:rPr>
      </w:pPr>
    </w:p>
    <w:p w14:paraId="36467DBE" w14:textId="33BBCAD0" w:rsidR="00BA1B47" w:rsidRPr="00BA1B47" w:rsidRDefault="00BA1B47" w:rsidP="00BA1B47">
      <w:pPr>
        <w:pStyle w:val="Body"/>
        <w:spacing w:after="0"/>
        <w:rPr>
          <w:rFonts w:ascii="Arial" w:hAnsi="Arial" w:cs="Arial"/>
          <w:b/>
          <w:bCs/>
          <w:sz w:val="22"/>
          <w:szCs w:val="22"/>
        </w:rPr>
      </w:pPr>
      <w:r w:rsidRPr="00BA1B47">
        <w:rPr>
          <w:rFonts w:ascii="Arial" w:hAnsi="Arial" w:cs="Arial"/>
          <w:b/>
          <w:bCs/>
          <w:sz w:val="22"/>
          <w:szCs w:val="22"/>
        </w:rPr>
        <w:t>2.3 Study Population and Sampling</w:t>
      </w:r>
    </w:p>
    <w:p w14:paraId="52EB1EDA" w14:textId="77777777" w:rsidR="00BA1B47" w:rsidRPr="00BA1B47" w:rsidRDefault="00BA1B47" w:rsidP="00BA1B47">
      <w:pPr>
        <w:pStyle w:val="Body"/>
        <w:spacing w:after="0"/>
        <w:rPr>
          <w:rFonts w:ascii="Arial" w:hAnsi="Arial" w:cs="Arial"/>
          <w:b/>
          <w:bCs/>
        </w:rPr>
      </w:pPr>
    </w:p>
    <w:p w14:paraId="4952BA70" w14:textId="77777777" w:rsidR="00BA1B47" w:rsidRDefault="00BA1B47" w:rsidP="00BA1B47">
      <w:pPr>
        <w:pStyle w:val="Body"/>
        <w:spacing w:after="0"/>
        <w:rPr>
          <w:rFonts w:ascii="Arial" w:hAnsi="Arial" w:cs="Arial"/>
        </w:rPr>
      </w:pPr>
      <w:r w:rsidRPr="00BA1B47">
        <w:rPr>
          <w:rFonts w:ascii="Arial" w:hAnsi="Arial" w:cs="Arial"/>
        </w:rPr>
        <w:lastRenderedPageBreak/>
        <w:t>The study involved healthcare prescribers: doctors (general practitioners and specialists), nurses, and midwives actively involved in patient consultation and prescription in the selected facilities. A pre-survey was conducted in each hospital to enumerate eligible prescribers. A total of 63 prescribers were recruited consecutively from the 31 participating health facilities, irrespective of their professional cadre.</w:t>
      </w:r>
    </w:p>
    <w:p w14:paraId="08A2D614" w14:textId="77777777" w:rsidR="00BA1B47" w:rsidRPr="00BA1B47" w:rsidRDefault="00BA1B47" w:rsidP="00BA1B47">
      <w:pPr>
        <w:pStyle w:val="Body"/>
        <w:spacing w:after="0"/>
        <w:rPr>
          <w:rFonts w:ascii="Arial" w:hAnsi="Arial" w:cs="Arial"/>
        </w:rPr>
      </w:pPr>
    </w:p>
    <w:p w14:paraId="05C7416B" w14:textId="77777777" w:rsidR="00BA1B47" w:rsidRDefault="00BA1B47" w:rsidP="00BA1B47">
      <w:pPr>
        <w:pStyle w:val="Body"/>
        <w:spacing w:after="0"/>
        <w:rPr>
          <w:rFonts w:ascii="Arial" w:hAnsi="Arial" w:cs="Arial"/>
        </w:rPr>
      </w:pPr>
      <w:r w:rsidRPr="00BA1B47">
        <w:rPr>
          <w:rFonts w:ascii="Arial" w:hAnsi="Arial" w:cs="Arial"/>
        </w:rPr>
        <w:t>Ethical approval was obtained from the Institutional Research Review Board of the University of Douala. Subsequent administrative authorization was secured from the Regional Delegation of Public Health and from the management of each participating health facility.</w:t>
      </w:r>
    </w:p>
    <w:p w14:paraId="21D58884" w14:textId="77777777" w:rsidR="00BA1B47" w:rsidRPr="00BA1B47" w:rsidRDefault="00BA1B47" w:rsidP="00BA1B47">
      <w:pPr>
        <w:pStyle w:val="Body"/>
        <w:spacing w:after="0"/>
        <w:rPr>
          <w:rFonts w:ascii="Arial" w:hAnsi="Arial" w:cs="Arial"/>
        </w:rPr>
      </w:pPr>
    </w:p>
    <w:p w14:paraId="48255A78" w14:textId="0B0034A2" w:rsidR="00BA1B47" w:rsidRPr="00BA1B47" w:rsidRDefault="00BA1B47" w:rsidP="00BA1B47">
      <w:pPr>
        <w:pStyle w:val="Body"/>
        <w:spacing w:after="0"/>
        <w:rPr>
          <w:rFonts w:ascii="Arial" w:hAnsi="Arial" w:cs="Arial"/>
          <w:b/>
          <w:bCs/>
          <w:sz w:val="22"/>
          <w:szCs w:val="22"/>
        </w:rPr>
      </w:pPr>
      <w:r w:rsidRPr="00BA1B47">
        <w:rPr>
          <w:rFonts w:ascii="Arial" w:hAnsi="Arial" w:cs="Arial"/>
          <w:b/>
          <w:bCs/>
          <w:sz w:val="22"/>
          <w:szCs w:val="22"/>
        </w:rPr>
        <w:t>2.4 Data Collection Techniques</w:t>
      </w:r>
    </w:p>
    <w:p w14:paraId="42F0BE2D" w14:textId="77777777" w:rsidR="00BA1B47" w:rsidRPr="00BA1B47" w:rsidRDefault="00BA1B47" w:rsidP="00BA1B47">
      <w:pPr>
        <w:pStyle w:val="Body"/>
        <w:spacing w:after="0"/>
        <w:rPr>
          <w:rFonts w:ascii="Arial" w:hAnsi="Arial" w:cs="Arial"/>
          <w:b/>
          <w:bCs/>
        </w:rPr>
      </w:pPr>
    </w:p>
    <w:p w14:paraId="3F9B0B98" w14:textId="77777777" w:rsidR="00BA1B47" w:rsidRDefault="00BA1B47" w:rsidP="00BA1B47">
      <w:pPr>
        <w:pStyle w:val="Body"/>
        <w:spacing w:after="0"/>
        <w:rPr>
          <w:rFonts w:ascii="Arial" w:hAnsi="Arial" w:cs="Arial"/>
        </w:rPr>
      </w:pPr>
      <w:r w:rsidRPr="00BA1B47">
        <w:rPr>
          <w:rFonts w:ascii="Arial" w:hAnsi="Arial" w:cs="Arial"/>
        </w:rPr>
        <w:t xml:space="preserve">Data were collected using pre-tested, structured questionnaires. The questionnaire was administered to capture data on: Socio-demographic and professional characteristics., continuous </w:t>
      </w:r>
      <w:proofErr w:type="spellStart"/>
      <w:r w:rsidRPr="00BA1B47">
        <w:rPr>
          <w:rFonts w:ascii="Arial" w:hAnsi="Arial" w:cs="Arial"/>
        </w:rPr>
        <w:t>ktraining</w:t>
      </w:r>
      <w:proofErr w:type="spellEnd"/>
      <w:r w:rsidRPr="00BA1B47">
        <w:rPr>
          <w:rFonts w:ascii="Arial" w:hAnsi="Arial" w:cs="Arial"/>
        </w:rPr>
        <w:t xml:space="preserve"> received on malaria case management, Knowledge of malaria symptoms and Artemisinin-based Combination Therapy (ACT), diagnostic decision-making processes and influences and antimalarial prescription patterns for first and second intentions.</w:t>
      </w:r>
    </w:p>
    <w:p w14:paraId="5C0C9B10" w14:textId="75545703" w:rsidR="00BA1B47" w:rsidRDefault="00BA1B47" w:rsidP="00BA1B47">
      <w:pPr>
        <w:pStyle w:val="Body"/>
        <w:spacing w:after="0"/>
        <w:rPr>
          <w:rFonts w:ascii="Arial" w:hAnsi="Arial" w:cs="Arial"/>
        </w:rPr>
      </w:pPr>
      <w:r w:rsidRPr="00BA1B47">
        <w:rPr>
          <w:rFonts w:ascii="Arial" w:hAnsi="Arial" w:cs="Arial"/>
        </w:rPr>
        <w:br/>
        <w:t>Questionnaires were either self-administered or completed via interviewer administration. Prescribers who took the questionnaire off-site were given a 72-hour window to return it.</w:t>
      </w:r>
    </w:p>
    <w:p w14:paraId="6BE8A178" w14:textId="77777777" w:rsidR="00BA1B47" w:rsidRPr="00BA1B47" w:rsidRDefault="00BA1B47" w:rsidP="00BA1B47">
      <w:pPr>
        <w:pStyle w:val="Body"/>
        <w:spacing w:after="0"/>
        <w:rPr>
          <w:rFonts w:ascii="Arial" w:hAnsi="Arial" w:cs="Arial"/>
        </w:rPr>
      </w:pPr>
    </w:p>
    <w:p w14:paraId="6AA59D1C" w14:textId="0D0184FB" w:rsidR="00BA1B47" w:rsidRPr="00BA1B47" w:rsidRDefault="00BA1B47" w:rsidP="00BA1B47">
      <w:pPr>
        <w:pStyle w:val="Body"/>
        <w:spacing w:after="0"/>
        <w:rPr>
          <w:rFonts w:ascii="Arial" w:hAnsi="Arial" w:cs="Arial"/>
          <w:b/>
          <w:bCs/>
          <w:sz w:val="22"/>
          <w:szCs w:val="22"/>
        </w:rPr>
      </w:pPr>
      <w:r w:rsidRPr="00BA1B47">
        <w:rPr>
          <w:rFonts w:ascii="Arial" w:hAnsi="Arial" w:cs="Arial"/>
          <w:b/>
          <w:bCs/>
          <w:sz w:val="22"/>
          <w:szCs w:val="22"/>
        </w:rPr>
        <w:t>2.5 Data Management and Statistical Analysis</w:t>
      </w:r>
    </w:p>
    <w:p w14:paraId="16F323D3" w14:textId="77777777" w:rsidR="00BA1B47" w:rsidRPr="00BA1B47" w:rsidRDefault="00BA1B47" w:rsidP="00BA1B47">
      <w:pPr>
        <w:pStyle w:val="Body"/>
        <w:spacing w:after="0"/>
        <w:rPr>
          <w:rFonts w:ascii="Arial" w:hAnsi="Arial" w:cs="Arial"/>
          <w:b/>
          <w:bCs/>
        </w:rPr>
      </w:pPr>
    </w:p>
    <w:p w14:paraId="6E893561" w14:textId="77777777" w:rsidR="00BA1B47" w:rsidRDefault="00BA1B47" w:rsidP="00BA1B47">
      <w:pPr>
        <w:pStyle w:val="Body"/>
        <w:spacing w:after="0"/>
        <w:rPr>
          <w:rFonts w:ascii="Arial" w:hAnsi="Arial" w:cs="Arial"/>
        </w:rPr>
      </w:pPr>
      <w:r w:rsidRPr="00BA1B47">
        <w:rPr>
          <w:rFonts w:ascii="Arial" w:hAnsi="Arial" w:cs="Arial"/>
        </w:rPr>
        <w:t>Data were entered into Microsoft Excel 2013 and analyzed using SPSS software version 26. Descriptive statistics (frequencies, percentages) were used to summarize categorical variables. The Chi-square test was employed to compare qualitative variables. For quantitative variables, the Mann-Whitney U or Kruskal-Wallis tests were used as appropriate. To identify factors associated with key outcomes, a multivariate logistic regression analysis was performed. Variables showing an association (p &lt; 0.05) in univariate analyses were included in the multivariate model to control for potential confounders. The strength of associations was reported as Odds Ratios (OR) with a 95% confidence interval. A p-value of less than 0.05 was considered statistically significant.</w:t>
      </w:r>
    </w:p>
    <w:p w14:paraId="153E9579" w14:textId="77777777" w:rsidR="00790ADA" w:rsidRPr="00FB3A86" w:rsidRDefault="00790ADA" w:rsidP="00441B6F">
      <w:pPr>
        <w:pStyle w:val="Body"/>
        <w:spacing w:after="0"/>
        <w:rPr>
          <w:rFonts w:ascii="Arial" w:hAnsi="Arial" w:cs="Arial"/>
        </w:rPr>
      </w:pPr>
    </w:p>
    <w:p w14:paraId="1CF8F769" w14:textId="6701D56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6383051" w14:textId="77777777" w:rsidR="00790ADA" w:rsidRPr="00FB3A86" w:rsidRDefault="00790ADA" w:rsidP="00441B6F">
      <w:pPr>
        <w:pStyle w:val="Head1"/>
        <w:spacing w:after="0"/>
        <w:jc w:val="both"/>
        <w:rPr>
          <w:rFonts w:ascii="Arial" w:hAnsi="Arial" w:cs="Arial"/>
        </w:rPr>
      </w:pPr>
    </w:p>
    <w:p w14:paraId="6E7CB6A7" w14:textId="77E757E8" w:rsidR="00952E64" w:rsidRPr="00952E64" w:rsidRDefault="00952E64" w:rsidP="00952E64">
      <w:pPr>
        <w:pStyle w:val="Body"/>
        <w:spacing w:after="0"/>
        <w:rPr>
          <w:rFonts w:ascii="Arial" w:hAnsi="Arial" w:cs="Arial"/>
          <w:b/>
          <w:bCs/>
          <w:sz w:val="22"/>
          <w:szCs w:val="22"/>
        </w:rPr>
      </w:pPr>
      <w:r>
        <w:rPr>
          <w:rFonts w:ascii="Arial" w:hAnsi="Arial" w:cs="Arial"/>
          <w:b/>
          <w:bCs/>
          <w:sz w:val="22"/>
          <w:szCs w:val="22"/>
        </w:rPr>
        <w:t xml:space="preserve">3.1 </w:t>
      </w:r>
      <w:r w:rsidRPr="00952E64">
        <w:rPr>
          <w:rFonts w:ascii="Arial" w:hAnsi="Arial" w:cs="Arial"/>
          <w:b/>
          <w:bCs/>
          <w:sz w:val="22"/>
          <w:szCs w:val="22"/>
        </w:rPr>
        <w:t>Socio-professional characteristics of Health personnel at the Buea Health District</w:t>
      </w:r>
    </w:p>
    <w:p w14:paraId="058A70D9" w14:textId="77777777" w:rsidR="00952E64" w:rsidRPr="00952E64" w:rsidRDefault="00952E64" w:rsidP="00952E64">
      <w:pPr>
        <w:pStyle w:val="Body"/>
        <w:spacing w:after="0"/>
        <w:rPr>
          <w:rFonts w:ascii="Arial" w:hAnsi="Arial" w:cs="Arial"/>
        </w:rPr>
      </w:pPr>
    </w:p>
    <w:p w14:paraId="4178271E" w14:textId="77777777" w:rsidR="00952E64" w:rsidRPr="00952E64" w:rsidRDefault="00952E64" w:rsidP="00952E64">
      <w:pPr>
        <w:pStyle w:val="Body"/>
        <w:spacing w:after="0"/>
        <w:rPr>
          <w:rFonts w:ascii="Arial" w:hAnsi="Arial" w:cs="Arial"/>
        </w:rPr>
      </w:pPr>
      <w:bookmarkStart w:id="0" w:name="_Hlk210419140"/>
      <w:r w:rsidRPr="00952E64">
        <w:rPr>
          <w:rFonts w:ascii="Arial" w:hAnsi="Arial" w:cs="Arial"/>
        </w:rPr>
        <w:t xml:space="preserve">The socio-professional profile of prescribers in the Buea Health District reveals a predominance of public sector staff, accounting for 60.3% of the total sample (Table 1). Nurses and midwives form the majority of prescribers (58.7%), with a slightly higher representation in public facilities (63.2%) compared to private ones (52.0%). General practitioners and specialists make up 41.3% overall, with private facilities showing a relatively higher proportion (48.0%) than public ones (36.8%) (Table 1). </w:t>
      </w:r>
    </w:p>
    <w:bookmarkEnd w:id="0"/>
    <w:p w14:paraId="63EDD667" w14:textId="77777777" w:rsidR="00790ADA" w:rsidRDefault="00790ADA" w:rsidP="00441B6F">
      <w:pPr>
        <w:pStyle w:val="Body"/>
        <w:spacing w:after="0"/>
        <w:rPr>
          <w:rFonts w:ascii="Arial" w:hAnsi="Arial" w:cs="Arial"/>
        </w:rPr>
      </w:pPr>
    </w:p>
    <w:p w14:paraId="1AEC60A1" w14:textId="77777777" w:rsidR="009D5BF3" w:rsidRPr="009D5BF3" w:rsidRDefault="009D5BF3" w:rsidP="009D5BF3">
      <w:pPr>
        <w:pStyle w:val="Body"/>
        <w:spacing w:after="120"/>
        <w:rPr>
          <w:rFonts w:ascii="Arial" w:hAnsi="Arial" w:cs="Arial"/>
          <w:b/>
          <w:bCs/>
        </w:rPr>
      </w:pPr>
      <w:r w:rsidRPr="009D5BF3">
        <w:rPr>
          <w:rFonts w:ascii="Arial" w:hAnsi="Arial" w:cs="Arial"/>
          <w:b/>
          <w:bCs/>
        </w:rPr>
        <w:t>Table 1. Socio-professional profile of prescribers in Buea health district</w:t>
      </w:r>
    </w:p>
    <w:tbl>
      <w:tblPr>
        <w:tblStyle w:val="ListTable6Colorful"/>
        <w:tblW w:w="9072" w:type="dxa"/>
        <w:tblLook w:val="04A0" w:firstRow="1" w:lastRow="0" w:firstColumn="1" w:lastColumn="0" w:noHBand="0" w:noVBand="1"/>
      </w:tblPr>
      <w:tblGrid>
        <w:gridCol w:w="1821"/>
        <w:gridCol w:w="2574"/>
        <w:gridCol w:w="1559"/>
        <w:gridCol w:w="1696"/>
        <w:gridCol w:w="1422"/>
      </w:tblGrid>
      <w:tr w:rsidR="009D5BF3" w:rsidRPr="009D5BF3" w14:paraId="3C3407F9" w14:textId="77777777" w:rsidTr="00671B3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noWrap/>
            <w:hideMark/>
          </w:tcPr>
          <w:p w14:paraId="7943B0BD"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Variables</w:t>
            </w:r>
          </w:p>
        </w:tc>
        <w:tc>
          <w:tcPr>
            <w:tcW w:w="2574" w:type="dxa"/>
            <w:noWrap/>
            <w:hideMark/>
          </w:tcPr>
          <w:p w14:paraId="34E041F7"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Sub-variables</w:t>
            </w:r>
          </w:p>
        </w:tc>
        <w:tc>
          <w:tcPr>
            <w:tcW w:w="1559" w:type="dxa"/>
            <w:noWrap/>
            <w:hideMark/>
          </w:tcPr>
          <w:p w14:paraId="1A4F6B96"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Public Health N=38 (60.3%)</w:t>
            </w:r>
          </w:p>
        </w:tc>
        <w:tc>
          <w:tcPr>
            <w:tcW w:w="1696" w:type="dxa"/>
            <w:noWrap/>
            <w:hideMark/>
          </w:tcPr>
          <w:p w14:paraId="73DF1E93"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Private Health N=25 (39.7%)</w:t>
            </w:r>
          </w:p>
        </w:tc>
        <w:tc>
          <w:tcPr>
            <w:tcW w:w="1422" w:type="dxa"/>
            <w:noWrap/>
            <w:hideMark/>
          </w:tcPr>
          <w:p w14:paraId="51A4D960"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Total N=63</w:t>
            </w:r>
          </w:p>
        </w:tc>
      </w:tr>
      <w:tr w:rsidR="009D5BF3" w:rsidRPr="009D5BF3" w14:paraId="62D6DF09"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val="restart"/>
            <w:shd w:val="clear" w:color="auto" w:fill="auto"/>
            <w:noWrap/>
            <w:hideMark/>
          </w:tcPr>
          <w:p w14:paraId="3322BBF7"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Health Staff</w:t>
            </w:r>
          </w:p>
        </w:tc>
        <w:tc>
          <w:tcPr>
            <w:tcW w:w="2574" w:type="dxa"/>
            <w:shd w:val="clear" w:color="auto" w:fill="auto"/>
            <w:noWrap/>
            <w:hideMark/>
          </w:tcPr>
          <w:p w14:paraId="5691CAC5"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General Practitioners &amp; Specialists</w:t>
            </w:r>
          </w:p>
        </w:tc>
        <w:tc>
          <w:tcPr>
            <w:tcW w:w="1559" w:type="dxa"/>
            <w:shd w:val="clear" w:color="auto" w:fill="auto"/>
            <w:noWrap/>
            <w:hideMark/>
          </w:tcPr>
          <w:p w14:paraId="321CD1D1"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14 (36.8%)</w:t>
            </w:r>
          </w:p>
        </w:tc>
        <w:tc>
          <w:tcPr>
            <w:tcW w:w="1696" w:type="dxa"/>
            <w:shd w:val="clear" w:color="auto" w:fill="auto"/>
            <w:noWrap/>
            <w:hideMark/>
          </w:tcPr>
          <w:p w14:paraId="16AA082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12 (48.0%)</w:t>
            </w:r>
          </w:p>
        </w:tc>
        <w:tc>
          <w:tcPr>
            <w:tcW w:w="1422" w:type="dxa"/>
            <w:shd w:val="clear" w:color="auto" w:fill="auto"/>
            <w:noWrap/>
            <w:hideMark/>
          </w:tcPr>
          <w:p w14:paraId="1406C597"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26 (41.3%)</w:t>
            </w:r>
          </w:p>
        </w:tc>
      </w:tr>
      <w:tr w:rsidR="009D5BF3" w:rsidRPr="009D5BF3" w14:paraId="6B7E7092"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tcBorders>
              <w:bottom w:val="single" w:sz="4" w:space="0" w:color="auto"/>
            </w:tcBorders>
            <w:noWrap/>
            <w:hideMark/>
          </w:tcPr>
          <w:p w14:paraId="68374A69" w14:textId="77777777" w:rsidR="009D5BF3" w:rsidRPr="009D5BF3" w:rsidRDefault="009D5BF3" w:rsidP="009D5BF3">
            <w:pPr>
              <w:pStyle w:val="Body"/>
              <w:spacing w:after="0"/>
              <w:rPr>
                <w:rFonts w:ascii="Arial" w:hAnsi="Arial" w:cs="Arial"/>
                <w:lang w:val="en-GB"/>
              </w:rPr>
            </w:pPr>
          </w:p>
        </w:tc>
        <w:tc>
          <w:tcPr>
            <w:tcW w:w="2574" w:type="dxa"/>
            <w:tcBorders>
              <w:bottom w:val="single" w:sz="4" w:space="0" w:color="auto"/>
            </w:tcBorders>
            <w:noWrap/>
            <w:hideMark/>
          </w:tcPr>
          <w:p w14:paraId="2C2E9ECC"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Nurses &amp; Midwives</w:t>
            </w:r>
          </w:p>
        </w:tc>
        <w:tc>
          <w:tcPr>
            <w:tcW w:w="1559" w:type="dxa"/>
            <w:tcBorders>
              <w:bottom w:val="single" w:sz="4" w:space="0" w:color="auto"/>
            </w:tcBorders>
            <w:noWrap/>
            <w:hideMark/>
          </w:tcPr>
          <w:p w14:paraId="138ECD3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24 (63.2%)</w:t>
            </w:r>
          </w:p>
        </w:tc>
        <w:tc>
          <w:tcPr>
            <w:tcW w:w="1696" w:type="dxa"/>
            <w:tcBorders>
              <w:bottom w:val="single" w:sz="4" w:space="0" w:color="auto"/>
            </w:tcBorders>
            <w:noWrap/>
            <w:hideMark/>
          </w:tcPr>
          <w:p w14:paraId="6864111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13 (52.0%)</w:t>
            </w:r>
          </w:p>
        </w:tc>
        <w:tc>
          <w:tcPr>
            <w:tcW w:w="1422" w:type="dxa"/>
            <w:tcBorders>
              <w:bottom w:val="single" w:sz="4" w:space="0" w:color="auto"/>
            </w:tcBorders>
            <w:noWrap/>
            <w:hideMark/>
          </w:tcPr>
          <w:p w14:paraId="61F0BC8E"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37 (58.7%)</w:t>
            </w:r>
          </w:p>
        </w:tc>
      </w:tr>
      <w:tr w:rsidR="009D5BF3" w:rsidRPr="009D5BF3" w14:paraId="3CAF889F"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val="restart"/>
            <w:tcBorders>
              <w:top w:val="single" w:sz="4" w:space="0" w:color="auto"/>
            </w:tcBorders>
            <w:shd w:val="clear" w:color="auto" w:fill="auto"/>
            <w:noWrap/>
            <w:hideMark/>
          </w:tcPr>
          <w:p w14:paraId="6CB17AD6"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Gender</w:t>
            </w:r>
          </w:p>
        </w:tc>
        <w:tc>
          <w:tcPr>
            <w:tcW w:w="2574" w:type="dxa"/>
            <w:tcBorders>
              <w:top w:val="single" w:sz="4" w:space="0" w:color="auto"/>
            </w:tcBorders>
            <w:shd w:val="clear" w:color="auto" w:fill="auto"/>
            <w:noWrap/>
            <w:hideMark/>
          </w:tcPr>
          <w:p w14:paraId="6FC24FD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Female</w:t>
            </w:r>
          </w:p>
        </w:tc>
        <w:tc>
          <w:tcPr>
            <w:tcW w:w="1559" w:type="dxa"/>
            <w:tcBorders>
              <w:top w:val="single" w:sz="4" w:space="0" w:color="auto"/>
            </w:tcBorders>
            <w:shd w:val="clear" w:color="auto" w:fill="auto"/>
            <w:noWrap/>
            <w:hideMark/>
          </w:tcPr>
          <w:p w14:paraId="0C7EAF5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32 (84.2%)</w:t>
            </w:r>
          </w:p>
        </w:tc>
        <w:tc>
          <w:tcPr>
            <w:tcW w:w="1696" w:type="dxa"/>
            <w:tcBorders>
              <w:top w:val="single" w:sz="4" w:space="0" w:color="auto"/>
            </w:tcBorders>
            <w:shd w:val="clear" w:color="auto" w:fill="auto"/>
            <w:noWrap/>
            <w:hideMark/>
          </w:tcPr>
          <w:p w14:paraId="7318B520"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17 (68.0%)</w:t>
            </w:r>
          </w:p>
        </w:tc>
        <w:tc>
          <w:tcPr>
            <w:tcW w:w="1422" w:type="dxa"/>
            <w:tcBorders>
              <w:top w:val="single" w:sz="4" w:space="0" w:color="auto"/>
            </w:tcBorders>
            <w:shd w:val="clear" w:color="auto" w:fill="auto"/>
            <w:noWrap/>
            <w:hideMark/>
          </w:tcPr>
          <w:p w14:paraId="15E992C0"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49 (77.8%)</w:t>
            </w:r>
          </w:p>
        </w:tc>
      </w:tr>
      <w:tr w:rsidR="009D5BF3" w:rsidRPr="009D5BF3" w14:paraId="3690E3E7"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tcBorders>
              <w:bottom w:val="single" w:sz="4" w:space="0" w:color="auto"/>
            </w:tcBorders>
            <w:noWrap/>
            <w:hideMark/>
          </w:tcPr>
          <w:p w14:paraId="3519106F" w14:textId="77777777" w:rsidR="009D5BF3" w:rsidRPr="009D5BF3" w:rsidRDefault="009D5BF3" w:rsidP="009D5BF3">
            <w:pPr>
              <w:pStyle w:val="Body"/>
              <w:spacing w:after="0"/>
              <w:rPr>
                <w:rFonts w:ascii="Arial" w:hAnsi="Arial" w:cs="Arial"/>
                <w:lang w:val="en-GB"/>
              </w:rPr>
            </w:pPr>
          </w:p>
        </w:tc>
        <w:tc>
          <w:tcPr>
            <w:tcW w:w="2574" w:type="dxa"/>
            <w:tcBorders>
              <w:bottom w:val="single" w:sz="4" w:space="0" w:color="auto"/>
            </w:tcBorders>
            <w:noWrap/>
            <w:hideMark/>
          </w:tcPr>
          <w:p w14:paraId="1D982F8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Male</w:t>
            </w:r>
          </w:p>
        </w:tc>
        <w:tc>
          <w:tcPr>
            <w:tcW w:w="1559" w:type="dxa"/>
            <w:tcBorders>
              <w:bottom w:val="single" w:sz="4" w:space="0" w:color="auto"/>
            </w:tcBorders>
            <w:noWrap/>
            <w:hideMark/>
          </w:tcPr>
          <w:p w14:paraId="7264AA54"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6 (15.8%)</w:t>
            </w:r>
          </w:p>
        </w:tc>
        <w:tc>
          <w:tcPr>
            <w:tcW w:w="1696" w:type="dxa"/>
            <w:tcBorders>
              <w:bottom w:val="single" w:sz="4" w:space="0" w:color="auto"/>
            </w:tcBorders>
            <w:noWrap/>
            <w:hideMark/>
          </w:tcPr>
          <w:p w14:paraId="1AE7599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(32.0%)</w:t>
            </w:r>
          </w:p>
        </w:tc>
        <w:tc>
          <w:tcPr>
            <w:tcW w:w="1422" w:type="dxa"/>
            <w:tcBorders>
              <w:bottom w:val="single" w:sz="4" w:space="0" w:color="auto"/>
            </w:tcBorders>
            <w:noWrap/>
            <w:hideMark/>
          </w:tcPr>
          <w:p w14:paraId="3865DB0A"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14 (22.2%)</w:t>
            </w:r>
          </w:p>
        </w:tc>
      </w:tr>
      <w:tr w:rsidR="009D5BF3" w:rsidRPr="009D5BF3" w14:paraId="1BC742A5"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val="restart"/>
            <w:tcBorders>
              <w:top w:val="single" w:sz="4" w:space="0" w:color="auto"/>
            </w:tcBorders>
            <w:shd w:val="clear" w:color="auto" w:fill="auto"/>
            <w:noWrap/>
            <w:hideMark/>
          </w:tcPr>
          <w:p w14:paraId="6F83E384"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Marital Status</w:t>
            </w:r>
          </w:p>
        </w:tc>
        <w:tc>
          <w:tcPr>
            <w:tcW w:w="2574" w:type="dxa"/>
            <w:tcBorders>
              <w:top w:val="single" w:sz="4" w:space="0" w:color="auto"/>
            </w:tcBorders>
            <w:shd w:val="clear" w:color="auto" w:fill="auto"/>
            <w:noWrap/>
            <w:hideMark/>
          </w:tcPr>
          <w:p w14:paraId="31BC2D8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Married</w:t>
            </w:r>
          </w:p>
        </w:tc>
        <w:tc>
          <w:tcPr>
            <w:tcW w:w="1559" w:type="dxa"/>
            <w:tcBorders>
              <w:top w:val="single" w:sz="4" w:space="0" w:color="auto"/>
            </w:tcBorders>
            <w:shd w:val="clear" w:color="auto" w:fill="auto"/>
            <w:noWrap/>
            <w:hideMark/>
          </w:tcPr>
          <w:p w14:paraId="1B2C319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22 (57.9%)</w:t>
            </w:r>
          </w:p>
        </w:tc>
        <w:tc>
          <w:tcPr>
            <w:tcW w:w="1696" w:type="dxa"/>
            <w:tcBorders>
              <w:top w:val="single" w:sz="4" w:space="0" w:color="auto"/>
            </w:tcBorders>
            <w:shd w:val="clear" w:color="auto" w:fill="auto"/>
            <w:noWrap/>
            <w:hideMark/>
          </w:tcPr>
          <w:p w14:paraId="097776FA"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14 (56.0%)</w:t>
            </w:r>
          </w:p>
        </w:tc>
        <w:tc>
          <w:tcPr>
            <w:tcW w:w="1422" w:type="dxa"/>
            <w:tcBorders>
              <w:top w:val="single" w:sz="4" w:space="0" w:color="auto"/>
            </w:tcBorders>
            <w:shd w:val="clear" w:color="auto" w:fill="auto"/>
            <w:noWrap/>
            <w:hideMark/>
          </w:tcPr>
          <w:p w14:paraId="471C17BB"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36 (57.1%)</w:t>
            </w:r>
          </w:p>
        </w:tc>
      </w:tr>
      <w:tr w:rsidR="009D5BF3" w:rsidRPr="009D5BF3" w14:paraId="0E6975E1"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noWrap/>
            <w:hideMark/>
          </w:tcPr>
          <w:p w14:paraId="46546206" w14:textId="77777777" w:rsidR="009D5BF3" w:rsidRPr="009D5BF3" w:rsidRDefault="009D5BF3" w:rsidP="009D5BF3">
            <w:pPr>
              <w:pStyle w:val="Body"/>
              <w:spacing w:after="0"/>
              <w:rPr>
                <w:rFonts w:ascii="Arial" w:hAnsi="Arial" w:cs="Arial"/>
                <w:lang w:val="en-GB"/>
              </w:rPr>
            </w:pPr>
          </w:p>
        </w:tc>
        <w:tc>
          <w:tcPr>
            <w:tcW w:w="2574" w:type="dxa"/>
            <w:noWrap/>
            <w:hideMark/>
          </w:tcPr>
          <w:p w14:paraId="2E414ED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Single</w:t>
            </w:r>
          </w:p>
        </w:tc>
        <w:tc>
          <w:tcPr>
            <w:tcW w:w="1559" w:type="dxa"/>
            <w:noWrap/>
            <w:hideMark/>
          </w:tcPr>
          <w:p w14:paraId="1A7AF6C3"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13 (34.2%)</w:t>
            </w:r>
          </w:p>
        </w:tc>
        <w:tc>
          <w:tcPr>
            <w:tcW w:w="1696" w:type="dxa"/>
            <w:noWrap/>
            <w:hideMark/>
          </w:tcPr>
          <w:p w14:paraId="7A594A16"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(32.0%)</w:t>
            </w:r>
          </w:p>
        </w:tc>
        <w:tc>
          <w:tcPr>
            <w:tcW w:w="1422" w:type="dxa"/>
            <w:noWrap/>
            <w:hideMark/>
          </w:tcPr>
          <w:p w14:paraId="4E7C377C"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21 (33.3%)</w:t>
            </w:r>
          </w:p>
        </w:tc>
      </w:tr>
      <w:tr w:rsidR="009D5BF3" w:rsidRPr="009D5BF3" w14:paraId="115A3855"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tcBorders>
              <w:bottom w:val="single" w:sz="4" w:space="0" w:color="auto"/>
            </w:tcBorders>
            <w:shd w:val="clear" w:color="auto" w:fill="auto"/>
            <w:noWrap/>
            <w:hideMark/>
          </w:tcPr>
          <w:p w14:paraId="7EDBE671" w14:textId="77777777" w:rsidR="009D5BF3" w:rsidRPr="009D5BF3" w:rsidRDefault="009D5BF3" w:rsidP="009D5BF3">
            <w:pPr>
              <w:pStyle w:val="Body"/>
              <w:spacing w:after="0"/>
              <w:rPr>
                <w:rFonts w:ascii="Arial" w:hAnsi="Arial" w:cs="Arial"/>
                <w:lang w:val="en-GB"/>
              </w:rPr>
            </w:pPr>
          </w:p>
        </w:tc>
        <w:tc>
          <w:tcPr>
            <w:tcW w:w="2574" w:type="dxa"/>
            <w:tcBorders>
              <w:bottom w:val="single" w:sz="4" w:space="0" w:color="auto"/>
            </w:tcBorders>
            <w:shd w:val="clear" w:color="auto" w:fill="auto"/>
            <w:noWrap/>
            <w:hideMark/>
          </w:tcPr>
          <w:p w14:paraId="5524759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Divorced</w:t>
            </w:r>
          </w:p>
        </w:tc>
        <w:tc>
          <w:tcPr>
            <w:tcW w:w="1559" w:type="dxa"/>
            <w:tcBorders>
              <w:bottom w:val="single" w:sz="4" w:space="0" w:color="auto"/>
            </w:tcBorders>
            <w:shd w:val="clear" w:color="auto" w:fill="auto"/>
            <w:noWrap/>
            <w:hideMark/>
          </w:tcPr>
          <w:p w14:paraId="72C0C58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 (7.9%)</w:t>
            </w:r>
          </w:p>
        </w:tc>
        <w:tc>
          <w:tcPr>
            <w:tcW w:w="1696" w:type="dxa"/>
            <w:tcBorders>
              <w:bottom w:val="single" w:sz="4" w:space="0" w:color="auto"/>
            </w:tcBorders>
            <w:shd w:val="clear" w:color="auto" w:fill="auto"/>
            <w:noWrap/>
            <w:hideMark/>
          </w:tcPr>
          <w:p w14:paraId="686790E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 (12.0%)</w:t>
            </w:r>
          </w:p>
        </w:tc>
        <w:tc>
          <w:tcPr>
            <w:tcW w:w="1422" w:type="dxa"/>
            <w:tcBorders>
              <w:bottom w:val="single" w:sz="4" w:space="0" w:color="auto"/>
            </w:tcBorders>
            <w:shd w:val="clear" w:color="auto" w:fill="auto"/>
            <w:noWrap/>
            <w:hideMark/>
          </w:tcPr>
          <w:p w14:paraId="682FEB1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6 (9.5%)</w:t>
            </w:r>
          </w:p>
        </w:tc>
      </w:tr>
      <w:tr w:rsidR="009D5BF3" w:rsidRPr="009D5BF3" w14:paraId="467DB358"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val="restart"/>
            <w:tcBorders>
              <w:top w:val="single" w:sz="4" w:space="0" w:color="auto"/>
            </w:tcBorders>
            <w:noWrap/>
          </w:tcPr>
          <w:p w14:paraId="4D2FD518"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Level of Training</w:t>
            </w:r>
          </w:p>
        </w:tc>
        <w:tc>
          <w:tcPr>
            <w:tcW w:w="2574" w:type="dxa"/>
            <w:tcBorders>
              <w:top w:val="single" w:sz="4" w:space="0" w:color="auto"/>
            </w:tcBorders>
            <w:noWrap/>
            <w:hideMark/>
          </w:tcPr>
          <w:p w14:paraId="3F0EC6B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roofErr w:type="spellStart"/>
            <w:r w:rsidRPr="009D5BF3">
              <w:rPr>
                <w:rFonts w:ascii="Arial" w:hAnsi="Arial" w:cs="Arial"/>
                <w:lang w:val="en-GB"/>
              </w:rPr>
              <w:t>Pediatrician</w:t>
            </w:r>
            <w:proofErr w:type="spellEnd"/>
          </w:p>
        </w:tc>
        <w:tc>
          <w:tcPr>
            <w:tcW w:w="1559" w:type="dxa"/>
            <w:tcBorders>
              <w:top w:val="single" w:sz="4" w:space="0" w:color="auto"/>
            </w:tcBorders>
            <w:noWrap/>
            <w:hideMark/>
          </w:tcPr>
          <w:p w14:paraId="34EB5CBD"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(10.5%)</w:t>
            </w:r>
          </w:p>
        </w:tc>
        <w:tc>
          <w:tcPr>
            <w:tcW w:w="1696" w:type="dxa"/>
            <w:tcBorders>
              <w:top w:val="single" w:sz="4" w:space="0" w:color="auto"/>
            </w:tcBorders>
            <w:noWrap/>
            <w:hideMark/>
          </w:tcPr>
          <w:p w14:paraId="44517FD9"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(16.0%)</w:t>
            </w:r>
          </w:p>
        </w:tc>
        <w:tc>
          <w:tcPr>
            <w:tcW w:w="1422" w:type="dxa"/>
            <w:tcBorders>
              <w:top w:val="single" w:sz="4" w:space="0" w:color="auto"/>
            </w:tcBorders>
            <w:noWrap/>
            <w:hideMark/>
          </w:tcPr>
          <w:p w14:paraId="05A282B9"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9D5BF3" w:rsidRPr="009D5BF3" w14:paraId="73245970"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shd w:val="clear" w:color="auto" w:fill="auto"/>
            <w:noWrap/>
            <w:hideMark/>
          </w:tcPr>
          <w:p w14:paraId="5F562363" w14:textId="77777777" w:rsidR="009D5BF3" w:rsidRPr="009D5BF3" w:rsidRDefault="009D5BF3" w:rsidP="009D5BF3">
            <w:pPr>
              <w:pStyle w:val="Body"/>
              <w:spacing w:after="0"/>
              <w:rPr>
                <w:rFonts w:ascii="Arial" w:hAnsi="Arial" w:cs="Arial"/>
                <w:lang w:val="en-GB"/>
              </w:rPr>
            </w:pPr>
          </w:p>
        </w:tc>
        <w:tc>
          <w:tcPr>
            <w:tcW w:w="2574" w:type="dxa"/>
            <w:shd w:val="clear" w:color="auto" w:fill="auto"/>
            <w:noWrap/>
            <w:hideMark/>
          </w:tcPr>
          <w:p w14:paraId="069886CD"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General Practitioner</w:t>
            </w:r>
          </w:p>
        </w:tc>
        <w:tc>
          <w:tcPr>
            <w:tcW w:w="1559" w:type="dxa"/>
            <w:shd w:val="clear" w:color="auto" w:fill="auto"/>
            <w:noWrap/>
            <w:hideMark/>
          </w:tcPr>
          <w:p w14:paraId="2478274A"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10 (26.3%)</w:t>
            </w:r>
          </w:p>
        </w:tc>
        <w:tc>
          <w:tcPr>
            <w:tcW w:w="1696" w:type="dxa"/>
            <w:shd w:val="clear" w:color="auto" w:fill="auto"/>
            <w:noWrap/>
            <w:hideMark/>
          </w:tcPr>
          <w:p w14:paraId="3087F9E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8 (32.0%)</w:t>
            </w:r>
          </w:p>
        </w:tc>
        <w:tc>
          <w:tcPr>
            <w:tcW w:w="1422" w:type="dxa"/>
            <w:shd w:val="clear" w:color="auto" w:fill="auto"/>
            <w:noWrap/>
            <w:hideMark/>
          </w:tcPr>
          <w:p w14:paraId="6B8BF434"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18 (28.6%)</w:t>
            </w:r>
          </w:p>
        </w:tc>
      </w:tr>
      <w:tr w:rsidR="009D5BF3" w:rsidRPr="009D5BF3" w14:paraId="02D59E6D"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noWrap/>
            <w:hideMark/>
          </w:tcPr>
          <w:p w14:paraId="548802EA" w14:textId="77777777" w:rsidR="009D5BF3" w:rsidRPr="009D5BF3" w:rsidRDefault="009D5BF3" w:rsidP="009D5BF3">
            <w:pPr>
              <w:pStyle w:val="Body"/>
              <w:spacing w:after="0"/>
              <w:rPr>
                <w:rFonts w:ascii="Arial" w:hAnsi="Arial" w:cs="Arial"/>
                <w:lang w:val="en-GB"/>
              </w:rPr>
            </w:pPr>
          </w:p>
        </w:tc>
        <w:tc>
          <w:tcPr>
            <w:tcW w:w="2574" w:type="dxa"/>
            <w:noWrap/>
            <w:hideMark/>
          </w:tcPr>
          <w:p w14:paraId="00E4B423"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Nurse</w:t>
            </w:r>
          </w:p>
        </w:tc>
        <w:tc>
          <w:tcPr>
            <w:tcW w:w="1559" w:type="dxa"/>
            <w:noWrap/>
            <w:hideMark/>
          </w:tcPr>
          <w:p w14:paraId="60DF501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20 (52.6%)</w:t>
            </w:r>
          </w:p>
        </w:tc>
        <w:tc>
          <w:tcPr>
            <w:tcW w:w="1696" w:type="dxa"/>
            <w:noWrap/>
            <w:hideMark/>
          </w:tcPr>
          <w:p w14:paraId="721191F2"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10 (40.0%)</w:t>
            </w:r>
          </w:p>
        </w:tc>
        <w:tc>
          <w:tcPr>
            <w:tcW w:w="1422" w:type="dxa"/>
            <w:noWrap/>
            <w:hideMark/>
          </w:tcPr>
          <w:p w14:paraId="2718F0A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30 (47.6%)</w:t>
            </w:r>
          </w:p>
        </w:tc>
      </w:tr>
      <w:tr w:rsidR="009D5BF3" w:rsidRPr="009D5BF3" w14:paraId="4B9F17BB"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tcBorders>
              <w:bottom w:val="single" w:sz="4" w:space="0" w:color="auto"/>
            </w:tcBorders>
            <w:shd w:val="clear" w:color="auto" w:fill="auto"/>
            <w:noWrap/>
            <w:hideMark/>
          </w:tcPr>
          <w:p w14:paraId="582B67F4" w14:textId="77777777" w:rsidR="009D5BF3" w:rsidRPr="009D5BF3" w:rsidRDefault="009D5BF3" w:rsidP="009D5BF3">
            <w:pPr>
              <w:pStyle w:val="Body"/>
              <w:spacing w:after="0"/>
              <w:rPr>
                <w:rFonts w:ascii="Arial" w:hAnsi="Arial" w:cs="Arial"/>
                <w:lang w:val="en-GB"/>
              </w:rPr>
            </w:pPr>
          </w:p>
        </w:tc>
        <w:tc>
          <w:tcPr>
            <w:tcW w:w="2574" w:type="dxa"/>
            <w:tcBorders>
              <w:bottom w:val="single" w:sz="4" w:space="0" w:color="auto"/>
            </w:tcBorders>
            <w:shd w:val="clear" w:color="auto" w:fill="auto"/>
            <w:noWrap/>
            <w:hideMark/>
          </w:tcPr>
          <w:p w14:paraId="143FE9D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Midwife</w:t>
            </w:r>
          </w:p>
        </w:tc>
        <w:tc>
          <w:tcPr>
            <w:tcW w:w="1559" w:type="dxa"/>
            <w:tcBorders>
              <w:bottom w:val="single" w:sz="4" w:space="0" w:color="auto"/>
            </w:tcBorders>
            <w:shd w:val="clear" w:color="auto" w:fill="auto"/>
            <w:noWrap/>
            <w:hideMark/>
          </w:tcPr>
          <w:p w14:paraId="72FB952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(10.5%)</w:t>
            </w:r>
          </w:p>
        </w:tc>
        <w:tc>
          <w:tcPr>
            <w:tcW w:w="1696" w:type="dxa"/>
            <w:tcBorders>
              <w:bottom w:val="single" w:sz="4" w:space="0" w:color="auto"/>
            </w:tcBorders>
            <w:shd w:val="clear" w:color="auto" w:fill="auto"/>
            <w:noWrap/>
            <w:hideMark/>
          </w:tcPr>
          <w:p w14:paraId="3896F40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 (12.0%)</w:t>
            </w:r>
          </w:p>
        </w:tc>
        <w:tc>
          <w:tcPr>
            <w:tcW w:w="1422" w:type="dxa"/>
            <w:tcBorders>
              <w:bottom w:val="single" w:sz="4" w:space="0" w:color="auto"/>
            </w:tcBorders>
            <w:shd w:val="clear" w:color="auto" w:fill="auto"/>
            <w:noWrap/>
            <w:hideMark/>
          </w:tcPr>
          <w:p w14:paraId="121BB297"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7 (11.1%)</w:t>
            </w:r>
          </w:p>
        </w:tc>
      </w:tr>
      <w:tr w:rsidR="009D5BF3" w:rsidRPr="009D5BF3" w14:paraId="17A26E69"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val="restart"/>
            <w:tcBorders>
              <w:top w:val="single" w:sz="4" w:space="0" w:color="auto"/>
            </w:tcBorders>
            <w:noWrap/>
            <w:hideMark/>
          </w:tcPr>
          <w:p w14:paraId="315E48B6"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Working Experience</w:t>
            </w:r>
          </w:p>
        </w:tc>
        <w:tc>
          <w:tcPr>
            <w:tcW w:w="2574" w:type="dxa"/>
            <w:tcBorders>
              <w:top w:val="single" w:sz="4" w:space="0" w:color="auto"/>
            </w:tcBorders>
            <w:noWrap/>
            <w:hideMark/>
          </w:tcPr>
          <w:p w14:paraId="0918378D"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7 months – &lt;2 years</w:t>
            </w:r>
          </w:p>
        </w:tc>
        <w:tc>
          <w:tcPr>
            <w:tcW w:w="1559" w:type="dxa"/>
            <w:tcBorders>
              <w:top w:val="single" w:sz="4" w:space="0" w:color="auto"/>
            </w:tcBorders>
            <w:noWrap/>
            <w:hideMark/>
          </w:tcPr>
          <w:p w14:paraId="0117D00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(21.1%)</w:t>
            </w:r>
          </w:p>
        </w:tc>
        <w:tc>
          <w:tcPr>
            <w:tcW w:w="1696" w:type="dxa"/>
            <w:tcBorders>
              <w:top w:val="single" w:sz="4" w:space="0" w:color="auto"/>
            </w:tcBorders>
            <w:noWrap/>
            <w:hideMark/>
          </w:tcPr>
          <w:p w14:paraId="0993572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 (20.0%)</w:t>
            </w:r>
          </w:p>
        </w:tc>
        <w:tc>
          <w:tcPr>
            <w:tcW w:w="1422" w:type="dxa"/>
            <w:tcBorders>
              <w:top w:val="single" w:sz="4" w:space="0" w:color="auto"/>
            </w:tcBorders>
            <w:noWrap/>
            <w:hideMark/>
          </w:tcPr>
          <w:p w14:paraId="74846EFA"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13 (20.6%)</w:t>
            </w:r>
          </w:p>
        </w:tc>
      </w:tr>
      <w:tr w:rsidR="009D5BF3" w:rsidRPr="009D5BF3" w14:paraId="68959224"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shd w:val="clear" w:color="auto" w:fill="auto"/>
            <w:noWrap/>
            <w:hideMark/>
          </w:tcPr>
          <w:p w14:paraId="4D727E7F" w14:textId="77777777" w:rsidR="009D5BF3" w:rsidRPr="009D5BF3" w:rsidRDefault="009D5BF3" w:rsidP="009D5BF3">
            <w:pPr>
              <w:pStyle w:val="Body"/>
              <w:spacing w:after="0"/>
              <w:rPr>
                <w:rFonts w:ascii="Arial" w:hAnsi="Arial" w:cs="Arial"/>
                <w:lang w:val="en-GB"/>
              </w:rPr>
            </w:pPr>
          </w:p>
        </w:tc>
        <w:tc>
          <w:tcPr>
            <w:tcW w:w="2574" w:type="dxa"/>
            <w:shd w:val="clear" w:color="auto" w:fill="auto"/>
            <w:noWrap/>
            <w:hideMark/>
          </w:tcPr>
          <w:p w14:paraId="3C6BAB7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 years – &lt;6 years</w:t>
            </w:r>
          </w:p>
        </w:tc>
        <w:tc>
          <w:tcPr>
            <w:tcW w:w="1559" w:type="dxa"/>
            <w:shd w:val="clear" w:color="auto" w:fill="auto"/>
            <w:noWrap/>
            <w:hideMark/>
          </w:tcPr>
          <w:p w14:paraId="099F0D6B"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12 (31.6%)</w:t>
            </w:r>
          </w:p>
        </w:tc>
        <w:tc>
          <w:tcPr>
            <w:tcW w:w="1696" w:type="dxa"/>
            <w:shd w:val="clear" w:color="auto" w:fill="auto"/>
            <w:noWrap/>
            <w:hideMark/>
          </w:tcPr>
          <w:p w14:paraId="35D27306"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7 (28.0%)</w:t>
            </w:r>
          </w:p>
        </w:tc>
        <w:tc>
          <w:tcPr>
            <w:tcW w:w="1422" w:type="dxa"/>
            <w:shd w:val="clear" w:color="auto" w:fill="auto"/>
            <w:noWrap/>
            <w:hideMark/>
          </w:tcPr>
          <w:p w14:paraId="65938D0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19 (30.2%)</w:t>
            </w:r>
          </w:p>
        </w:tc>
      </w:tr>
      <w:tr w:rsidR="009D5BF3" w:rsidRPr="009D5BF3" w14:paraId="7A1AD5A9"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noWrap/>
            <w:hideMark/>
          </w:tcPr>
          <w:p w14:paraId="4D14580D" w14:textId="77777777" w:rsidR="009D5BF3" w:rsidRPr="009D5BF3" w:rsidRDefault="009D5BF3" w:rsidP="009D5BF3">
            <w:pPr>
              <w:pStyle w:val="Body"/>
              <w:spacing w:after="0"/>
              <w:rPr>
                <w:rFonts w:ascii="Arial" w:hAnsi="Arial" w:cs="Arial"/>
                <w:lang w:val="en-GB"/>
              </w:rPr>
            </w:pPr>
          </w:p>
        </w:tc>
        <w:tc>
          <w:tcPr>
            <w:tcW w:w="2574" w:type="dxa"/>
            <w:noWrap/>
            <w:hideMark/>
          </w:tcPr>
          <w:p w14:paraId="2082D6EC"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6 years – &lt;11 years</w:t>
            </w:r>
          </w:p>
        </w:tc>
        <w:tc>
          <w:tcPr>
            <w:tcW w:w="1559" w:type="dxa"/>
            <w:noWrap/>
            <w:hideMark/>
          </w:tcPr>
          <w:p w14:paraId="567BDA4C"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 (13.2%)</w:t>
            </w:r>
          </w:p>
        </w:tc>
        <w:tc>
          <w:tcPr>
            <w:tcW w:w="1696" w:type="dxa"/>
            <w:noWrap/>
            <w:hideMark/>
          </w:tcPr>
          <w:p w14:paraId="68728926"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6 (24.0%)</w:t>
            </w:r>
          </w:p>
        </w:tc>
        <w:tc>
          <w:tcPr>
            <w:tcW w:w="1422" w:type="dxa"/>
            <w:noWrap/>
            <w:hideMark/>
          </w:tcPr>
          <w:p w14:paraId="0D04541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11 (17.5%)</w:t>
            </w:r>
          </w:p>
        </w:tc>
      </w:tr>
      <w:tr w:rsidR="009D5BF3" w:rsidRPr="009D5BF3" w14:paraId="066BEFFB"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shd w:val="clear" w:color="auto" w:fill="auto"/>
            <w:noWrap/>
            <w:hideMark/>
          </w:tcPr>
          <w:p w14:paraId="7283B664" w14:textId="77777777" w:rsidR="009D5BF3" w:rsidRPr="009D5BF3" w:rsidRDefault="009D5BF3" w:rsidP="009D5BF3">
            <w:pPr>
              <w:pStyle w:val="Body"/>
              <w:spacing w:after="0"/>
              <w:rPr>
                <w:rFonts w:ascii="Arial" w:hAnsi="Arial" w:cs="Arial"/>
                <w:lang w:val="en-GB"/>
              </w:rPr>
            </w:pPr>
          </w:p>
        </w:tc>
        <w:tc>
          <w:tcPr>
            <w:tcW w:w="2574" w:type="dxa"/>
            <w:shd w:val="clear" w:color="auto" w:fill="auto"/>
            <w:noWrap/>
            <w:hideMark/>
          </w:tcPr>
          <w:p w14:paraId="41F9203A"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Above 11 years</w:t>
            </w:r>
          </w:p>
        </w:tc>
        <w:tc>
          <w:tcPr>
            <w:tcW w:w="1559" w:type="dxa"/>
            <w:shd w:val="clear" w:color="auto" w:fill="auto"/>
            <w:noWrap/>
            <w:hideMark/>
          </w:tcPr>
          <w:p w14:paraId="0D561B54"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13 (34.2%)</w:t>
            </w:r>
          </w:p>
        </w:tc>
        <w:tc>
          <w:tcPr>
            <w:tcW w:w="1696" w:type="dxa"/>
            <w:shd w:val="clear" w:color="auto" w:fill="auto"/>
            <w:noWrap/>
            <w:hideMark/>
          </w:tcPr>
          <w:p w14:paraId="3B631937"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7 (28.0%)</w:t>
            </w:r>
          </w:p>
        </w:tc>
        <w:tc>
          <w:tcPr>
            <w:tcW w:w="1422" w:type="dxa"/>
            <w:shd w:val="clear" w:color="auto" w:fill="auto"/>
            <w:noWrap/>
            <w:hideMark/>
          </w:tcPr>
          <w:p w14:paraId="63CB398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20 (31.7%)</w:t>
            </w:r>
          </w:p>
        </w:tc>
      </w:tr>
    </w:tbl>
    <w:p w14:paraId="75E2192B" w14:textId="77777777" w:rsidR="009D5BF3" w:rsidRPr="009D5BF3" w:rsidRDefault="009D5BF3" w:rsidP="009D5BF3">
      <w:pPr>
        <w:pStyle w:val="Body"/>
        <w:spacing w:after="0"/>
        <w:rPr>
          <w:rFonts w:ascii="Arial" w:hAnsi="Arial" w:cs="Arial"/>
        </w:rPr>
      </w:pPr>
    </w:p>
    <w:p w14:paraId="7DEC6E2B" w14:textId="77777777" w:rsidR="009D5BF3" w:rsidRDefault="009D5BF3" w:rsidP="009D5BF3">
      <w:pPr>
        <w:pStyle w:val="Body"/>
        <w:spacing w:after="0"/>
        <w:rPr>
          <w:rFonts w:ascii="Arial" w:hAnsi="Arial" w:cs="Arial"/>
        </w:rPr>
      </w:pPr>
      <w:bookmarkStart w:id="1" w:name="_Hlk210419157"/>
      <w:r w:rsidRPr="009D5BF3">
        <w:rPr>
          <w:rFonts w:ascii="Arial" w:hAnsi="Arial" w:cs="Arial"/>
        </w:rPr>
        <w:t xml:space="preserve">Gender dynamics show a strong female majority among prescribers, representing 77.8% of the total, with public institutions having an even higher proportion (84.2%) compared to private ones (68.0%). Male prescribers are notably fewer, comprising just 22.2% overall (Table 1). Marital status data indicates that most prescribers are married (57.1%), followed by singles (33.3%) and a smaller proportion who are divorced (9.5%) (table 1). </w:t>
      </w:r>
    </w:p>
    <w:p w14:paraId="718DA415" w14:textId="77777777" w:rsidR="009D5BF3" w:rsidRPr="009D5BF3" w:rsidRDefault="009D5BF3" w:rsidP="009D5BF3">
      <w:pPr>
        <w:pStyle w:val="Body"/>
        <w:spacing w:after="0"/>
        <w:rPr>
          <w:rFonts w:ascii="Arial" w:hAnsi="Arial" w:cs="Arial"/>
        </w:rPr>
      </w:pPr>
    </w:p>
    <w:p w14:paraId="724B6905" w14:textId="77777777" w:rsidR="009D5BF3" w:rsidRDefault="009D5BF3" w:rsidP="009D5BF3">
      <w:pPr>
        <w:pStyle w:val="Body"/>
        <w:spacing w:after="0"/>
        <w:rPr>
          <w:rFonts w:ascii="Arial" w:hAnsi="Arial" w:cs="Arial"/>
        </w:rPr>
      </w:pPr>
      <w:r w:rsidRPr="009D5BF3">
        <w:rPr>
          <w:rFonts w:ascii="Arial" w:hAnsi="Arial" w:cs="Arial"/>
        </w:rPr>
        <w:t xml:space="preserve">In terms of professional training, nurses constitute the largest group (47.6%), followed by general practitioners (28.6%), midwives (11.1%), and pediatricians (12.7%) (Table 1). Regarding work experience, a significant portion of prescribers (31.7%) have over 11 years of experience, indicating a mature workforce. However, nearly half (50.8%) have less than six years of experience, suggesting ongoing generational renewal and potential training needs (Table 1). </w:t>
      </w:r>
    </w:p>
    <w:p w14:paraId="689171F6" w14:textId="77777777" w:rsidR="009D5BF3" w:rsidRPr="009D5BF3" w:rsidRDefault="009D5BF3" w:rsidP="009D5BF3">
      <w:pPr>
        <w:pStyle w:val="Body"/>
        <w:spacing w:after="0"/>
        <w:rPr>
          <w:rFonts w:ascii="Arial" w:hAnsi="Arial" w:cs="Arial"/>
        </w:rPr>
      </w:pPr>
    </w:p>
    <w:bookmarkEnd w:id="1"/>
    <w:p w14:paraId="5208D954" w14:textId="3EC7D609" w:rsidR="009D5BF3" w:rsidRPr="009D5BF3" w:rsidRDefault="009D5BF3" w:rsidP="009D5BF3">
      <w:pPr>
        <w:pStyle w:val="Body"/>
        <w:spacing w:after="0"/>
        <w:rPr>
          <w:rFonts w:ascii="Arial" w:hAnsi="Arial" w:cs="Arial"/>
          <w:b/>
          <w:bCs/>
          <w:sz w:val="22"/>
          <w:szCs w:val="22"/>
        </w:rPr>
      </w:pPr>
      <w:r w:rsidRPr="009D5BF3">
        <w:rPr>
          <w:rFonts w:ascii="Arial" w:hAnsi="Arial" w:cs="Arial"/>
          <w:b/>
          <w:bCs/>
          <w:sz w:val="22"/>
          <w:szCs w:val="22"/>
        </w:rPr>
        <w:t>3.2 Continuous education of healthcare providers on standard malaria case management</w:t>
      </w:r>
    </w:p>
    <w:p w14:paraId="6244AA5E" w14:textId="77777777" w:rsidR="009D5BF3" w:rsidRPr="009D5BF3" w:rsidRDefault="009D5BF3" w:rsidP="009D5BF3">
      <w:pPr>
        <w:pStyle w:val="Body"/>
        <w:spacing w:after="0"/>
        <w:rPr>
          <w:rFonts w:ascii="Arial" w:hAnsi="Arial" w:cs="Arial"/>
          <w:b/>
          <w:bCs/>
        </w:rPr>
      </w:pPr>
    </w:p>
    <w:p w14:paraId="388656BD" w14:textId="77777777" w:rsidR="009D5BF3" w:rsidRPr="009D5BF3" w:rsidRDefault="009D5BF3" w:rsidP="009D5BF3">
      <w:pPr>
        <w:pStyle w:val="Body"/>
        <w:spacing w:after="0"/>
        <w:rPr>
          <w:rFonts w:ascii="Arial" w:hAnsi="Arial" w:cs="Arial"/>
        </w:rPr>
      </w:pPr>
      <w:bookmarkStart w:id="2" w:name="_Hlk210419169"/>
      <w:r w:rsidRPr="009D5BF3">
        <w:rPr>
          <w:rFonts w:ascii="Arial" w:hAnsi="Arial" w:cs="Arial"/>
        </w:rPr>
        <w:t xml:space="preserve">The findings on continuous training for malaria management among prescribers in the Buea Health District reveal a critical gap in targeted education for simple malaria cases (Table 2). While all prescribers (100%) across both public and private sectors report knowing the general algorithm for malaria management, none indicated specific knowledge focused solely on simple malaria (Table 2). Only 38.1% of prescribers (36.8% public, 40.0% private) reported familiarity with both uncomplicated and severe malaria protocols (Table 2). </w:t>
      </w:r>
    </w:p>
    <w:bookmarkEnd w:id="2"/>
    <w:p w14:paraId="5484A32B" w14:textId="77777777" w:rsidR="00952E64" w:rsidRDefault="00952E64" w:rsidP="00441B6F">
      <w:pPr>
        <w:pStyle w:val="Body"/>
        <w:spacing w:after="0"/>
        <w:rPr>
          <w:rFonts w:ascii="Arial" w:hAnsi="Arial" w:cs="Arial"/>
        </w:rPr>
      </w:pPr>
    </w:p>
    <w:p w14:paraId="7E3CC735" w14:textId="36DDE12B" w:rsidR="009D5BF3" w:rsidRPr="009D5BF3" w:rsidRDefault="009D5BF3" w:rsidP="009D5BF3">
      <w:pPr>
        <w:pStyle w:val="Body"/>
        <w:spacing w:after="120"/>
        <w:rPr>
          <w:rFonts w:ascii="Arial" w:hAnsi="Arial" w:cs="Arial"/>
          <w:b/>
          <w:bCs/>
        </w:rPr>
      </w:pPr>
      <w:r w:rsidRPr="009D5BF3">
        <w:rPr>
          <w:rFonts w:ascii="Arial" w:hAnsi="Arial" w:cs="Arial"/>
          <w:b/>
          <w:bCs/>
        </w:rPr>
        <w:t>Table 2. Continu</w:t>
      </w:r>
      <w:r w:rsidR="002E4A12">
        <w:rPr>
          <w:rFonts w:ascii="Arial" w:hAnsi="Arial" w:cs="Arial"/>
          <w:b/>
          <w:bCs/>
        </w:rPr>
        <w:t>ou</w:t>
      </w:r>
      <w:r w:rsidRPr="009D5BF3">
        <w:rPr>
          <w:rFonts w:ascii="Arial" w:hAnsi="Arial" w:cs="Arial"/>
          <w:b/>
          <w:bCs/>
        </w:rPr>
        <w:t>s training of prescribers for malaria management</w:t>
      </w:r>
    </w:p>
    <w:tbl>
      <w:tblPr>
        <w:tblStyle w:val="ListTable6Colorful"/>
        <w:tblW w:w="0" w:type="auto"/>
        <w:tblLook w:val="04A0" w:firstRow="1" w:lastRow="0" w:firstColumn="1" w:lastColumn="0" w:noHBand="0" w:noVBand="1"/>
      </w:tblPr>
      <w:tblGrid>
        <w:gridCol w:w="1627"/>
        <w:gridCol w:w="2090"/>
        <w:gridCol w:w="1688"/>
        <w:gridCol w:w="1565"/>
        <w:gridCol w:w="1238"/>
      </w:tblGrid>
      <w:tr w:rsidR="009D5BF3" w:rsidRPr="009D5BF3" w14:paraId="1F38DD64" w14:textId="77777777" w:rsidTr="009D5BF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noWrap/>
            <w:hideMark/>
          </w:tcPr>
          <w:p w14:paraId="7CB33782"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Variables</w:t>
            </w:r>
          </w:p>
        </w:tc>
        <w:tc>
          <w:tcPr>
            <w:tcW w:w="2305" w:type="dxa"/>
            <w:noWrap/>
            <w:hideMark/>
          </w:tcPr>
          <w:p w14:paraId="02656ECA"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Category</w:t>
            </w:r>
          </w:p>
        </w:tc>
        <w:tc>
          <w:tcPr>
            <w:tcW w:w="1857" w:type="dxa"/>
            <w:noWrap/>
            <w:hideMark/>
          </w:tcPr>
          <w:p w14:paraId="0857F8E7"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Public Health N=38 (60.3%)</w:t>
            </w:r>
          </w:p>
        </w:tc>
        <w:tc>
          <w:tcPr>
            <w:tcW w:w="1720" w:type="dxa"/>
            <w:noWrap/>
            <w:hideMark/>
          </w:tcPr>
          <w:p w14:paraId="31F46E44"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Private Health N=25 (39.7%)</w:t>
            </w:r>
          </w:p>
        </w:tc>
        <w:tc>
          <w:tcPr>
            <w:tcW w:w="1355" w:type="dxa"/>
            <w:noWrap/>
            <w:hideMark/>
          </w:tcPr>
          <w:p w14:paraId="093707F4"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Total N=63</w:t>
            </w:r>
          </w:p>
        </w:tc>
      </w:tr>
      <w:tr w:rsidR="009D5BF3" w:rsidRPr="009D5BF3" w14:paraId="38887780"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vMerge w:val="restart"/>
            <w:shd w:val="clear" w:color="auto" w:fill="auto"/>
            <w:noWrap/>
            <w:hideMark/>
          </w:tcPr>
          <w:p w14:paraId="63921AEF" w14:textId="77777777" w:rsidR="009D5BF3" w:rsidRPr="009D5BF3" w:rsidRDefault="009D5BF3" w:rsidP="002E4A12">
            <w:pPr>
              <w:pStyle w:val="Body"/>
              <w:spacing w:after="0"/>
              <w:jc w:val="left"/>
              <w:rPr>
                <w:rFonts w:ascii="Arial" w:hAnsi="Arial" w:cs="Arial"/>
                <w:b w:val="0"/>
                <w:bCs w:val="0"/>
                <w:lang w:val="en-GB"/>
              </w:rPr>
            </w:pPr>
            <w:r w:rsidRPr="009D5BF3">
              <w:rPr>
                <w:rFonts w:ascii="Arial" w:hAnsi="Arial" w:cs="Arial"/>
                <w:b w:val="0"/>
                <w:bCs w:val="0"/>
                <w:lang w:val="en-GB"/>
              </w:rPr>
              <w:t>Know Algorithm for Malaria Management</w:t>
            </w:r>
          </w:p>
        </w:tc>
        <w:tc>
          <w:tcPr>
            <w:tcW w:w="2305" w:type="dxa"/>
            <w:shd w:val="clear" w:color="auto" w:fill="auto"/>
            <w:noWrap/>
            <w:hideMark/>
          </w:tcPr>
          <w:p w14:paraId="77201D9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Overall</w:t>
            </w:r>
          </w:p>
        </w:tc>
        <w:tc>
          <w:tcPr>
            <w:tcW w:w="1857" w:type="dxa"/>
            <w:shd w:val="clear" w:color="auto" w:fill="auto"/>
            <w:noWrap/>
            <w:hideMark/>
          </w:tcPr>
          <w:p w14:paraId="261C65C7"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38 (100.0%)</w:t>
            </w:r>
          </w:p>
        </w:tc>
        <w:tc>
          <w:tcPr>
            <w:tcW w:w="1720" w:type="dxa"/>
            <w:shd w:val="clear" w:color="auto" w:fill="auto"/>
            <w:noWrap/>
            <w:hideMark/>
          </w:tcPr>
          <w:p w14:paraId="2A794C0D"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25 (100.0%)</w:t>
            </w:r>
          </w:p>
        </w:tc>
        <w:tc>
          <w:tcPr>
            <w:tcW w:w="1355" w:type="dxa"/>
            <w:shd w:val="clear" w:color="auto" w:fill="auto"/>
            <w:noWrap/>
            <w:hideMark/>
          </w:tcPr>
          <w:p w14:paraId="0A67508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63(100.0%)</w:t>
            </w:r>
          </w:p>
        </w:tc>
      </w:tr>
      <w:tr w:rsidR="009D5BF3" w:rsidRPr="009D5BF3" w14:paraId="57085CE7"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789" w:type="dxa"/>
            <w:vMerge/>
            <w:noWrap/>
            <w:hideMark/>
          </w:tcPr>
          <w:p w14:paraId="665D2F08" w14:textId="77777777" w:rsidR="009D5BF3" w:rsidRPr="009D5BF3" w:rsidRDefault="009D5BF3" w:rsidP="002E4A12">
            <w:pPr>
              <w:pStyle w:val="Body"/>
              <w:spacing w:after="0"/>
              <w:jc w:val="left"/>
              <w:rPr>
                <w:rFonts w:ascii="Arial" w:hAnsi="Arial" w:cs="Arial"/>
                <w:b w:val="0"/>
                <w:bCs w:val="0"/>
                <w:lang w:val="en-GB"/>
              </w:rPr>
            </w:pPr>
          </w:p>
        </w:tc>
        <w:tc>
          <w:tcPr>
            <w:tcW w:w="2305" w:type="dxa"/>
            <w:noWrap/>
            <w:hideMark/>
          </w:tcPr>
          <w:p w14:paraId="1FE23554"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Simple Malaria</w:t>
            </w:r>
          </w:p>
        </w:tc>
        <w:tc>
          <w:tcPr>
            <w:tcW w:w="1857" w:type="dxa"/>
            <w:noWrap/>
            <w:hideMark/>
          </w:tcPr>
          <w:p w14:paraId="44248ED0"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w:t>
            </w:r>
          </w:p>
        </w:tc>
        <w:tc>
          <w:tcPr>
            <w:tcW w:w="1720" w:type="dxa"/>
            <w:noWrap/>
            <w:hideMark/>
          </w:tcPr>
          <w:p w14:paraId="49879D59"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w:t>
            </w:r>
          </w:p>
        </w:tc>
        <w:tc>
          <w:tcPr>
            <w:tcW w:w="1355" w:type="dxa"/>
            <w:noWrap/>
            <w:hideMark/>
          </w:tcPr>
          <w:p w14:paraId="72AC4CB9"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w:t>
            </w:r>
          </w:p>
        </w:tc>
      </w:tr>
      <w:tr w:rsidR="009D5BF3" w:rsidRPr="009D5BF3" w14:paraId="5FAFA241"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vMerge/>
            <w:tcBorders>
              <w:bottom w:val="single" w:sz="4" w:space="0" w:color="auto"/>
            </w:tcBorders>
            <w:shd w:val="clear" w:color="auto" w:fill="auto"/>
            <w:noWrap/>
            <w:hideMark/>
          </w:tcPr>
          <w:p w14:paraId="76E0E1F5" w14:textId="77777777" w:rsidR="009D5BF3" w:rsidRPr="009D5BF3" w:rsidRDefault="009D5BF3" w:rsidP="002E4A12">
            <w:pPr>
              <w:pStyle w:val="Body"/>
              <w:spacing w:after="0"/>
              <w:jc w:val="left"/>
              <w:rPr>
                <w:rFonts w:ascii="Arial" w:hAnsi="Arial" w:cs="Arial"/>
                <w:b w:val="0"/>
                <w:bCs w:val="0"/>
                <w:lang w:val="en-GB"/>
              </w:rPr>
            </w:pPr>
          </w:p>
        </w:tc>
        <w:tc>
          <w:tcPr>
            <w:tcW w:w="2305" w:type="dxa"/>
            <w:tcBorders>
              <w:bottom w:val="single" w:sz="4" w:space="0" w:color="auto"/>
            </w:tcBorders>
            <w:shd w:val="clear" w:color="auto" w:fill="auto"/>
            <w:noWrap/>
            <w:hideMark/>
          </w:tcPr>
          <w:p w14:paraId="2C495E41"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Both</w:t>
            </w:r>
          </w:p>
        </w:tc>
        <w:tc>
          <w:tcPr>
            <w:tcW w:w="1857" w:type="dxa"/>
            <w:tcBorders>
              <w:bottom w:val="single" w:sz="4" w:space="0" w:color="auto"/>
            </w:tcBorders>
            <w:shd w:val="clear" w:color="auto" w:fill="auto"/>
            <w:noWrap/>
            <w:hideMark/>
          </w:tcPr>
          <w:p w14:paraId="15B1ACF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14 (36.8%)</w:t>
            </w:r>
          </w:p>
        </w:tc>
        <w:tc>
          <w:tcPr>
            <w:tcW w:w="1720" w:type="dxa"/>
            <w:tcBorders>
              <w:bottom w:val="single" w:sz="4" w:space="0" w:color="auto"/>
            </w:tcBorders>
            <w:shd w:val="clear" w:color="auto" w:fill="auto"/>
            <w:noWrap/>
            <w:hideMark/>
          </w:tcPr>
          <w:p w14:paraId="5C45794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10 (40.0%)</w:t>
            </w:r>
          </w:p>
        </w:tc>
        <w:tc>
          <w:tcPr>
            <w:tcW w:w="1355" w:type="dxa"/>
            <w:tcBorders>
              <w:bottom w:val="single" w:sz="4" w:space="0" w:color="auto"/>
            </w:tcBorders>
            <w:shd w:val="clear" w:color="auto" w:fill="auto"/>
            <w:noWrap/>
            <w:hideMark/>
          </w:tcPr>
          <w:p w14:paraId="7049F101"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24 (38.1%)</w:t>
            </w:r>
          </w:p>
        </w:tc>
      </w:tr>
      <w:tr w:rsidR="009D5BF3" w:rsidRPr="009D5BF3" w14:paraId="015C0807"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789" w:type="dxa"/>
            <w:vMerge w:val="restart"/>
            <w:tcBorders>
              <w:top w:val="single" w:sz="4" w:space="0" w:color="auto"/>
            </w:tcBorders>
            <w:noWrap/>
            <w:hideMark/>
          </w:tcPr>
          <w:p w14:paraId="6FF09138" w14:textId="77777777" w:rsidR="009D5BF3" w:rsidRPr="009D5BF3" w:rsidRDefault="009D5BF3" w:rsidP="002E4A12">
            <w:pPr>
              <w:pStyle w:val="Body"/>
              <w:spacing w:after="0"/>
              <w:jc w:val="left"/>
              <w:rPr>
                <w:rFonts w:ascii="Arial" w:hAnsi="Arial" w:cs="Arial"/>
                <w:b w:val="0"/>
                <w:bCs w:val="0"/>
                <w:lang w:val="en-GB"/>
              </w:rPr>
            </w:pPr>
            <w:r w:rsidRPr="009D5BF3">
              <w:rPr>
                <w:rFonts w:ascii="Arial" w:hAnsi="Arial" w:cs="Arial"/>
                <w:b w:val="0"/>
                <w:bCs w:val="0"/>
                <w:lang w:val="en-GB"/>
              </w:rPr>
              <w:t>Training for Malaria Management</w:t>
            </w:r>
          </w:p>
        </w:tc>
        <w:tc>
          <w:tcPr>
            <w:tcW w:w="2305" w:type="dxa"/>
            <w:tcBorders>
              <w:top w:val="single" w:sz="4" w:space="0" w:color="auto"/>
            </w:tcBorders>
            <w:noWrap/>
            <w:hideMark/>
          </w:tcPr>
          <w:p w14:paraId="7B0009FA"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Overall</w:t>
            </w:r>
          </w:p>
        </w:tc>
        <w:tc>
          <w:tcPr>
            <w:tcW w:w="1857" w:type="dxa"/>
            <w:tcBorders>
              <w:top w:val="single" w:sz="4" w:space="0" w:color="auto"/>
            </w:tcBorders>
            <w:noWrap/>
            <w:hideMark/>
          </w:tcPr>
          <w:p w14:paraId="4B8BA6BE"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19 (50.0%)</w:t>
            </w:r>
          </w:p>
        </w:tc>
        <w:tc>
          <w:tcPr>
            <w:tcW w:w="1720" w:type="dxa"/>
            <w:tcBorders>
              <w:top w:val="single" w:sz="4" w:space="0" w:color="auto"/>
            </w:tcBorders>
            <w:noWrap/>
            <w:hideMark/>
          </w:tcPr>
          <w:p w14:paraId="4788A8A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19 (76.0%)</w:t>
            </w:r>
          </w:p>
        </w:tc>
        <w:tc>
          <w:tcPr>
            <w:tcW w:w="1355" w:type="dxa"/>
            <w:tcBorders>
              <w:top w:val="single" w:sz="4" w:space="0" w:color="auto"/>
            </w:tcBorders>
            <w:noWrap/>
            <w:hideMark/>
          </w:tcPr>
          <w:p w14:paraId="60BB028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38 (60.3%)</w:t>
            </w:r>
          </w:p>
        </w:tc>
      </w:tr>
      <w:tr w:rsidR="009D5BF3" w:rsidRPr="009D5BF3" w14:paraId="2F271B4D"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vMerge/>
            <w:shd w:val="clear" w:color="auto" w:fill="auto"/>
            <w:noWrap/>
            <w:hideMark/>
          </w:tcPr>
          <w:p w14:paraId="42AC9D01" w14:textId="77777777" w:rsidR="009D5BF3" w:rsidRPr="009D5BF3" w:rsidRDefault="009D5BF3" w:rsidP="002E4A12">
            <w:pPr>
              <w:pStyle w:val="Body"/>
              <w:spacing w:after="0"/>
              <w:jc w:val="left"/>
              <w:rPr>
                <w:rFonts w:ascii="Arial" w:hAnsi="Arial" w:cs="Arial"/>
                <w:lang w:val="en-GB"/>
              </w:rPr>
            </w:pPr>
          </w:p>
        </w:tc>
        <w:tc>
          <w:tcPr>
            <w:tcW w:w="2305" w:type="dxa"/>
            <w:shd w:val="clear" w:color="auto" w:fill="auto"/>
            <w:noWrap/>
            <w:hideMark/>
          </w:tcPr>
          <w:p w14:paraId="73100C7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Simple</w:t>
            </w:r>
          </w:p>
        </w:tc>
        <w:tc>
          <w:tcPr>
            <w:tcW w:w="1857" w:type="dxa"/>
            <w:shd w:val="clear" w:color="auto" w:fill="auto"/>
            <w:noWrap/>
            <w:hideMark/>
          </w:tcPr>
          <w:p w14:paraId="49BC6756"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w:t>
            </w:r>
          </w:p>
        </w:tc>
        <w:tc>
          <w:tcPr>
            <w:tcW w:w="1720" w:type="dxa"/>
            <w:shd w:val="clear" w:color="auto" w:fill="auto"/>
            <w:noWrap/>
            <w:hideMark/>
          </w:tcPr>
          <w:p w14:paraId="5BD52A2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w:t>
            </w:r>
          </w:p>
        </w:tc>
        <w:tc>
          <w:tcPr>
            <w:tcW w:w="1355" w:type="dxa"/>
            <w:shd w:val="clear" w:color="auto" w:fill="auto"/>
            <w:noWrap/>
            <w:hideMark/>
          </w:tcPr>
          <w:p w14:paraId="1BBFFBA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w:t>
            </w:r>
          </w:p>
        </w:tc>
      </w:tr>
      <w:tr w:rsidR="009D5BF3" w:rsidRPr="009D5BF3" w14:paraId="2D60D3F9"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789" w:type="dxa"/>
            <w:vMerge/>
            <w:tcBorders>
              <w:bottom w:val="single" w:sz="4" w:space="0" w:color="auto"/>
            </w:tcBorders>
            <w:noWrap/>
            <w:hideMark/>
          </w:tcPr>
          <w:p w14:paraId="0A4F31B1" w14:textId="77777777" w:rsidR="009D5BF3" w:rsidRPr="009D5BF3" w:rsidRDefault="009D5BF3" w:rsidP="002E4A12">
            <w:pPr>
              <w:pStyle w:val="Body"/>
              <w:spacing w:after="0"/>
              <w:jc w:val="left"/>
              <w:rPr>
                <w:rFonts w:ascii="Arial" w:hAnsi="Arial" w:cs="Arial"/>
                <w:lang w:val="en-GB"/>
              </w:rPr>
            </w:pPr>
          </w:p>
        </w:tc>
        <w:tc>
          <w:tcPr>
            <w:tcW w:w="2305" w:type="dxa"/>
            <w:tcBorders>
              <w:bottom w:val="single" w:sz="4" w:space="0" w:color="auto"/>
            </w:tcBorders>
            <w:noWrap/>
            <w:hideMark/>
          </w:tcPr>
          <w:p w14:paraId="1B32092D"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Both</w:t>
            </w:r>
          </w:p>
        </w:tc>
        <w:tc>
          <w:tcPr>
            <w:tcW w:w="1857" w:type="dxa"/>
            <w:tcBorders>
              <w:bottom w:val="single" w:sz="4" w:space="0" w:color="auto"/>
            </w:tcBorders>
            <w:noWrap/>
            <w:hideMark/>
          </w:tcPr>
          <w:p w14:paraId="6996CDD3"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9 (23.7%)</w:t>
            </w:r>
          </w:p>
        </w:tc>
        <w:tc>
          <w:tcPr>
            <w:tcW w:w="1720" w:type="dxa"/>
            <w:tcBorders>
              <w:bottom w:val="single" w:sz="4" w:space="0" w:color="auto"/>
            </w:tcBorders>
            <w:noWrap/>
            <w:hideMark/>
          </w:tcPr>
          <w:p w14:paraId="5963069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12 (48.0%)</w:t>
            </w:r>
          </w:p>
        </w:tc>
        <w:tc>
          <w:tcPr>
            <w:tcW w:w="1355" w:type="dxa"/>
            <w:tcBorders>
              <w:bottom w:val="single" w:sz="4" w:space="0" w:color="auto"/>
            </w:tcBorders>
            <w:noWrap/>
            <w:hideMark/>
          </w:tcPr>
          <w:p w14:paraId="4701DBFA"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21 (33.3%)</w:t>
            </w:r>
          </w:p>
        </w:tc>
      </w:tr>
      <w:tr w:rsidR="009D5BF3" w:rsidRPr="009D5BF3" w14:paraId="29C774D7"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vMerge w:val="restart"/>
            <w:tcBorders>
              <w:top w:val="single" w:sz="4" w:space="0" w:color="auto"/>
            </w:tcBorders>
            <w:shd w:val="clear" w:color="auto" w:fill="auto"/>
            <w:noWrap/>
            <w:hideMark/>
          </w:tcPr>
          <w:p w14:paraId="76B0BC3D" w14:textId="77777777" w:rsidR="009D5BF3" w:rsidRPr="009D5BF3" w:rsidRDefault="009D5BF3" w:rsidP="002E4A12">
            <w:pPr>
              <w:pStyle w:val="Body"/>
              <w:spacing w:after="0"/>
              <w:jc w:val="left"/>
              <w:rPr>
                <w:rFonts w:ascii="Arial" w:hAnsi="Arial" w:cs="Arial"/>
                <w:lang w:val="en-GB"/>
              </w:rPr>
            </w:pPr>
          </w:p>
          <w:p w14:paraId="7532669E" w14:textId="77777777" w:rsidR="009D5BF3" w:rsidRPr="009D5BF3" w:rsidRDefault="009D5BF3" w:rsidP="002E4A12">
            <w:pPr>
              <w:pStyle w:val="Body"/>
              <w:spacing w:after="0"/>
              <w:jc w:val="left"/>
              <w:rPr>
                <w:rFonts w:ascii="Arial" w:hAnsi="Arial" w:cs="Arial"/>
                <w:b w:val="0"/>
                <w:bCs w:val="0"/>
                <w:lang w:val="en-GB"/>
              </w:rPr>
            </w:pPr>
            <w:r w:rsidRPr="009D5BF3">
              <w:rPr>
                <w:rFonts w:ascii="Arial" w:hAnsi="Arial" w:cs="Arial"/>
                <w:b w:val="0"/>
                <w:bCs w:val="0"/>
                <w:lang w:val="en-GB"/>
              </w:rPr>
              <w:lastRenderedPageBreak/>
              <w:t>Training Received for Malaria Management</w:t>
            </w:r>
          </w:p>
        </w:tc>
        <w:tc>
          <w:tcPr>
            <w:tcW w:w="2305" w:type="dxa"/>
            <w:tcBorders>
              <w:top w:val="single" w:sz="4" w:space="0" w:color="auto"/>
            </w:tcBorders>
            <w:shd w:val="clear" w:color="auto" w:fill="auto"/>
            <w:noWrap/>
            <w:hideMark/>
          </w:tcPr>
          <w:p w14:paraId="2997C259" w14:textId="77777777" w:rsidR="009D5BF3" w:rsidRPr="009D5BF3" w:rsidRDefault="009D5BF3" w:rsidP="002E4A12">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lastRenderedPageBreak/>
              <w:t>Overall</w:t>
            </w:r>
          </w:p>
        </w:tc>
        <w:tc>
          <w:tcPr>
            <w:tcW w:w="1857" w:type="dxa"/>
            <w:tcBorders>
              <w:top w:val="single" w:sz="4" w:space="0" w:color="auto"/>
            </w:tcBorders>
            <w:shd w:val="clear" w:color="auto" w:fill="auto"/>
            <w:noWrap/>
            <w:hideMark/>
          </w:tcPr>
          <w:p w14:paraId="3E07890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13 (36.8%)</w:t>
            </w:r>
          </w:p>
        </w:tc>
        <w:tc>
          <w:tcPr>
            <w:tcW w:w="1720" w:type="dxa"/>
            <w:tcBorders>
              <w:top w:val="single" w:sz="4" w:space="0" w:color="auto"/>
            </w:tcBorders>
            <w:shd w:val="clear" w:color="auto" w:fill="auto"/>
            <w:noWrap/>
            <w:hideMark/>
          </w:tcPr>
          <w:p w14:paraId="4221A4D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20 (80.0%)</w:t>
            </w:r>
          </w:p>
        </w:tc>
        <w:tc>
          <w:tcPr>
            <w:tcW w:w="1355" w:type="dxa"/>
            <w:tcBorders>
              <w:top w:val="single" w:sz="4" w:space="0" w:color="auto"/>
            </w:tcBorders>
            <w:shd w:val="clear" w:color="auto" w:fill="auto"/>
            <w:noWrap/>
            <w:hideMark/>
          </w:tcPr>
          <w:p w14:paraId="1FBCD1C0"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58 (92.1%)</w:t>
            </w:r>
          </w:p>
        </w:tc>
      </w:tr>
      <w:tr w:rsidR="009D5BF3" w:rsidRPr="009D5BF3" w14:paraId="585141C5"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789" w:type="dxa"/>
            <w:vMerge/>
            <w:noWrap/>
            <w:hideMark/>
          </w:tcPr>
          <w:p w14:paraId="63DA1786" w14:textId="77777777" w:rsidR="009D5BF3" w:rsidRPr="009D5BF3" w:rsidRDefault="009D5BF3" w:rsidP="009D5BF3">
            <w:pPr>
              <w:pStyle w:val="Body"/>
              <w:spacing w:after="0"/>
              <w:rPr>
                <w:rFonts w:ascii="Arial" w:hAnsi="Arial" w:cs="Arial"/>
                <w:lang w:val="en-GB"/>
              </w:rPr>
            </w:pPr>
          </w:p>
        </w:tc>
        <w:tc>
          <w:tcPr>
            <w:tcW w:w="2305" w:type="dxa"/>
            <w:noWrap/>
            <w:hideMark/>
          </w:tcPr>
          <w:p w14:paraId="40C54B18" w14:textId="77777777" w:rsidR="009D5BF3" w:rsidRPr="009D5BF3" w:rsidRDefault="009D5BF3" w:rsidP="002E4A12">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Training Structure</w:t>
            </w:r>
          </w:p>
        </w:tc>
        <w:tc>
          <w:tcPr>
            <w:tcW w:w="1857" w:type="dxa"/>
            <w:noWrap/>
            <w:hideMark/>
          </w:tcPr>
          <w:p w14:paraId="6BDEA245"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11 (28.9%)</w:t>
            </w:r>
          </w:p>
        </w:tc>
        <w:tc>
          <w:tcPr>
            <w:tcW w:w="1720" w:type="dxa"/>
            <w:noWrap/>
            <w:hideMark/>
          </w:tcPr>
          <w:p w14:paraId="5704270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(32.0%)</w:t>
            </w:r>
          </w:p>
        </w:tc>
        <w:tc>
          <w:tcPr>
            <w:tcW w:w="1355" w:type="dxa"/>
            <w:noWrap/>
            <w:hideMark/>
          </w:tcPr>
          <w:p w14:paraId="5559279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19 (30.2%)</w:t>
            </w:r>
          </w:p>
        </w:tc>
      </w:tr>
      <w:tr w:rsidR="009D5BF3" w:rsidRPr="009D5BF3" w14:paraId="39A5585D"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vMerge/>
            <w:shd w:val="clear" w:color="auto" w:fill="auto"/>
            <w:noWrap/>
            <w:hideMark/>
          </w:tcPr>
          <w:p w14:paraId="405501F3" w14:textId="77777777" w:rsidR="009D5BF3" w:rsidRPr="009D5BF3" w:rsidRDefault="009D5BF3" w:rsidP="009D5BF3">
            <w:pPr>
              <w:pStyle w:val="Body"/>
              <w:spacing w:after="0"/>
              <w:rPr>
                <w:rFonts w:ascii="Arial" w:hAnsi="Arial" w:cs="Arial"/>
                <w:lang w:val="en-GB"/>
              </w:rPr>
            </w:pPr>
          </w:p>
        </w:tc>
        <w:tc>
          <w:tcPr>
            <w:tcW w:w="2305" w:type="dxa"/>
            <w:shd w:val="clear" w:color="auto" w:fill="auto"/>
            <w:noWrap/>
            <w:hideMark/>
          </w:tcPr>
          <w:p w14:paraId="1838A9E3" w14:textId="77777777" w:rsidR="009D5BF3" w:rsidRPr="009D5BF3" w:rsidRDefault="009D5BF3" w:rsidP="002E4A12">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Health Structure</w:t>
            </w:r>
          </w:p>
        </w:tc>
        <w:tc>
          <w:tcPr>
            <w:tcW w:w="1857" w:type="dxa"/>
            <w:shd w:val="clear" w:color="auto" w:fill="auto"/>
            <w:noWrap/>
            <w:hideMark/>
          </w:tcPr>
          <w:p w14:paraId="50DA1E70"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 (5.3%)</w:t>
            </w:r>
          </w:p>
        </w:tc>
        <w:tc>
          <w:tcPr>
            <w:tcW w:w="1720" w:type="dxa"/>
            <w:shd w:val="clear" w:color="auto" w:fill="auto"/>
            <w:noWrap/>
            <w:hideMark/>
          </w:tcPr>
          <w:p w14:paraId="5ACE98A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 (12.0%)</w:t>
            </w:r>
          </w:p>
        </w:tc>
        <w:tc>
          <w:tcPr>
            <w:tcW w:w="1355" w:type="dxa"/>
            <w:shd w:val="clear" w:color="auto" w:fill="auto"/>
            <w:noWrap/>
            <w:hideMark/>
          </w:tcPr>
          <w:p w14:paraId="42C278E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 (7.9%)</w:t>
            </w:r>
          </w:p>
        </w:tc>
      </w:tr>
      <w:tr w:rsidR="009D5BF3" w:rsidRPr="009D5BF3" w14:paraId="131487DD"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789" w:type="dxa"/>
            <w:vMerge/>
            <w:noWrap/>
            <w:hideMark/>
          </w:tcPr>
          <w:p w14:paraId="173BB9D6" w14:textId="77777777" w:rsidR="009D5BF3" w:rsidRPr="009D5BF3" w:rsidRDefault="009D5BF3" w:rsidP="009D5BF3">
            <w:pPr>
              <w:pStyle w:val="Body"/>
              <w:spacing w:after="0"/>
              <w:rPr>
                <w:rFonts w:ascii="Arial" w:hAnsi="Arial" w:cs="Arial"/>
                <w:lang w:val="en-GB"/>
              </w:rPr>
            </w:pPr>
          </w:p>
        </w:tc>
        <w:tc>
          <w:tcPr>
            <w:tcW w:w="2305" w:type="dxa"/>
            <w:noWrap/>
            <w:hideMark/>
          </w:tcPr>
          <w:p w14:paraId="6954F63F" w14:textId="77777777" w:rsidR="009D5BF3" w:rsidRPr="009D5BF3" w:rsidRDefault="009D5BF3" w:rsidP="002E4A12">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 xml:space="preserve">Ministry of Public Health </w:t>
            </w:r>
          </w:p>
        </w:tc>
        <w:tc>
          <w:tcPr>
            <w:tcW w:w="1857" w:type="dxa"/>
            <w:noWrap/>
            <w:hideMark/>
          </w:tcPr>
          <w:p w14:paraId="7B77AEDE"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(2.6%)</w:t>
            </w:r>
          </w:p>
        </w:tc>
        <w:tc>
          <w:tcPr>
            <w:tcW w:w="1720" w:type="dxa"/>
            <w:noWrap/>
            <w:hideMark/>
          </w:tcPr>
          <w:p w14:paraId="397C6EA3"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 (8.0%)</w:t>
            </w:r>
          </w:p>
        </w:tc>
        <w:tc>
          <w:tcPr>
            <w:tcW w:w="1355" w:type="dxa"/>
            <w:noWrap/>
            <w:hideMark/>
          </w:tcPr>
          <w:p w14:paraId="75AD43F2"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3 (4.8%)</w:t>
            </w:r>
          </w:p>
        </w:tc>
      </w:tr>
      <w:tr w:rsidR="009D5BF3" w:rsidRPr="009D5BF3" w14:paraId="466C2C4B"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vMerge/>
            <w:shd w:val="clear" w:color="auto" w:fill="auto"/>
            <w:noWrap/>
            <w:hideMark/>
          </w:tcPr>
          <w:p w14:paraId="15ACE0F6" w14:textId="77777777" w:rsidR="009D5BF3" w:rsidRPr="009D5BF3" w:rsidRDefault="009D5BF3" w:rsidP="009D5BF3">
            <w:pPr>
              <w:pStyle w:val="Body"/>
              <w:spacing w:after="0"/>
              <w:rPr>
                <w:rFonts w:ascii="Arial" w:hAnsi="Arial" w:cs="Arial"/>
                <w:lang w:val="en-GB"/>
              </w:rPr>
            </w:pPr>
          </w:p>
        </w:tc>
        <w:tc>
          <w:tcPr>
            <w:tcW w:w="2305" w:type="dxa"/>
            <w:shd w:val="clear" w:color="auto" w:fill="auto"/>
            <w:noWrap/>
            <w:hideMark/>
          </w:tcPr>
          <w:p w14:paraId="243EEF45" w14:textId="77777777" w:rsidR="009D5BF3" w:rsidRPr="009D5BF3" w:rsidRDefault="009D5BF3" w:rsidP="002E4A12">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Lab plus Media</w:t>
            </w:r>
          </w:p>
        </w:tc>
        <w:tc>
          <w:tcPr>
            <w:tcW w:w="1857" w:type="dxa"/>
            <w:shd w:val="clear" w:color="auto" w:fill="auto"/>
            <w:noWrap/>
            <w:hideMark/>
          </w:tcPr>
          <w:p w14:paraId="1D6E02D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 (7.9%)</w:t>
            </w:r>
          </w:p>
        </w:tc>
        <w:tc>
          <w:tcPr>
            <w:tcW w:w="1720" w:type="dxa"/>
            <w:shd w:val="clear" w:color="auto" w:fill="auto"/>
            <w:noWrap/>
            <w:hideMark/>
          </w:tcPr>
          <w:p w14:paraId="20706EC4"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7 (28.0%)</w:t>
            </w:r>
          </w:p>
        </w:tc>
        <w:tc>
          <w:tcPr>
            <w:tcW w:w="1355" w:type="dxa"/>
            <w:shd w:val="clear" w:color="auto" w:fill="auto"/>
            <w:noWrap/>
            <w:hideMark/>
          </w:tcPr>
          <w:p w14:paraId="14561B90"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10 (15.9%)</w:t>
            </w:r>
          </w:p>
        </w:tc>
      </w:tr>
    </w:tbl>
    <w:p w14:paraId="3EEC0FF0" w14:textId="77777777" w:rsidR="009D5BF3" w:rsidRPr="009D5BF3" w:rsidRDefault="009D5BF3" w:rsidP="009D5BF3">
      <w:pPr>
        <w:pStyle w:val="Body"/>
        <w:spacing w:after="0"/>
        <w:rPr>
          <w:rFonts w:ascii="Arial" w:hAnsi="Arial" w:cs="Arial"/>
        </w:rPr>
      </w:pPr>
    </w:p>
    <w:p w14:paraId="012C4A1A" w14:textId="77777777" w:rsidR="009D5BF3" w:rsidRDefault="009D5BF3" w:rsidP="009D5BF3">
      <w:pPr>
        <w:pStyle w:val="Body"/>
        <w:spacing w:after="0"/>
        <w:rPr>
          <w:rFonts w:ascii="Arial" w:hAnsi="Arial" w:cs="Arial"/>
        </w:rPr>
      </w:pPr>
      <w:bookmarkStart w:id="3" w:name="_Hlk210419188"/>
      <w:r w:rsidRPr="009D5BF3">
        <w:rPr>
          <w:rFonts w:ascii="Arial" w:hAnsi="Arial" w:cs="Arial"/>
        </w:rPr>
        <w:t xml:space="preserve">Training coverage shows a disparity between sectors: 76.0% of private sector prescribers reported receiving training compared to just 50.0% in the public sector, yielding an overall training rate of 60.3% (Table 2). However, none of the prescribers had received training focused exclusively on simple malaria. Only 33.3% (23.7% public, 48.0% private) had training covering both forms of malaria (Table 2). The source of training, 92.1% of prescribers reported having received some form of training, with private sector staff again showing higher uptake (80.0% vs. 36.8%) (Table 2). The most common training source was structured programs (30.2%), followed by Lab plus Media (15.9%), health structures (7.9%), and Ministry of Public Health (4.8%) (Table 2). Notably, Lab plus Media played a more prominent role in private sector training (28.0%) than in public (7.9%) (Table 2). </w:t>
      </w:r>
    </w:p>
    <w:p w14:paraId="3FAC71AD" w14:textId="77777777" w:rsidR="009D5BF3" w:rsidRPr="009D5BF3" w:rsidRDefault="009D5BF3" w:rsidP="009D5BF3">
      <w:pPr>
        <w:pStyle w:val="Body"/>
        <w:spacing w:after="0"/>
        <w:rPr>
          <w:rFonts w:ascii="Arial" w:hAnsi="Arial" w:cs="Arial"/>
        </w:rPr>
      </w:pPr>
    </w:p>
    <w:p w14:paraId="1B2367BE" w14:textId="566A0F87" w:rsidR="009D5BF3" w:rsidRPr="009D5BF3" w:rsidRDefault="009D5BF3" w:rsidP="009D5BF3">
      <w:pPr>
        <w:pStyle w:val="Body"/>
        <w:spacing w:after="0"/>
        <w:rPr>
          <w:rFonts w:ascii="Arial" w:hAnsi="Arial" w:cs="Arial"/>
          <w:b/>
          <w:bCs/>
          <w:sz w:val="22"/>
          <w:szCs w:val="22"/>
        </w:rPr>
      </w:pPr>
      <w:r w:rsidRPr="009D5BF3">
        <w:rPr>
          <w:rFonts w:ascii="Arial" w:hAnsi="Arial" w:cs="Arial"/>
          <w:b/>
          <w:bCs/>
          <w:sz w:val="22"/>
          <w:szCs w:val="22"/>
        </w:rPr>
        <w:t>3.3 Knowledge of malaria symptoms and diagnosis</w:t>
      </w:r>
    </w:p>
    <w:p w14:paraId="7D2E65D5" w14:textId="77777777" w:rsidR="009D5BF3" w:rsidRPr="009D5BF3" w:rsidRDefault="009D5BF3" w:rsidP="009D5BF3">
      <w:pPr>
        <w:pStyle w:val="Body"/>
        <w:spacing w:after="0"/>
        <w:rPr>
          <w:rFonts w:ascii="Arial" w:hAnsi="Arial" w:cs="Arial"/>
          <w:b/>
          <w:bCs/>
        </w:rPr>
      </w:pPr>
    </w:p>
    <w:p w14:paraId="384FA284" w14:textId="77777777" w:rsidR="009D5BF3" w:rsidRDefault="009D5BF3" w:rsidP="009D5BF3">
      <w:pPr>
        <w:pStyle w:val="Body"/>
        <w:spacing w:after="0"/>
        <w:rPr>
          <w:rFonts w:ascii="Arial" w:hAnsi="Arial" w:cs="Arial"/>
        </w:rPr>
      </w:pPr>
      <w:r w:rsidRPr="009D5BF3">
        <w:rPr>
          <w:rFonts w:ascii="Arial" w:hAnsi="Arial" w:cs="Arial"/>
        </w:rPr>
        <w:t xml:space="preserve">Figure 1 illustrates a comparative overview of malaria symptoms recognized by prescribers across public and private hospitals in the Buea Health District. Fever is universally acknowledged (93.65%), followed by headache and joint pain (both at 76.19%), though public prescribers consistently report higher recognition rates especially for joint pain (100%) and headache (90%) compared to their private counterparts (Figure 2). Gastrointestinal symptoms such as nausea, vomiting, and diarrhea show moderate awareness, with public prescribers again demonstrating greater recognition. Interestingly, asthenia and anorexia are more frequently cited by public staff, while “Other” symptoms show a sharp contrast: 62.5% recognition in public hospitals versus 39.68% in private (Figure 1). </w:t>
      </w:r>
    </w:p>
    <w:p w14:paraId="096A6AD1" w14:textId="77777777" w:rsidR="003905ED" w:rsidRPr="009D5BF3" w:rsidRDefault="003905ED" w:rsidP="009D5BF3">
      <w:pPr>
        <w:pStyle w:val="Body"/>
        <w:spacing w:after="0"/>
        <w:rPr>
          <w:rFonts w:ascii="Arial" w:hAnsi="Arial" w:cs="Arial"/>
        </w:rPr>
      </w:pPr>
    </w:p>
    <w:bookmarkEnd w:id="3"/>
    <w:p w14:paraId="621A73A9" w14:textId="77777777" w:rsidR="009D5BF3" w:rsidRPr="009D5BF3" w:rsidRDefault="009D5BF3" w:rsidP="009D5BF3">
      <w:pPr>
        <w:pStyle w:val="Body"/>
        <w:spacing w:after="0"/>
        <w:rPr>
          <w:rFonts w:ascii="Arial" w:hAnsi="Arial" w:cs="Arial"/>
        </w:rPr>
      </w:pPr>
      <w:r w:rsidRPr="009D5BF3">
        <w:rPr>
          <w:rFonts w:ascii="Arial" w:hAnsi="Arial" w:cs="Arial"/>
          <w:noProof/>
        </w:rPr>
        <w:lastRenderedPageBreak/>
        <w:drawing>
          <wp:inline distT="0" distB="0" distL="0" distR="0" wp14:anchorId="28444A0A" wp14:editId="5ED91B40">
            <wp:extent cx="4908550" cy="3723728"/>
            <wp:effectExtent l="0" t="0" r="6350" b="0"/>
            <wp:docPr id="759017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2986" cy="3727093"/>
                    </a:xfrm>
                    <a:prstGeom prst="rect">
                      <a:avLst/>
                    </a:prstGeom>
                    <a:noFill/>
                  </pic:spPr>
                </pic:pic>
              </a:graphicData>
            </a:graphic>
          </wp:inline>
        </w:drawing>
      </w:r>
    </w:p>
    <w:p w14:paraId="2BD40A7D" w14:textId="77777777" w:rsidR="009D5BF3" w:rsidRPr="009D5BF3" w:rsidRDefault="009D5BF3" w:rsidP="009D5BF3">
      <w:pPr>
        <w:pStyle w:val="Body"/>
        <w:spacing w:after="0"/>
        <w:rPr>
          <w:rFonts w:ascii="Arial" w:hAnsi="Arial" w:cs="Arial"/>
          <w:b/>
          <w:bCs/>
        </w:rPr>
      </w:pPr>
      <w:r w:rsidRPr="009D5BF3">
        <w:rPr>
          <w:rFonts w:ascii="Arial" w:hAnsi="Arial" w:cs="Arial"/>
          <w:b/>
          <w:bCs/>
        </w:rPr>
        <w:t xml:space="preserve">Figure </w:t>
      </w:r>
      <w:r w:rsidRPr="009D5BF3">
        <w:rPr>
          <w:rFonts w:ascii="Arial" w:hAnsi="Arial" w:cs="Arial"/>
          <w:b/>
          <w:bCs/>
        </w:rPr>
        <w:fldChar w:fldCharType="begin"/>
      </w:r>
      <w:r w:rsidRPr="009D5BF3">
        <w:rPr>
          <w:rFonts w:ascii="Arial" w:hAnsi="Arial" w:cs="Arial"/>
          <w:b/>
          <w:bCs/>
        </w:rPr>
        <w:instrText xml:space="preserve"> SEQ Figure \* ARABIC </w:instrText>
      </w:r>
      <w:r w:rsidRPr="009D5BF3">
        <w:rPr>
          <w:rFonts w:ascii="Arial" w:hAnsi="Arial" w:cs="Arial"/>
          <w:b/>
          <w:bCs/>
        </w:rPr>
        <w:fldChar w:fldCharType="separate"/>
      </w:r>
      <w:r w:rsidRPr="009D5BF3">
        <w:rPr>
          <w:rFonts w:ascii="Arial" w:hAnsi="Arial" w:cs="Arial"/>
          <w:b/>
          <w:bCs/>
        </w:rPr>
        <w:t>2</w:t>
      </w:r>
      <w:r w:rsidRPr="009D5BF3">
        <w:rPr>
          <w:rFonts w:ascii="Arial" w:hAnsi="Arial" w:cs="Arial"/>
        </w:rPr>
        <w:fldChar w:fldCharType="end"/>
      </w:r>
      <w:r w:rsidRPr="009D5BF3">
        <w:rPr>
          <w:rFonts w:ascii="Arial" w:hAnsi="Arial" w:cs="Arial"/>
          <w:b/>
          <w:bCs/>
        </w:rPr>
        <w:t>: Symptoms of malaria known by prescribers</w:t>
      </w:r>
    </w:p>
    <w:p w14:paraId="00A32D10" w14:textId="77777777" w:rsidR="009D5BF3" w:rsidRPr="009D5BF3" w:rsidRDefault="009D5BF3" w:rsidP="009D5BF3">
      <w:pPr>
        <w:pStyle w:val="Body"/>
        <w:spacing w:after="0"/>
        <w:rPr>
          <w:rFonts w:ascii="Arial" w:hAnsi="Arial" w:cs="Arial"/>
          <w:b/>
        </w:rPr>
      </w:pPr>
    </w:p>
    <w:p w14:paraId="0F047583" w14:textId="31B6FC93" w:rsidR="009D5BF3" w:rsidRPr="009D5BF3" w:rsidRDefault="009D5BF3" w:rsidP="009D5BF3">
      <w:pPr>
        <w:pStyle w:val="Body"/>
        <w:spacing w:after="0"/>
        <w:rPr>
          <w:rFonts w:ascii="Arial" w:hAnsi="Arial" w:cs="Arial"/>
          <w:b/>
        </w:rPr>
      </w:pPr>
      <w:r>
        <w:rPr>
          <w:rFonts w:ascii="Arial" w:hAnsi="Arial" w:cs="Arial"/>
          <w:b/>
        </w:rPr>
        <w:t xml:space="preserve">3.4 </w:t>
      </w:r>
      <w:r w:rsidRPr="009D5BF3">
        <w:rPr>
          <w:rFonts w:ascii="Arial" w:hAnsi="Arial" w:cs="Arial"/>
          <w:b/>
        </w:rPr>
        <w:t>Knowledge of Artemisinin base Combination Therapy (ACT)</w:t>
      </w:r>
    </w:p>
    <w:p w14:paraId="391CECFF" w14:textId="31BBBC6F" w:rsidR="009D5BF3" w:rsidRPr="009D5BF3" w:rsidRDefault="009D5BF3" w:rsidP="009D5BF3">
      <w:pPr>
        <w:pStyle w:val="Body"/>
        <w:spacing w:after="0"/>
        <w:rPr>
          <w:rFonts w:ascii="Arial" w:hAnsi="Arial" w:cs="Arial"/>
          <w:b/>
        </w:rPr>
      </w:pPr>
    </w:p>
    <w:p w14:paraId="25BCBFC7" w14:textId="77777777" w:rsidR="009D5BF3" w:rsidRDefault="009D5BF3" w:rsidP="009D5BF3">
      <w:pPr>
        <w:pStyle w:val="Body"/>
        <w:spacing w:after="0"/>
        <w:rPr>
          <w:rFonts w:ascii="Arial" w:hAnsi="Arial" w:cs="Arial"/>
          <w:bCs/>
        </w:rPr>
      </w:pPr>
      <w:bookmarkStart w:id="4" w:name="_Hlk210419218"/>
      <w:r w:rsidRPr="009D5BF3">
        <w:rPr>
          <w:rFonts w:ascii="Arial" w:hAnsi="Arial" w:cs="Arial"/>
          <w:bCs/>
        </w:rPr>
        <w:t xml:space="preserve">Table 3 reveals that all prescribers in the Buea Health District both general practitioners/specialists and nurses/midwives demonstrate universal awareness of Artemisinin-based Combination Therapy (ACT), with 100% reporting knowledge of at least one ACT. However, the depth of this knowledge varies significantly by cadre. While nearly half of all prescribers (49.2%) know two ACTs, only general practitioners and specialists report familiarity with three (35.5%) or more combinations (16.1%), whereas nurses and midwives are limited to one or two ACTs, with 43.8% knowing only one (Table 3). </w:t>
      </w:r>
    </w:p>
    <w:p w14:paraId="7F326DF7" w14:textId="77777777" w:rsidR="009D5BF3" w:rsidRPr="009D5BF3" w:rsidRDefault="009D5BF3" w:rsidP="009D5BF3">
      <w:pPr>
        <w:pStyle w:val="Body"/>
        <w:spacing w:after="0"/>
        <w:rPr>
          <w:rFonts w:ascii="Arial" w:hAnsi="Arial" w:cs="Arial"/>
          <w:bCs/>
        </w:rPr>
      </w:pPr>
    </w:p>
    <w:bookmarkEnd w:id="4"/>
    <w:p w14:paraId="5515FBE0" w14:textId="77777777" w:rsidR="009D5BF3" w:rsidRPr="009D5BF3" w:rsidRDefault="009D5BF3" w:rsidP="009D5BF3">
      <w:pPr>
        <w:pStyle w:val="Body"/>
        <w:spacing w:after="0"/>
        <w:rPr>
          <w:rFonts w:ascii="Arial" w:hAnsi="Arial" w:cs="Arial"/>
          <w:b/>
        </w:rPr>
      </w:pPr>
      <w:r w:rsidRPr="009D5BF3">
        <w:rPr>
          <w:rFonts w:ascii="Arial" w:hAnsi="Arial" w:cs="Arial"/>
          <w:b/>
        </w:rPr>
        <w:t>Table 3. Prescriber’s knowledge on Artemisinin Combination Therapy (ACT)</w:t>
      </w:r>
    </w:p>
    <w:tbl>
      <w:tblPr>
        <w:tblStyle w:val="ListTable6Colorful"/>
        <w:tblW w:w="0" w:type="auto"/>
        <w:tblLook w:val="04A0" w:firstRow="1" w:lastRow="0" w:firstColumn="1" w:lastColumn="0" w:noHBand="0" w:noVBand="1"/>
      </w:tblPr>
      <w:tblGrid>
        <w:gridCol w:w="1508"/>
        <w:gridCol w:w="2097"/>
        <w:gridCol w:w="1803"/>
        <w:gridCol w:w="1548"/>
        <w:gridCol w:w="1252"/>
      </w:tblGrid>
      <w:tr w:rsidR="009D5BF3" w:rsidRPr="009D5BF3" w14:paraId="4C20FAB0" w14:textId="77777777" w:rsidTr="009D5BF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noWrap/>
            <w:hideMark/>
          </w:tcPr>
          <w:p w14:paraId="476C9E43"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Antimalarial</w:t>
            </w:r>
          </w:p>
        </w:tc>
        <w:tc>
          <w:tcPr>
            <w:tcW w:w="2313" w:type="dxa"/>
            <w:noWrap/>
            <w:hideMark/>
          </w:tcPr>
          <w:p w14:paraId="2D003AAC"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Variables</w:t>
            </w:r>
          </w:p>
        </w:tc>
        <w:tc>
          <w:tcPr>
            <w:tcW w:w="1985" w:type="dxa"/>
            <w:noWrap/>
            <w:hideMark/>
          </w:tcPr>
          <w:p w14:paraId="7CD79326"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General practitioners and Specialists N=31(%)</w:t>
            </w:r>
          </w:p>
        </w:tc>
        <w:tc>
          <w:tcPr>
            <w:tcW w:w="1701" w:type="dxa"/>
            <w:noWrap/>
            <w:hideMark/>
          </w:tcPr>
          <w:p w14:paraId="7535219F"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Nurses and Midwives N=32(%)</w:t>
            </w:r>
          </w:p>
        </w:tc>
        <w:tc>
          <w:tcPr>
            <w:tcW w:w="1371" w:type="dxa"/>
            <w:noWrap/>
            <w:hideMark/>
          </w:tcPr>
          <w:p w14:paraId="1257C4AE"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Total n=63(%)</w:t>
            </w:r>
          </w:p>
        </w:tc>
      </w:tr>
      <w:tr w:rsidR="009D5BF3" w:rsidRPr="009D5BF3" w14:paraId="642D634D"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val="restart"/>
            <w:shd w:val="clear" w:color="auto" w:fill="auto"/>
            <w:noWrap/>
            <w:hideMark/>
          </w:tcPr>
          <w:p w14:paraId="283E039C"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Knowledge ACT</w:t>
            </w:r>
          </w:p>
        </w:tc>
        <w:tc>
          <w:tcPr>
            <w:tcW w:w="2313" w:type="dxa"/>
            <w:shd w:val="clear" w:color="auto" w:fill="auto"/>
            <w:noWrap/>
            <w:hideMark/>
          </w:tcPr>
          <w:p w14:paraId="6E1D510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Number ACT known</w:t>
            </w:r>
          </w:p>
        </w:tc>
        <w:tc>
          <w:tcPr>
            <w:tcW w:w="1985" w:type="dxa"/>
            <w:shd w:val="clear" w:color="auto" w:fill="auto"/>
            <w:noWrap/>
            <w:hideMark/>
          </w:tcPr>
          <w:p w14:paraId="75BBA10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31 (100.0)</w:t>
            </w:r>
          </w:p>
        </w:tc>
        <w:tc>
          <w:tcPr>
            <w:tcW w:w="1701" w:type="dxa"/>
            <w:shd w:val="clear" w:color="auto" w:fill="auto"/>
            <w:noWrap/>
            <w:hideMark/>
          </w:tcPr>
          <w:p w14:paraId="3A1DC86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32 (100.0)</w:t>
            </w:r>
          </w:p>
        </w:tc>
        <w:tc>
          <w:tcPr>
            <w:tcW w:w="1371" w:type="dxa"/>
            <w:shd w:val="clear" w:color="auto" w:fill="auto"/>
            <w:noWrap/>
            <w:hideMark/>
          </w:tcPr>
          <w:p w14:paraId="239D4A05"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63 (100.0)</w:t>
            </w:r>
          </w:p>
        </w:tc>
      </w:tr>
      <w:tr w:rsidR="009D5BF3" w:rsidRPr="009D5BF3" w14:paraId="45B26932"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noWrap/>
            <w:hideMark/>
          </w:tcPr>
          <w:p w14:paraId="3C4777BC" w14:textId="77777777" w:rsidR="009D5BF3" w:rsidRPr="009D5BF3" w:rsidRDefault="009D5BF3" w:rsidP="009D5BF3">
            <w:pPr>
              <w:pStyle w:val="Body"/>
              <w:spacing w:after="0"/>
              <w:rPr>
                <w:rFonts w:ascii="Arial" w:hAnsi="Arial" w:cs="Arial"/>
                <w:lang w:val="en-GB"/>
              </w:rPr>
            </w:pPr>
          </w:p>
        </w:tc>
        <w:tc>
          <w:tcPr>
            <w:tcW w:w="2313" w:type="dxa"/>
            <w:noWrap/>
            <w:hideMark/>
          </w:tcPr>
          <w:p w14:paraId="1CC93D5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w:t>
            </w:r>
          </w:p>
        </w:tc>
        <w:tc>
          <w:tcPr>
            <w:tcW w:w="1985" w:type="dxa"/>
            <w:noWrap/>
            <w:hideMark/>
          </w:tcPr>
          <w:p w14:paraId="6F4213F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2 (6.5)</w:t>
            </w:r>
          </w:p>
        </w:tc>
        <w:tc>
          <w:tcPr>
            <w:tcW w:w="1701" w:type="dxa"/>
            <w:noWrap/>
            <w:hideMark/>
          </w:tcPr>
          <w:p w14:paraId="55056FEE"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14 (43.8)</w:t>
            </w:r>
          </w:p>
        </w:tc>
        <w:tc>
          <w:tcPr>
            <w:tcW w:w="1371" w:type="dxa"/>
            <w:noWrap/>
            <w:hideMark/>
          </w:tcPr>
          <w:p w14:paraId="4CA3DF1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16 (25.4)</w:t>
            </w:r>
          </w:p>
        </w:tc>
      </w:tr>
      <w:tr w:rsidR="009D5BF3" w:rsidRPr="009D5BF3" w14:paraId="2CAFD9CD"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shd w:val="clear" w:color="auto" w:fill="auto"/>
            <w:noWrap/>
            <w:hideMark/>
          </w:tcPr>
          <w:p w14:paraId="687A75F5" w14:textId="77777777" w:rsidR="009D5BF3" w:rsidRPr="009D5BF3" w:rsidRDefault="009D5BF3" w:rsidP="009D5BF3">
            <w:pPr>
              <w:pStyle w:val="Body"/>
              <w:spacing w:after="0"/>
              <w:rPr>
                <w:rFonts w:ascii="Arial" w:hAnsi="Arial" w:cs="Arial"/>
                <w:lang w:val="en-GB"/>
              </w:rPr>
            </w:pPr>
          </w:p>
        </w:tc>
        <w:tc>
          <w:tcPr>
            <w:tcW w:w="2313" w:type="dxa"/>
            <w:shd w:val="clear" w:color="auto" w:fill="auto"/>
            <w:noWrap/>
            <w:hideMark/>
          </w:tcPr>
          <w:p w14:paraId="3D0C2D31"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2</w:t>
            </w:r>
          </w:p>
        </w:tc>
        <w:tc>
          <w:tcPr>
            <w:tcW w:w="1985" w:type="dxa"/>
            <w:shd w:val="clear" w:color="auto" w:fill="auto"/>
            <w:noWrap/>
            <w:hideMark/>
          </w:tcPr>
          <w:p w14:paraId="172E8DF1"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13 (41.9)</w:t>
            </w:r>
          </w:p>
        </w:tc>
        <w:tc>
          <w:tcPr>
            <w:tcW w:w="1701" w:type="dxa"/>
            <w:shd w:val="clear" w:color="auto" w:fill="auto"/>
            <w:noWrap/>
            <w:hideMark/>
          </w:tcPr>
          <w:p w14:paraId="7008018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18 (56.3)</w:t>
            </w:r>
          </w:p>
        </w:tc>
        <w:tc>
          <w:tcPr>
            <w:tcW w:w="1371" w:type="dxa"/>
            <w:shd w:val="clear" w:color="auto" w:fill="auto"/>
            <w:noWrap/>
            <w:hideMark/>
          </w:tcPr>
          <w:p w14:paraId="7E30AED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31 (49.2)</w:t>
            </w:r>
          </w:p>
        </w:tc>
      </w:tr>
      <w:tr w:rsidR="009D5BF3" w:rsidRPr="009D5BF3" w14:paraId="03778EBD"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noWrap/>
            <w:hideMark/>
          </w:tcPr>
          <w:p w14:paraId="71435EC4" w14:textId="77777777" w:rsidR="009D5BF3" w:rsidRPr="009D5BF3" w:rsidRDefault="009D5BF3" w:rsidP="009D5BF3">
            <w:pPr>
              <w:pStyle w:val="Body"/>
              <w:spacing w:after="0"/>
              <w:rPr>
                <w:rFonts w:ascii="Arial" w:hAnsi="Arial" w:cs="Arial"/>
                <w:lang w:val="en-GB"/>
              </w:rPr>
            </w:pPr>
          </w:p>
        </w:tc>
        <w:tc>
          <w:tcPr>
            <w:tcW w:w="2313" w:type="dxa"/>
            <w:noWrap/>
            <w:hideMark/>
          </w:tcPr>
          <w:p w14:paraId="4097887A"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3</w:t>
            </w:r>
          </w:p>
        </w:tc>
        <w:tc>
          <w:tcPr>
            <w:tcW w:w="1985" w:type="dxa"/>
            <w:noWrap/>
            <w:hideMark/>
          </w:tcPr>
          <w:p w14:paraId="105B9327"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11 (35.5)</w:t>
            </w:r>
          </w:p>
        </w:tc>
        <w:tc>
          <w:tcPr>
            <w:tcW w:w="1701" w:type="dxa"/>
            <w:noWrap/>
            <w:hideMark/>
          </w:tcPr>
          <w:p w14:paraId="2429090D"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noWrap/>
            <w:hideMark/>
          </w:tcPr>
          <w:p w14:paraId="554CEEF2"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11 (17.5)</w:t>
            </w:r>
          </w:p>
        </w:tc>
      </w:tr>
      <w:tr w:rsidR="009D5BF3" w:rsidRPr="009D5BF3" w14:paraId="71AA65A2"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tcBorders>
              <w:bottom w:val="single" w:sz="4" w:space="0" w:color="auto"/>
            </w:tcBorders>
            <w:shd w:val="clear" w:color="auto" w:fill="auto"/>
            <w:noWrap/>
            <w:hideMark/>
          </w:tcPr>
          <w:p w14:paraId="1CAB8D74" w14:textId="77777777" w:rsidR="009D5BF3" w:rsidRPr="009D5BF3" w:rsidRDefault="009D5BF3" w:rsidP="009D5BF3">
            <w:pPr>
              <w:pStyle w:val="Body"/>
              <w:spacing w:after="0"/>
              <w:rPr>
                <w:rFonts w:ascii="Arial" w:hAnsi="Arial" w:cs="Arial"/>
                <w:lang w:val="en-GB"/>
              </w:rPr>
            </w:pPr>
          </w:p>
        </w:tc>
        <w:tc>
          <w:tcPr>
            <w:tcW w:w="2313" w:type="dxa"/>
            <w:tcBorders>
              <w:bottom w:val="single" w:sz="4" w:space="0" w:color="auto"/>
            </w:tcBorders>
            <w:shd w:val="clear" w:color="auto" w:fill="auto"/>
            <w:noWrap/>
            <w:hideMark/>
          </w:tcPr>
          <w:p w14:paraId="7C5E55BB"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4-5</w:t>
            </w:r>
          </w:p>
        </w:tc>
        <w:tc>
          <w:tcPr>
            <w:tcW w:w="1985" w:type="dxa"/>
            <w:tcBorders>
              <w:bottom w:val="single" w:sz="4" w:space="0" w:color="auto"/>
            </w:tcBorders>
            <w:shd w:val="clear" w:color="auto" w:fill="auto"/>
            <w:noWrap/>
            <w:hideMark/>
          </w:tcPr>
          <w:p w14:paraId="4A0BE8C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5 (16.1)</w:t>
            </w:r>
          </w:p>
        </w:tc>
        <w:tc>
          <w:tcPr>
            <w:tcW w:w="1701" w:type="dxa"/>
            <w:tcBorders>
              <w:bottom w:val="single" w:sz="4" w:space="0" w:color="auto"/>
            </w:tcBorders>
            <w:shd w:val="clear" w:color="auto" w:fill="auto"/>
            <w:noWrap/>
            <w:hideMark/>
          </w:tcPr>
          <w:p w14:paraId="45EE389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tcBorders>
              <w:bottom w:val="single" w:sz="4" w:space="0" w:color="auto"/>
            </w:tcBorders>
            <w:shd w:val="clear" w:color="auto" w:fill="auto"/>
            <w:noWrap/>
            <w:hideMark/>
          </w:tcPr>
          <w:p w14:paraId="5EFED7D1"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11 (17.1)</w:t>
            </w:r>
          </w:p>
        </w:tc>
      </w:tr>
      <w:tr w:rsidR="009D5BF3" w:rsidRPr="009D5BF3" w14:paraId="558FB018"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val="restart"/>
            <w:tcBorders>
              <w:top w:val="single" w:sz="4" w:space="0" w:color="auto"/>
            </w:tcBorders>
            <w:noWrap/>
            <w:hideMark/>
          </w:tcPr>
          <w:p w14:paraId="3109E998" w14:textId="77777777" w:rsidR="009D5BF3" w:rsidRPr="009D5BF3" w:rsidRDefault="009D5BF3" w:rsidP="009D5BF3">
            <w:pPr>
              <w:pStyle w:val="Body"/>
              <w:spacing w:after="0"/>
              <w:rPr>
                <w:rFonts w:ascii="Arial" w:hAnsi="Arial" w:cs="Arial"/>
                <w:lang w:val="en-GB"/>
              </w:rPr>
            </w:pPr>
          </w:p>
          <w:p w14:paraId="64533BDE" w14:textId="77777777" w:rsidR="009D5BF3" w:rsidRPr="009D5BF3" w:rsidRDefault="009D5BF3" w:rsidP="009D5BF3">
            <w:pPr>
              <w:pStyle w:val="Body"/>
              <w:spacing w:after="0"/>
              <w:rPr>
                <w:rFonts w:ascii="Arial" w:hAnsi="Arial" w:cs="Arial"/>
                <w:lang w:val="en-GB"/>
              </w:rPr>
            </w:pPr>
          </w:p>
          <w:p w14:paraId="682C90B5" w14:textId="77777777" w:rsidR="009D5BF3" w:rsidRPr="009D5BF3" w:rsidRDefault="009D5BF3" w:rsidP="009D5BF3">
            <w:pPr>
              <w:pStyle w:val="Body"/>
              <w:spacing w:after="0"/>
              <w:rPr>
                <w:rFonts w:ascii="Arial" w:hAnsi="Arial" w:cs="Arial"/>
                <w:lang w:val="en-GB"/>
              </w:rPr>
            </w:pPr>
          </w:p>
          <w:p w14:paraId="10B86086"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lastRenderedPageBreak/>
              <w:t>ACT known</w:t>
            </w:r>
          </w:p>
        </w:tc>
        <w:tc>
          <w:tcPr>
            <w:tcW w:w="2313" w:type="dxa"/>
            <w:tcBorders>
              <w:top w:val="single" w:sz="4" w:space="0" w:color="auto"/>
            </w:tcBorders>
            <w:noWrap/>
            <w:hideMark/>
          </w:tcPr>
          <w:p w14:paraId="0C5BB652"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lastRenderedPageBreak/>
              <w:t>AL</w:t>
            </w:r>
          </w:p>
        </w:tc>
        <w:tc>
          <w:tcPr>
            <w:tcW w:w="1985" w:type="dxa"/>
            <w:tcBorders>
              <w:top w:val="single" w:sz="4" w:space="0" w:color="auto"/>
            </w:tcBorders>
            <w:noWrap/>
            <w:hideMark/>
          </w:tcPr>
          <w:p w14:paraId="356E1FC3"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31 (100.0)</w:t>
            </w:r>
          </w:p>
        </w:tc>
        <w:tc>
          <w:tcPr>
            <w:tcW w:w="1701" w:type="dxa"/>
            <w:tcBorders>
              <w:top w:val="single" w:sz="4" w:space="0" w:color="auto"/>
            </w:tcBorders>
            <w:noWrap/>
            <w:hideMark/>
          </w:tcPr>
          <w:p w14:paraId="5CC5499D"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24 (75.0)</w:t>
            </w:r>
          </w:p>
        </w:tc>
        <w:tc>
          <w:tcPr>
            <w:tcW w:w="1371" w:type="dxa"/>
            <w:tcBorders>
              <w:top w:val="single" w:sz="4" w:space="0" w:color="auto"/>
            </w:tcBorders>
            <w:noWrap/>
            <w:hideMark/>
          </w:tcPr>
          <w:p w14:paraId="17A5FAB5"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59 (93.7)</w:t>
            </w:r>
          </w:p>
        </w:tc>
      </w:tr>
      <w:tr w:rsidR="009D5BF3" w:rsidRPr="009D5BF3" w14:paraId="3DC85B4B"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shd w:val="clear" w:color="auto" w:fill="auto"/>
            <w:noWrap/>
            <w:hideMark/>
          </w:tcPr>
          <w:p w14:paraId="0463675B" w14:textId="77777777" w:rsidR="009D5BF3" w:rsidRPr="009D5BF3" w:rsidRDefault="009D5BF3" w:rsidP="009D5BF3">
            <w:pPr>
              <w:pStyle w:val="Body"/>
              <w:spacing w:after="0"/>
              <w:rPr>
                <w:rFonts w:ascii="Arial" w:hAnsi="Arial" w:cs="Arial"/>
                <w:lang w:val="en-GB"/>
              </w:rPr>
            </w:pPr>
          </w:p>
        </w:tc>
        <w:tc>
          <w:tcPr>
            <w:tcW w:w="2313" w:type="dxa"/>
            <w:shd w:val="clear" w:color="auto" w:fill="auto"/>
            <w:noWrap/>
            <w:hideMark/>
          </w:tcPr>
          <w:p w14:paraId="7480D157"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ASAQ</w:t>
            </w:r>
          </w:p>
        </w:tc>
        <w:tc>
          <w:tcPr>
            <w:tcW w:w="1985" w:type="dxa"/>
            <w:shd w:val="clear" w:color="auto" w:fill="auto"/>
            <w:noWrap/>
            <w:hideMark/>
          </w:tcPr>
          <w:p w14:paraId="0CEBFB28"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23 (74.2)</w:t>
            </w:r>
          </w:p>
        </w:tc>
        <w:tc>
          <w:tcPr>
            <w:tcW w:w="1701" w:type="dxa"/>
            <w:shd w:val="clear" w:color="auto" w:fill="auto"/>
            <w:noWrap/>
            <w:hideMark/>
          </w:tcPr>
          <w:p w14:paraId="540EED7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21 (65.6)</w:t>
            </w:r>
          </w:p>
        </w:tc>
        <w:tc>
          <w:tcPr>
            <w:tcW w:w="1371" w:type="dxa"/>
            <w:shd w:val="clear" w:color="auto" w:fill="auto"/>
            <w:noWrap/>
            <w:hideMark/>
          </w:tcPr>
          <w:p w14:paraId="5BB805E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41 (65.1)</w:t>
            </w:r>
          </w:p>
        </w:tc>
      </w:tr>
      <w:tr w:rsidR="009D5BF3" w:rsidRPr="009D5BF3" w14:paraId="1D2F06C3"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noWrap/>
            <w:hideMark/>
          </w:tcPr>
          <w:p w14:paraId="4A63324C" w14:textId="77777777" w:rsidR="009D5BF3" w:rsidRPr="009D5BF3" w:rsidRDefault="009D5BF3" w:rsidP="009D5BF3">
            <w:pPr>
              <w:pStyle w:val="Body"/>
              <w:spacing w:after="0"/>
              <w:rPr>
                <w:rFonts w:ascii="Arial" w:hAnsi="Arial" w:cs="Arial"/>
                <w:lang w:val="en-GB"/>
              </w:rPr>
            </w:pPr>
          </w:p>
        </w:tc>
        <w:tc>
          <w:tcPr>
            <w:tcW w:w="2313" w:type="dxa"/>
            <w:noWrap/>
            <w:hideMark/>
          </w:tcPr>
          <w:p w14:paraId="5A8D7695"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DHA\PQP</w:t>
            </w:r>
          </w:p>
        </w:tc>
        <w:tc>
          <w:tcPr>
            <w:tcW w:w="1985" w:type="dxa"/>
            <w:noWrap/>
            <w:hideMark/>
          </w:tcPr>
          <w:p w14:paraId="000B1E54"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20 (64.51)</w:t>
            </w:r>
          </w:p>
        </w:tc>
        <w:tc>
          <w:tcPr>
            <w:tcW w:w="1701" w:type="dxa"/>
            <w:noWrap/>
            <w:hideMark/>
          </w:tcPr>
          <w:p w14:paraId="45973B15"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 (3.1)</w:t>
            </w:r>
          </w:p>
        </w:tc>
        <w:tc>
          <w:tcPr>
            <w:tcW w:w="1371" w:type="dxa"/>
            <w:noWrap/>
            <w:hideMark/>
          </w:tcPr>
          <w:p w14:paraId="55C261CE"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22 (33.3)</w:t>
            </w:r>
          </w:p>
        </w:tc>
      </w:tr>
      <w:tr w:rsidR="009D5BF3" w:rsidRPr="009D5BF3" w14:paraId="4A61B95B"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shd w:val="clear" w:color="auto" w:fill="auto"/>
            <w:noWrap/>
            <w:hideMark/>
          </w:tcPr>
          <w:p w14:paraId="30232209" w14:textId="77777777" w:rsidR="009D5BF3" w:rsidRPr="009D5BF3" w:rsidRDefault="009D5BF3" w:rsidP="009D5BF3">
            <w:pPr>
              <w:pStyle w:val="Body"/>
              <w:spacing w:after="0"/>
              <w:rPr>
                <w:rFonts w:ascii="Arial" w:hAnsi="Arial" w:cs="Arial"/>
                <w:lang w:val="en-GB"/>
              </w:rPr>
            </w:pPr>
          </w:p>
        </w:tc>
        <w:tc>
          <w:tcPr>
            <w:tcW w:w="2313" w:type="dxa"/>
            <w:shd w:val="clear" w:color="auto" w:fill="auto"/>
            <w:noWrap/>
            <w:hideMark/>
          </w:tcPr>
          <w:p w14:paraId="4EDD79C7"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DHA\PQP\TMTP</w:t>
            </w:r>
          </w:p>
        </w:tc>
        <w:tc>
          <w:tcPr>
            <w:tcW w:w="1985" w:type="dxa"/>
            <w:shd w:val="clear" w:color="auto" w:fill="auto"/>
            <w:noWrap/>
            <w:hideMark/>
          </w:tcPr>
          <w:p w14:paraId="21959E36"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 (3.2)</w:t>
            </w:r>
          </w:p>
        </w:tc>
        <w:tc>
          <w:tcPr>
            <w:tcW w:w="1701" w:type="dxa"/>
            <w:shd w:val="clear" w:color="auto" w:fill="auto"/>
            <w:noWrap/>
            <w:hideMark/>
          </w:tcPr>
          <w:p w14:paraId="03E34C1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shd w:val="clear" w:color="auto" w:fill="auto"/>
            <w:noWrap/>
            <w:hideMark/>
          </w:tcPr>
          <w:p w14:paraId="41EA08D5"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r>
      <w:tr w:rsidR="009D5BF3" w:rsidRPr="009D5BF3" w14:paraId="29E0DF85"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noWrap/>
            <w:hideMark/>
          </w:tcPr>
          <w:p w14:paraId="2210BA11" w14:textId="77777777" w:rsidR="009D5BF3" w:rsidRPr="009D5BF3" w:rsidRDefault="009D5BF3" w:rsidP="009D5BF3">
            <w:pPr>
              <w:pStyle w:val="Body"/>
              <w:spacing w:after="0"/>
              <w:rPr>
                <w:rFonts w:ascii="Arial" w:hAnsi="Arial" w:cs="Arial"/>
                <w:lang w:val="en-GB"/>
              </w:rPr>
            </w:pPr>
          </w:p>
        </w:tc>
        <w:tc>
          <w:tcPr>
            <w:tcW w:w="2313" w:type="dxa"/>
            <w:noWrap/>
            <w:hideMark/>
          </w:tcPr>
          <w:p w14:paraId="76BEE82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ATR\PQP</w:t>
            </w:r>
          </w:p>
        </w:tc>
        <w:tc>
          <w:tcPr>
            <w:tcW w:w="1985" w:type="dxa"/>
            <w:noWrap/>
            <w:hideMark/>
          </w:tcPr>
          <w:p w14:paraId="14DC1E8C"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2 (6.5)</w:t>
            </w:r>
          </w:p>
        </w:tc>
        <w:tc>
          <w:tcPr>
            <w:tcW w:w="1701" w:type="dxa"/>
            <w:noWrap/>
            <w:hideMark/>
          </w:tcPr>
          <w:p w14:paraId="5B8C8B5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noWrap/>
            <w:hideMark/>
          </w:tcPr>
          <w:p w14:paraId="39CA886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r>
      <w:tr w:rsidR="009D5BF3" w:rsidRPr="009D5BF3" w14:paraId="2EF6E6C6"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shd w:val="clear" w:color="auto" w:fill="auto"/>
            <w:noWrap/>
            <w:hideMark/>
          </w:tcPr>
          <w:p w14:paraId="32EBB8F3" w14:textId="77777777" w:rsidR="009D5BF3" w:rsidRPr="009D5BF3" w:rsidRDefault="009D5BF3" w:rsidP="009D5BF3">
            <w:pPr>
              <w:pStyle w:val="Body"/>
              <w:spacing w:after="0"/>
              <w:rPr>
                <w:rFonts w:ascii="Arial" w:hAnsi="Arial" w:cs="Arial"/>
                <w:lang w:val="en-GB"/>
              </w:rPr>
            </w:pPr>
          </w:p>
        </w:tc>
        <w:tc>
          <w:tcPr>
            <w:tcW w:w="2313" w:type="dxa"/>
            <w:shd w:val="clear" w:color="auto" w:fill="auto"/>
            <w:noWrap/>
            <w:hideMark/>
          </w:tcPr>
          <w:p w14:paraId="18230EA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AT\MFQ</w:t>
            </w:r>
          </w:p>
        </w:tc>
        <w:tc>
          <w:tcPr>
            <w:tcW w:w="1985" w:type="dxa"/>
            <w:shd w:val="clear" w:color="auto" w:fill="auto"/>
            <w:noWrap/>
            <w:hideMark/>
          </w:tcPr>
          <w:p w14:paraId="13F513DA"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 (3.5)</w:t>
            </w:r>
          </w:p>
        </w:tc>
        <w:tc>
          <w:tcPr>
            <w:tcW w:w="1701" w:type="dxa"/>
            <w:shd w:val="clear" w:color="auto" w:fill="auto"/>
            <w:noWrap/>
            <w:hideMark/>
          </w:tcPr>
          <w:p w14:paraId="3C07521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shd w:val="clear" w:color="auto" w:fill="auto"/>
            <w:noWrap/>
            <w:hideMark/>
          </w:tcPr>
          <w:p w14:paraId="7FE5D3A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r>
      <w:tr w:rsidR="009D5BF3" w:rsidRPr="009D5BF3" w14:paraId="72D5FAF0"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tcBorders>
              <w:bottom w:val="single" w:sz="4" w:space="0" w:color="auto"/>
            </w:tcBorders>
            <w:noWrap/>
            <w:hideMark/>
          </w:tcPr>
          <w:p w14:paraId="50FFF9B1" w14:textId="77777777" w:rsidR="009D5BF3" w:rsidRPr="009D5BF3" w:rsidRDefault="009D5BF3" w:rsidP="009D5BF3">
            <w:pPr>
              <w:pStyle w:val="Body"/>
              <w:spacing w:after="0"/>
              <w:rPr>
                <w:rFonts w:ascii="Arial" w:hAnsi="Arial" w:cs="Arial"/>
                <w:lang w:val="en-GB"/>
              </w:rPr>
            </w:pPr>
          </w:p>
        </w:tc>
        <w:tc>
          <w:tcPr>
            <w:tcW w:w="2313" w:type="dxa"/>
            <w:tcBorders>
              <w:bottom w:val="single" w:sz="4" w:space="0" w:color="auto"/>
            </w:tcBorders>
            <w:noWrap/>
            <w:hideMark/>
          </w:tcPr>
          <w:p w14:paraId="071AEB3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AT/SP</w:t>
            </w:r>
          </w:p>
        </w:tc>
        <w:tc>
          <w:tcPr>
            <w:tcW w:w="1985" w:type="dxa"/>
            <w:tcBorders>
              <w:bottom w:val="single" w:sz="4" w:space="0" w:color="auto"/>
            </w:tcBorders>
            <w:noWrap/>
            <w:hideMark/>
          </w:tcPr>
          <w:p w14:paraId="2EBF919A"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2 (6.5)</w:t>
            </w:r>
          </w:p>
        </w:tc>
        <w:tc>
          <w:tcPr>
            <w:tcW w:w="1701" w:type="dxa"/>
            <w:tcBorders>
              <w:bottom w:val="single" w:sz="4" w:space="0" w:color="auto"/>
            </w:tcBorders>
            <w:noWrap/>
            <w:hideMark/>
          </w:tcPr>
          <w:p w14:paraId="06417FE4"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tcBorders>
              <w:bottom w:val="single" w:sz="4" w:space="0" w:color="auto"/>
            </w:tcBorders>
            <w:noWrap/>
            <w:hideMark/>
          </w:tcPr>
          <w:p w14:paraId="19D3F11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r>
      <w:tr w:rsidR="009D5BF3" w:rsidRPr="009D5BF3" w14:paraId="3B224AC9"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val="restart"/>
            <w:tcBorders>
              <w:top w:val="single" w:sz="4" w:space="0" w:color="auto"/>
            </w:tcBorders>
            <w:shd w:val="clear" w:color="auto" w:fill="auto"/>
            <w:noWrap/>
            <w:hideMark/>
          </w:tcPr>
          <w:p w14:paraId="1608D0BC"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Other antimalaria*</w:t>
            </w:r>
          </w:p>
        </w:tc>
        <w:tc>
          <w:tcPr>
            <w:tcW w:w="2313" w:type="dxa"/>
            <w:tcBorders>
              <w:top w:val="single" w:sz="4" w:space="0" w:color="auto"/>
            </w:tcBorders>
            <w:shd w:val="clear" w:color="auto" w:fill="auto"/>
            <w:noWrap/>
            <w:hideMark/>
          </w:tcPr>
          <w:p w14:paraId="6B3C8666"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proofErr w:type="spellStart"/>
            <w:r w:rsidRPr="009D5BF3">
              <w:rPr>
                <w:rFonts w:ascii="Arial" w:hAnsi="Arial" w:cs="Arial"/>
                <w:bCs/>
                <w:lang w:val="en-GB"/>
              </w:rPr>
              <w:t>ASiv</w:t>
            </w:r>
            <w:proofErr w:type="spellEnd"/>
          </w:p>
        </w:tc>
        <w:tc>
          <w:tcPr>
            <w:tcW w:w="1985" w:type="dxa"/>
            <w:tcBorders>
              <w:top w:val="single" w:sz="4" w:space="0" w:color="auto"/>
            </w:tcBorders>
            <w:shd w:val="clear" w:color="auto" w:fill="auto"/>
            <w:noWrap/>
            <w:hideMark/>
          </w:tcPr>
          <w:p w14:paraId="0BFCE98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701" w:type="dxa"/>
            <w:tcBorders>
              <w:top w:val="single" w:sz="4" w:space="0" w:color="auto"/>
            </w:tcBorders>
            <w:shd w:val="clear" w:color="auto" w:fill="auto"/>
            <w:noWrap/>
            <w:hideMark/>
          </w:tcPr>
          <w:p w14:paraId="0098685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4 (12.5)</w:t>
            </w:r>
          </w:p>
        </w:tc>
        <w:tc>
          <w:tcPr>
            <w:tcW w:w="1371" w:type="dxa"/>
            <w:tcBorders>
              <w:top w:val="single" w:sz="4" w:space="0" w:color="auto"/>
            </w:tcBorders>
            <w:shd w:val="clear" w:color="auto" w:fill="auto"/>
            <w:noWrap/>
            <w:hideMark/>
          </w:tcPr>
          <w:p w14:paraId="71E6B7B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4 (6.3)</w:t>
            </w:r>
          </w:p>
        </w:tc>
      </w:tr>
      <w:tr w:rsidR="009D5BF3" w:rsidRPr="009D5BF3" w14:paraId="3293977A"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noWrap/>
            <w:hideMark/>
          </w:tcPr>
          <w:p w14:paraId="2D9BD0AB" w14:textId="77777777" w:rsidR="009D5BF3" w:rsidRPr="009D5BF3" w:rsidRDefault="009D5BF3" w:rsidP="009D5BF3">
            <w:pPr>
              <w:pStyle w:val="Body"/>
              <w:spacing w:after="0"/>
              <w:rPr>
                <w:rFonts w:ascii="Arial" w:hAnsi="Arial" w:cs="Arial"/>
                <w:lang w:val="en-GB"/>
              </w:rPr>
            </w:pPr>
          </w:p>
        </w:tc>
        <w:tc>
          <w:tcPr>
            <w:tcW w:w="2313" w:type="dxa"/>
            <w:noWrap/>
            <w:hideMark/>
          </w:tcPr>
          <w:p w14:paraId="4DA10D2E"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AMim</w:t>
            </w:r>
          </w:p>
        </w:tc>
        <w:tc>
          <w:tcPr>
            <w:tcW w:w="1985" w:type="dxa"/>
            <w:noWrap/>
            <w:hideMark/>
          </w:tcPr>
          <w:p w14:paraId="36838E7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701" w:type="dxa"/>
            <w:noWrap/>
            <w:hideMark/>
          </w:tcPr>
          <w:p w14:paraId="6FFDC65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 (3.1)</w:t>
            </w:r>
          </w:p>
        </w:tc>
        <w:tc>
          <w:tcPr>
            <w:tcW w:w="1371" w:type="dxa"/>
            <w:noWrap/>
            <w:hideMark/>
          </w:tcPr>
          <w:p w14:paraId="75AE161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 (1.6)</w:t>
            </w:r>
          </w:p>
        </w:tc>
      </w:tr>
      <w:tr w:rsidR="009D5BF3" w:rsidRPr="009D5BF3" w14:paraId="2D4FD910"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shd w:val="clear" w:color="auto" w:fill="auto"/>
            <w:noWrap/>
            <w:hideMark/>
          </w:tcPr>
          <w:p w14:paraId="6326F2AB" w14:textId="77777777" w:rsidR="009D5BF3" w:rsidRPr="009D5BF3" w:rsidRDefault="009D5BF3" w:rsidP="009D5BF3">
            <w:pPr>
              <w:pStyle w:val="Body"/>
              <w:spacing w:after="0"/>
              <w:rPr>
                <w:rFonts w:ascii="Arial" w:hAnsi="Arial" w:cs="Arial"/>
                <w:lang w:val="en-GB"/>
              </w:rPr>
            </w:pPr>
          </w:p>
        </w:tc>
        <w:tc>
          <w:tcPr>
            <w:tcW w:w="2313" w:type="dxa"/>
            <w:shd w:val="clear" w:color="auto" w:fill="auto"/>
            <w:noWrap/>
            <w:hideMark/>
          </w:tcPr>
          <w:p w14:paraId="683871AB"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SP</w:t>
            </w:r>
          </w:p>
        </w:tc>
        <w:tc>
          <w:tcPr>
            <w:tcW w:w="1985" w:type="dxa"/>
            <w:shd w:val="clear" w:color="auto" w:fill="auto"/>
            <w:noWrap/>
            <w:hideMark/>
          </w:tcPr>
          <w:p w14:paraId="586DAE5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701" w:type="dxa"/>
            <w:shd w:val="clear" w:color="auto" w:fill="auto"/>
            <w:noWrap/>
            <w:hideMark/>
          </w:tcPr>
          <w:p w14:paraId="02C75905"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 (3.1)</w:t>
            </w:r>
          </w:p>
        </w:tc>
        <w:tc>
          <w:tcPr>
            <w:tcW w:w="1371" w:type="dxa"/>
            <w:shd w:val="clear" w:color="auto" w:fill="auto"/>
            <w:noWrap/>
            <w:hideMark/>
          </w:tcPr>
          <w:p w14:paraId="34AEB48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 (1.6)</w:t>
            </w:r>
          </w:p>
        </w:tc>
      </w:tr>
      <w:tr w:rsidR="009D5BF3" w:rsidRPr="009D5BF3" w14:paraId="3259F96A"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noWrap/>
            <w:hideMark/>
          </w:tcPr>
          <w:p w14:paraId="6B4712A0" w14:textId="77777777" w:rsidR="009D5BF3" w:rsidRPr="009D5BF3" w:rsidRDefault="009D5BF3" w:rsidP="009D5BF3">
            <w:pPr>
              <w:pStyle w:val="Body"/>
              <w:spacing w:after="0"/>
              <w:rPr>
                <w:rFonts w:ascii="Arial" w:hAnsi="Arial" w:cs="Arial"/>
                <w:lang w:val="en-GB"/>
              </w:rPr>
            </w:pPr>
          </w:p>
        </w:tc>
        <w:tc>
          <w:tcPr>
            <w:tcW w:w="2313" w:type="dxa"/>
            <w:noWrap/>
            <w:hideMark/>
          </w:tcPr>
          <w:p w14:paraId="20A27FD5"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AM/</w:t>
            </w:r>
            <w:proofErr w:type="spellStart"/>
            <w:r w:rsidRPr="009D5BF3">
              <w:rPr>
                <w:rFonts w:ascii="Arial" w:hAnsi="Arial" w:cs="Arial"/>
                <w:bCs/>
                <w:lang w:val="en-GB"/>
              </w:rPr>
              <w:t>Doxicycline</w:t>
            </w:r>
            <w:proofErr w:type="spellEnd"/>
          </w:p>
        </w:tc>
        <w:tc>
          <w:tcPr>
            <w:tcW w:w="1985" w:type="dxa"/>
            <w:noWrap/>
            <w:hideMark/>
          </w:tcPr>
          <w:p w14:paraId="150EE406"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701" w:type="dxa"/>
            <w:noWrap/>
            <w:hideMark/>
          </w:tcPr>
          <w:p w14:paraId="774E854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 (3.1)</w:t>
            </w:r>
          </w:p>
        </w:tc>
        <w:tc>
          <w:tcPr>
            <w:tcW w:w="1371" w:type="dxa"/>
            <w:noWrap/>
            <w:hideMark/>
          </w:tcPr>
          <w:p w14:paraId="1A5B0EF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 (1.6)</w:t>
            </w:r>
          </w:p>
        </w:tc>
      </w:tr>
      <w:tr w:rsidR="009D5BF3" w:rsidRPr="009D5BF3" w14:paraId="6C3BD154"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shd w:val="clear" w:color="auto" w:fill="auto"/>
            <w:noWrap/>
            <w:hideMark/>
          </w:tcPr>
          <w:p w14:paraId="40C22FA0" w14:textId="77777777" w:rsidR="009D5BF3" w:rsidRPr="009D5BF3" w:rsidRDefault="009D5BF3" w:rsidP="009D5BF3">
            <w:pPr>
              <w:pStyle w:val="Body"/>
              <w:spacing w:after="0"/>
              <w:rPr>
                <w:rFonts w:ascii="Arial" w:hAnsi="Arial" w:cs="Arial"/>
                <w:lang w:val="en-GB"/>
              </w:rPr>
            </w:pPr>
          </w:p>
        </w:tc>
        <w:tc>
          <w:tcPr>
            <w:tcW w:w="2313" w:type="dxa"/>
            <w:shd w:val="clear" w:color="auto" w:fill="auto"/>
            <w:noWrap/>
            <w:hideMark/>
          </w:tcPr>
          <w:p w14:paraId="74A9D7FA"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AS/HF</w:t>
            </w:r>
          </w:p>
        </w:tc>
        <w:tc>
          <w:tcPr>
            <w:tcW w:w="1985" w:type="dxa"/>
            <w:shd w:val="clear" w:color="auto" w:fill="auto"/>
            <w:noWrap/>
            <w:hideMark/>
          </w:tcPr>
          <w:p w14:paraId="32CF7D45"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 (3.45)</w:t>
            </w:r>
          </w:p>
        </w:tc>
        <w:tc>
          <w:tcPr>
            <w:tcW w:w="1701" w:type="dxa"/>
            <w:shd w:val="clear" w:color="auto" w:fill="auto"/>
            <w:noWrap/>
            <w:hideMark/>
          </w:tcPr>
          <w:p w14:paraId="5D0585D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shd w:val="clear" w:color="auto" w:fill="auto"/>
            <w:noWrap/>
            <w:hideMark/>
          </w:tcPr>
          <w:p w14:paraId="37EBCD9D"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 (1.6)</w:t>
            </w:r>
          </w:p>
        </w:tc>
      </w:tr>
    </w:tbl>
    <w:p w14:paraId="4DDA86CA" w14:textId="77777777" w:rsidR="009D5BF3" w:rsidRPr="009D5BF3" w:rsidRDefault="009D5BF3" w:rsidP="009D5BF3">
      <w:pPr>
        <w:pStyle w:val="Body"/>
        <w:spacing w:after="0"/>
        <w:rPr>
          <w:rFonts w:ascii="Arial" w:hAnsi="Arial" w:cs="Arial"/>
          <w:bCs/>
          <w:i/>
          <w:iCs/>
          <w:sz w:val="16"/>
          <w:szCs w:val="16"/>
        </w:rPr>
      </w:pPr>
      <w:r w:rsidRPr="009D5BF3">
        <w:rPr>
          <w:rFonts w:ascii="Arial" w:hAnsi="Arial" w:cs="Arial"/>
          <w:bCs/>
          <w:i/>
          <w:iCs/>
          <w:sz w:val="16"/>
          <w:szCs w:val="16"/>
        </w:rPr>
        <w:t xml:space="preserve">* GP = General practitioners; AL= artemether/lumefantrine; ASAQ =artesunate/amodiaquine; DHA/PQP= </w:t>
      </w:r>
      <w:proofErr w:type="spellStart"/>
      <w:r w:rsidRPr="009D5BF3">
        <w:rPr>
          <w:rFonts w:ascii="Arial" w:hAnsi="Arial" w:cs="Arial"/>
          <w:bCs/>
          <w:i/>
          <w:iCs/>
          <w:sz w:val="16"/>
          <w:szCs w:val="16"/>
        </w:rPr>
        <w:t>dihydroartemisinin</w:t>
      </w:r>
      <w:proofErr w:type="spellEnd"/>
      <w:r w:rsidRPr="009D5BF3">
        <w:rPr>
          <w:rFonts w:ascii="Arial" w:hAnsi="Arial" w:cs="Arial"/>
          <w:bCs/>
          <w:i/>
          <w:iCs/>
          <w:sz w:val="16"/>
          <w:szCs w:val="16"/>
        </w:rPr>
        <w:t xml:space="preserve">/piperaquine; DHA/PQP/TMTP= </w:t>
      </w:r>
      <w:proofErr w:type="spellStart"/>
      <w:r w:rsidRPr="009D5BF3">
        <w:rPr>
          <w:rFonts w:ascii="Arial" w:hAnsi="Arial" w:cs="Arial"/>
          <w:bCs/>
          <w:i/>
          <w:iCs/>
          <w:sz w:val="16"/>
          <w:szCs w:val="16"/>
        </w:rPr>
        <w:t>dihydroartemisinin</w:t>
      </w:r>
      <w:proofErr w:type="spellEnd"/>
      <w:r w:rsidRPr="009D5BF3">
        <w:rPr>
          <w:rFonts w:ascii="Arial" w:hAnsi="Arial" w:cs="Arial"/>
          <w:bCs/>
          <w:i/>
          <w:iCs/>
          <w:sz w:val="16"/>
          <w:szCs w:val="16"/>
        </w:rPr>
        <w:t>/piperaquine/</w:t>
      </w:r>
      <w:proofErr w:type="spellStart"/>
      <w:r w:rsidRPr="009D5BF3">
        <w:rPr>
          <w:rFonts w:ascii="Arial" w:hAnsi="Arial" w:cs="Arial"/>
          <w:bCs/>
          <w:i/>
          <w:iCs/>
          <w:sz w:val="16"/>
          <w:szCs w:val="16"/>
        </w:rPr>
        <w:t>trimetroprine</w:t>
      </w:r>
      <w:proofErr w:type="spellEnd"/>
      <w:r w:rsidRPr="009D5BF3">
        <w:rPr>
          <w:rFonts w:ascii="Arial" w:hAnsi="Arial" w:cs="Arial"/>
          <w:bCs/>
          <w:i/>
          <w:iCs/>
          <w:sz w:val="16"/>
          <w:szCs w:val="16"/>
        </w:rPr>
        <w:t>; ATR/PQP= arterolane/piperaquine; AT/MFQ= artemether/mefloquine; AT/SP= artemether/</w:t>
      </w:r>
      <w:proofErr w:type="spellStart"/>
      <w:r w:rsidRPr="009D5BF3">
        <w:rPr>
          <w:rFonts w:ascii="Arial" w:hAnsi="Arial" w:cs="Arial"/>
          <w:bCs/>
          <w:i/>
          <w:iCs/>
          <w:sz w:val="16"/>
          <w:szCs w:val="16"/>
        </w:rPr>
        <w:t>sulfadoxine</w:t>
      </w:r>
      <w:proofErr w:type="spellEnd"/>
      <w:r w:rsidRPr="009D5BF3">
        <w:rPr>
          <w:rFonts w:ascii="Arial" w:hAnsi="Arial" w:cs="Arial"/>
          <w:bCs/>
          <w:i/>
          <w:iCs/>
          <w:sz w:val="16"/>
          <w:szCs w:val="16"/>
        </w:rPr>
        <w:t xml:space="preserve">-pyrimethamine; AS= artesunate injectable; AMim= intra muscular artemether; SP= </w:t>
      </w:r>
      <w:proofErr w:type="spellStart"/>
      <w:r w:rsidRPr="009D5BF3">
        <w:rPr>
          <w:rFonts w:ascii="Arial" w:hAnsi="Arial" w:cs="Arial"/>
          <w:bCs/>
          <w:i/>
          <w:iCs/>
          <w:sz w:val="16"/>
          <w:szCs w:val="16"/>
        </w:rPr>
        <w:t>sulfadoxine</w:t>
      </w:r>
      <w:proofErr w:type="spellEnd"/>
      <w:r w:rsidRPr="009D5BF3">
        <w:rPr>
          <w:rFonts w:ascii="Arial" w:hAnsi="Arial" w:cs="Arial"/>
          <w:bCs/>
          <w:i/>
          <w:iCs/>
          <w:sz w:val="16"/>
          <w:szCs w:val="16"/>
        </w:rPr>
        <w:t>-pyrimethamine; AM/</w:t>
      </w:r>
      <w:proofErr w:type="spellStart"/>
      <w:r w:rsidRPr="009D5BF3">
        <w:rPr>
          <w:rFonts w:ascii="Arial" w:hAnsi="Arial" w:cs="Arial"/>
          <w:bCs/>
          <w:i/>
          <w:iCs/>
          <w:sz w:val="16"/>
          <w:szCs w:val="16"/>
        </w:rPr>
        <w:t>Doxicycile</w:t>
      </w:r>
      <w:proofErr w:type="spellEnd"/>
      <w:r w:rsidRPr="009D5BF3">
        <w:rPr>
          <w:rFonts w:ascii="Arial" w:hAnsi="Arial" w:cs="Arial"/>
          <w:bCs/>
          <w:i/>
          <w:iCs/>
          <w:sz w:val="16"/>
          <w:szCs w:val="16"/>
        </w:rPr>
        <w:t>= artemether/</w:t>
      </w:r>
      <w:proofErr w:type="spellStart"/>
      <w:r w:rsidRPr="009D5BF3">
        <w:rPr>
          <w:rFonts w:ascii="Arial" w:hAnsi="Arial" w:cs="Arial"/>
          <w:bCs/>
          <w:i/>
          <w:iCs/>
          <w:sz w:val="16"/>
          <w:szCs w:val="16"/>
        </w:rPr>
        <w:t>doxicycline</w:t>
      </w:r>
      <w:proofErr w:type="spellEnd"/>
      <w:r w:rsidRPr="009D5BF3">
        <w:rPr>
          <w:rFonts w:ascii="Arial" w:hAnsi="Arial" w:cs="Arial"/>
          <w:bCs/>
          <w:i/>
          <w:iCs/>
          <w:sz w:val="16"/>
          <w:szCs w:val="16"/>
        </w:rPr>
        <w:t>.</w:t>
      </w:r>
    </w:p>
    <w:p w14:paraId="19D275F3" w14:textId="77777777" w:rsidR="009D5BF3" w:rsidRPr="009D5BF3" w:rsidRDefault="009D5BF3" w:rsidP="009D5BF3">
      <w:pPr>
        <w:pStyle w:val="Body"/>
        <w:spacing w:after="0"/>
        <w:rPr>
          <w:rFonts w:ascii="Arial" w:hAnsi="Arial" w:cs="Arial"/>
          <w:bCs/>
        </w:rPr>
      </w:pPr>
    </w:p>
    <w:p w14:paraId="5371D636" w14:textId="77777777" w:rsidR="009D5BF3" w:rsidRDefault="009D5BF3" w:rsidP="009D5BF3">
      <w:pPr>
        <w:pStyle w:val="Body"/>
        <w:spacing w:after="0"/>
        <w:rPr>
          <w:rFonts w:ascii="Arial" w:hAnsi="Arial" w:cs="Arial"/>
        </w:rPr>
      </w:pPr>
      <w:bookmarkStart w:id="5" w:name="_Hlk210419258"/>
      <w:r w:rsidRPr="009D5BF3">
        <w:rPr>
          <w:rFonts w:ascii="Arial" w:hAnsi="Arial" w:cs="Arial"/>
        </w:rPr>
        <w:t xml:space="preserve">Artemether-Lumefantrine (AL) is the most widely recognized ACT, known by 93.7% of prescribers overall, followed by Artesunate-Amodiaquine (ASAQ) at 65.1% (Table 3). Notably, AL is universally known among general practitioners and specialists (100%) but slightly less among nurses and midwives (75%) (Table 3). More complex or less commonly used ACTs such as </w:t>
      </w:r>
      <w:proofErr w:type="spellStart"/>
      <w:r w:rsidRPr="009D5BF3">
        <w:rPr>
          <w:rFonts w:ascii="Arial" w:hAnsi="Arial" w:cs="Arial"/>
        </w:rPr>
        <w:t>Dihydroartemisinin</w:t>
      </w:r>
      <w:proofErr w:type="spellEnd"/>
      <w:r w:rsidRPr="009D5BF3">
        <w:rPr>
          <w:rFonts w:ascii="Arial" w:hAnsi="Arial" w:cs="Arial"/>
        </w:rPr>
        <w:t xml:space="preserve">-Piperaquine (DHA/PQP) and its variants are predominantly known by physicians, with minimal recognition among nursing staff. </w:t>
      </w:r>
    </w:p>
    <w:p w14:paraId="38824A3D" w14:textId="77777777" w:rsidR="003905ED" w:rsidRPr="009D5BF3" w:rsidRDefault="003905ED" w:rsidP="009D5BF3">
      <w:pPr>
        <w:pStyle w:val="Body"/>
        <w:spacing w:after="0"/>
        <w:rPr>
          <w:rFonts w:ascii="Arial" w:hAnsi="Arial" w:cs="Arial"/>
        </w:rPr>
      </w:pPr>
    </w:p>
    <w:p w14:paraId="5133C5DC" w14:textId="77777777" w:rsidR="009D5BF3" w:rsidRPr="009D5BF3" w:rsidRDefault="009D5BF3" w:rsidP="009D5BF3">
      <w:pPr>
        <w:pStyle w:val="Body"/>
        <w:spacing w:after="0"/>
        <w:rPr>
          <w:rFonts w:ascii="Arial" w:hAnsi="Arial" w:cs="Arial"/>
        </w:rPr>
      </w:pPr>
      <w:r w:rsidRPr="009D5BF3">
        <w:rPr>
          <w:rFonts w:ascii="Arial" w:hAnsi="Arial" w:cs="Arial"/>
        </w:rPr>
        <w:t xml:space="preserve">In terms of alternative antimalarial knowledge, nurses and midwives show limited awareness of non-ACT options such as </w:t>
      </w:r>
      <w:proofErr w:type="spellStart"/>
      <w:r w:rsidRPr="009D5BF3">
        <w:rPr>
          <w:rFonts w:ascii="Arial" w:hAnsi="Arial" w:cs="Arial"/>
        </w:rPr>
        <w:t>ASiv</w:t>
      </w:r>
      <w:proofErr w:type="spellEnd"/>
      <w:r w:rsidRPr="009D5BF3">
        <w:rPr>
          <w:rFonts w:ascii="Arial" w:hAnsi="Arial" w:cs="Arial"/>
        </w:rPr>
        <w:t xml:space="preserve">, </w:t>
      </w:r>
      <w:proofErr w:type="spellStart"/>
      <w:r w:rsidRPr="009D5BF3">
        <w:rPr>
          <w:rFonts w:ascii="Arial" w:hAnsi="Arial" w:cs="Arial"/>
        </w:rPr>
        <w:t>AMim</w:t>
      </w:r>
      <w:proofErr w:type="spellEnd"/>
      <w:r w:rsidRPr="009D5BF3">
        <w:rPr>
          <w:rFonts w:ascii="Arial" w:hAnsi="Arial" w:cs="Arial"/>
        </w:rPr>
        <w:t xml:space="preserve">, SP, AM/Doxycycline, and AS/HF, though these are recognized by only a small fraction (≤12.5%) (Table 3). General practitioners and specialists report minimal familiarity with these alternatives, suggesting that ACTs remain the dominant therapeutic reference. </w:t>
      </w:r>
    </w:p>
    <w:p w14:paraId="4A3A6682" w14:textId="77777777" w:rsidR="009D5BF3" w:rsidRPr="009D5BF3" w:rsidRDefault="009D5BF3" w:rsidP="009D5BF3">
      <w:pPr>
        <w:pStyle w:val="Body"/>
        <w:spacing w:after="0"/>
        <w:rPr>
          <w:rFonts w:ascii="Arial" w:hAnsi="Arial" w:cs="Arial"/>
          <w:b/>
        </w:rPr>
      </w:pPr>
    </w:p>
    <w:p w14:paraId="40D3BD83" w14:textId="353F95C6" w:rsidR="009D5BF3" w:rsidRPr="003905ED" w:rsidRDefault="003905ED" w:rsidP="009D5BF3">
      <w:pPr>
        <w:pStyle w:val="Body"/>
        <w:spacing w:after="0"/>
        <w:rPr>
          <w:rFonts w:ascii="Arial" w:hAnsi="Arial" w:cs="Arial"/>
          <w:b/>
          <w:sz w:val="22"/>
          <w:szCs w:val="22"/>
        </w:rPr>
      </w:pPr>
      <w:r w:rsidRPr="003905ED">
        <w:rPr>
          <w:rFonts w:ascii="Arial" w:hAnsi="Arial" w:cs="Arial"/>
          <w:b/>
          <w:sz w:val="22"/>
          <w:szCs w:val="22"/>
        </w:rPr>
        <w:t xml:space="preserve">3.5 </w:t>
      </w:r>
      <w:r w:rsidR="009D5BF3" w:rsidRPr="003905ED">
        <w:rPr>
          <w:rFonts w:ascii="Arial" w:hAnsi="Arial" w:cs="Arial"/>
          <w:b/>
          <w:sz w:val="22"/>
          <w:szCs w:val="22"/>
        </w:rPr>
        <w:t>Factors influencing malaria diagnosis among prescribers in the Buea Health District</w:t>
      </w:r>
    </w:p>
    <w:p w14:paraId="4044AEC6" w14:textId="77777777" w:rsidR="003905ED" w:rsidRPr="009D5BF3" w:rsidRDefault="003905ED" w:rsidP="009D5BF3">
      <w:pPr>
        <w:pStyle w:val="Body"/>
        <w:spacing w:after="0"/>
        <w:rPr>
          <w:rFonts w:ascii="Arial" w:hAnsi="Arial" w:cs="Arial"/>
          <w:b/>
        </w:rPr>
      </w:pPr>
    </w:p>
    <w:p w14:paraId="161A2B8D" w14:textId="77777777" w:rsidR="009D5BF3" w:rsidRDefault="009D5BF3" w:rsidP="009D5BF3">
      <w:pPr>
        <w:pStyle w:val="Body"/>
        <w:spacing w:after="0"/>
        <w:rPr>
          <w:rFonts w:ascii="Arial" w:hAnsi="Arial" w:cs="Arial"/>
        </w:rPr>
      </w:pPr>
      <w:r w:rsidRPr="009D5BF3">
        <w:rPr>
          <w:rFonts w:ascii="Arial" w:hAnsi="Arial" w:cs="Arial"/>
        </w:rPr>
        <w:t xml:space="preserve">Figure 2 highlights key factors </w:t>
      </w:r>
      <w:bookmarkStart w:id="6" w:name="_Hlk210330421"/>
      <w:r w:rsidRPr="009D5BF3">
        <w:rPr>
          <w:rFonts w:ascii="Arial" w:hAnsi="Arial" w:cs="Arial"/>
        </w:rPr>
        <w:t>influencing malaria diagnosis among prescribers in the Buea Health District.</w:t>
      </w:r>
      <w:bookmarkEnd w:id="6"/>
      <w:r w:rsidRPr="009D5BF3">
        <w:rPr>
          <w:rFonts w:ascii="Arial" w:hAnsi="Arial" w:cs="Arial"/>
        </w:rPr>
        <w:t xml:space="preserve"> The most dominant diagnostic cue is fever as the first malaria sign (23.1%), followed closely by the recognition that Cameroon is an endemic zone (20.5%) (Figure 2). A notable proportion (15.4%) also rely on the presence of multiple malaria signs, reinforcing symptom clustering as a diagnostic trigger. Less influential factors include logistical and socioeconomic constraints such as lack of money for testing, absence of microscopy or lab technicians, and ease of prescription, each contributing 2.5% to 5.1% of diagnostic decisions (Figure 2). </w:t>
      </w:r>
    </w:p>
    <w:p w14:paraId="4E4286D7" w14:textId="77777777" w:rsidR="003905ED" w:rsidRPr="009D5BF3" w:rsidRDefault="003905ED" w:rsidP="009D5BF3">
      <w:pPr>
        <w:pStyle w:val="Body"/>
        <w:spacing w:after="0"/>
        <w:rPr>
          <w:rFonts w:ascii="Arial" w:hAnsi="Arial" w:cs="Arial"/>
        </w:rPr>
      </w:pPr>
    </w:p>
    <w:bookmarkEnd w:id="5"/>
    <w:p w14:paraId="0505755A" w14:textId="77777777" w:rsidR="009D5BF3" w:rsidRPr="009D5BF3" w:rsidRDefault="009D5BF3" w:rsidP="009D5BF3">
      <w:pPr>
        <w:pStyle w:val="Body"/>
        <w:spacing w:after="0"/>
        <w:rPr>
          <w:rFonts w:ascii="Arial" w:hAnsi="Arial" w:cs="Arial"/>
        </w:rPr>
      </w:pPr>
      <w:r w:rsidRPr="009D5BF3">
        <w:rPr>
          <w:rFonts w:ascii="Arial" w:hAnsi="Arial" w:cs="Arial"/>
          <w:noProof/>
        </w:rPr>
        <w:lastRenderedPageBreak/>
        <w:drawing>
          <wp:inline distT="0" distB="0" distL="0" distR="0" wp14:anchorId="49F75A3D" wp14:editId="314DB6E5">
            <wp:extent cx="5149850" cy="3180731"/>
            <wp:effectExtent l="0" t="0" r="0" b="635"/>
            <wp:docPr id="476211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1939" cy="3182021"/>
                    </a:xfrm>
                    <a:prstGeom prst="rect">
                      <a:avLst/>
                    </a:prstGeom>
                    <a:noFill/>
                  </pic:spPr>
                </pic:pic>
              </a:graphicData>
            </a:graphic>
          </wp:inline>
        </w:drawing>
      </w:r>
    </w:p>
    <w:p w14:paraId="3D73A8DB" w14:textId="77777777" w:rsidR="009D5BF3" w:rsidRPr="009D5BF3" w:rsidRDefault="009D5BF3" w:rsidP="009D5BF3">
      <w:pPr>
        <w:pStyle w:val="Body"/>
        <w:spacing w:after="0"/>
        <w:rPr>
          <w:rFonts w:ascii="Arial" w:hAnsi="Arial" w:cs="Arial"/>
          <w:b/>
          <w:bCs/>
        </w:rPr>
      </w:pPr>
      <w:r w:rsidRPr="009D5BF3">
        <w:rPr>
          <w:rFonts w:ascii="Arial" w:hAnsi="Arial" w:cs="Arial"/>
          <w:b/>
          <w:bCs/>
        </w:rPr>
        <w:t xml:space="preserve">Figure </w:t>
      </w:r>
      <w:r w:rsidRPr="009D5BF3">
        <w:rPr>
          <w:rFonts w:ascii="Arial" w:hAnsi="Arial" w:cs="Arial"/>
          <w:b/>
          <w:bCs/>
        </w:rPr>
        <w:fldChar w:fldCharType="begin"/>
      </w:r>
      <w:r w:rsidRPr="009D5BF3">
        <w:rPr>
          <w:rFonts w:ascii="Arial" w:hAnsi="Arial" w:cs="Arial"/>
          <w:b/>
          <w:bCs/>
        </w:rPr>
        <w:instrText xml:space="preserve"> SEQ Figure \* ARABIC </w:instrText>
      </w:r>
      <w:r w:rsidRPr="009D5BF3">
        <w:rPr>
          <w:rFonts w:ascii="Arial" w:hAnsi="Arial" w:cs="Arial"/>
          <w:b/>
          <w:bCs/>
        </w:rPr>
        <w:fldChar w:fldCharType="separate"/>
      </w:r>
      <w:r w:rsidRPr="009D5BF3">
        <w:rPr>
          <w:rFonts w:ascii="Arial" w:hAnsi="Arial" w:cs="Arial"/>
          <w:b/>
          <w:bCs/>
        </w:rPr>
        <w:t>3</w:t>
      </w:r>
      <w:r w:rsidRPr="009D5BF3">
        <w:rPr>
          <w:rFonts w:ascii="Arial" w:hAnsi="Arial" w:cs="Arial"/>
        </w:rPr>
        <w:fldChar w:fldCharType="end"/>
      </w:r>
      <w:r w:rsidRPr="009D5BF3">
        <w:rPr>
          <w:rFonts w:ascii="Arial" w:hAnsi="Arial" w:cs="Arial"/>
          <w:b/>
          <w:bCs/>
        </w:rPr>
        <w:t>: Malaria signs and diagnostic influences in the Buea health district</w:t>
      </w:r>
    </w:p>
    <w:p w14:paraId="1921A504" w14:textId="77777777" w:rsidR="009D5BF3" w:rsidRPr="009D5BF3" w:rsidRDefault="009D5BF3" w:rsidP="009D5BF3">
      <w:pPr>
        <w:pStyle w:val="Body"/>
        <w:spacing w:after="0"/>
        <w:rPr>
          <w:rFonts w:ascii="Arial" w:hAnsi="Arial" w:cs="Arial"/>
          <w:b/>
          <w:bCs/>
        </w:rPr>
      </w:pPr>
    </w:p>
    <w:p w14:paraId="3AC43A8F" w14:textId="3C4A910E" w:rsidR="009D5BF3" w:rsidRPr="003905ED" w:rsidRDefault="003905ED" w:rsidP="009D5BF3">
      <w:pPr>
        <w:pStyle w:val="Body"/>
        <w:spacing w:after="0"/>
        <w:rPr>
          <w:rFonts w:ascii="Arial" w:hAnsi="Arial" w:cs="Arial"/>
          <w:b/>
          <w:bCs/>
          <w:sz w:val="22"/>
          <w:szCs w:val="22"/>
        </w:rPr>
      </w:pPr>
      <w:r w:rsidRPr="003905ED">
        <w:rPr>
          <w:rFonts w:ascii="Arial" w:hAnsi="Arial" w:cs="Arial"/>
          <w:b/>
          <w:bCs/>
          <w:sz w:val="22"/>
          <w:szCs w:val="22"/>
        </w:rPr>
        <w:t xml:space="preserve">3.6 </w:t>
      </w:r>
      <w:r w:rsidR="009D5BF3" w:rsidRPr="003905ED">
        <w:rPr>
          <w:rFonts w:ascii="Arial" w:hAnsi="Arial" w:cs="Arial"/>
          <w:b/>
          <w:bCs/>
          <w:sz w:val="22"/>
          <w:szCs w:val="22"/>
        </w:rPr>
        <w:t>Diagnostic Test Waiting Practices Among Healthcare Providers before prescribing antimalarial</w:t>
      </w:r>
    </w:p>
    <w:p w14:paraId="1AFF5A59" w14:textId="77777777" w:rsidR="003905ED" w:rsidRPr="009D5BF3" w:rsidRDefault="003905ED" w:rsidP="009D5BF3">
      <w:pPr>
        <w:pStyle w:val="Body"/>
        <w:spacing w:after="0"/>
        <w:rPr>
          <w:rFonts w:ascii="Arial" w:hAnsi="Arial" w:cs="Arial"/>
          <w:b/>
          <w:bCs/>
        </w:rPr>
      </w:pPr>
    </w:p>
    <w:p w14:paraId="15074AF5" w14:textId="77777777" w:rsidR="009D5BF3" w:rsidRDefault="009D5BF3" w:rsidP="009D5BF3">
      <w:pPr>
        <w:pStyle w:val="Body"/>
        <w:spacing w:after="0"/>
        <w:rPr>
          <w:rFonts w:ascii="Arial" w:hAnsi="Arial" w:cs="Arial"/>
        </w:rPr>
      </w:pPr>
      <w:bookmarkStart w:id="7" w:name="_Hlk210419275"/>
      <w:r w:rsidRPr="009D5BF3">
        <w:rPr>
          <w:rFonts w:ascii="Arial" w:hAnsi="Arial" w:cs="Arial"/>
        </w:rPr>
        <w:t xml:space="preserve">Figure 3 illustrates diagnostic test preferences among healthcare providers in the Buea Health District before prescribing antimalarial, comparing general practitioners and specialists (49.21%) with nurses and midwives (50.79%). A strong majority of both groups prefer to wait for Rapid Diagnostic Tests (RDTs), with 87.1% of physicians and 84.4% of nurses/midwives opting for this method resulting in an overall preference of 85.7% (Figure 3). Similarly, 83.9% of physicians and 75.0% of nurses/midwives wait for microscopy, totaling 79.4% across all prescribers (Figure 3). </w:t>
      </w:r>
    </w:p>
    <w:p w14:paraId="6D36870C" w14:textId="77777777" w:rsidR="003905ED" w:rsidRPr="009D5BF3" w:rsidRDefault="003905ED" w:rsidP="009D5BF3">
      <w:pPr>
        <w:pStyle w:val="Body"/>
        <w:spacing w:after="0"/>
        <w:rPr>
          <w:rFonts w:ascii="Arial" w:hAnsi="Arial" w:cs="Arial"/>
        </w:rPr>
      </w:pPr>
    </w:p>
    <w:bookmarkEnd w:id="7"/>
    <w:p w14:paraId="53D345A9" w14:textId="77777777" w:rsidR="009D5BF3" w:rsidRPr="009D5BF3" w:rsidRDefault="009D5BF3" w:rsidP="009D5BF3">
      <w:pPr>
        <w:pStyle w:val="Body"/>
        <w:spacing w:after="0"/>
        <w:rPr>
          <w:rFonts w:ascii="Arial" w:hAnsi="Arial" w:cs="Arial"/>
        </w:rPr>
      </w:pPr>
      <w:r w:rsidRPr="009D5BF3">
        <w:rPr>
          <w:rFonts w:ascii="Arial" w:hAnsi="Arial" w:cs="Arial"/>
          <w:noProof/>
        </w:rPr>
        <w:lastRenderedPageBreak/>
        <w:drawing>
          <wp:inline distT="0" distB="0" distL="0" distR="0" wp14:anchorId="0D6E35C7" wp14:editId="5811CAD0">
            <wp:extent cx="5496560" cy="2887125"/>
            <wp:effectExtent l="0" t="0" r="0" b="8890"/>
            <wp:docPr id="1314702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02480" name=""/>
                    <pic:cNvPicPr/>
                  </pic:nvPicPr>
                  <pic:blipFill>
                    <a:blip r:embed="rId14"/>
                    <a:stretch>
                      <a:fillRect/>
                    </a:stretch>
                  </pic:blipFill>
                  <pic:spPr>
                    <a:xfrm>
                      <a:off x="0" y="0"/>
                      <a:ext cx="5506914" cy="2892564"/>
                    </a:xfrm>
                    <a:prstGeom prst="rect">
                      <a:avLst/>
                    </a:prstGeom>
                  </pic:spPr>
                </pic:pic>
              </a:graphicData>
            </a:graphic>
          </wp:inline>
        </w:drawing>
      </w:r>
    </w:p>
    <w:p w14:paraId="6B24481F" w14:textId="77777777" w:rsidR="009D5BF3" w:rsidRPr="009D5BF3" w:rsidRDefault="009D5BF3" w:rsidP="009D5BF3">
      <w:pPr>
        <w:pStyle w:val="Body"/>
        <w:spacing w:after="0"/>
        <w:rPr>
          <w:rFonts w:ascii="Arial" w:hAnsi="Arial" w:cs="Arial"/>
          <w:b/>
          <w:bCs/>
        </w:rPr>
      </w:pPr>
      <w:r w:rsidRPr="009D5BF3">
        <w:rPr>
          <w:rFonts w:ascii="Arial" w:hAnsi="Arial" w:cs="Arial"/>
          <w:b/>
          <w:bCs/>
        </w:rPr>
        <w:t xml:space="preserve">Figure </w:t>
      </w:r>
      <w:r w:rsidRPr="009D5BF3">
        <w:rPr>
          <w:rFonts w:ascii="Arial" w:hAnsi="Arial" w:cs="Arial"/>
          <w:b/>
          <w:bCs/>
        </w:rPr>
        <w:fldChar w:fldCharType="begin"/>
      </w:r>
      <w:r w:rsidRPr="009D5BF3">
        <w:rPr>
          <w:rFonts w:ascii="Arial" w:hAnsi="Arial" w:cs="Arial"/>
          <w:b/>
          <w:bCs/>
        </w:rPr>
        <w:instrText xml:space="preserve"> SEQ Figure \* ARABIC </w:instrText>
      </w:r>
      <w:r w:rsidRPr="009D5BF3">
        <w:rPr>
          <w:rFonts w:ascii="Arial" w:hAnsi="Arial" w:cs="Arial"/>
          <w:b/>
          <w:bCs/>
        </w:rPr>
        <w:fldChar w:fldCharType="separate"/>
      </w:r>
      <w:r w:rsidRPr="009D5BF3">
        <w:rPr>
          <w:rFonts w:ascii="Arial" w:hAnsi="Arial" w:cs="Arial"/>
          <w:b/>
          <w:bCs/>
        </w:rPr>
        <w:t>4</w:t>
      </w:r>
      <w:r w:rsidRPr="009D5BF3">
        <w:rPr>
          <w:rFonts w:ascii="Arial" w:hAnsi="Arial" w:cs="Arial"/>
        </w:rPr>
        <w:fldChar w:fldCharType="end"/>
      </w:r>
      <w:r w:rsidRPr="009D5BF3">
        <w:rPr>
          <w:rFonts w:ascii="Arial" w:hAnsi="Arial" w:cs="Arial"/>
          <w:b/>
          <w:bCs/>
        </w:rPr>
        <w:t>: A flow chart of Diagnostic Test Waiting Practices Among Buea Healthcare Providers</w:t>
      </w:r>
    </w:p>
    <w:p w14:paraId="69EFC465" w14:textId="77777777" w:rsidR="009D5BF3" w:rsidRPr="009D5BF3" w:rsidRDefault="009D5BF3" w:rsidP="009D5BF3">
      <w:pPr>
        <w:pStyle w:val="Body"/>
        <w:spacing w:after="0"/>
        <w:rPr>
          <w:rFonts w:ascii="Arial" w:hAnsi="Arial" w:cs="Arial"/>
          <w:b/>
          <w:bCs/>
        </w:rPr>
      </w:pPr>
    </w:p>
    <w:p w14:paraId="2E4E4FB4" w14:textId="77777777" w:rsidR="009D5BF3" w:rsidRPr="009D5BF3" w:rsidRDefault="009D5BF3" w:rsidP="009D5BF3">
      <w:pPr>
        <w:pStyle w:val="Body"/>
        <w:spacing w:after="0"/>
        <w:rPr>
          <w:rFonts w:ascii="Arial" w:hAnsi="Arial" w:cs="Arial"/>
        </w:rPr>
      </w:pPr>
      <w:bookmarkStart w:id="8" w:name="_Hlk210419292"/>
      <w:r w:rsidRPr="009D5BF3">
        <w:rPr>
          <w:rFonts w:ascii="Arial" w:hAnsi="Arial" w:cs="Arial"/>
        </w:rPr>
        <w:t>Figure 4 outlines key barriers to the use of Rapid Diagnostic Tests (RDT), microscopy, or both in malaria diagnosis among healthcare providers. The most frequently cited obstacles affecting microscopy users (15%) and those relying on both methods (15%). the absence of personnel (15%) was also cited as one of the main obstacles, highlighting critical infrastructural and staffing gaps (Figure4). Other notable challenges include absence of reagents (6.67%) across all methods, work overload, and patients’ inability to pay, each contributing modestly to diagnostic delays. Interestingly, doubt about RDT accuracy was minimal (1.67%) (Figure 4).</w:t>
      </w:r>
    </w:p>
    <w:bookmarkEnd w:id="8"/>
    <w:p w14:paraId="0D546D48" w14:textId="77777777" w:rsidR="009D5BF3" w:rsidRPr="009D5BF3" w:rsidRDefault="009D5BF3" w:rsidP="009D5BF3">
      <w:pPr>
        <w:pStyle w:val="Body"/>
        <w:spacing w:after="0"/>
        <w:rPr>
          <w:rFonts w:ascii="Arial" w:hAnsi="Arial" w:cs="Arial"/>
        </w:rPr>
      </w:pPr>
    </w:p>
    <w:p w14:paraId="7AF1222B" w14:textId="77777777" w:rsidR="009D5BF3" w:rsidRPr="009D5BF3" w:rsidRDefault="009D5BF3" w:rsidP="009D5BF3">
      <w:pPr>
        <w:pStyle w:val="Body"/>
        <w:spacing w:after="0"/>
        <w:rPr>
          <w:rFonts w:ascii="Arial" w:hAnsi="Arial" w:cs="Arial"/>
        </w:rPr>
      </w:pPr>
      <w:r w:rsidRPr="009D5BF3">
        <w:rPr>
          <w:rFonts w:ascii="Arial" w:hAnsi="Arial" w:cs="Arial"/>
          <w:noProof/>
        </w:rPr>
        <w:lastRenderedPageBreak/>
        <w:drawing>
          <wp:inline distT="0" distB="0" distL="0" distR="0" wp14:anchorId="3D9E7E41" wp14:editId="045E64A6">
            <wp:extent cx="5416770" cy="3548179"/>
            <wp:effectExtent l="0" t="0" r="0" b="0"/>
            <wp:docPr id="16767783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8807" cy="3556064"/>
                    </a:xfrm>
                    <a:prstGeom prst="rect">
                      <a:avLst/>
                    </a:prstGeom>
                    <a:noFill/>
                  </pic:spPr>
                </pic:pic>
              </a:graphicData>
            </a:graphic>
          </wp:inline>
        </w:drawing>
      </w:r>
    </w:p>
    <w:p w14:paraId="0FB8C29C" w14:textId="77777777" w:rsidR="009D5BF3" w:rsidRPr="009D5BF3" w:rsidRDefault="009D5BF3" w:rsidP="009D5BF3">
      <w:pPr>
        <w:pStyle w:val="Body"/>
        <w:spacing w:after="0"/>
        <w:rPr>
          <w:rFonts w:ascii="Arial" w:hAnsi="Arial" w:cs="Arial"/>
          <w:b/>
          <w:bCs/>
        </w:rPr>
      </w:pPr>
      <w:r w:rsidRPr="009D5BF3">
        <w:rPr>
          <w:rFonts w:ascii="Arial" w:hAnsi="Arial" w:cs="Arial"/>
          <w:b/>
          <w:bCs/>
        </w:rPr>
        <w:t xml:space="preserve">Figure </w:t>
      </w:r>
      <w:r w:rsidRPr="009D5BF3">
        <w:rPr>
          <w:rFonts w:ascii="Arial" w:hAnsi="Arial" w:cs="Arial"/>
          <w:b/>
          <w:bCs/>
        </w:rPr>
        <w:fldChar w:fldCharType="begin"/>
      </w:r>
      <w:r w:rsidRPr="009D5BF3">
        <w:rPr>
          <w:rFonts w:ascii="Arial" w:hAnsi="Arial" w:cs="Arial"/>
          <w:b/>
          <w:bCs/>
        </w:rPr>
        <w:instrText xml:space="preserve"> SEQ Figure \* ARABIC </w:instrText>
      </w:r>
      <w:r w:rsidRPr="009D5BF3">
        <w:rPr>
          <w:rFonts w:ascii="Arial" w:hAnsi="Arial" w:cs="Arial"/>
          <w:b/>
          <w:bCs/>
        </w:rPr>
        <w:fldChar w:fldCharType="separate"/>
      </w:r>
      <w:r w:rsidRPr="009D5BF3">
        <w:rPr>
          <w:rFonts w:ascii="Arial" w:hAnsi="Arial" w:cs="Arial"/>
          <w:b/>
          <w:bCs/>
        </w:rPr>
        <w:t>5</w:t>
      </w:r>
      <w:r w:rsidRPr="009D5BF3">
        <w:rPr>
          <w:rFonts w:ascii="Arial" w:hAnsi="Arial" w:cs="Arial"/>
        </w:rPr>
        <w:fldChar w:fldCharType="end"/>
      </w:r>
      <w:r w:rsidRPr="009D5BF3">
        <w:rPr>
          <w:rFonts w:ascii="Arial" w:hAnsi="Arial" w:cs="Arial"/>
          <w:b/>
          <w:bCs/>
        </w:rPr>
        <w:t>: Barriers to RDT and Microscopy Use in Malaria Diagnosis in the Buea Healthcare</w:t>
      </w:r>
    </w:p>
    <w:p w14:paraId="3E0E9F3B" w14:textId="77777777" w:rsidR="009D5BF3" w:rsidRPr="009D5BF3" w:rsidRDefault="009D5BF3" w:rsidP="009D5BF3">
      <w:pPr>
        <w:pStyle w:val="Body"/>
        <w:spacing w:after="0"/>
        <w:rPr>
          <w:rFonts w:ascii="Arial" w:hAnsi="Arial" w:cs="Arial"/>
          <w:b/>
        </w:rPr>
      </w:pPr>
    </w:p>
    <w:p w14:paraId="51FF7BFD" w14:textId="0D98763E" w:rsidR="009D5BF3" w:rsidRPr="003905ED" w:rsidRDefault="003905ED" w:rsidP="009D5BF3">
      <w:pPr>
        <w:pStyle w:val="Body"/>
        <w:spacing w:after="0"/>
        <w:rPr>
          <w:rFonts w:ascii="Arial" w:hAnsi="Arial" w:cs="Arial"/>
          <w:b/>
          <w:sz w:val="22"/>
          <w:szCs w:val="22"/>
        </w:rPr>
      </w:pPr>
      <w:r w:rsidRPr="003905ED">
        <w:rPr>
          <w:rFonts w:ascii="Arial" w:hAnsi="Arial" w:cs="Arial"/>
          <w:b/>
          <w:sz w:val="22"/>
          <w:szCs w:val="22"/>
        </w:rPr>
        <w:t xml:space="preserve">3.7 </w:t>
      </w:r>
      <w:r w:rsidR="009D5BF3" w:rsidRPr="003905ED">
        <w:rPr>
          <w:rFonts w:ascii="Arial" w:hAnsi="Arial" w:cs="Arial"/>
          <w:b/>
          <w:sz w:val="22"/>
          <w:szCs w:val="22"/>
        </w:rPr>
        <w:t>Antimalarial drug use for simple malaria treatment</w:t>
      </w:r>
    </w:p>
    <w:p w14:paraId="0D6E61E6" w14:textId="77777777" w:rsidR="003905ED" w:rsidRPr="009D5BF3" w:rsidRDefault="003905ED" w:rsidP="009D5BF3">
      <w:pPr>
        <w:pStyle w:val="Body"/>
        <w:spacing w:after="0"/>
        <w:rPr>
          <w:rFonts w:ascii="Arial" w:hAnsi="Arial" w:cs="Arial"/>
          <w:b/>
        </w:rPr>
      </w:pPr>
    </w:p>
    <w:p w14:paraId="514485C8" w14:textId="77777777" w:rsidR="009D5BF3" w:rsidRDefault="009D5BF3" w:rsidP="009D5BF3">
      <w:pPr>
        <w:pStyle w:val="Body"/>
        <w:spacing w:after="0"/>
        <w:rPr>
          <w:rFonts w:ascii="Arial" w:hAnsi="Arial" w:cs="Arial"/>
        </w:rPr>
      </w:pPr>
      <w:bookmarkStart w:id="9" w:name="_Hlk210419309"/>
      <w:r w:rsidRPr="009D5BF3">
        <w:rPr>
          <w:rFonts w:ascii="Arial" w:hAnsi="Arial" w:cs="Arial"/>
        </w:rPr>
        <w:t>Table 4 highlight antimalarial drug use in first intention reveals a strong and consistent preference for Artemisinin-based Combination Therapy (ACT) across all age groups and provider types. Over 80% of both general practitioners/specialists and nurses/midwives prescribed ACTs to children under 5, adolescents aged 5–18, and adults. The uniformity in ACT prescription rates between provider categories especially the near-identical figures for each age group (Table 4). Across all age groups, Artemether/Lumefantrine (AL) emerged as the most frequently prescribed ACT formulation, accounting for 68.3% of total prescriptions. Among children under 5 years, AL was administered by general practitioners and specialists in 67.7% of cases, closely mirrored by nurses and midwives at 68.8% (Table 4). This pattern held steady in older age brackets: for children aged 5–18 years, AL was prescribed in 64.5% of cases by GPs and 68.8% by nurses, while adult patients received AL in 64.5% and 68.8% of cases respectively (Table 4). ASAQ (Artesunate/Amodiaquine) follows distantly at 12.7%, while DHA/PQP (</w:t>
      </w:r>
      <w:proofErr w:type="spellStart"/>
      <w:r w:rsidRPr="009D5BF3">
        <w:rPr>
          <w:rFonts w:ascii="Arial" w:hAnsi="Arial" w:cs="Arial"/>
        </w:rPr>
        <w:t>Dihydroartemisinin</w:t>
      </w:r>
      <w:proofErr w:type="spellEnd"/>
      <w:r w:rsidRPr="009D5BF3">
        <w:rPr>
          <w:rFonts w:ascii="Arial" w:hAnsi="Arial" w:cs="Arial"/>
        </w:rPr>
        <w:t xml:space="preserve">/Piperaquine) is rarely used, appearing in only 1.6% of cases (Table 4).  Non-ACT antimalarials including Quinine (Q), Chloroquine (CQ), and Oral Quinine were prescribed in only 1.6% of cases each, and exclusively by general practitioners and specialists (Table 4). </w:t>
      </w:r>
    </w:p>
    <w:p w14:paraId="7C921CEF" w14:textId="77777777" w:rsidR="003905ED" w:rsidRPr="009D5BF3" w:rsidRDefault="003905ED" w:rsidP="009D5BF3">
      <w:pPr>
        <w:pStyle w:val="Body"/>
        <w:spacing w:after="0"/>
        <w:rPr>
          <w:rFonts w:ascii="Arial" w:hAnsi="Arial" w:cs="Arial"/>
        </w:rPr>
      </w:pPr>
    </w:p>
    <w:bookmarkEnd w:id="9"/>
    <w:p w14:paraId="4CCD2093" w14:textId="77777777" w:rsidR="009D5BF3" w:rsidRPr="009D5BF3" w:rsidRDefault="009D5BF3" w:rsidP="009D5BF3">
      <w:pPr>
        <w:pStyle w:val="Body"/>
        <w:spacing w:after="0"/>
        <w:rPr>
          <w:rFonts w:ascii="Arial" w:hAnsi="Arial" w:cs="Arial"/>
          <w:b/>
          <w:bCs/>
        </w:rPr>
      </w:pPr>
      <w:r w:rsidRPr="009D5BF3">
        <w:rPr>
          <w:rFonts w:ascii="Arial" w:hAnsi="Arial" w:cs="Arial"/>
          <w:b/>
          <w:bCs/>
        </w:rPr>
        <w:t>Table 4. Antimalarial Prescription Patterns by Age Group and Provider Type for first intentions</w:t>
      </w:r>
    </w:p>
    <w:tbl>
      <w:tblPr>
        <w:tblStyle w:val="ListTable6Colorful"/>
        <w:tblW w:w="0" w:type="auto"/>
        <w:tblLook w:val="04A0" w:firstRow="1" w:lastRow="0" w:firstColumn="1" w:lastColumn="0" w:noHBand="0" w:noVBand="1"/>
      </w:tblPr>
      <w:tblGrid>
        <w:gridCol w:w="1515"/>
        <w:gridCol w:w="1451"/>
        <w:gridCol w:w="1799"/>
        <w:gridCol w:w="1897"/>
        <w:gridCol w:w="1546"/>
      </w:tblGrid>
      <w:tr w:rsidR="009D5BF3" w:rsidRPr="009D5BF3" w14:paraId="441D0A1B" w14:textId="77777777" w:rsidTr="003905E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noWrap/>
            <w:hideMark/>
          </w:tcPr>
          <w:p w14:paraId="746775D9" w14:textId="77777777" w:rsidR="009D5BF3" w:rsidRPr="009D5BF3" w:rsidRDefault="009D5BF3" w:rsidP="003905ED">
            <w:pPr>
              <w:pStyle w:val="Body"/>
              <w:spacing w:after="0"/>
              <w:rPr>
                <w:rFonts w:ascii="Arial" w:hAnsi="Arial" w:cs="Arial"/>
                <w:lang w:val="en-GB"/>
              </w:rPr>
            </w:pPr>
            <w:r w:rsidRPr="009D5BF3">
              <w:rPr>
                <w:rFonts w:ascii="Arial" w:hAnsi="Arial" w:cs="Arial"/>
              </w:rPr>
              <w:t>Antimalarial</w:t>
            </w:r>
          </w:p>
        </w:tc>
        <w:tc>
          <w:tcPr>
            <w:tcW w:w="1595" w:type="dxa"/>
            <w:noWrap/>
            <w:hideMark/>
          </w:tcPr>
          <w:p w14:paraId="40210CDA"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Age Group</w:t>
            </w:r>
          </w:p>
        </w:tc>
        <w:tc>
          <w:tcPr>
            <w:tcW w:w="1984" w:type="dxa"/>
            <w:noWrap/>
            <w:hideMark/>
          </w:tcPr>
          <w:p w14:paraId="4EF6ED52"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GPs &amp; Specialists (n = 31)</w:t>
            </w:r>
          </w:p>
        </w:tc>
        <w:tc>
          <w:tcPr>
            <w:tcW w:w="2093" w:type="dxa"/>
            <w:noWrap/>
            <w:hideMark/>
          </w:tcPr>
          <w:p w14:paraId="71FB52BB"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Nurses &amp; Midwives (n = 32)</w:t>
            </w:r>
          </w:p>
        </w:tc>
        <w:tc>
          <w:tcPr>
            <w:tcW w:w="1701" w:type="dxa"/>
            <w:noWrap/>
            <w:hideMark/>
          </w:tcPr>
          <w:p w14:paraId="51A1B802"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Total (n = 63)</w:t>
            </w:r>
          </w:p>
        </w:tc>
      </w:tr>
      <w:tr w:rsidR="003905ED" w:rsidRPr="009D5BF3" w14:paraId="7A143E59"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shd w:val="clear" w:color="auto" w:fill="auto"/>
            <w:noWrap/>
            <w:hideMark/>
          </w:tcPr>
          <w:p w14:paraId="29197E6F" w14:textId="77777777" w:rsidR="009D5BF3" w:rsidRPr="009D5BF3" w:rsidRDefault="009D5BF3" w:rsidP="003905ED">
            <w:pPr>
              <w:pStyle w:val="Body"/>
              <w:spacing w:after="0"/>
              <w:rPr>
                <w:rFonts w:ascii="Arial" w:hAnsi="Arial" w:cs="Arial"/>
                <w:lang w:val="en-GB"/>
              </w:rPr>
            </w:pPr>
          </w:p>
          <w:p w14:paraId="52142CE2"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lastRenderedPageBreak/>
              <w:t>ACT (any)</w:t>
            </w:r>
          </w:p>
        </w:tc>
        <w:tc>
          <w:tcPr>
            <w:tcW w:w="1595" w:type="dxa"/>
            <w:shd w:val="clear" w:color="auto" w:fill="auto"/>
            <w:noWrap/>
            <w:hideMark/>
          </w:tcPr>
          <w:p w14:paraId="6B0ABBA8"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lastRenderedPageBreak/>
              <w:t>&lt;5 years</w:t>
            </w:r>
          </w:p>
        </w:tc>
        <w:tc>
          <w:tcPr>
            <w:tcW w:w="1984" w:type="dxa"/>
            <w:shd w:val="clear" w:color="auto" w:fill="auto"/>
            <w:noWrap/>
            <w:hideMark/>
          </w:tcPr>
          <w:p w14:paraId="15CE08E8"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26 (83.9%)</w:t>
            </w:r>
          </w:p>
        </w:tc>
        <w:tc>
          <w:tcPr>
            <w:tcW w:w="2093" w:type="dxa"/>
            <w:shd w:val="clear" w:color="auto" w:fill="auto"/>
            <w:noWrap/>
            <w:hideMark/>
          </w:tcPr>
          <w:p w14:paraId="1C385CEA"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26 (81.3%)</w:t>
            </w:r>
          </w:p>
        </w:tc>
        <w:tc>
          <w:tcPr>
            <w:tcW w:w="1701" w:type="dxa"/>
            <w:shd w:val="clear" w:color="auto" w:fill="auto"/>
            <w:noWrap/>
            <w:hideMark/>
          </w:tcPr>
          <w:p w14:paraId="39512C1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52 (82.5%)</w:t>
            </w:r>
          </w:p>
        </w:tc>
      </w:tr>
      <w:tr w:rsidR="009D5BF3" w:rsidRPr="009D5BF3" w14:paraId="79864FCB"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noWrap/>
            <w:hideMark/>
          </w:tcPr>
          <w:p w14:paraId="75A8C2AE" w14:textId="77777777" w:rsidR="009D5BF3" w:rsidRPr="009D5BF3" w:rsidRDefault="009D5BF3" w:rsidP="003905ED">
            <w:pPr>
              <w:pStyle w:val="Body"/>
              <w:spacing w:after="0"/>
              <w:rPr>
                <w:rFonts w:ascii="Arial" w:hAnsi="Arial" w:cs="Arial"/>
                <w:lang w:val="en-GB"/>
              </w:rPr>
            </w:pPr>
          </w:p>
        </w:tc>
        <w:tc>
          <w:tcPr>
            <w:tcW w:w="1595" w:type="dxa"/>
            <w:noWrap/>
            <w:hideMark/>
          </w:tcPr>
          <w:p w14:paraId="66419235"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noWrap/>
            <w:hideMark/>
          </w:tcPr>
          <w:p w14:paraId="7C92E4F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25 (80.6%)</w:t>
            </w:r>
          </w:p>
        </w:tc>
        <w:tc>
          <w:tcPr>
            <w:tcW w:w="2093" w:type="dxa"/>
            <w:noWrap/>
            <w:hideMark/>
          </w:tcPr>
          <w:p w14:paraId="2A672FF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26 (81.3%)</w:t>
            </w:r>
          </w:p>
        </w:tc>
        <w:tc>
          <w:tcPr>
            <w:tcW w:w="1701" w:type="dxa"/>
            <w:noWrap/>
            <w:hideMark/>
          </w:tcPr>
          <w:p w14:paraId="53A845B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 (81.0%)</w:t>
            </w:r>
          </w:p>
        </w:tc>
      </w:tr>
      <w:tr w:rsidR="003905ED" w:rsidRPr="009D5BF3" w14:paraId="51270757"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4" w:space="0" w:color="auto"/>
            </w:tcBorders>
            <w:shd w:val="clear" w:color="auto" w:fill="auto"/>
            <w:noWrap/>
            <w:hideMark/>
          </w:tcPr>
          <w:p w14:paraId="30B01D4D" w14:textId="77777777" w:rsidR="009D5BF3" w:rsidRPr="009D5BF3" w:rsidRDefault="009D5BF3" w:rsidP="003905ED">
            <w:pPr>
              <w:pStyle w:val="Body"/>
              <w:spacing w:after="0"/>
              <w:rPr>
                <w:rFonts w:ascii="Arial" w:hAnsi="Arial" w:cs="Arial"/>
                <w:lang w:val="en-GB"/>
              </w:rPr>
            </w:pPr>
          </w:p>
        </w:tc>
        <w:tc>
          <w:tcPr>
            <w:tcW w:w="1595" w:type="dxa"/>
            <w:tcBorders>
              <w:bottom w:val="single" w:sz="4" w:space="0" w:color="auto"/>
            </w:tcBorders>
            <w:shd w:val="clear" w:color="auto" w:fill="auto"/>
            <w:noWrap/>
            <w:hideMark/>
          </w:tcPr>
          <w:p w14:paraId="6F60E4D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tcBorders>
              <w:bottom w:val="single" w:sz="4" w:space="0" w:color="auto"/>
            </w:tcBorders>
            <w:shd w:val="clear" w:color="auto" w:fill="auto"/>
            <w:noWrap/>
            <w:hideMark/>
          </w:tcPr>
          <w:p w14:paraId="733906F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25 (80.6%)</w:t>
            </w:r>
          </w:p>
        </w:tc>
        <w:tc>
          <w:tcPr>
            <w:tcW w:w="2093" w:type="dxa"/>
            <w:tcBorders>
              <w:bottom w:val="single" w:sz="4" w:space="0" w:color="auto"/>
            </w:tcBorders>
            <w:shd w:val="clear" w:color="auto" w:fill="auto"/>
            <w:noWrap/>
            <w:hideMark/>
          </w:tcPr>
          <w:p w14:paraId="6DCC33C6"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26 (81.3%)</w:t>
            </w:r>
          </w:p>
        </w:tc>
        <w:tc>
          <w:tcPr>
            <w:tcW w:w="1701" w:type="dxa"/>
            <w:tcBorders>
              <w:bottom w:val="single" w:sz="4" w:space="0" w:color="auto"/>
            </w:tcBorders>
            <w:shd w:val="clear" w:color="auto" w:fill="auto"/>
            <w:noWrap/>
            <w:hideMark/>
          </w:tcPr>
          <w:p w14:paraId="4DEB263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 (81.0%)</w:t>
            </w:r>
          </w:p>
        </w:tc>
      </w:tr>
      <w:tr w:rsidR="009D5BF3" w:rsidRPr="009D5BF3" w14:paraId="3397A43F"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4" w:space="0" w:color="auto"/>
            </w:tcBorders>
            <w:noWrap/>
            <w:hideMark/>
          </w:tcPr>
          <w:p w14:paraId="6151873E" w14:textId="77777777" w:rsidR="009D5BF3" w:rsidRPr="009D5BF3" w:rsidRDefault="009D5BF3" w:rsidP="003905ED">
            <w:pPr>
              <w:pStyle w:val="Body"/>
              <w:spacing w:after="0"/>
              <w:rPr>
                <w:rFonts w:ascii="Arial" w:hAnsi="Arial" w:cs="Arial"/>
                <w:lang w:val="en-GB"/>
              </w:rPr>
            </w:pPr>
          </w:p>
          <w:p w14:paraId="0FBE5248"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AL</w:t>
            </w:r>
          </w:p>
        </w:tc>
        <w:tc>
          <w:tcPr>
            <w:tcW w:w="1595" w:type="dxa"/>
            <w:tcBorders>
              <w:top w:val="single" w:sz="4" w:space="0" w:color="auto"/>
            </w:tcBorders>
            <w:noWrap/>
            <w:hideMark/>
          </w:tcPr>
          <w:p w14:paraId="13675832"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984" w:type="dxa"/>
            <w:tcBorders>
              <w:top w:val="single" w:sz="4" w:space="0" w:color="auto"/>
            </w:tcBorders>
            <w:noWrap/>
            <w:hideMark/>
          </w:tcPr>
          <w:p w14:paraId="7EAF26F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21 (67.7%)</w:t>
            </w:r>
          </w:p>
        </w:tc>
        <w:tc>
          <w:tcPr>
            <w:tcW w:w="2093" w:type="dxa"/>
            <w:tcBorders>
              <w:top w:val="single" w:sz="4" w:space="0" w:color="auto"/>
            </w:tcBorders>
            <w:noWrap/>
            <w:hideMark/>
          </w:tcPr>
          <w:p w14:paraId="2075CEE8"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22 (68.8%)</w:t>
            </w:r>
          </w:p>
        </w:tc>
        <w:tc>
          <w:tcPr>
            <w:tcW w:w="1701" w:type="dxa"/>
            <w:tcBorders>
              <w:top w:val="single" w:sz="4" w:space="0" w:color="auto"/>
            </w:tcBorders>
            <w:noWrap/>
            <w:hideMark/>
          </w:tcPr>
          <w:p w14:paraId="628F6EB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43 (68.3%)</w:t>
            </w:r>
          </w:p>
        </w:tc>
      </w:tr>
      <w:tr w:rsidR="003905ED" w:rsidRPr="009D5BF3" w14:paraId="1EA7623B"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shd w:val="clear" w:color="auto" w:fill="auto"/>
            <w:noWrap/>
            <w:hideMark/>
          </w:tcPr>
          <w:p w14:paraId="5B84D416" w14:textId="77777777" w:rsidR="009D5BF3" w:rsidRPr="009D5BF3" w:rsidRDefault="009D5BF3" w:rsidP="003905ED">
            <w:pPr>
              <w:pStyle w:val="Body"/>
              <w:spacing w:after="0"/>
              <w:rPr>
                <w:rFonts w:ascii="Arial" w:hAnsi="Arial" w:cs="Arial"/>
                <w:lang w:val="en-GB"/>
              </w:rPr>
            </w:pPr>
          </w:p>
        </w:tc>
        <w:tc>
          <w:tcPr>
            <w:tcW w:w="1595" w:type="dxa"/>
            <w:shd w:val="clear" w:color="auto" w:fill="auto"/>
            <w:noWrap/>
            <w:hideMark/>
          </w:tcPr>
          <w:p w14:paraId="11C9299C"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shd w:val="clear" w:color="auto" w:fill="auto"/>
            <w:noWrap/>
            <w:hideMark/>
          </w:tcPr>
          <w:p w14:paraId="6D4E027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20 (64.5%)</w:t>
            </w:r>
          </w:p>
        </w:tc>
        <w:tc>
          <w:tcPr>
            <w:tcW w:w="2093" w:type="dxa"/>
            <w:shd w:val="clear" w:color="auto" w:fill="auto"/>
            <w:noWrap/>
            <w:hideMark/>
          </w:tcPr>
          <w:p w14:paraId="64C0687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22 (68.8%)</w:t>
            </w:r>
          </w:p>
        </w:tc>
        <w:tc>
          <w:tcPr>
            <w:tcW w:w="1701" w:type="dxa"/>
            <w:shd w:val="clear" w:color="auto" w:fill="auto"/>
            <w:noWrap/>
            <w:hideMark/>
          </w:tcPr>
          <w:p w14:paraId="4473844D"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42 (66.7%)</w:t>
            </w:r>
          </w:p>
        </w:tc>
      </w:tr>
      <w:tr w:rsidR="009D5BF3" w:rsidRPr="009D5BF3" w14:paraId="54D7F11A"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4" w:space="0" w:color="auto"/>
            </w:tcBorders>
            <w:noWrap/>
            <w:hideMark/>
          </w:tcPr>
          <w:p w14:paraId="16702643" w14:textId="77777777" w:rsidR="009D5BF3" w:rsidRPr="009D5BF3" w:rsidRDefault="009D5BF3" w:rsidP="003905ED">
            <w:pPr>
              <w:pStyle w:val="Body"/>
              <w:spacing w:after="0"/>
              <w:rPr>
                <w:rFonts w:ascii="Arial" w:hAnsi="Arial" w:cs="Arial"/>
                <w:lang w:val="en-GB"/>
              </w:rPr>
            </w:pPr>
          </w:p>
        </w:tc>
        <w:tc>
          <w:tcPr>
            <w:tcW w:w="1595" w:type="dxa"/>
            <w:tcBorders>
              <w:bottom w:val="single" w:sz="4" w:space="0" w:color="auto"/>
            </w:tcBorders>
            <w:noWrap/>
            <w:hideMark/>
          </w:tcPr>
          <w:p w14:paraId="67788DFD"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tcBorders>
              <w:bottom w:val="single" w:sz="4" w:space="0" w:color="auto"/>
            </w:tcBorders>
            <w:noWrap/>
            <w:hideMark/>
          </w:tcPr>
          <w:p w14:paraId="16EBFED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20 (64.5%)</w:t>
            </w:r>
          </w:p>
        </w:tc>
        <w:tc>
          <w:tcPr>
            <w:tcW w:w="2093" w:type="dxa"/>
            <w:tcBorders>
              <w:bottom w:val="single" w:sz="4" w:space="0" w:color="auto"/>
            </w:tcBorders>
            <w:noWrap/>
            <w:hideMark/>
          </w:tcPr>
          <w:p w14:paraId="769C9FCC"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22 (68.8%)</w:t>
            </w:r>
          </w:p>
        </w:tc>
        <w:tc>
          <w:tcPr>
            <w:tcW w:w="1701" w:type="dxa"/>
            <w:tcBorders>
              <w:bottom w:val="single" w:sz="4" w:space="0" w:color="auto"/>
            </w:tcBorders>
            <w:noWrap/>
            <w:hideMark/>
          </w:tcPr>
          <w:p w14:paraId="71AB548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42 (66.7%)</w:t>
            </w:r>
          </w:p>
        </w:tc>
      </w:tr>
      <w:tr w:rsidR="003905ED" w:rsidRPr="009D5BF3" w14:paraId="261D3EB5"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4" w:space="0" w:color="auto"/>
            </w:tcBorders>
            <w:shd w:val="clear" w:color="auto" w:fill="auto"/>
            <w:noWrap/>
            <w:hideMark/>
          </w:tcPr>
          <w:p w14:paraId="7B4955B9" w14:textId="77777777" w:rsidR="009D5BF3" w:rsidRPr="009D5BF3" w:rsidRDefault="009D5BF3" w:rsidP="003905ED">
            <w:pPr>
              <w:pStyle w:val="Body"/>
              <w:spacing w:after="0"/>
              <w:rPr>
                <w:rFonts w:ascii="Arial" w:hAnsi="Arial" w:cs="Arial"/>
                <w:lang w:val="en-GB"/>
              </w:rPr>
            </w:pPr>
          </w:p>
          <w:p w14:paraId="476A8DE5"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ASAQ</w:t>
            </w:r>
          </w:p>
        </w:tc>
        <w:tc>
          <w:tcPr>
            <w:tcW w:w="1595" w:type="dxa"/>
            <w:tcBorders>
              <w:top w:val="single" w:sz="4" w:space="0" w:color="auto"/>
            </w:tcBorders>
            <w:shd w:val="clear" w:color="auto" w:fill="auto"/>
            <w:noWrap/>
            <w:hideMark/>
          </w:tcPr>
          <w:p w14:paraId="5DD2756A"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984" w:type="dxa"/>
            <w:tcBorders>
              <w:top w:val="single" w:sz="4" w:space="0" w:color="auto"/>
            </w:tcBorders>
            <w:shd w:val="clear" w:color="auto" w:fill="auto"/>
            <w:noWrap/>
            <w:hideMark/>
          </w:tcPr>
          <w:p w14:paraId="6DEF3A9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(12.9%)</w:t>
            </w:r>
          </w:p>
        </w:tc>
        <w:tc>
          <w:tcPr>
            <w:tcW w:w="2093" w:type="dxa"/>
            <w:tcBorders>
              <w:top w:val="single" w:sz="4" w:space="0" w:color="auto"/>
            </w:tcBorders>
            <w:shd w:val="clear" w:color="auto" w:fill="auto"/>
            <w:noWrap/>
            <w:hideMark/>
          </w:tcPr>
          <w:p w14:paraId="0DA6F5C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(12.5%)</w:t>
            </w:r>
          </w:p>
        </w:tc>
        <w:tc>
          <w:tcPr>
            <w:tcW w:w="1701" w:type="dxa"/>
            <w:tcBorders>
              <w:top w:val="single" w:sz="4" w:space="0" w:color="auto"/>
            </w:tcBorders>
            <w:shd w:val="clear" w:color="auto" w:fill="auto"/>
            <w:noWrap/>
            <w:hideMark/>
          </w:tcPr>
          <w:p w14:paraId="59301EDF"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9D5BF3" w:rsidRPr="009D5BF3" w14:paraId="7B3A4076"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noWrap/>
            <w:hideMark/>
          </w:tcPr>
          <w:p w14:paraId="4AFB7C98" w14:textId="77777777" w:rsidR="009D5BF3" w:rsidRPr="009D5BF3" w:rsidRDefault="009D5BF3" w:rsidP="003905ED">
            <w:pPr>
              <w:pStyle w:val="Body"/>
              <w:spacing w:after="0"/>
              <w:rPr>
                <w:rFonts w:ascii="Arial" w:hAnsi="Arial" w:cs="Arial"/>
                <w:lang w:val="en-GB"/>
              </w:rPr>
            </w:pPr>
          </w:p>
        </w:tc>
        <w:tc>
          <w:tcPr>
            <w:tcW w:w="1595" w:type="dxa"/>
            <w:noWrap/>
            <w:hideMark/>
          </w:tcPr>
          <w:p w14:paraId="2CE7C111"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noWrap/>
            <w:hideMark/>
          </w:tcPr>
          <w:p w14:paraId="51E6679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(12.9%)</w:t>
            </w:r>
          </w:p>
        </w:tc>
        <w:tc>
          <w:tcPr>
            <w:tcW w:w="2093" w:type="dxa"/>
            <w:noWrap/>
            <w:hideMark/>
          </w:tcPr>
          <w:p w14:paraId="0F20F176"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(12.5%)</w:t>
            </w:r>
          </w:p>
        </w:tc>
        <w:tc>
          <w:tcPr>
            <w:tcW w:w="1701" w:type="dxa"/>
            <w:noWrap/>
            <w:hideMark/>
          </w:tcPr>
          <w:p w14:paraId="7DDBFB0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3905ED" w:rsidRPr="009D5BF3" w14:paraId="24D1B4D0"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4" w:space="0" w:color="auto"/>
            </w:tcBorders>
            <w:shd w:val="clear" w:color="auto" w:fill="auto"/>
            <w:noWrap/>
            <w:hideMark/>
          </w:tcPr>
          <w:p w14:paraId="04C7F811" w14:textId="77777777" w:rsidR="009D5BF3" w:rsidRPr="009D5BF3" w:rsidRDefault="009D5BF3" w:rsidP="003905ED">
            <w:pPr>
              <w:pStyle w:val="Body"/>
              <w:spacing w:after="0"/>
              <w:rPr>
                <w:rFonts w:ascii="Arial" w:hAnsi="Arial" w:cs="Arial"/>
                <w:lang w:val="en-GB"/>
              </w:rPr>
            </w:pPr>
          </w:p>
        </w:tc>
        <w:tc>
          <w:tcPr>
            <w:tcW w:w="1595" w:type="dxa"/>
            <w:tcBorders>
              <w:bottom w:val="single" w:sz="4" w:space="0" w:color="auto"/>
            </w:tcBorders>
            <w:shd w:val="clear" w:color="auto" w:fill="auto"/>
            <w:noWrap/>
            <w:hideMark/>
          </w:tcPr>
          <w:p w14:paraId="068447C5"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tcBorders>
              <w:bottom w:val="single" w:sz="4" w:space="0" w:color="auto"/>
            </w:tcBorders>
            <w:shd w:val="clear" w:color="auto" w:fill="auto"/>
            <w:noWrap/>
            <w:hideMark/>
          </w:tcPr>
          <w:p w14:paraId="1BC20EC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(12.9%)</w:t>
            </w:r>
          </w:p>
        </w:tc>
        <w:tc>
          <w:tcPr>
            <w:tcW w:w="2093" w:type="dxa"/>
            <w:tcBorders>
              <w:bottom w:val="single" w:sz="4" w:space="0" w:color="auto"/>
            </w:tcBorders>
            <w:shd w:val="clear" w:color="auto" w:fill="auto"/>
            <w:noWrap/>
            <w:hideMark/>
          </w:tcPr>
          <w:p w14:paraId="7EBCF92C"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(12.5%)</w:t>
            </w:r>
          </w:p>
        </w:tc>
        <w:tc>
          <w:tcPr>
            <w:tcW w:w="1701" w:type="dxa"/>
            <w:tcBorders>
              <w:bottom w:val="single" w:sz="4" w:space="0" w:color="auto"/>
            </w:tcBorders>
            <w:shd w:val="clear" w:color="auto" w:fill="auto"/>
            <w:noWrap/>
            <w:hideMark/>
          </w:tcPr>
          <w:p w14:paraId="32AFFEE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9D5BF3" w:rsidRPr="009D5BF3" w14:paraId="12441C4E"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4" w:space="0" w:color="auto"/>
            </w:tcBorders>
            <w:noWrap/>
            <w:hideMark/>
          </w:tcPr>
          <w:p w14:paraId="1C125672" w14:textId="77777777" w:rsidR="009D5BF3" w:rsidRPr="009D5BF3" w:rsidRDefault="009D5BF3" w:rsidP="003905ED">
            <w:pPr>
              <w:pStyle w:val="Body"/>
              <w:spacing w:after="0"/>
              <w:rPr>
                <w:rFonts w:ascii="Arial" w:hAnsi="Arial" w:cs="Arial"/>
                <w:lang w:val="en-GB"/>
              </w:rPr>
            </w:pPr>
          </w:p>
          <w:p w14:paraId="068B26D0"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DHA/PQP</w:t>
            </w:r>
          </w:p>
        </w:tc>
        <w:tc>
          <w:tcPr>
            <w:tcW w:w="1595" w:type="dxa"/>
            <w:tcBorders>
              <w:top w:val="single" w:sz="4" w:space="0" w:color="auto"/>
            </w:tcBorders>
            <w:noWrap/>
            <w:hideMark/>
          </w:tcPr>
          <w:p w14:paraId="235CB36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984" w:type="dxa"/>
            <w:tcBorders>
              <w:top w:val="single" w:sz="4" w:space="0" w:color="auto"/>
            </w:tcBorders>
            <w:noWrap/>
            <w:hideMark/>
          </w:tcPr>
          <w:p w14:paraId="365B7F5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top w:val="single" w:sz="4" w:space="0" w:color="auto"/>
            </w:tcBorders>
            <w:noWrap/>
            <w:hideMark/>
          </w:tcPr>
          <w:p w14:paraId="6F2FF46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top w:val="single" w:sz="4" w:space="0" w:color="auto"/>
            </w:tcBorders>
            <w:noWrap/>
            <w:hideMark/>
          </w:tcPr>
          <w:p w14:paraId="1DC10E08"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38F80F9E"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shd w:val="clear" w:color="auto" w:fill="auto"/>
            <w:noWrap/>
            <w:hideMark/>
          </w:tcPr>
          <w:p w14:paraId="59FE962E" w14:textId="77777777" w:rsidR="009D5BF3" w:rsidRPr="009D5BF3" w:rsidRDefault="009D5BF3" w:rsidP="003905ED">
            <w:pPr>
              <w:pStyle w:val="Body"/>
              <w:spacing w:after="0"/>
              <w:rPr>
                <w:rFonts w:ascii="Arial" w:hAnsi="Arial" w:cs="Arial"/>
                <w:lang w:val="en-GB"/>
              </w:rPr>
            </w:pPr>
          </w:p>
        </w:tc>
        <w:tc>
          <w:tcPr>
            <w:tcW w:w="1595" w:type="dxa"/>
            <w:shd w:val="clear" w:color="auto" w:fill="auto"/>
            <w:noWrap/>
            <w:hideMark/>
          </w:tcPr>
          <w:p w14:paraId="16D4453F"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shd w:val="clear" w:color="auto" w:fill="auto"/>
            <w:noWrap/>
            <w:hideMark/>
          </w:tcPr>
          <w:p w14:paraId="68712FE4"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shd w:val="clear" w:color="auto" w:fill="auto"/>
            <w:noWrap/>
            <w:hideMark/>
          </w:tcPr>
          <w:p w14:paraId="59472BE6"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shd w:val="clear" w:color="auto" w:fill="auto"/>
            <w:noWrap/>
            <w:hideMark/>
          </w:tcPr>
          <w:p w14:paraId="1A6BE9E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31264C62"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4" w:space="0" w:color="auto"/>
            </w:tcBorders>
            <w:noWrap/>
            <w:hideMark/>
          </w:tcPr>
          <w:p w14:paraId="1F7BE0B0" w14:textId="77777777" w:rsidR="009D5BF3" w:rsidRPr="009D5BF3" w:rsidRDefault="009D5BF3" w:rsidP="003905ED">
            <w:pPr>
              <w:pStyle w:val="Body"/>
              <w:spacing w:after="0"/>
              <w:rPr>
                <w:rFonts w:ascii="Arial" w:hAnsi="Arial" w:cs="Arial"/>
                <w:lang w:val="en-GB"/>
              </w:rPr>
            </w:pPr>
          </w:p>
        </w:tc>
        <w:tc>
          <w:tcPr>
            <w:tcW w:w="1595" w:type="dxa"/>
            <w:tcBorders>
              <w:bottom w:val="single" w:sz="4" w:space="0" w:color="auto"/>
            </w:tcBorders>
            <w:noWrap/>
            <w:hideMark/>
          </w:tcPr>
          <w:p w14:paraId="6E6793E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tcBorders>
              <w:bottom w:val="single" w:sz="4" w:space="0" w:color="auto"/>
            </w:tcBorders>
            <w:noWrap/>
            <w:hideMark/>
          </w:tcPr>
          <w:p w14:paraId="16A3030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bottom w:val="single" w:sz="4" w:space="0" w:color="auto"/>
            </w:tcBorders>
            <w:noWrap/>
            <w:hideMark/>
          </w:tcPr>
          <w:p w14:paraId="06B8F1A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bottom w:val="single" w:sz="4" w:space="0" w:color="auto"/>
            </w:tcBorders>
            <w:noWrap/>
            <w:hideMark/>
          </w:tcPr>
          <w:p w14:paraId="001B44AD"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62CF4966"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4" w:space="0" w:color="auto"/>
            </w:tcBorders>
            <w:shd w:val="clear" w:color="auto" w:fill="auto"/>
            <w:noWrap/>
            <w:hideMark/>
          </w:tcPr>
          <w:p w14:paraId="254D1389" w14:textId="77777777" w:rsidR="009D5BF3" w:rsidRPr="009D5BF3" w:rsidRDefault="009D5BF3" w:rsidP="003905ED">
            <w:pPr>
              <w:pStyle w:val="Body"/>
              <w:spacing w:after="0"/>
              <w:rPr>
                <w:rFonts w:ascii="Arial" w:hAnsi="Arial" w:cs="Arial"/>
                <w:lang w:val="en-GB"/>
              </w:rPr>
            </w:pPr>
          </w:p>
          <w:p w14:paraId="18F33F05"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Quinine (Q)</w:t>
            </w:r>
          </w:p>
        </w:tc>
        <w:tc>
          <w:tcPr>
            <w:tcW w:w="1595" w:type="dxa"/>
            <w:tcBorders>
              <w:top w:val="single" w:sz="4" w:space="0" w:color="auto"/>
            </w:tcBorders>
            <w:shd w:val="clear" w:color="auto" w:fill="auto"/>
            <w:noWrap/>
            <w:hideMark/>
          </w:tcPr>
          <w:p w14:paraId="46C56AE6"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984" w:type="dxa"/>
            <w:tcBorders>
              <w:top w:val="single" w:sz="4" w:space="0" w:color="auto"/>
            </w:tcBorders>
            <w:shd w:val="clear" w:color="auto" w:fill="auto"/>
            <w:noWrap/>
            <w:hideMark/>
          </w:tcPr>
          <w:p w14:paraId="1EA2C95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top w:val="single" w:sz="4" w:space="0" w:color="auto"/>
            </w:tcBorders>
            <w:shd w:val="clear" w:color="auto" w:fill="auto"/>
            <w:noWrap/>
            <w:hideMark/>
          </w:tcPr>
          <w:p w14:paraId="66136CB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top w:val="single" w:sz="4" w:space="0" w:color="auto"/>
            </w:tcBorders>
            <w:shd w:val="clear" w:color="auto" w:fill="auto"/>
            <w:noWrap/>
            <w:hideMark/>
          </w:tcPr>
          <w:p w14:paraId="123DAAD4"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2A2D7D4A"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noWrap/>
            <w:hideMark/>
          </w:tcPr>
          <w:p w14:paraId="453FCBB6" w14:textId="77777777" w:rsidR="009D5BF3" w:rsidRPr="009D5BF3" w:rsidRDefault="009D5BF3" w:rsidP="003905ED">
            <w:pPr>
              <w:pStyle w:val="Body"/>
              <w:spacing w:after="0"/>
              <w:rPr>
                <w:rFonts w:ascii="Arial" w:hAnsi="Arial" w:cs="Arial"/>
                <w:lang w:val="en-GB"/>
              </w:rPr>
            </w:pPr>
          </w:p>
        </w:tc>
        <w:tc>
          <w:tcPr>
            <w:tcW w:w="1595" w:type="dxa"/>
            <w:noWrap/>
            <w:hideMark/>
          </w:tcPr>
          <w:p w14:paraId="3B76D00C"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noWrap/>
            <w:hideMark/>
          </w:tcPr>
          <w:p w14:paraId="5818286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noWrap/>
            <w:hideMark/>
          </w:tcPr>
          <w:p w14:paraId="31D32BF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noWrap/>
            <w:hideMark/>
          </w:tcPr>
          <w:p w14:paraId="0D4BA60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0FDB85FF"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4" w:space="0" w:color="auto"/>
            </w:tcBorders>
            <w:shd w:val="clear" w:color="auto" w:fill="auto"/>
            <w:noWrap/>
            <w:hideMark/>
          </w:tcPr>
          <w:p w14:paraId="2E2C4771" w14:textId="77777777" w:rsidR="009D5BF3" w:rsidRPr="009D5BF3" w:rsidRDefault="009D5BF3" w:rsidP="003905ED">
            <w:pPr>
              <w:pStyle w:val="Body"/>
              <w:spacing w:after="0"/>
              <w:rPr>
                <w:rFonts w:ascii="Arial" w:hAnsi="Arial" w:cs="Arial"/>
                <w:lang w:val="en-GB"/>
              </w:rPr>
            </w:pPr>
          </w:p>
        </w:tc>
        <w:tc>
          <w:tcPr>
            <w:tcW w:w="1595" w:type="dxa"/>
            <w:tcBorders>
              <w:bottom w:val="single" w:sz="4" w:space="0" w:color="auto"/>
            </w:tcBorders>
            <w:shd w:val="clear" w:color="auto" w:fill="auto"/>
            <w:noWrap/>
            <w:hideMark/>
          </w:tcPr>
          <w:p w14:paraId="73BD7F6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tcBorders>
              <w:bottom w:val="single" w:sz="4" w:space="0" w:color="auto"/>
            </w:tcBorders>
            <w:shd w:val="clear" w:color="auto" w:fill="auto"/>
            <w:noWrap/>
            <w:hideMark/>
          </w:tcPr>
          <w:p w14:paraId="47CEA6C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bottom w:val="single" w:sz="4" w:space="0" w:color="auto"/>
            </w:tcBorders>
            <w:shd w:val="clear" w:color="auto" w:fill="auto"/>
            <w:noWrap/>
            <w:hideMark/>
          </w:tcPr>
          <w:p w14:paraId="5DE212D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bottom w:val="single" w:sz="4" w:space="0" w:color="auto"/>
            </w:tcBorders>
            <w:shd w:val="clear" w:color="auto" w:fill="auto"/>
            <w:noWrap/>
            <w:hideMark/>
          </w:tcPr>
          <w:p w14:paraId="44F8979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620DAAAD"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4" w:space="0" w:color="auto"/>
            </w:tcBorders>
            <w:noWrap/>
            <w:hideMark/>
          </w:tcPr>
          <w:p w14:paraId="73B045D3"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CQ (Chloroquine)</w:t>
            </w:r>
          </w:p>
        </w:tc>
        <w:tc>
          <w:tcPr>
            <w:tcW w:w="1595" w:type="dxa"/>
            <w:tcBorders>
              <w:top w:val="single" w:sz="4" w:space="0" w:color="auto"/>
            </w:tcBorders>
            <w:noWrap/>
            <w:hideMark/>
          </w:tcPr>
          <w:p w14:paraId="4C73A6B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984" w:type="dxa"/>
            <w:tcBorders>
              <w:top w:val="single" w:sz="4" w:space="0" w:color="auto"/>
            </w:tcBorders>
            <w:noWrap/>
            <w:hideMark/>
          </w:tcPr>
          <w:p w14:paraId="0BCF8616"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top w:val="single" w:sz="4" w:space="0" w:color="auto"/>
            </w:tcBorders>
            <w:noWrap/>
            <w:hideMark/>
          </w:tcPr>
          <w:p w14:paraId="3357B80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top w:val="single" w:sz="4" w:space="0" w:color="auto"/>
            </w:tcBorders>
            <w:noWrap/>
            <w:hideMark/>
          </w:tcPr>
          <w:p w14:paraId="473BF408"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746EAE75"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shd w:val="clear" w:color="auto" w:fill="auto"/>
            <w:noWrap/>
            <w:hideMark/>
          </w:tcPr>
          <w:p w14:paraId="41598B89" w14:textId="77777777" w:rsidR="009D5BF3" w:rsidRPr="009D5BF3" w:rsidRDefault="009D5BF3" w:rsidP="003905ED">
            <w:pPr>
              <w:pStyle w:val="Body"/>
              <w:spacing w:after="0"/>
              <w:rPr>
                <w:rFonts w:ascii="Arial" w:hAnsi="Arial" w:cs="Arial"/>
                <w:lang w:val="en-GB"/>
              </w:rPr>
            </w:pPr>
          </w:p>
        </w:tc>
        <w:tc>
          <w:tcPr>
            <w:tcW w:w="1595" w:type="dxa"/>
            <w:shd w:val="clear" w:color="auto" w:fill="auto"/>
            <w:noWrap/>
            <w:hideMark/>
          </w:tcPr>
          <w:p w14:paraId="234AD4B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shd w:val="clear" w:color="auto" w:fill="auto"/>
            <w:noWrap/>
            <w:hideMark/>
          </w:tcPr>
          <w:p w14:paraId="08CE86E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shd w:val="clear" w:color="auto" w:fill="auto"/>
            <w:noWrap/>
            <w:hideMark/>
          </w:tcPr>
          <w:p w14:paraId="761A4EBD"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shd w:val="clear" w:color="auto" w:fill="auto"/>
            <w:noWrap/>
            <w:hideMark/>
          </w:tcPr>
          <w:p w14:paraId="6A4BAE68"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48EACAC8"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4" w:space="0" w:color="auto"/>
            </w:tcBorders>
            <w:noWrap/>
            <w:hideMark/>
          </w:tcPr>
          <w:p w14:paraId="5527C72C" w14:textId="77777777" w:rsidR="009D5BF3" w:rsidRPr="009D5BF3" w:rsidRDefault="009D5BF3" w:rsidP="003905ED">
            <w:pPr>
              <w:pStyle w:val="Body"/>
              <w:spacing w:after="0"/>
              <w:rPr>
                <w:rFonts w:ascii="Arial" w:hAnsi="Arial" w:cs="Arial"/>
                <w:lang w:val="en-GB"/>
              </w:rPr>
            </w:pPr>
          </w:p>
        </w:tc>
        <w:tc>
          <w:tcPr>
            <w:tcW w:w="1595" w:type="dxa"/>
            <w:tcBorders>
              <w:bottom w:val="single" w:sz="4" w:space="0" w:color="auto"/>
            </w:tcBorders>
            <w:noWrap/>
            <w:hideMark/>
          </w:tcPr>
          <w:p w14:paraId="7210C8C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tcBorders>
              <w:bottom w:val="single" w:sz="4" w:space="0" w:color="auto"/>
            </w:tcBorders>
            <w:noWrap/>
            <w:hideMark/>
          </w:tcPr>
          <w:p w14:paraId="08F4A7A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bottom w:val="single" w:sz="4" w:space="0" w:color="auto"/>
            </w:tcBorders>
            <w:noWrap/>
            <w:hideMark/>
          </w:tcPr>
          <w:p w14:paraId="2CCFC43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bottom w:val="single" w:sz="4" w:space="0" w:color="auto"/>
            </w:tcBorders>
            <w:noWrap/>
            <w:hideMark/>
          </w:tcPr>
          <w:p w14:paraId="39A6A3E8"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63A5D9ED"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4" w:space="0" w:color="auto"/>
            </w:tcBorders>
            <w:shd w:val="clear" w:color="auto" w:fill="auto"/>
            <w:noWrap/>
            <w:hideMark/>
          </w:tcPr>
          <w:p w14:paraId="727229C7" w14:textId="77777777" w:rsidR="009D5BF3" w:rsidRPr="009D5BF3" w:rsidRDefault="009D5BF3" w:rsidP="003905ED">
            <w:pPr>
              <w:pStyle w:val="Body"/>
              <w:spacing w:after="0"/>
              <w:rPr>
                <w:rFonts w:ascii="Arial" w:hAnsi="Arial" w:cs="Arial"/>
                <w:lang w:val="en-GB"/>
              </w:rPr>
            </w:pPr>
          </w:p>
          <w:p w14:paraId="20B9B04E"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Oral Q</w:t>
            </w:r>
          </w:p>
        </w:tc>
        <w:tc>
          <w:tcPr>
            <w:tcW w:w="1595" w:type="dxa"/>
            <w:tcBorders>
              <w:top w:val="single" w:sz="4" w:space="0" w:color="auto"/>
            </w:tcBorders>
            <w:shd w:val="clear" w:color="auto" w:fill="auto"/>
            <w:noWrap/>
            <w:hideMark/>
          </w:tcPr>
          <w:p w14:paraId="0EAD614D"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984" w:type="dxa"/>
            <w:tcBorders>
              <w:top w:val="single" w:sz="4" w:space="0" w:color="auto"/>
            </w:tcBorders>
            <w:shd w:val="clear" w:color="auto" w:fill="auto"/>
            <w:noWrap/>
            <w:hideMark/>
          </w:tcPr>
          <w:p w14:paraId="2C7A8CF5"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top w:val="single" w:sz="4" w:space="0" w:color="auto"/>
            </w:tcBorders>
            <w:shd w:val="clear" w:color="auto" w:fill="auto"/>
            <w:noWrap/>
            <w:hideMark/>
          </w:tcPr>
          <w:p w14:paraId="747E5F8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top w:val="single" w:sz="4" w:space="0" w:color="auto"/>
            </w:tcBorders>
            <w:shd w:val="clear" w:color="auto" w:fill="auto"/>
            <w:noWrap/>
            <w:hideMark/>
          </w:tcPr>
          <w:p w14:paraId="2F22C32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6F300074"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noWrap/>
            <w:hideMark/>
          </w:tcPr>
          <w:p w14:paraId="6CA657B9" w14:textId="77777777" w:rsidR="009D5BF3" w:rsidRPr="009D5BF3" w:rsidRDefault="009D5BF3" w:rsidP="003905ED">
            <w:pPr>
              <w:pStyle w:val="Body"/>
              <w:spacing w:after="0"/>
              <w:rPr>
                <w:rFonts w:ascii="Arial" w:hAnsi="Arial" w:cs="Arial"/>
                <w:lang w:val="en-GB"/>
              </w:rPr>
            </w:pPr>
          </w:p>
        </w:tc>
        <w:tc>
          <w:tcPr>
            <w:tcW w:w="1595" w:type="dxa"/>
            <w:noWrap/>
            <w:hideMark/>
          </w:tcPr>
          <w:p w14:paraId="4480535C"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noWrap/>
            <w:hideMark/>
          </w:tcPr>
          <w:p w14:paraId="0A0AD3B5"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noWrap/>
            <w:hideMark/>
          </w:tcPr>
          <w:p w14:paraId="5C686DB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noWrap/>
            <w:hideMark/>
          </w:tcPr>
          <w:p w14:paraId="2D45F0B4"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786E3A87"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shd w:val="clear" w:color="auto" w:fill="auto"/>
            <w:noWrap/>
            <w:hideMark/>
          </w:tcPr>
          <w:p w14:paraId="1F8E64E5" w14:textId="77777777" w:rsidR="009D5BF3" w:rsidRPr="009D5BF3" w:rsidRDefault="009D5BF3" w:rsidP="003905ED">
            <w:pPr>
              <w:pStyle w:val="Body"/>
              <w:spacing w:after="0"/>
              <w:rPr>
                <w:rFonts w:ascii="Arial" w:hAnsi="Arial" w:cs="Arial"/>
                <w:lang w:val="en-GB"/>
              </w:rPr>
            </w:pPr>
          </w:p>
        </w:tc>
        <w:tc>
          <w:tcPr>
            <w:tcW w:w="1595" w:type="dxa"/>
            <w:shd w:val="clear" w:color="auto" w:fill="auto"/>
            <w:noWrap/>
            <w:hideMark/>
          </w:tcPr>
          <w:p w14:paraId="34C1575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shd w:val="clear" w:color="auto" w:fill="auto"/>
            <w:noWrap/>
            <w:hideMark/>
          </w:tcPr>
          <w:p w14:paraId="783FAC1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shd w:val="clear" w:color="auto" w:fill="auto"/>
            <w:noWrap/>
            <w:hideMark/>
          </w:tcPr>
          <w:p w14:paraId="3DBAF81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shd w:val="clear" w:color="auto" w:fill="auto"/>
            <w:noWrap/>
            <w:hideMark/>
          </w:tcPr>
          <w:p w14:paraId="48CCEB5D"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bl>
    <w:p w14:paraId="37C854E4" w14:textId="77777777" w:rsidR="009D5BF3" w:rsidRPr="003905ED" w:rsidRDefault="009D5BF3" w:rsidP="009D5BF3">
      <w:pPr>
        <w:pStyle w:val="Body"/>
        <w:spacing w:after="0"/>
        <w:rPr>
          <w:rFonts w:ascii="Arial" w:hAnsi="Arial" w:cs="Arial"/>
          <w:i/>
          <w:iCs/>
          <w:sz w:val="16"/>
          <w:szCs w:val="16"/>
        </w:rPr>
      </w:pPr>
      <w:r w:rsidRPr="003905ED">
        <w:rPr>
          <w:rFonts w:ascii="Arial" w:hAnsi="Arial" w:cs="Arial"/>
          <w:i/>
          <w:iCs/>
          <w:sz w:val="16"/>
          <w:szCs w:val="16"/>
        </w:rPr>
        <w:t xml:space="preserve">AL: artemether/lumefantrine, ASAQ: artesunate/amodiaquine, DHA/PQP: </w:t>
      </w:r>
      <w:proofErr w:type="spellStart"/>
      <w:r w:rsidRPr="003905ED">
        <w:rPr>
          <w:rFonts w:ascii="Arial" w:hAnsi="Arial" w:cs="Arial"/>
          <w:i/>
          <w:iCs/>
          <w:sz w:val="16"/>
          <w:szCs w:val="16"/>
        </w:rPr>
        <w:t>dihydroartemisinin</w:t>
      </w:r>
      <w:proofErr w:type="spellEnd"/>
      <w:r w:rsidRPr="003905ED">
        <w:rPr>
          <w:rFonts w:ascii="Arial" w:hAnsi="Arial" w:cs="Arial"/>
          <w:i/>
          <w:iCs/>
          <w:sz w:val="16"/>
          <w:szCs w:val="16"/>
        </w:rPr>
        <w:t xml:space="preserve">/piperaquine, Q: quinine, </w:t>
      </w:r>
      <w:proofErr w:type="spellStart"/>
      <w:r w:rsidRPr="003905ED">
        <w:rPr>
          <w:rFonts w:ascii="Arial" w:hAnsi="Arial" w:cs="Arial"/>
          <w:i/>
          <w:iCs/>
          <w:sz w:val="16"/>
          <w:szCs w:val="16"/>
        </w:rPr>
        <w:t>AMim</w:t>
      </w:r>
      <w:proofErr w:type="spellEnd"/>
      <w:r w:rsidRPr="003905ED">
        <w:rPr>
          <w:rFonts w:ascii="Arial" w:hAnsi="Arial" w:cs="Arial"/>
          <w:i/>
          <w:iCs/>
          <w:sz w:val="16"/>
          <w:szCs w:val="16"/>
        </w:rPr>
        <w:t xml:space="preserve">: intra muscular artemether, </w:t>
      </w:r>
      <w:proofErr w:type="spellStart"/>
      <w:r w:rsidRPr="003905ED">
        <w:rPr>
          <w:rFonts w:ascii="Arial" w:hAnsi="Arial" w:cs="Arial"/>
          <w:i/>
          <w:iCs/>
          <w:sz w:val="16"/>
          <w:szCs w:val="16"/>
        </w:rPr>
        <w:t>ASiv</w:t>
      </w:r>
      <w:proofErr w:type="spellEnd"/>
      <w:r w:rsidRPr="003905ED">
        <w:rPr>
          <w:rFonts w:ascii="Arial" w:hAnsi="Arial" w:cs="Arial"/>
          <w:i/>
          <w:iCs/>
          <w:sz w:val="16"/>
          <w:szCs w:val="16"/>
        </w:rPr>
        <w:t>: intravenous artesunate, CQ: chloroquine, ACT: artemisinin-based combination therapy</w:t>
      </w:r>
    </w:p>
    <w:p w14:paraId="2D51C93C" w14:textId="77777777" w:rsidR="003905ED" w:rsidRPr="009D5BF3" w:rsidRDefault="003905ED" w:rsidP="009D5BF3">
      <w:pPr>
        <w:pStyle w:val="Body"/>
        <w:spacing w:after="0"/>
        <w:rPr>
          <w:rFonts w:ascii="Arial" w:hAnsi="Arial" w:cs="Arial"/>
        </w:rPr>
      </w:pPr>
    </w:p>
    <w:p w14:paraId="1B6D6E72" w14:textId="77777777" w:rsidR="009D5BF3" w:rsidRPr="009D5BF3" w:rsidRDefault="009D5BF3" w:rsidP="009D5BF3">
      <w:pPr>
        <w:pStyle w:val="Body"/>
        <w:spacing w:after="0"/>
        <w:rPr>
          <w:rFonts w:ascii="Arial" w:hAnsi="Arial" w:cs="Arial"/>
        </w:rPr>
      </w:pPr>
      <w:bookmarkStart w:id="10" w:name="_Hlk210419325"/>
      <w:r w:rsidRPr="009D5BF3">
        <w:rPr>
          <w:rFonts w:ascii="Arial" w:hAnsi="Arial" w:cs="Arial"/>
        </w:rPr>
        <w:t xml:space="preserve">Table 5 outlines antimalarial drug use in second intention, showing a clear dominance of Artemether/Lumefantrine (AL) across all age groups and provider types. AL was prescribed to 82.5% of patients under 5 years, 77.8% of those aged 5–10 years, and 88.9% of adolescents/adults, with nurses and midwives consistently </w:t>
      </w:r>
      <w:proofErr w:type="spellStart"/>
      <w:r w:rsidRPr="009D5BF3">
        <w:rPr>
          <w:rFonts w:ascii="Arial" w:hAnsi="Arial" w:cs="Arial"/>
        </w:rPr>
        <w:t>favouring</w:t>
      </w:r>
      <w:proofErr w:type="spellEnd"/>
      <w:r w:rsidRPr="009D5BF3">
        <w:rPr>
          <w:rFonts w:ascii="Arial" w:hAnsi="Arial" w:cs="Arial"/>
        </w:rPr>
        <w:t xml:space="preserve"> AL more than general practitioners in children under 5 (Table 5). ASAQ followed distantly, used uniformly at 12.7% across all age groups and providers. Other ACTs such as DHA/PQP and DHA/PQP/TMP were prescribed only by general practitioners, each accounting for just 1.6% of cases per age group (Table 5). Similarly, non-ACT alternatives like injectable artemisinin derivatives, quinine combinations, and </w:t>
      </w:r>
      <w:proofErr w:type="spellStart"/>
      <w:r w:rsidRPr="009D5BF3">
        <w:rPr>
          <w:rFonts w:ascii="Arial" w:hAnsi="Arial" w:cs="Arial"/>
        </w:rPr>
        <w:t>Savarine</w:t>
      </w:r>
      <w:proofErr w:type="spellEnd"/>
      <w:r w:rsidRPr="009D5BF3">
        <w:rPr>
          <w:rFonts w:ascii="Arial" w:hAnsi="Arial" w:cs="Arial"/>
        </w:rPr>
        <w:t xml:space="preserve"> were exclusively used by GPs and specialists, each representing 1.6% of prescriptions (Table 5). </w:t>
      </w:r>
    </w:p>
    <w:p w14:paraId="470B5467" w14:textId="77777777" w:rsidR="009D5BF3" w:rsidRPr="009D5BF3" w:rsidRDefault="009D5BF3" w:rsidP="009D5BF3">
      <w:pPr>
        <w:pStyle w:val="Body"/>
        <w:spacing w:after="0"/>
        <w:rPr>
          <w:rFonts w:ascii="Arial" w:hAnsi="Arial" w:cs="Arial"/>
        </w:rPr>
      </w:pPr>
    </w:p>
    <w:bookmarkEnd w:id="10"/>
    <w:p w14:paraId="18B1D7F9" w14:textId="77777777" w:rsidR="009D5BF3" w:rsidRPr="009D5BF3" w:rsidRDefault="009D5BF3" w:rsidP="009D5BF3">
      <w:pPr>
        <w:pStyle w:val="Body"/>
        <w:spacing w:after="0"/>
        <w:rPr>
          <w:rFonts w:ascii="Arial" w:hAnsi="Arial" w:cs="Arial"/>
          <w:b/>
          <w:bCs/>
        </w:rPr>
      </w:pPr>
      <w:r w:rsidRPr="009D5BF3">
        <w:rPr>
          <w:rFonts w:ascii="Arial" w:hAnsi="Arial" w:cs="Arial"/>
          <w:b/>
          <w:bCs/>
        </w:rPr>
        <w:t>Table 5. Antimalarial Drug Use by Age Group and Provider Type for second intention</w:t>
      </w:r>
    </w:p>
    <w:tbl>
      <w:tblPr>
        <w:tblStyle w:val="ListTable6Colorful"/>
        <w:tblW w:w="9214" w:type="dxa"/>
        <w:tblLook w:val="04A0" w:firstRow="1" w:lastRow="0" w:firstColumn="1" w:lastColumn="0" w:noHBand="0" w:noVBand="1"/>
      </w:tblPr>
      <w:tblGrid>
        <w:gridCol w:w="1163"/>
        <w:gridCol w:w="1814"/>
        <w:gridCol w:w="2126"/>
        <w:gridCol w:w="1418"/>
        <w:gridCol w:w="1357"/>
        <w:gridCol w:w="1336"/>
      </w:tblGrid>
      <w:tr w:rsidR="009D5BF3" w:rsidRPr="009D5BF3" w14:paraId="5F9F0832" w14:textId="77777777" w:rsidTr="003905E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noWrap/>
            <w:hideMark/>
          </w:tcPr>
          <w:p w14:paraId="79B73C27"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Drug Category</w:t>
            </w:r>
          </w:p>
        </w:tc>
        <w:tc>
          <w:tcPr>
            <w:tcW w:w="1814" w:type="dxa"/>
            <w:noWrap/>
            <w:hideMark/>
          </w:tcPr>
          <w:p w14:paraId="058B9610"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Antimalarial</w:t>
            </w:r>
          </w:p>
        </w:tc>
        <w:tc>
          <w:tcPr>
            <w:tcW w:w="2126" w:type="dxa"/>
            <w:noWrap/>
            <w:hideMark/>
          </w:tcPr>
          <w:p w14:paraId="57089AE2"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Age Group</w:t>
            </w:r>
          </w:p>
        </w:tc>
        <w:tc>
          <w:tcPr>
            <w:tcW w:w="1418" w:type="dxa"/>
            <w:noWrap/>
            <w:hideMark/>
          </w:tcPr>
          <w:p w14:paraId="002ABD5A"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GPs &amp; Specialists (n = 31)</w:t>
            </w:r>
          </w:p>
        </w:tc>
        <w:tc>
          <w:tcPr>
            <w:tcW w:w="1357" w:type="dxa"/>
            <w:noWrap/>
            <w:hideMark/>
          </w:tcPr>
          <w:p w14:paraId="02AED2BB"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Nurses &amp; Midwives (n = 32)</w:t>
            </w:r>
          </w:p>
        </w:tc>
        <w:tc>
          <w:tcPr>
            <w:tcW w:w="1336" w:type="dxa"/>
            <w:noWrap/>
            <w:hideMark/>
          </w:tcPr>
          <w:p w14:paraId="07D709C9"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Total (n = 63)</w:t>
            </w:r>
          </w:p>
        </w:tc>
      </w:tr>
      <w:tr w:rsidR="003905ED" w:rsidRPr="009D5BF3" w14:paraId="2B76E13F"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val="restart"/>
            <w:shd w:val="clear" w:color="auto" w:fill="auto"/>
            <w:noWrap/>
            <w:hideMark/>
          </w:tcPr>
          <w:p w14:paraId="730A5C36"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ACTs</w:t>
            </w:r>
          </w:p>
        </w:tc>
        <w:tc>
          <w:tcPr>
            <w:tcW w:w="1814" w:type="dxa"/>
            <w:vMerge w:val="restart"/>
            <w:shd w:val="clear" w:color="auto" w:fill="auto"/>
            <w:noWrap/>
            <w:hideMark/>
          </w:tcPr>
          <w:p w14:paraId="6F80774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AL</w:t>
            </w:r>
          </w:p>
        </w:tc>
        <w:tc>
          <w:tcPr>
            <w:tcW w:w="2126" w:type="dxa"/>
            <w:shd w:val="clear" w:color="auto" w:fill="auto"/>
            <w:noWrap/>
            <w:hideMark/>
          </w:tcPr>
          <w:p w14:paraId="2E6DD68F"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shd w:val="clear" w:color="auto" w:fill="auto"/>
            <w:noWrap/>
            <w:hideMark/>
          </w:tcPr>
          <w:p w14:paraId="46CD0317"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22 (71.0%)</w:t>
            </w:r>
          </w:p>
        </w:tc>
        <w:tc>
          <w:tcPr>
            <w:tcW w:w="1357" w:type="dxa"/>
            <w:shd w:val="clear" w:color="auto" w:fill="auto"/>
            <w:noWrap/>
            <w:hideMark/>
          </w:tcPr>
          <w:p w14:paraId="41FC6CB6"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30 (93.8%)</w:t>
            </w:r>
          </w:p>
        </w:tc>
        <w:tc>
          <w:tcPr>
            <w:tcW w:w="1336" w:type="dxa"/>
            <w:shd w:val="clear" w:color="auto" w:fill="auto"/>
            <w:noWrap/>
            <w:hideMark/>
          </w:tcPr>
          <w:p w14:paraId="0BE3566A"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52 (82.5%)</w:t>
            </w:r>
          </w:p>
        </w:tc>
      </w:tr>
      <w:tr w:rsidR="009D5BF3" w:rsidRPr="009D5BF3" w14:paraId="55F0E49E"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0AAC0555" w14:textId="77777777" w:rsidR="009D5BF3" w:rsidRPr="009D5BF3" w:rsidRDefault="009D5BF3" w:rsidP="003905ED">
            <w:pPr>
              <w:pStyle w:val="Body"/>
              <w:spacing w:after="0"/>
              <w:rPr>
                <w:rFonts w:ascii="Arial" w:hAnsi="Arial" w:cs="Arial"/>
                <w:lang w:val="en-GB"/>
              </w:rPr>
            </w:pPr>
          </w:p>
        </w:tc>
        <w:tc>
          <w:tcPr>
            <w:tcW w:w="1814" w:type="dxa"/>
            <w:vMerge/>
            <w:noWrap/>
            <w:hideMark/>
          </w:tcPr>
          <w:p w14:paraId="04554062"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noWrap/>
            <w:hideMark/>
          </w:tcPr>
          <w:p w14:paraId="5593B36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noWrap/>
            <w:hideMark/>
          </w:tcPr>
          <w:p w14:paraId="1E56ABB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20 (64.5%)</w:t>
            </w:r>
          </w:p>
        </w:tc>
        <w:tc>
          <w:tcPr>
            <w:tcW w:w="1357" w:type="dxa"/>
            <w:noWrap/>
            <w:hideMark/>
          </w:tcPr>
          <w:p w14:paraId="7E0787BD"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29 (90.6%)</w:t>
            </w:r>
          </w:p>
        </w:tc>
        <w:tc>
          <w:tcPr>
            <w:tcW w:w="1336" w:type="dxa"/>
            <w:noWrap/>
            <w:hideMark/>
          </w:tcPr>
          <w:p w14:paraId="01EF573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49 (77.8%)</w:t>
            </w:r>
          </w:p>
        </w:tc>
      </w:tr>
      <w:tr w:rsidR="003905ED" w:rsidRPr="009D5BF3" w14:paraId="7214D679"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157F57DF"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shd w:val="clear" w:color="auto" w:fill="auto"/>
            <w:noWrap/>
            <w:hideMark/>
          </w:tcPr>
          <w:p w14:paraId="515AC1A7"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tcBorders>
              <w:bottom w:val="single" w:sz="4" w:space="0" w:color="auto"/>
            </w:tcBorders>
            <w:shd w:val="clear" w:color="auto" w:fill="auto"/>
            <w:noWrap/>
            <w:hideMark/>
          </w:tcPr>
          <w:p w14:paraId="21C413FD"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shd w:val="clear" w:color="auto" w:fill="auto"/>
            <w:noWrap/>
            <w:hideMark/>
          </w:tcPr>
          <w:p w14:paraId="7A3F8F1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26 (83.9%)</w:t>
            </w:r>
          </w:p>
        </w:tc>
        <w:tc>
          <w:tcPr>
            <w:tcW w:w="1357" w:type="dxa"/>
            <w:tcBorders>
              <w:bottom w:val="single" w:sz="4" w:space="0" w:color="auto"/>
            </w:tcBorders>
            <w:shd w:val="clear" w:color="auto" w:fill="auto"/>
            <w:noWrap/>
            <w:hideMark/>
          </w:tcPr>
          <w:p w14:paraId="7361A924"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30 (93.8%)</w:t>
            </w:r>
          </w:p>
        </w:tc>
        <w:tc>
          <w:tcPr>
            <w:tcW w:w="1336" w:type="dxa"/>
            <w:tcBorders>
              <w:bottom w:val="single" w:sz="4" w:space="0" w:color="auto"/>
            </w:tcBorders>
            <w:shd w:val="clear" w:color="auto" w:fill="auto"/>
            <w:noWrap/>
            <w:hideMark/>
          </w:tcPr>
          <w:p w14:paraId="04A2BC0C"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56 (88.9%)</w:t>
            </w:r>
          </w:p>
        </w:tc>
      </w:tr>
      <w:tr w:rsidR="009D5BF3" w:rsidRPr="009D5BF3" w14:paraId="743DDB0A"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2474D00D" w14:textId="77777777" w:rsidR="009D5BF3" w:rsidRPr="009D5BF3" w:rsidRDefault="009D5BF3" w:rsidP="003905ED">
            <w:pPr>
              <w:pStyle w:val="Body"/>
              <w:spacing w:after="0"/>
              <w:rPr>
                <w:rFonts w:ascii="Arial" w:hAnsi="Arial" w:cs="Arial"/>
                <w:lang w:val="en-GB"/>
              </w:rPr>
            </w:pPr>
          </w:p>
        </w:tc>
        <w:tc>
          <w:tcPr>
            <w:tcW w:w="1814" w:type="dxa"/>
            <w:vMerge w:val="restart"/>
            <w:tcBorders>
              <w:top w:val="single" w:sz="4" w:space="0" w:color="auto"/>
            </w:tcBorders>
            <w:noWrap/>
            <w:hideMark/>
          </w:tcPr>
          <w:p w14:paraId="305E525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ASAQ</w:t>
            </w:r>
          </w:p>
        </w:tc>
        <w:tc>
          <w:tcPr>
            <w:tcW w:w="2126" w:type="dxa"/>
            <w:tcBorders>
              <w:top w:val="single" w:sz="4" w:space="0" w:color="auto"/>
            </w:tcBorders>
            <w:noWrap/>
            <w:hideMark/>
          </w:tcPr>
          <w:p w14:paraId="2D8AE39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noWrap/>
            <w:hideMark/>
          </w:tcPr>
          <w:p w14:paraId="444948C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(12.9%)</w:t>
            </w:r>
          </w:p>
        </w:tc>
        <w:tc>
          <w:tcPr>
            <w:tcW w:w="1357" w:type="dxa"/>
            <w:tcBorders>
              <w:top w:val="single" w:sz="4" w:space="0" w:color="auto"/>
            </w:tcBorders>
            <w:noWrap/>
            <w:hideMark/>
          </w:tcPr>
          <w:p w14:paraId="4A7AEED6"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(12.5%)</w:t>
            </w:r>
          </w:p>
        </w:tc>
        <w:tc>
          <w:tcPr>
            <w:tcW w:w="1336" w:type="dxa"/>
            <w:tcBorders>
              <w:top w:val="single" w:sz="4" w:space="0" w:color="auto"/>
            </w:tcBorders>
            <w:noWrap/>
            <w:hideMark/>
          </w:tcPr>
          <w:p w14:paraId="6929661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3905ED" w:rsidRPr="009D5BF3" w14:paraId="715FF9E8"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0408FD4E" w14:textId="77777777" w:rsidR="009D5BF3" w:rsidRPr="009D5BF3" w:rsidRDefault="009D5BF3" w:rsidP="003905ED">
            <w:pPr>
              <w:pStyle w:val="Body"/>
              <w:spacing w:after="0"/>
              <w:rPr>
                <w:rFonts w:ascii="Arial" w:hAnsi="Arial" w:cs="Arial"/>
                <w:lang w:val="en-GB"/>
              </w:rPr>
            </w:pPr>
          </w:p>
        </w:tc>
        <w:tc>
          <w:tcPr>
            <w:tcW w:w="1814" w:type="dxa"/>
            <w:vMerge/>
            <w:shd w:val="clear" w:color="auto" w:fill="auto"/>
            <w:noWrap/>
            <w:hideMark/>
          </w:tcPr>
          <w:p w14:paraId="67EA57C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shd w:val="clear" w:color="auto" w:fill="auto"/>
            <w:noWrap/>
            <w:hideMark/>
          </w:tcPr>
          <w:p w14:paraId="2435465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shd w:val="clear" w:color="auto" w:fill="auto"/>
            <w:noWrap/>
            <w:hideMark/>
          </w:tcPr>
          <w:p w14:paraId="2AD8D03A"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(12.9%)</w:t>
            </w:r>
          </w:p>
        </w:tc>
        <w:tc>
          <w:tcPr>
            <w:tcW w:w="1357" w:type="dxa"/>
            <w:shd w:val="clear" w:color="auto" w:fill="auto"/>
            <w:noWrap/>
            <w:hideMark/>
          </w:tcPr>
          <w:p w14:paraId="5AB8F944"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(12.5%)</w:t>
            </w:r>
          </w:p>
        </w:tc>
        <w:tc>
          <w:tcPr>
            <w:tcW w:w="1336" w:type="dxa"/>
            <w:shd w:val="clear" w:color="auto" w:fill="auto"/>
            <w:noWrap/>
            <w:hideMark/>
          </w:tcPr>
          <w:p w14:paraId="053F8863"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9D5BF3" w:rsidRPr="009D5BF3" w14:paraId="7E2271E4"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0A031F1D"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noWrap/>
            <w:hideMark/>
          </w:tcPr>
          <w:p w14:paraId="34CD4951"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tcBorders>
              <w:bottom w:val="single" w:sz="4" w:space="0" w:color="auto"/>
            </w:tcBorders>
            <w:noWrap/>
            <w:hideMark/>
          </w:tcPr>
          <w:p w14:paraId="4282819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noWrap/>
            <w:hideMark/>
          </w:tcPr>
          <w:p w14:paraId="23B25D8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(12.9%)</w:t>
            </w:r>
          </w:p>
        </w:tc>
        <w:tc>
          <w:tcPr>
            <w:tcW w:w="1357" w:type="dxa"/>
            <w:tcBorders>
              <w:bottom w:val="single" w:sz="4" w:space="0" w:color="auto"/>
            </w:tcBorders>
            <w:noWrap/>
            <w:hideMark/>
          </w:tcPr>
          <w:p w14:paraId="0CBB4F4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(12.5%)</w:t>
            </w:r>
          </w:p>
        </w:tc>
        <w:tc>
          <w:tcPr>
            <w:tcW w:w="1336" w:type="dxa"/>
            <w:tcBorders>
              <w:bottom w:val="single" w:sz="4" w:space="0" w:color="auto"/>
            </w:tcBorders>
            <w:noWrap/>
            <w:hideMark/>
          </w:tcPr>
          <w:p w14:paraId="08DC151B"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3905ED" w:rsidRPr="009D5BF3" w14:paraId="420BE3FE"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0A7823CE" w14:textId="77777777" w:rsidR="009D5BF3" w:rsidRPr="009D5BF3" w:rsidRDefault="009D5BF3" w:rsidP="003905ED">
            <w:pPr>
              <w:pStyle w:val="Body"/>
              <w:spacing w:after="0"/>
              <w:rPr>
                <w:rFonts w:ascii="Arial" w:hAnsi="Arial" w:cs="Arial"/>
                <w:lang w:val="en-GB"/>
              </w:rPr>
            </w:pPr>
          </w:p>
        </w:tc>
        <w:tc>
          <w:tcPr>
            <w:tcW w:w="1814" w:type="dxa"/>
            <w:vMerge w:val="restart"/>
            <w:tcBorders>
              <w:top w:val="single" w:sz="4" w:space="0" w:color="auto"/>
            </w:tcBorders>
            <w:shd w:val="clear" w:color="auto" w:fill="auto"/>
            <w:noWrap/>
            <w:hideMark/>
          </w:tcPr>
          <w:p w14:paraId="3E023F9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DHA/PQP</w:t>
            </w:r>
          </w:p>
        </w:tc>
        <w:tc>
          <w:tcPr>
            <w:tcW w:w="2126" w:type="dxa"/>
            <w:tcBorders>
              <w:top w:val="single" w:sz="4" w:space="0" w:color="auto"/>
            </w:tcBorders>
            <w:shd w:val="clear" w:color="auto" w:fill="auto"/>
            <w:noWrap/>
            <w:hideMark/>
          </w:tcPr>
          <w:p w14:paraId="774DA48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shd w:val="clear" w:color="auto" w:fill="auto"/>
            <w:noWrap/>
            <w:hideMark/>
          </w:tcPr>
          <w:p w14:paraId="78AE66E6"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top w:val="single" w:sz="4" w:space="0" w:color="auto"/>
            </w:tcBorders>
            <w:shd w:val="clear" w:color="auto" w:fill="auto"/>
            <w:noWrap/>
            <w:hideMark/>
          </w:tcPr>
          <w:p w14:paraId="55AE6FE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top w:val="single" w:sz="4" w:space="0" w:color="auto"/>
            </w:tcBorders>
            <w:shd w:val="clear" w:color="auto" w:fill="auto"/>
            <w:noWrap/>
            <w:hideMark/>
          </w:tcPr>
          <w:p w14:paraId="2006DAFD"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74CB5329"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5D365712" w14:textId="77777777" w:rsidR="009D5BF3" w:rsidRPr="009D5BF3" w:rsidRDefault="009D5BF3" w:rsidP="003905ED">
            <w:pPr>
              <w:pStyle w:val="Body"/>
              <w:spacing w:after="0"/>
              <w:rPr>
                <w:rFonts w:ascii="Arial" w:hAnsi="Arial" w:cs="Arial"/>
                <w:lang w:val="en-GB"/>
              </w:rPr>
            </w:pPr>
          </w:p>
        </w:tc>
        <w:tc>
          <w:tcPr>
            <w:tcW w:w="1814" w:type="dxa"/>
            <w:vMerge/>
            <w:noWrap/>
            <w:hideMark/>
          </w:tcPr>
          <w:p w14:paraId="08B7388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noWrap/>
            <w:hideMark/>
          </w:tcPr>
          <w:p w14:paraId="7800C84B"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noWrap/>
            <w:hideMark/>
          </w:tcPr>
          <w:p w14:paraId="5110CDF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noWrap/>
            <w:hideMark/>
          </w:tcPr>
          <w:p w14:paraId="0CBB8715"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noWrap/>
            <w:hideMark/>
          </w:tcPr>
          <w:p w14:paraId="1139E322"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30065278"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3742347F"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shd w:val="clear" w:color="auto" w:fill="auto"/>
            <w:noWrap/>
            <w:hideMark/>
          </w:tcPr>
          <w:p w14:paraId="01E4B57F"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tcBorders>
              <w:bottom w:val="single" w:sz="4" w:space="0" w:color="auto"/>
            </w:tcBorders>
            <w:shd w:val="clear" w:color="auto" w:fill="auto"/>
            <w:noWrap/>
            <w:hideMark/>
          </w:tcPr>
          <w:p w14:paraId="3E1375F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shd w:val="clear" w:color="auto" w:fill="auto"/>
            <w:noWrap/>
            <w:hideMark/>
          </w:tcPr>
          <w:p w14:paraId="0BA0903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bottom w:val="single" w:sz="4" w:space="0" w:color="auto"/>
            </w:tcBorders>
            <w:shd w:val="clear" w:color="auto" w:fill="auto"/>
            <w:noWrap/>
            <w:hideMark/>
          </w:tcPr>
          <w:p w14:paraId="29C993E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bottom w:val="single" w:sz="4" w:space="0" w:color="auto"/>
            </w:tcBorders>
            <w:shd w:val="clear" w:color="auto" w:fill="auto"/>
            <w:noWrap/>
            <w:hideMark/>
          </w:tcPr>
          <w:p w14:paraId="353AE8E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241B3521"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7D9689ED" w14:textId="77777777" w:rsidR="009D5BF3" w:rsidRPr="009D5BF3" w:rsidRDefault="009D5BF3" w:rsidP="003905ED">
            <w:pPr>
              <w:pStyle w:val="Body"/>
              <w:spacing w:after="0"/>
              <w:rPr>
                <w:rFonts w:ascii="Arial" w:hAnsi="Arial" w:cs="Arial"/>
                <w:lang w:val="en-GB"/>
              </w:rPr>
            </w:pPr>
          </w:p>
        </w:tc>
        <w:tc>
          <w:tcPr>
            <w:tcW w:w="1814" w:type="dxa"/>
            <w:vMerge w:val="restart"/>
            <w:tcBorders>
              <w:top w:val="single" w:sz="4" w:space="0" w:color="auto"/>
            </w:tcBorders>
            <w:noWrap/>
            <w:hideMark/>
          </w:tcPr>
          <w:p w14:paraId="13363C1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DHA/PQP/TMP</w:t>
            </w:r>
          </w:p>
        </w:tc>
        <w:tc>
          <w:tcPr>
            <w:tcW w:w="2126" w:type="dxa"/>
            <w:tcBorders>
              <w:top w:val="single" w:sz="4" w:space="0" w:color="auto"/>
            </w:tcBorders>
            <w:noWrap/>
            <w:hideMark/>
          </w:tcPr>
          <w:p w14:paraId="22ACF77C"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noWrap/>
            <w:hideMark/>
          </w:tcPr>
          <w:p w14:paraId="609F0671"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top w:val="single" w:sz="4" w:space="0" w:color="auto"/>
            </w:tcBorders>
            <w:noWrap/>
            <w:hideMark/>
          </w:tcPr>
          <w:p w14:paraId="4FC7184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top w:val="single" w:sz="4" w:space="0" w:color="auto"/>
            </w:tcBorders>
            <w:noWrap/>
            <w:hideMark/>
          </w:tcPr>
          <w:p w14:paraId="23FC60D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4896898A"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42D1E87D" w14:textId="77777777" w:rsidR="009D5BF3" w:rsidRPr="009D5BF3" w:rsidRDefault="009D5BF3" w:rsidP="003905ED">
            <w:pPr>
              <w:pStyle w:val="Body"/>
              <w:spacing w:after="0"/>
              <w:rPr>
                <w:rFonts w:ascii="Arial" w:hAnsi="Arial" w:cs="Arial"/>
                <w:lang w:val="en-GB"/>
              </w:rPr>
            </w:pPr>
          </w:p>
        </w:tc>
        <w:tc>
          <w:tcPr>
            <w:tcW w:w="1814" w:type="dxa"/>
            <w:vMerge/>
            <w:shd w:val="clear" w:color="auto" w:fill="auto"/>
            <w:noWrap/>
            <w:hideMark/>
          </w:tcPr>
          <w:p w14:paraId="09D0D16A"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shd w:val="clear" w:color="auto" w:fill="auto"/>
            <w:noWrap/>
            <w:hideMark/>
          </w:tcPr>
          <w:p w14:paraId="2AFE865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shd w:val="clear" w:color="auto" w:fill="auto"/>
            <w:noWrap/>
            <w:hideMark/>
          </w:tcPr>
          <w:p w14:paraId="01752967"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shd w:val="clear" w:color="auto" w:fill="auto"/>
            <w:noWrap/>
            <w:hideMark/>
          </w:tcPr>
          <w:p w14:paraId="06C20DD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shd w:val="clear" w:color="auto" w:fill="auto"/>
            <w:noWrap/>
            <w:hideMark/>
          </w:tcPr>
          <w:p w14:paraId="5D98C3A5"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72997AB5"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tcBorders>
              <w:bottom w:val="single" w:sz="4" w:space="0" w:color="auto"/>
            </w:tcBorders>
            <w:noWrap/>
            <w:hideMark/>
          </w:tcPr>
          <w:p w14:paraId="52274734"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noWrap/>
            <w:hideMark/>
          </w:tcPr>
          <w:p w14:paraId="47E36816"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tcBorders>
              <w:bottom w:val="single" w:sz="4" w:space="0" w:color="auto"/>
            </w:tcBorders>
            <w:noWrap/>
            <w:hideMark/>
          </w:tcPr>
          <w:p w14:paraId="7A1CF7CB"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noWrap/>
            <w:hideMark/>
          </w:tcPr>
          <w:p w14:paraId="445B24D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bottom w:val="single" w:sz="4" w:space="0" w:color="auto"/>
            </w:tcBorders>
            <w:noWrap/>
            <w:hideMark/>
          </w:tcPr>
          <w:p w14:paraId="77A18DA4"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bottom w:val="single" w:sz="4" w:space="0" w:color="auto"/>
            </w:tcBorders>
            <w:noWrap/>
            <w:hideMark/>
          </w:tcPr>
          <w:p w14:paraId="0BC3D39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4270DD78"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val="restart"/>
            <w:tcBorders>
              <w:top w:val="single" w:sz="4" w:space="0" w:color="auto"/>
            </w:tcBorders>
            <w:shd w:val="clear" w:color="auto" w:fill="auto"/>
            <w:noWrap/>
            <w:hideMark/>
          </w:tcPr>
          <w:p w14:paraId="050561B3"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Other Drugs</w:t>
            </w:r>
          </w:p>
        </w:tc>
        <w:tc>
          <w:tcPr>
            <w:tcW w:w="1814" w:type="dxa"/>
            <w:vMerge w:val="restart"/>
            <w:tcBorders>
              <w:top w:val="single" w:sz="4" w:space="0" w:color="auto"/>
            </w:tcBorders>
            <w:shd w:val="clear" w:color="auto" w:fill="auto"/>
            <w:noWrap/>
            <w:hideMark/>
          </w:tcPr>
          <w:p w14:paraId="3A81D1E4"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9D5BF3">
              <w:rPr>
                <w:rFonts w:ascii="Arial" w:hAnsi="Arial" w:cs="Arial"/>
                <w:lang w:val="en-GB"/>
              </w:rPr>
              <w:t>AMin</w:t>
            </w:r>
            <w:proofErr w:type="spellEnd"/>
            <w:r w:rsidRPr="009D5BF3">
              <w:rPr>
                <w:rFonts w:ascii="Arial" w:hAnsi="Arial" w:cs="Arial"/>
                <w:lang w:val="en-GB"/>
              </w:rPr>
              <w:t xml:space="preserve"> / </w:t>
            </w:r>
            <w:proofErr w:type="spellStart"/>
            <w:r w:rsidRPr="009D5BF3">
              <w:rPr>
                <w:rFonts w:ascii="Arial" w:hAnsi="Arial" w:cs="Arial"/>
                <w:lang w:val="en-GB"/>
              </w:rPr>
              <w:t>ASiv</w:t>
            </w:r>
            <w:proofErr w:type="spellEnd"/>
            <w:r w:rsidRPr="009D5BF3">
              <w:rPr>
                <w:rFonts w:ascii="Arial" w:hAnsi="Arial" w:cs="Arial"/>
                <w:lang w:val="en-GB"/>
              </w:rPr>
              <w:t xml:space="preserve"> / AM Syrup</w:t>
            </w:r>
          </w:p>
        </w:tc>
        <w:tc>
          <w:tcPr>
            <w:tcW w:w="2126" w:type="dxa"/>
            <w:tcBorders>
              <w:top w:val="single" w:sz="4" w:space="0" w:color="auto"/>
            </w:tcBorders>
            <w:shd w:val="clear" w:color="auto" w:fill="auto"/>
            <w:noWrap/>
            <w:hideMark/>
          </w:tcPr>
          <w:p w14:paraId="215DE4B5"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shd w:val="clear" w:color="auto" w:fill="auto"/>
            <w:noWrap/>
            <w:hideMark/>
          </w:tcPr>
          <w:p w14:paraId="2A1BB52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top w:val="single" w:sz="4" w:space="0" w:color="auto"/>
            </w:tcBorders>
            <w:shd w:val="clear" w:color="auto" w:fill="auto"/>
            <w:noWrap/>
            <w:hideMark/>
          </w:tcPr>
          <w:p w14:paraId="0401FC0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top w:val="single" w:sz="4" w:space="0" w:color="auto"/>
            </w:tcBorders>
            <w:shd w:val="clear" w:color="auto" w:fill="auto"/>
            <w:noWrap/>
            <w:hideMark/>
          </w:tcPr>
          <w:p w14:paraId="5B2F58DC"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55116E0C"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7EED0D7F" w14:textId="77777777" w:rsidR="009D5BF3" w:rsidRPr="009D5BF3" w:rsidRDefault="009D5BF3" w:rsidP="003905ED">
            <w:pPr>
              <w:pStyle w:val="Body"/>
              <w:spacing w:after="0"/>
              <w:rPr>
                <w:rFonts w:ascii="Arial" w:hAnsi="Arial" w:cs="Arial"/>
                <w:lang w:val="en-GB"/>
              </w:rPr>
            </w:pPr>
          </w:p>
        </w:tc>
        <w:tc>
          <w:tcPr>
            <w:tcW w:w="1814" w:type="dxa"/>
            <w:vMerge/>
            <w:noWrap/>
            <w:hideMark/>
          </w:tcPr>
          <w:p w14:paraId="672BB73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noWrap/>
            <w:hideMark/>
          </w:tcPr>
          <w:p w14:paraId="1320E9BD"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noWrap/>
            <w:hideMark/>
          </w:tcPr>
          <w:p w14:paraId="70B3BDF1"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noWrap/>
            <w:hideMark/>
          </w:tcPr>
          <w:p w14:paraId="3A8AAEED"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noWrap/>
            <w:hideMark/>
          </w:tcPr>
          <w:p w14:paraId="756594FC"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4B43DF89"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18B7AEC9"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shd w:val="clear" w:color="auto" w:fill="auto"/>
            <w:noWrap/>
            <w:hideMark/>
          </w:tcPr>
          <w:p w14:paraId="59B9022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tcBorders>
              <w:bottom w:val="single" w:sz="4" w:space="0" w:color="auto"/>
            </w:tcBorders>
            <w:shd w:val="clear" w:color="auto" w:fill="auto"/>
            <w:noWrap/>
            <w:hideMark/>
          </w:tcPr>
          <w:p w14:paraId="29936CC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shd w:val="clear" w:color="auto" w:fill="auto"/>
            <w:noWrap/>
            <w:hideMark/>
          </w:tcPr>
          <w:p w14:paraId="17C1D2E3"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bottom w:val="single" w:sz="4" w:space="0" w:color="auto"/>
            </w:tcBorders>
            <w:shd w:val="clear" w:color="auto" w:fill="auto"/>
            <w:noWrap/>
            <w:hideMark/>
          </w:tcPr>
          <w:p w14:paraId="01C3FCD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bottom w:val="single" w:sz="4" w:space="0" w:color="auto"/>
            </w:tcBorders>
            <w:shd w:val="clear" w:color="auto" w:fill="auto"/>
            <w:noWrap/>
            <w:hideMark/>
          </w:tcPr>
          <w:p w14:paraId="56C7D504"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2428388A"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05E35687" w14:textId="77777777" w:rsidR="009D5BF3" w:rsidRPr="009D5BF3" w:rsidRDefault="009D5BF3" w:rsidP="003905ED">
            <w:pPr>
              <w:pStyle w:val="Body"/>
              <w:spacing w:after="0"/>
              <w:rPr>
                <w:rFonts w:ascii="Arial" w:hAnsi="Arial" w:cs="Arial"/>
                <w:lang w:val="en-GB"/>
              </w:rPr>
            </w:pPr>
          </w:p>
        </w:tc>
        <w:tc>
          <w:tcPr>
            <w:tcW w:w="1814" w:type="dxa"/>
            <w:vMerge w:val="restart"/>
            <w:tcBorders>
              <w:top w:val="single" w:sz="4" w:space="0" w:color="auto"/>
            </w:tcBorders>
            <w:noWrap/>
            <w:hideMark/>
          </w:tcPr>
          <w:p w14:paraId="7D7B1EA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AL or Q</w:t>
            </w:r>
          </w:p>
        </w:tc>
        <w:tc>
          <w:tcPr>
            <w:tcW w:w="2126" w:type="dxa"/>
            <w:tcBorders>
              <w:top w:val="single" w:sz="4" w:space="0" w:color="auto"/>
            </w:tcBorders>
            <w:noWrap/>
            <w:hideMark/>
          </w:tcPr>
          <w:p w14:paraId="7753F3E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noWrap/>
            <w:hideMark/>
          </w:tcPr>
          <w:p w14:paraId="6AC12C9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top w:val="single" w:sz="4" w:space="0" w:color="auto"/>
            </w:tcBorders>
            <w:noWrap/>
            <w:hideMark/>
          </w:tcPr>
          <w:p w14:paraId="0FD8ECA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top w:val="single" w:sz="4" w:space="0" w:color="auto"/>
            </w:tcBorders>
            <w:noWrap/>
            <w:hideMark/>
          </w:tcPr>
          <w:p w14:paraId="0FFAD0C8"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2BDB2DE3"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360DBC3B" w14:textId="77777777" w:rsidR="009D5BF3" w:rsidRPr="009D5BF3" w:rsidRDefault="009D5BF3" w:rsidP="003905ED">
            <w:pPr>
              <w:pStyle w:val="Body"/>
              <w:spacing w:after="0"/>
              <w:rPr>
                <w:rFonts w:ascii="Arial" w:hAnsi="Arial" w:cs="Arial"/>
                <w:lang w:val="en-GB"/>
              </w:rPr>
            </w:pPr>
          </w:p>
        </w:tc>
        <w:tc>
          <w:tcPr>
            <w:tcW w:w="1814" w:type="dxa"/>
            <w:vMerge/>
            <w:shd w:val="clear" w:color="auto" w:fill="auto"/>
            <w:noWrap/>
            <w:hideMark/>
          </w:tcPr>
          <w:p w14:paraId="47FB02D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shd w:val="clear" w:color="auto" w:fill="auto"/>
            <w:noWrap/>
            <w:hideMark/>
          </w:tcPr>
          <w:p w14:paraId="03A7EE8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shd w:val="clear" w:color="auto" w:fill="auto"/>
            <w:noWrap/>
            <w:hideMark/>
          </w:tcPr>
          <w:p w14:paraId="5C76B2B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shd w:val="clear" w:color="auto" w:fill="auto"/>
            <w:noWrap/>
            <w:hideMark/>
          </w:tcPr>
          <w:p w14:paraId="50B40CF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shd w:val="clear" w:color="auto" w:fill="auto"/>
            <w:noWrap/>
            <w:hideMark/>
          </w:tcPr>
          <w:p w14:paraId="26628027"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49FBBECD"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127C2F84"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noWrap/>
            <w:hideMark/>
          </w:tcPr>
          <w:p w14:paraId="41378A75"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tcBorders>
              <w:bottom w:val="single" w:sz="4" w:space="0" w:color="auto"/>
            </w:tcBorders>
            <w:noWrap/>
            <w:hideMark/>
          </w:tcPr>
          <w:p w14:paraId="0AC78A7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noWrap/>
            <w:hideMark/>
          </w:tcPr>
          <w:p w14:paraId="2418AB0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bottom w:val="single" w:sz="4" w:space="0" w:color="auto"/>
            </w:tcBorders>
            <w:noWrap/>
            <w:hideMark/>
          </w:tcPr>
          <w:p w14:paraId="6166590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bottom w:val="single" w:sz="4" w:space="0" w:color="auto"/>
            </w:tcBorders>
            <w:noWrap/>
            <w:hideMark/>
          </w:tcPr>
          <w:p w14:paraId="2E7141F2"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39068829"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59D388CD" w14:textId="77777777" w:rsidR="009D5BF3" w:rsidRPr="009D5BF3" w:rsidRDefault="009D5BF3" w:rsidP="003905ED">
            <w:pPr>
              <w:pStyle w:val="Body"/>
              <w:spacing w:after="0"/>
              <w:rPr>
                <w:rFonts w:ascii="Arial" w:hAnsi="Arial" w:cs="Arial"/>
                <w:lang w:val="en-GB"/>
              </w:rPr>
            </w:pPr>
          </w:p>
        </w:tc>
        <w:tc>
          <w:tcPr>
            <w:tcW w:w="1814" w:type="dxa"/>
            <w:vMerge w:val="restart"/>
            <w:tcBorders>
              <w:top w:val="single" w:sz="4" w:space="0" w:color="auto"/>
            </w:tcBorders>
            <w:shd w:val="clear" w:color="auto" w:fill="auto"/>
            <w:noWrap/>
            <w:hideMark/>
          </w:tcPr>
          <w:p w14:paraId="2334018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Q or Q</w:t>
            </w:r>
          </w:p>
        </w:tc>
        <w:tc>
          <w:tcPr>
            <w:tcW w:w="2126" w:type="dxa"/>
            <w:tcBorders>
              <w:top w:val="single" w:sz="4" w:space="0" w:color="auto"/>
            </w:tcBorders>
            <w:shd w:val="clear" w:color="auto" w:fill="auto"/>
            <w:noWrap/>
            <w:hideMark/>
          </w:tcPr>
          <w:p w14:paraId="1D2A945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shd w:val="clear" w:color="auto" w:fill="auto"/>
            <w:noWrap/>
            <w:hideMark/>
          </w:tcPr>
          <w:p w14:paraId="0588DB3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top w:val="single" w:sz="4" w:space="0" w:color="auto"/>
            </w:tcBorders>
            <w:shd w:val="clear" w:color="auto" w:fill="auto"/>
            <w:noWrap/>
            <w:hideMark/>
          </w:tcPr>
          <w:p w14:paraId="6E4DB2A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top w:val="single" w:sz="4" w:space="0" w:color="auto"/>
            </w:tcBorders>
            <w:shd w:val="clear" w:color="auto" w:fill="auto"/>
            <w:noWrap/>
            <w:hideMark/>
          </w:tcPr>
          <w:p w14:paraId="35CA9D6F"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14042064"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4AA268C2" w14:textId="77777777" w:rsidR="009D5BF3" w:rsidRPr="009D5BF3" w:rsidRDefault="009D5BF3" w:rsidP="003905ED">
            <w:pPr>
              <w:pStyle w:val="Body"/>
              <w:spacing w:after="0"/>
              <w:rPr>
                <w:rFonts w:ascii="Arial" w:hAnsi="Arial" w:cs="Arial"/>
                <w:lang w:val="en-GB"/>
              </w:rPr>
            </w:pPr>
          </w:p>
        </w:tc>
        <w:tc>
          <w:tcPr>
            <w:tcW w:w="1814" w:type="dxa"/>
            <w:vMerge/>
            <w:noWrap/>
            <w:hideMark/>
          </w:tcPr>
          <w:p w14:paraId="5399A87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noWrap/>
            <w:hideMark/>
          </w:tcPr>
          <w:p w14:paraId="48E12D88"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noWrap/>
            <w:hideMark/>
          </w:tcPr>
          <w:p w14:paraId="019C92C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noWrap/>
            <w:hideMark/>
          </w:tcPr>
          <w:p w14:paraId="6EB68924"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noWrap/>
            <w:hideMark/>
          </w:tcPr>
          <w:p w14:paraId="6BB82F86"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1FCD1388"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7D5B67C7"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shd w:val="clear" w:color="auto" w:fill="auto"/>
            <w:noWrap/>
            <w:hideMark/>
          </w:tcPr>
          <w:p w14:paraId="36A93A2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tcBorders>
              <w:bottom w:val="single" w:sz="4" w:space="0" w:color="auto"/>
            </w:tcBorders>
            <w:shd w:val="clear" w:color="auto" w:fill="auto"/>
            <w:noWrap/>
            <w:hideMark/>
          </w:tcPr>
          <w:p w14:paraId="1527A8C8"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shd w:val="clear" w:color="auto" w:fill="auto"/>
            <w:noWrap/>
            <w:hideMark/>
          </w:tcPr>
          <w:p w14:paraId="2D82BB4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bottom w:val="single" w:sz="4" w:space="0" w:color="auto"/>
            </w:tcBorders>
            <w:shd w:val="clear" w:color="auto" w:fill="auto"/>
            <w:noWrap/>
            <w:hideMark/>
          </w:tcPr>
          <w:p w14:paraId="0B5661B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bottom w:val="single" w:sz="4" w:space="0" w:color="auto"/>
            </w:tcBorders>
            <w:shd w:val="clear" w:color="auto" w:fill="auto"/>
            <w:noWrap/>
            <w:hideMark/>
          </w:tcPr>
          <w:p w14:paraId="0BF0613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66797A5D"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1972F883" w14:textId="77777777" w:rsidR="009D5BF3" w:rsidRPr="009D5BF3" w:rsidRDefault="009D5BF3" w:rsidP="003905ED">
            <w:pPr>
              <w:pStyle w:val="Body"/>
              <w:spacing w:after="0"/>
              <w:rPr>
                <w:rFonts w:ascii="Arial" w:hAnsi="Arial" w:cs="Arial"/>
                <w:lang w:val="en-GB"/>
              </w:rPr>
            </w:pPr>
          </w:p>
        </w:tc>
        <w:tc>
          <w:tcPr>
            <w:tcW w:w="1814" w:type="dxa"/>
            <w:vMerge w:val="restart"/>
            <w:tcBorders>
              <w:top w:val="single" w:sz="4" w:space="0" w:color="auto"/>
            </w:tcBorders>
            <w:noWrap/>
            <w:hideMark/>
          </w:tcPr>
          <w:p w14:paraId="6AB4849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roofErr w:type="spellStart"/>
            <w:r w:rsidRPr="009D5BF3">
              <w:rPr>
                <w:rFonts w:ascii="Arial" w:hAnsi="Arial" w:cs="Arial"/>
                <w:lang w:val="en-GB"/>
              </w:rPr>
              <w:t>Savarine</w:t>
            </w:r>
            <w:proofErr w:type="spellEnd"/>
          </w:p>
        </w:tc>
        <w:tc>
          <w:tcPr>
            <w:tcW w:w="2126" w:type="dxa"/>
            <w:tcBorders>
              <w:top w:val="single" w:sz="4" w:space="0" w:color="auto"/>
            </w:tcBorders>
            <w:noWrap/>
            <w:hideMark/>
          </w:tcPr>
          <w:p w14:paraId="2A4F8E3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noWrap/>
            <w:hideMark/>
          </w:tcPr>
          <w:p w14:paraId="49109DE4"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top w:val="single" w:sz="4" w:space="0" w:color="auto"/>
            </w:tcBorders>
            <w:noWrap/>
            <w:hideMark/>
          </w:tcPr>
          <w:p w14:paraId="1D86049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top w:val="single" w:sz="4" w:space="0" w:color="auto"/>
            </w:tcBorders>
            <w:noWrap/>
            <w:hideMark/>
          </w:tcPr>
          <w:p w14:paraId="396B5A71"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2765E3A6"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5D582F67" w14:textId="77777777" w:rsidR="009D5BF3" w:rsidRPr="009D5BF3" w:rsidRDefault="009D5BF3" w:rsidP="003905ED">
            <w:pPr>
              <w:pStyle w:val="Body"/>
              <w:spacing w:after="0"/>
              <w:rPr>
                <w:rFonts w:ascii="Arial" w:hAnsi="Arial" w:cs="Arial"/>
                <w:lang w:val="en-GB"/>
              </w:rPr>
            </w:pPr>
          </w:p>
        </w:tc>
        <w:tc>
          <w:tcPr>
            <w:tcW w:w="1814" w:type="dxa"/>
            <w:vMerge/>
            <w:shd w:val="clear" w:color="auto" w:fill="auto"/>
            <w:noWrap/>
            <w:hideMark/>
          </w:tcPr>
          <w:p w14:paraId="1B1F78A8"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shd w:val="clear" w:color="auto" w:fill="auto"/>
            <w:noWrap/>
            <w:hideMark/>
          </w:tcPr>
          <w:p w14:paraId="216490A3"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shd w:val="clear" w:color="auto" w:fill="auto"/>
            <w:noWrap/>
            <w:hideMark/>
          </w:tcPr>
          <w:p w14:paraId="2A0D7B4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shd w:val="clear" w:color="auto" w:fill="auto"/>
            <w:noWrap/>
            <w:hideMark/>
          </w:tcPr>
          <w:p w14:paraId="623E55BC"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shd w:val="clear" w:color="auto" w:fill="auto"/>
            <w:noWrap/>
            <w:hideMark/>
          </w:tcPr>
          <w:p w14:paraId="0C6C076F"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657E8C4C"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0ADB253C" w14:textId="77777777" w:rsidR="009D5BF3" w:rsidRPr="009D5BF3" w:rsidRDefault="009D5BF3" w:rsidP="003905ED">
            <w:pPr>
              <w:pStyle w:val="Body"/>
              <w:spacing w:after="0"/>
              <w:rPr>
                <w:rFonts w:ascii="Arial" w:hAnsi="Arial" w:cs="Arial"/>
                <w:lang w:val="en-GB"/>
              </w:rPr>
            </w:pPr>
          </w:p>
        </w:tc>
        <w:tc>
          <w:tcPr>
            <w:tcW w:w="1814" w:type="dxa"/>
            <w:vMerge/>
            <w:noWrap/>
            <w:hideMark/>
          </w:tcPr>
          <w:p w14:paraId="14301EA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noWrap/>
            <w:hideMark/>
          </w:tcPr>
          <w:p w14:paraId="1515AF5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noWrap/>
            <w:hideMark/>
          </w:tcPr>
          <w:p w14:paraId="7BF34914"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noWrap/>
            <w:hideMark/>
          </w:tcPr>
          <w:p w14:paraId="3F478D3C"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noWrap/>
            <w:hideMark/>
          </w:tcPr>
          <w:p w14:paraId="3702122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bl>
    <w:p w14:paraId="42D939AB" w14:textId="77777777" w:rsidR="009D5BF3" w:rsidRPr="003905ED" w:rsidRDefault="009D5BF3" w:rsidP="009D5BF3">
      <w:pPr>
        <w:pStyle w:val="Body"/>
        <w:spacing w:after="0"/>
        <w:rPr>
          <w:rFonts w:ascii="Arial" w:hAnsi="Arial" w:cs="Arial"/>
          <w:i/>
          <w:iCs/>
          <w:sz w:val="16"/>
          <w:szCs w:val="16"/>
        </w:rPr>
      </w:pPr>
      <w:r w:rsidRPr="003905ED">
        <w:rPr>
          <w:rFonts w:ascii="Arial" w:hAnsi="Arial" w:cs="Arial"/>
          <w:i/>
          <w:iCs/>
          <w:sz w:val="16"/>
          <w:szCs w:val="16"/>
        </w:rPr>
        <w:t xml:space="preserve">AL: artemether/lumefantrine, ASAQ: artesunate/amodiaquine, DHA/PQP: </w:t>
      </w:r>
      <w:proofErr w:type="spellStart"/>
      <w:r w:rsidRPr="003905ED">
        <w:rPr>
          <w:rFonts w:ascii="Arial" w:hAnsi="Arial" w:cs="Arial"/>
          <w:i/>
          <w:iCs/>
          <w:sz w:val="16"/>
          <w:szCs w:val="16"/>
        </w:rPr>
        <w:t>dihydroartemisinin</w:t>
      </w:r>
      <w:proofErr w:type="spellEnd"/>
      <w:r w:rsidRPr="003905ED">
        <w:rPr>
          <w:rFonts w:ascii="Arial" w:hAnsi="Arial" w:cs="Arial"/>
          <w:i/>
          <w:iCs/>
          <w:sz w:val="16"/>
          <w:szCs w:val="16"/>
        </w:rPr>
        <w:t xml:space="preserve">/piperaquine, Q: quinine, </w:t>
      </w:r>
      <w:proofErr w:type="spellStart"/>
      <w:r w:rsidRPr="003905ED">
        <w:rPr>
          <w:rFonts w:ascii="Arial" w:hAnsi="Arial" w:cs="Arial"/>
          <w:i/>
          <w:iCs/>
          <w:sz w:val="16"/>
          <w:szCs w:val="16"/>
        </w:rPr>
        <w:t>AMim</w:t>
      </w:r>
      <w:proofErr w:type="spellEnd"/>
      <w:r w:rsidRPr="003905ED">
        <w:rPr>
          <w:rFonts w:ascii="Arial" w:hAnsi="Arial" w:cs="Arial"/>
          <w:i/>
          <w:iCs/>
          <w:sz w:val="16"/>
          <w:szCs w:val="16"/>
        </w:rPr>
        <w:t xml:space="preserve">: intra muscular artemether, </w:t>
      </w:r>
      <w:proofErr w:type="spellStart"/>
      <w:r w:rsidRPr="003905ED">
        <w:rPr>
          <w:rFonts w:ascii="Arial" w:hAnsi="Arial" w:cs="Arial"/>
          <w:i/>
          <w:iCs/>
          <w:sz w:val="16"/>
          <w:szCs w:val="16"/>
        </w:rPr>
        <w:t>ASiv</w:t>
      </w:r>
      <w:proofErr w:type="spellEnd"/>
      <w:r w:rsidRPr="003905ED">
        <w:rPr>
          <w:rFonts w:ascii="Arial" w:hAnsi="Arial" w:cs="Arial"/>
          <w:i/>
          <w:iCs/>
          <w:sz w:val="16"/>
          <w:szCs w:val="16"/>
        </w:rPr>
        <w:t>: intravenous artesunate, ACT: artemisinin base combination therapy</w:t>
      </w:r>
    </w:p>
    <w:p w14:paraId="39AAFECE" w14:textId="77777777" w:rsidR="003905ED" w:rsidRPr="009D5BF3" w:rsidRDefault="003905ED" w:rsidP="009D5BF3">
      <w:pPr>
        <w:pStyle w:val="Body"/>
        <w:spacing w:after="0"/>
        <w:rPr>
          <w:rFonts w:ascii="Arial" w:hAnsi="Arial" w:cs="Arial"/>
        </w:rPr>
      </w:pPr>
    </w:p>
    <w:p w14:paraId="22862AD7" w14:textId="75D4DC73" w:rsidR="009D5BF3" w:rsidRPr="003905ED" w:rsidRDefault="003905ED" w:rsidP="009D5BF3">
      <w:pPr>
        <w:pStyle w:val="Body"/>
        <w:spacing w:after="0"/>
        <w:rPr>
          <w:rFonts w:ascii="Arial" w:hAnsi="Arial" w:cs="Arial"/>
          <w:b/>
          <w:sz w:val="22"/>
          <w:szCs w:val="22"/>
        </w:rPr>
      </w:pPr>
      <w:r w:rsidRPr="003905ED">
        <w:rPr>
          <w:rFonts w:ascii="Arial" w:hAnsi="Arial" w:cs="Arial"/>
          <w:b/>
          <w:sz w:val="22"/>
          <w:szCs w:val="22"/>
        </w:rPr>
        <w:t xml:space="preserve">3.8 </w:t>
      </w:r>
      <w:r w:rsidR="009D5BF3" w:rsidRPr="009D5BF3">
        <w:rPr>
          <w:rFonts w:ascii="Arial" w:hAnsi="Arial" w:cs="Arial"/>
          <w:b/>
          <w:sz w:val="22"/>
          <w:szCs w:val="22"/>
        </w:rPr>
        <w:t>Quality of antimalarial prescription use for simple malaria treatment</w:t>
      </w:r>
    </w:p>
    <w:p w14:paraId="2C8E05F1" w14:textId="77777777" w:rsidR="003905ED" w:rsidRPr="009D5BF3" w:rsidRDefault="003905ED" w:rsidP="009D5BF3">
      <w:pPr>
        <w:pStyle w:val="Body"/>
        <w:spacing w:after="0"/>
        <w:rPr>
          <w:rFonts w:ascii="Arial" w:hAnsi="Arial" w:cs="Arial"/>
          <w:b/>
        </w:rPr>
      </w:pPr>
    </w:p>
    <w:p w14:paraId="10264C28" w14:textId="77777777" w:rsidR="009D5BF3" w:rsidRPr="009D5BF3" w:rsidRDefault="009D5BF3" w:rsidP="009D5BF3">
      <w:pPr>
        <w:pStyle w:val="Body"/>
        <w:spacing w:after="0"/>
        <w:rPr>
          <w:rFonts w:ascii="Arial" w:hAnsi="Arial" w:cs="Arial"/>
          <w:b/>
        </w:rPr>
      </w:pPr>
      <w:bookmarkStart w:id="11" w:name="_Hlk210419341"/>
      <w:r w:rsidRPr="009D5BF3">
        <w:rPr>
          <w:rFonts w:ascii="Arial" w:hAnsi="Arial" w:cs="Arial"/>
          <w:bCs/>
        </w:rPr>
        <w:t xml:space="preserve">The results of this matrix clearly establish Artemether-Lumefantrine (AL) as the most consistently adequate first-intention antimalarial across all age groups (Table 6). AL achieved 100.0% posology adequacy and 98.3% duration adequacy among adults/adolescents, with strong performance also observed in children aged 5–10 years (72.5% posology, 66.7% duration) and those under 5 (53.7% posology, 58.9% duration) (Table 6). In contrast, ASAQ (Artesunate-Amodiaquine) showed moderate adequacy in younger children (46.3% posology, 39.3% duration) but dropped sharply in older age groups, with only 1.6% adequacy among adults/adolescents. Other ACTs like DHA/PQP, DHA/PQP/TMTP, and AS/MQ were rarely used and showed negligible adequacy. </w:t>
      </w:r>
      <w:bookmarkEnd w:id="11"/>
    </w:p>
    <w:p w14:paraId="38A4891D" w14:textId="77777777" w:rsidR="009D5BF3" w:rsidRDefault="009D5BF3" w:rsidP="00441B6F">
      <w:pPr>
        <w:pStyle w:val="Body"/>
        <w:spacing w:after="0"/>
        <w:rPr>
          <w:rFonts w:ascii="Arial" w:hAnsi="Arial" w:cs="Arial"/>
        </w:rPr>
      </w:pPr>
    </w:p>
    <w:p w14:paraId="01B4789F" w14:textId="77777777" w:rsidR="009D5BF3" w:rsidRDefault="009D5BF3" w:rsidP="00441B6F">
      <w:pPr>
        <w:pStyle w:val="Body"/>
        <w:spacing w:after="0"/>
        <w:rPr>
          <w:rFonts w:ascii="Arial" w:hAnsi="Arial" w:cs="Arial"/>
        </w:rPr>
      </w:pPr>
    </w:p>
    <w:p w14:paraId="7227862B" w14:textId="77777777" w:rsidR="003905ED" w:rsidRDefault="003905ED" w:rsidP="00441B6F">
      <w:pPr>
        <w:pStyle w:val="Body"/>
        <w:spacing w:after="0"/>
        <w:rPr>
          <w:rFonts w:ascii="Arial" w:hAnsi="Arial" w:cs="Arial"/>
        </w:rPr>
      </w:pPr>
    </w:p>
    <w:p w14:paraId="4EA6D4A8" w14:textId="77777777" w:rsidR="003905ED" w:rsidRDefault="003905ED" w:rsidP="00441B6F">
      <w:pPr>
        <w:pStyle w:val="Body"/>
        <w:spacing w:after="0"/>
        <w:rPr>
          <w:rFonts w:ascii="Arial" w:hAnsi="Arial" w:cs="Arial"/>
        </w:rPr>
      </w:pPr>
    </w:p>
    <w:p w14:paraId="7BE0DEEF" w14:textId="77777777" w:rsidR="003905ED" w:rsidRDefault="003905ED" w:rsidP="00441B6F">
      <w:pPr>
        <w:pStyle w:val="Body"/>
        <w:spacing w:after="0"/>
        <w:rPr>
          <w:rFonts w:ascii="Arial" w:hAnsi="Arial" w:cs="Arial"/>
        </w:rPr>
      </w:pPr>
    </w:p>
    <w:p w14:paraId="5E635012" w14:textId="77777777" w:rsidR="003905ED" w:rsidRDefault="003905ED" w:rsidP="00441B6F">
      <w:pPr>
        <w:pStyle w:val="Body"/>
        <w:spacing w:after="0"/>
        <w:rPr>
          <w:rFonts w:ascii="Arial" w:hAnsi="Arial" w:cs="Arial"/>
        </w:rPr>
      </w:pPr>
    </w:p>
    <w:p w14:paraId="47C87A1A" w14:textId="77777777" w:rsidR="003905ED" w:rsidRDefault="003905ED" w:rsidP="00441B6F">
      <w:pPr>
        <w:pStyle w:val="Body"/>
        <w:spacing w:after="0"/>
        <w:rPr>
          <w:rFonts w:ascii="Arial" w:hAnsi="Arial" w:cs="Arial"/>
        </w:rPr>
      </w:pPr>
    </w:p>
    <w:p w14:paraId="64CB70F3" w14:textId="77777777" w:rsidR="003905ED" w:rsidRDefault="003905ED" w:rsidP="00441B6F">
      <w:pPr>
        <w:pStyle w:val="Body"/>
        <w:spacing w:after="0"/>
        <w:rPr>
          <w:rFonts w:ascii="Arial" w:hAnsi="Arial" w:cs="Arial"/>
        </w:rPr>
      </w:pPr>
    </w:p>
    <w:p w14:paraId="0A198184" w14:textId="77777777" w:rsidR="003905ED" w:rsidRDefault="003905ED" w:rsidP="00441B6F">
      <w:pPr>
        <w:pStyle w:val="Body"/>
        <w:spacing w:after="0"/>
        <w:rPr>
          <w:rFonts w:ascii="Arial" w:hAnsi="Arial" w:cs="Arial"/>
        </w:rPr>
      </w:pPr>
    </w:p>
    <w:p w14:paraId="2475F922" w14:textId="77777777" w:rsidR="003905ED" w:rsidRDefault="003905ED" w:rsidP="00441B6F">
      <w:pPr>
        <w:pStyle w:val="Body"/>
        <w:spacing w:after="0"/>
        <w:rPr>
          <w:rFonts w:ascii="Arial" w:hAnsi="Arial" w:cs="Arial"/>
        </w:rPr>
      </w:pPr>
    </w:p>
    <w:p w14:paraId="30D76EF8" w14:textId="77777777" w:rsidR="003905ED" w:rsidRDefault="003905ED" w:rsidP="00441B6F">
      <w:pPr>
        <w:pStyle w:val="Body"/>
        <w:spacing w:after="0"/>
        <w:rPr>
          <w:rFonts w:ascii="Arial" w:hAnsi="Arial" w:cs="Arial"/>
        </w:rPr>
      </w:pPr>
    </w:p>
    <w:p w14:paraId="17EC3E25" w14:textId="77777777" w:rsidR="003905ED" w:rsidRDefault="003905ED" w:rsidP="00441B6F">
      <w:pPr>
        <w:pStyle w:val="Body"/>
        <w:spacing w:after="0"/>
        <w:rPr>
          <w:rFonts w:ascii="Arial" w:hAnsi="Arial" w:cs="Arial"/>
        </w:rPr>
      </w:pPr>
    </w:p>
    <w:p w14:paraId="2C403466" w14:textId="77777777" w:rsidR="003905ED" w:rsidRDefault="003905ED" w:rsidP="00441B6F">
      <w:pPr>
        <w:pStyle w:val="Body"/>
        <w:spacing w:after="0"/>
        <w:rPr>
          <w:rFonts w:ascii="Arial" w:hAnsi="Arial" w:cs="Arial"/>
        </w:rPr>
      </w:pPr>
    </w:p>
    <w:p w14:paraId="289B32B4" w14:textId="77777777" w:rsidR="003905ED" w:rsidRDefault="003905ED" w:rsidP="00441B6F">
      <w:pPr>
        <w:pStyle w:val="Body"/>
        <w:spacing w:after="0"/>
        <w:rPr>
          <w:rFonts w:ascii="Arial" w:hAnsi="Arial" w:cs="Arial"/>
        </w:rPr>
      </w:pPr>
    </w:p>
    <w:p w14:paraId="16F7F3CA" w14:textId="77777777" w:rsidR="003905ED" w:rsidRDefault="003905ED" w:rsidP="00441B6F">
      <w:pPr>
        <w:pStyle w:val="Body"/>
        <w:spacing w:after="0"/>
        <w:rPr>
          <w:rFonts w:ascii="Arial" w:hAnsi="Arial" w:cs="Arial"/>
        </w:rPr>
      </w:pPr>
    </w:p>
    <w:p w14:paraId="7D9915F8" w14:textId="77777777" w:rsidR="00952E64" w:rsidRDefault="00952E64" w:rsidP="00441B6F">
      <w:pPr>
        <w:pStyle w:val="Body"/>
        <w:spacing w:after="0"/>
        <w:rPr>
          <w:rFonts w:ascii="Arial" w:hAnsi="Arial" w:cs="Arial"/>
        </w:rPr>
      </w:pPr>
    </w:p>
    <w:p w14:paraId="3C3B8715" w14:textId="77777777" w:rsidR="003905ED" w:rsidRDefault="003905ED" w:rsidP="00441B6F">
      <w:pPr>
        <w:pStyle w:val="Body"/>
        <w:spacing w:after="0"/>
        <w:rPr>
          <w:rFonts w:ascii="Arial" w:hAnsi="Arial" w:cs="Arial"/>
        </w:rPr>
      </w:pPr>
    </w:p>
    <w:p w14:paraId="0BFC275D" w14:textId="77777777" w:rsidR="003905ED" w:rsidRDefault="003905ED" w:rsidP="003905ED">
      <w:pPr>
        <w:pStyle w:val="Body"/>
        <w:spacing w:after="0"/>
        <w:rPr>
          <w:rFonts w:ascii="Arial" w:hAnsi="Arial" w:cs="Arial"/>
          <w:b/>
        </w:rPr>
        <w:sectPr w:rsidR="003905ED" w:rsidSect="000B1E33">
          <w:footerReference w:type="default" r:id="rId16"/>
          <w:type w:val="continuous"/>
          <w:pgSz w:w="12240" w:h="15840"/>
          <w:pgMar w:top="1440" w:right="2016" w:bottom="2016" w:left="2016" w:header="720" w:footer="1123" w:gutter="0"/>
          <w:lnNumType w:countBy="1" w:restart="continuous"/>
          <w:cols w:space="720"/>
          <w:docGrid w:linePitch="272"/>
        </w:sectPr>
      </w:pPr>
    </w:p>
    <w:p w14:paraId="423F9D10" w14:textId="77777777" w:rsidR="003905ED" w:rsidRPr="003905ED" w:rsidRDefault="003905ED" w:rsidP="003905ED">
      <w:pPr>
        <w:pStyle w:val="Body"/>
        <w:spacing w:after="0"/>
        <w:rPr>
          <w:rFonts w:ascii="Arial" w:hAnsi="Arial" w:cs="Arial"/>
          <w:b/>
        </w:rPr>
      </w:pPr>
      <w:r w:rsidRPr="003905ED">
        <w:rPr>
          <w:rFonts w:ascii="Arial" w:hAnsi="Arial" w:cs="Arial"/>
          <w:b/>
        </w:rPr>
        <w:lastRenderedPageBreak/>
        <w:t>Table 6. Reformatted Matrix: Adequacy of Antimalarial first line Treatment Regimens</w:t>
      </w:r>
    </w:p>
    <w:tbl>
      <w:tblPr>
        <w:tblStyle w:val="ListTable6Colorful"/>
        <w:tblW w:w="12157" w:type="dxa"/>
        <w:tblLook w:val="04A0" w:firstRow="1" w:lastRow="0" w:firstColumn="1" w:lastColumn="0" w:noHBand="0" w:noVBand="1"/>
      </w:tblPr>
      <w:tblGrid>
        <w:gridCol w:w="1083"/>
        <w:gridCol w:w="1717"/>
        <w:gridCol w:w="1472"/>
        <w:gridCol w:w="1467"/>
        <w:gridCol w:w="1861"/>
        <w:gridCol w:w="1472"/>
        <w:gridCol w:w="1472"/>
        <w:gridCol w:w="1861"/>
      </w:tblGrid>
      <w:tr w:rsidR="00D57D2B" w:rsidRPr="003905ED" w14:paraId="40A828EF" w14:textId="77777777" w:rsidTr="00D57D2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val="restart"/>
            <w:noWrap/>
            <w:hideMark/>
          </w:tcPr>
          <w:p w14:paraId="1D793C37" w14:textId="77777777" w:rsidR="003905ED" w:rsidRPr="003905ED" w:rsidRDefault="003905ED" w:rsidP="003905ED">
            <w:pPr>
              <w:pStyle w:val="Body"/>
              <w:spacing w:after="0"/>
              <w:rPr>
                <w:rFonts w:ascii="Arial" w:hAnsi="Arial" w:cs="Arial"/>
                <w:lang w:val="en-GB"/>
              </w:rPr>
            </w:pPr>
            <w:r w:rsidRPr="003905ED">
              <w:rPr>
                <w:rFonts w:ascii="Arial" w:hAnsi="Arial" w:cs="Arial"/>
                <w:lang w:val="en-GB"/>
              </w:rPr>
              <w:t>Category</w:t>
            </w:r>
          </w:p>
        </w:tc>
        <w:tc>
          <w:tcPr>
            <w:tcW w:w="1683" w:type="dxa"/>
            <w:vMerge w:val="restart"/>
            <w:noWrap/>
            <w:hideMark/>
          </w:tcPr>
          <w:p w14:paraId="4F07D5CF" w14:textId="77777777" w:rsidR="003905ED" w:rsidRPr="003905ED" w:rsidRDefault="003905ED"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Antimalarial</w:t>
            </w:r>
          </w:p>
        </w:tc>
        <w:tc>
          <w:tcPr>
            <w:tcW w:w="4656" w:type="dxa"/>
            <w:gridSpan w:val="3"/>
            <w:tcBorders>
              <w:right w:val="single" w:sz="4" w:space="0" w:color="auto"/>
            </w:tcBorders>
            <w:noWrap/>
            <w:hideMark/>
          </w:tcPr>
          <w:p w14:paraId="7AA23924" w14:textId="77777777" w:rsidR="003905ED" w:rsidRPr="003905ED" w:rsidRDefault="003905ED" w:rsidP="00D57D2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Adequate Posology</w:t>
            </w:r>
          </w:p>
        </w:tc>
        <w:tc>
          <w:tcPr>
            <w:tcW w:w="4800" w:type="dxa"/>
            <w:gridSpan w:val="3"/>
            <w:tcBorders>
              <w:left w:val="single" w:sz="4" w:space="0" w:color="auto"/>
            </w:tcBorders>
            <w:noWrap/>
            <w:hideMark/>
          </w:tcPr>
          <w:p w14:paraId="3C771D34" w14:textId="77777777" w:rsidR="003905ED" w:rsidRPr="003905ED" w:rsidRDefault="003905ED" w:rsidP="00D57D2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Adequate Duration</w:t>
            </w:r>
          </w:p>
        </w:tc>
      </w:tr>
      <w:tr w:rsidR="003905ED" w:rsidRPr="003905ED" w14:paraId="0AB99290"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tcBorders>
              <w:bottom w:val="single" w:sz="4" w:space="0" w:color="auto"/>
            </w:tcBorders>
            <w:shd w:val="clear" w:color="auto" w:fill="auto"/>
            <w:noWrap/>
            <w:hideMark/>
          </w:tcPr>
          <w:p w14:paraId="0E3738E3" w14:textId="77777777" w:rsidR="003905ED" w:rsidRPr="003905ED" w:rsidRDefault="003905ED" w:rsidP="003905ED">
            <w:pPr>
              <w:pStyle w:val="Body"/>
              <w:spacing w:after="0"/>
              <w:rPr>
                <w:rFonts w:ascii="Arial" w:hAnsi="Arial" w:cs="Arial"/>
                <w:lang w:val="en-GB"/>
              </w:rPr>
            </w:pPr>
          </w:p>
        </w:tc>
        <w:tc>
          <w:tcPr>
            <w:tcW w:w="1683" w:type="dxa"/>
            <w:vMerge/>
            <w:tcBorders>
              <w:bottom w:val="single" w:sz="4" w:space="0" w:color="auto"/>
            </w:tcBorders>
            <w:shd w:val="clear" w:color="auto" w:fill="auto"/>
            <w:noWrap/>
            <w:hideMark/>
          </w:tcPr>
          <w:p w14:paraId="778E0AB1"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472" w:type="dxa"/>
            <w:tcBorders>
              <w:bottom w:val="single" w:sz="4" w:space="0" w:color="auto"/>
            </w:tcBorders>
            <w:shd w:val="clear" w:color="auto" w:fill="auto"/>
            <w:noWrap/>
            <w:hideMark/>
          </w:tcPr>
          <w:p w14:paraId="1F3D2B47"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905ED">
              <w:rPr>
                <w:rFonts w:ascii="Arial" w:hAnsi="Arial" w:cs="Arial"/>
                <w:b/>
                <w:bCs/>
                <w:lang w:val="en-GB"/>
              </w:rPr>
              <w:t>Child 0-&lt;5yrs</w:t>
            </w:r>
          </w:p>
        </w:tc>
        <w:tc>
          <w:tcPr>
            <w:tcW w:w="1467" w:type="dxa"/>
            <w:tcBorders>
              <w:bottom w:val="single" w:sz="4" w:space="0" w:color="auto"/>
            </w:tcBorders>
            <w:shd w:val="clear" w:color="auto" w:fill="auto"/>
            <w:noWrap/>
            <w:hideMark/>
          </w:tcPr>
          <w:p w14:paraId="08B209C1"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905ED">
              <w:rPr>
                <w:rFonts w:ascii="Arial" w:hAnsi="Arial" w:cs="Arial"/>
                <w:b/>
                <w:bCs/>
                <w:lang w:val="en-GB"/>
              </w:rPr>
              <w:t>Child 5-10yrs</w:t>
            </w:r>
          </w:p>
        </w:tc>
        <w:tc>
          <w:tcPr>
            <w:tcW w:w="1717" w:type="dxa"/>
            <w:tcBorders>
              <w:bottom w:val="single" w:sz="4" w:space="0" w:color="auto"/>
              <w:right w:val="single" w:sz="4" w:space="0" w:color="auto"/>
            </w:tcBorders>
            <w:shd w:val="clear" w:color="auto" w:fill="auto"/>
            <w:noWrap/>
            <w:hideMark/>
          </w:tcPr>
          <w:p w14:paraId="312CE51D"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905ED">
              <w:rPr>
                <w:rFonts w:ascii="Arial" w:hAnsi="Arial" w:cs="Arial"/>
                <w:b/>
                <w:bCs/>
                <w:lang w:val="en-GB"/>
              </w:rPr>
              <w:t>Adult/Adolescent</w:t>
            </w:r>
          </w:p>
        </w:tc>
        <w:tc>
          <w:tcPr>
            <w:tcW w:w="1472" w:type="dxa"/>
            <w:tcBorders>
              <w:left w:val="single" w:sz="4" w:space="0" w:color="auto"/>
              <w:bottom w:val="single" w:sz="4" w:space="0" w:color="auto"/>
            </w:tcBorders>
            <w:shd w:val="clear" w:color="auto" w:fill="auto"/>
            <w:noWrap/>
            <w:hideMark/>
          </w:tcPr>
          <w:p w14:paraId="225E65A0"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905ED">
              <w:rPr>
                <w:rFonts w:ascii="Arial" w:hAnsi="Arial" w:cs="Arial"/>
                <w:b/>
                <w:bCs/>
                <w:lang w:val="en-GB"/>
              </w:rPr>
              <w:t>Child 0-&lt;5yrs</w:t>
            </w:r>
          </w:p>
        </w:tc>
        <w:tc>
          <w:tcPr>
            <w:tcW w:w="1472" w:type="dxa"/>
            <w:tcBorders>
              <w:bottom w:val="single" w:sz="4" w:space="0" w:color="auto"/>
            </w:tcBorders>
            <w:shd w:val="clear" w:color="auto" w:fill="auto"/>
            <w:noWrap/>
            <w:hideMark/>
          </w:tcPr>
          <w:p w14:paraId="1A6D67AB"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905ED">
              <w:rPr>
                <w:rFonts w:ascii="Arial" w:hAnsi="Arial" w:cs="Arial"/>
                <w:b/>
                <w:bCs/>
                <w:lang w:val="en-GB"/>
              </w:rPr>
              <w:t>Child 5-10yrs</w:t>
            </w:r>
          </w:p>
        </w:tc>
        <w:tc>
          <w:tcPr>
            <w:tcW w:w="1856" w:type="dxa"/>
            <w:tcBorders>
              <w:bottom w:val="single" w:sz="4" w:space="0" w:color="auto"/>
              <w:right w:val="single" w:sz="4" w:space="0" w:color="auto"/>
            </w:tcBorders>
            <w:shd w:val="clear" w:color="auto" w:fill="auto"/>
            <w:noWrap/>
            <w:hideMark/>
          </w:tcPr>
          <w:p w14:paraId="722EDBF7"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905ED">
              <w:rPr>
                <w:rFonts w:ascii="Arial" w:hAnsi="Arial" w:cs="Arial"/>
                <w:b/>
                <w:bCs/>
                <w:lang w:val="en-GB"/>
              </w:rPr>
              <w:t>Adult/Adolescent</w:t>
            </w:r>
          </w:p>
        </w:tc>
      </w:tr>
      <w:tr w:rsidR="003905ED" w:rsidRPr="003905ED" w14:paraId="51EFA877"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018" w:type="dxa"/>
            <w:vMerge w:val="restart"/>
            <w:tcBorders>
              <w:top w:val="single" w:sz="4" w:space="0" w:color="auto"/>
            </w:tcBorders>
            <w:noWrap/>
            <w:hideMark/>
          </w:tcPr>
          <w:p w14:paraId="0C384D4C" w14:textId="77777777" w:rsidR="003905ED" w:rsidRPr="003905ED" w:rsidRDefault="003905ED" w:rsidP="003905ED">
            <w:pPr>
              <w:pStyle w:val="Body"/>
              <w:spacing w:after="0"/>
              <w:rPr>
                <w:rFonts w:ascii="Arial" w:hAnsi="Arial" w:cs="Arial"/>
                <w:lang w:val="en-GB"/>
              </w:rPr>
            </w:pPr>
            <w:r w:rsidRPr="003905ED">
              <w:rPr>
                <w:rFonts w:ascii="Arial" w:hAnsi="Arial" w:cs="Arial"/>
                <w:lang w:val="en-GB"/>
              </w:rPr>
              <w:t>ACT</w:t>
            </w:r>
          </w:p>
        </w:tc>
        <w:tc>
          <w:tcPr>
            <w:tcW w:w="1683" w:type="dxa"/>
            <w:tcBorders>
              <w:top w:val="single" w:sz="4" w:space="0" w:color="auto"/>
              <w:bottom w:val="single" w:sz="4" w:space="0" w:color="auto"/>
            </w:tcBorders>
            <w:noWrap/>
            <w:hideMark/>
          </w:tcPr>
          <w:p w14:paraId="66FA0BD0" w14:textId="77777777" w:rsidR="003905ED" w:rsidRPr="003905ED" w:rsidRDefault="003905ED"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AL</w:t>
            </w:r>
          </w:p>
        </w:tc>
        <w:tc>
          <w:tcPr>
            <w:tcW w:w="1472" w:type="dxa"/>
            <w:tcBorders>
              <w:top w:val="single" w:sz="4" w:space="0" w:color="auto"/>
              <w:bottom w:val="single" w:sz="4" w:space="0" w:color="auto"/>
            </w:tcBorders>
            <w:noWrap/>
            <w:hideMark/>
          </w:tcPr>
          <w:p w14:paraId="21A4150A"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22 (53.7%)</w:t>
            </w:r>
          </w:p>
        </w:tc>
        <w:tc>
          <w:tcPr>
            <w:tcW w:w="1467" w:type="dxa"/>
            <w:tcBorders>
              <w:top w:val="single" w:sz="4" w:space="0" w:color="auto"/>
              <w:bottom w:val="single" w:sz="4" w:space="0" w:color="auto"/>
            </w:tcBorders>
            <w:noWrap/>
            <w:hideMark/>
          </w:tcPr>
          <w:p w14:paraId="2EC7D861"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37 (72.5%)</w:t>
            </w:r>
          </w:p>
        </w:tc>
        <w:tc>
          <w:tcPr>
            <w:tcW w:w="1717" w:type="dxa"/>
            <w:tcBorders>
              <w:top w:val="single" w:sz="4" w:space="0" w:color="auto"/>
              <w:bottom w:val="single" w:sz="4" w:space="0" w:color="auto"/>
              <w:right w:val="single" w:sz="4" w:space="0" w:color="auto"/>
            </w:tcBorders>
            <w:noWrap/>
            <w:hideMark/>
          </w:tcPr>
          <w:p w14:paraId="43C4E079"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55 (100.0%)</w:t>
            </w:r>
          </w:p>
        </w:tc>
        <w:tc>
          <w:tcPr>
            <w:tcW w:w="1472" w:type="dxa"/>
            <w:tcBorders>
              <w:top w:val="single" w:sz="4" w:space="0" w:color="auto"/>
              <w:left w:val="single" w:sz="4" w:space="0" w:color="auto"/>
              <w:bottom w:val="single" w:sz="4" w:space="0" w:color="auto"/>
            </w:tcBorders>
            <w:noWrap/>
            <w:hideMark/>
          </w:tcPr>
          <w:p w14:paraId="72E456A0"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33 (58.9%)</w:t>
            </w:r>
          </w:p>
        </w:tc>
        <w:tc>
          <w:tcPr>
            <w:tcW w:w="1472" w:type="dxa"/>
            <w:tcBorders>
              <w:top w:val="single" w:sz="4" w:space="0" w:color="auto"/>
              <w:bottom w:val="single" w:sz="4" w:space="0" w:color="auto"/>
            </w:tcBorders>
            <w:noWrap/>
            <w:hideMark/>
          </w:tcPr>
          <w:p w14:paraId="3CDC1BB5"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36 (66.7%)</w:t>
            </w:r>
          </w:p>
        </w:tc>
        <w:tc>
          <w:tcPr>
            <w:tcW w:w="1856" w:type="dxa"/>
            <w:tcBorders>
              <w:top w:val="single" w:sz="4" w:space="0" w:color="auto"/>
              <w:bottom w:val="single" w:sz="4" w:space="0" w:color="auto"/>
            </w:tcBorders>
            <w:noWrap/>
            <w:hideMark/>
          </w:tcPr>
          <w:p w14:paraId="631FB1AA"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62 (98.3%)</w:t>
            </w:r>
          </w:p>
        </w:tc>
      </w:tr>
      <w:tr w:rsidR="003905ED" w:rsidRPr="003905ED" w14:paraId="0D1DF59D"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shd w:val="clear" w:color="auto" w:fill="auto"/>
            <w:noWrap/>
            <w:hideMark/>
          </w:tcPr>
          <w:p w14:paraId="721EB1AC" w14:textId="77777777" w:rsidR="003905ED" w:rsidRPr="003905ED" w:rsidRDefault="003905ED" w:rsidP="003905ED">
            <w:pPr>
              <w:pStyle w:val="Body"/>
              <w:spacing w:after="0"/>
              <w:rPr>
                <w:rFonts w:ascii="Arial" w:hAnsi="Arial" w:cs="Arial"/>
                <w:lang w:val="en-GB"/>
              </w:rPr>
            </w:pPr>
          </w:p>
        </w:tc>
        <w:tc>
          <w:tcPr>
            <w:tcW w:w="1683" w:type="dxa"/>
            <w:tcBorders>
              <w:top w:val="single" w:sz="4" w:space="0" w:color="auto"/>
              <w:bottom w:val="single" w:sz="4" w:space="0" w:color="auto"/>
            </w:tcBorders>
            <w:shd w:val="clear" w:color="auto" w:fill="auto"/>
            <w:noWrap/>
            <w:hideMark/>
          </w:tcPr>
          <w:p w14:paraId="1E930886"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ASAQ</w:t>
            </w:r>
          </w:p>
        </w:tc>
        <w:tc>
          <w:tcPr>
            <w:tcW w:w="1472" w:type="dxa"/>
            <w:tcBorders>
              <w:top w:val="single" w:sz="4" w:space="0" w:color="auto"/>
              <w:bottom w:val="single" w:sz="4" w:space="0" w:color="auto"/>
            </w:tcBorders>
            <w:shd w:val="clear" w:color="auto" w:fill="auto"/>
            <w:noWrap/>
            <w:hideMark/>
          </w:tcPr>
          <w:p w14:paraId="09BACC08"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19 (46.3%)</w:t>
            </w:r>
          </w:p>
        </w:tc>
        <w:tc>
          <w:tcPr>
            <w:tcW w:w="1467" w:type="dxa"/>
            <w:tcBorders>
              <w:top w:val="single" w:sz="4" w:space="0" w:color="auto"/>
              <w:bottom w:val="single" w:sz="4" w:space="0" w:color="auto"/>
            </w:tcBorders>
            <w:shd w:val="clear" w:color="auto" w:fill="auto"/>
            <w:noWrap/>
            <w:hideMark/>
          </w:tcPr>
          <w:p w14:paraId="5E321018"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13 (25.1%)</w:t>
            </w:r>
          </w:p>
        </w:tc>
        <w:tc>
          <w:tcPr>
            <w:tcW w:w="1717" w:type="dxa"/>
            <w:tcBorders>
              <w:top w:val="single" w:sz="4" w:space="0" w:color="auto"/>
              <w:bottom w:val="single" w:sz="4" w:space="0" w:color="auto"/>
              <w:right w:val="single" w:sz="4" w:space="0" w:color="auto"/>
            </w:tcBorders>
            <w:shd w:val="clear" w:color="auto" w:fill="auto"/>
            <w:noWrap/>
            <w:hideMark/>
          </w:tcPr>
          <w:p w14:paraId="41A0439B"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 (1.6%)</w:t>
            </w:r>
          </w:p>
        </w:tc>
        <w:tc>
          <w:tcPr>
            <w:tcW w:w="1472" w:type="dxa"/>
            <w:tcBorders>
              <w:top w:val="single" w:sz="4" w:space="0" w:color="auto"/>
              <w:left w:val="single" w:sz="4" w:space="0" w:color="auto"/>
              <w:bottom w:val="single" w:sz="4" w:space="0" w:color="auto"/>
            </w:tcBorders>
            <w:shd w:val="clear" w:color="auto" w:fill="auto"/>
            <w:noWrap/>
            <w:hideMark/>
          </w:tcPr>
          <w:p w14:paraId="3C4E77D0"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22 (39.3%)</w:t>
            </w:r>
          </w:p>
        </w:tc>
        <w:tc>
          <w:tcPr>
            <w:tcW w:w="1472" w:type="dxa"/>
            <w:tcBorders>
              <w:top w:val="single" w:sz="4" w:space="0" w:color="auto"/>
              <w:bottom w:val="single" w:sz="4" w:space="0" w:color="auto"/>
            </w:tcBorders>
            <w:shd w:val="clear" w:color="auto" w:fill="auto"/>
            <w:noWrap/>
            <w:hideMark/>
          </w:tcPr>
          <w:p w14:paraId="29572C9F"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18 (33.3%)</w:t>
            </w:r>
          </w:p>
        </w:tc>
        <w:tc>
          <w:tcPr>
            <w:tcW w:w="1856" w:type="dxa"/>
            <w:tcBorders>
              <w:top w:val="single" w:sz="4" w:space="0" w:color="auto"/>
              <w:bottom w:val="single" w:sz="4" w:space="0" w:color="auto"/>
            </w:tcBorders>
            <w:shd w:val="clear" w:color="auto" w:fill="auto"/>
            <w:noWrap/>
            <w:hideMark/>
          </w:tcPr>
          <w:p w14:paraId="1057A33C"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 (1.6%)</w:t>
            </w:r>
          </w:p>
        </w:tc>
      </w:tr>
      <w:tr w:rsidR="003905ED" w:rsidRPr="003905ED" w14:paraId="129952DA"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018" w:type="dxa"/>
            <w:vMerge/>
            <w:noWrap/>
            <w:hideMark/>
          </w:tcPr>
          <w:p w14:paraId="51644015" w14:textId="77777777" w:rsidR="003905ED" w:rsidRPr="003905ED" w:rsidRDefault="003905ED" w:rsidP="003905ED">
            <w:pPr>
              <w:pStyle w:val="Body"/>
              <w:spacing w:after="0"/>
              <w:rPr>
                <w:rFonts w:ascii="Arial" w:hAnsi="Arial" w:cs="Arial"/>
                <w:lang w:val="en-GB"/>
              </w:rPr>
            </w:pPr>
          </w:p>
        </w:tc>
        <w:tc>
          <w:tcPr>
            <w:tcW w:w="1683" w:type="dxa"/>
            <w:tcBorders>
              <w:top w:val="single" w:sz="4" w:space="0" w:color="auto"/>
              <w:bottom w:val="single" w:sz="4" w:space="0" w:color="auto"/>
            </w:tcBorders>
            <w:noWrap/>
            <w:hideMark/>
          </w:tcPr>
          <w:p w14:paraId="0DFB3A60" w14:textId="77777777" w:rsidR="003905ED" w:rsidRPr="003905ED" w:rsidRDefault="003905ED"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DHA/PQP</w:t>
            </w:r>
          </w:p>
        </w:tc>
        <w:tc>
          <w:tcPr>
            <w:tcW w:w="1472" w:type="dxa"/>
            <w:tcBorders>
              <w:top w:val="single" w:sz="4" w:space="0" w:color="auto"/>
              <w:bottom w:val="single" w:sz="4" w:space="0" w:color="auto"/>
            </w:tcBorders>
            <w:noWrap/>
            <w:hideMark/>
          </w:tcPr>
          <w:p w14:paraId="79FB390E"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67" w:type="dxa"/>
            <w:tcBorders>
              <w:top w:val="single" w:sz="4" w:space="0" w:color="auto"/>
              <w:bottom w:val="single" w:sz="4" w:space="0" w:color="auto"/>
            </w:tcBorders>
            <w:noWrap/>
            <w:hideMark/>
          </w:tcPr>
          <w:p w14:paraId="35C8D987"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1 (2.0%)</w:t>
            </w:r>
          </w:p>
        </w:tc>
        <w:tc>
          <w:tcPr>
            <w:tcW w:w="1717" w:type="dxa"/>
            <w:tcBorders>
              <w:top w:val="single" w:sz="4" w:space="0" w:color="auto"/>
              <w:bottom w:val="single" w:sz="4" w:space="0" w:color="auto"/>
              <w:right w:val="single" w:sz="4" w:space="0" w:color="auto"/>
            </w:tcBorders>
            <w:noWrap/>
            <w:hideMark/>
          </w:tcPr>
          <w:p w14:paraId="754DEB3A"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left w:val="single" w:sz="4" w:space="0" w:color="auto"/>
              <w:bottom w:val="single" w:sz="4" w:space="0" w:color="auto"/>
            </w:tcBorders>
            <w:noWrap/>
            <w:hideMark/>
          </w:tcPr>
          <w:p w14:paraId="49461272"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1 (1.8%)</w:t>
            </w:r>
          </w:p>
        </w:tc>
        <w:tc>
          <w:tcPr>
            <w:tcW w:w="1472" w:type="dxa"/>
            <w:tcBorders>
              <w:top w:val="single" w:sz="4" w:space="0" w:color="auto"/>
              <w:bottom w:val="single" w:sz="4" w:space="0" w:color="auto"/>
            </w:tcBorders>
            <w:noWrap/>
            <w:hideMark/>
          </w:tcPr>
          <w:p w14:paraId="203E7B5A"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1 (1.9%)</w:t>
            </w:r>
          </w:p>
        </w:tc>
        <w:tc>
          <w:tcPr>
            <w:tcW w:w="1856" w:type="dxa"/>
            <w:tcBorders>
              <w:top w:val="single" w:sz="4" w:space="0" w:color="auto"/>
              <w:bottom w:val="single" w:sz="4" w:space="0" w:color="auto"/>
            </w:tcBorders>
            <w:noWrap/>
            <w:hideMark/>
          </w:tcPr>
          <w:p w14:paraId="180F00AB"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47FCD926"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shd w:val="clear" w:color="auto" w:fill="auto"/>
            <w:noWrap/>
            <w:hideMark/>
          </w:tcPr>
          <w:p w14:paraId="1F0C278D" w14:textId="77777777" w:rsidR="003905ED" w:rsidRPr="003905ED" w:rsidRDefault="003905ED" w:rsidP="003905ED">
            <w:pPr>
              <w:pStyle w:val="Body"/>
              <w:spacing w:after="0"/>
              <w:rPr>
                <w:rFonts w:ascii="Arial" w:hAnsi="Arial" w:cs="Arial"/>
                <w:lang w:val="en-GB"/>
              </w:rPr>
            </w:pPr>
          </w:p>
        </w:tc>
        <w:tc>
          <w:tcPr>
            <w:tcW w:w="1683" w:type="dxa"/>
            <w:tcBorders>
              <w:top w:val="single" w:sz="4" w:space="0" w:color="auto"/>
            </w:tcBorders>
            <w:shd w:val="clear" w:color="auto" w:fill="auto"/>
            <w:noWrap/>
            <w:hideMark/>
          </w:tcPr>
          <w:p w14:paraId="30560219"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DHA/PQP/TMTP</w:t>
            </w:r>
          </w:p>
        </w:tc>
        <w:tc>
          <w:tcPr>
            <w:tcW w:w="1472" w:type="dxa"/>
            <w:tcBorders>
              <w:top w:val="single" w:sz="4" w:space="0" w:color="auto"/>
            </w:tcBorders>
            <w:shd w:val="clear" w:color="auto" w:fill="auto"/>
            <w:noWrap/>
            <w:hideMark/>
          </w:tcPr>
          <w:p w14:paraId="6E9B438F"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67" w:type="dxa"/>
            <w:tcBorders>
              <w:top w:val="single" w:sz="4" w:space="0" w:color="auto"/>
            </w:tcBorders>
            <w:shd w:val="clear" w:color="auto" w:fill="auto"/>
            <w:noWrap/>
            <w:hideMark/>
          </w:tcPr>
          <w:p w14:paraId="557BB3EB"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717" w:type="dxa"/>
            <w:tcBorders>
              <w:top w:val="single" w:sz="4" w:space="0" w:color="auto"/>
              <w:right w:val="single" w:sz="4" w:space="0" w:color="auto"/>
            </w:tcBorders>
            <w:shd w:val="clear" w:color="auto" w:fill="auto"/>
            <w:noWrap/>
            <w:hideMark/>
          </w:tcPr>
          <w:p w14:paraId="05B218AA"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left w:val="single" w:sz="4" w:space="0" w:color="auto"/>
            </w:tcBorders>
            <w:shd w:val="clear" w:color="auto" w:fill="auto"/>
            <w:noWrap/>
            <w:hideMark/>
          </w:tcPr>
          <w:p w14:paraId="1C68E084"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tcBorders>
            <w:shd w:val="clear" w:color="auto" w:fill="auto"/>
            <w:noWrap/>
            <w:hideMark/>
          </w:tcPr>
          <w:p w14:paraId="7E79E89D"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856" w:type="dxa"/>
            <w:tcBorders>
              <w:top w:val="single" w:sz="4" w:space="0" w:color="auto"/>
            </w:tcBorders>
            <w:shd w:val="clear" w:color="auto" w:fill="auto"/>
            <w:noWrap/>
            <w:hideMark/>
          </w:tcPr>
          <w:p w14:paraId="25DDC5E0"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3B31550A"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018" w:type="dxa"/>
            <w:vMerge/>
            <w:noWrap/>
            <w:hideMark/>
          </w:tcPr>
          <w:p w14:paraId="4A23582D" w14:textId="77777777" w:rsidR="003905ED" w:rsidRPr="003905ED" w:rsidRDefault="003905ED" w:rsidP="003905ED">
            <w:pPr>
              <w:pStyle w:val="Body"/>
              <w:spacing w:after="0"/>
              <w:rPr>
                <w:rFonts w:ascii="Arial" w:hAnsi="Arial" w:cs="Arial"/>
                <w:lang w:val="en-GB"/>
              </w:rPr>
            </w:pPr>
          </w:p>
        </w:tc>
        <w:tc>
          <w:tcPr>
            <w:tcW w:w="1683" w:type="dxa"/>
            <w:noWrap/>
            <w:hideMark/>
          </w:tcPr>
          <w:p w14:paraId="48FA9A3A" w14:textId="77777777" w:rsidR="003905ED" w:rsidRPr="003905ED" w:rsidRDefault="003905ED"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AS/MQ</w:t>
            </w:r>
          </w:p>
        </w:tc>
        <w:tc>
          <w:tcPr>
            <w:tcW w:w="1472" w:type="dxa"/>
            <w:noWrap/>
            <w:hideMark/>
          </w:tcPr>
          <w:p w14:paraId="50FB81C7"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67" w:type="dxa"/>
            <w:noWrap/>
            <w:hideMark/>
          </w:tcPr>
          <w:p w14:paraId="5BAE9FE9"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717" w:type="dxa"/>
            <w:tcBorders>
              <w:right w:val="single" w:sz="4" w:space="0" w:color="auto"/>
            </w:tcBorders>
            <w:noWrap/>
            <w:hideMark/>
          </w:tcPr>
          <w:p w14:paraId="553987B5"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left w:val="single" w:sz="4" w:space="0" w:color="auto"/>
            </w:tcBorders>
            <w:noWrap/>
            <w:hideMark/>
          </w:tcPr>
          <w:p w14:paraId="1B181155"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noWrap/>
            <w:hideMark/>
          </w:tcPr>
          <w:p w14:paraId="055DB6E9"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856" w:type="dxa"/>
            <w:noWrap/>
            <w:hideMark/>
          </w:tcPr>
          <w:p w14:paraId="773EB1A1"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74B47E89"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val="restart"/>
            <w:shd w:val="clear" w:color="auto" w:fill="auto"/>
            <w:noWrap/>
            <w:hideMark/>
          </w:tcPr>
          <w:p w14:paraId="6E983BAB" w14:textId="77777777" w:rsidR="003905ED" w:rsidRPr="003905ED" w:rsidRDefault="003905ED" w:rsidP="003905ED">
            <w:pPr>
              <w:pStyle w:val="Body"/>
              <w:spacing w:after="0"/>
              <w:rPr>
                <w:rFonts w:ascii="Arial" w:hAnsi="Arial" w:cs="Arial"/>
                <w:lang w:val="en-GB"/>
              </w:rPr>
            </w:pPr>
            <w:r w:rsidRPr="003905ED">
              <w:rPr>
                <w:rFonts w:ascii="Arial" w:hAnsi="Arial" w:cs="Arial"/>
                <w:lang w:val="en-GB"/>
              </w:rPr>
              <w:t>Others</w:t>
            </w:r>
          </w:p>
        </w:tc>
        <w:tc>
          <w:tcPr>
            <w:tcW w:w="1683" w:type="dxa"/>
            <w:shd w:val="clear" w:color="auto" w:fill="auto"/>
            <w:noWrap/>
            <w:hideMark/>
          </w:tcPr>
          <w:p w14:paraId="6136038F"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CQ</w:t>
            </w:r>
          </w:p>
        </w:tc>
        <w:tc>
          <w:tcPr>
            <w:tcW w:w="1472" w:type="dxa"/>
            <w:shd w:val="clear" w:color="auto" w:fill="auto"/>
            <w:noWrap/>
            <w:hideMark/>
          </w:tcPr>
          <w:p w14:paraId="70336947"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67" w:type="dxa"/>
            <w:shd w:val="clear" w:color="auto" w:fill="auto"/>
            <w:noWrap/>
            <w:hideMark/>
          </w:tcPr>
          <w:p w14:paraId="7F5AAAF2"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717" w:type="dxa"/>
            <w:tcBorders>
              <w:right w:val="single" w:sz="4" w:space="0" w:color="auto"/>
            </w:tcBorders>
            <w:shd w:val="clear" w:color="auto" w:fill="auto"/>
            <w:noWrap/>
            <w:hideMark/>
          </w:tcPr>
          <w:p w14:paraId="545D0451"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left w:val="single" w:sz="4" w:space="0" w:color="auto"/>
            </w:tcBorders>
            <w:shd w:val="clear" w:color="auto" w:fill="auto"/>
            <w:noWrap/>
            <w:hideMark/>
          </w:tcPr>
          <w:p w14:paraId="0F7B81C1"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shd w:val="clear" w:color="auto" w:fill="auto"/>
            <w:noWrap/>
            <w:hideMark/>
          </w:tcPr>
          <w:p w14:paraId="102D72ED"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856" w:type="dxa"/>
            <w:shd w:val="clear" w:color="auto" w:fill="auto"/>
            <w:noWrap/>
            <w:hideMark/>
          </w:tcPr>
          <w:p w14:paraId="3A9EAF36"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28EB0D2C"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018" w:type="dxa"/>
            <w:vMerge/>
            <w:noWrap/>
            <w:hideMark/>
          </w:tcPr>
          <w:p w14:paraId="4B673864" w14:textId="77777777" w:rsidR="003905ED" w:rsidRPr="003905ED" w:rsidRDefault="003905ED" w:rsidP="003905ED">
            <w:pPr>
              <w:pStyle w:val="Body"/>
              <w:spacing w:after="0"/>
              <w:rPr>
                <w:rFonts w:ascii="Arial" w:hAnsi="Arial" w:cs="Arial"/>
                <w:lang w:val="en-GB"/>
              </w:rPr>
            </w:pPr>
          </w:p>
        </w:tc>
        <w:tc>
          <w:tcPr>
            <w:tcW w:w="1683" w:type="dxa"/>
            <w:tcBorders>
              <w:bottom w:val="single" w:sz="4" w:space="0" w:color="auto"/>
            </w:tcBorders>
            <w:noWrap/>
            <w:hideMark/>
          </w:tcPr>
          <w:p w14:paraId="51EB4073" w14:textId="77777777" w:rsidR="003905ED" w:rsidRPr="003905ED" w:rsidRDefault="003905ED"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Oral Q</w:t>
            </w:r>
          </w:p>
        </w:tc>
        <w:tc>
          <w:tcPr>
            <w:tcW w:w="1472" w:type="dxa"/>
            <w:tcBorders>
              <w:bottom w:val="single" w:sz="4" w:space="0" w:color="auto"/>
            </w:tcBorders>
            <w:noWrap/>
            <w:hideMark/>
          </w:tcPr>
          <w:p w14:paraId="491459BD"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67" w:type="dxa"/>
            <w:tcBorders>
              <w:bottom w:val="single" w:sz="4" w:space="0" w:color="auto"/>
            </w:tcBorders>
            <w:noWrap/>
            <w:hideMark/>
          </w:tcPr>
          <w:p w14:paraId="2CC378F5"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2 (3.2%)</w:t>
            </w:r>
          </w:p>
        </w:tc>
        <w:tc>
          <w:tcPr>
            <w:tcW w:w="1717" w:type="dxa"/>
            <w:tcBorders>
              <w:bottom w:val="single" w:sz="4" w:space="0" w:color="auto"/>
              <w:right w:val="single" w:sz="4" w:space="0" w:color="auto"/>
            </w:tcBorders>
            <w:noWrap/>
            <w:hideMark/>
          </w:tcPr>
          <w:p w14:paraId="62042BEA"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left w:val="single" w:sz="4" w:space="0" w:color="auto"/>
              <w:bottom w:val="single" w:sz="4" w:space="0" w:color="auto"/>
            </w:tcBorders>
            <w:noWrap/>
            <w:hideMark/>
          </w:tcPr>
          <w:p w14:paraId="551592D6"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2 (3.2%)</w:t>
            </w:r>
          </w:p>
        </w:tc>
        <w:tc>
          <w:tcPr>
            <w:tcW w:w="1472" w:type="dxa"/>
            <w:tcBorders>
              <w:bottom w:val="single" w:sz="4" w:space="0" w:color="auto"/>
            </w:tcBorders>
            <w:noWrap/>
            <w:hideMark/>
          </w:tcPr>
          <w:p w14:paraId="37AF0BFC"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2 (3.2%)</w:t>
            </w:r>
          </w:p>
        </w:tc>
        <w:tc>
          <w:tcPr>
            <w:tcW w:w="1856" w:type="dxa"/>
            <w:tcBorders>
              <w:bottom w:val="single" w:sz="4" w:space="0" w:color="auto"/>
            </w:tcBorders>
            <w:noWrap/>
            <w:hideMark/>
          </w:tcPr>
          <w:p w14:paraId="516BA022"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2F0AAA9F"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shd w:val="clear" w:color="auto" w:fill="auto"/>
            <w:noWrap/>
            <w:hideMark/>
          </w:tcPr>
          <w:p w14:paraId="5C651C23" w14:textId="77777777" w:rsidR="003905ED" w:rsidRPr="003905ED" w:rsidRDefault="003905ED" w:rsidP="003905ED">
            <w:pPr>
              <w:pStyle w:val="Body"/>
              <w:spacing w:after="0"/>
              <w:rPr>
                <w:rFonts w:ascii="Arial" w:hAnsi="Arial" w:cs="Arial"/>
                <w:lang w:val="en-GB"/>
              </w:rPr>
            </w:pPr>
          </w:p>
        </w:tc>
        <w:tc>
          <w:tcPr>
            <w:tcW w:w="1683" w:type="dxa"/>
            <w:tcBorders>
              <w:top w:val="single" w:sz="4" w:space="0" w:color="auto"/>
              <w:bottom w:val="single" w:sz="4" w:space="0" w:color="auto"/>
            </w:tcBorders>
            <w:shd w:val="clear" w:color="auto" w:fill="auto"/>
            <w:noWrap/>
            <w:hideMark/>
          </w:tcPr>
          <w:p w14:paraId="2DF54BAC"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AL or AMim, AL or ASAQ, AL or DHA/PQP</w:t>
            </w:r>
          </w:p>
        </w:tc>
        <w:tc>
          <w:tcPr>
            <w:tcW w:w="1472" w:type="dxa"/>
            <w:tcBorders>
              <w:top w:val="single" w:sz="4" w:space="0" w:color="auto"/>
              <w:bottom w:val="single" w:sz="4" w:space="0" w:color="auto"/>
            </w:tcBorders>
            <w:shd w:val="clear" w:color="auto" w:fill="auto"/>
            <w:noWrap/>
            <w:hideMark/>
          </w:tcPr>
          <w:p w14:paraId="3664E0F9"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4 (6.3%)</w:t>
            </w:r>
          </w:p>
        </w:tc>
        <w:tc>
          <w:tcPr>
            <w:tcW w:w="1467" w:type="dxa"/>
            <w:tcBorders>
              <w:top w:val="single" w:sz="4" w:space="0" w:color="auto"/>
              <w:bottom w:val="single" w:sz="4" w:space="0" w:color="auto"/>
            </w:tcBorders>
            <w:shd w:val="clear" w:color="auto" w:fill="auto"/>
            <w:noWrap/>
            <w:hideMark/>
          </w:tcPr>
          <w:p w14:paraId="571781FA"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4 (6.3%)</w:t>
            </w:r>
          </w:p>
        </w:tc>
        <w:tc>
          <w:tcPr>
            <w:tcW w:w="1717" w:type="dxa"/>
            <w:tcBorders>
              <w:top w:val="single" w:sz="4" w:space="0" w:color="auto"/>
              <w:bottom w:val="single" w:sz="4" w:space="0" w:color="auto"/>
              <w:right w:val="single" w:sz="4" w:space="0" w:color="auto"/>
            </w:tcBorders>
            <w:shd w:val="clear" w:color="auto" w:fill="auto"/>
            <w:noWrap/>
            <w:hideMark/>
          </w:tcPr>
          <w:p w14:paraId="3BE245A3"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left w:val="single" w:sz="4" w:space="0" w:color="auto"/>
              <w:bottom w:val="single" w:sz="4" w:space="0" w:color="auto"/>
            </w:tcBorders>
            <w:shd w:val="clear" w:color="auto" w:fill="auto"/>
            <w:noWrap/>
            <w:hideMark/>
          </w:tcPr>
          <w:p w14:paraId="729654AE"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4 (6.3%)</w:t>
            </w:r>
          </w:p>
        </w:tc>
        <w:tc>
          <w:tcPr>
            <w:tcW w:w="1472" w:type="dxa"/>
            <w:tcBorders>
              <w:top w:val="single" w:sz="4" w:space="0" w:color="auto"/>
              <w:bottom w:val="single" w:sz="4" w:space="0" w:color="auto"/>
            </w:tcBorders>
            <w:shd w:val="clear" w:color="auto" w:fill="auto"/>
            <w:noWrap/>
            <w:hideMark/>
          </w:tcPr>
          <w:p w14:paraId="0C3B8895"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5 (6.3%)</w:t>
            </w:r>
          </w:p>
        </w:tc>
        <w:tc>
          <w:tcPr>
            <w:tcW w:w="1856" w:type="dxa"/>
            <w:tcBorders>
              <w:top w:val="single" w:sz="4" w:space="0" w:color="auto"/>
              <w:bottom w:val="single" w:sz="4" w:space="0" w:color="auto"/>
            </w:tcBorders>
            <w:shd w:val="clear" w:color="auto" w:fill="auto"/>
            <w:noWrap/>
            <w:hideMark/>
          </w:tcPr>
          <w:p w14:paraId="62F368DC"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367C3121"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018" w:type="dxa"/>
            <w:vMerge/>
            <w:noWrap/>
            <w:hideMark/>
          </w:tcPr>
          <w:p w14:paraId="4740626A" w14:textId="77777777" w:rsidR="003905ED" w:rsidRPr="003905ED" w:rsidRDefault="003905ED" w:rsidP="003905ED">
            <w:pPr>
              <w:pStyle w:val="Body"/>
              <w:spacing w:after="0"/>
              <w:rPr>
                <w:rFonts w:ascii="Arial" w:hAnsi="Arial" w:cs="Arial"/>
                <w:lang w:val="en-GB"/>
              </w:rPr>
            </w:pPr>
          </w:p>
        </w:tc>
        <w:tc>
          <w:tcPr>
            <w:tcW w:w="1683" w:type="dxa"/>
            <w:tcBorders>
              <w:top w:val="single" w:sz="4" w:space="0" w:color="auto"/>
              <w:bottom w:val="single" w:sz="4" w:space="0" w:color="auto"/>
            </w:tcBorders>
            <w:noWrap/>
            <w:hideMark/>
          </w:tcPr>
          <w:p w14:paraId="0C0C4F62" w14:textId="77777777" w:rsidR="003905ED" w:rsidRPr="003905ED" w:rsidRDefault="003905ED"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ASAQ or AMim, ASAQ or DHA/PQP</w:t>
            </w:r>
          </w:p>
        </w:tc>
        <w:tc>
          <w:tcPr>
            <w:tcW w:w="1472" w:type="dxa"/>
            <w:tcBorders>
              <w:top w:val="single" w:sz="4" w:space="0" w:color="auto"/>
              <w:bottom w:val="single" w:sz="4" w:space="0" w:color="auto"/>
            </w:tcBorders>
            <w:noWrap/>
            <w:hideMark/>
          </w:tcPr>
          <w:p w14:paraId="4F4E1208"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2 (3.2%)</w:t>
            </w:r>
          </w:p>
        </w:tc>
        <w:tc>
          <w:tcPr>
            <w:tcW w:w="1467" w:type="dxa"/>
            <w:tcBorders>
              <w:top w:val="single" w:sz="4" w:space="0" w:color="auto"/>
              <w:bottom w:val="single" w:sz="4" w:space="0" w:color="auto"/>
            </w:tcBorders>
            <w:noWrap/>
            <w:hideMark/>
          </w:tcPr>
          <w:p w14:paraId="011695ED"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717" w:type="dxa"/>
            <w:tcBorders>
              <w:top w:val="single" w:sz="4" w:space="0" w:color="auto"/>
              <w:bottom w:val="single" w:sz="4" w:space="0" w:color="auto"/>
              <w:right w:val="single" w:sz="4" w:space="0" w:color="auto"/>
            </w:tcBorders>
            <w:noWrap/>
            <w:hideMark/>
          </w:tcPr>
          <w:p w14:paraId="5A82507B"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left w:val="single" w:sz="4" w:space="0" w:color="auto"/>
              <w:bottom w:val="single" w:sz="4" w:space="0" w:color="auto"/>
            </w:tcBorders>
            <w:noWrap/>
            <w:hideMark/>
          </w:tcPr>
          <w:p w14:paraId="54565F0B"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bottom w:val="single" w:sz="4" w:space="0" w:color="auto"/>
            </w:tcBorders>
            <w:noWrap/>
            <w:hideMark/>
          </w:tcPr>
          <w:p w14:paraId="1088FE91"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2 (3.2%)</w:t>
            </w:r>
          </w:p>
        </w:tc>
        <w:tc>
          <w:tcPr>
            <w:tcW w:w="1856" w:type="dxa"/>
            <w:tcBorders>
              <w:top w:val="single" w:sz="4" w:space="0" w:color="auto"/>
              <w:bottom w:val="single" w:sz="4" w:space="0" w:color="auto"/>
            </w:tcBorders>
            <w:noWrap/>
            <w:hideMark/>
          </w:tcPr>
          <w:p w14:paraId="729AC4C8"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6A5436FA"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tcBorders>
              <w:bottom w:val="single" w:sz="4" w:space="0" w:color="auto"/>
            </w:tcBorders>
            <w:shd w:val="clear" w:color="auto" w:fill="auto"/>
            <w:noWrap/>
            <w:hideMark/>
          </w:tcPr>
          <w:p w14:paraId="55759E39" w14:textId="77777777" w:rsidR="003905ED" w:rsidRPr="003905ED" w:rsidRDefault="003905ED" w:rsidP="003905ED">
            <w:pPr>
              <w:pStyle w:val="Body"/>
              <w:spacing w:after="0"/>
              <w:rPr>
                <w:rFonts w:ascii="Arial" w:hAnsi="Arial" w:cs="Arial"/>
                <w:lang w:val="en-GB"/>
              </w:rPr>
            </w:pPr>
          </w:p>
        </w:tc>
        <w:tc>
          <w:tcPr>
            <w:tcW w:w="1683" w:type="dxa"/>
            <w:tcBorders>
              <w:top w:val="single" w:sz="4" w:space="0" w:color="auto"/>
              <w:bottom w:val="single" w:sz="4" w:space="0" w:color="auto"/>
            </w:tcBorders>
            <w:shd w:val="clear" w:color="auto" w:fill="auto"/>
            <w:noWrap/>
            <w:hideMark/>
          </w:tcPr>
          <w:p w14:paraId="1C43C561"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ASAQ or CQ</w:t>
            </w:r>
          </w:p>
        </w:tc>
        <w:tc>
          <w:tcPr>
            <w:tcW w:w="1472" w:type="dxa"/>
            <w:tcBorders>
              <w:top w:val="single" w:sz="4" w:space="0" w:color="auto"/>
              <w:bottom w:val="single" w:sz="4" w:space="0" w:color="auto"/>
            </w:tcBorders>
            <w:shd w:val="clear" w:color="auto" w:fill="auto"/>
            <w:noWrap/>
            <w:hideMark/>
          </w:tcPr>
          <w:p w14:paraId="6EF7D774"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67" w:type="dxa"/>
            <w:tcBorders>
              <w:top w:val="single" w:sz="4" w:space="0" w:color="auto"/>
              <w:bottom w:val="single" w:sz="4" w:space="0" w:color="auto"/>
            </w:tcBorders>
            <w:shd w:val="clear" w:color="auto" w:fill="auto"/>
            <w:noWrap/>
            <w:hideMark/>
          </w:tcPr>
          <w:p w14:paraId="35116657"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 (1.6%)</w:t>
            </w:r>
          </w:p>
        </w:tc>
        <w:tc>
          <w:tcPr>
            <w:tcW w:w="1717" w:type="dxa"/>
            <w:tcBorders>
              <w:top w:val="single" w:sz="4" w:space="0" w:color="auto"/>
              <w:bottom w:val="single" w:sz="4" w:space="0" w:color="auto"/>
              <w:right w:val="single" w:sz="4" w:space="0" w:color="auto"/>
            </w:tcBorders>
            <w:shd w:val="clear" w:color="auto" w:fill="auto"/>
            <w:noWrap/>
            <w:hideMark/>
          </w:tcPr>
          <w:p w14:paraId="778FF257"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left w:val="single" w:sz="4" w:space="0" w:color="auto"/>
              <w:bottom w:val="single" w:sz="4" w:space="0" w:color="auto"/>
            </w:tcBorders>
            <w:shd w:val="clear" w:color="auto" w:fill="auto"/>
            <w:noWrap/>
            <w:hideMark/>
          </w:tcPr>
          <w:p w14:paraId="6850F288"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bottom w:val="single" w:sz="4" w:space="0" w:color="auto"/>
            </w:tcBorders>
            <w:shd w:val="clear" w:color="auto" w:fill="auto"/>
            <w:noWrap/>
            <w:hideMark/>
          </w:tcPr>
          <w:p w14:paraId="04754039"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 (1.6%)</w:t>
            </w:r>
          </w:p>
        </w:tc>
        <w:tc>
          <w:tcPr>
            <w:tcW w:w="1856" w:type="dxa"/>
            <w:tcBorders>
              <w:top w:val="single" w:sz="4" w:space="0" w:color="auto"/>
              <w:bottom w:val="single" w:sz="4" w:space="0" w:color="auto"/>
            </w:tcBorders>
            <w:shd w:val="clear" w:color="auto" w:fill="auto"/>
            <w:noWrap/>
            <w:hideMark/>
          </w:tcPr>
          <w:p w14:paraId="212D8501"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r>
    </w:tbl>
    <w:p w14:paraId="3BCDF6D4" w14:textId="77777777" w:rsidR="003905ED" w:rsidRPr="00D57D2B" w:rsidRDefault="003905ED" w:rsidP="003905ED">
      <w:pPr>
        <w:pStyle w:val="Body"/>
        <w:spacing w:after="0"/>
        <w:rPr>
          <w:rFonts w:ascii="Arial" w:hAnsi="Arial" w:cs="Arial"/>
          <w:i/>
          <w:iCs/>
          <w:sz w:val="16"/>
          <w:szCs w:val="16"/>
        </w:rPr>
      </w:pPr>
      <w:r w:rsidRPr="00D57D2B">
        <w:rPr>
          <w:rFonts w:ascii="Arial" w:hAnsi="Arial" w:cs="Arial"/>
          <w:i/>
          <w:iCs/>
          <w:sz w:val="16"/>
          <w:szCs w:val="16"/>
        </w:rPr>
        <w:t xml:space="preserve">AL: artemether/lumefantrine; ASAQ: artesunate/amodiaquine; DHA/PQP: </w:t>
      </w:r>
      <w:proofErr w:type="spellStart"/>
      <w:r w:rsidRPr="00D57D2B">
        <w:rPr>
          <w:rFonts w:ascii="Arial" w:hAnsi="Arial" w:cs="Arial"/>
          <w:i/>
          <w:iCs/>
          <w:sz w:val="16"/>
          <w:szCs w:val="16"/>
        </w:rPr>
        <w:t>dihydroartemisinin</w:t>
      </w:r>
      <w:proofErr w:type="spellEnd"/>
      <w:r w:rsidRPr="00D57D2B">
        <w:rPr>
          <w:rFonts w:ascii="Arial" w:hAnsi="Arial" w:cs="Arial"/>
          <w:i/>
          <w:iCs/>
          <w:sz w:val="16"/>
          <w:szCs w:val="16"/>
        </w:rPr>
        <w:t xml:space="preserve">/piperaquine; DHA/PQP/TMTP: </w:t>
      </w:r>
      <w:proofErr w:type="spellStart"/>
      <w:r w:rsidRPr="00D57D2B">
        <w:rPr>
          <w:rFonts w:ascii="Arial" w:hAnsi="Arial" w:cs="Arial"/>
          <w:i/>
          <w:iCs/>
          <w:sz w:val="16"/>
          <w:szCs w:val="16"/>
        </w:rPr>
        <w:t>dihydroartemisinnine</w:t>
      </w:r>
      <w:proofErr w:type="spellEnd"/>
      <w:r w:rsidRPr="00D57D2B">
        <w:rPr>
          <w:rFonts w:ascii="Arial" w:hAnsi="Arial" w:cs="Arial"/>
          <w:i/>
          <w:iCs/>
          <w:sz w:val="16"/>
          <w:szCs w:val="16"/>
        </w:rPr>
        <w:t>/piperaquine/</w:t>
      </w:r>
      <w:proofErr w:type="spellStart"/>
      <w:r w:rsidRPr="00D57D2B">
        <w:rPr>
          <w:rFonts w:ascii="Arial" w:hAnsi="Arial" w:cs="Arial"/>
          <w:i/>
          <w:iCs/>
          <w:sz w:val="16"/>
          <w:szCs w:val="16"/>
        </w:rPr>
        <w:t>trimethoprime</w:t>
      </w:r>
      <w:proofErr w:type="spellEnd"/>
      <w:r w:rsidRPr="00D57D2B">
        <w:rPr>
          <w:rFonts w:ascii="Arial" w:hAnsi="Arial" w:cs="Arial"/>
          <w:i/>
          <w:iCs/>
          <w:sz w:val="16"/>
          <w:szCs w:val="16"/>
        </w:rPr>
        <w:t>; AS/MFQ: artesunate/mefloquine; CQ: chloroquine; Oral Q: oral quinine; AMim: intramuscular artemether.</w:t>
      </w:r>
    </w:p>
    <w:p w14:paraId="2DC3B0D6" w14:textId="77777777" w:rsidR="003905ED" w:rsidRDefault="003905ED" w:rsidP="00441B6F">
      <w:pPr>
        <w:pStyle w:val="Body"/>
        <w:spacing w:after="0"/>
        <w:rPr>
          <w:rFonts w:ascii="Arial" w:hAnsi="Arial" w:cs="Arial"/>
        </w:rPr>
        <w:sectPr w:rsidR="003905ED" w:rsidSect="003905ED">
          <w:type w:val="continuous"/>
          <w:pgSz w:w="15840" w:h="12240" w:orient="landscape"/>
          <w:pgMar w:top="2019" w:right="2019" w:bottom="2019" w:left="2019" w:header="720" w:footer="1123" w:gutter="0"/>
          <w:lnNumType w:countBy="1" w:restart="continuous"/>
          <w:cols w:space="720"/>
          <w:docGrid w:linePitch="272"/>
        </w:sectPr>
      </w:pPr>
    </w:p>
    <w:p w14:paraId="43275A6C" w14:textId="77777777" w:rsidR="00D57D2B" w:rsidRPr="00D57D2B" w:rsidRDefault="00D57D2B" w:rsidP="00D57D2B">
      <w:pPr>
        <w:pStyle w:val="Body"/>
        <w:spacing w:after="0"/>
        <w:rPr>
          <w:rFonts w:ascii="Arial" w:hAnsi="Arial" w:cs="Arial"/>
        </w:rPr>
      </w:pPr>
      <w:bookmarkStart w:id="12" w:name="_Hlk210419361"/>
      <w:r w:rsidRPr="00D57D2B">
        <w:rPr>
          <w:rFonts w:ascii="Arial" w:hAnsi="Arial" w:cs="Arial"/>
        </w:rPr>
        <w:lastRenderedPageBreak/>
        <w:t xml:space="preserve">The second-intention antimalarial treatment data reveal a more varied and less consistent pattern of adequacy compared to first-line regimens (Table 7). Overall ACT use showed moderate adequacy, with posology adequacy ranging from 47.6% in children under 5 to 61.9% in adults/adolescents, and duration adequacy highest in adults/adolescents at 68.3% but notably low in children aged 5–10 (3.2%) (Table 6). Among individual ACTs, AL remained the most frequently adequate, especially in adults/adolescents (51.2%) for both posology and duration, though its use in children aged 5–10 showed zero adequacy for duration (Table 7). ASAQ and DHA/PQP were used more selectively, with DHA/PQP showing 100% posology adequacy in children under 5, but lower adequacy in other groups (Table 7). Non-ACT alternatives were marginal, with </w:t>
      </w:r>
      <w:proofErr w:type="spellStart"/>
      <w:r w:rsidRPr="00D57D2B">
        <w:rPr>
          <w:rFonts w:ascii="Arial" w:hAnsi="Arial" w:cs="Arial"/>
        </w:rPr>
        <w:t>ASiv</w:t>
      </w:r>
      <w:proofErr w:type="spellEnd"/>
      <w:r w:rsidRPr="00D57D2B">
        <w:rPr>
          <w:rFonts w:ascii="Arial" w:hAnsi="Arial" w:cs="Arial"/>
        </w:rPr>
        <w:t xml:space="preserve">, </w:t>
      </w:r>
      <w:proofErr w:type="spellStart"/>
      <w:r w:rsidRPr="00D57D2B">
        <w:rPr>
          <w:rFonts w:ascii="Arial" w:hAnsi="Arial" w:cs="Arial"/>
        </w:rPr>
        <w:t>AMim</w:t>
      </w:r>
      <w:proofErr w:type="spellEnd"/>
      <w:r w:rsidRPr="00D57D2B">
        <w:rPr>
          <w:rFonts w:ascii="Arial" w:hAnsi="Arial" w:cs="Arial"/>
        </w:rPr>
        <w:t xml:space="preserve">, and oral quinine showing up to 15.9% adequacy for duration in children, while Oral Q or </w:t>
      </w:r>
      <w:proofErr w:type="spellStart"/>
      <w:r w:rsidRPr="00D57D2B">
        <w:rPr>
          <w:rFonts w:ascii="Arial" w:hAnsi="Arial" w:cs="Arial"/>
        </w:rPr>
        <w:t>Savarine</w:t>
      </w:r>
      <w:proofErr w:type="spellEnd"/>
      <w:r w:rsidRPr="00D57D2B">
        <w:rPr>
          <w:rFonts w:ascii="Arial" w:hAnsi="Arial" w:cs="Arial"/>
        </w:rPr>
        <w:t xml:space="preserve"> appeared only in adults/adolescents with 7.9%–9.5% adequacy (Table 7). </w:t>
      </w:r>
    </w:p>
    <w:bookmarkEnd w:id="12"/>
    <w:p w14:paraId="2A725E6C" w14:textId="77777777" w:rsidR="003905ED" w:rsidRDefault="003905ED" w:rsidP="00441B6F">
      <w:pPr>
        <w:pStyle w:val="Body"/>
        <w:spacing w:after="0"/>
        <w:rPr>
          <w:rFonts w:ascii="Arial" w:hAnsi="Arial" w:cs="Arial"/>
        </w:rPr>
      </w:pPr>
    </w:p>
    <w:p w14:paraId="0B556BD2" w14:textId="77777777" w:rsidR="003905ED" w:rsidRDefault="003905ED" w:rsidP="00441B6F">
      <w:pPr>
        <w:pStyle w:val="Body"/>
        <w:spacing w:after="0"/>
        <w:rPr>
          <w:rFonts w:ascii="Arial" w:hAnsi="Arial" w:cs="Arial"/>
        </w:rPr>
      </w:pPr>
    </w:p>
    <w:p w14:paraId="7860B203" w14:textId="77777777" w:rsidR="003905ED" w:rsidRDefault="003905ED" w:rsidP="00441B6F">
      <w:pPr>
        <w:pStyle w:val="Body"/>
        <w:spacing w:after="0"/>
        <w:rPr>
          <w:rFonts w:ascii="Arial" w:hAnsi="Arial" w:cs="Arial"/>
        </w:rPr>
      </w:pPr>
    </w:p>
    <w:p w14:paraId="67613926" w14:textId="77777777" w:rsidR="00D57D2B" w:rsidRDefault="00D57D2B" w:rsidP="00441B6F">
      <w:pPr>
        <w:pStyle w:val="Body"/>
        <w:spacing w:after="0"/>
        <w:rPr>
          <w:rFonts w:ascii="Arial" w:hAnsi="Arial" w:cs="Arial"/>
        </w:rPr>
      </w:pPr>
    </w:p>
    <w:p w14:paraId="065E5D04" w14:textId="77777777" w:rsidR="00D57D2B" w:rsidRDefault="00D57D2B" w:rsidP="00441B6F">
      <w:pPr>
        <w:pStyle w:val="Body"/>
        <w:spacing w:after="0"/>
        <w:rPr>
          <w:rFonts w:ascii="Arial" w:hAnsi="Arial" w:cs="Arial"/>
        </w:rPr>
      </w:pPr>
    </w:p>
    <w:p w14:paraId="4CDA24D1" w14:textId="77777777" w:rsidR="00D57D2B" w:rsidRDefault="00D57D2B" w:rsidP="00441B6F">
      <w:pPr>
        <w:pStyle w:val="Body"/>
        <w:spacing w:after="0"/>
        <w:rPr>
          <w:rFonts w:ascii="Arial" w:hAnsi="Arial" w:cs="Arial"/>
        </w:rPr>
      </w:pPr>
    </w:p>
    <w:p w14:paraId="3B905A50" w14:textId="77777777" w:rsidR="00D57D2B" w:rsidRDefault="00D57D2B" w:rsidP="00441B6F">
      <w:pPr>
        <w:pStyle w:val="Body"/>
        <w:spacing w:after="0"/>
        <w:rPr>
          <w:rFonts w:ascii="Arial" w:hAnsi="Arial" w:cs="Arial"/>
        </w:rPr>
      </w:pPr>
    </w:p>
    <w:p w14:paraId="612D8B09" w14:textId="77777777" w:rsidR="00D57D2B" w:rsidRDefault="00D57D2B" w:rsidP="00441B6F">
      <w:pPr>
        <w:pStyle w:val="Body"/>
        <w:spacing w:after="0"/>
        <w:rPr>
          <w:rFonts w:ascii="Arial" w:hAnsi="Arial" w:cs="Arial"/>
        </w:rPr>
      </w:pPr>
    </w:p>
    <w:p w14:paraId="39474DED" w14:textId="77777777" w:rsidR="00D57D2B" w:rsidRDefault="00D57D2B" w:rsidP="00441B6F">
      <w:pPr>
        <w:pStyle w:val="Body"/>
        <w:spacing w:after="0"/>
        <w:rPr>
          <w:rFonts w:ascii="Arial" w:hAnsi="Arial" w:cs="Arial"/>
        </w:rPr>
      </w:pPr>
    </w:p>
    <w:p w14:paraId="5760A2E1" w14:textId="77777777" w:rsidR="00D57D2B" w:rsidRDefault="00D57D2B" w:rsidP="00441B6F">
      <w:pPr>
        <w:pStyle w:val="Body"/>
        <w:spacing w:after="0"/>
        <w:rPr>
          <w:rFonts w:ascii="Arial" w:hAnsi="Arial" w:cs="Arial"/>
        </w:rPr>
      </w:pPr>
    </w:p>
    <w:p w14:paraId="492E918F" w14:textId="77777777" w:rsidR="00D57D2B" w:rsidRDefault="00D57D2B" w:rsidP="00441B6F">
      <w:pPr>
        <w:pStyle w:val="Body"/>
        <w:spacing w:after="0"/>
        <w:rPr>
          <w:rFonts w:ascii="Arial" w:hAnsi="Arial" w:cs="Arial"/>
        </w:rPr>
      </w:pPr>
    </w:p>
    <w:p w14:paraId="4B69BC06" w14:textId="77777777" w:rsidR="00D57D2B" w:rsidRDefault="00D57D2B" w:rsidP="00441B6F">
      <w:pPr>
        <w:pStyle w:val="Body"/>
        <w:spacing w:after="0"/>
        <w:rPr>
          <w:rFonts w:ascii="Arial" w:hAnsi="Arial" w:cs="Arial"/>
        </w:rPr>
      </w:pPr>
    </w:p>
    <w:p w14:paraId="45D3544F" w14:textId="77777777" w:rsidR="00D57D2B" w:rsidRDefault="00D57D2B" w:rsidP="00441B6F">
      <w:pPr>
        <w:pStyle w:val="Body"/>
        <w:spacing w:after="0"/>
        <w:rPr>
          <w:rFonts w:ascii="Arial" w:hAnsi="Arial" w:cs="Arial"/>
        </w:rPr>
      </w:pPr>
    </w:p>
    <w:p w14:paraId="0B3A6AAB" w14:textId="77777777" w:rsidR="00D57D2B" w:rsidRDefault="00D57D2B" w:rsidP="00441B6F">
      <w:pPr>
        <w:pStyle w:val="Body"/>
        <w:spacing w:after="0"/>
        <w:rPr>
          <w:rFonts w:ascii="Arial" w:hAnsi="Arial" w:cs="Arial"/>
        </w:rPr>
      </w:pPr>
    </w:p>
    <w:p w14:paraId="3BE73D81" w14:textId="77777777" w:rsidR="00D57D2B" w:rsidRDefault="00D57D2B" w:rsidP="00441B6F">
      <w:pPr>
        <w:pStyle w:val="Body"/>
        <w:spacing w:after="0"/>
        <w:rPr>
          <w:rFonts w:ascii="Arial" w:hAnsi="Arial" w:cs="Arial"/>
        </w:rPr>
      </w:pPr>
    </w:p>
    <w:p w14:paraId="718A8662" w14:textId="77777777" w:rsidR="00D57D2B" w:rsidRDefault="00D57D2B" w:rsidP="00441B6F">
      <w:pPr>
        <w:pStyle w:val="Body"/>
        <w:spacing w:after="0"/>
        <w:rPr>
          <w:rFonts w:ascii="Arial" w:hAnsi="Arial" w:cs="Arial"/>
        </w:rPr>
      </w:pPr>
    </w:p>
    <w:p w14:paraId="2BBC3641" w14:textId="77777777" w:rsidR="00D57D2B" w:rsidRDefault="00D57D2B" w:rsidP="00441B6F">
      <w:pPr>
        <w:pStyle w:val="Body"/>
        <w:spacing w:after="0"/>
        <w:rPr>
          <w:rFonts w:ascii="Arial" w:hAnsi="Arial" w:cs="Arial"/>
        </w:rPr>
      </w:pPr>
    </w:p>
    <w:p w14:paraId="7712FA90" w14:textId="77777777" w:rsidR="00D57D2B" w:rsidRDefault="00D57D2B" w:rsidP="00441B6F">
      <w:pPr>
        <w:pStyle w:val="Body"/>
        <w:spacing w:after="0"/>
        <w:rPr>
          <w:rFonts w:ascii="Arial" w:hAnsi="Arial" w:cs="Arial"/>
        </w:rPr>
      </w:pPr>
    </w:p>
    <w:p w14:paraId="37E668CB" w14:textId="77777777" w:rsidR="00D57D2B" w:rsidRDefault="00D57D2B" w:rsidP="00441B6F">
      <w:pPr>
        <w:pStyle w:val="Body"/>
        <w:spacing w:after="0"/>
        <w:rPr>
          <w:rFonts w:ascii="Arial" w:hAnsi="Arial" w:cs="Arial"/>
        </w:rPr>
      </w:pPr>
    </w:p>
    <w:p w14:paraId="5D550FEB" w14:textId="77777777" w:rsidR="00D57D2B" w:rsidRDefault="00D57D2B" w:rsidP="00441B6F">
      <w:pPr>
        <w:pStyle w:val="Body"/>
        <w:spacing w:after="0"/>
        <w:rPr>
          <w:rFonts w:ascii="Arial" w:hAnsi="Arial" w:cs="Arial"/>
        </w:rPr>
      </w:pPr>
    </w:p>
    <w:p w14:paraId="1AFE40A9" w14:textId="77777777" w:rsidR="00D57D2B" w:rsidRDefault="00D57D2B" w:rsidP="00441B6F">
      <w:pPr>
        <w:pStyle w:val="Body"/>
        <w:spacing w:after="0"/>
        <w:rPr>
          <w:rFonts w:ascii="Arial" w:hAnsi="Arial" w:cs="Arial"/>
        </w:rPr>
      </w:pPr>
    </w:p>
    <w:p w14:paraId="5FFD32CF" w14:textId="77777777" w:rsidR="00D57D2B" w:rsidRDefault="00D57D2B" w:rsidP="00441B6F">
      <w:pPr>
        <w:pStyle w:val="Body"/>
        <w:spacing w:after="0"/>
        <w:rPr>
          <w:rFonts w:ascii="Arial" w:hAnsi="Arial" w:cs="Arial"/>
        </w:rPr>
      </w:pPr>
    </w:p>
    <w:p w14:paraId="2D483A7E" w14:textId="77777777" w:rsidR="00D57D2B" w:rsidRDefault="00D57D2B" w:rsidP="00441B6F">
      <w:pPr>
        <w:pStyle w:val="Body"/>
        <w:spacing w:after="0"/>
        <w:rPr>
          <w:rFonts w:ascii="Arial" w:hAnsi="Arial" w:cs="Arial"/>
        </w:rPr>
      </w:pPr>
    </w:p>
    <w:p w14:paraId="5AB409ED" w14:textId="77777777" w:rsidR="00D57D2B" w:rsidRDefault="00D57D2B" w:rsidP="00441B6F">
      <w:pPr>
        <w:pStyle w:val="Body"/>
        <w:spacing w:after="0"/>
        <w:rPr>
          <w:rFonts w:ascii="Arial" w:hAnsi="Arial" w:cs="Arial"/>
        </w:rPr>
      </w:pPr>
    </w:p>
    <w:p w14:paraId="06B79C02" w14:textId="77777777" w:rsidR="00D57D2B" w:rsidRDefault="00D57D2B" w:rsidP="00441B6F">
      <w:pPr>
        <w:pStyle w:val="Body"/>
        <w:spacing w:after="0"/>
        <w:rPr>
          <w:rFonts w:ascii="Arial" w:hAnsi="Arial" w:cs="Arial"/>
        </w:rPr>
      </w:pPr>
    </w:p>
    <w:p w14:paraId="49298208" w14:textId="77777777" w:rsidR="00D57D2B" w:rsidRDefault="00D57D2B" w:rsidP="00441B6F">
      <w:pPr>
        <w:pStyle w:val="Body"/>
        <w:spacing w:after="0"/>
        <w:rPr>
          <w:rFonts w:ascii="Arial" w:hAnsi="Arial" w:cs="Arial"/>
        </w:rPr>
      </w:pPr>
    </w:p>
    <w:p w14:paraId="51ECD607" w14:textId="77777777" w:rsidR="00D57D2B" w:rsidRDefault="00D57D2B" w:rsidP="00441B6F">
      <w:pPr>
        <w:pStyle w:val="Body"/>
        <w:spacing w:after="0"/>
        <w:rPr>
          <w:rFonts w:ascii="Arial" w:hAnsi="Arial" w:cs="Arial"/>
        </w:rPr>
      </w:pPr>
    </w:p>
    <w:p w14:paraId="066BD178" w14:textId="77777777" w:rsidR="00D57D2B" w:rsidRDefault="00D57D2B" w:rsidP="00441B6F">
      <w:pPr>
        <w:pStyle w:val="Body"/>
        <w:spacing w:after="0"/>
        <w:rPr>
          <w:rFonts w:ascii="Arial" w:hAnsi="Arial" w:cs="Arial"/>
        </w:rPr>
      </w:pPr>
    </w:p>
    <w:p w14:paraId="7A486792" w14:textId="77777777" w:rsidR="00D57D2B" w:rsidRDefault="00D57D2B" w:rsidP="00441B6F">
      <w:pPr>
        <w:pStyle w:val="Body"/>
        <w:spacing w:after="0"/>
        <w:rPr>
          <w:rFonts w:ascii="Arial" w:hAnsi="Arial" w:cs="Arial"/>
        </w:rPr>
      </w:pPr>
    </w:p>
    <w:p w14:paraId="558EB2F2" w14:textId="77777777" w:rsidR="00D57D2B" w:rsidRDefault="00D57D2B" w:rsidP="00441B6F">
      <w:pPr>
        <w:pStyle w:val="Body"/>
        <w:spacing w:after="0"/>
        <w:rPr>
          <w:rFonts w:ascii="Arial" w:hAnsi="Arial" w:cs="Arial"/>
        </w:rPr>
      </w:pPr>
    </w:p>
    <w:p w14:paraId="380EF7A0" w14:textId="77777777" w:rsidR="00D57D2B" w:rsidRDefault="00D57D2B" w:rsidP="00441B6F">
      <w:pPr>
        <w:pStyle w:val="Body"/>
        <w:spacing w:after="0"/>
        <w:rPr>
          <w:rFonts w:ascii="Arial" w:hAnsi="Arial" w:cs="Arial"/>
        </w:rPr>
      </w:pPr>
    </w:p>
    <w:p w14:paraId="23A410C7" w14:textId="77777777" w:rsidR="00D57D2B" w:rsidRDefault="00D57D2B" w:rsidP="00441B6F">
      <w:pPr>
        <w:pStyle w:val="Body"/>
        <w:spacing w:after="0"/>
        <w:rPr>
          <w:rFonts w:ascii="Arial" w:hAnsi="Arial" w:cs="Arial"/>
        </w:rPr>
      </w:pPr>
    </w:p>
    <w:p w14:paraId="7018D0DB" w14:textId="77777777" w:rsidR="00D57D2B" w:rsidRDefault="00D57D2B" w:rsidP="00441B6F">
      <w:pPr>
        <w:pStyle w:val="Body"/>
        <w:spacing w:after="0"/>
        <w:rPr>
          <w:rFonts w:ascii="Arial" w:hAnsi="Arial" w:cs="Arial"/>
        </w:rPr>
      </w:pPr>
    </w:p>
    <w:p w14:paraId="16ED7155" w14:textId="77777777" w:rsidR="00D57D2B" w:rsidRDefault="00D57D2B" w:rsidP="00441B6F">
      <w:pPr>
        <w:pStyle w:val="Body"/>
        <w:spacing w:after="0"/>
        <w:rPr>
          <w:rFonts w:ascii="Arial" w:hAnsi="Arial" w:cs="Arial"/>
        </w:rPr>
      </w:pPr>
    </w:p>
    <w:p w14:paraId="04A684DA" w14:textId="77777777" w:rsidR="00D57D2B" w:rsidRDefault="00D57D2B" w:rsidP="00441B6F">
      <w:pPr>
        <w:pStyle w:val="Body"/>
        <w:spacing w:after="0"/>
        <w:rPr>
          <w:rFonts w:ascii="Arial" w:hAnsi="Arial" w:cs="Arial"/>
        </w:rPr>
      </w:pPr>
    </w:p>
    <w:p w14:paraId="7DD37D8C" w14:textId="77777777" w:rsidR="00D57D2B" w:rsidRDefault="00D57D2B" w:rsidP="00441B6F">
      <w:pPr>
        <w:pStyle w:val="Body"/>
        <w:spacing w:after="0"/>
        <w:rPr>
          <w:rFonts w:ascii="Arial" w:hAnsi="Arial" w:cs="Arial"/>
        </w:rPr>
      </w:pPr>
    </w:p>
    <w:p w14:paraId="317E0B8B" w14:textId="77777777" w:rsidR="00D57D2B" w:rsidRDefault="00D57D2B" w:rsidP="00441B6F">
      <w:pPr>
        <w:pStyle w:val="Body"/>
        <w:spacing w:after="0"/>
        <w:rPr>
          <w:rFonts w:ascii="Arial" w:hAnsi="Arial" w:cs="Arial"/>
        </w:rPr>
      </w:pPr>
    </w:p>
    <w:p w14:paraId="78D1FF80" w14:textId="77777777" w:rsidR="00D57D2B" w:rsidRDefault="00D57D2B" w:rsidP="00441B6F">
      <w:pPr>
        <w:pStyle w:val="Body"/>
        <w:spacing w:after="0"/>
        <w:rPr>
          <w:rFonts w:ascii="Arial" w:hAnsi="Arial" w:cs="Arial"/>
        </w:rPr>
      </w:pPr>
    </w:p>
    <w:p w14:paraId="22133C1D" w14:textId="77777777" w:rsidR="00D57D2B" w:rsidRDefault="00D57D2B" w:rsidP="00441B6F">
      <w:pPr>
        <w:pStyle w:val="Body"/>
        <w:spacing w:after="0"/>
        <w:rPr>
          <w:rFonts w:ascii="Arial" w:hAnsi="Arial" w:cs="Arial"/>
        </w:rPr>
      </w:pPr>
    </w:p>
    <w:p w14:paraId="75337BE5" w14:textId="77777777" w:rsidR="00D57D2B" w:rsidRDefault="00D57D2B" w:rsidP="00441B6F">
      <w:pPr>
        <w:pStyle w:val="Body"/>
        <w:spacing w:after="0"/>
        <w:rPr>
          <w:rFonts w:ascii="Arial" w:hAnsi="Arial" w:cs="Arial"/>
        </w:rPr>
        <w:sectPr w:rsidR="00D57D2B" w:rsidSect="003905ED">
          <w:type w:val="continuous"/>
          <w:pgSz w:w="12240" w:h="15840"/>
          <w:pgMar w:top="2019" w:right="2019" w:bottom="2019" w:left="2019" w:header="720" w:footer="1123" w:gutter="0"/>
          <w:lnNumType w:countBy="1" w:restart="continuous"/>
          <w:cols w:space="720"/>
          <w:docGrid w:linePitch="272"/>
        </w:sectPr>
      </w:pPr>
    </w:p>
    <w:p w14:paraId="50A80676" w14:textId="77777777" w:rsidR="00D57D2B" w:rsidRPr="00D57D2B" w:rsidRDefault="00D57D2B" w:rsidP="00D57D2B">
      <w:pPr>
        <w:pStyle w:val="Body"/>
        <w:spacing w:after="0"/>
        <w:rPr>
          <w:rFonts w:ascii="Arial" w:hAnsi="Arial" w:cs="Arial"/>
          <w:b/>
        </w:rPr>
      </w:pPr>
      <w:r w:rsidRPr="00D57D2B">
        <w:rPr>
          <w:rFonts w:ascii="Arial" w:hAnsi="Arial" w:cs="Arial"/>
          <w:b/>
        </w:rPr>
        <w:lastRenderedPageBreak/>
        <w:t>Table 7. Reformatted Matrix: Adequacy of Antimalarial second line Treatment Regimens</w:t>
      </w:r>
    </w:p>
    <w:tbl>
      <w:tblPr>
        <w:tblStyle w:val="ListTable6Colorful"/>
        <w:tblW w:w="0" w:type="auto"/>
        <w:tblLook w:val="04A0" w:firstRow="1" w:lastRow="0" w:firstColumn="1" w:lastColumn="0" w:noHBand="0" w:noVBand="1"/>
      </w:tblPr>
      <w:tblGrid>
        <w:gridCol w:w="968"/>
        <w:gridCol w:w="1793"/>
        <w:gridCol w:w="1451"/>
        <w:gridCol w:w="1329"/>
        <w:gridCol w:w="1798"/>
        <w:gridCol w:w="1446"/>
        <w:gridCol w:w="1329"/>
        <w:gridCol w:w="1113"/>
        <w:gridCol w:w="575"/>
      </w:tblGrid>
      <w:tr w:rsidR="00D57D2B" w:rsidRPr="00D57D2B" w14:paraId="508D739B" w14:textId="77777777" w:rsidTr="00D57D2B">
        <w:trPr>
          <w:gridAfter w:val="1"/>
          <w:cnfStyle w:val="100000000000" w:firstRow="1" w:lastRow="0" w:firstColumn="0" w:lastColumn="0" w:oddVBand="0" w:evenVBand="0" w:oddHBand="0" w:evenHBand="0" w:firstRowFirstColumn="0" w:firstRowLastColumn="0" w:lastRowFirstColumn="0" w:lastRowLastColumn="0"/>
          <w:wAfter w:w="694" w:type="dxa"/>
          <w:trHeight w:val="290"/>
        </w:trPr>
        <w:tc>
          <w:tcPr>
            <w:cnfStyle w:val="001000000000" w:firstRow="0" w:lastRow="0" w:firstColumn="1" w:lastColumn="0" w:oddVBand="0" w:evenVBand="0" w:oddHBand="0" w:evenHBand="0" w:firstRowFirstColumn="0" w:firstRowLastColumn="0" w:lastRowFirstColumn="0" w:lastRowLastColumn="0"/>
            <w:tcW w:w="1123" w:type="dxa"/>
            <w:vMerge w:val="restart"/>
            <w:noWrap/>
            <w:hideMark/>
          </w:tcPr>
          <w:p w14:paraId="590CAD30" w14:textId="77777777" w:rsidR="00D57D2B" w:rsidRPr="00D57D2B" w:rsidRDefault="00D57D2B" w:rsidP="00043423">
            <w:pPr>
              <w:pStyle w:val="Body"/>
              <w:spacing w:after="0"/>
              <w:rPr>
                <w:rFonts w:ascii="Arial" w:hAnsi="Arial" w:cs="Arial"/>
                <w:lang w:val="en-GB"/>
              </w:rPr>
            </w:pPr>
            <w:r w:rsidRPr="00D57D2B">
              <w:rPr>
                <w:rFonts w:ascii="Arial" w:hAnsi="Arial" w:cs="Arial"/>
                <w:lang w:val="en-GB"/>
              </w:rPr>
              <w:t>Category</w:t>
            </w:r>
          </w:p>
        </w:tc>
        <w:tc>
          <w:tcPr>
            <w:tcW w:w="2120" w:type="dxa"/>
            <w:vMerge w:val="restart"/>
            <w:noWrap/>
            <w:hideMark/>
          </w:tcPr>
          <w:p w14:paraId="565CFFD9" w14:textId="77777777" w:rsidR="00D57D2B" w:rsidRPr="00D57D2B" w:rsidRDefault="00D57D2B" w:rsidP="0004342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Antimalarial</w:t>
            </w:r>
          </w:p>
        </w:tc>
        <w:tc>
          <w:tcPr>
            <w:tcW w:w="5392" w:type="dxa"/>
            <w:gridSpan w:val="3"/>
            <w:tcBorders>
              <w:right w:val="single" w:sz="4" w:space="0" w:color="auto"/>
            </w:tcBorders>
            <w:noWrap/>
            <w:hideMark/>
          </w:tcPr>
          <w:p w14:paraId="48D019DF" w14:textId="77777777" w:rsidR="00D57D2B" w:rsidRPr="00D57D2B" w:rsidRDefault="00D57D2B" w:rsidP="0004342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Adequate Posology</w:t>
            </w:r>
          </w:p>
        </w:tc>
        <w:tc>
          <w:tcPr>
            <w:tcW w:w="4560" w:type="dxa"/>
            <w:gridSpan w:val="3"/>
            <w:tcBorders>
              <w:left w:val="single" w:sz="4" w:space="0" w:color="auto"/>
            </w:tcBorders>
            <w:noWrap/>
            <w:hideMark/>
          </w:tcPr>
          <w:p w14:paraId="727D6B62" w14:textId="77777777" w:rsidR="00D57D2B" w:rsidRPr="00D57D2B" w:rsidRDefault="00D57D2B" w:rsidP="0004342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Adequate Duration</w:t>
            </w:r>
          </w:p>
        </w:tc>
      </w:tr>
      <w:tr w:rsidR="00D57D2B" w:rsidRPr="00D57D2B" w14:paraId="11276B20"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3" w:type="dxa"/>
            <w:vMerge/>
            <w:tcBorders>
              <w:bottom w:val="single" w:sz="4" w:space="0" w:color="auto"/>
            </w:tcBorders>
            <w:shd w:val="clear" w:color="auto" w:fill="auto"/>
            <w:noWrap/>
            <w:hideMark/>
          </w:tcPr>
          <w:p w14:paraId="5D98D574" w14:textId="77777777" w:rsidR="00D57D2B" w:rsidRPr="00D57D2B" w:rsidRDefault="00D57D2B" w:rsidP="00043423">
            <w:pPr>
              <w:pStyle w:val="Body"/>
              <w:spacing w:after="0"/>
              <w:rPr>
                <w:rFonts w:ascii="Arial" w:hAnsi="Arial" w:cs="Arial"/>
                <w:lang w:val="en-GB"/>
              </w:rPr>
            </w:pPr>
          </w:p>
        </w:tc>
        <w:tc>
          <w:tcPr>
            <w:tcW w:w="2120" w:type="dxa"/>
            <w:vMerge/>
            <w:tcBorders>
              <w:bottom w:val="single" w:sz="4" w:space="0" w:color="auto"/>
            </w:tcBorders>
            <w:shd w:val="clear" w:color="auto" w:fill="auto"/>
            <w:noWrap/>
            <w:hideMark/>
          </w:tcPr>
          <w:p w14:paraId="4B419C4E"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707" w:type="dxa"/>
            <w:tcBorders>
              <w:bottom w:val="single" w:sz="4" w:space="0" w:color="auto"/>
            </w:tcBorders>
            <w:shd w:val="clear" w:color="auto" w:fill="auto"/>
            <w:noWrap/>
            <w:hideMark/>
          </w:tcPr>
          <w:p w14:paraId="2F163C05"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Child 0-&lt;5yrs</w:t>
            </w:r>
          </w:p>
        </w:tc>
        <w:tc>
          <w:tcPr>
            <w:tcW w:w="1559" w:type="dxa"/>
            <w:tcBorders>
              <w:bottom w:val="single" w:sz="4" w:space="0" w:color="auto"/>
            </w:tcBorders>
            <w:shd w:val="clear" w:color="auto" w:fill="auto"/>
            <w:noWrap/>
            <w:hideMark/>
          </w:tcPr>
          <w:p w14:paraId="030963F0"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Child 5-10yrs</w:t>
            </w:r>
          </w:p>
        </w:tc>
        <w:tc>
          <w:tcPr>
            <w:tcW w:w="2126" w:type="dxa"/>
            <w:tcBorders>
              <w:bottom w:val="single" w:sz="4" w:space="0" w:color="auto"/>
              <w:right w:val="single" w:sz="4" w:space="0" w:color="auto"/>
            </w:tcBorders>
            <w:shd w:val="clear" w:color="auto" w:fill="auto"/>
            <w:noWrap/>
            <w:hideMark/>
          </w:tcPr>
          <w:p w14:paraId="1A4B92AE"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Adult/Adolescent</w:t>
            </w:r>
          </w:p>
        </w:tc>
        <w:tc>
          <w:tcPr>
            <w:tcW w:w="1701" w:type="dxa"/>
            <w:tcBorders>
              <w:left w:val="single" w:sz="4" w:space="0" w:color="auto"/>
              <w:bottom w:val="single" w:sz="4" w:space="0" w:color="auto"/>
            </w:tcBorders>
            <w:shd w:val="clear" w:color="auto" w:fill="auto"/>
            <w:noWrap/>
            <w:hideMark/>
          </w:tcPr>
          <w:p w14:paraId="6046E24C"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Child 0-&lt;5yrs</w:t>
            </w:r>
          </w:p>
        </w:tc>
        <w:tc>
          <w:tcPr>
            <w:tcW w:w="1560" w:type="dxa"/>
            <w:tcBorders>
              <w:bottom w:val="single" w:sz="4" w:space="0" w:color="auto"/>
            </w:tcBorders>
            <w:shd w:val="clear" w:color="auto" w:fill="auto"/>
            <w:noWrap/>
            <w:hideMark/>
          </w:tcPr>
          <w:p w14:paraId="1A645A39"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Child 5-10yrs</w:t>
            </w:r>
          </w:p>
        </w:tc>
        <w:tc>
          <w:tcPr>
            <w:tcW w:w="1993" w:type="dxa"/>
            <w:gridSpan w:val="2"/>
            <w:tcBorders>
              <w:bottom w:val="single" w:sz="4" w:space="0" w:color="auto"/>
            </w:tcBorders>
            <w:shd w:val="clear" w:color="auto" w:fill="auto"/>
            <w:noWrap/>
            <w:hideMark/>
          </w:tcPr>
          <w:p w14:paraId="16E603AB"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Adult/Adolescent</w:t>
            </w:r>
          </w:p>
        </w:tc>
      </w:tr>
      <w:tr w:rsidR="00043423" w:rsidRPr="00D57D2B" w14:paraId="63DAD42E"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123" w:type="dxa"/>
            <w:vMerge w:val="restart"/>
            <w:tcBorders>
              <w:top w:val="single" w:sz="4" w:space="0" w:color="auto"/>
            </w:tcBorders>
            <w:noWrap/>
            <w:hideMark/>
          </w:tcPr>
          <w:p w14:paraId="3045605A" w14:textId="77777777" w:rsidR="00D57D2B" w:rsidRPr="00D57D2B" w:rsidRDefault="00D57D2B" w:rsidP="00043423">
            <w:pPr>
              <w:pStyle w:val="Body"/>
              <w:spacing w:after="0"/>
              <w:rPr>
                <w:rFonts w:ascii="Arial" w:hAnsi="Arial" w:cs="Arial"/>
                <w:lang w:val="en-GB"/>
              </w:rPr>
            </w:pPr>
          </w:p>
          <w:p w14:paraId="708E193C" w14:textId="77777777" w:rsidR="00D57D2B" w:rsidRPr="00D57D2B" w:rsidRDefault="00D57D2B" w:rsidP="00043423">
            <w:pPr>
              <w:pStyle w:val="Body"/>
              <w:spacing w:after="0"/>
              <w:rPr>
                <w:rFonts w:ascii="Arial" w:hAnsi="Arial" w:cs="Arial"/>
                <w:lang w:val="en-GB"/>
              </w:rPr>
            </w:pPr>
          </w:p>
          <w:p w14:paraId="166B0A03" w14:textId="77777777" w:rsidR="00D57D2B" w:rsidRPr="00D57D2B" w:rsidRDefault="00D57D2B" w:rsidP="00043423">
            <w:pPr>
              <w:pStyle w:val="Body"/>
              <w:spacing w:after="0"/>
              <w:rPr>
                <w:rFonts w:ascii="Arial" w:hAnsi="Arial" w:cs="Arial"/>
                <w:lang w:val="en-GB"/>
              </w:rPr>
            </w:pPr>
            <w:r w:rsidRPr="00D57D2B">
              <w:rPr>
                <w:rFonts w:ascii="Arial" w:hAnsi="Arial" w:cs="Arial"/>
                <w:lang w:val="en-GB"/>
              </w:rPr>
              <w:t>ACT</w:t>
            </w:r>
          </w:p>
        </w:tc>
        <w:tc>
          <w:tcPr>
            <w:tcW w:w="2120" w:type="dxa"/>
            <w:tcBorders>
              <w:top w:val="single" w:sz="4" w:space="0" w:color="auto"/>
              <w:bottom w:val="single" w:sz="4" w:space="0" w:color="auto"/>
            </w:tcBorders>
            <w:noWrap/>
            <w:hideMark/>
          </w:tcPr>
          <w:p w14:paraId="236BC845"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ACT</w:t>
            </w:r>
          </w:p>
        </w:tc>
        <w:tc>
          <w:tcPr>
            <w:tcW w:w="1707" w:type="dxa"/>
            <w:tcBorders>
              <w:top w:val="single" w:sz="4" w:space="0" w:color="auto"/>
              <w:bottom w:val="single" w:sz="4" w:space="0" w:color="auto"/>
            </w:tcBorders>
            <w:noWrap/>
            <w:hideMark/>
          </w:tcPr>
          <w:p w14:paraId="78EEB4DD"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30 (47.6%)</w:t>
            </w:r>
          </w:p>
        </w:tc>
        <w:tc>
          <w:tcPr>
            <w:tcW w:w="1559" w:type="dxa"/>
            <w:tcBorders>
              <w:top w:val="single" w:sz="4" w:space="0" w:color="auto"/>
              <w:bottom w:val="single" w:sz="4" w:space="0" w:color="auto"/>
            </w:tcBorders>
            <w:noWrap/>
            <w:hideMark/>
          </w:tcPr>
          <w:p w14:paraId="789D6C28"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37 (58.7%)</w:t>
            </w:r>
          </w:p>
        </w:tc>
        <w:tc>
          <w:tcPr>
            <w:tcW w:w="2126" w:type="dxa"/>
            <w:tcBorders>
              <w:top w:val="single" w:sz="4" w:space="0" w:color="auto"/>
              <w:bottom w:val="single" w:sz="4" w:space="0" w:color="auto"/>
              <w:right w:val="single" w:sz="4" w:space="0" w:color="auto"/>
            </w:tcBorders>
            <w:noWrap/>
            <w:hideMark/>
          </w:tcPr>
          <w:p w14:paraId="4A4B2DB2"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39 (61.9%)</w:t>
            </w:r>
          </w:p>
        </w:tc>
        <w:tc>
          <w:tcPr>
            <w:tcW w:w="1701" w:type="dxa"/>
            <w:tcBorders>
              <w:top w:val="single" w:sz="4" w:space="0" w:color="auto"/>
              <w:left w:val="single" w:sz="4" w:space="0" w:color="auto"/>
              <w:bottom w:val="single" w:sz="4" w:space="0" w:color="auto"/>
            </w:tcBorders>
            <w:noWrap/>
            <w:hideMark/>
          </w:tcPr>
          <w:p w14:paraId="4124E68C"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35 (55.6%)</w:t>
            </w:r>
          </w:p>
        </w:tc>
        <w:tc>
          <w:tcPr>
            <w:tcW w:w="1560" w:type="dxa"/>
            <w:tcBorders>
              <w:top w:val="single" w:sz="4" w:space="0" w:color="auto"/>
              <w:bottom w:val="single" w:sz="4" w:space="0" w:color="auto"/>
            </w:tcBorders>
            <w:noWrap/>
            <w:hideMark/>
          </w:tcPr>
          <w:p w14:paraId="3FAD5D61"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2 (3.2%)</w:t>
            </w:r>
          </w:p>
        </w:tc>
        <w:tc>
          <w:tcPr>
            <w:tcW w:w="1993" w:type="dxa"/>
            <w:gridSpan w:val="2"/>
            <w:tcBorders>
              <w:top w:val="single" w:sz="4" w:space="0" w:color="auto"/>
              <w:bottom w:val="single" w:sz="4" w:space="0" w:color="auto"/>
            </w:tcBorders>
            <w:noWrap/>
            <w:hideMark/>
          </w:tcPr>
          <w:p w14:paraId="78E427E1"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43 (68.3%)</w:t>
            </w:r>
          </w:p>
        </w:tc>
      </w:tr>
      <w:tr w:rsidR="00D57D2B" w:rsidRPr="00D57D2B" w14:paraId="1A303D1F"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3" w:type="dxa"/>
            <w:vMerge/>
            <w:shd w:val="clear" w:color="auto" w:fill="auto"/>
            <w:noWrap/>
            <w:hideMark/>
          </w:tcPr>
          <w:p w14:paraId="5D0AC2D9" w14:textId="77777777" w:rsidR="00D57D2B" w:rsidRPr="00D57D2B" w:rsidRDefault="00D57D2B" w:rsidP="00043423">
            <w:pPr>
              <w:pStyle w:val="Body"/>
              <w:spacing w:after="0"/>
              <w:rPr>
                <w:rFonts w:ascii="Arial" w:hAnsi="Arial" w:cs="Arial"/>
                <w:lang w:val="en-GB"/>
              </w:rPr>
            </w:pPr>
          </w:p>
        </w:tc>
        <w:tc>
          <w:tcPr>
            <w:tcW w:w="2120" w:type="dxa"/>
            <w:tcBorders>
              <w:top w:val="single" w:sz="4" w:space="0" w:color="auto"/>
              <w:bottom w:val="single" w:sz="4" w:space="0" w:color="auto"/>
            </w:tcBorders>
            <w:shd w:val="clear" w:color="auto" w:fill="auto"/>
            <w:noWrap/>
            <w:hideMark/>
          </w:tcPr>
          <w:p w14:paraId="00E1EC62"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AL</w:t>
            </w:r>
          </w:p>
        </w:tc>
        <w:tc>
          <w:tcPr>
            <w:tcW w:w="1707" w:type="dxa"/>
            <w:tcBorders>
              <w:top w:val="single" w:sz="4" w:space="0" w:color="auto"/>
              <w:bottom w:val="single" w:sz="4" w:space="0" w:color="auto"/>
            </w:tcBorders>
            <w:shd w:val="clear" w:color="auto" w:fill="auto"/>
            <w:noWrap/>
            <w:hideMark/>
          </w:tcPr>
          <w:p w14:paraId="76360E24"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13 (43.3%)</w:t>
            </w:r>
          </w:p>
        </w:tc>
        <w:tc>
          <w:tcPr>
            <w:tcW w:w="1559" w:type="dxa"/>
            <w:tcBorders>
              <w:top w:val="single" w:sz="4" w:space="0" w:color="auto"/>
              <w:bottom w:val="single" w:sz="4" w:space="0" w:color="auto"/>
            </w:tcBorders>
            <w:shd w:val="clear" w:color="auto" w:fill="auto"/>
            <w:noWrap/>
            <w:hideMark/>
          </w:tcPr>
          <w:p w14:paraId="12C9712B"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17 (45.9%)</w:t>
            </w:r>
          </w:p>
        </w:tc>
        <w:tc>
          <w:tcPr>
            <w:tcW w:w="2126" w:type="dxa"/>
            <w:tcBorders>
              <w:top w:val="single" w:sz="4" w:space="0" w:color="auto"/>
              <w:bottom w:val="single" w:sz="4" w:space="0" w:color="auto"/>
              <w:right w:val="single" w:sz="4" w:space="0" w:color="auto"/>
            </w:tcBorders>
            <w:shd w:val="clear" w:color="auto" w:fill="auto"/>
            <w:noWrap/>
            <w:hideMark/>
          </w:tcPr>
          <w:p w14:paraId="550747D3"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20 (51.2%)</w:t>
            </w:r>
          </w:p>
        </w:tc>
        <w:tc>
          <w:tcPr>
            <w:tcW w:w="1701" w:type="dxa"/>
            <w:tcBorders>
              <w:top w:val="single" w:sz="4" w:space="0" w:color="auto"/>
              <w:left w:val="single" w:sz="4" w:space="0" w:color="auto"/>
              <w:bottom w:val="single" w:sz="4" w:space="0" w:color="auto"/>
            </w:tcBorders>
            <w:shd w:val="clear" w:color="auto" w:fill="auto"/>
            <w:noWrap/>
            <w:hideMark/>
          </w:tcPr>
          <w:p w14:paraId="135B5541"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19 (54.3%)</w:t>
            </w:r>
          </w:p>
        </w:tc>
        <w:tc>
          <w:tcPr>
            <w:tcW w:w="1560" w:type="dxa"/>
            <w:tcBorders>
              <w:top w:val="single" w:sz="4" w:space="0" w:color="auto"/>
              <w:bottom w:val="single" w:sz="4" w:space="0" w:color="auto"/>
            </w:tcBorders>
            <w:shd w:val="clear" w:color="auto" w:fill="auto"/>
            <w:noWrap/>
            <w:hideMark/>
          </w:tcPr>
          <w:p w14:paraId="31E24BCC"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993" w:type="dxa"/>
            <w:gridSpan w:val="2"/>
            <w:tcBorders>
              <w:top w:val="single" w:sz="4" w:space="0" w:color="auto"/>
              <w:bottom w:val="single" w:sz="4" w:space="0" w:color="auto"/>
            </w:tcBorders>
            <w:shd w:val="clear" w:color="auto" w:fill="auto"/>
            <w:noWrap/>
            <w:hideMark/>
          </w:tcPr>
          <w:p w14:paraId="518298E4"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22 (51.2%)</w:t>
            </w:r>
          </w:p>
        </w:tc>
      </w:tr>
      <w:tr w:rsidR="00B57B88" w:rsidRPr="00D57D2B" w14:paraId="21714707"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123" w:type="dxa"/>
            <w:vMerge/>
            <w:noWrap/>
            <w:hideMark/>
          </w:tcPr>
          <w:p w14:paraId="47A57D04" w14:textId="77777777" w:rsidR="00D57D2B" w:rsidRPr="00D57D2B" w:rsidRDefault="00D57D2B" w:rsidP="00043423">
            <w:pPr>
              <w:pStyle w:val="Body"/>
              <w:spacing w:after="0"/>
              <w:rPr>
                <w:rFonts w:ascii="Arial" w:hAnsi="Arial" w:cs="Arial"/>
                <w:lang w:val="en-GB"/>
              </w:rPr>
            </w:pPr>
          </w:p>
        </w:tc>
        <w:tc>
          <w:tcPr>
            <w:tcW w:w="2120" w:type="dxa"/>
            <w:tcBorders>
              <w:top w:val="single" w:sz="4" w:space="0" w:color="auto"/>
            </w:tcBorders>
            <w:noWrap/>
            <w:hideMark/>
          </w:tcPr>
          <w:p w14:paraId="32B9E97B"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ASAQ</w:t>
            </w:r>
          </w:p>
        </w:tc>
        <w:tc>
          <w:tcPr>
            <w:tcW w:w="1707" w:type="dxa"/>
            <w:tcBorders>
              <w:top w:val="single" w:sz="4" w:space="0" w:color="auto"/>
            </w:tcBorders>
            <w:noWrap/>
            <w:hideMark/>
          </w:tcPr>
          <w:p w14:paraId="213EE429"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10 (33.3%)</w:t>
            </w:r>
          </w:p>
        </w:tc>
        <w:tc>
          <w:tcPr>
            <w:tcW w:w="1559" w:type="dxa"/>
            <w:tcBorders>
              <w:top w:val="single" w:sz="4" w:space="0" w:color="auto"/>
            </w:tcBorders>
            <w:noWrap/>
            <w:hideMark/>
          </w:tcPr>
          <w:p w14:paraId="04C3AF85"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9 (24.3%)</w:t>
            </w:r>
          </w:p>
        </w:tc>
        <w:tc>
          <w:tcPr>
            <w:tcW w:w="2126" w:type="dxa"/>
            <w:tcBorders>
              <w:top w:val="single" w:sz="4" w:space="0" w:color="auto"/>
              <w:right w:val="single" w:sz="4" w:space="0" w:color="auto"/>
            </w:tcBorders>
            <w:noWrap/>
            <w:hideMark/>
          </w:tcPr>
          <w:p w14:paraId="623144C0"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6 (15.4%)</w:t>
            </w:r>
          </w:p>
        </w:tc>
        <w:tc>
          <w:tcPr>
            <w:tcW w:w="1701" w:type="dxa"/>
            <w:tcBorders>
              <w:top w:val="single" w:sz="4" w:space="0" w:color="auto"/>
              <w:left w:val="single" w:sz="4" w:space="0" w:color="auto"/>
            </w:tcBorders>
            <w:noWrap/>
            <w:hideMark/>
          </w:tcPr>
          <w:p w14:paraId="172765E0"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11 (31.4%)</w:t>
            </w:r>
          </w:p>
        </w:tc>
        <w:tc>
          <w:tcPr>
            <w:tcW w:w="1560" w:type="dxa"/>
            <w:tcBorders>
              <w:top w:val="single" w:sz="4" w:space="0" w:color="auto"/>
            </w:tcBorders>
            <w:noWrap/>
            <w:hideMark/>
          </w:tcPr>
          <w:p w14:paraId="5D7BF9F8"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993" w:type="dxa"/>
            <w:gridSpan w:val="2"/>
            <w:tcBorders>
              <w:top w:val="single" w:sz="4" w:space="0" w:color="auto"/>
            </w:tcBorders>
            <w:noWrap/>
            <w:hideMark/>
          </w:tcPr>
          <w:p w14:paraId="783196C0"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5 (11.6%)</w:t>
            </w:r>
          </w:p>
        </w:tc>
      </w:tr>
      <w:tr w:rsidR="00D57D2B" w:rsidRPr="00D57D2B" w14:paraId="3778022E"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3" w:type="dxa"/>
            <w:vMerge/>
            <w:shd w:val="clear" w:color="auto" w:fill="auto"/>
            <w:noWrap/>
            <w:hideMark/>
          </w:tcPr>
          <w:p w14:paraId="11BE9403" w14:textId="77777777" w:rsidR="00D57D2B" w:rsidRPr="00D57D2B" w:rsidRDefault="00D57D2B" w:rsidP="00043423">
            <w:pPr>
              <w:pStyle w:val="Body"/>
              <w:spacing w:after="0"/>
              <w:rPr>
                <w:rFonts w:ascii="Arial" w:hAnsi="Arial" w:cs="Arial"/>
                <w:lang w:val="en-GB"/>
              </w:rPr>
            </w:pPr>
          </w:p>
        </w:tc>
        <w:tc>
          <w:tcPr>
            <w:tcW w:w="2120" w:type="dxa"/>
            <w:shd w:val="clear" w:color="auto" w:fill="auto"/>
            <w:noWrap/>
            <w:hideMark/>
          </w:tcPr>
          <w:p w14:paraId="574100F8"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DHA/PQP</w:t>
            </w:r>
          </w:p>
        </w:tc>
        <w:tc>
          <w:tcPr>
            <w:tcW w:w="1707" w:type="dxa"/>
            <w:shd w:val="clear" w:color="auto" w:fill="auto"/>
            <w:noWrap/>
            <w:hideMark/>
          </w:tcPr>
          <w:p w14:paraId="73CF07AD"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7 (100%)</w:t>
            </w:r>
          </w:p>
        </w:tc>
        <w:tc>
          <w:tcPr>
            <w:tcW w:w="1559" w:type="dxa"/>
            <w:shd w:val="clear" w:color="auto" w:fill="auto"/>
            <w:noWrap/>
            <w:hideMark/>
          </w:tcPr>
          <w:p w14:paraId="68667307"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9 (24.3%)</w:t>
            </w:r>
          </w:p>
        </w:tc>
        <w:tc>
          <w:tcPr>
            <w:tcW w:w="2126" w:type="dxa"/>
            <w:tcBorders>
              <w:right w:val="single" w:sz="4" w:space="0" w:color="auto"/>
            </w:tcBorders>
            <w:shd w:val="clear" w:color="auto" w:fill="auto"/>
            <w:noWrap/>
            <w:hideMark/>
          </w:tcPr>
          <w:p w14:paraId="3D57C50F"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11 (28.2%)</w:t>
            </w:r>
          </w:p>
        </w:tc>
        <w:tc>
          <w:tcPr>
            <w:tcW w:w="1701" w:type="dxa"/>
            <w:tcBorders>
              <w:left w:val="single" w:sz="4" w:space="0" w:color="auto"/>
            </w:tcBorders>
            <w:shd w:val="clear" w:color="auto" w:fill="auto"/>
            <w:noWrap/>
            <w:hideMark/>
          </w:tcPr>
          <w:p w14:paraId="6B2FB167"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5 (14.3%)</w:t>
            </w:r>
          </w:p>
        </w:tc>
        <w:tc>
          <w:tcPr>
            <w:tcW w:w="1560" w:type="dxa"/>
            <w:shd w:val="clear" w:color="auto" w:fill="auto"/>
            <w:noWrap/>
            <w:hideMark/>
          </w:tcPr>
          <w:p w14:paraId="1FB5BE45"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2 (100%)</w:t>
            </w:r>
          </w:p>
        </w:tc>
        <w:tc>
          <w:tcPr>
            <w:tcW w:w="1993" w:type="dxa"/>
            <w:gridSpan w:val="2"/>
            <w:shd w:val="clear" w:color="auto" w:fill="auto"/>
            <w:noWrap/>
            <w:hideMark/>
          </w:tcPr>
          <w:p w14:paraId="1A512EAA"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14 (32.6%)</w:t>
            </w:r>
          </w:p>
        </w:tc>
      </w:tr>
      <w:tr w:rsidR="00B57B88" w:rsidRPr="00D57D2B" w14:paraId="6D50D418"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123" w:type="dxa"/>
            <w:vMerge/>
            <w:tcBorders>
              <w:bottom w:val="single" w:sz="4" w:space="0" w:color="auto"/>
            </w:tcBorders>
            <w:noWrap/>
            <w:hideMark/>
          </w:tcPr>
          <w:p w14:paraId="11F8710F" w14:textId="77777777" w:rsidR="00D57D2B" w:rsidRPr="00D57D2B" w:rsidRDefault="00D57D2B" w:rsidP="00043423">
            <w:pPr>
              <w:pStyle w:val="Body"/>
              <w:spacing w:after="0"/>
              <w:rPr>
                <w:rFonts w:ascii="Arial" w:hAnsi="Arial" w:cs="Arial"/>
                <w:lang w:val="en-GB"/>
              </w:rPr>
            </w:pPr>
          </w:p>
        </w:tc>
        <w:tc>
          <w:tcPr>
            <w:tcW w:w="2120" w:type="dxa"/>
            <w:tcBorders>
              <w:bottom w:val="single" w:sz="4" w:space="0" w:color="auto"/>
            </w:tcBorders>
            <w:noWrap/>
            <w:hideMark/>
          </w:tcPr>
          <w:p w14:paraId="031617D5"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DHA/PQP/TMTP</w:t>
            </w:r>
          </w:p>
        </w:tc>
        <w:tc>
          <w:tcPr>
            <w:tcW w:w="1707" w:type="dxa"/>
            <w:tcBorders>
              <w:bottom w:val="single" w:sz="4" w:space="0" w:color="auto"/>
            </w:tcBorders>
            <w:noWrap/>
            <w:hideMark/>
          </w:tcPr>
          <w:p w14:paraId="019CEF85"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559" w:type="dxa"/>
            <w:tcBorders>
              <w:bottom w:val="single" w:sz="4" w:space="0" w:color="auto"/>
            </w:tcBorders>
            <w:noWrap/>
            <w:hideMark/>
          </w:tcPr>
          <w:p w14:paraId="7C9D6A14"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2 (5.4%)</w:t>
            </w:r>
          </w:p>
        </w:tc>
        <w:tc>
          <w:tcPr>
            <w:tcW w:w="2126" w:type="dxa"/>
            <w:tcBorders>
              <w:bottom w:val="single" w:sz="4" w:space="0" w:color="auto"/>
              <w:right w:val="single" w:sz="4" w:space="0" w:color="auto"/>
            </w:tcBorders>
            <w:noWrap/>
            <w:hideMark/>
          </w:tcPr>
          <w:p w14:paraId="3DFB6AE9"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2 (5.1%)</w:t>
            </w:r>
          </w:p>
        </w:tc>
        <w:tc>
          <w:tcPr>
            <w:tcW w:w="1701" w:type="dxa"/>
            <w:tcBorders>
              <w:left w:val="single" w:sz="4" w:space="0" w:color="auto"/>
              <w:bottom w:val="single" w:sz="4" w:space="0" w:color="auto"/>
            </w:tcBorders>
            <w:noWrap/>
            <w:hideMark/>
          </w:tcPr>
          <w:p w14:paraId="714137CC"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560" w:type="dxa"/>
            <w:tcBorders>
              <w:bottom w:val="single" w:sz="4" w:space="0" w:color="auto"/>
            </w:tcBorders>
            <w:noWrap/>
            <w:hideMark/>
          </w:tcPr>
          <w:p w14:paraId="6E066E10"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993" w:type="dxa"/>
            <w:gridSpan w:val="2"/>
            <w:tcBorders>
              <w:bottom w:val="single" w:sz="4" w:space="0" w:color="auto"/>
            </w:tcBorders>
            <w:noWrap/>
            <w:hideMark/>
          </w:tcPr>
          <w:p w14:paraId="07B95DD1"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2 (4.7%)</w:t>
            </w:r>
          </w:p>
        </w:tc>
      </w:tr>
      <w:tr w:rsidR="00D57D2B" w:rsidRPr="00D57D2B" w14:paraId="031C542B"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3" w:type="dxa"/>
            <w:vMerge w:val="restart"/>
            <w:tcBorders>
              <w:top w:val="single" w:sz="4" w:space="0" w:color="auto"/>
            </w:tcBorders>
            <w:shd w:val="clear" w:color="auto" w:fill="auto"/>
            <w:noWrap/>
            <w:hideMark/>
          </w:tcPr>
          <w:p w14:paraId="50E58D43" w14:textId="77777777" w:rsidR="00D57D2B" w:rsidRPr="00D57D2B" w:rsidRDefault="00D57D2B" w:rsidP="00043423">
            <w:pPr>
              <w:pStyle w:val="Body"/>
              <w:spacing w:after="0"/>
              <w:rPr>
                <w:rFonts w:ascii="Arial" w:hAnsi="Arial" w:cs="Arial"/>
                <w:lang w:val="en-GB"/>
              </w:rPr>
            </w:pPr>
          </w:p>
          <w:p w14:paraId="11691697" w14:textId="77777777" w:rsidR="00D57D2B" w:rsidRPr="00D57D2B" w:rsidRDefault="00D57D2B" w:rsidP="00043423">
            <w:pPr>
              <w:pStyle w:val="Body"/>
              <w:spacing w:after="0"/>
              <w:rPr>
                <w:rFonts w:ascii="Arial" w:hAnsi="Arial" w:cs="Arial"/>
                <w:lang w:val="en-GB"/>
              </w:rPr>
            </w:pPr>
          </w:p>
          <w:p w14:paraId="07944AC4" w14:textId="77777777" w:rsidR="00D57D2B" w:rsidRPr="00D57D2B" w:rsidRDefault="00D57D2B" w:rsidP="00043423">
            <w:pPr>
              <w:pStyle w:val="Body"/>
              <w:spacing w:after="0"/>
              <w:rPr>
                <w:rFonts w:ascii="Arial" w:hAnsi="Arial" w:cs="Arial"/>
                <w:lang w:val="en-GB"/>
              </w:rPr>
            </w:pPr>
          </w:p>
          <w:p w14:paraId="5F05059C" w14:textId="77777777" w:rsidR="00D57D2B" w:rsidRPr="00D57D2B" w:rsidRDefault="00D57D2B" w:rsidP="00043423">
            <w:pPr>
              <w:pStyle w:val="Body"/>
              <w:spacing w:after="0"/>
              <w:rPr>
                <w:rFonts w:ascii="Arial" w:hAnsi="Arial" w:cs="Arial"/>
                <w:lang w:val="en-GB"/>
              </w:rPr>
            </w:pPr>
            <w:r w:rsidRPr="00D57D2B">
              <w:rPr>
                <w:rFonts w:ascii="Arial" w:hAnsi="Arial" w:cs="Arial"/>
                <w:lang w:val="en-GB"/>
              </w:rPr>
              <w:t>Others</w:t>
            </w:r>
          </w:p>
        </w:tc>
        <w:tc>
          <w:tcPr>
            <w:tcW w:w="2120" w:type="dxa"/>
            <w:tcBorders>
              <w:top w:val="single" w:sz="4" w:space="0" w:color="auto"/>
              <w:bottom w:val="single" w:sz="4" w:space="0" w:color="auto"/>
            </w:tcBorders>
            <w:shd w:val="clear" w:color="auto" w:fill="auto"/>
            <w:noWrap/>
            <w:hideMark/>
          </w:tcPr>
          <w:p w14:paraId="5EB52BA7"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AL or oral Q</w:t>
            </w:r>
          </w:p>
        </w:tc>
        <w:tc>
          <w:tcPr>
            <w:tcW w:w="1707" w:type="dxa"/>
            <w:tcBorders>
              <w:top w:val="single" w:sz="4" w:space="0" w:color="auto"/>
              <w:bottom w:val="single" w:sz="4" w:space="0" w:color="auto"/>
            </w:tcBorders>
            <w:shd w:val="clear" w:color="auto" w:fill="auto"/>
            <w:noWrap/>
            <w:hideMark/>
          </w:tcPr>
          <w:p w14:paraId="67589AC7"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 (1.6%)</w:t>
            </w:r>
          </w:p>
        </w:tc>
        <w:tc>
          <w:tcPr>
            <w:tcW w:w="1559" w:type="dxa"/>
            <w:tcBorders>
              <w:top w:val="single" w:sz="4" w:space="0" w:color="auto"/>
              <w:bottom w:val="single" w:sz="4" w:space="0" w:color="auto"/>
            </w:tcBorders>
            <w:shd w:val="clear" w:color="auto" w:fill="auto"/>
            <w:noWrap/>
            <w:hideMark/>
          </w:tcPr>
          <w:p w14:paraId="4D36C0D3"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 (1.6%)</w:t>
            </w:r>
          </w:p>
        </w:tc>
        <w:tc>
          <w:tcPr>
            <w:tcW w:w="2126" w:type="dxa"/>
            <w:tcBorders>
              <w:top w:val="single" w:sz="4" w:space="0" w:color="auto"/>
              <w:bottom w:val="single" w:sz="4" w:space="0" w:color="auto"/>
              <w:right w:val="single" w:sz="4" w:space="0" w:color="auto"/>
            </w:tcBorders>
            <w:shd w:val="clear" w:color="auto" w:fill="auto"/>
            <w:noWrap/>
            <w:hideMark/>
          </w:tcPr>
          <w:p w14:paraId="48903425"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701" w:type="dxa"/>
            <w:tcBorders>
              <w:top w:val="single" w:sz="4" w:space="0" w:color="auto"/>
              <w:left w:val="single" w:sz="4" w:space="0" w:color="auto"/>
              <w:bottom w:val="single" w:sz="4" w:space="0" w:color="auto"/>
            </w:tcBorders>
            <w:shd w:val="clear" w:color="auto" w:fill="auto"/>
            <w:noWrap/>
            <w:hideMark/>
          </w:tcPr>
          <w:p w14:paraId="5F2D52F2"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 (1.6%)</w:t>
            </w:r>
          </w:p>
        </w:tc>
        <w:tc>
          <w:tcPr>
            <w:tcW w:w="1560" w:type="dxa"/>
            <w:tcBorders>
              <w:top w:val="single" w:sz="4" w:space="0" w:color="auto"/>
              <w:bottom w:val="single" w:sz="4" w:space="0" w:color="auto"/>
            </w:tcBorders>
            <w:shd w:val="clear" w:color="auto" w:fill="auto"/>
            <w:noWrap/>
            <w:hideMark/>
          </w:tcPr>
          <w:p w14:paraId="68D3F025"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993" w:type="dxa"/>
            <w:gridSpan w:val="2"/>
            <w:tcBorders>
              <w:top w:val="single" w:sz="4" w:space="0" w:color="auto"/>
              <w:bottom w:val="single" w:sz="4" w:space="0" w:color="auto"/>
            </w:tcBorders>
            <w:shd w:val="clear" w:color="auto" w:fill="auto"/>
            <w:noWrap/>
            <w:hideMark/>
          </w:tcPr>
          <w:p w14:paraId="25B09A4D"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 (0.0%)</w:t>
            </w:r>
          </w:p>
        </w:tc>
      </w:tr>
      <w:tr w:rsidR="00043423" w:rsidRPr="00D57D2B" w14:paraId="66D69832"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123" w:type="dxa"/>
            <w:vMerge/>
            <w:noWrap/>
            <w:hideMark/>
          </w:tcPr>
          <w:p w14:paraId="70D5A114" w14:textId="77777777" w:rsidR="00D57D2B" w:rsidRPr="00D57D2B" w:rsidRDefault="00D57D2B" w:rsidP="00043423">
            <w:pPr>
              <w:pStyle w:val="Body"/>
              <w:spacing w:after="0"/>
              <w:rPr>
                <w:rFonts w:ascii="Arial" w:hAnsi="Arial" w:cs="Arial"/>
                <w:lang w:val="en-GB"/>
              </w:rPr>
            </w:pPr>
          </w:p>
        </w:tc>
        <w:tc>
          <w:tcPr>
            <w:tcW w:w="2120" w:type="dxa"/>
            <w:tcBorders>
              <w:top w:val="single" w:sz="4" w:space="0" w:color="auto"/>
              <w:bottom w:val="single" w:sz="4" w:space="0" w:color="auto"/>
            </w:tcBorders>
            <w:noWrap/>
            <w:hideMark/>
          </w:tcPr>
          <w:p w14:paraId="4E916398"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roofErr w:type="spellStart"/>
            <w:r w:rsidRPr="00D57D2B">
              <w:rPr>
                <w:rFonts w:ascii="Arial" w:hAnsi="Arial" w:cs="Arial"/>
                <w:lang w:val="en-GB"/>
              </w:rPr>
              <w:t>ASiv</w:t>
            </w:r>
            <w:proofErr w:type="spellEnd"/>
            <w:r w:rsidRPr="00D57D2B">
              <w:rPr>
                <w:rFonts w:ascii="Arial" w:hAnsi="Arial" w:cs="Arial"/>
                <w:lang w:val="en-GB"/>
              </w:rPr>
              <w:t xml:space="preserve">, </w:t>
            </w:r>
            <w:proofErr w:type="spellStart"/>
            <w:r w:rsidRPr="00D57D2B">
              <w:rPr>
                <w:rFonts w:ascii="Arial" w:hAnsi="Arial" w:cs="Arial"/>
                <w:lang w:val="en-GB"/>
              </w:rPr>
              <w:t>AMim</w:t>
            </w:r>
            <w:proofErr w:type="spellEnd"/>
            <w:r w:rsidRPr="00D57D2B">
              <w:rPr>
                <w:rFonts w:ascii="Arial" w:hAnsi="Arial" w:cs="Arial"/>
                <w:lang w:val="en-GB"/>
              </w:rPr>
              <w:t>, oral Q</w:t>
            </w:r>
          </w:p>
        </w:tc>
        <w:tc>
          <w:tcPr>
            <w:tcW w:w="1707" w:type="dxa"/>
            <w:tcBorders>
              <w:top w:val="single" w:sz="4" w:space="0" w:color="auto"/>
              <w:bottom w:val="single" w:sz="4" w:space="0" w:color="auto"/>
            </w:tcBorders>
            <w:noWrap/>
            <w:hideMark/>
          </w:tcPr>
          <w:p w14:paraId="3AA69B35"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5 (7.9%)</w:t>
            </w:r>
          </w:p>
        </w:tc>
        <w:tc>
          <w:tcPr>
            <w:tcW w:w="1559" w:type="dxa"/>
            <w:tcBorders>
              <w:top w:val="single" w:sz="4" w:space="0" w:color="auto"/>
              <w:bottom w:val="single" w:sz="4" w:space="0" w:color="auto"/>
            </w:tcBorders>
            <w:noWrap/>
            <w:hideMark/>
          </w:tcPr>
          <w:p w14:paraId="249D03B1"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4 (6.3%)</w:t>
            </w:r>
          </w:p>
        </w:tc>
        <w:tc>
          <w:tcPr>
            <w:tcW w:w="2126" w:type="dxa"/>
            <w:tcBorders>
              <w:top w:val="single" w:sz="4" w:space="0" w:color="auto"/>
              <w:bottom w:val="single" w:sz="4" w:space="0" w:color="auto"/>
              <w:right w:val="single" w:sz="4" w:space="0" w:color="auto"/>
            </w:tcBorders>
            <w:noWrap/>
            <w:hideMark/>
          </w:tcPr>
          <w:p w14:paraId="36A3630F"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701" w:type="dxa"/>
            <w:tcBorders>
              <w:top w:val="single" w:sz="4" w:space="0" w:color="auto"/>
              <w:left w:val="single" w:sz="4" w:space="0" w:color="auto"/>
              <w:bottom w:val="single" w:sz="4" w:space="0" w:color="auto"/>
            </w:tcBorders>
            <w:noWrap/>
            <w:hideMark/>
          </w:tcPr>
          <w:p w14:paraId="351C1469"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10 (15.9%)</w:t>
            </w:r>
          </w:p>
        </w:tc>
        <w:tc>
          <w:tcPr>
            <w:tcW w:w="1560" w:type="dxa"/>
            <w:tcBorders>
              <w:top w:val="single" w:sz="4" w:space="0" w:color="auto"/>
              <w:bottom w:val="single" w:sz="4" w:space="0" w:color="auto"/>
            </w:tcBorders>
            <w:noWrap/>
            <w:hideMark/>
          </w:tcPr>
          <w:p w14:paraId="1147D172"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10 (15.9%)</w:t>
            </w:r>
          </w:p>
        </w:tc>
        <w:tc>
          <w:tcPr>
            <w:tcW w:w="1993" w:type="dxa"/>
            <w:gridSpan w:val="2"/>
            <w:tcBorders>
              <w:top w:val="single" w:sz="4" w:space="0" w:color="auto"/>
              <w:bottom w:val="single" w:sz="4" w:space="0" w:color="auto"/>
            </w:tcBorders>
            <w:noWrap/>
            <w:hideMark/>
          </w:tcPr>
          <w:p w14:paraId="0B3AB8F7"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 (0.0%)</w:t>
            </w:r>
          </w:p>
        </w:tc>
      </w:tr>
      <w:tr w:rsidR="00D57D2B" w:rsidRPr="00D57D2B" w14:paraId="7B913302"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3" w:type="dxa"/>
            <w:vMerge/>
            <w:shd w:val="clear" w:color="auto" w:fill="auto"/>
            <w:noWrap/>
            <w:hideMark/>
          </w:tcPr>
          <w:p w14:paraId="5199A668" w14:textId="77777777" w:rsidR="00D57D2B" w:rsidRPr="00D57D2B" w:rsidRDefault="00D57D2B" w:rsidP="00043423">
            <w:pPr>
              <w:pStyle w:val="Body"/>
              <w:spacing w:after="0"/>
              <w:rPr>
                <w:rFonts w:ascii="Arial" w:hAnsi="Arial" w:cs="Arial"/>
                <w:lang w:val="en-GB"/>
              </w:rPr>
            </w:pPr>
          </w:p>
        </w:tc>
        <w:tc>
          <w:tcPr>
            <w:tcW w:w="2120" w:type="dxa"/>
            <w:tcBorders>
              <w:top w:val="single" w:sz="4" w:space="0" w:color="auto"/>
              <w:bottom w:val="single" w:sz="4" w:space="0" w:color="auto"/>
            </w:tcBorders>
            <w:shd w:val="clear" w:color="auto" w:fill="auto"/>
            <w:noWrap/>
            <w:hideMark/>
          </w:tcPr>
          <w:p w14:paraId="0E91C15F"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D57D2B">
              <w:rPr>
                <w:rFonts w:ascii="Arial" w:hAnsi="Arial" w:cs="Arial"/>
                <w:lang w:val="en-GB"/>
              </w:rPr>
              <w:t>CQim</w:t>
            </w:r>
            <w:proofErr w:type="spellEnd"/>
          </w:p>
        </w:tc>
        <w:tc>
          <w:tcPr>
            <w:tcW w:w="1707" w:type="dxa"/>
            <w:tcBorders>
              <w:top w:val="single" w:sz="4" w:space="0" w:color="auto"/>
              <w:bottom w:val="single" w:sz="4" w:space="0" w:color="auto"/>
            </w:tcBorders>
            <w:shd w:val="clear" w:color="auto" w:fill="auto"/>
            <w:noWrap/>
            <w:hideMark/>
          </w:tcPr>
          <w:p w14:paraId="08B407F9"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559" w:type="dxa"/>
            <w:tcBorders>
              <w:top w:val="single" w:sz="4" w:space="0" w:color="auto"/>
              <w:bottom w:val="single" w:sz="4" w:space="0" w:color="auto"/>
            </w:tcBorders>
            <w:shd w:val="clear" w:color="auto" w:fill="auto"/>
            <w:noWrap/>
            <w:hideMark/>
          </w:tcPr>
          <w:p w14:paraId="7DA2803E"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2126" w:type="dxa"/>
            <w:tcBorders>
              <w:top w:val="single" w:sz="4" w:space="0" w:color="auto"/>
              <w:bottom w:val="single" w:sz="4" w:space="0" w:color="auto"/>
              <w:right w:val="single" w:sz="4" w:space="0" w:color="auto"/>
            </w:tcBorders>
            <w:shd w:val="clear" w:color="auto" w:fill="auto"/>
            <w:noWrap/>
            <w:hideMark/>
          </w:tcPr>
          <w:p w14:paraId="5E1ED1D8"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701" w:type="dxa"/>
            <w:tcBorders>
              <w:top w:val="single" w:sz="4" w:space="0" w:color="auto"/>
              <w:left w:val="single" w:sz="4" w:space="0" w:color="auto"/>
              <w:bottom w:val="single" w:sz="4" w:space="0" w:color="auto"/>
            </w:tcBorders>
            <w:shd w:val="clear" w:color="auto" w:fill="auto"/>
            <w:noWrap/>
            <w:hideMark/>
          </w:tcPr>
          <w:p w14:paraId="5F65271B"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560" w:type="dxa"/>
            <w:tcBorders>
              <w:top w:val="single" w:sz="4" w:space="0" w:color="auto"/>
              <w:bottom w:val="single" w:sz="4" w:space="0" w:color="auto"/>
            </w:tcBorders>
            <w:shd w:val="clear" w:color="auto" w:fill="auto"/>
            <w:noWrap/>
            <w:hideMark/>
          </w:tcPr>
          <w:p w14:paraId="469A1644"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993" w:type="dxa"/>
            <w:gridSpan w:val="2"/>
            <w:tcBorders>
              <w:top w:val="single" w:sz="4" w:space="0" w:color="auto"/>
              <w:bottom w:val="single" w:sz="4" w:space="0" w:color="auto"/>
            </w:tcBorders>
            <w:shd w:val="clear" w:color="auto" w:fill="auto"/>
            <w:noWrap/>
            <w:hideMark/>
          </w:tcPr>
          <w:p w14:paraId="20551848"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w:t>
            </w:r>
          </w:p>
        </w:tc>
      </w:tr>
      <w:tr w:rsidR="00B57B88" w:rsidRPr="00D57D2B" w14:paraId="39566D10"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123" w:type="dxa"/>
            <w:vMerge/>
            <w:noWrap/>
            <w:hideMark/>
          </w:tcPr>
          <w:p w14:paraId="0C5EBE0E" w14:textId="77777777" w:rsidR="00D57D2B" w:rsidRPr="00D57D2B" w:rsidRDefault="00D57D2B" w:rsidP="00043423">
            <w:pPr>
              <w:pStyle w:val="Body"/>
              <w:spacing w:after="0"/>
              <w:rPr>
                <w:rFonts w:ascii="Arial" w:hAnsi="Arial" w:cs="Arial"/>
                <w:lang w:val="en-GB"/>
              </w:rPr>
            </w:pPr>
          </w:p>
        </w:tc>
        <w:tc>
          <w:tcPr>
            <w:tcW w:w="2120" w:type="dxa"/>
            <w:tcBorders>
              <w:top w:val="single" w:sz="4" w:space="0" w:color="auto"/>
            </w:tcBorders>
            <w:noWrap/>
            <w:hideMark/>
          </w:tcPr>
          <w:p w14:paraId="29ADC8F9"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 xml:space="preserve">Oral Q or </w:t>
            </w:r>
            <w:proofErr w:type="spellStart"/>
            <w:r w:rsidRPr="00D57D2B">
              <w:rPr>
                <w:rFonts w:ascii="Arial" w:hAnsi="Arial" w:cs="Arial"/>
                <w:lang w:val="en-GB"/>
              </w:rPr>
              <w:t>Salvarine</w:t>
            </w:r>
            <w:proofErr w:type="spellEnd"/>
          </w:p>
        </w:tc>
        <w:tc>
          <w:tcPr>
            <w:tcW w:w="1707" w:type="dxa"/>
            <w:tcBorders>
              <w:top w:val="single" w:sz="4" w:space="0" w:color="auto"/>
            </w:tcBorders>
            <w:noWrap/>
            <w:hideMark/>
          </w:tcPr>
          <w:p w14:paraId="0B03C08B"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559" w:type="dxa"/>
            <w:tcBorders>
              <w:top w:val="single" w:sz="4" w:space="0" w:color="auto"/>
            </w:tcBorders>
            <w:noWrap/>
            <w:hideMark/>
          </w:tcPr>
          <w:p w14:paraId="29FE3DEF"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2126" w:type="dxa"/>
            <w:tcBorders>
              <w:top w:val="single" w:sz="4" w:space="0" w:color="auto"/>
              <w:right w:val="single" w:sz="4" w:space="0" w:color="auto"/>
            </w:tcBorders>
            <w:noWrap/>
            <w:hideMark/>
          </w:tcPr>
          <w:p w14:paraId="199ABE76"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5 (7.9%)</w:t>
            </w:r>
          </w:p>
        </w:tc>
        <w:tc>
          <w:tcPr>
            <w:tcW w:w="1701" w:type="dxa"/>
            <w:tcBorders>
              <w:top w:val="single" w:sz="4" w:space="0" w:color="auto"/>
              <w:left w:val="single" w:sz="4" w:space="0" w:color="auto"/>
            </w:tcBorders>
            <w:noWrap/>
            <w:hideMark/>
          </w:tcPr>
          <w:p w14:paraId="60897707"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560" w:type="dxa"/>
            <w:tcBorders>
              <w:top w:val="single" w:sz="4" w:space="0" w:color="auto"/>
            </w:tcBorders>
            <w:noWrap/>
            <w:hideMark/>
          </w:tcPr>
          <w:p w14:paraId="14A8304C"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993" w:type="dxa"/>
            <w:gridSpan w:val="2"/>
            <w:tcBorders>
              <w:top w:val="single" w:sz="4" w:space="0" w:color="auto"/>
            </w:tcBorders>
            <w:noWrap/>
            <w:hideMark/>
          </w:tcPr>
          <w:p w14:paraId="1351848A"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6 (9.5%)</w:t>
            </w:r>
          </w:p>
        </w:tc>
      </w:tr>
    </w:tbl>
    <w:p w14:paraId="43A2CADD" w14:textId="77777777" w:rsidR="00D57D2B" w:rsidRPr="00D57D2B" w:rsidRDefault="00D57D2B" w:rsidP="00D57D2B">
      <w:pPr>
        <w:pStyle w:val="Body"/>
        <w:spacing w:after="0"/>
        <w:rPr>
          <w:rFonts w:ascii="Arial" w:hAnsi="Arial" w:cs="Arial"/>
          <w:sz w:val="16"/>
          <w:szCs w:val="16"/>
        </w:rPr>
      </w:pPr>
      <w:r w:rsidRPr="00D57D2B">
        <w:rPr>
          <w:rFonts w:ascii="Arial" w:hAnsi="Arial" w:cs="Arial"/>
          <w:sz w:val="16"/>
          <w:szCs w:val="16"/>
        </w:rPr>
        <w:t xml:space="preserve">AL: artemether/lumefantrine, ASAQ: artesunate/amodiaquine, DHA/PQP: </w:t>
      </w:r>
      <w:proofErr w:type="spellStart"/>
      <w:r w:rsidRPr="00D57D2B">
        <w:rPr>
          <w:rFonts w:ascii="Arial" w:hAnsi="Arial" w:cs="Arial"/>
          <w:sz w:val="16"/>
          <w:szCs w:val="16"/>
        </w:rPr>
        <w:t>dihydroartemisinin</w:t>
      </w:r>
      <w:proofErr w:type="spellEnd"/>
      <w:r w:rsidRPr="00D57D2B">
        <w:rPr>
          <w:rFonts w:ascii="Arial" w:hAnsi="Arial" w:cs="Arial"/>
          <w:sz w:val="16"/>
          <w:szCs w:val="16"/>
        </w:rPr>
        <w:t xml:space="preserve">/piperaquine, DHA/PQP/TMTP: </w:t>
      </w:r>
      <w:proofErr w:type="spellStart"/>
      <w:r w:rsidRPr="00D57D2B">
        <w:rPr>
          <w:rFonts w:ascii="Arial" w:hAnsi="Arial" w:cs="Arial"/>
          <w:sz w:val="16"/>
          <w:szCs w:val="16"/>
        </w:rPr>
        <w:t>dihydroartemisinnine</w:t>
      </w:r>
      <w:proofErr w:type="spellEnd"/>
      <w:r w:rsidRPr="00D57D2B">
        <w:rPr>
          <w:rFonts w:ascii="Arial" w:hAnsi="Arial" w:cs="Arial"/>
          <w:sz w:val="16"/>
          <w:szCs w:val="16"/>
        </w:rPr>
        <w:t>/piperaquine/</w:t>
      </w:r>
      <w:proofErr w:type="spellStart"/>
      <w:r w:rsidRPr="00D57D2B">
        <w:rPr>
          <w:rFonts w:ascii="Arial" w:hAnsi="Arial" w:cs="Arial"/>
          <w:sz w:val="16"/>
          <w:szCs w:val="16"/>
        </w:rPr>
        <w:t>trimethoprime</w:t>
      </w:r>
      <w:proofErr w:type="spellEnd"/>
      <w:r w:rsidRPr="00D57D2B">
        <w:rPr>
          <w:rFonts w:ascii="Arial" w:hAnsi="Arial" w:cs="Arial"/>
          <w:sz w:val="16"/>
          <w:szCs w:val="16"/>
        </w:rPr>
        <w:t>, ATR/PQP: arterolane/piperaquine, AS/MFQ: artesunate/mefloquine, AS/SP: artesunate/</w:t>
      </w:r>
      <w:proofErr w:type="spellStart"/>
      <w:r w:rsidRPr="00D57D2B">
        <w:rPr>
          <w:rFonts w:ascii="Arial" w:hAnsi="Arial" w:cs="Arial"/>
          <w:sz w:val="16"/>
          <w:szCs w:val="16"/>
        </w:rPr>
        <w:t>sulfadoxine</w:t>
      </w:r>
      <w:proofErr w:type="spellEnd"/>
      <w:r w:rsidRPr="00D57D2B">
        <w:rPr>
          <w:rFonts w:ascii="Arial" w:hAnsi="Arial" w:cs="Arial"/>
          <w:sz w:val="16"/>
          <w:szCs w:val="16"/>
        </w:rPr>
        <w:t xml:space="preserve">/pyrimethamine, AS/HF: artesunate/halofantrine, </w:t>
      </w:r>
      <w:proofErr w:type="spellStart"/>
      <w:r w:rsidRPr="00D57D2B">
        <w:rPr>
          <w:rFonts w:ascii="Arial" w:hAnsi="Arial" w:cs="Arial"/>
          <w:sz w:val="16"/>
          <w:szCs w:val="16"/>
        </w:rPr>
        <w:t>Qiv</w:t>
      </w:r>
      <w:proofErr w:type="spellEnd"/>
      <w:r w:rsidRPr="00D57D2B">
        <w:rPr>
          <w:rFonts w:ascii="Arial" w:hAnsi="Arial" w:cs="Arial"/>
          <w:sz w:val="16"/>
          <w:szCs w:val="16"/>
        </w:rPr>
        <w:t xml:space="preserve">: intravenous quinine, </w:t>
      </w:r>
      <w:proofErr w:type="spellStart"/>
      <w:r w:rsidRPr="00D57D2B">
        <w:rPr>
          <w:rFonts w:ascii="Arial" w:hAnsi="Arial" w:cs="Arial"/>
          <w:sz w:val="16"/>
          <w:szCs w:val="16"/>
        </w:rPr>
        <w:t>ASiv</w:t>
      </w:r>
      <w:proofErr w:type="spellEnd"/>
      <w:r w:rsidRPr="00D57D2B">
        <w:rPr>
          <w:rFonts w:ascii="Arial" w:hAnsi="Arial" w:cs="Arial"/>
          <w:sz w:val="16"/>
          <w:szCs w:val="16"/>
        </w:rPr>
        <w:t xml:space="preserve">: intravenous artesunate, </w:t>
      </w:r>
      <w:proofErr w:type="spellStart"/>
      <w:r w:rsidRPr="00D57D2B">
        <w:rPr>
          <w:rFonts w:ascii="Arial" w:hAnsi="Arial" w:cs="Arial"/>
          <w:sz w:val="16"/>
          <w:szCs w:val="16"/>
        </w:rPr>
        <w:t>AMim</w:t>
      </w:r>
      <w:proofErr w:type="spellEnd"/>
      <w:r w:rsidRPr="00D57D2B">
        <w:rPr>
          <w:rFonts w:ascii="Arial" w:hAnsi="Arial" w:cs="Arial"/>
          <w:sz w:val="16"/>
          <w:szCs w:val="16"/>
        </w:rPr>
        <w:t>: intramuscular artemether.</w:t>
      </w:r>
    </w:p>
    <w:p w14:paraId="2CED5BAA" w14:textId="77777777" w:rsidR="00D57D2B" w:rsidRDefault="00D57D2B" w:rsidP="00441B6F">
      <w:pPr>
        <w:pStyle w:val="Body"/>
        <w:spacing w:after="0"/>
        <w:rPr>
          <w:rFonts w:ascii="Arial" w:hAnsi="Arial" w:cs="Arial"/>
        </w:rPr>
      </w:pPr>
    </w:p>
    <w:p w14:paraId="7A00EDE1" w14:textId="77777777" w:rsidR="00D57D2B" w:rsidRDefault="00D57D2B" w:rsidP="00441B6F">
      <w:pPr>
        <w:pStyle w:val="Body"/>
        <w:spacing w:after="0"/>
        <w:rPr>
          <w:rFonts w:ascii="Arial" w:hAnsi="Arial" w:cs="Arial"/>
        </w:rPr>
      </w:pPr>
    </w:p>
    <w:p w14:paraId="30B88BFE" w14:textId="77777777" w:rsidR="00D57D2B" w:rsidRDefault="00D57D2B" w:rsidP="00441B6F">
      <w:pPr>
        <w:pStyle w:val="Body"/>
        <w:spacing w:after="0"/>
        <w:rPr>
          <w:rFonts w:ascii="Arial" w:hAnsi="Arial" w:cs="Arial"/>
        </w:rPr>
      </w:pPr>
    </w:p>
    <w:p w14:paraId="1ABDF1AA" w14:textId="77777777" w:rsidR="00D57D2B" w:rsidRDefault="00D57D2B" w:rsidP="00441B6F">
      <w:pPr>
        <w:pStyle w:val="Body"/>
        <w:spacing w:after="0"/>
        <w:rPr>
          <w:rFonts w:ascii="Arial" w:hAnsi="Arial" w:cs="Arial"/>
        </w:rPr>
      </w:pPr>
    </w:p>
    <w:p w14:paraId="06871A12" w14:textId="77777777" w:rsidR="00D57D2B" w:rsidRDefault="00D57D2B" w:rsidP="00441B6F">
      <w:pPr>
        <w:pStyle w:val="Body"/>
        <w:spacing w:after="0"/>
        <w:rPr>
          <w:rFonts w:ascii="Arial" w:hAnsi="Arial" w:cs="Arial"/>
        </w:rPr>
        <w:sectPr w:rsidR="00D57D2B" w:rsidSect="00D57D2B">
          <w:type w:val="continuous"/>
          <w:pgSz w:w="15840" w:h="12240" w:orient="landscape"/>
          <w:pgMar w:top="2019" w:right="2019" w:bottom="2019" w:left="2019" w:header="720" w:footer="1123" w:gutter="0"/>
          <w:lnNumType w:countBy="1" w:restart="continuous"/>
          <w:cols w:space="720"/>
          <w:docGrid w:linePitch="272"/>
        </w:sectPr>
      </w:pPr>
    </w:p>
    <w:p w14:paraId="302D399B" w14:textId="193888A7" w:rsidR="00D57D2B" w:rsidRPr="00D57D2B" w:rsidRDefault="00D57D2B" w:rsidP="00D57D2B">
      <w:pPr>
        <w:pStyle w:val="Body"/>
        <w:spacing w:after="0"/>
        <w:rPr>
          <w:rFonts w:ascii="Arial" w:hAnsi="Arial" w:cs="Arial"/>
          <w:b/>
          <w:sz w:val="22"/>
          <w:szCs w:val="22"/>
        </w:rPr>
      </w:pPr>
      <w:r w:rsidRPr="00D57D2B">
        <w:rPr>
          <w:rFonts w:ascii="Arial" w:hAnsi="Arial" w:cs="Arial"/>
          <w:b/>
          <w:sz w:val="22"/>
          <w:szCs w:val="22"/>
        </w:rPr>
        <w:lastRenderedPageBreak/>
        <w:t>3.9 Reasons for using antimalarial other than ACT</w:t>
      </w:r>
    </w:p>
    <w:p w14:paraId="42FA87A8" w14:textId="77777777" w:rsidR="00D57D2B" w:rsidRPr="00D57D2B" w:rsidRDefault="00D57D2B" w:rsidP="00D57D2B">
      <w:pPr>
        <w:pStyle w:val="Body"/>
        <w:spacing w:after="0"/>
        <w:rPr>
          <w:rFonts w:ascii="Arial" w:hAnsi="Arial" w:cs="Arial"/>
        </w:rPr>
      </w:pPr>
    </w:p>
    <w:p w14:paraId="5207C6C0" w14:textId="77777777" w:rsidR="00D57D2B" w:rsidRDefault="00D57D2B" w:rsidP="00D57D2B">
      <w:pPr>
        <w:pStyle w:val="Body"/>
        <w:spacing w:after="0"/>
        <w:rPr>
          <w:rFonts w:ascii="Arial" w:hAnsi="Arial" w:cs="Arial"/>
        </w:rPr>
      </w:pPr>
      <w:bookmarkStart w:id="13" w:name="_Hlk210419381"/>
      <w:r w:rsidRPr="00D57D2B">
        <w:rPr>
          <w:rFonts w:ascii="Arial" w:hAnsi="Arial" w:cs="Arial"/>
        </w:rPr>
        <w:t xml:space="preserve">Figure 5 highlights the multifaceted reasons why healthcare providers in Cameroon opt for antimalarial treatments other than ACTs when managing simple malaria cases. The most cited barrier is stockouts of ACTs, reported by 31.71% of respondents, underscoring persistent supply chain challenges. Patient refusal to take ACTs (14.63%) and the use of non-ACTs in severe cases (12.20%) reflect both </w:t>
      </w:r>
      <w:proofErr w:type="spellStart"/>
      <w:r w:rsidRPr="00D57D2B">
        <w:rPr>
          <w:rFonts w:ascii="Arial" w:hAnsi="Arial" w:cs="Arial"/>
        </w:rPr>
        <w:t>behavioural</w:t>
      </w:r>
      <w:proofErr w:type="spellEnd"/>
      <w:r w:rsidRPr="00D57D2B">
        <w:rPr>
          <w:rFonts w:ascii="Arial" w:hAnsi="Arial" w:cs="Arial"/>
        </w:rPr>
        <w:t xml:space="preserve"> and clinical decision-making factors. Medical contraindications such as allergy and first-trimester pregnancy each account for 9.76%, suggesting gaps in safe alternatives or provider confidence. </w:t>
      </w:r>
      <w:bookmarkEnd w:id="13"/>
    </w:p>
    <w:p w14:paraId="37B848B8" w14:textId="77777777" w:rsidR="00D57D2B" w:rsidRPr="00D57D2B" w:rsidRDefault="00D57D2B" w:rsidP="00D57D2B">
      <w:pPr>
        <w:pStyle w:val="Body"/>
        <w:spacing w:after="0"/>
        <w:rPr>
          <w:rFonts w:ascii="Arial" w:hAnsi="Arial" w:cs="Arial"/>
        </w:rPr>
      </w:pPr>
    </w:p>
    <w:p w14:paraId="0F608C9E" w14:textId="77777777" w:rsidR="00D57D2B" w:rsidRPr="00D57D2B" w:rsidRDefault="00D57D2B" w:rsidP="00D57D2B">
      <w:pPr>
        <w:pStyle w:val="Body"/>
        <w:spacing w:after="0"/>
        <w:rPr>
          <w:rFonts w:ascii="Arial" w:hAnsi="Arial" w:cs="Arial"/>
        </w:rPr>
      </w:pPr>
      <w:r w:rsidRPr="00D57D2B">
        <w:rPr>
          <w:rFonts w:ascii="Arial" w:hAnsi="Arial" w:cs="Arial"/>
          <w:noProof/>
        </w:rPr>
        <w:drawing>
          <wp:inline distT="0" distB="0" distL="0" distR="0" wp14:anchorId="2E41D2DB" wp14:editId="2E42E4EA">
            <wp:extent cx="5232400" cy="2968287"/>
            <wp:effectExtent l="0" t="0" r="6350" b="3810"/>
            <wp:docPr id="9176873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1966" cy="2973714"/>
                    </a:xfrm>
                    <a:prstGeom prst="rect">
                      <a:avLst/>
                    </a:prstGeom>
                    <a:noFill/>
                  </pic:spPr>
                </pic:pic>
              </a:graphicData>
            </a:graphic>
          </wp:inline>
        </w:drawing>
      </w:r>
    </w:p>
    <w:p w14:paraId="05FF4D36" w14:textId="77777777" w:rsidR="00D57D2B" w:rsidRPr="00D57D2B" w:rsidRDefault="00D57D2B" w:rsidP="00D57D2B">
      <w:pPr>
        <w:pStyle w:val="Body"/>
        <w:spacing w:after="0"/>
        <w:rPr>
          <w:rFonts w:ascii="Arial" w:hAnsi="Arial" w:cs="Arial"/>
          <w:b/>
          <w:bCs/>
        </w:rPr>
      </w:pPr>
      <w:r w:rsidRPr="00D57D2B">
        <w:rPr>
          <w:rFonts w:ascii="Arial" w:hAnsi="Arial" w:cs="Arial"/>
          <w:b/>
          <w:bCs/>
        </w:rPr>
        <w:t xml:space="preserve">Figure </w:t>
      </w:r>
      <w:r w:rsidRPr="00D57D2B">
        <w:rPr>
          <w:rFonts w:ascii="Arial" w:hAnsi="Arial" w:cs="Arial"/>
          <w:b/>
          <w:bCs/>
        </w:rPr>
        <w:fldChar w:fldCharType="begin"/>
      </w:r>
      <w:r w:rsidRPr="00D57D2B">
        <w:rPr>
          <w:rFonts w:ascii="Arial" w:hAnsi="Arial" w:cs="Arial"/>
          <w:b/>
          <w:bCs/>
        </w:rPr>
        <w:instrText xml:space="preserve"> SEQ Figure \* ARABIC </w:instrText>
      </w:r>
      <w:r w:rsidRPr="00D57D2B">
        <w:rPr>
          <w:rFonts w:ascii="Arial" w:hAnsi="Arial" w:cs="Arial"/>
          <w:b/>
          <w:bCs/>
        </w:rPr>
        <w:fldChar w:fldCharType="separate"/>
      </w:r>
      <w:r w:rsidRPr="00D57D2B">
        <w:rPr>
          <w:rFonts w:ascii="Arial" w:hAnsi="Arial" w:cs="Arial"/>
          <w:b/>
          <w:bCs/>
        </w:rPr>
        <w:t>6</w:t>
      </w:r>
      <w:r w:rsidRPr="00D57D2B">
        <w:rPr>
          <w:rFonts w:ascii="Arial" w:hAnsi="Arial" w:cs="Arial"/>
        </w:rPr>
        <w:fldChar w:fldCharType="end"/>
      </w:r>
      <w:r w:rsidRPr="00D57D2B">
        <w:rPr>
          <w:rFonts w:ascii="Arial" w:hAnsi="Arial" w:cs="Arial"/>
          <w:b/>
          <w:bCs/>
        </w:rPr>
        <w:t>: Reasons for using other antimalarial other than ACTs for simple malaria case management</w:t>
      </w:r>
    </w:p>
    <w:p w14:paraId="44DB6A53" w14:textId="77777777" w:rsidR="00E053D0" w:rsidRDefault="00E053D0" w:rsidP="00441B6F">
      <w:pPr>
        <w:pStyle w:val="Body"/>
        <w:spacing w:after="0"/>
        <w:rPr>
          <w:rFonts w:ascii="Arial" w:hAnsi="Arial" w:cs="Arial"/>
        </w:rPr>
      </w:pPr>
    </w:p>
    <w:p w14:paraId="308ABF2F" w14:textId="6A42A816" w:rsidR="00790ADA" w:rsidRPr="009D5BF3" w:rsidRDefault="009D5BF3" w:rsidP="00441B6F">
      <w:pPr>
        <w:pStyle w:val="Body"/>
        <w:spacing w:after="0"/>
        <w:rPr>
          <w:rFonts w:ascii="Arial" w:hAnsi="Arial" w:cs="Arial"/>
          <w:b/>
          <w:bCs/>
          <w:sz w:val="22"/>
          <w:szCs w:val="22"/>
        </w:rPr>
      </w:pPr>
      <w:r>
        <w:rPr>
          <w:rFonts w:ascii="Arial" w:hAnsi="Arial" w:cs="Arial"/>
          <w:b/>
          <w:bCs/>
          <w:sz w:val="22"/>
          <w:szCs w:val="22"/>
        </w:rPr>
        <w:t xml:space="preserve">4. </w:t>
      </w:r>
      <w:r w:rsidRPr="009D5BF3">
        <w:rPr>
          <w:rFonts w:ascii="Arial" w:hAnsi="Arial" w:cs="Arial"/>
          <w:b/>
          <w:bCs/>
          <w:sz w:val="22"/>
          <w:szCs w:val="22"/>
        </w:rPr>
        <w:t>DISCUSSION</w:t>
      </w:r>
    </w:p>
    <w:p w14:paraId="51869022" w14:textId="77777777" w:rsidR="00952E64" w:rsidRDefault="00952E64" w:rsidP="00441B6F">
      <w:pPr>
        <w:pStyle w:val="Body"/>
        <w:spacing w:after="0"/>
        <w:rPr>
          <w:rFonts w:ascii="Arial" w:hAnsi="Arial" w:cs="Arial"/>
        </w:rPr>
      </w:pPr>
    </w:p>
    <w:p w14:paraId="5053BE2E" w14:textId="0A6C283F" w:rsidR="00346D28" w:rsidRDefault="00346D28" w:rsidP="00346D28">
      <w:pPr>
        <w:pStyle w:val="Body"/>
        <w:spacing w:after="0"/>
        <w:rPr>
          <w:rFonts w:ascii="Arial" w:hAnsi="Arial" w:cs="Arial"/>
        </w:rPr>
      </w:pPr>
      <w:r w:rsidRPr="00346D28">
        <w:rPr>
          <w:rFonts w:ascii="Arial" w:hAnsi="Arial" w:cs="Arial"/>
        </w:rPr>
        <w:t>The predominance of public sector staff and the high representation of nurses and midwives among malaria prescribers in the Buea Health District reflects broader national workforce trends and task-shifting policies aimed at addressing human resource shortages in Cameroon’s health system. According to Cameroon Malaria Indicator Survey, frontline malaria case management is often delegated to nurses and midwives, especially in peripheral and public health facilities, due to their accessibility and training in integrated management of childhood illnesses [1</w:t>
      </w:r>
      <w:r w:rsidR="005E45FF">
        <w:rPr>
          <w:rFonts w:ascii="Arial" w:hAnsi="Arial" w:cs="Arial"/>
        </w:rPr>
        <w:t>7</w:t>
      </w:r>
      <w:r w:rsidRPr="00346D28">
        <w:rPr>
          <w:rFonts w:ascii="Arial" w:hAnsi="Arial" w:cs="Arial"/>
        </w:rPr>
        <w:t>]. The slightly higher proportion of nurses in public facilities aligns with government staffing norms and the strategic deployment of mid-level providers to rural and semi-urban areas where malaria burden is high [1</w:t>
      </w:r>
      <w:r w:rsidR="005E45FF">
        <w:rPr>
          <w:rFonts w:ascii="Arial" w:hAnsi="Arial" w:cs="Arial"/>
        </w:rPr>
        <w:t>8</w:t>
      </w:r>
      <w:r w:rsidRPr="00346D28">
        <w:rPr>
          <w:rFonts w:ascii="Arial" w:hAnsi="Arial" w:cs="Arial"/>
        </w:rPr>
        <w:t>]. Conversely, the relatively greater presence of general practitioners and specialists in private facilities may be driven by urban concentration, better remuneration, and autonomy in clinical decision-making, as observed in WHO’s health workforce assessments across Sub-Saharan Africa [5]. These patterns underscore the importance of targeted training and supervision for nurses and midwives, who remain pivotal in implementing national malaria treatment guidelines at the community level.</w:t>
      </w:r>
    </w:p>
    <w:p w14:paraId="7D8E04DA" w14:textId="77777777" w:rsidR="00346D28" w:rsidRPr="00346D28" w:rsidRDefault="00346D28" w:rsidP="00346D28">
      <w:pPr>
        <w:pStyle w:val="Body"/>
        <w:spacing w:after="0"/>
        <w:rPr>
          <w:rFonts w:ascii="Arial" w:hAnsi="Arial" w:cs="Arial"/>
        </w:rPr>
      </w:pPr>
    </w:p>
    <w:p w14:paraId="37B3D543" w14:textId="5ECF6814" w:rsidR="00346D28" w:rsidRDefault="00346D28" w:rsidP="00346D28">
      <w:pPr>
        <w:pStyle w:val="Body"/>
        <w:spacing w:after="0"/>
        <w:rPr>
          <w:rFonts w:ascii="Arial" w:hAnsi="Arial" w:cs="Arial"/>
        </w:rPr>
      </w:pPr>
      <w:r w:rsidRPr="00346D28">
        <w:rPr>
          <w:rFonts w:ascii="Arial" w:hAnsi="Arial" w:cs="Arial"/>
        </w:rPr>
        <w:lastRenderedPageBreak/>
        <w:t>The gender composition of malaria prescribers in the Buea Health District reflects broader trends of workforce feminization in Cameroon and Sub-Saharan Africa, particularly among nurses and midwives, as documented by WHO gender assessments. This pattern is shaped by historical training pathways and sociocultural expectations that position women in frontline care roles [1</w:t>
      </w:r>
      <w:r w:rsidR="005E45FF">
        <w:rPr>
          <w:rFonts w:ascii="Arial" w:hAnsi="Arial" w:cs="Arial"/>
        </w:rPr>
        <w:t>8</w:t>
      </w:r>
      <w:r w:rsidRPr="00346D28">
        <w:rPr>
          <w:rFonts w:ascii="Arial" w:hAnsi="Arial" w:cs="Arial"/>
        </w:rPr>
        <w:t>]. Marital status dynamics may further influence workforce retention, with married health workers often demonstrating greater stability in rural postings. The predominance of mid-level providers in professional training profiles supports Cameroon’s national task-shifting strategy to enhance malaria case management in decentralized settings. The coexistence of both experienced and early-career prescribers suggests a transitional workforce that requires ongoing mentorship and supervision to maintain adherence to national malaria treatment guidelines. These findings highlight the importance of gender-responsive policies and capacity-building efforts to sustain effective malaria care.</w:t>
      </w:r>
    </w:p>
    <w:p w14:paraId="4023C357" w14:textId="77777777" w:rsidR="00346D28" w:rsidRPr="00346D28" w:rsidRDefault="00346D28" w:rsidP="00346D28">
      <w:pPr>
        <w:pStyle w:val="Body"/>
        <w:spacing w:after="0"/>
        <w:rPr>
          <w:rFonts w:ascii="Arial" w:hAnsi="Arial" w:cs="Arial"/>
        </w:rPr>
      </w:pPr>
    </w:p>
    <w:p w14:paraId="09092A0F" w14:textId="7348B3E8" w:rsidR="00346D28" w:rsidRDefault="00346D28" w:rsidP="00346D28">
      <w:pPr>
        <w:pStyle w:val="Body"/>
        <w:spacing w:after="0"/>
        <w:rPr>
          <w:rFonts w:ascii="Arial" w:hAnsi="Arial" w:cs="Arial"/>
        </w:rPr>
      </w:pPr>
      <w:r w:rsidRPr="00346D28">
        <w:rPr>
          <w:rFonts w:ascii="Arial" w:hAnsi="Arial" w:cs="Arial"/>
        </w:rPr>
        <w:t>The training landscape for malaria case management in the Buea Health District reveals a concerning gap in targeted education for simple malaria, despite universal awareness of general treatment algorithms. This disconnects between broad algorithm familiarity and specific protocol knowledge reflects a national challenge in aligning prescriber competencies with the nuanced demands of malaria stratification. According to WHO’s malaria case management guidelines, effective control requires differentiated training for uncomplicated and severe malaria, especially at the primary care level where most cases are first encountered [1</w:t>
      </w:r>
      <w:r w:rsidR="005E45FF">
        <w:rPr>
          <w:rFonts w:ascii="Arial" w:hAnsi="Arial" w:cs="Arial"/>
        </w:rPr>
        <w:t>9</w:t>
      </w:r>
      <w:r w:rsidRPr="00346D28">
        <w:rPr>
          <w:rFonts w:ascii="Arial" w:hAnsi="Arial" w:cs="Arial"/>
        </w:rPr>
        <w:t>]. The private prescribers report higher uptake mirrors findings from PMI Cameroon’s operational assessments, which highlight uneven access to continuing education and reliance on external platforms like Lab plus Media for capacity building [1</w:t>
      </w:r>
      <w:r w:rsidR="005E45FF">
        <w:rPr>
          <w:rFonts w:ascii="Arial" w:hAnsi="Arial" w:cs="Arial"/>
        </w:rPr>
        <w:t>8</w:t>
      </w:r>
      <w:r w:rsidRPr="00346D28">
        <w:rPr>
          <w:rFonts w:ascii="Arial" w:hAnsi="Arial" w:cs="Arial"/>
        </w:rPr>
        <w:t>]. The limited role of the Ministry of Public Health in training delivery underscores the need for stronger institutional engagement and harmonization of training sources. These findings suggest that while structured programs are present, their content may lack specificity, particularly for simple malaria, which remains the most prevalent form in Cameroon’s endemic zones. Addressing this gap is essential for improving diagnostic accuracy, treatment adherence, and reducing overtreatment or misclassification in frontline settings.</w:t>
      </w:r>
    </w:p>
    <w:p w14:paraId="66C82815" w14:textId="77777777" w:rsidR="00346D28" w:rsidRPr="00346D28" w:rsidRDefault="00346D28" w:rsidP="00346D28">
      <w:pPr>
        <w:pStyle w:val="Body"/>
        <w:spacing w:after="0"/>
        <w:rPr>
          <w:rFonts w:ascii="Arial" w:hAnsi="Arial" w:cs="Arial"/>
        </w:rPr>
      </w:pPr>
    </w:p>
    <w:p w14:paraId="3F9F3633" w14:textId="2CE8A7BF" w:rsidR="00346D28" w:rsidRDefault="00346D28" w:rsidP="00346D28">
      <w:pPr>
        <w:pStyle w:val="Body"/>
        <w:spacing w:after="0"/>
        <w:rPr>
          <w:rFonts w:ascii="Arial" w:hAnsi="Arial" w:cs="Arial"/>
        </w:rPr>
      </w:pPr>
      <w:r w:rsidRPr="00346D28">
        <w:rPr>
          <w:rFonts w:ascii="Arial" w:hAnsi="Arial" w:cs="Arial"/>
        </w:rPr>
        <w:t>The comparative symptom recognition data from the Buea Health District underscores notable disparities between public and private hospital prescribers in their clinical awareness of malaria presentations. Fever remains the most universally recognized symptom, aligning with national and global clinical guidelines that identify it as a cardinal sign of malaria [</w:t>
      </w:r>
      <w:r w:rsidR="00D75C84">
        <w:rPr>
          <w:rFonts w:ascii="Arial" w:hAnsi="Arial" w:cs="Arial"/>
        </w:rPr>
        <w:t>20</w:t>
      </w:r>
      <w:r w:rsidRPr="00346D28">
        <w:rPr>
          <w:rFonts w:ascii="Arial" w:hAnsi="Arial" w:cs="Arial"/>
        </w:rPr>
        <w:t>]. However, the higher recognition rates of headache and joint pain among public prescribers suggest stronger adherence to integrated management protocols and possibly more frequent exposure to diverse clinical cases [1</w:t>
      </w:r>
      <w:r w:rsidR="005E45FF">
        <w:rPr>
          <w:rFonts w:ascii="Arial" w:hAnsi="Arial" w:cs="Arial"/>
        </w:rPr>
        <w:t>8</w:t>
      </w:r>
      <w:r w:rsidRPr="00346D28">
        <w:rPr>
          <w:rFonts w:ascii="Arial" w:hAnsi="Arial" w:cs="Arial"/>
        </w:rPr>
        <w:t xml:space="preserve">]. Gastrointestinal symptoms nausea, vomiting, and </w:t>
      </w:r>
      <w:proofErr w:type="spellStart"/>
      <w:r w:rsidRPr="00346D28">
        <w:rPr>
          <w:rFonts w:ascii="Arial" w:hAnsi="Arial" w:cs="Arial"/>
        </w:rPr>
        <w:t>diarrhoea</w:t>
      </w:r>
      <w:proofErr w:type="spellEnd"/>
      <w:r w:rsidRPr="00346D28">
        <w:rPr>
          <w:rFonts w:ascii="Arial" w:hAnsi="Arial" w:cs="Arial"/>
        </w:rPr>
        <w:t xml:space="preserve"> though moderately acknowledged, show greater recognition in public settings, reflecting findings from the 2022 Cameroon Malaria Indicator Survey that highlight variability in symptom interpretation across facility types [1</w:t>
      </w:r>
      <w:r w:rsidR="005E45FF">
        <w:rPr>
          <w:rFonts w:ascii="Arial" w:hAnsi="Arial" w:cs="Arial"/>
        </w:rPr>
        <w:t>7</w:t>
      </w:r>
      <w:r w:rsidRPr="00346D28">
        <w:rPr>
          <w:rFonts w:ascii="Arial" w:hAnsi="Arial" w:cs="Arial"/>
        </w:rPr>
        <w:t>]. These findings reinforce the need for harmonized clinical training and continuous professional development across both sectors to ensure equitable and comprehensive malaria case management.</w:t>
      </w:r>
    </w:p>
    <w:p w14:paraId="114789D4" w14:textId="77777777" w:rsidR="00346D28" w:rsidRPr="00346D28" w:rsidRDefault="00346D28" w:rsidP="00346D28">
      <w:pPr>
        <w:pStyle w:val="Body"/>
        <w:spacing w:after="0"/>
        <w:rPr>
          <w:rFonts w:ascii="Arial" w:hAnsi="Arial" w:cs="Arial"/>
        </w:rPr>
      </w:pPr>
    </w:p>
    <w:p w14:paraId="59EF1792" w14:textId="4295AB0E" w:rsidR="00346D28" w:rsidRDefault="00346D28" w:rsidP="00346D28">
      <w:pPr>
        <w:pStyle w:val="Body"/>
        <w:spacing w:after="0"/>
        <w:rPr>
          <w:rFonts w:ascii="Arial" w:hAnsi="Arial" w:cs="Arial"/>
        </w:rPr>
      </w:pPr>
      <w:r w:rsidRPr="00346D28">
        <w:rPr>
          <w:rFonts w:ascii="Arial" w:hAnsi="Arial" w:cs="Arial"/>
        </w:rPr>
        <w:t>The findings from Table 3 highlight a critical dimension of malaria case management in the Buea Health District: while universal awareness of Artemisinin-based Combination Therapy (ACT) among prescribers is encouraging, the depth and breadth of ACT knowledge remain uneven across professional cadres. This disparity mirrors national trends observed in the Littoral Region, where physicians demonstrated higher ACT prescription accuracy compared to nurses and laboratory technicians [2</w:t>
      </w:r>
      <w:r w:rsidR="005E45FF">
        <w:rPr>
          <w:rFonts w:ascii="Arial" w:hAnsi="Arial" w:cs="Arial"/>
        </w:rPr>
        <w:t>1</w:t>
      </w:r>
      <w:r w:rsidRPr="00346D28">
        <w:rPr>
          <w:rFonts w:ascii="Arial" w:hAnsi="Arial" w:cs="Arial"/>
        </w:rPr>
        <w:t>]. Artemether-Lumefantrine (AL), the most widely recognized ACT, aligns with Cameroon’s national treatment guidelines and WHO recommendations as the first-line therapy for uncomplicated malaria [2</w:t>
      </w:r>
      <w:r w:rsidR="005E45FF">
        <w:rPr>
          <w:rFonts w:ascii="Arial" w:hAnsi="Arial" w:cs="Arial"/>
        </w:rPr>
        <w:t>1</w:t>
      </w:r>
      <w:r w:rsidRPr="00346D28">
        <w:rPr>
          <w:rFonts w:ascii="Arial" w:hAnsi="Arial" w:cs="Arial"/>
        </w:rPr>
        <w:t xml:space="preserve">]. The limited </w:t>
      </w:r>
      <w:r w:rsidRPr="00346D28">
        <w:rPr>
          <w:rFonts w:ascii="Arial" w:hAnsi="Arial" w:cs="Arial"/>
        </w:rPr>
        <w:lastRenderedPageBreak/>
        <w:t xml:space="preserve">familiarity with alternative ACTs such as </w:t>
      </w:r>
      <w:proofErr w:type="spellStart"/>
      <w:r w:rsidRPr="00346D28">
        <w:rPr>
          <w:rFonts w:ascii="Arial" w:hAnsi="Arial" w:cs="Arial"/>
        </w:rPr>
        <w:t>Dihydroartemisinin</w:t>
      </w:r>
      <w:proofErr w:type="spellEnd"/>
      <w:r w:rsidRPr="00346D28">
        <w:rPr>
          <w:rFonts w:ascii="Arial" w:hAnsi="Arial" w:cs="Arial"/>
        </w:rPr>
        <w:t>-Piperaquine (DHA/PQP) among nurses and midwives suggests a need for targeted continuing education, especially as resistance patterns evolve and therapeutic options diversify. These findings reinforce the importance of differentiated training strategies and regular updates to prescriber knowledge, as emphasized in Cameroon’s pharmaceutical regulatory framework and post-policy assessments.</w:t>
      </w:r>
    </w:p>
    <w:p w14:paraId="13720EE9" w14:textId="77777777" w:rsidR="00346D28" w:rsidRPr="00346D28" w:rsidRDefault="00346D28" w:rsidP="00346D28">
      <w:pPr>
        <w:pStyle w:val="Body"/>
        <w:spacing w:after="0"/>
        <w:rPr>
          <w:rFonts w:ascii="Arial" w:hAnsi="Arial" w:cs="Arial"/>
        </w:rPr>
      </w:pPr>
    </w:p>
    <w:p w14:paraId="44681C19" w14:textId="5B074C23" w:rsidR="00346D28" w:rsidRDefault="00346D28" w:rsidP="00346D28">
      <w:pPr>
        <w:pStyle w:val="Body"/>
        <w:spacing w:after="0"/>
        <w:rPr>
          <w:rFonts w:ascii="Arial" w:hAnsi="Arial" w:cs="Arial"/>
        </w:rPr>
      </w:pPr>
      <w:r w:rsidRPr="00346D28">
        <w:rPr>
          <w:rFonts w:ascii="Arial" w:hAnsi="Arial" w:cs="Arial"/>
        </w:rPr>
        <w:t>The results highlight fever as the dominant diagnostic cue for malaria in the Buea Health District, closely followed by recognition of Cameroon as an endemic malaria zone, reflecting common diagnostic approaches in malaria-endemic regions [5, 1</w:t>
      </w:r>
      <w:r w:rsidR="005E45FF">
        <w:rPr>
          <w:rFonts w:ascii="Arial" w:hAnsi="Arial" w:cs="Arial"/>
        </w:rPr>
        <w:t>8</w:t>
      </w:r>
      <w:r w:rsidRPr="00346D28">
        <w:rPr>
          <w:rFonts w:ascii="Arial" w:hAnsi="Arial" w:cs="Arial"/>
        </w:rPr>
        <w:t>]. The reliance on multiple malaria signs by prescribers supports the disease’s known symptom clustering, which improves clinical suspicion accuracy in resource-limited settings [2</w:t>
      </w:r>
      <w:r w:rsidR="005E45FF">
        <w:rPr>
          <w:rFonts w:ascii="Arial" w:hAnsi="Arial" w:cs="Arial"/>
        </w:rPr>
        <w:t>2</w:t>
      </w:r>
      <w:r w:rsidRPr="00346D28">
        <w:rPr>
          <w:rFonts w:ascii="Arial" w:hAnsi="Arial" w:cs="Arial"/>
        </w:rPr>
        <w:t>]. Logistical and socioeconomic factors such as financial constraints for testing, absence of microscopy or trained lab personnel, and ease of prescribing certain treatments also influence diagnostic decisions. This aligns with documented challenges across Sub-Saharan Africa where limited diagnostic infrastructure and economic barriers often compel clinicians to rely on presumptive diagnosis, potentially resulting in misdiagnosis or overtreatment [5, 2</w:t>
      </w:r>
      <w:r w:rsidR="005E45FF">
        <w:rPr>
          <w:rFonts w:ascii="Arial" w:hAnsi="Arial" w:cs="Arial"/>
        </w:rPr>
        <w:t>3</w:t>
      </w:r>
      <w:r w:rsidRPr="00346D28">
        <w:rPr>
          <w:rFonts w:ascii="Arial" w:hAnsi="Arial" w:cs="Arial"/>
        </w:rPr>
        <w:t>]. These findings underscore the critical need to enhance diagnostic capacity and address socioeconomic barriers in malaria management in endemic regions.</w:t>
      </w:r>
    </w:p>
    <w:p w14:paraId="17CF9389" w14:textId="77777777" w:rsidR="00346D28" w:rsidRPr="00346D28" w:rsidRDefault="00346D28" w:rsidP="00346D28">
      <w:pPr>
        <w:pStyle w:val="Body"/>
        <w:spacing w:after="0"/>
        <w:rPr>
          <w:rFonts w:ascii="Arial" w:hAnsi="Arial" w:cs="Arial"/>
        </w:rPr>
      </w:pPr>
    </w:p>
    <w:p w14:paraId="690ABFAD" w14:textId="7A46F0E6" w:rsidR="00346D28" w:rsidRDefault="00346D28" w:rsidP="00346D28">
      <w:pPr>
        <w:pStyle w:val="Body"/>
        <w:spacing w:after="0"/>
        <w:rPr>
          <w:rFonts w:ascii="Arial" w:hAnsi="Arial" w:cs="Arial"/>
        </w:rPr>
      </w:pPr>
      <w:r w:rsidRPr="00346D28">
        <w:rPr>
          <w:rFonts w:ascii="Arial" w:hAnsi="Arial" w:cs="Arial"/>
        </w:rPr>
        <w:t xml:space="preserve">The results in Figure 3 highlight a strong preference among healthcare providers in the Buea Health District for using Rapid Diagnostic Tests (RDTs) prior to prescribing antimalarials, with general practitioners and specialists and nurses and midwives </w:t>
      </w:r>
      <w:proofErr w:type="spellStart"/>
      <w:r w:rsidRPr="00346D28">
        <w:rPr>
          <w:rFonts w:ascii="Arial" w:hAnsi="Arial" w:cs="Arial"/>
        </w:rPr>
        <w:t>favouring</w:t>
      </w:r>
      <w:proofErr w:type="spellEnd"/>
      <w:r w:rsidRPr="00346D28">
        <w:rPr>
          <w:rFonts w:ascii="Arial" w:hAnsi="Arial" w:cs="Arial"/>
        </w:rPr>
        <w:t xml:space="preserve"> this method, reflecting the increasing adoption of RDTs in malaria-endemic and resource-limited settings due to their ease of use and rapid results [5, 2</w:t>
      </w:r>
      <w:r w:rsidR="005E45FF">
        <w:rPr>
          <w:rFonts w:ascii="Arial" w:hAnsi="Arial" w:cs="Arial"/>
        </w:rPr>
        <w:t>3</w:t>
      </w:r>
      <w:r w:rsidRPr="00346D28">
        <w:rPr>
          <w:rFonts w:ascii="Arial" w:hAnsi="Arial" w:cs="Arial"/>
        </w:rPr>
        <w:t>]. Similarly, microscopy remains widely used, with by physicians and nurses/midwives reportedly waiting for results, which aligns with microscopy's role as the gold standard diagnostic tool despite its limitations, such as dependency on skilled personnel and infrastructure [2</w:t>
      </w:r>
      <w:r w:rsidR="005E45FF">
        <w:rPr>
          <w:rFonts w:ascii="Arial" w:hAnsi="Arial" w:cs="Arial"/>
        </w:rPr>
        <w:t>4</w:t>
      </w:r>
      <w:r w:rsidRPr="00346D28">
        <w:rPr>
          <w:rFonts w:ascii="Arial" w:hAnsi="Arial" w:cs="Arial"/>
        </w:rPr>
        <w:t>]. Identifies key barriers to diagnosis, notably the absence of trained personnel and shortages of reagents, echoing challenges documented in many malaria-endemic regions where infrastructural gaps and workforce shortages hinder optimal diagnostic services [2</w:t>
      </w:r>
      <w:r w:rsidR="005E45FF">
        <w:rPr>
          <w:rFonts w:ascii="Arial" w:hAnsi="Arial" w:cs="Arial"/>
        </w:rPr>
        <w:t>3</w:t>
      </w:r>
      <w:r w:rsidRPr="00346D28">
        <w:rPr>
          <w:rFonts w:ascii="Arial" w:hAnsi="Arial" w:cs="Arial"/>
        </w:rPr>
        <w:t>, 2</w:t>
      </w:r>
      <w:r w:rsidR="005E45FF">
        <w:rPr>
          <w:rFonts w:ascii="Arial" w:hAnsi="Arial" w:cs="Arial"/>
        </w:rPr>
        <w:t>5</w:t>
      </w:r>
      <w:r w:rsidRPr="00346D28">
        <w:rPr>
          <w:rFonts w:ascii="Arial" w:hAnsi="Arial" w:cs="Arial"/>
        </w:rPr>
        <w:t>]. Additional barriers including work overload and patients' inability to pay highlight socioeconomic factors influencing diagnostic delays. The minimal doubt about RDT accuracy underscores growing confidence in RDT reliability, a positive trend emphasized in recent literature advocating expanded access and training for enhanced malaria case management in endemic regions [5].</w:t>
      </w:r>
    </w:p>
    <w:p w14:paraId="27A3358D" w14:textId="77777777" w:rsidR="00346D28" w:rsidRPr="00346D28" w:rsidRDefault="00346D28" w:rsidP="00346D28">
      <w:pPr>
        <w:pStyle w:val="Body"/>
        <w:spacing w:after="0"/>
        <w:rPr>
          <w:rFonts w:ascii="Arial" w:hAnsi="Arial" w:cs="Arial"/>
        </w:rPr>
      </w:pPr>
    </w:p>
    <w:p w14:paraId="5C682C75" w14:textId="1EE33B0D" w:rsidR="00346D28" w:rsidRDefault="00346D28" w:rsidP="00346D28">
      <w:pPr>
        <w:pStyle w:val="Body"/>
        <w:spacing w:after="0"/>
        <w:rPr>
          <w:rFonts w:ascii="Arial" w:hAnsi="Arial" w:cs="Arial"/>
        </w:rPr>
      </w:pPr>
      <w:r w:rsidRPr="00346D28">
        <w:rPr>
          <w:rFonts w:ascii="Arial" w:hAnsi="Arial" w:cs="Arial"/>
        </w:rPr>
        <w:t>The results from Tables 4 and 5 reveal a strikingly consistent preference for Artemisinin-based Combination Therapies (ACTs) as first- and second-intention treatments for simple malaria across all age groups and healthcare provider categories in the Buea Health District. Artemether/Lumefantrine (AL) dominates prescribing patterns for first-intention prescriptions and second-intention use, with near-identical rates between general practitioners/specialists and nurses/midwives across pediatric, adolescent, and adult populations. This uniformity reflects strong adherence to national and WHO guidelines recommending AL as a first-line therapy due to its proven efficacy and safety profile [2</w:t>
      </w:r>
      <w:r w:rsidR="005E45FF">
        <w:rPr>
          <w:rFonts w:ascii="Arial" w:hAnsi="Arial" w:cs="Arial"/>
        </w:rPr>
        <w:t>6</w:t>
      </w:r>
      <w:r w:rsidRPr="00346D28">
        <w:rPr>
          <w:rFonts w:ascii="Arial" w:hAnsi="Arial" w:cs="Arial"/>
        </w:rPr>
        <w:t>]. The limited use of ASAQ and DHA/PQP may be attributed to supply chain constraints, provider familiarity, or regional formulary preferences, despite evidence supporting their comparable therapeutic efficacy [2</w:t>
      </w:r>
      <w:r w:rsidR="005E45FF">
        <w:rPr>
          <w:rFonts w:ascii="Arial" w:hAnsi="Arial" w:cs="Arial"/>
        </w:rPr>
        <w:t>7</w:t>
      </w:r>
      <w:r w:rsidRPr="00346D28">
        <w:rPr>
          <w:rFonts w:ascii="Arial" w:hAnsi="Arial" w:cs="Arial"/>
        </w:rPr>
        <w:t>]. The marginal use of non-ACTs such as quinine and chloroquine, exclusively by physicians, suggests residual reliance on legacy treatments in specific clinical scenarios, possibly severe or recurrent cases. These findings align with recent Cameroonian trials and meta-analyses confirming AL’s high cure rates and tolerability, reinforcing its central role in malaria case management [2</w:t>
      </w:r>
      <w:r w:rsidR="005E45FF">
        <w:rPr>
          <w:rFonts w:ascii="Arial" w:hAnsi="Arial" w:cs="Arial"/>
        </w:rPr>
        <w:t>6</w:t>
      </w:r>
      <w:r w:rsidRPr="00346D28">
        <w:rPr>
          <w:rFonts w:ascii="Arial" w:hAnsi="Arial" w:cs="Arial"/>
        </w:rPr>
        <w:t>, 2</w:t>
      </w:r>
      <w:r w:rsidR="005E45FF">
        <w:rPr>
          <w:rFonts w:ascii="Arial" w:hAnsi="Arial" w:cs="Arial"/>
        </w:rPr>
        <w:t>7</w:t>
      </w:r>
      <w:r w:rsidRPr="00346D28">
        <w:rPr>
          <w:rFonts w:ascii="Arial" w:hAnsi="Arial" w:cs="Arial"/>
        </w:rPr>
        <w:t>].</w:t>
      </w:r>
    </w:p>
    <w:p w14:paraId="72EF2215" w14:textId="77777777" w:rsidR="00346D28" w:rsidRPr="00346D28" w:rsidRDefault="00346D28" w:rsidP="00346D28">
      <w:pPr>
        <w:pStyle w:val="Body"/>
        <w:spacing w:after="0"/>
        <w:rPr>
          <w:rFonts w:ascii="Arial" w:hAnsi="Arial" w:cs="Arial"/>
        </w:rPr>
      </w:pPr>
    </w:p>
    <w:p w14:paraId="237E71D4" w14:textId="5FCD5607" w:rsidR="00346D28" w:rsidRDefault="00346D28" w:rsidP="00346D28">
      <w:pPr>
        <w:pStyle w:val="Body"/>
        <w:spacing w:after="0"/>
        <w:rPr>
          <w:rFonts w:ascii="Arial" w:hAnsi="Arial" w:cs="Arial"/>
        </w:rPr>
      </w:pPr>
      <w:r w:rsidRPr="00346D28">
        <w:rPr>
          <w:rFonts w:ascii="Arial" w:hAnsi="Arial" w:cs="Arial"/>
        </w:rPr>
        <w:t>The matrix results presented in Tables 6 and 7 confirm Artemether-Lumefantrine (AL) as the most consistently adequate first-intention antimalarial across all age groups in the Buea Health District, with exceptional posology and duration adequacy among adults/adolescents, and strong performance in children aged 5–10 and under 5. These findings align with WHO’s 2025 malaria treatment guidelines, which recommend AL as the preferred ACT due to its favorable pharmacokinetics, tolerability, and high cure rates [2</w:t>
      </w:r>
      <w:r w:rsidR="005E45FF">
        <w:rPr>
          <w:rFonts w:ascii="Arial" w:hAnsi="Arial" w:cs="Arial"/>
        </w:rPr>
        <w:t>8</w:t>
      </w:r>
      <w:r w:rsidRPr="00346D28">
        <w:rPr>
          <w:rFonts w:ascii="Arial" w:hAnsi="Arial" w:cs="Arial"/>
        </w:rPr>
        <w:t>]. The limited adequacy of ASAQ, particularly in older age groups, reflects concerns about age-specific dosing complexity and adverse effects, as reported by Niba et al [2</w:t>
      </w:r>
      <w:r w:rsidR="005E45FF">
        <w:rPr>
          <w:rFonts w:ascii="Arial" w:hAnsi="Arial" w:cs="Arial"/>
        </w:rPr>
        <w:t>6</w:t>
      </w:r>
      <w:r w:rsidRPr="00346D28">
        <w:rPr>
          <w:rFonts w:ascii="Arial" w:hAnsi="Arial" w:cs="Arial"/>
        </w:rPr>
        <w:t xml:space="preserve">] in their evaluation of treatment adherence in Cameroon. Second-intention regimens showed greater variability, with AL still leading in adequacy among adults/adolescents but showing zero duration adequacy in children aged 5–10, suggesting gaps in pediatric dosing practices or formulation availability. DHA/PQP demonstrated isolated adequacy in children under 5 (posology), consistent with findings by </w:t>
      </w:r>
      <w:proofErr w:type="spellStart"/>
      <w:r w:rsidRPr="00346D28">
        <w:rPr>
          <w:rFonts w:ascii="Arial" w:hAnsi="Arial" w:cs="Arial"/>
        </w:rPr>
        <w:t>Fitri</w:t>
      </w:r>
      <w:proofErr w:type="spellEnd"/>
      <w:r w:rsidRPr="00346D28">
        <w:rPr>
          <w:rFonts w:ascii="Arial" w:hAnsi="Arial" w:cs="Arial"/>
        </w:rPr>
        <w:t xml:space="preserve"> et al. [2</w:t>
      </w:r>
      <w:r w:rsidR="005E45FF">
        <w:rPr>
          <w:rFonts w:ascii="Arial" w:hAnsi="Arial" w:cs="Arial"/>
        </w:rPr>
        <w:t>4</w:t>
      </w:r>
      <w:r w:rsidRPr="00346D28">
        <w:rPr>
          <w:rFonts w:ascii="Arial" w:hAnsi="Arial" w:cs="Arial"/>
        </w:rPr>
        <w:t>], who highlighted its efficacy but limited field use due to cost and access. Non-ACT alternatives such as injectable artemisinin derivatives and oral quinine were marginal and used primarily in fallback scenarios, with low adequacy rates. These results underscore the need for targeted training and supply chain reinforcement to improve ACT dosing accuracy and duration adherence, especially in pediatric populations.</w:t>
      </w:r>
    </w:p>
    <w:p w14:paraId="05A2B2D6" w14:textId="77777777" w:rsidR="00346D28" w:rsidRPr="00346D28" w:rsidRDefault="00346D28" w:rsidP="00346D28">
      <w:pPr>
        <w:pStyle w:val="Body"/>
        <w:spacing w:after="0"/>
        <w:rPr>
          <w:rFonts w:ascii="Arial" w:hAnsi="Arial" w:cs="Arial"/>
        </w:rPr>
      </w:pPr>
    </w:p>
    <w:p w14:paraId="17B31D25" w14:textId="1704FDB8" w:rsidR="00D57D2B" w:rsidRDefault="00346D28" w:rsidP="00441B6F">
      <w:pPr>
        <w:pStyle w:val="Body"/>
        <w:spacing w:after="0"/>
        <w:rPr>
          <w:rFonts w:ascii="Arial" w:hAnsi="Arial" w:cs="Arial"/>
        </w:rPr>
      </w:pPr>
      <w:r w:rsidRPr="00346D28">
        <w:rPr>
          <w:rFonts w:ascii="Arial" w:hAnsi="Arial" w:cs="Arial"/>
        </w:rPr>
        <w:t xml:space="preserve">Figure 5 reveals critical systemic and </w:t>
      </w:r>
      <w:proofErr w:type="spellStart"/>
      <w:r w:rsidRPr="00346D28">
        <w:rPr>
          <w:rFonts w:ascii="Arial" w:hAnsi="Arial" w:cs="Arial"/>
        </w:rPr>
        <w:t>behavioural</w:t>
      </w:r>
      <w:proofErr w:type="spellEnd"/>
      <w:r w:rsidRPr="00346D28">
        <w:rPr>
          <w:rFonts w:ascii="Arial" w:hAnsi="Arial" w:cs="Arial"/>
        </w:rPr>
        <w:t xml:space="preserve"> factors influencing healthcare providers’ deviation from Artemisinin-based Combination Therapies (ACTs) in the management of uncomplicated malaria in Cameroon. The leading reason for ACT stockouts reported by respondents echoes longstanding supply chain vulnerabilities documented in national surveys and operational research [2, 1</w:t>
      </w:r>
      <w:r w:rsidR="005E45FF">
        <w:rPr>
          <w:rFonts w:ascii="Arial" w:hAnsi="Arial" w:cs="Arial"/>
        </w:rPr>
        <w:t>7</w:t>
      </w:r>
      <w:r w:rsidRPr="00346D28">
        <w:rPr>
          <w:rFonts w:ascii="Arial" w:hAnsi="Arial" w:cs="Arial"/>
        </w:rPr>
        <w:t>]. Such shortages compromise guideline adherence and increase reliance on less effective or outdated regimens. Patient refusal further complicates treatment decisions, reflecting gaps in health literacy and community trust, as highlighted by Marwa et al. [2</w:t>
      </w:r>
      <w:r w:rsidR="005E45FF">
        <w:rPr>
          <w:rFonts w:ascii="Arial" w:hAnsi="Arial" w:cs="Arial"/>
        </w:rPr>
        <w:t>7</w:t>
      </w:r>
      <w:r w:rsidRPr="00346D28">
        <w:rPr>
          <w:rFonts w:ascii="Arial" w:hAnsi="Arial" w:cs="Arial"/>
        </w:rPr>
        <w:t>] in their study on ACT acceptability. The use of non-ACTs in severe cases aligns with clinical protocols prioritizing injectable artesunate or quinine in life-threatening presentations [27], though it also suggests potential misclassification of case severity. Notably, medical contraindications such as allergy and first-trimester pregnancy underscore the need for clearer provider guidance and safer alternatives, especially given limited options for pregnant women in early gestation [</w:t>
      </w:r>
      <w:r w:rsidR="00D75C84">
        <w:rPr>
          <w:rFonts w:ascii="Arial" w:hAnsi="Arial" w:cs="Arial"/>
        </w:rPr>
        <w:t>10</w:t>
      </w:r>
      <w:r w:rsidRPr="00346D28">
        <w:rPr>
          <w:rFonts w:ascii="Arial" w:hAnsi="Arial" w:cs="Arial"/>
        </w:rPr>
        <w:t>]. These findings collectively point to the importance of strengthening ACT availability, enhancing provider training, and improving patient engagement to ensure rational malaria treatment.</w:t>
      </w:r>
    </w:p>
    <w:p w14:paraId="0FD9D0A5" w14:textId="77777777" w:rsidR="002E4A12" w:rsidRDefault="002E4A12" w:rsidP="00441B6F">
      <w:pPr>
        <w:pStyle w:val="Body"/>
        <w:spacing w:after="0"/>
        <w:rPr>
          <w:rFonts w:ascii="Arial" w:hAnsi="Arial" w:cs="Arial"/>
        </w:rPr>
      </w:pPr>
    </w:p>
    <w:p w14:paraId="31CACA7C" w14:textId="77777777" w:rsidR="002E4A12" w:rsidRPr="002E4A12" w:rsidRDefault="002E4A12" w:rsidP="002E4A12">
      <w:pPr>
        <w:pStyle w:val="Body"/>
        <w:spacing w:after="0"/>
        <w:rPr>
          <w:rFonts w:ascii="Arial" w:hAnsi="Arial" w:cs="Arial"/>
        </w:rPr>
      </w:pPr>
      <w:r w:rsidRPr="002E4A12">
        <w:rPr>
          <w:rFonts w:ascii="Arial" w:hAnsi="Arial" w:cs="Arial"/>
          <w:b/>
          <w:bCs/>
          <w:i/>
          <w:iCs/>
        </w:rPr>
        <w:t>Limitations of the Study</w:t>
      </w:r>
    </w:p>
    <w:p w14:paraId="5BC22990" w14:textId="77777777" w:rsidR="002E4A12" w:rsidRDefault="002E4A12" w:rsidP="002E4A12">
      <w:pPr>
        <w:pStyle w:val="Body"/>
        <w:spacing w:after="0"/>
        <w:rPr>
          <w:rFonts w:ascii="Arial" w:hAnsi="Arial" w:cs="Arial"/>
          <w:b/>
          <w:bCs/>
        </w:rPr>
      </w:pPr>
    </w:p>
    <w:p w14:paraId="4BC6CCFD" w14:textId="135FC2D5" w:rsidR="002E4A12" w:rsidRPr="002E4A12" w:rsidRDefault="002E4A12" w:rsidP="002E4A12">
      <w:pPr>
        <w:pStyle w:val="Body"/>
        <w:spacing w:after="0"/>
        <w:rPr>
          <w:rFonts w:ascii="Arial" w:hAnsi="Arial" w:cs="Arial"/>
        </w:rPr>
      </w:pPr>
      <w:r w:rsidRPr="002E4A12">
        <w:rPr>
          <w:rFonts w:ascii="Arial" w:hAnsi="Arial" w:cs="Arial"/>
          <w:b/>
          <w:bCs/>
        </w:rPr>
        <w:t>Regional Generalizability:</w:t>
      </w:r>
      <w:r w:rsidRPr="002E4A12">
        <w:rPr>
          <w:rFonts w:ascii="Arial" w:hAnsi="Arial" w:cs="Arial"/>
        </w:rPr>
        <w:t xml:space="preserve"> The findings of this study are representative of the Buea Health District, a specific socio-ecological context within the South-West Region of Cameroon. While the results provide critical insights into the challenges of malaria case management at the primary care level, they may not be directly generalizable to other regions of Cameroon with different transmission intensities, health system structures, or prescriber demographics (e.g., the arid North or densely populated cities like Douala). The purpose was to generate a detailed local evidence base to inform district-level interventions.</w:t>
      </w:r>
    </w:p>
    <w:p w14:paraId="24B2ECDD" w14:textId="77777777" w:rsidR="002E4A12" w:rsidRPr="002E4A12" w:rsidRDefault="002E4A12" w:rsidP="002E4A12">
      <w:pPr>
        <w:pStyle w:val="Body"/>
        <w:spacing w:after="0"/>
        <w:rPr>
          <w:rFonts w:ascii="Arial" w:hAnsi="Arial" w:cs="Arial"/>
        </w:rPr>
      </w:pPr>
      <w:r w:rsidRPr="002E4A12">
        <w:rPr>
          <w:rFonts w:ascii="Arial" w:hAnsi="Arial" w:cs="Arial"/>
          <w:b/>
          <w:bCs/>
        </w:rPr>
        <w:t>Self-Reporting Bias:</w:t>
      </w:r>
      <w:r w:rsidRPr="002E4A12">
        <w:rPr>
          <w:rFonts w:ascii="Arial" w:hAnsi="Arial" w:cs="Arial"/>
        </w:rPr>
        <w:t xml:space="preserve"> A significant portion of the data, particularly on knowledge and practices, was collected via self-reported questionnaires. This method is susceptible to social desirability bias, where prescribers may have over-reported adherence to guidelines (e.g., stating they "wait for RDT results") and under-reported non-compliant behaviors. The high stated preference for confirmatory testing (over 85%) likely reflects this bias and may not fully align with actual practice, which is often influenced by unstated logistical constraints. Future </w:t>
      </w:r>
      <w:r w:rsidRPr="002E4A12">
        <w:rPr>
          <w:rFonts w:ascii="Arial" w:hAnsi="Arial" w:cs="Arial"/>
        </w:rPr>
        <w:lastRenderedPageBreak/>
        <w:t>studies would benefit from direct observation or mixed-methods approaches to triangulate self-reported data.</w:t>
      </w:r>
    </w:p>
    <w:p w14:paraId="7F35A3C9" w14:textId="77777777" w:rsidR="002E4A12" w:rsidRPr="002E4A12" w:rsidRDefault="002E4A12" w:rsidP="002E4A12">
      <w:pPr>
        <w:pStyle w:val="Body"/>
        <w:spacing w:after="0"/>
        <w:rPr>
          <w:rFonts w:ascii="Arial" w:hAnsi="Arial" w:cs="Arial"/>
        </w:rPr>
      </w:pPr>
      <w:r w:rsidRPr="002E4A12">
        <w:rPr>
          <w:rFonts w:ascii="Arial" w:hAnsi="Arial" w:cs="Arial"/>
          <w:b/>
          <w:bCs/>
        </w:rPr>
        <w:t>Temporal Context:</w:t>
      </w:r>
      <w:r w:rsidRPr="002E4A12">
        <w:rPr>
          <w:rFonts w:ascii="Arial" w:hAnsi="Arial" w:cs="Arial"/>
        </w:rPr>
        <w:t xml:space="preserve"> The data were collected in 2017. While the core findings regarding systemic barriers like stockouts and training gaps remain highly relevant, the dynamic nature of public health policy means that some specific figures (e.g., exact prescription rates) may have shifted. The study serves as a robust baseline and a model for this type of health systems research.</w:t>
      </w:r>
    </w:p>
    <w:p w14:paraId="64D2DCE6" w14:textId="77777777" w:rsidR="002E4A12" w:rsidRDefault="002E4A12" w:rsidP="00441B6F">
      <w:pPr>
        <w:pStyle w:val="Body"/>
        <w:spacing w:after="0"/>
        <w:rPr>
          <w:rFonts w:ascii="Arial" w:hAnsi="Arial" w:cs="Arial"/>
        </w:rPr>
      </w:pPr>
    </w:p>
    <w:p w14:paraId="55D52E10" w14:textId="288D1FE1" w:rsidR="00B01FCD" w:rsidRDefault="009D5BF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E54FA4B" w14:textId="77777777" w:rsidR="00790ADA" w:rsidRPr="00FB3A86" w:rsidRDefault="00790ADA" w:rsidP="00441B6F">
      <w:pPr>
        <w:pStyle w:val="ConcHead"/>
        <w:spacing w:after="0"/>
        <w:jc w:val="both"/>
        <w:rPr>
          <w:rFonts w:ascii="Arial" w:hAnsi="Arial" w:cs="Arial"/>
        </w:rPr>
      </w:pPr>
    </w:p>
    <w:p w14:paraId="3A4E1E20" w14:textId="0E23B821" w:rsidR="00043423" w:rsidRDefault="00043423" w:rsidP="00043423">
      <w:pPr>
        <w:pStyle w:val="Body"/>
        <w:spacing w:after="0"/>
        <w:rPr>
          <w:rFonts w:ascii="Arial" w:hAnsi="Arial" w:cs="Arial"/>
        </w:rPr>
      </w:pPr>
      <w:r w:rsidRPr="00043423">
        <w:rPr>
          <w:rFonts w:ascii="Arial" w:hAnsi="Arial" w:cs="Arial"/>
        </w:rPr>
        <w:t xml:space="preserve">Malaria treatment in the Buea Health District is shaped by workforce distribution, training gaps, and diagnostic practices. Nurses and midwives dominate public facilities, while physicians are more common in private ones with better training access. Although ACT awareness is universal, knowledge depth varies. Fever is the main diagnostic cue, with RDTs and microscopy widely </w:t>
      </w:r>
      <w:proofErr w:type="spellStart"/>
      <w:r w:rsidRPr="00043423">
        <w:rPr>
          <w:rFonts w:ascii="Arial" w:hAnsi="Arial" w:cs="Arial"/>
        </w:rPr>
        <w:t>favoured</w:t>
      </w:r>
      <w:proofErr w:type="spellEnd"/>
      <w:r w:rsidRPr="00043423">
        <w:rPr>
          <w:rFonts w:ascii="Arial" w:hAnsi="Arial" w:cs="Arial"/>
        </w:rPr>
        <w:t>. Artemether-Lumefantrine is the most consistently adequate antimalarial, while alternatives are rarely used. Systemic barriers like stockouts and contraindications highlight the need for better training, supply chains, and patient education.</w:t>
      </w:r>
    </w:p>
    <w:p w14:paraId="0B5B8662" w14:textId="25705568" w:rsidR="00E56E07" w:rsidRDefault="00E56E07" w:rsidP="00043423">
      <w:pPr>
        <w:pStyle w:val="Body"/>
        <w:spacing w:after="0"/>
        <w:rPr>
          <w:rFonts w:ascii="Arial" w:hAnsi="Arial" w:cs="Arial"/>
        </w:rPr>
      </w:pPr>
    </w:p>
    <w:p w14:paraId="39E2B2D8" w14:textId="77777777" w:rsidR="00E56E07" w:rsidRPr="00E56E07" w:rsidRDefault="00E56E07" w:rsidP="00E56E07">
      <w:pPr>
        <w:pStyle w:val="Body"/>
        <w:rPr>
          <w:rFonts w:ascii="Arial" w:hAnsi="Arial" w:cs="Arial"/>
        </w:rPr>
      </w:pPr>
      <w:r w:rsidRPr="00E56E07">
        <w:rPr>
          <w:rFonts w:ascii="Arial" w:hAnsi="Arial" w:cs="Arial"/>
        </w:rPr>
        <w:t>Disclaimer (Artificial intelligence)</w:t>
      </w:r>
    </w:p>
    <w:p w14:paraId="48F3DABD" w14:textId="77777777" w:rsidR="00E56E07" w:rsidRPr="00E56E07" w:rsidRDefault="00E56E07" w:rsidP="00E56E07">
      <w:pPr>
        <w:pStyle w:val="Body"/>
        <w:rPr>
          <w:rFonts w:ascii="Arial" w:hAnsi="Arial" w:cs="Arial"/>
        </w:rPr>
      </w:pPr>
      <w:r w:rsidRPr="00E56E07">
        <w:rPr>
          <w:rFonts w:ascii="Arial" w:hAnsi="Arial" w:cs="Arial"/>
        </w:rPr>
        <w:t xml:space="preserve">Option 1: </w:t>
      </w:r>
    </w:p>
    <w:p w14:paraId="4E1B6F6F" w14:textId="77777777" w:rsidR="00E56E07" w:rsidRPr="00E56E07" w:rsidRDefault="00E56E07" w:rsidP="00E56E07">
      <w:pPr>
        <w:pStyle w:val="Body"/>
        <w:rPr>
          <w:rFonts w:ascii="Arial" w:hAnsi="Arial" w:cs="Arial"/>
        </w:rPr>
      </w:pPr>
      <w:r w:rsidRPr="00E56E07">
        <w:rPr>
          <w:rFonts w:ascii="Arial" w:hAnsi="Arial" w:cs="Arial"/>
        </w:rPr>
        <w:t>Author(s) hereby declare that NO generative AI technologies such as Large Language Models (</w:t>
      </w:r>
      <w:proofErr w:type="spellStart"/>
      <w:r w:rsidRPr="00E56E07">
        <w:rPr>
          <w:rFonts w:ascii="Arial" w:hAnsi="Arial" w:cs="Arial"/>
        </w:rPr>
        <w:t>ChatGPT</w:t>
      </w:r>
      <w:proofErr w:type="spellEnd"/>
      <w:r w:rsidRPr="00E56E07">
        <w:rPr>
          <w:rFonts w:ascii="Arial" w:hAnsi="Arial" w:cs="Arial"/>
        </w:rPr>
        <w:t xml:space="preserve">, COPILOT, etc.) and text-to-image generators have been used during the writing or editing of this manuscript. </w:t>
      </w:r>
    </w:p>
    <w:p w14:paraId="0D8EC8F3" w14:textId="77777777" w:rsidR="00E56E07" w:rsidRPr="00E56E07" w:rsidRDefault="00E56E07" w:rsidP="00E56E07">
      <w:pPr>
        <w:pStyle w:val="Body"/>
        <w:rPr>
          <w:rFonts w:ascii="Arial" w:hAnsi="Arial" w:cs="Arial"/>
        </w:rPr>
      </w:pPr>
      <w:r w:rsidRPr="00E56E07">
        <w:rPr>
          <w:rFonts w:ascii="Arial" w:hAnsi="Arial" w:cs="Arial"/>
        </w:rPr>
        <w:t xml:space="preserve">Option 2: </w:t>
      </w:r>
    </w:p>
    <w:p w14:paraId="39BFBAAA" w14:textId="77777777" w:rsidR="00E56E07" w:rsidRPr="00E56E07" w:rsidRDefault="00E56E07" w:rsidP="00E56E07">
      <w:pPr>
        <w:pStyle w:val="Body"/>
        <w:rPr>
          <w:rFonts w:ascii="Arial" w:hAnsi="Arial" w:cs="Arial"/>
        </w:rPr>
      </w:pPr>
      <w:r w:rsidRPr="00E56E07">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68E1EE" w14:textId="77777777" w:rsidR="00E56E07" w:rsidRPr="00E56E07" w:rsidRDefault="00E56E07" w:rsidP="00E56E07">
      <w:pPr>
        <w:pStyle w:val="Body"/>
        <w:rPr>
          <w:rFonts w:ascii="Arial" w:hAnsi="Arial" w:cs="Arial"/>
        </w:rPr>
      </w:pPr>
      <w:r w:rsidRPr="00E56E07">
        <w:rPr>
          <w:rFonts w:ascii="Arial" w:hAnsi="Arial" w:cs="Arial"/>
        </w:rPr>
        <w:t>Details of the AI usage are given below:</w:t>
      </w:r>
    </w:p>
    <w:p w14:paraId="51B01697" w14:textId="77777777" w:rsidR="00E56E07" w:rsidRPr="00E56E07" w:rsidRDefault="00E56E07" w:rsidP="00E56E07">
      <w:pPr>
        <w:pStyle w:val="Body"/>
        <w:rPr>
          <w:rFonts w:ascii="Arial" w:hAnsi="Arial" w:cs="Arial"/>
        </w:rPr>
      </w:pPr>
      <w:r w:rsidRPr="00E56E07">
        <w:rPr>
          <w:rFonts w:ascii="Arial" w:hAnsi="Arial" w:cs="Arial"/>
        </w:rPr>
        <w:t>1.</w:t>
      </w:r>
    </w:p>
    <w:p w14:paraId="6B5F825C" w14:textId="77777777" w:rsidR="00E56E07" w:rsidRPr="00E56E07" w:rsidRDefault="00E56E07" w:rsidP="00E56E07">
      <w:pPr>
        <w:pStyle w:val="Body"/>
        <w:rPr>
          <w:rFonts w:ascii="Arial" w:hAnsi="Arial" w:cs="Arial"/>
        </w:rPr>
      </w:pPr>
      <w:r w:rsidRPr="00E56E07">
        <w:rPr>
          <w:rFonts w:ascii="Arial" w:hAnsi="Arial" w:cs="Arial"/>
        </w:rPr>
        <w:t>2.</w:t>
      </w:r>
    </w:p>
    <w:p w14:paraId="61892B28" w14:textId="4A18E5A7" w:rsidR="00E56E07" w:rsidRPr="00043423" w:rsidRDefault="00E56E07" w:rsidP="00E56E07">
      <w:pPr>
        <w:pStyle w:val="Body"/>
        <w:spacing w:after="0"/>
        <w:rPr>
          <w:rFonts w:ascii="Arial" w:hAnsi="Arial" w:cs="Arial"/>
        </w:rPr>
      </w:pPr>
      <w:r w:rsidRPr="00E56E07">
        <w:rPr>
          <w:rFonts w:ascii="Arial" w:hAnsi="Arial" w:cs="Arial"/>
        </w:rPr>
        <w:t>3.</w:t>
      </w:r>
      <w:bookmarkStart w:id="14" w:name="_GoBack"/>
      <w:bookmarkEnd w:id="14"/>
    </w:p>
    <w:p w14:paraId="6F8C5D37" w14:textId="77777777" w:rsidR="00790ADA" w:rsidRPr="00FB3A86" w:rsidRDefault="00790ADA" w:rsidP="00441B6F">
      <w:pPr>
        <w:pStyle w:val="Body"/>
        <w:spacing w:after="0"/>
        <w:rPr>
          <w:rFonts w:ascii="Arial" w:hAnsi="Arial" w:cs="Arial"/>
        </w:rPr>
      </w:pPr>
    </w:p>
    <w:p w14:paraId="76E0EC6E"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DDB3611" w14:textId="77777777" w:rsidR="00790ADA" w:rsidRPr="00FB3A86" w:rsidRDefault="00790ADA" w:rsidP="00441B6F">
      <w:pPr>
        <w:pStyle w:val="AcknHead"/>
        <w:spacing w:after="0"/>
        <w:jc w:val="both"/>
        <w:rPr>
          <w:rFonts w:ascii="Arial" w:hAnsi="Arial" w:cs="Arial"/>
        </w:rPr>
      </w:pPr>
    </w:p>
    <w:p w14:paraId="275F056A" w14:textId="3A37A315" w:rsidR="00043423" w:rsidRPr="00043423" w:rsidRDefault="00043423" w:rsidP="00043423">
      <w:pPr>
        <w:pStyle w:val="Body"/>
        <w:spacing w:after="0"/>
        <w:rPr>
          <w:rFonts w:ascii="Arial" w:hAnsi="Arial" w:cs="Arial"/>
          <w:bCs/>
        </w:rPr>
      </w:pPr>
      <w:r w:rsidRPr="00043423">
        <w:rPr>
          <w:rFonts w:ascii="Arial" w:hAnsi="Arial" w:cs="Arial"/>
          <w:bCs/>
        </w:rPr>
        <w:t xml:space="preserve">We extend our deepest gratitude to all study participants for their willingness to provide essential information, and other necessary data for this research. </w:t>
      </w:r>
    </w:p>
    <w:p w14:paraId="4967275D" w14:textId="77777777" w:rsidR="00043423" w:rsidRDefault="00043423" w:rsidP="00441B6F">
      <w:pPr>
        <w:pStyle w:val="Body"/>
        <w:spacing w:after="0"/>
        <w:rPr>
          <w:rFonts w:ascii="Arial" w:hAnsi="Arial" w:cs="Arial"/>
        </w:rPr>
      </w:pPr>
    </w:p>
    <w:p w14:paraId="3BD0E2EE"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32E1F0A5" w14:textId="73E52FDF" w:rsidR="00043423" w:rsidRPr="00043423" w:rsidRDefault="00043423" w:rsidP="00043423">
      <w:pPr>
        <w:pStyle w:val="ReferHead"/>
        <w:spacing w:after="0"/>
        <w:jc w:val="both"/>
        <w:rPr>
          <w:rFonts w:ascii="Arial" w:hAnsi="Arial" w:cs="Arial"/>
          <w:b w:val="0"/>
          <w:sz w:val="20"/>
        </w:rPr>
      </w:pPr>
      <w:r w:rsidRPr="00043423">
        <w:rPr>
          <w:rFonts w:ascii="Arial" w:hAnsi="Arial" w:cs="Arial"/>
          <w:b w:val="0"/>
          <w:caps w:val="0"/>
          <w:sz w:val="20"/>
        </w:rPr>
        <w:t>The authors declare no competing interests.</w:t>
      </w:r>
    </w:p>
    <w:p w14:paraId="579E9528" w14:textId="77777777" w:rsidR="00860000" w:rsidRPr="00786D36" w:rsidRDefault="00860000" w:rsidP="00441B6F">
      <w:pPr>
        <w:pStyle w:val="ReferHead"/>
        <w:spacing w:after="0"/>
        <w:jc w:val="both"/>
        <w:rPr>
          <w:rFonts w:ascii="Arial" w:hAnsi="Arial" w:cs="Arial"/>
        </w:rPr>
      </w:pPr>
    </w:p>
    <w:p w14:paraId="7B0B4270"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7A00C369" w14:textId="77777777" w:rsidR="00371FB6" w:rsidRPr="00371FB6" w:rsidRDefault="00371FB6" w:rsidP="00441B6F">
      <w:pPr>
        <w:pStyle w:val="ReferHead"/>
        <w:spacing w:after="0"/>
        <w:jc w:val="both"/>
        <w:rPr>
          <w:rFonts w:ascii="Arial" w:hAnsi="Arial" w:cs="Arial"/>
          <w:bCs/>
        </w:rPr>
      </w:pPr>
    </w:p>
    <w:p w14:paraId="3F00690D" w14:textId="5851F612" w:rsidR="001A29D8" w:rsidRPr="00DB0F94" w:rsidRDefault="00DB0F94" w:rsidP="00ED5A2F">
      <w:pPr>
        <w:pStyle w:val="ReferHead"/>
        <w:jc w:val="both"/>
        <w:rPr>
          <w:rFonts w:ascii="Arial" w:hAnsi="Arial" w:cs="Arial"/>
          <w:b w:val="0"/>
          <w:bCs/>
          <w:caps w:val="0"/>
          <w:sz w:val="20"/>
          <w:u w:val="single"/>
        </w:rPr>
      </w:pPr>
      <w:r w:rsidRPr="00DB0F94">
        <w:rPr>
          <w:rFonts w:ascii="Arial" w:hAnsi="Arial" w:cs="Arial"/>
          <w:b w:val="0"/>
          <w:bCs/>
          <w:caps w:val="0"/>
          <w:sz w:val="20"/>
          <w:u w:val="single"/>
        </w:rPr>
        <w:t xml:space="preserve">This work was carried out in collaboration between all authors. Authors </w:t>
      </w:r>
      <w:r>
        <w:rPr>
          <w:rFonts w:ascii="Arial" w:hAnsi="Arial" w:cs="Arial"/>
          <w:b w:val="0"/>
          <w:bCs/>
          <w:caps w:val="0"/>
          <w:sz w:val="20"/>
          <w:u w:val="single"/>
        </w:rPr>
        <w:t>NSA</w:t>
      </w:r>
      <w:r w:rsidRPr="00DB0F94">
        <w:rPr>
          <w:rFonts w:ascii="Arial" w:hAnsi="Arial" w:cs="Arial"/>
          <w:b w:val="0"/>
          <w:bCs/>
          <w:caps w:val="0"/>
          <w:sz w:val="20"/>
          <w:u w:val="single"/>
        </w:rPr>
        <w:t xml:space="preserve"> and </w:t>
      </w:r>
      <w:r>
        <w:rPr>
          <w:rFonts w:ascii="Arial" w:hAnsi="Arial" w:cs="Arial"/>
          <w:b w:val="0"/>
          <w:bCs/>
          <w:caps w:val="0"/>
          <w:sz w:val="20"/>
          <w:u w:val="single"/>
        </w:rPr>
        <w:t>EMC</w:t>
      </w:r>
      <w:r w:rsidRPr="00DB0F94">
        <w:rPr>
          <w:rFonts w:ascii="Arial" w:hAnsi="Arial" w:cs="Arial"/>
          <w:b w:val="0"/>
          <w:bCs/>
          <w:caps w:val="0"/>
          <w:sz w:val="20"/>
          <w:u w:val="single"/>
        </w:rPr>
        <w:t xml:space="preserve"> designed the study. Authors </w:t>
      </w:r>
      <w:r>
        <w:rPr>
          <w:rFonts w:ascii="Arial" w:hAnsi="Arial" w:cs="Arial"/>
          <w:b w:val="0"/>
          <w:bCs/>
          <w:caps w:val="0"/>
          <w:sz w:val="20"/>
          <w:u w:val="single"/>
        </w:rPr>
        <w:t>NSA</w:t>
      </w:r>
      <w:r w:rsidRPr="00DB0F94">
        <w:rPr>
          <w:rFonts w:ascii="Arial" w:hAnsi="Arial" w:cs="Arial"/>
          <w:b w:val="0"/>
          <w:bCs/>
          <w:caps w:val="0"/>
          <w:sz w:val="20"/>
          <w:u w:val="single"/>
        </w:rPr>
        <w:t xml:space="preserve">, </w:t>
      </w:r>
      <w:r>
        <w:rPr>
          <w:rFonts w:ascii="Arial" w:hAnsi="Arial" w:cs="Arial"/>
          <w:b w:val="0"/>
          <w:bCs/>
          <w:caps w:val="0"/>
          <w:sz w:val="20"/>
          <w:u w:val="single"/>
        </w:rPr>
        <w:t>DOB, AFD, ENBE</w:t>
      </w:r>
      <w:r w:rsidRPr="00DB0F94">
        <w:rPr>
          <w:rFonts w:ascii="Arial" w:hAnsi="Arial" w:cs="Arial"/>
          <w:b w:val="0"/>
          <w:bCs/>
          <w:caps w:val="0"/>
          <w:sz w:val="20"/>
          <w:u w:val="single"/>
        </w:rPr>
        <w:t xml:space="preserve"> and </w:t>
      </w:r>
      <w:r>
        <w:rPr>
          <w:rFonts w:ascii="Arial" w:hAnsi="Arial" w:cs="Arial"/>
          <w:b w:val="0"/>
          <w:bCs/>
          <w:caps w:val="0"/>
          <w:sz w:val="20"/>
          <w:u w:val="single"/>
        </w:rPr>
        <w:t>NES</w:t>
      </w:r>
      <w:r w:rsidRPr="00DB0F94">
        <w:rPr>
          <w:rFonts w:ascii="Arial" w:hAnsi="Arial" w:cs="Arial"/>
          <w:b w:val="0"/>
          <w:bCs/>
          <w:caps w:val="0"/>
          <w:sz w:val="20"/>
          <w:u w:val="single"/>
        </w:rPr>
        <w:t xml:space="preserve"> carried out the experiments. Author </w:t>
      </w:r>
      <w:r>
        <w:rPr>
          <w:rFonts w:ascii="Arial" w:hAnsi="Arial" w:cs="Arial"/>
          <w:b w:val="0"/>
          <w:bCs/>
          <w:caps w:val="0"/>
          <w:sz w:val="20"/>
          <w:u w:val="single"/>
        </w:rPr>
        <w:t xml:space="preserve">NSA and ENBE </w:t>
      </w:r>
      <w:r w:rsidRPr="00DB0F94">
        <w:rPr>
          <w:rFonts w:ascii="Arial" w:hAnsi="Arial" w:cs="Arial"/>
          <w:b w:val="0"/>
          <w:bCs/>
          <w:caps w:val="0"/>
          <w:sz w:val="20"/>
          <w:u w:val="single"/>
        </w:rPr>
        <w:t xml:space="preserve">performed the statistical. Author </w:t>
      </w:r>
      <w:r>
        <w:rPr>
          <w:rFonts w:ascii="Arial" w:hAnsi="Arial" w:cs="Arial"/>
          <w:b w:val="0"/>
          <w:bCs/>
          <w:caps w:val="0"/>
          <w:sz w:val="20"/>
          <w:u w:val="single"/>
        </w:rPr>
        <w:t>NSA</w:t>
      </w:r>
      <w:r w:rsidRPr="00DB0F94">
        <w:rPr>
          <w:rFonts w:ascii="Arial" w:hAnsi="Arial" w:cs="Arial"/>
          <w:b w:val="0"/>
          <w:bCs/>
          <w:caps w:val="0"/>
          <w:sz w:val="20"/>
          <w:u w:val="single"/>
        </w:rPr>
        <w:t xml:space="preserve">, </w:t>
      </w:r>
      <w:r>
        <w:rPr>
          <w:rFonts w:ascii="Arial" w:hAnsi="Arial" w:cs="Arial"/>
          <w:b w:val="0"/>
          <w:bCs/>
          <w:caps w:val="0"/>
          <w:sz w:val="20"/>
          <w:u w:val="single"/>
        </w:rPr>
        <w:t>DOB, AFD, ENBE</w:t>
      </w:r>
      <w:r w:rsidRPr="00DB0F94">
        <w:rPr>
          <w:rFonts w:ascii="Arial" w:hAnsi="Arial" w:cs="Arial"/>
          <w:b w:val="0"/>
          <w:bCs/>
          <w:caps w:val="0"/>
          <w:sz w:val="20"/>
          <w:u w:val="single"/>
        </w:rPr>
        <w:t xml:space="preserve"> and </w:t>
      </w:r>
      <w:r>
        <w:rPr>
          <w:rFonts w:ascii="Arial" w:hAnsi="Arial" w:cs="Arial"/>
          <w:b w:val="0"/>
          <w:bCs/>
          <w:caps w:val="0"/>
          <w:sz w:val="20"/>
          <w:u w:val="single"/>
        </w:rPr>
        <w:t>NES</w:t>
      </w:r>
      <w:r w:rsidRPr="00DB0F94">
        <w:rPr>
          <w:rFonts w:ascii="Arial" w:hAnsi="Arial" w:cs="Arial"/>
          <w:b w:val="0"/>
          <w:bCs/>
          <w:caps w:val="0"/>
          <w:sz w:val="20"/>
          <w:u w:val="single"/>
        </w:rPr>
        <w:t xml:space="preserve"> wrote the first draft of the manuscript. Authors </w:t>
      </w:r>
      <w:r>
        <w:rPr>
          <w:rFonts w:ascii="Arial" w:hAnsi="Arial" w:cs="Arial"/>
          <w:b w:val="0"/>
          <w:bCs/>
          <w:caps w:val="0"/>
          <w:sz w:val="20"/>
          <w:u w:val="single"/>
        </w:rPr>
        <w:t xml:space="preserve">NSA, NES and ENBE </w:t>
      </w:r>
      <w:r w:rsidRPr="00DB0F94">
        <w:rPr>
          <w:rFonts w:ascii="Arial" w:hAnsi="Arial" w:cs="Arial"/>
          <w:b w:val="0"/>
          <w:bCs/>
          <w:caps w:val="0"/>
          <w:sz w:val="20"/>
          <w:u w:val="single"/>
        </w:rPr>
        <w:t xml:space="preserve">managed the analyses of the study. Authors </w:t>
      </w:r>
      <w:r>
        <w:rPr>
          <w:rFonts w:ascii="Arial" w:hAnsi="Arial" w:cs="Arial"/>
          <w:b w:val="0"/>
          <w:bCs/>
          <w:caps w:val="0"/>
          <w:sz w:val="20"/>
          <w:u w:val="single"/>
        </w:rPr>
        <w:t>NSA</w:t>
      </w:r>
      <w:r w:rsidRPr="00DB0F94">
        <w:rPr>
          <w:rFonts w:ascii="Arial" w:hAnsi="Arial" w:cs="Arial"/>
          <w:b w:val="0"/>
          <w:bCs/>
          <w:caps w:val="0"/>
          <w:sz w:val="20"/>
          <w:u w:val="single"/>
        </w:rPr>
        <w:t xml:space="preserve">, </w:t>
      </w:r>
      <w:r>
        <w:rPr>
          <w:rFonts w:ascii="Arial" w:hAnsi="Arial" w:cs="Arial"/>
          <w:b w:val="0"/>
          <w:bCs/>
          <w:caps w:val="0"/>
          <w:sz w:val="20"/>
          <w:u w:val="single"/>
        </w:rPr>
        <w:t>DOB, AFD, ENBE</w:t>
      </w:r>
      <w:r w:rsidRPr="00DB0F94">
        <w:rPr>
          <w:rFonts w:ascii="Arial" w:hAnsi="Arial" w:cs="Arial"/>
          <w:b w:val="0"/>
          <w:bCs/>
          <w:caps w:val="0"/>
          <w:sz w:val="20"/>
          <w:u w:val="single"/>
        </w:rPr>
        <w:t xml:space="preserve"> and </w:t>
      </w:r>
      <w:r>
        <w:rPr>
          <w:rFonts w:ascii="Arial" w:hAnsi="Arial" w:cs="Arial"/>
          <w:b w:val="0"/>
          <w:bCs/>
          <w:caps w:val="0"/>
          <w:sz w:val="20"/>
          <w:u w:val="single"/>
        </w:rPr>
        <w:t>NES</w:t>
      </w:r>
      <w:r w:rsidRPr="00DB0F94">
        <w:rPr>
          <w:rFonts w:ascii="Arial" w:hAnsi="Arial" w:cs="Arial"/>
          <w:b w:val="0"/>
          <w:bCs/>
          <w:caps w:val="0"/>
          <w:sz w:val="20"/>
          <w:u w:val="single"/>
        </w:rPr>
        <w:t xml:space="preserve"> managed the literature searches. Authors </w:t>
      </w:r>
      <w:r>
        <w:rPr>
          <w:rFonts w:ascii="Arial" w:hAnsi="Arial" w:cs="Arial"/>
          <w:b w:val="0"/>
          <w:bCs/>
          <w:caps w:val="0"/>
          <w:sz w:val="20"/>
          <w:u w:val="single"/>
        </w:rPr>
        <w:t>NSA, NES and EMC</w:t>
      </w:r>
      <w:r w:rsidRPr="00DB0F94">
        <w:rPr>
          <w:rFonts w:ascii="Arial" w:hAnsi="Arial" w:cs="Arial"/>
          <w:b w:val="0"/>
          <w:bCs/>
          <w:caps w:val="0"/>
          <w:sz w:val="20"/>
          <w:u w:val="single"/>
        </w:rPr>
        <w:t xml:space="preserve"> revised the manuscript. All authors read and approved the final manuscript.</w:t>
      </w:r>
    </w:p>
    <w:p w14:paraId="3E570AD6" w14:textId="2A3F0D54"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DD4ED1">
        <w:rPr>
          <w:rFonts w:ascii="Arial" w:hAnsi="Arial" w:cs="Arial"/>
          <w:bCs/>
        </w:rPr>
        <w:t xml:space="preserve">And </w:t>
      </w:r>
      <w:r w:rsidR="00DD4ED1" w:rsidRPr="00DD4ED1">
        <w:rPr>
          <w:rFonts w:ascii="Arial" w:hAnsi="Arial" w:cs="Arial"/>
          <w:bCs/>
        </w:rPr>
        <w:t>consent</w:t>
      </w:r>
    </w:p>
    <w:p w14:paraId="2C47960D" w14:textId="77777777" w:rsidR="005C784C" w:rsidRPr="002B685A" w:rsidRDefault="005C784C" w:rsidP="00441B6F">
      <w:pPr>
        <w:pStyle w:val="ReferHead"/>
        <w:spacing w:after="0"/>
        <w:jc w:val="both"/>
        <w:rPr>
          <w:rFonts w:ascii="Arial" w:hAnsi="Arial" w:cs="Arial"/>
          <w:bCs/>
        </w:rPr>
      </w:pPr>
    </w:p>
    <w:p w14:paraId="2A2F1FEF" w14:textId="6773743C" w:rsidR="00043423" w:rsidRPr="00043423" w:rsidRDefault="00043423" w:rsidP="00ED5A2F">
      <w:pPr>
        <w:pStyle w:val="ReferHead"/>
        <w:jc w:val="both"/>
        <w:rPr>
          <w:rFonts w:ascii="Arial" w:hAnsi="Arial" w:cs="Arial"/>
          <w:bCs/>
        </w:rPr>
      </w:pPr>
      <w:r w:rsidRPr="00043423">
        <w:rPr>
          <w:rFonts w:ascii="Arial" w:hAnsi="Arial" w:cs="Arial"/>
          <w:b w:val="0"/>
          <w:bCs/>
          <w:caps w:val="0"/>
          <w:sz w:val="20"/>
        </w:rPr>
        <w:t>The study was conducted in strict adherence to ethical principles. Written informed consent (or assent for minors with guardian consent) was obtained from all participants after a detailed explanation of the study's purpose, procedures, benefits, and risks. All data collected were kept confidential; participant identifiers were removed and replaced with codes known only to the research team. The data were used solely for the purpose of this research and were securely stored and destroyed upon the study's completion.</w:t>
      </w:r>
    </w:p>
    <w:p w14:paraId="5C703D37" w14:textId="77777777" w:rsidR="00860000" w:rsidRDefault="00860000" w:rsidP="00441B6F">
      <w:pPr>
        <w:pStyle w:val="ReferHead"/>
        <w:spacing w:after="0"/>
        <w:jc w:val="both"/>
        <w:rPr>
          <w:rFonts w:ascii="Arial" w:hAnsi="Arial" w:cs="Arial"/>
        </w:rPr>
      </w:pPr>
    </w:p>
    <w:p w14:paraId="58E948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87C8903" w14:textId="77777777" w:rsidR="00790ADA" w:rsidRPr="00FB3A86" w:rsidRDefault="00790ADA" w:rsidP="00441B6F">
      <w:pPr>
        <w:pStyle w:val="ReferHead"/>
        <w:spacing w:after="0"/>
        <w:jc w:val="both"/>
        <w:rPr>
          <w:rFonts w:ascii="Arial" w:hAnsi="Arial" w:cs="Arial"/>
        </w:rPr>
      </w:pPr>
    </w:p>
    <w:p w14:paraId="20F5C022" w14:textId="77777777" w:rsidR="00DB0F94" w:rsidRPr="00DB0F94" w:rsidRDefault="00DB0F94" w:rsidP="00DB0F94">
      <w:pPr>
        <w:pStyle w:val="Body"/>
        <w:numPr>
          <w:ilvl w:val="0"/>
          <w:numId w:val="32"/>
        </w:numPr>
        <w:spacing w:after="0"/>
      </w:pPr>
      <w:r w:rsidRPr="00DB0F94">
        <w:t xml:space="preserve">World Health Organization. (2023). </w:t>
      </w:r>
      <w:r w:rsidRPr="00DB0F94">
        <w:rPr>
          <w:i/>
          <w:iCs/>
        </w:rPr>
        <w:t>World malaria report 2023</w:t>
      </w:r>
      <w:r w:rsidRPr="00DB0F94">
        <w:t xml:space="preserve">. Geneva: WHO. </w:t>
      </w:r>
      <w:hyperlink r:id="rId18" w:history="1">
        <w:r w:rsidRPr="00DB0F94">
          <w:rPr>
            <w:rStyle w:val="Hyperlink"/>
          </w:rPr>
          <w:t>https://www.who.int/publications/i/item/9789240070004</w:t>
        </w:r>
      </w:hyperlink>
      <w:r w:rsidRPr="00DB0F94">
        <w:t xml:space="preserve"> Accessed 6th October 2025</w:t>
      </w:r>
    </w:p>
    <w:p w14:paraId="0ED88F5A" w14:textId="77777777" w:rsidR="00DB0F94" w:rsidRPr="00DB0F94" w:rsidRDefault="00DB0F94" w:rsidP="00DB0F94">
      <w:pPr>
        <w:pStyle w:val="Body"/>
        <w:numPr>
          <w:ilvl w:val="0"/>
          <w:numId w:val="32"/>
        </w:numPr>
        <w:spacing w:after="0"/>
      </w:pPr>
      <w:r w:rsidRPr="00DB0F94">
        <w:t xml:space="preserve">World Health Organization. (2022). </w:t>
      </w:r>
      <w:r w:rsidRPr="00DB0F94">
        <w:rPr>
          <w:i/>
          <w:iCs/>
        </w:rPr>
        <w:t>World malaria report 2022</w:t>
      </w:r>
      <w:r w:rsidRPr="00DB0F94">
        <w:t xml:space="preserve">. Geneva: WHO. </w:t>
      </w:r>
      <w:hyperlink r:id="rId19" w:history="1">
        <w:r w:rsidRPr="00DB0F94">
          <w:rPr>
            <w:rStyle w:val="Hyperlink"/>
          </w:rPr>
          <w:t>https://www.who.int/publications/i/item/9789240064898</w:t>
        </w:r>
      </w:hyperlink>
      <w:r w:rsidRPr="00DB0F94">
        <w:t xml:space="preserve"> Accessed 6th October 2025</w:t>
      </w:r>
    </w:p>
    <w:p w14:paraId="25002F9C" w14:textId="77777777" w:rsidR="00DB0F94" w:rsidRPr="00DB0F94" w:rsidRDefault="00DB0F94" w:rsidP="00DB0F94">
      <w:pPr>
        <w:pStyle w:val="Body"/>
        <w:numPr>
          <w:ilvl w:val="0"/>
          <w:numId w:val="32"/>
        </w:numPr>
        <w:spacing w:after="0"/>
      </w:pPr>
      <w:r w:rsidRPr="00DB0F94">
        <w:t xml:space="preserve">Gallup, J. L., &amp; Sachs, J. D. (2001). The economic burden of malaria. </w:t>
      </w:r>
      <w:r w:rsidRPr="00DB0F94">
        <w:rPr>
          <w:i/>
          <w:iCs/>
        </w:rPr>
        <w:t>American Journal of Tropical Medicine and Hygiene</w:t>
      </w:r>
      <w:r w:rsidRPr="00DB0F94">
        <w:t xml:space="preserve">, 64(1_suppl), 85–96. </w:t>
      </w:r>
      <w:hyperlink r:id="rId20" w:history="1">
        <w:r w:rsidRPr="00DB0F94">
          <w:rPr>
            <w:rStyle w:val="Hyperlink"/>
          </w:rPr>
          <w:t>https://doi.org/10.4269/ajtmh.2001.64.85</w:t>
        </w:r>
      </w:hyperlink>
      <w:r w:rsidRPr="00DB0F94">
        <w:t xml:space="preserve"> </w:t>
      </w:r>
    </w:p>
    <w:p w14:paraId="132F4B31" w14:textId="77777777" w:rsidR="00DB0F94" w:rsidRPr="00DB0F94" w:rsidRDefault="00DB0F94" w:rsidP="00DB0F94">
      <w:pPr>
        <w:pStyle w:val="Body"/>
        <w:numPr>
          <w:ilvl w:val="0"/>
          <w:numId w:val="32"/>
        </w:numPr>
        <w:spacing w:after="0"/>
      </w:pPr>
      <w:r w:rsidRPr="00DB0F94">
        <w:t xml:space="preserve">Antonio-Nkondjio, C., Ndo, C., &amp; Atangana, J. (2016). Review of malaria situation in Cameroon: Technical and operational challenges for control and elimination. </w:t>
      </w:r>
      <w:r w:rsidRPr="00DB0F94">
        <w:rPr>
          <w:i/>
          <w:iCs/>
        </w:rPr>
        <w:t>Parasites &amp; Vectors</w:t>
      </w:r>
      <w:r w:rsidRPr="00DB0F94">
        <w:t xml:space="preserve">, 9, 225. </w:t>
      </w:r>
      <w:hyperlink r:id="rId21" w:history="1">
        <w:r w:rsidRPr="00DB0F94">
          <w:rPr>
            <w:rStyle w:val="Hyperlink"/>
          </w:rPr>
          <w:t>https://doi.org/10.1186/s13071-016-1525-5</w:t>
        </w:r>
      </w:hyperlink>
      <w:r w:rsidRPr="00DB0F94">
        <w:t xml:space="preserve"> </w:t>
      </w:r>
    </w:p>
    <w:p w14:paraId="18645046" w14:textId="77777777" w:rsidR="00DB0F94" w:rsidRPr="00DB0F94" w:rsidRDefault="00DB0F94" w:rsidP="00DB0F94">
      <w:pPr>
        <w:pStyle w:val="Body"/>
        <w:numPr>
          <w:ilvl w:val="0"/>
          <w:numId w:val="32"/>
        </w:numPr>
        <w:spacing w:after="0"/>
      </w:pPr>
      <w:r w:rsidRPr="00DB0F94">
        <w:t xml:space="preserve">World Health Organization. (2024). </w:t>
      </w:r>
      <w:r w:rsidRPr="00DB0F94">
        <w:rPr>
          <w:i/>
          <w:iCs/>
        </w:rPr>
        <w:t>Malaria 2024 Cameroon country profile</w:t>
      </w:r>
      <w:r w:rsidRPr="00DB0F94">
        <w:t xml:space="preserve">. Geneva: WHO. </w:t>
      </w:r>
      <w:hyperlink r:id="rId22" w:history="1">
        <w:r w:rsidRPr="00DB0F94">
          <w:rPr>
            <w:rStyle w:val="Hyperlink"/>
          </w:rPr>
          <w:t>https://www.who.int/publications/m/item/malaria-2024-cmr-country-profile</w:t>
        </w:r>
      </w:hyperlink>
      <w:r w:rsidRPr="00DB0F94">
        <w:t xml:space="preserve"> </w:t>
      </w:r>
    </w:p>
    <w:p w14:paraId="5B684D1E" w14:textId="77777777" w:rsidR="00DB0F94" w:rsidRPr="00DB0F94" w:rsidRDefault="00DB0F94" w:rsidP="00DB0F94">
      <w:pPr>
        <w:pStyle w:val="Body"/>
        <w:numPr>
          <w:ilvl w:val="0"/>
          <w:numId w:val="32"/>
        </w:numPr>
        <w:spacing w:after="0"/>
      </w:pPr>
      <w:r w:rsidRPr="00DB0F94">
        <w:t xml:space="preserve">Severe Malaria Observatory. (2024). </w:t>
      </w:r>
      <w:r w:rsidRPr="00DB0F94">
        <w:rPr>
          <w:i/>
          <w:iCs/>
        </w:rPr>
        <w:t>Malaria in Cameroon: Statistics &amp; facts</w:t>
      </w:r>
      <w:r w:rsidRPr="00DB0F94">
        <w:t xml:space="preserve">. </w:t>
      </w:r>
      <w:hyperlink r:id="rId23" w:history="1">
        <w:r w:rsidRPr="00DB0F94">
          <w:rPr>
            <w:rStyle w:val="Hyperlink"/>
          </w:rPr>
          <w:t>https://www.severemalaria.org/countries/cameroon</w:t>
        </w:r>
      </w:hyperlink>
      <w:r w:rsidRPr="00DB0F94">
        <w:t xml:space="preserve"> Accessed 1st October 2025</w:t>
      </w:r>
    </w:p>
    <w:p w14:paraId="4B6360DF" w14:textId="77777777" w:rsidR="00DB0F94" w:rsidRPr="00DB0F94" w:rsidRDefault="00DB0F94" w:rsidP="00DB0F94">
      <w:pPr>
        <w:pStyle w:val="Body"/>
        <w:numPr>
          <w:ilvl w:val="0"/>
          <w:numId w:val="32"/>
        </w:numPr>
        <w:spacing w:after="0"/>
      </w:pPr>
      <w:proofErr w:type="spellStart"/>
      <w:r w:rsidRPr="00DB0F94">
        <w:t>Hanboonkunupakarn</w:t>
      </w:r>
      <w:proofErr w:type="spellEnd"/>
      <w:r w:rsidRPr="00DB0F94">
        <w:t xml:space="preserve">, B., &amp; White, N. J. (2016). The threat of antimalarial drug resistance. </w:t>
      </w:r>
      <w:r w:rsidRPr="00DB0F94">
        <w:rPr>
          <w:i/>
          <w:iCs/>
        </w:rPr>
        <w:t>Trends in Parasitology</w:t>
      </w:r>
      <w:r w:rsidRPr="00DB0F94">
        <w:t xml:space="preserve">, 32(3), 187–196. </w:t>
      </w:r>
      <w:hyperlink r:id="rId24" w:history="1">
        <w:r w:rsidRPr="00DB0F94">
          <w:rPr>
            <w:rStyle w:val="Hyperlink"/>
          </w:rPr>
          <w:t>https://doi.org/10.1016/j.pt.2015.11.010</w:t>
        </w:r>
      </w:hyperlink>
      <w:r w:rsidRPr="00DB0F94">
        <w:t xml:space="preserve"> </w:t>
      </w:r>
    </w:p>
    <w:p w14:paraId="3E883735" w14:textId="77777777" w:rsidR="00DB0F94" w:rsidRPr="00DB0F94" w:rsidRDefault="00DB0F94" w:rsidP="00DB0F94">
      <w:pPr>
        <w:pStyle w:val="Body"/>
        <w:numPr>
          <w:ilvl w:val="0"/>
          <w:numId w:val="32"/>
        </w:numPr>
        <w:spacing w:after="0"/>
      </w:pPr>
      <w:r w:rsidRPr="00DB0F94">
        <w:t xml:space="preserve">Uwimana, A., </w:t>
      </w:r>
      <w:proofErr w:type="spellStart"/>
      <w:r w:rsidRPr="00DB0F94">
        <w:t>Umulisa</w:t>
      </w:r>
      <w:proofErr w:type="spellEnd"/>
      <w:r w:rsidRPr="00DB0F94">
        <w:t xml:space="preserve">, N., Venkatesan, M., Svigel, S. S., Zhou, Z., </w:t>
      </w:r>
      <w:proofErr w:type="spellStart"/>
      <w:r w:rsidRPr="00DB0F94">
        <w:t>Munyaneza</w:t>
      </w:r>
      <w:proofErr w:type="spellEnd"/>
      <w:r w:rsidRPr="00DB0F94">
        <w:t xml:space="preserve">, T., ... &amp; Mwesigwa, J. (2020). Emergence and clonal expansion of artemisinin-resistant </w:t>
      </w:r>
      <w:r w:rsidRPr="00DB0F94">
        <w:rPr>
          <w:i/>
          <w:iCs/>
        </w:rPr>
        <w:t>Plasmodium falciparum</w:t>
      </w:r>
      <w:r w:rsidRPr="00DB0F94">
        <w:t xml:space="preserve"> in Rwanda. </w:t>
      </w:r>
      <w:r w:rsidRPr="00DB0F94">
        <w:rPr>
          <w:i/>
          <w:iCs/>
        </w:rPr>
        <w:t>Nature Medicine</w:t>
      </w:r>
      <w:r w:rsidRPr="00DB0F94">
        <w:t xml:space="preserve">, 26(10), 1602–1608. </w:t>
      </w:r>
      <w:hyperlink r:id="rId25" w:history="1">
        <w:r w:rsidRPr="00DB0F94">
          <w:rPr>
            <w:rStyle w:val="Hyperlink"/>
          </w:rPr>
          <w:t>https://doi.org/10.1038/s41591-020-1005-2</w:t>
        </w:r>
      </w:hyperlink>
      <w:r w:rsidRPr="00DB0F94">
        <w:t xml:space="preserve"> </w:t>
      </w:r>
    </w:p>
    <w:p w14:paraId="0ABAD130" w14:textId="77777777" w:rsidR="00DB0F94" w:rsidRDefault="00DB0F94" w:rsidP="00DB0F94">
      <w:pPr>
        <w:pStyle w:val="Body"/>
        <w:numPr>
          <w:ilvl w:val="0"/>
          <w:numId w:val="32"/>
        </w:numPr>
        <w:spacing w:after="0"/>
      </w:pPr>
      <w:proofErr w:type="spellStart"/>
      <w:r w:rsidRPr="00DB0F94">
        <w:t>Balikagala</w:t>
      </w:r>
      <w:proofErr w:type="spellEnd"/>
      <w:r w:rsidRPr="00DB0F94">
        <w:t xml:space="preserve">, B., Fukuda, N., Ikeda, M., </w:t>
      </w:r>
      <w:proofErr w:type="spellStart"/>
      <w:r w:rsidRPr="00DB0F94">
        <w:t>Katuro</w:t>
      </w:r>
      <w:proofErr w:type="spellEnd"/>
      <w:r w:rsidRPr="00DB0F94">
        <w:t xml:space="preserve">, O. T., Yamauchi, M., Opio, W., ... &amp; Mita, T. (2021). Evidence of artemisinin-resistant malaria in Africa. </w:t>
      </w:r>
      <w:r w:rsidRPr="00DB0F94">
        <w:rPr>
          <w:i/>
          <w:iCs/>
        </w:rPr>
        <w:t>New England Journal of Medicine</w:t>
      </w:r>
      <w:r w:rsidRPr="00DB0F94">
        <w:t xml:space="preserve">, 385(13), 1163–1171. </w:t>
      </w:r>
      <w:hyperlink r:id="rId26" w:history="1">
        <w:r w:rsidRPr="00DB0F94">
          <w:rPr>
            <w:rStyle w:val="Hyperlink"/>
          </w:rPr>
          <w:t>https://doi.org/10.1056/NEJMoa2101746</w:t>
        </w:r>
      </w:hyperlink>
      <w:r w:rsidRPr="00DB0F94">
        <w:t xml:space="preserve"> </w:t>
      </w:r>
    </w:p>
    <w:p w14:paraId="6A5141EE" w14:textId="0119CC34" w:rsidR="005E45FF" w:rsidRPr="00DB0F94" w:rsidRDefault="005E45FF" w:rsidP="005E45FF">
      <w:pPr>
        <w:pStyle w:val="ds-markdown-paragraph"/>
        <w:numPr>
          <w:ilvl w:val="0"/>
          <w:numId w:val="32"/>
        </w:numPr>
      </w:pPr>
      <w:r>
        <w:lastRenderedPageBreak/>
        <w:t xml:space="preserve">Blasco, B., Leroy, D., &amp; Fidock, D. A. (2017). Antimalarial drug resistance: linking </w:t>
      </w:r>
      <w:r>
        <w:rPr>
          <w:rStyle w:val="Emphasis"/>
        </w:rPr>
        <w:t>Plasmodium falciparum</w:t>
      </w:r>
      <w:r>
        <w:t xml:space="preserve"> parasite biology to the clinic. </w:t>
      </w:r>
      <w:r>
        <w:rPr>
          <w:rStyle w:val="Emphasis"/>
        </w:rPr>
        <w:t>Nature Medicine</w:t>
      </w:r>
      <w:r>
        <w:t xml:space="preserve">, 23(8), 917–928. </w:t>
      </w:r>
      <w:hyperlink r:id="rId27" w:tgtFrame="_blank" w:history="1">
        <w:r>
          <w:rPr>
            <w:rStyle w:val="Hyperlink"/>
          </w:rPr>
          <w:t>https://doi.org/10.1038/nm.4381</w:t>
        </w:r>
      </w:hyperlink>
    </w:p>
    <w:p w14:paraId="3BF7C540" w14:textId="77777777" w:rsidR="00DB0F94" w:rsidRPr="00DB0F94" w:rsidRDefault="00DB0F94" w:rsidP="00DB0F94">
      <w:pPr>
        <w:pStyle w:val="Body"/>
        <w:numPr>
          <w:ilvl w:val="0"/>
          <w:numId w:val="32"/>
        </w:numPr>
        <w:spacing w:after="0"/>
      </w:pPr>
      <w:r w:rsidRPr="00DB0F94">
        <w:t xml:space="preserve">World Health Organization. (2015). </w:t>
      </w:r>
      <w:r w:rsidRPr="00DB0F94">
        <w:rPr>
          <w:i/>
          <w:iCs/>
        </w:rPr>
        <w:t>Global technical strategy for malaria 2016–2030</w:t>
      </w:r>
      <w:r w:rsidRPr="00DB0F94">
        <w:t>. Geneva: WHO. https://doi.org/10.1016/S0140-6736(15)60776-0</w:t>
      </w:r>
    </w:p>
    <w:p w14:paraId="2B57058A" w14:textId="77777777" w:rsidR="00DB0F94" w:rsidRPr="00DB0F94" w:rsidRDefault="00DB0F94" w:rsidP="00DB0F94">
      <w:pPr>
        <w:pStyle w:val="Body"/>
        <w:numPr>
          <w:ilvl w:val="0"/>
          <w:numId w:val="32"/>
        </w:numPr>
        <w:spacing w:after="0"/>
      </w:pPr>
      <w:r w:rsidRPr="002416EB">
        <w:rPr>
          <w:lang w:val="fr-FR"/>
        </w:rPr>
        <w:t xml:space="preserve">Hopkins, H., </w:t>
      </w:r>
      <w:proofErr w:type="spellStart"/>
      <w:r w:rsidRPr="002416EB">
        <w:rPr>
          <w:lang w:val="fr-FR"/>
        </w:rPr>
        <w:t>Bruxvoort</w:t>
      </w:r>
      <w:proofErr w:type="spellEnd"/>
      <w:r w:rsidRPr="002416EB">
        <w:rPr>
          <w:lang w:val="fr-FR"/>
        </w:rPr>
        <w:t xml:space="preserve">, K. J., Cairns, M. E., Chandler, C. I., </w:t>
      </w:r>
      <w:proofErr w:type="spellStart"/>
      <w:r w:rsidRPr="002416EB">
        <w:rPr>
          <w:lang w:val="fr-FR"/>
        </w:rPr>
        <w:t>Leurent</w:t>
      </w:r>
      <w:proofErr w:type="spellEnd"/>
      <w:r w:rsidRPr="002416EB">
        <w:rPr>
          <w:lang w:val="fr-FR"/>
        </w:rPr>
        <w:t xml:space="preserve">, B., </w:t>
      </w:r>
      <w:proofErr w:type="spellStart"/>
      <w:r w:rsidRPr="002416EB">
        <w:rPr>
          <w:lang w:val="fr-FR"/>
        </w:rPr>
        <w:t>Ansah</w:t>
      </w:r>
      <w:proofErr w:type="spellEnd"/>
      <w:r w:rsidRPr="002416EB">
        <w:rPr>
          <w:lang w:val="fr-FR"/>
        </w:rPr>
        <w:t xml:space="preserve">, E. K., ... </w:t>
      </w:r>
      <w:r w:rsidRPr="00DB0F94">
        <w:t xml:space="preserve">&amp; Whitty, C. J. (2017). Impact of diagnostic testing on malaria treatment practices in Africa. </w:t>
      </w:r>
      <w:r w:rsidRPr="00DB0F94">
        <w:rPr>
          <w:i/>
          <w:iCs/>
        </w:rPr>
        <w:t>BMJ Global Health</w:t>
      </w:r>
      <w:r w:rsidRPr="00DB0F94">
        <w:t xml:space="preserve">, 2(2), e000304. </w:t>
      </w:r>
      <w:hyperlink r:id="rId28" w:history="1">
        <w:r w:rsidRPr="00DB0F94">
          <w:rPr>
            <w:rStyle w:val="Hyperlink"/>
          </w:rPr>
          <w:t>https://doi.org/10.1136/bmjgh-2017-000304</w:t>
        </w:r>
      </w:hyperlink>
      <w:r w:rsidRPr="00DB0F94">
        <w:t xml:space="preserve"> </w:t>
      </w:r>
    </w:p>
    <w:p w14:paraId="447C3814" w14:textId="77777777" w:rsidR="00DB0F94" w:rsidRPr="00DB0F94" w:rsidRDefault="00DB0F94" w:rsidP="00DB0F94">
      <w:pPr>
        <w:pStyle w:val="Body"/>
        <w:numPr>
          <w:ilvl w:val="0"/>
          <w:numId w:val="32"/>
        </w:numPr>
        <w:spacing w:after="0"/>
      </w:pPr>
      <w:r w:rsidRPr="00DB0F94">
        <w:t xml:space="preserve"> National Malaria Control Program. (2014). </w:t>
      </w:r>
      <w:r w:rsidRPr="00DB0F94">
        <w:rPr>
          <w:i/>
          <w:iCs/>
        </w:rPr>
        <w:t>National malaria control guidelines</w:t>
      </w:r>
      <w:r w:rsidRPr="00DB0F94">
        <w:t>. Yaoundé: Ministry of Public Health.</w:t>
      </w:r>
    </w:p>
    <w:p w14:paraId="6C8032E7" w14:textId="77777777" w:rsidR="00DB0F94" w:rsidRPr="00DB0F94" w:rsidRDefault="00DB0F94" w:rsidP="00DB0F94">
      <w:pPr>
        <w:pStyle w:val="Body"/>
        <w:numPr>
          <w:ilvl w:val="0"/>
          <w:numId w:val="32"/>
        </w:numPr>
        <w:spacing w:after="0"/>
      </w:pPr>
      <w:r w:rsidRPr="00DB0F94">
        <w:t xml:space="preserve">Newby, G., Bennett, A., Larson, E., Cotter, C., &amp; Gosling, R. (2023). Malaria case management in sub-Saharan Africa: A review of prescriber practices. </w:t>
      </w:r>
      <w:r w:rsidRPr="00DB0F94">
        <w:rPr>
          <w:i/>
          <w:iCs/>
        </w:rPr>
        <w:t>The Lancet Global Health</w:t>
      </w:r>
      <w:r w:rsidRPr="00DB0F94">
        <w:t xml:space="preserve">, 11(5), e678–e690. </w:t>
      </w:r>
      <w:hyperlink r:id="rId29" w:history="1">
        <w:r w:rsidRPr="00DB0F94">
          <w:rPr>
            <w:rStyle w:val="Hyperlink"/>
          </w:rPr>
          <w:t>https://doi.org/10.1016/S2214-109X(23)00045-2</w:t>
        </w:r>
      </w:hyperlink>
      <w:r w:rsidRPr="00DB0F94">
        <w:t xml:space="preserve"> </w:t>
      </w:r>
    </w:p>
    <w:p w14:paraId="0D2DA761" w14:textId="77777777" w:rsidR="00DB0F94" w:rsidRPr="00DB0F94" w:rsidRDefault="00DB0F94" w:rsidP="00DB0F94">
      <w:pPr>
        <w:pStyle w:val="Body"/>
        <w:numPr>
          <w:ilvl w:val="0"/>
          <w:numId w:val="32"/>
        </w:numPr>
        <w:spacing w:after="0"/>
      </w:pPr>
      <w:proofErr w:type="spellStart"/>
      <w:r w:rsidRPr="00DB0F94">
        <w:t>Zurovac</w:t>
      </w:r>
      <w:proofErr w:type="spellEnd"/>
      <w:r w:rsidRPr="00DB0F94">
        <w:t xml:space="preserve">, D., </w:t>
      </w:r>
      <w:proofErr w:type="spellStart"/>
      <w:r w:rsidRPr="00DB0F94">
        <w:t>Talisuna</w:t>
      </w:r>
      <w:proofErr w:type="spellEnd"/>
      <w:r w:rsidRPr="00DB0F94">
        <w:t xml:space="preserve">, A. O., &amp; Snow, R. W. (2014). Mobile phone text messaging: Tool for malaria control in Africa. </w:t>
      </w:r>
      <w:r w:rsidRPr="00DB0F94">
        <w:rPr>
          <w:i/>
          <w:iCs/>
        </w:rPr>
        <w:t>Malaria Journal</w:t>
      </w:r>
      <w:r w:rsidRPr="00DB0F94">
        <w:t xml:space="preserve">, 13, 1–10. </w:t>
      </w:r>
      <w:hyperlink r:id="rId30" w:history="1">
        <w:r w:rsidRPr="00DB0F94">
          <w:rPr>
            <w:rStyle w:val="Hyperlink"/>
          </w:rPr>
          <w:t>https://doi.org/10.1186/1475-2875-13-1</w:t>
        </w:r>
      </w:hyperlink>
    </w:p>
    <w:p w14:paraId="2B7AF79A" w14:textId="77777777" w:rsidR="00DB0F94" w:rsidRPr="00DB0F94" w:rsidRDefault="00DB0F94" w:rsidP="00DB0F94">
      <w:pPr>
        <w:pStyle w:val="Body"/>
        <w:numPr>
          <w:ilvl w:val="0"/>
          <w:numId w:val="32"/>
        </w:numPr>
        <w:spacing w:after="0"/>
      </w:pPr>
      <w:r w:rsidRPr="00DB0F94">
        <w:t xml:space="preserve">Egbe T.O., </w:t>
      </w:r>
      <w:proofErr w:type="spellStart"/>
      <w:r w:rsidRPr="00DB0F94">
        <w:t>Omeichu</w:t>
      </w:r>
      <w:proofErr w:type="spellEnd"/>
      <w:r w:rsidRPr="00DB0F94">
        <w:t xml:space="preserve"> A., Halle-</w:t>
      </w:r>
      <w:proofErr w:type="spellStart"/>
      <w:r w:rsidRPr="00DB0F94">
        <w:t>Ekane</w:t>
      </w:r>
      <w:proofErr w:type="spellEnd"/>
      <w:r w:rsidRPr="00DB0F94">
        <w:t xml:space="preserve"> G.E., </w:t>
      </w:r>
      <w:proofErr w:type="spellStart"/>
      <w:r w:rsidRPr="00DB0F94">
        <w:t>Tchente</w:t>
      </w:r>
      <w:proofErr w:type="spellEnd"/>
      <w:r w:rsidRPr="00DB0F94">
        <w:t xml:space="preserve"> C.N., Egbe E-N. &amp; Oury J-F. (2015). Prevalence and outcome of teenage hospital births at the </w:t>
      </w:r>
      <w:proofErr w:type="spellStart"/>
      <w:r w:rsidRPr="00DB0F94">
        <w:t>buea</w:t>
      </w:r>
      <w:proofErr w:type="spellEnd"/>
      <w:r w:rsidRPr="00DB0F94">
        <w:t xml:space="preserve"> health district, South West Region, Cameroon. Reproductive Health, 12:118. </w:t>
      </w:r>
      <w:hyperlink r:id="rId31" w:history="1">
        <w:r w:rsidRPr="00DB0F94">
          <w:rPr>
            <w:rStyle w:val="Hyperlink"/>
          </w:rPr>
          <w:t>https://doi.org/10.1186/s12978-015-0109-5</w:t>
        </w:r>
      </w:hyperlink>
      <w:r w:rsidRPr="00DB0F94">
        <w:t xml:space="preserve"> </w:t>
      </w:r>
    </w:p>
    <w:p w14:paraId="27798DBD" w14:textId="77777777" w:rsidR="00DB0F94" w:rsidRPr="00DB0F94" w:rsidRDefault="00DB0F94" w:rsidP="00DB0F94">
      <w:pPr>
        <w:pStyle w:val="Body"/>
        <w:numPr>
          <w:ilvl w:val="0"/>
          <w:numId w:val="32"/>
        </w:numPr>
        <w:spacing w:after="0"/>
      </w:pPr>
      <w:r w:rsidRPr="00DB0F94">
        <w:t xml:space="preserve">National Institute of Statistics (NIS), National Malaria Control </w:t>
      </w:r>
      <w:proofErr w:type="spellStart"/>
      <w:r w:rsidRPr="00DB0F94">
        <w:t>Programme</w:t>
      </w:r>
      <w:proofErr w:type="spellEnd"/>
      <w:r w:rsidRPr="00DB0F94">
        <w:t xml:space="preserve"> (NMCP), and ICF. 2023. Cameroon Malaria Indicator Survey 2022. Key Indicators Report. </w:t>
      </w:r>
      <w:proofErr w:type="spellStart"/>
      <w:r w:rsidRPr="00DB0F94">
        <w:t>Yaounde</w:t>
      </w:r>
      <w:proofErr w:type="spellEnd"/>
      <w:r w:rsidRPr="00DB0F94">
        <w:t>, Cameroon, and Rockville, Maryland, USA: NIS, NMCP, and ICF.</w:t>
      </w:r>
    </w:p>
    <w:p w14:paraId="7D3F4760" w14:textId="77777777" w:rsidR="00DB0F94" w:rsidRPr="00DB0F94" w:rsidRDefault="00DB0F94" w:rsidP="00DB0F94">
      <w:pPr>
        <w:pStyle w:val="Body"/>
        <w:numPr>
          <w:ilvl w:val="0"/>
          <w:numId w:val="32"/>
        </w:numPr>
        <w:spacing w:after="0"/>
      </w:pPr>
      <w:r w:rsidRPr="00DB0F94">
        <w:t xml:space="preserve">PMI Cameroon Malaria Profile (2024). Available: </w:t>
      </w:r>
      <w:hyperlink r:id="rId32" w:history="1">
        <w:r w:rsidRPr="00DB0F94">
          <w:rPr>
            <w:rStyle w:val="Hyperlink"/>
          </w:rPr>
          <w:t>https://mesamalaria.org/wp-content/uploads/2025/04/CAMEROON_Malaria_Profile_PMI_FY_2024.pdf</w:t>
        </w:r>
      </w:hyperlink>
      <w:r w:rsidRPr="00DB0F94">
        <w:t xml:space="preserve"> Accessed 03/10/2025</w:t>
      </w:r>
    </w:p>
    <w:p w14:paraId="7FA22528" w14:textId="77777777" w:rsidR="00DB0F94" w:rsidRPr="00DB0F94" w:rsidRDefault="00DB0F94" w:rsidP="00DB0F94">
      <w:pPr>
        <w:pStyle w:val="Body"/>
        <w:numPr>
          <w:ilvl w:val="0"/>
          <w:numId w:val="32"/>
        </w:numPr>
        <w:spacing w:after="0"/>
      </w:pPr>
      <w:r w:rsidRPr="00DB0F94">
        <w:t>World Health Organization (WHO) (2012). Case management guide for participants. WHO Library Cataloguing-in-Publication Data</w:t>
      </w:r>
    </w:p>
    <w:p w14:paraId="0A787655" w14:textId="77777777" w:rsidR="00DB0F94" w:rsidRPr="00DB0F94" w:rsidRDefault="00DB0F94" w:rsidP="00DB0F94">
      <w:pPr>
        <w:pStyle w:val="Body"/>
        <w:numPr>
          <w:ilvl w:val="0"/>
          <w:numId w:val="32"/>
        </w:numPr>
        <w:spacing w:after="0"/>
      </w:pPr>
      <w:proofErr w:type="spellStart"/>
      <w:r w:rsidRPr="00DB0F94">
        <w:t>Zefack</w:t>
      </w:r>
      <w:proofErr w:type="spellEnd"/>
      <w:r w:rsidRPr="00DB0F94">
        <w:t xml:space="preserve">, J.T., </w:t>
      </w:r>
      <w:proofErr w:type="spellStart"/>
      <w:r w:rsidRPr="00DB0F94">
        <w:t>Awatboh</w:t>
      </w:r>
      <w:proofErr w:type="spellEnd"/>
      <w:r w:rsidRPr="00DB0F94">
        <w:t xml:space="preserve">, F., </w:t>
      </w:r>
      <w:proofErr w:type="spellStart"/>
      <w:r w:rsidRPr="00DB0F94">
        <w:t>Yankam</w:t>
      </w:r>
      <w:proofErr w:type="spellEnd"/>
      <w:r w:rsidRPr="00DB0F94">
        <w:t xml:space="preserve">, B.M., Che D.S., </w:t>
      </w:r>
      <w:proofErr w:type="spellStart"/>
      <w:r w:rsidRPr="00DB0F94">
        <w:t>Adanze</w:t>
      </w:r>
      <w:proofErr w:type="spellEnd"/>
      <w:r w:rsidRPr="00DB0F94">
        <w:t xml:space="preserve"> N.C., </w:t>
      </w:r>
      <w:proofErr w:type="spellStart"/>
      <w:r w:rsidRPr="00DB0F94">
        <w:t>Kibu</w:t>
      </w:r>
      <w:proofErr w:type="spellEnd"/>
      <w:r w:rsidRPr="00DB0F94">
        <w:t xml:space="preserve"> O.D., </w:t>
      </w:r>
      <w:proofErr w:type="spellStart"/>
      <w:r w:rsidRPr="00DB0F94">
        <w:t>Ajamah</w:t>
      </w:r>
      <w:proofErr w:type="spellEnd"/>
      <w:r w:rsidRPr="00DB0F94">
        <w:t xml:space="preserve"> F., </w:t>
      </w:r>
      <w:proofErr w:type="spellStart"/>
      <w:r w:rsidRPr="00DB0F94">
        <w:t>Ndive</w:t>
      </w:r>
      <w:proofErr w:type="spellEnd"/>
      <w:r w:rsidRPr="00DB0F94">
        <w:t xml:space="preserve"> C.A. &amp; </w:t>
      </w:r>
      <w:proofErr w:type="spellStart"/>
      <w:r w:rsidRPr="00DB0F94">
        <w:t>Tiayah</w:t>
      </w:r>
      <w:proofErr w:type="spellEnd"/>
      <w:r w:rsidRPr="00DB0F94">
        <w:t xml:space="preserve"> P.F. (2025). Malaria burden and social determinants in Cameroon. </w:t>
      </w:r>
      <w:proofErr w:type="spellStart"/>
      <w:r w:rsidRPr="00DB0F94">
        <w:rPr>
          <w:i/>
          <w:iCs/>
        </w:rPr>
        <w:t>Discov</w:t>
      </w:r>
      <w:proofErr w:type="spellEnd"/>
      <w:r w:rsidRPr="00DB0F94">
        <w:rPr>
          <w:i/>
          <w:iCs/>
        </w:rPr>
        <w:t xml:space="preserve"> Public Health</w:t>
      </w:r>
      <w:r w:rsidRPr="00DB0F94">
        <w:t> </w:t>
      </w:r>
      <w:r w:rsidRPr="00DB0F94">
        <w:rPr>
          <w:b/>
          <w:bCs/>
        </w:rPr>
        <w:t>22</w:t>
      </w:r>
      <w:r w:rsidRPr="00DB0F94">
        <w:t xml:space="preserve">, 434. </w:t>
      </w:r>
      <w:hyperlink r:id="rId33" w:history="1">
        <w:r w:rsidRPr="00DB0F94">
          <w:rPr>
            <w:rStyle w:val="Hyperlink"/>
          </w:rPr>
          <w:t>https://doi.org/10.1186/s12982-025-00833-x</w:t>
        </w:r>
      </w:hyperlink>
    </w:p>
    <w:p w14:paraId="4A6045AA" w14:textId="77777777" w:rsidR="00DB0F94" w:rsidRPr="00DB0F94" w:rsidRDefault="00DB0F94" w:rsidP="00DB0F94">
      <w:pPr>
        <w:pStyle w:val="Body"/>
        <w:numPr>
          <w:ilvl w:val="0"/>
          <w:numId w:val="32"/>
        </w:numPr>
        <w:spacing w:after="0"/>
      </w:pPr>
      <w:r w:rsidRPr="00DB0F94">
        <w:t xml:space="preserve">Kuete, T., </w:t>
      </w:r>
      <w:proofErr w:type="spellStart"/>
      <w:r w:rsidRPr="00DB0F94">
        <w:t>Mvoa</w:t>
      </w:r>
      <w:proofErr w:type="spellEnd"/>
      <w:r w:rsidRPr="00DB0F94">
        <w:t xml:space="preserve"> E.E., </w:t>
      </w:r>
      <w:proofErr w:type="spellStart"/>
      <w:r w:rsidRPr="00DB0F94">
        <w:t>Yinyang</w:t>
      </w:r>
      <w:proofErr w:type="spellEnd"/>
      <w:r w:rsidRPr="00DB0F94">
        <w:t xml:space="preserve"> J., </w:t>
      </w:r>
      <w:proofErr w:type="spellStart"/>
      <w:r w:rsidRPr="00DB0F94">
        <w:t>Priso</w:t>
      </w:r>
      <w:proofErr w:type="spellEnd"/>
      <w:r w:rsidRPr="00DB0F94">
        <w:t xml:space="preserve"> A.E., </w:t>
      </w:r>
      <w:proofErr w:type="spellStart"/>
      <w:r w:rsidRPr="00DB0F94">
        <w:t>Chamabe</w:t>
      </w:r>
      <w:proofErr w:type="spellEnd"/>
      <w:r w:rsidRPr="00DB0F94">
        <w:t xml:space="preserve"> P.C.G., </w:t>
      </w:r>
      <w:proofErr w:type="spellStart"/>
      <w:r w:rsidRPr="00DB0F94">
        <w:t>Mpondo</w:t>
      </w:r>
      <w:proofErr w:type="spellEnd"/>
      <w:r w:rsidRPr="00DB0F94">
        <w:t xml:space="preserve"> E.M., </w:t>
      </w:r>
      <w:proofErr w:type="spellStart"/>
      <w:r w:rsidRPr="00DB0F94">
        <w:t>Ekobo</w:t>
      </w:r>
      <w:proofErr w:type="spellEnd"/>
      <w:r w:rsidRPr="00DB0F94">
        <w:t xml:space="preserve"> A.S. (2016) Pattern of Uncomplicated </w:t>
      </w:r>
      <w:proofErr w:type="spellStart"/>
      <w:r w:rsidRPr="00DB0F94">
        <w:t>MalariaTreatment</w:t>
      </w:r>
      <w:proofErr w:type="spellEnd"/>
      <w:r w:rsidRPr="00DB0F94">
        <w:t xml:space="preserve"> and Antimalarial Prescription Practices among Health Workers in </w:t>
      </w:r>
      <w:proofErr w:type="spellStart"/>
      <w:r w:rsidRPr="00DB0F94">
        <w:t>theLittoral</w:t>
      </w:r>
      <w:proofErr w:type="spellEnd"/>
      <w:r w:rsidRPr="00DB0F94">
        <w:t xml:space="preserve"> Region of Cameroon: An Assessment Ten Years Post-Malaria Treatment Policy Change. Pharmacology &amp; Pharmacy, 7, 217-225. </w:t>
      </w:r>
      <w:hyperlink r:id="rId34" w:history="1">
        <w:r w:rsidRPr="00DB0F94">
          <w:rPr>
            <w:rStyle w:val="Hyperlink"/>
          </w:rPr>
          <w:t>http://dx.doi.org/10.4236/pp.2016.76028</w:t>
        </w:r>
      </w:hyperlink>
    </w:p>
    <w:p w14:paraId="6A5D59BB" w14:textId="77777777" w:rsidR="00DB0F94" w:rsidRPr="00DB0F94" w:rsidRDefault="00DB0F94" w:rsidP="00DB0F94">
      <w:pPr>
        <w:pStyle w:val="Body"/>
        <w:numPr>
          <w:ilvl w:val="0"/>
          <w:numId w:val="32"/>
        </w:numPr>
        <w:spacing w:after="0"/>
      </w:pPr>
      <w:proofErr w:type="spellStart"/>
      <w:r w:rsidRPr="00DB0F94">
        <w:t>Parsel</w:t>
      </w:r>
      <w:proofErr w:type="spellEnd"/>
      <w:r w:rsidRPr="00DB0F94">
        <w:t xml:space="preserve"> SM, Gustafson SA, Friedlander E, </w:t>
      </w:r>
      <w:proofErr w:type="spellStart"/>
      <w:r w:rsidRPr="00DB0F94">
        <w:t>Shnyra</w:t>
      </w:r>
      <w:proofErr w:type="spellEnd"/>
      <w:r w:rsidRPr="00DB0F94">
        <w:t xml:space="preserve"> AA, </w:t>
      </w:r>
      <w:proofErr w:type="spellStart"/>
      <w:r w:rsidRPr="00DB0F94">
        <w:t>Adegbulu</w:t>
      </w:r>
      <w:proofErr w:type="spellEnd"/>
      <w:r w:rsidRPr="00DB0F94">
        <w:t xml:space="preserve"> AJ, Liu Y, Parrish NM, Jamal SA, Lofthus E, </w:t>
      </w:r>
      <w:proofErr w:type="spellStart"/>
      <w:r w:rsidRPr="00DB0F94">
        <w:t>Ayuk</w:t>
      </w:r>
      <w:proofErr w:type="spellEnd"/>
      <w:r w:rsidRPr="00DB0F94">
        <w:t xml:space="preserve"> L, </w:t>
      </w:r>
      <w:proofErr w:type="spellStart"/>
      <w:r w:rsidRPr="00DB0F94">
        <w:t>Awasom</w:t>
      </w:r>
      <w:proofErr w:type="spellEnd"/>
      <w:r w:rsidRPr="00DB0F94">
        <w:t xml:space="preserve"> C, Henry CJ, McArthur CP. (2017). Malaria over-diagnosis in Cameroon: diagnostic accuracy of Fluorescence and Staining Technologies (FAST) Malaria Stain and LED microscopy versus Giemsa and bright field microscopy validated by polymerase chain reaction. Infectious Diseases of Poverty, 4;6(1):32. </w:t>
      </w:r>
      <w:hyperlink r:id="rId35" w:history="1">
        <w:r w:rsidRPr="00DB0F94">
          <w:rPr>
            <w:rStyle w:val="Hyperlink"/>
          </w:rPr>
          <w:t>http://dx.doi.org/10.1186/s40249-017-0251-0</w:t>
        </w:r>
      </w:hyperlink>
      <w:r w:rsidRPr="00DB0F94">
        <w:t xml:space="preserve">.   </w:t>
      </w:r>
    </w:p>
    <w:p w14:paraId="1A484602" w14:textId="77777777" w:rsidR="00DB0F94" w:rsidRPr="00DB0F94" w:rsidRDefault="00DB0F94" w:rsidP="00DB0F94">
      <w:pPr>
        <w:pStyle w:val="Body"/>
        <w:numPr>
          <w:ilvl w:val="0"/>
          <w:numId w:val="32"/>
        </w:numPr>
        <w:spacing w:after="0"/>
        <w:rPr>
          <w:lang w:val="en-GB"/>
        </w:rPr>
      </w:pPr>
      <w:proofErr w:type="spellStart"/>
      <w:r w:rsidRPr="00DB0F94">
        <w:t>Ngalame</w:t>
      </w:r>
      <w:proofErr w:type="spellEnd"/>
      <w:r w:rsidRPr="00DB0F94">
        <w:t xml:space="preserve"> AL, Watching D, </w:t>
      </w:r>
      <w:proofErr w:type="spellStart"/>
      <w:r w:rsidRPr="00DB0F94">
        <w:t>Kibu</w:t>
      </w:r>
      <w:proofErr w:type="spellEnd"/>
      <w:r w:rsidRPr="00DB0F94">
        <w:t xml:space="preserve"> OZ, </w:t>
      </w:r>
      <w:proofErr w:type="spellStart"/>
      <w:r w:rsidRPr="00DB0F94">
        <w:t>Zeukóo</w:t>
      </w:r>
      <w:proofErr w:type="spellEnd"/>
      <w:r w:rsidRPr="00DB0F94">
        <w:t xml:space="preserve"> EM, </w:t>
      </w:r>
      <w:proofErr w:type="spellStart"/>
      <w:r w:rsidRPr="00DB0F94">
        <w:t>Nsagha</w:t>
      </w:r>
      <w:proofErr w:type="spellEnd"/>
      <w:r w:rsidRPr="00DB0F94">
        <w:t xml:space="preserve"> DS (2024) Assessment of the diagnostic performance of the SD </w:t>
      </w:r>
      <w:proofErr w:type="spellStart"/>
      <w:r w:rsidRPr="00DB0F94">
        <w:t>Bioline</w:t>
      </w:r>
      <w:proofErr w:type="spellEnd"/>
      <w:r w:rsidRPr="00DB0F94">
        <w:t xml:space="preserve"> Malaria antigen test for the diagnosis of malaria in the Tombel health district, Southwest region of Cameroon. </w:t>
      </w:r>
      <w:proofErr w:type="spellStart"/>
      <w:r w:rsidRPr="00DB0F94">
        <w:t>PLoS</w:t>
      </w:r>
      <w:proofErr w:type="spellEnd"/>
      <w:r w:rsidRPr="00DB0F94">
        <w:t xml:space="preserve"> ONE 20(3): e0298992. </w:t>
      </w:r>
      <w:hyperlink r:id="rId36" w:history="1">
        <w:r w:rsidRPr="00DB0F94">
          <w:rPr>
            <w:rStyle w:val="Hyperlink"/>
          </w:rPr>
          <w:t>https://doi.org/10.1371/journal.pone.0298992</w:t>
        </w:r>
      </w:hyperlink>
    </w:p>
    <w:p w14:paraId="61B283DB" w14:textId="77777777" w:rsidR="00DB0F94" w:rsidRPr="00DB0F94" w:rsidRDefault="00DB0F94" w:rsidP="00DB0F94">
      <w:pPr>
        <w:pStyle w:val="Body"/>
        <w:numPr>
          <w:ilvl w:val="0"/>
          <w:numId w:val="32"/>
        </w:numPr>
        <w:spacing w:after="0"/>
      </w:pPr>
      <w:proofErr w:type="spellStart"/>
      <w:r w:rsidRPr="00DB0F94">
        <w:lastRenderedPageBreak/>
        <w:t>Fitri</w:t>
      </w:r>
      <w:proofErr w:type="spellEnd"/>
      <w:r w:rsidRPr="00DB0F94">
        <w:t xml:space="preserve"> L.E., </w:t>
      </w:r>
      <w:proofErr w:type="spellStart"/>
      <w:r w:rsidRPr="00DB0F94">
        <w:t>Widaningrum</w:t>
      </w:r>
      <w:proofErr w:type="spellEnd"/>
      <w:r w:rsidRPr="00DB0F94">
        <w:t xml:space="preserve"> T., Prabowo M.H., </w:t>
      </w:r>
      <w:proofErr w:type="spellStart"/>
      <w:r w:rsidRPr="00DB0F94">
        <w:t>Endharti</w:t>
      </w:r>
      <w:proofErr w:type="spellEnd"/>
      <w:r w:rsidRPr="00DB0F94">
        <w:t xml:space="preserve"> A.T., </w:t>
      </w:r>
      <w:proofErr w:type="spellStart"/>
      <w:r w:rsidRPr="00DB0F94">
        <w:t>Winaris</w:t>
      </w:r>
      <w:proofErr w:type="spellEnd"/>
      <w:r w:rsidRPr="00DB0F94">
        <w:t xml:space="preserve"> N., </w:t>
      </w:r>
      <w:proofErr w:type="spellStart"/>
      <w:r w:rsidRPr="00DB0F94">
        <w:t>Nugraha</w:t>
      </w:r>
      <w:proofErr w:type="spellEnd"/>
      <w:r w:rsidRPr="00DB0F94">
        <w:t xml:space="preserve"> R.Y.B. (2022). Malaria diagnostic update: From conventional to advanced method. Journal of Clinical Laboratory Analysis, 36: e24314. </w:t>
      </w:r>
      <w:hyperlink r:id="rId37" w:history="1">
        <w:r w:rsidRPr="00DB0F94">
          <w:rPr>
            <w:rStyle w:val="Hyperlink"/>
          </w:rPr>
          <w:t>https://doi.org/10.1002/jcla.24314</w:t>
        </w:r>
      </w:hyperlink>
      <w:r w:rsidRPr="00DB0F94">
        <w:t xml:space="preserve"> </w:t>
      </w:r>
    </w:p>
    <w:p w14:paraId="18794D31" w14:textId="77777777" w:rsidR="00DB0F94" w:rsidRPr="00DB0F94" w:rsidRDefault="00DB0F94" w:rsidP="00DB0F94">
      <w:pPr>
        <w:pStyle w:val="Body"/>
        <w:numPr>
          <w:ilvl w:val="0"/>
          <w:numId w:val="32"/>
        </w:numPr>
        <w:spacing w:after="0"/>
      </w:pPr>
      <w:r w:rsidRPr="00DB0F94">
        <w:t xml:space="preserve">Pucca MB, de Sousa TN, Cardoso de Melo GC and Viana GMR (2024) Editorial: Challenges for diagnosis, treatment, and elimination of malaria. Frontiers in Tropical Diseases 5:1394693. </w:t>
      </w:r>
      <w:hyperlink r:id="rId38" w:history="1">
        <w:r w:rsidRPr="00DB0F94">
          <w:rPr>
            <w:rStyle w:val="Hyperlink"/>
          </w:rPr>
          <w:t>https://doi.org/10.3389/fitd.2024.1394693</w:t>
        </w:r>
      </w:hyperlink>
      <w:r w:rsidRPr="00DB0F94">
        <w:t xml:space="preserve"> </w:t>
      </w:r>
    </w:p>
    <w:p w14:paraId="0093021C" w14:textId="77777777" w:rsidR="00DB0F94" w:rsidRPr="00DB0F94" w:rsidRDefault="00DB0F94" w:rsidP="00DB0F94">
      <w:pPr>
        <w:pStyle w:val="Body"/>
        <w:numPr>
          <w:ilvl w:val="0"/>
          <w:numId w:val="32"/>
        </w:numPr>
        <w:spacing w:after="0"/>
      </w:pPr>
      <w:r w:rsidRPr="00DB0F94">
        <w:t xml:space="preserve">Niba P.T.N., Nji A.M., Ali I.M., Akam L.F., </w:t>
      </w:r>
      <w:proofErr w:type="spellStart"/>
      <w:r w:rsidRPr="00DB0F94">
        <w:t>Dongmo</w:t>
      </w:r>
      <w:proofErr w:type="spellEnd"/>
      <w:r w:rsidRPr="00DB0F94">
        <w:t xml:space="preserve"> C.H., </w:t>
      </w:r>
      <w:proofErr w:type="spellStart"/>
      <w:r w:rsidRPr="00DB0F94">
        <w:t>Chedjou</w:t>
      </w:r>
      <w:proofErr w:type="spellEnd"/>
      <w:r w:rsidRPr="00DB0F94">
        <w:t xml:space="preserve"> J.P.K., </w:t>
      </w:r>
      <w:proofErr w:type="spellStart"/>
      <w:r w:rsidRPr="00DB0F94">
        <w:t>Fomboh</w:t>
      </w:r>
      <w:proofErr w:type="spellEnd"/>
      <w:r w:rsidRPr="00DB0F94">
        <w:t xml:space="preserve"> C.T., Nana W.D., </w:t>
      </w:r>
      <w:proofErr w:type="spellStart"/>
      <w:r w:rsidRPr="00DB0F94">
        <w:t>Oben</w:t>
      </w:r>
      <w:proofErr w:type="spellEnd"/>
      <w:r w:rsidRPr="00DB0F94">
        <w:t xml:space="preserve"> O.L.A., </w:t>
      </w:r>
      <w:proofErr w:type="spellStart"/>
      <w:r w:rsidRPr="00DB0F94">
        <w:t>Selly</w:t>
      </w:r>
      <w:r w:rsidRPr="00DB0F94">
        <w:noBreakHyphen/>
        <w:t>Ngaloumo</w:t>
      </w:r>
      <w:proofErr w:type="spellEnd"/>
      <w:r w:rsidRPr="00DB0F94">
        <w:t xml:space="preserve"> A.A. et al. (2022). Effectiveness and safety of artesunate amodiaquine versus artemether–lumefantrine for home-based treatment of uncomplicated Plasmodium falciparum malaria among children 6–120 months in Yaoundé, Cameroon: a randomized trial. BMC Infectious Diseases, 22:166. </w:t>
      </w:r>
      <w:hyperlink r:id="rId39" w:history="1">
        <w:r w:rsidRPr="00DB0F94">
          <w:rPr>
            <w:rStyle w:val="Hyperlink"/>
          </w:rPr>
          <w:t>https://doi.org/10.1186/s12879-022-07101-2</w:t>
        </w:r>
      </w:hyperlink>
    </w:p>
    <w:p w14:paraId="22C48D38" w14:textId="77777777" w:rsidR="00DB0F94" w:rsidRPr="00DB0F94" w:rsidRDefault="00DB0F94" w:rsidP="00DB0F94">
      <w:pPr>
        <w:pStyle w:val="Body"/>
        <w:numPr>
          <w:ilvl w:val="0"/>
          <w:numId w:val="32"/>
        </w:numPr>
        <w:spacing w:after="0"/>
        <w:rPr>
          <w:lang w:val="en-GB"/>
        </w:rPr>
      </w:pPr>
      <w:r w:rsidRPr="00DB0F94">
        <w:t xml:space="preserve">Marwa K, Kapesa A, Baraka V, </w:t>
      </w:r>
      <w:proofErr w:type="spellStart"/>
      <w:r w:rsidRPr="00DB0F94">
        <w:t>Konje</w:t>
      </w:r>
      <w:proofErr w:type="spellEnd"/>
      <w:r w:rsidRPr="00DB0F94">
        <w:t xml:space="preserve"> E, </w:t>
      </w:r>
      <w:proofErr w:type="spellStart"/>
      <w:r w:rsidRPr="00DB0F94">
        <w:t>Kidenya</w:t>
      </w:r>
      <w:proofErr w:type="spellEnd"/>
      <w:r w:rsidRPr="00DB0F94">
        <w:t xml:space="preserve"> B, </w:t>
      </w:r>
      <w:proofErr w:type="spellStart"/>
      <w:r w:rsidRPr="00DB0F94">
        <w:t>Mukonzo</w:t>
      </w:r>
      <w:proofErr w:type="spellEnd"/>
      <w:r w:rsidRPr="00DB0F94">
        <w:t xml:space="preserve"> J., Kamugisha E., Swedberg G. (2022) Therapeutic efficacy of artemether-lumefantrine, artesunate amodiaquine and </w:t>
      </w:r>
      <w:proofErr w:type="spellStart"/>
      <w:r w:rsidRPr="00DB0F94">
        <w:t>dihydroartemisinin</w:t>
      </w:r>
      <w:proofErr w:type="spellEnd"/>
      <w:r w:rsidRPr="00DB0F94">
        <w:t xml:space="preserve">-piperaquine in the treatment of uncomplicated Plasmodium falciparum malaria in Sub-Saharan Africa: A systematic review and meta-analysis. </w:t>
      </w:r>
      <w:proofErr w:type="spellStart"/>
      <w:r w:rsidRPr="00DB0F94">
        <w:t>PLoS</w:t>
      </w:r>
      <w:proofErr w:type="spellEnd"/>
      <w:r w:rsidRPr="00DB0F94">
        <w:t xml:space="preserve"> ONE 17(3): e0264339. </w:t>
      </w:r>
      <w:hyperlink r:id="rId40" w:history="1">
        <w:r w:rsidRPr="00DB0F94">
          <w:rPr>
            <w:rStyle w:val="Hyperlink"/>
          </w:rPr>
          <w:t>https://doi.org/10.1371/journal. pone.0264339</w:t>
        </w:r>
      </w:hyperlink>
    </w:p>
    <w:p w14:paraId="696A54CA" w14:textId="77777777" w:rsidR="00DB0F94" w:rsidRPr="00DB0F94" w:rsidRDefault="00DB0F94" w:rsidP="00DB0F94">
      <w:pPr>
        <w:pStyle w:val="Body"/>
        <w:numPr>
          <w:ilvl w:val="0"/>
          <w:numId w:val="32"/>
        </w:numPr>
        <w:spacing w:after="0"/>
      </w:pPr>
      <w:r w:rsidRPr="00DB0F94">
        <w:t>World Health Organization (2025). WHO guidelines for malaria, 13 August 2025. World Health Organization. </w:t>
      </w:r>
      <w:hyperlink r:id="rId41" w:history="1">
        <w:r w:rsidRPr="00DB0F94">
          <w:rPr>
            <w:rStyle w:val="Hyperlink"/>
          </w:rPr>
          <w:t>http://dx.doi.org/https://doi.org/10.2471/B09514</w:t>
        </w:r>
      </w:hyperlink>
      <w:r w:rsidRPr="00DB0F94">
        <w:t>. License: CC BY-NC-SA 3.0 IGO</w:t>
      </w:r>
    </w:p>
    <w:p w14:paraId="02184A5D" w14:textId="77777777" w:rsidR="00DB0F94" w:rsidRDefault="00DB0F94" w:rsidP="00441B6F">
      <w:pPr>
        <w:pStyle w:val="Body"/>
        <w:spacing w:after="0"/>
      </w:pPr>
    </w:p>
    <w:sectPr w:rsidR="00DB0F94" w:rsidSect="00DB0F94">
      <w:type w:val="continuous"/>
      <w:pgSz w:w="12240" w:h="15840"/>
      <w:pgMar w:top="2019" w:right="2019" w:bottom="2019" w:left="2019"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ED338" w14:textId="77777777" w:rsidR="00C93FFA" w:rsidRDefault="00C93FFA" w:rsidP="00C37E61">
      <w:r>
        <w:separator/>
      </w:r>
    </w:p>
  </w:endnote>
  <w:endnote w:type="continuationSeparator" w:id="0">
    <w:p w14:paraId="06D0B5B2" w14:textId="77777777" w:rsidR="00C93FFA" w:rsidRDefault="00C93F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08B0E" w14:textId="2F1EEB40" w:rsidR="00C37E61" w:rsidRPr="00277FD4" w:rsidRDefault="00326869" w:rsidP="00277FD4">
    <w:pPr>
      <w:pStyle w:val="Footer"/>
    </w:pPr>
    <w:r w:rsidRPr="00277FD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C221" w14:textId="77777777" w:rsidR="009E048A" w:rsidRDefault="009E048A">
    <w:pPr>
      <w:pStyle w:val="Footer"/>
      <w:rPr>
        <w:rFonts w:ascii="Arial" w:hAnsi="Arial" w:cs="Arial"/>
        <w:sz w:val="16"/>
      </w:rPr>
    </w:pPr>
  </w:p>
  <w:p w14:paraId="4A2A6D0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A50433" w14:textId="77777777" w:rsidR="009E048A" w:rsidRDefault="009E048A">
    <w:pPr>
      <w:pStyle w:val="Footer"/>
      <w:rPr>
        <w:rFonts w:ascii="Arial" w:hAnsi="Arial" w:cs="Arial"/>
        <w:sz w:val="16"/>
      </w:rPr>
    </w:pPr>
  </w:p>
  <w:p w14:paraId="4D9EF8E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3B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C59CA" w14:textId="77777777" w:rsidR="00C93FFA" w:rsidRDefault="00C93FFA" w:rsidP="00C37E61">
      <w:r>
        <w:separator/>
      </w:r>
    </w:p>
  </w:footnote>
  <w:footnote w:type="continuationSeparator" w:id="0">
    <w:p w14:paraId="483FCE16" w14:textId="77777777" w:rsidR="00C93FFA" w:rsidRDefault="00C93F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3C52" w14:textId="77777777" w:rsidR="00296529" w:rsidRPr="00296529" w:rsidRDefault="00296529" w:rsidP="00296529">
    <w:pPr>
      <w:ind w:left="2160"/>
      <w:jc w:val="center"/>
      <w:rPr>
        <w:rFonts w:ascii="Times New Roman" w:eastAsia="Calibri" w:hAnsi="Times New Roman"/>
        <w:i/>
        <w:sz w:val="18"/>
        <w:szCs w:val="22"/>
      </w:rPr>
    </w:pPr>
  </w:p>
  <w:p w14:paraId="76D1E7A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B212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8AB6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967C5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2C6AE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0DBED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300CA"/>
    <w:multiLevelType w:val="multilevel"/>
    <w:tmpl w:val="C1EA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997F20"/>
    <w:multiLevelType w:val="hybridMultilevel"/>
    <w:tmpl w:val="140C5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4B2710"/>
    <w:multiLevelType w:val="multilevel"/>
    <w:tmpl w:val="8B08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8"/>
  </w:num>
  <w:num w:numId="10">
    <w:abstractNumId w:val="3"/>
  </w:num>
  <w:num w:numId="11">
    <w:abstractNumId w:val="21"/>
  </w:num>
  <w:num w:numId="12">
    <w:abstractNumId w:val="5"/>
  </w:num>
  <w:num w:numId="13">
    <w:abstractNumId w:val="20"/>
  </w:num>
  <w:num w:numId="14">
    <w:abstractNumId w:val="10"/>
  </w:num>
  <w:num w:numId="15">
    <w:abstractNumId w:val="24"/>
  </w:num>
  <w:num w:numId="16">
    <w:abstractNumId w:val="7"/>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6"/>
  </w:num>
  <w:num w:numId="26">
    <w:abstractNumId w:val="19"/>
  </w:num>
  <w:num w:numId="27">
    <w:abstractNumId w:val="23"/>
  </w:num>
  <w:num w:numId="28">
    <w:abstractNumId w:val="30"/>
  </w:num>
  <w:num w:numId="29">
    <w:abstractNumId w:val="27"/>
  </w:num>
  <w:num w:numId="30">
    <w:abstractNumId w:val="12"/>
  </w:num>
  <w:num w:numId="31">
    <w:abstractNumId w:val="17"/>
  </w:num>
  <w:num w:numId="32">
    <w:abstractNumId w:val="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423"/>
    <w:rsid w:val="0004579C"/>
    <w:rsid w:val="000A47FA"/>
    <w:rsid w:val="000A65D3"/>
    <w:rsid w:val="000B1E33"/>
    <w:rsid w:val="000D689F"/>
    <w:rsid w:val="000E7B7B"/>
    <w:rsid w:val="000E7D62"/>
    <w:rsid w:val="00103357"/>
    <w:rsid w:val="00123C9F"/>
    <w:rsid w:val="00126190"/>
    <w:rsid w:val="00130F17"/>
    <w:rsid w:val="001320BF"/>
    <w:rsid w:val="00163BC4"/>
    <w:rsid w:val="00180C3F"/>
    <w:rsid w:val="00191062"/>
    <w:rsid w:val="00192B72"/>
    <w:rsid w:val="001A29D8"/>
    <w:rsid w:val="001A5CAA"/>
    <w:rsid w:val="001B0427"/>
    <w:rsid w:val="001D3A51"/>
    <w:rsid w:val="001E10D2"/>
    <w:rsid w:val="001E25B4"/>
    <w:rsid w:val="001E44FE"/>
    <w:rsid w:val="00200595"/>
    <w:rsid w:val="00204835"/>
    <w:rsid w:val="0022126C"/>
    <w:rsid w:val="00231920"/>
    <w:rsid w:val="0023195C"/>
    <w:rsid w:val="002416EB"/>
    <w:rsid w:val="0024282C"/>
    <w:rsid w:val="002460DC"/>
    <w:rsid w:val="00250985"/>
    <w:rsid w:val="002556F6"/>
    <w:rsid w:val="00277FD4"/>
    <w:rsid w:val="00283105"/>
    <w:rsid w:val="00284C4C"/>
    <w:rsid w:val="00287E68"/>
    <w:rsid w:val="00296529"/>
    <w:rsid w:val="002B27FB"/>
    <w:rsid w:val="002B685A"/>
    <w:rsid w:val="002C57D2"/>
    <w:rsid w:val="002E0D56"/>
    <w:rsid w:val="002E4A12"/>
    <w:rsid w:val="00315186"/>
    <w:rsid w:val="00326869"/>
    <w:rsid w:val="0033343E"/>
    <w:rsid w:val="00346D28"/>
    <w:rsid w:val="003512C2"/>
    <w:rsid w:val="00371FB6"/>
    <w:rsid w:val="003763C1"/>
    <w:rsid w:val="00376BBE"/>
    <w:rsid w:val="003905ED"/>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3E4"/>
    <w:rsid w:val="0053056E"/>
    <w:rsid w:val="00554FDA"/>
    <w:rsid w:val="005770A9"/>
    <w:rsid w:val="005837E4"/>
    <w:rsid w:val="005C784C"/>
    <w:rsid w:val="005D17F6"/>
    <w:rsid w:val="005E45FF"/>
    <w:rsid w:val="005E5539"/>
    <w:rsid w:val="00602BF5"/>
    <w:rsid w:val="00617FDD"/>
    <w:rsid w:val="00633614"/>
    <w:rsid w:val="00633F68"/>
    <w:rsid w:val="00636EB2"/>
    <w:rsid w:val="006375B8"/>
    <w:rsid w:val="0064507D"/>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56D1"/>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42E2"/>
    <w:rsid w:val="008B459E"/>
    <w:rsid w:val="008E13AE"/>
    <w:rsid w:val="008E1506"/>
    <w:rsid w:val="008E5F0D"/>
    <w:rsid w:val="008E710C"/>
    <w:rsid w:val="008F69D6"/>
    <w:rsid w:val="00902823"/>
    <w:rsid w:val="00915CA6"/>
    <w:rsid w:val="00927834"/>
    <w:rsid w:val="009500A6"/>
    <w:rsid w:val="00952E64"/>
    <w:rsid w:val="00957C18"/>
    <w:rsid w:val="009659BA"/>
    <w:rsid w:val="00983040"/>
    <w:rsid w:val="009B3FB9"/>
    <w:rsid w:val="009C2465"/>
    <w:rsid w:val="009D35A0"/>
    <w:rsid w:val="009D5BF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63A"/>
    <w:rsid w:val="00A94063"/>
    <w:rsid w:val="00AA6219"/>
    <w:rsid w:val="00AA74E0"/>
    <w:rsid w:val="00AB703F"/>
    <w:rsid w:val="00AC6BB8"/>
    <w:rsid w:val="00AE008F"/>
    <w:rsid w:val="00B01FCD"/>
    <w:rsid w:val="00B1776C"/>
    <w:rsid w:val="00B52583"/>
    <w:rsid w:val="00B52896"/>
    <w:rsid w:val="00B57B88"/>
    <w:rsid w:val="00B85FB5"/>
    <w:rsid w:val="00B95236"/>
    <w:rsid w:val="00B96BD9"/>
    <w:rsid w:val="00BA1B01"/>
    <w:rsid w:val="00BA1B47"/>
    <w:rsid w:val="00BA2641"/>
    <w:rsid w:val="00BB37AA"/>
    <w:rsid w:val="00BC53A0"/>
    <w:rsid w:val="00BE62AD"/>
    <w:rsid w:val="00BF121F"/>
    <w:rsid w:val="00BF1F80"/>
    <w:rsid w:val="00C166EF"/>
    <w:rsid w:val="00C17EB0"/>
    <w:rsid w:val="00C27F5F"/>
    <w:rsid w:val="00C30A0F"/>
    <w:rsid w:val="00C37E61"/>
    <w:rsid w:val="00C6352A"/>
    <w:rsid w:val="00C70F1B"/>
    <w:rsid w:val="00C71A47"/>
    <w:rsid w:val="00C7464C"/>
    <w:rsid w:val="00C85588"/>
    <w:rsid w:val="00C93FFA"/>
    <w:rsid w:val="00CD6755"/>
    <w:rsid w:val="00CD6856"/>
    <w:rsid w:val="00CE0089"/>
    <w:rsid w:val="00CE793C"/>
    <w:rsid w:val="00CF193C"/>
    <w:rsid w:val="00D173F1"/>
    <w:rsid w:val="00D57D2B"/>
    <w:rsid w:val="00D74CB0"/>
    <w:rsid w:val="00D75C84"/>
    <w:rsid w:val="00D8295D"/>
    <w:rsid w:val="00DB0F94"/>
    <w:rsid w:val="00DC2A65"/>
    <w:rsid w:val="00DD4ED1"/>
    <w:rsid w:val="00DE15F0"/>
    <w:rsid w:val="00DE5663"/>
    <w:rsid w:val="00DE78AA"/>
    <w:rsid w:val="00E053D0"/>
    <w:rsid w:val="00E15994"/>
    <w:rsid w:val="00E3114E"/>
    <w:rsid w:val="00E31A70"/>
    <w:rsid w:val="00E35B02"/>
    <w:rsid w:val="00E56E07"/>
    <w:rsid w:val="00E66496"/>
    <w:rsid w:val="00E66B35"/>
    <w:rsid w:val="00E66E10"/>
    <w:rsid w:val="00E769F6"/>
    <w:rsid w:val="00E8407C"/>
    <w:rsid w:val="00E84F3C"/>
    <w:rsid w:val="00EA012C"/>
    <w:rsid w:val="00EC6A55"/>
    <w:rsid w:val="00ED0288"/>
    <w:rsid w:val="00ED5A2F"/>
    <w:rsid w:val="00EE52CB"/>
    <w:rsid w:val="00EF581D"/>
    <w:rsid w:val="00EF7FD8"/>
    <w:rsid w:val="00F06F59"/>
    <w:rsid w:val="00F17988"/>
    <w:rsid w:val="00F27F0B"/>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860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9D5B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s-markdown-paragraph">
    <w:name w:val="ds-markdown-paragraph"/>
    <w:basedOn w:val="Normal"/>
    <w:rsid w:val="005E45F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who.int/publications/i/item/9789240070004" TargetMode="External"/><Relationship Id="rId26" Type="http://schemas.openxmlformats.org/officeDocument/2006/relationships/hyperlink" Target="https://doi.org/10.1056/NEJMoa2101746" TargetMode="External"/><Relationship Id="rId39" Type="http://schemas.openxmlformats.org/officeDocument/2006/relationships/hyperlink" Target="https://doi.org/10.1186/s12879-022-07101-2" TargetMode="External"/><Relationship Id="rId21" Type="http://schemas.openxmlformats.org/officeDocument/2006/relationships/hyperlink" Target="https://doi.org/10.1186/s13071-016-1525-5" TargetMode="External"/><Relationship Id="rId34" Type="http://schemas.openxmlformats.org/officeDocument/2006/relationships/hyperlink" Target="http://dx.doi.org/10.4236/pp.2016.7602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doi.org/10.4269/ajtmh.2001.64.85" TargetMode="External"/><Relationship Id="rId29" Type="http://schemas.openxmlformats.org/officeDocument/2006/relationships/hyperlink" Target="https://doi.org/10.1016/S2214-109X(23)00045-2" TargetMode="External"/><Relationship Id="rId41" Type="http://schemas.openxmlformats.org/officeDocument/2006/relationships/hyperlink" Target="http://dx.doi.org/https:/doi.org/10.2471/B095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016/j.pt.2015.11.010" TargetMode="External"/><Relationship Id="rId32" Type="http://schemas.openxmlformats.org/officeDocument/2006/relationships/hyperlink" Target="https://mesamalaria.org/wp-content/uploads/2025/04/CAMEROON_Malaria_Profile_PMI_FY_2024.pdf" TargetMode="External"/><Relationship Id="rId37" Type="http://schemas.openxmlformats.org/officeDocument/2006/relationships/hyperlink" Target="https://doi.org/10.1002/jcla.24314" TargetMode="External"/><Relationship Id="rId40" Type="http://schemas.openxmlformats.org/officeDocument/2006/relationships/hyperlink" Target="https://doi.org/10.1371/journal.%20pone.0264339"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severemalaria.org/countries/cameroon" TargetMode="External"/><Relationship Id="rId28" Type="http://schemas.openxmlformats.org/officeDocument/2006/relationships/hyperlink" Target="https://doi.org/10.1136/bmjgh-2017-000304" TargetMode="External"/><Relationship Id="rId36" Type="http://schemas.openxmlformats.org/officeDocument/2006/relationships/hyperlink" Target="https://doi.org/10.1371/journal.pone.0298992" TargetMode="External"/><Relationship Id="rId10" Type="http://schemas.openxmlformats.org/officeDocument/2006/relationships/footer" Target="footer2.xml"/><Relationship Id="rId19" Type="http://schemas.openxmlformats.org/officeDocument/2006/relationships/hyperlink" Target="https://www.who.int/publications/i/item/9789240064898" TargetMode="External"/><Relationship Id="rId31" Type="http://schemas.openxmlformats.org/officeDocument/2006/relationships/hyperlink" Target="https://doi.org/10.1186/s12978-015-0109-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www.who.int/publications/m/item/malaria-2024-cmr-country-profile" TargetMode="External"/><Relationship Id="rId27" Type="http://schemas.openxmlformats.org/officeDocument/2006/relationships/hyperlink" Target="https://doi.org/10.1038/nm.4381" TargetMode="External"/><Relationship Id="rId30" Type="http://schemas.openxmlformats.org/officeDocument/2006/relationships/hyperlink" Target="https://doi.org/10.1186/1475-2875-13-1" TargetMode="External"/><Relationship Id="rId35" Type="http://schemas.openxmlformats.org/officeDocument/2006/relationships/hyperlink" Target="http://dx.doi.org/10.1186/s40249-017-0251-0"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hyperlink" Target="https://doi.org/10.1038/s41591-020-1005-2" TargetMode="External"/><Relationship Id="rId33" Type="http://schemas.openxmlformats.org/officeDocument/2006/relationships/hyperlink" Target="https://doi.org/10.1186/s12982-025-00833-x" TargetMode="External"/><Relationship Id="rId38" Type="http://schemas.openxmlformats.org/officeDocument/2006/relationships/hyperlink" Target="https://doi.org/10.3389/fitd.2024.13946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BC45-8BCE-4603-8FEF-34F2186B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24</Pages>
  <Words>8389</Words>
  <Characters>47822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56099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cp:revision>
  <cp:lastPrinted>1999-07-06T11:00:00Z</cp:lastPrinted>
  <dcterms:created xsi:type="dcterms:W3CDTF">2025-11-05T17:53:00Z</dcterms:created>
  <dcterms:modified xsi:type="dcterms:W3CDTF">2025-11-12T06:00:00Z</dcterms:modified>
</cp:coreProperties>
</file>