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6407" w14:textId="644EF05E" w:rsidR="001F6E77" w:rsidRDefault="00D2178D" w:rsidP="00E56AE4">
      <w:pPr>
        <w:spacing w:line="240" w:lineRule="auto"/>
        <w:rPr>
          <w:rFonts w:ascii="Calibri" w:hAnsi="Calibri" w:cs="Calibri"/>
          <w:b/>
          <w:bCs/>
          <w:sz w:val="20"/>
          <w:szCs w:val="20"/>
        </w:rPr>
      </w:pPr>
      <w:bookmarkStart w:id="0" w:name="_Toc198372508"/>
      <w:r w:rsidRPr="00D2178D">
        <w:rPr>
          <w:rFonts w:ascii="Calibri" w:hAnsi="Calibri" w:cs="Calibri"/>
          <w:b/>
          <w:bCs/>
          <w:sz w:val="20"/>
          <w:szCs w:val="20"/>
        </w:rPr>
        <w:t>Effect of Holding Time on Residual Leucocyte Counts and Protein Concentration in Unfiltered Fresh Frozen Plasma</w:t>
      </w:r>
    </w:p>
    <w:p w14:paraId="24824C5C" w14:textId="77777777" w:rsidR="00E56AE4" w:rsidRDefault="00E56AE4" w:rsidP="00E56AE4">
      <w:pPr>
        <w:spacing w:line="240" w:lineRule="auto"/>
        <w:rPr>
          <w:rFonts w:ascii="Calibri" w:hAnsi="Calibri" w:cs="Calibri"/>
          <w:b/>
          <w:bCs/>
          <w:sz w:val="20"/>
          <w:szCs w:val="20"/>
        </w:rPr>
      </w:pPr>
    </w:p>
    <w:p w14:paraId="6F536B93" w14:textId="3FEDE54B" w:rsidR="00315014" w:rsidRPr="006112AD" w:rsidRDefault="00315014" w:rsidP="006112AD">
      <w:pPr>
        <w:spacing w:line="240" w:lineRule="auto"/>
        <w:rPr>
          <w:rFonts w:ascii="Calibri" w:hAnsi="Calibri" w:cs="Calibri"/>
          <w:b/>
          <w:bCs/>
          <w:sz w:val="20"/>
          <w:szCs w:val="20"/>
        </w:rPr>
      </w:pPr>
      <w:r w:rsidRPr="006112AD">
        <w:rPr>
          <w:rFonts w:ascii="Calibri" w:hAnsi="Calibri" w:cs="Calibri"/>
          <w:b/>
          <w:bCs/>
          <w:sz w:val="20"/>
          <w:szCs w:val="20"/>
        </w:rPr>
        <w:t>Abstract</w:t>
      </w:r>
      <w:bookmarkEnd w:id="0"/>
    </w:p>
    <w:p w14:paraId="5B1E0DC3" w14:textId="04758E41" w:rsidR="00DD559D" w:rsidRDefault="00DD559D" w:rsidP="006112AD">
      <w:pPr>
        <w:spacing w:after="0" w:line="240" w:lineRule="auto"/>
        <w:jc w:val="both"/>
        <w:rPr>
          <w:rFonts w:ascii="Calibri" w:hAnsi="Calibri" w:cs="Calibri"/>
          <w:sz w:val="20"/>
          <w:szCs w:val="20"/>
        </w:rPr>
      </w:pPr>
      <w:r w:rsidRPr="00DD559D">
        <w:rPr>
          <w:rFonts w:ascii="Calibri" w:hAnsi="Calibri" w:cs="Calibri"/>
          <w:sz w:val="20"/>
          <w:szCs w:val="20"/>
        </w:rPr>
        <w:t>Ensuring the safety and quality of transfusion products is critical in transfusion medicine. Leucocytes in blood products can cause adverse reactions and increase the risk of transfusion-related complications, making it essential to minimize their presence before transfusion. Elevated leucocyte counts have been observed in unfiltered fresh frozen plasma (FFP) units derived from whole blood processed after a short holding time—the interval between blood collection and component separation. Adequate protein concentration is also a key quality parameter for plasma.</w:t>
      </w:r>
      <w:r w:rsidR="00540767">
        <w:rPr>
          <w:rFonts w:ascii="Calibri" w:hAnsi="Calibri" w:cs="Calibri"/>
          <w:sz w:val="20"/>
          <w:szCs w:val="20"/>
        </w:rPr>
        <w:t xml:space="preserve"> </w:t>
      </w:r>
      <w:r w:rsidRPr="00DD559D">
        <w:rPr>
          <w:rFonts w:ascii="Calibri" w:hAnsi="Calibri" w:cs="Calibri"/>
          <w:sz w:val="20"/>
          <w:szCs w:val="20"/>
        </w:rPr>
        <w:t xml:space="preserve">This study evaluated 100 non-filtered FFP units processed after a short holding time (SHT) and compared them </w:t>
      </w:r>
      <w:r w:rsidR="00EC7387">
        <w:rPr>
          <w:rFonts w:ascii="Calibri" w:hAnsi="Calibri" w:cs="Calibri"/>
          <w:sz w:val="20"/>
          <w:szCs w:val="20"/>
        </w:rPr>
        <w:t>to</w:t>
      </w:r>
      <w:r w:rsidRPr="00DD559D">
        <w:rPr>
          <w:rFonts w:ascii="Calibri" w:hAnsi="Calibri" w:cs="Calibri"/>
          <w:sz w:val="20"/>
          <w:szCs w:val="20"/>
        </w:rPr>
        <w:t xml:space="preserve"> 100 units processed after an overnight, long holding time (LHT).</w:t>
      </w:r>
      <w:r w:rsidR="00A0082F">
        <w:rPr>
          <w:rFonts w:ascii="Calibri" w:hAnsi="Calibri" w:cs="Calibri"/>
          <w:sz w:val="20"/>
          <w:szCs w:val="20"/>
        </w:rPr>
        <w:t xml:space="preserve"> Volume of the units </w:t>
      </w:r>
      <w:r w:rsidR="00B450C2">
        <w:rPr>
          <w:rFonts w:ascii="Calibri" w:hAnsi="Calibri" w:cs="Calibri"/>
          <w:sz w:val="20"/>
          <w:szCs w:val="20"/>
        </w:rPr>
        <w:t>w</w:t>
      </w:r>
      <w:r w:rsidR="00813912">
        <w:rPr>
          <w:rFonts w:ascii="Calibri" w:hAnsi="Calibri" w:cs="Calibri"/>
          <w:sz w:val="20"/>
          <w:szCs w:val="20"/>
        </w:rPr>
        <w:t>as</w:t>
      </w:r>
      <w:r w:rsidR="00B450C2">
        <w:rPr>
          <w:rFonts w:ascii="Calibri" w:hAnsi="Calibri" w:cs="Calibri"/>
          <w:sz w:val="20"/>
          <w:szCs w:val="20"/>
        </w:rPr>
        <w:t xml:space="preserve"> also assessed.</w:t>
      </w:r>
      <w:r w:rsidRPr="00DD559D">
        <w:rPr>
          <w:rFonts w:ascii="Calibri" w:hAnsi="Calibri" w:cs="Calibri"/>
          <w:sz w:val="20"/>
          <w:szCs w:val="20"/>
        </w:rPr>
        <w:t xml:space="preserve"> Residual leucocyte counts (RLC) and protein concentrations (PC) were measured and </w:t>
      </w:r>
      <w:r w:rsidR="006112AD" w:rsidRPr="00DD559D">
        <w:rPr>
          <w:rFonts w:ascii="Calibri" w:hAnsi="Calibri" w:cs="Calibri"/>
          <w:sz w:val="20"/>
          <w:szCs w:val="20"/>
        </w:rPr>
        <w:t>analysed</w:t>
      </w:r>
      <w:r w:rsidRPr="00DD559D">
        <w:rPr>
          <w:rFonts w:ascii="Calibri" w:hAnsi="Calibri" w:cs="Calibri"/>
          <w:sz w:val="20"/>
          <w:szCs w:val="20"/>
        </w:rPr>
        <w:t xml:space="preserve"> statistically. </w:t>
      </w:r>
      <w:r w:rsidR="0031661B">
        <w:rPr>
          <w:rFonts w:ascii="Calibri" w:hAnsi="Calibri" w:cs="Calibri"/>
          <w:sz w:val="20"/>
          <w:szCs w:val="20"/>
        </w:rPr>
        <w:t xml:space="preserve">There was a significant difference </w:t>
      </w:r>
      <w:r w:rsidR="0062633B">
        <w:rPr>
          <w:rFonts w:ascii="Calibri" w:hAnsi="Calibri" w:cs="Calibri"/>
          <w:sz w:val="20"/>
          <w:szCs w:val="20"/>
        </w:rPr>
        <w:t>in</w:t>
      </w:r>
      <w:r w:rsidR="003A1A1C">
        <w:rPr>
          <w:rFonts w:ascii="Calibri" w:hAnsi="Calibri" w:cs="Calibri"/>
          <w:sz w:val="20"/>
          <w:szCs w:val="20"/>
        </w:rPr>
        <w:t xml:space="preserve"> both</w:t>
      </w:r>
      <w:r w:rsidR="0062633B">
        <w:rPr>
          <w:rFonts w:ascii="Calibri" w:hAnsi="Calibri" w:cs="Calibri"/>
          <w:sz w:val="20"/>
          <w:szCs w:val="20"/>
        </w:rPr>
        <w:t xml:space="preserve"> RLC (</w:t>
      </w:r>
      <w:r w:rsidR="0062633B" w:rsidRPr="006112AD">
        <w:rPr>
          <w:rFonts w:ascii="Calibri" w:hAnsi="Calibri" w:cs="Calibri"/>
          <w:iCs/>
          <w:sz w:val="20"/>
          <w:szCs w:val="20"/>
        </w:rPr>
        <w:t>&lt;0.001</w:t>
      </w:r>
      <w:r w:rsidR="0062633B">
        <w:rPr>
          <w:rFonts w:ascii="Calibri" w:hAnsi="Calibri" w:cs="Calibri"/>
          <w:iCs/>
          <w:sz w:val="20"/>
          <w:szCs w:val="20"/>
        </w:rPr>
        <w:t xml:space="preserve">) </w:t>
      </w:r>
      <w:r w:rsidR="003A1A1C">
        <w:rPr>
          <w:rFonts w:ascii="Calibri" w:hAnsi="Calibri" w:cs="Calibri"/>
          <w:iCs/>
          <w:sz w:val="20"/>
          <w:szCs w:val="20"/>
        </w:rPr>
        <w:t>and PC</w:t>
      </w:r>
      <w:r w:rsidR="00702AFA">
        <w:rPr>
          <w:rFonts w:ascii="Calibri" w:hAnsi="Calibri" w:cs="Calibri"/>
          <w:iCs/>
          <w:sz w:val="20"/>
          <w:szCs w:val="20"/>
        </w:rPr>
        <w:t xml:space="preserve"> (</w:t>
      </w:r>
      <w:r w:rsidR="00702AFA">
        <w:rPr>
          <w:rFonts w:ascii="Calibri" w:hAnsi="Calibri" w:cs="Calibri"/>
          <w:sz w:val="20"/>
          <w:szCs w:val="20"/>
        </w:rPr>
        <w:t>(</w:t>
      </w:r>
      <w:r w:rsidR="00702AFA" w:rsidRPr="006112AD">
        <w:rPr>
          <w:rFonts w:ascii="Calibri" w:hAnsi="Calibri" w:cs="Calibri"/>
          <w:iCs/>
          <w:sz w:val="20"/>
          <w:szCs w:val="20"/>
        </w:rPr>
        <w:t>&lt;0.001</w:t>
      </w:r>
      <w:proofErr w:type="gramStart"/>
      <w:r w:rsidR="00702AFA">
        <w:rPr>
          <w:rFonts w:ascii="Calibri" w:hAnsi="Calibri" w:cs="Calibri"/>
          <w:iCs/>
          <w:sz w:val="20"/>
          <w:szCs w:val="20"/>
        </w:rPr>
        <w:t>) )</w:t>
      </w:r>
      <w:proofErr w:type="gramEnd"/>
      <w:r w:rsidR="00702AFA">
        <w:rPr>
          <w:rFonts w:ascii="Calibri" w:hAnsi="Calibri" w:cs="Calibri"/>
          <w:iCs/>
          <w:sz w:val="20"/>
          <w:szCs w:val="20"/>
        </w:rPr>
        <w:t xml:space="preserve"> </w:t>
      </w:r>
      <w:r w:rsidR="0062633B">
        <w:rPr>
          <w:rFonts w:ascii="Calibri" w:hAnsi="Calibri" w:cs="Calibri"/>
          <w:iCs/>
          <w:sz w:val="20"/>
          <w:szCs w:val="20"/>
        </w:rPr>
        <w:t xml:space="preserve">when LHT and SHT </w:t>
      </w:r>
      <w:r w:rsidR="00ED640C">
        <w:rPr>
          <w:rFonts w:ascii="Calibri" w:hAnsi="Calibri" w:cs="Calibri"/>
          <w:iCs/>
          <w:sz w:val="20"/>
          <w:szCs w:val="20"/>
        </w:rPr>
        <w:t xml:space="preserve">cohorts </w:t>
      </w:r>
      <w:r w:rsidR="0062633B">
        <w:rPr>
          <w:rFonts w:ascii="Calibri" w:hAnsi="Calibri" w:cs="Calibri"/>
          <w:iCs/>
          <w:sz w:val="20"/>
          <w:szCs w:val="20"/>
        </w:rPr>
        <w:t xml:space="preserve">were compared  </w:t>
      </w:r>
      <w:r w:rsidRPr="00DD559D">
        <w:rPr>
          <w:rFonts w:ascii="Calibri" w:hAnsi="Calibri" w:cs="Calibri"/>
          <w:sz w:val="20"/>
          <w:szCs w:val="20"/>
        </w:rPr>
        <w:t>Longer holding times were associated with lower RLC and higher PC. Statistical process control (SPC) indicated that the SHT process was borderline to incapable in maintaining consistent product quality, even after outlier adjustment.</w:t>
      </w:r>
      <w:r w:rsidR="00A26241">
        <w:rPr>
          <w:rFonts w:ascii="Calibri" w:hAnsi="Calibri" w:cs="Calibri"/>
          <w:sz w:val="20"/>
          <w:szCs w:val="20"/>
        </w:rPr>
        <w:t xml:space="preserve"> </w:t>
      </w:r>
      <w:r w:rsidRPr="00DD559D">
        <w:rPr>
          <w:rFonts w:ascii="Calibri" w:hAnsi="Calibri" w:cs="Calibri"/>
          <w:sz w:val="20"/>
          <w:szCs w:val="20"/>
        </w:rPr>
        <w:t xml:space="preserve">These findings suggest that current short holding times may compromise plasma standardization. </w:t>
      </w:r>
      <w:r w:rsidR="00CD23F4" w:rsidRPr="006112AD">
        <w:rPr>
          <w:rFonts w:ascii="Calibri" w:hAnsi="Calibri" w:cs="Calibri"/>
          <w:sz w:val="20"/>
          <w:szCs w:val="20"/>
        </w:rPr>
        <w:t>Re-evaluation</w:t>
      </w:r>
      <w:r w:rsidRPr="00DD559D">
        <w:rPr>
          <w:rFonts w:ascii="Calibri" w:hAnsi="Calibri" w:cs="Calibri"/>
          <w:sz w:val="20"/>
          <w:szCs w:val="20"/>
        </w:rPr>
        <w:t xml:space="preserve"> of the minimum holding time is recommended to optimize leucocyte reduction and protein retention in FFP.</w:t>
      </w:r>
    </w:p>
    <w:p w14:paraId="2183AD4A" w14:textId="77777777" w:rsidR="00A466EA" w:rsidRDefault="00A466EA" w:rsidP="00A466EA">
      <w:pPr>
        <w:spacing w:after="0" w:line="240" w:lineRule="auto"/>
        <w:jc w:val="both"/>
        <w:rPr>
          <w:rFonts w:ascii="Calibri" w:hAnsi="Calibri" w:cs="Calibri"/>
          <w:sz w:val="20"/>
          <w:szCs w:val="20"/>
        </w:rPr>
      </w:pPr>
    </w:p>
    <w:p w14:paraId="0CC4336F" w14:textId="0331E35C" w:rsidR="0099040A" w:rsidRPr="00DD559D" w:rsidRDefault="00A466EA" w:rsidP="00A466EA">
      <w:pPr>
        <w:spacing w:after="0" w:line="240" w:lineRule="auto"/>
        <w:jc w:val="both"/>
        <w:rPr>
          <w:rFonts w:ascii="Calibri" w:hAnsi="Calibri" w:cs="Calibri"/>
          <w:sz w:val="20"/>
          <w:szCs w:val="20"/>
        </w:rPr>
      </w:pPr>
      <w:r w:rsidRPr="00A466EA">
        <w:rPr>
          <w:rFonts w:ascii="Calibri" w:hAnsi="Calibri" w:cs="Calibri"/>
          <w:sz w:val="20"/>
          <w:szCs w:val="20"/>
        </w:rPr>
        <w:t xml:space="preserve">Keywords: Fresh frozen plasma; holding time; residual leucocytes; plasma proteins; </w:t>
      </w:r>
      <w:proofErr w:type="spellStart"/>
      <w:r w:rsidRPr="00A466EA">
        <w:rPr>
          <w:rFonts w:ascii="Calibri" w:hAnsi="Calibri" w:cs="Calibri"/>
          <w:sz w:val="20"/>
          <w:szCs w:val="20"/>
        </w:rPr>
        <w:t>leucoreduction</w:t>
      </w:r>
      <w:proofErr w:type="spellEnd"/>
      <w:r w:rsidRPr="00A466EA">
        <w:rPr>
          <w:rFonts w:ascii="Calibri" w:hAnsi="Calibri" w:cs="Calibri"/>
          <w:sz w:val="20"/>
          <w:szCs w:val="20"/>
        </w:rPr>
        <w:t>;</w:t>
      </w:r>
      <w:r>
        <w:rPr>
          <w:rFonts w:ascii="Calibri" w:hAnsi="Calibri" w:cs="Calibri"/>
          <w:sz w:val="20"/>
          <w:szCs w:val="20"/>
        </w:rPr>
        <w:t xml:space="preserve"> </w:t>
      </w:r>
      <w:r w:rsidRPr="00A466EA">
        <w:rPr>
          <w:rFonts w:ascii="Calibri" w:hAnsi="Calibri" w:cs="Calibri"/>
          <w:sz w:val="20"/>
          <w:szCs w:val="20"/>
        </w:rPr>
        <w:t>transfusion safety.</w:t>
      </w:r>
    </w:p>
    <w:p w14:paraId="14F82833" w14:textId="77777777" w:rsidR="00AD6092" w:rsidRPr="006112AD" w:rsidRDefault="00AD6092" w:rsidP="006112AD">
      <w:pPr>
        <w:spacing w:after="0" w:line="240" w:lineRule="auto"/>
        <w:rPr>
          <w:rFonts w:ascii="Calibri" w:hAnsi="Calibri" w:cs="Calibri"/>
          <w:sz w:val="20"/>
          <w:szCs w:val="20"/>
        </w:rPr>
      </w:pPr>
    </w:p>
    <w:p w14:paraId="519FE107" w14:textId="77777777" w:rsidR="00AD6092" w:rsidRPr="006112AD" w:rsidRDefault="00AD6092" w:rsidP="006112AD">
      <w:pPr>
        <w:pStyle w:val="ListParagraph"/>
        <w:numPr>
          <w:ilvl w:val="0"/>
          <w:numId w:val="38"/>
        </w:numPr>
        <w:spacing w:after="0" w:line="240" w:lineRule="auto"/>
        <w:rPr>
          <w:rFonts w:ascii="Calibri" w:hAnsi="Calibri" w:cs="Calibri"/>
          <w:b/>
          <w:bCs/>
          <w:sz w:val="20"/>
          <w:szCs w:val="20"/>
        </w:rPr>
      </w:pPr>
      <w:r w:rsidRPr="006112AD">
        <w:rPr>
          <w:rFonts w:ascii="Calibri" w:hAnsi="Calibri" w:cs="Calibri"/>
          <w:b/>
          <w:bCs/>
          <w:sz w:val="20"/>
          <w:szCs w:val="20"/>
        </w:rPr>
        <w:t>Introduction</w:t>
      </w:r>
    </w:p>
    <w:p w14:paraId="48BA0008" w14:textId="77777777" w:rsidR="00AD6092" w:rsidRPr="006112AD" w:rsidRDefault="00AD6092" w:rsidP="006112AD">
      <w:pPr>
        <w:pStyle w:val="ListParagraph"/>
        <w:spacing w:after="0" w:line="240" w:lineRule="auto"/>
        <w:ind w:left="1080"/>
        <w:rPr>
          <w:rFonts w:ascii="Calibri" w:hAnsi="Calibri" w:cs="Calibri"/>
          <w:sz w:val="20"/>
          <w:szCs w:val="20"/>
        </w:rPr>
      </w:pPr>
    </w:p>
    <w:p w14:paraId="1B8B6912" w14:textId="77A6FA24" w:rsidR="00A26241" w:rsidRDefault="001B3F62" w:rsidP="00075317">
      <w:pPr>
        <w:tabs>
          <w:tab w:val="left" w:pos="3384"/>
        </w:tabs>
        <w:spacing w:after="0" w:line="240" w:lineRule="auto"/>
        <w:jc w:val="both"/>
        <w:rPr>
          <w:rFonts w:ascii="Calibri" w:hAnsi="Calibri" w:cs="Calibri"/>
          <w:sz w:val="20"/>
          <w:szCs w:val="20"/>
        </w:rPr>
      </w:pPr>
      <w:r w:rsidRPr="001B3F62">
        <w:rPr>
          <w:rFonts w:ascii="Calibri" w:hAnsi="Calibri" w:cs="Calibri"/>
          <w:sz w:val="20"/>
          <w:szCs w:val="20"/>
        </w:rPr>
        <w:t xml:space="preserve">Therapeutic </w:t>
      </w:r>
      <w:r>
        <w:rPr>
          <w:rFonts w:ascii="Calibri" w:hAnsi="Calibri" w:cs="Calibri"/>
          <w:sz w:val="20"/>
          <w:szCs w:val="20"/>
        </w:rPr>
        <w:t xml:space="preserve">efficacy and patient safety are very important aspects of transfusion. The therapeutic value of </w:t>
      </w:r>
      <w:r w:rsidR="007C4BAB">
        <w:rPr>
          <w:rFonts w:ascii="Calibri" w:hAnsi="Calibri" w:cs="Calibri"/>
          <w:sz w:val="20"/>
          <w:szCs w:val="20"/>
        </w:rPr>
        <w:t xml:space="preserve">fresh frozen </w:t>
      </w:r>
      <w:r>
        <w:rPr>
          <w:rFonts w:ascii="Calibri" w:hAnsi="Calibri" w:cs="Calibri"/>
          <w:sz w:val="20"/>
          <w:szCs w:val="20"/>
        </w:rPr>
        <w:t xml:space="preserve">plasma </w:t>
      </w:r>
      <w:r w:rsidR="007C4BAB">
        <w:rPr>
          <w:rFonts w:ascii="Calibri" w:hAnsi="Calibri" w:cs="Calibri"/>
          <w:sz w:val="20"/>
          <w:szCs w:val="20"/>
        </w:rPr>
        <w:t xml:space="preserve">(FFP) </w:t>
      </w:r>
      <w:r>
        <w:rPr>
          <w:rFonts w:ascii="Calibri" w:hAnsi="Calibri" w:cs="Calibri"/>
          <w:sz w:val="20"/>
          <w:szCs w:val="20"/>
        </w:rPr>
        <w:t>is m</w:t>
      </w:r>
      <w:r w:rsidR="005743A8">
        <w:rPr>
          <w:rFonts w:ascii="Calibri" w:hAnsi="Calibri" w:cs="Calibri"/>
          <w:sz w:val="20"/>
          <w:szCs w:val="20"/>
        </w:rPr>
        <w:t>ostly</w:t>
      </w:r>
      <w:r>
        <w:rPr>
          <w:rFonts w:ascii="Calibri" w:hAnsi="Calibri" w:cs="Calibri"/>
          <w:sz w:val="20"/>
          <w:szCs w:val="20"/>
        </w:rPr>
        <w:t xml:space="preserve"> determined by its protein content, </w:t>
      </w:r>
      <w:r w:rsidR="005743A8">
        <w:rPr>
          <w:rFonts w:ascii="Calibri" w:hAnsi="Calibri" w:cs="Calibri"/>
          <w:sz w:val="20"/>
          <w:szCs w:val="20"/>
        </w:rPr>
        <w:t>especially</w:t>
      </w:r>
      <w:r>
        <w:rPr>
          <w:rFonts w:ascii="Calibri" w:hAnsi="Calibri" w:cs="Calibri"/>
          <w:sz w:val="20"/>
          <w:szCs w:val="20"/>
        </w:rPr>
        <w:t xml:space="preserve"> coagulation factors. Patient safety is </w:t>
      </w:r>
      <w:r w:rsidR="005743A8">
        <w:rPr>
          <w:rFonts w:ascii="Calibri" w:hAnsi="Calibri" w:cs="Calibri"/>
          <w:sz w:val="20"/>
          <w:szCs w:val="20"/>
        </w:rPr>
        <w:t xml:space="preserve">mainly </w:t>
      </w:r>
      <w:r>
        <w:rPr>
          <w:rFonts w:ascii="Calibri" w:hAnsi="Calibri" w:cs="Calibri"/>
          <w:sz w:val="20"/>
          <w:szCs w:val="20"/>
        </w:rPr>
        <w:t>ensured by eliminating pathogens in the unit</w:t>
      </w:r>
      <w:r w:rsidR="005743A8">
        <w:rPr>
          <w:rFonts w:ascii="Calibri" w:hAnsi="Calibri" w:cs="Calibri"/>
          <w:sz w:val="20"/>
          <w:szCs w:val="20"/>
        </w:rPr>
        <w:t xml:space="preserve"> by phagocytosis or pathogen inactivation techniques,</w:t>
      </w:r>
      <w:r>
        <w:rPr>
          <w:rFonts w:ascii="Calibri" w:hAnsi="Calibri" w:cs="Calibri"/>
          <w:sz w:val="20"/>
          <w:szCs w:val="20"/>
        </w:rPr>
        <w:t xml:space="preserve"> and lowering the residual leucocyte count to a minimum, </w:t>
      </w:r>
      <w:r w:rsidR="00CC018D">
        <w:rPr>
          <w:rFonts w:ascii="Calibri" w:hAnsi="Calibri" w:cs="Calibri"/>
          <w:sz w:val="20"/>
          <w:szCs w:val="20"/>
        </w:rPr>
        <w:t>according to the followed guidelines</w:t>
      </w:r>
      <w:r w:rsidR="00DA0A4C">
        <w:rPr>
          <w:rFonts w:ascii="Calibri" w:hAnsi="Calibri" w:cs="Calibri"/>
          <w:sz w:val="20"/>
          <w:szCs w:val="20"/>
        </w:rPr>
        <w:t xml:space="preserve"> such as those set by the </w:t>
      </w:r>
      <w:r w:rsidR="00DA0A4C" w:rsidRPr="00DA0A4C">
        <w:rPr>
          <w:rFonts w:ascii="Calibri" w:hAnsi="Calibri" w:cs="Calibri"/>
          <w:sz w:val="20"/>
          <w:szCs w:val="20"/>
        </w:rPr>
        <w:t>European Directorate for the Quality of Medicines &amp; HealthCare</w:t>
      </w:r>
      <w:r w:rsidR="00DA0A4C">
        <w:rPr>
          <w:rFonts w:ascii="Calibri" w:hAnsi="Calibri" w:cs="Calibri"/>
          <w:sz w:val="20"/>
          <w:szCs w:val="20"/>
        </w:rPr>
        <w:t xml:space="preserve"> (EDQM)</w:t>
      </w:r>
      <w:r w:rsidR="009863A9">
        <w:rPr>
          <w:rFonts w:ascii="Calibri" w:hAnsi="Calibri" w:cs="Calibri"/>
          <w:sz w:val="20"/>
          <w:szCs w:val="20"/>
        </w:rPr>
        <w:fldChar w:fldCharType="begin"/>
      </w:r>
      <w:r w:rsidR="009863A9">
        <w:rPr>
          <w:rFonts w:ascii="Calibri" w:hAnsi="Calibri" w:cs="Calibri"/>
          <w:sz w:val="20"/>
          <w:szCs w:val="20"/>
        </w:rPr>
        <w:instrText xml:space="preserve"> ADDIN ZOTERO_ITEM CSL_CITATION {"citationID":"TuqInqk6","properties":{"formattedCitation":"(1)","plainCitation":"(1)","noteIndex":0},"citationItems":[{"id":5389,"uris":["http://zotero.org/users/3782744/items/CV6ESY35"],"itemData":{"id":5389,"type":"webpage","container-title":"European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9863A9">
        <w:rPr>
          <w:rFonts w:ascii="Calibri" w:hAnsi="Calibri" w:cs="Calibri"/>
          <w:sz w:val="20"/>
          <w:szCs w:val="20"/>
        </w:rPr>
        <w:fldChar w:fldCharType="separate"/>
      </w:r>
      <w:r w:rsidR="009863A9" w:rsidRPr="009863A9">
        <w:rPr>
          <w:rFonts w:ascii="Calibri" w:hAnsi="Calibri" w:cs="Calibri"/>
          <w:sz w:val="20"/>
        </w:rPr>
        <w:t>(1)</w:t>
      </w:r>
      <w:r w:rsidR="009863A9">
        <w:rPr>
          <w:rFonts w:ascii="Calibri" w:hAnsi="Calibri" w:cs="Calibri"/>
          <w:sz w:val="20"/>
          <w:szCs w:val="20"/>
        </w:rPr>
        <w:fldChar w:fldCharType="end"/>
      </w:r>
      <w:r w:rsidR="007165BE">
        <w:rPr>
          <w:rFonts w:ascii="Calibri" w:hAnsi="Calibri" w:cs="Calibri"/>
          <w:sz w:val="20"/>
          <w:szCs w:val="20"/>
        </w:rPr>
        <w:t xml:space="preserve">. </w:t>
      </w:r>
      <w:r w:rsidR="005743A8">
        <w:rPr>
          <w:rFonts w:ascii="Calibri" w:hAnsi="Calibri" w:cs="Calibri"/>
          <w:sz w:val="20"/>
          <w:szCs w:val="20"/>
        </w:rPr>
        <w:t>Several factors and steps throughout the process of blood product production can influence the final quality of the product, and therefore the therapeutic efficacy and safety. One of these factors is holding time, which is the time between whole blood collection and product separation</w:t>
      </w:r>
      <w:r w:rsidR="007165BE">
        <w:rPr>
          <w:rFonts w:ascii="Calibri" w:hAnsi="Calibri" w:cs="Calibri"/>
          <w:sz w:val="20"/>
          <w:szCs w:val="20"/>
        </w:rPr>
        <w:t xml:space="preserve"> </w:t>
      </w:r>
      <w:r w:rsidR="007165BE" w:rsidRPr="005167B6">
        <w:rPr>
          <w:rFonts w:ascii="Calibri" w:hAnsi="Calibri" w:cs="Calibri"/>
          <w:sz w:val="20"/>
          <w:szCs w:val="20"/>
        </w:rPr>
        <w:t>(Yousif</w:t>
      </w:r>
      <w:r w:rsidR="007165BE">
        <w:rPr>
          <w:rFonts w:ascii="Calibri" w:hAnsi="Calibri" w:cs="Calibri"/>
          <w:sz w:val="20"/>
          <w:szCs w:val="20"/>
        </w:rPr>
        <w:t xml:space="preserve">, </w:t>
      </w:r>
      <w:proofErr w:type="spellStart"/>
      <w:r w:rsidR="007165BE">
        <w:rPr>
          <w:rFonts w:ascii="Calibri" w:hAnsi="Calibri" w:cs="Calibri"/>
          <w:sz w:val="20"/>
          <w:szCs w:val="20"/>
        </w:rPr>
        <w:t>Sammut</w:t>
      </w:r>
      <w:proofErr w:type="spellEnd"/>
      <w:r w:rsidR="007165BE">
        <w:rPr>
          <w:rFonts w:ascii="Calibri" w:hAnsi="Calibri" w:cs="Calibri"/>
          <w:sz w:val="20"/>
          <w:szCs w:val="20"/>
        </w:rPr>
        <w:t xml:space="preserve"> et al.</w:t>
      </w:r>
      <w:r w:rsidR="007165BE" w:rsidRPr="005167B6">
        <w:rPr>
          <w:rFonts w:ascii="Calibri" w:hAnsi="Calibri" w:cs="Calibri"/>
          <w:sz w:val="20"/>
          <w:szCs w:val="20"/>
        </w:rPr>
        <w:t xml:space="preserve"> 2025)</w:t>
      </w:r>
      <w:r w:rsidR="007165BE">
        <w:rPr>
          <w:rFonts w:ascii="Calibri" w:hAnsi="Calibri" w:cs="Calibri"/>
          <w:sz w:val="20"/>
          <w:szCs w:val="20"/>
        </w:rPr>
        <w:t xml:space="preserve">.  </w:t>
      </w:r>
      <w:r w:rsidR="005743A8">
        <w:rPr>
          <w:rFonts w:ascii="Calibri" w:hAnsi="Calibri" w:cs="Calibri"/>
          <w:sz w:val="20"/>
          <w:szCs w:val="20"/>
        </w:rPr>
        <w:t>This time allow</w:t>
      </w:r>
      <w:r w:rsidR="00D135EE">
        <w:rPr>
          <w:rFonts w:ascii="Calibri" w:hAnsi="Calibri" w:cs="Calibri"/>
          <w:sz w:val="20"/>
          <w:szCs w:val="20"/>
        </w:rPr>
        <w:t>s</w:t>
      </w:r>
      <w:r w:rsidR="005743A8">
        <w:rPr>
          <w:rFonts w:ascii="Calibri" w:hAnsi="Calibri" w:cs="Calibri"/>
          <w:sz w:val="20"/>
          <w:szCs w:val="20"/>
        </w:rPr>
        <w:t xml:space="preserve"> leucocytes to phagocytose any bacteria</w:t>
      </w:r>
      <w:r w:rsidR="002F0614">
        <w:rPr>
          <w:rFonts w:ascii="Calibri" w:hAnsi="Calibri" w:cs="Calibri"/>
          <w:sz w:val="20"/>
          <w:szCs w:val="20"/>
        </w:rPr>
        <w:t xml:space="preserve"> present</w:t>
      </w:r>
      <w:r w:rsidR="005743A8">
        <w:rPr>
          <w:rFonts w:ascii="Calibri" w:hAnsi="Calibri" w:cs="Calibri"/>
          <w:sz w:val="20"/>
          <w:szCs w:val="20"/>
        </w:rPr>
        <w:t xml:space="preserve"> and</w:t>
      </w:r>
      <w:r w:rsidR="001A30E9">
        <w:rPr>
          <w:rFonts w:ascii="Calibri" w:hAnsi="Calibri" w:cs="Calibri"/>
          <w:sz w:val="20"/>
          <w:szCs w:val="20"/>
        </w:rPr>
        <w:t xml:space="preserve"> </w:t>
      </w:r>
      <w:r w:rsidR="005743A8">
        <w:rPr>
          <w:rFonts w:ascii="Calibri" w:hAnsi="Calibri" w:cs="Calibri"/>
          <w:sz w:val="20"/>
          <w:szCs w:val="20"/>
        </w:rPr>
        <w:t>to degrade and inactivate, thus minimizing the possibility of transfusion-related infection transmission and immunological reactions</w:t>
      </w:r>
      <w:r w:rsidR="00335A3F">
        <w:rPr>
          <w:rFonts w:ascii="Calibri" w:hAnsi="Calibri" w:cs="Calibri"/>
          <w:sz w:val="20"/>
          <w:szCs w:val="20"/>
        </w:rPr>
        <w:t>. H</w:t>
      </w:r>
      <w:r w:rsidR="00A020DA">
        <w:rPr>
          <w:rFonts w:ascii="Calibri" w:hAnsi="Calibri" w:cs="Calibri"/>
          <w:sz w:val="20"/>
          <w:szCs w:val="20"/>
        </w:rPr>
        <w:t>olding time has</w:t>
      </w:r>
      <w:r w:rsidR="001A30E9">
        <w:rPr>
          <w:rFonts w:ascii="Calibri" w:hAnsi="Calibri" w:cs="Calibri"/>
          <w:sz w:val="20"/>
          <w:szCs w:val="20"/>
        </w:rPr>
        <w:t xml:space="preserve"> its benefits but also</w:t>
      </w:r>
      <w:r w:rsidR="00A020DA">
        <w:rPr>
          <w:rFonts w:ascii="Calibri" w:hAnsi="Calibri" w:cs="Calibri"/>
          <w:sz w:val="20"/>
          <w:szCs w:val="20"/>
        </w:rPr>
        <w:t xml:space="preserve"> </w:t>
      </w:r>
      <w:r w:rsidR="00E42647">
        <w:rPr>
          <w:rFonts w:ascii="Calibri" w:hAnsi="Calibri" w:cs="Calibri"/>
          <w:sz w:val="20"/>
          <w:szCs w:val="20"/>
        </w:rPr>
        <w:t>has</w:t>
      </w:r>
      <w:r w:rsidR="00A020DA">
        <w:rPr>
          <w:rFonts w:ascii="Calibri" w:hAnsi="Calibri" w:cs="Calibri"/>
          <w:sz w:val="20"/>
          <w:szCs w:val="20"/>
        </w:rPr>
        <w:t xml:space="preserve"> its downside</w:t>
      </w:r>
      <w:r w:rsidR="009135D2">
        <w:rPr>
          <w:rFonts w:ascii="Calibri" w:hAnsi="Calibri" w:cs="Calibri"/>
          <w:sz w:val="20"/>
          <w:szCs w:val="20"/>
        </w:rPr>
        <w:t>. In the case of plasma</w:t>
      </w:r>
      <w:r w:rsidR="00A020DA">
        <w:rPr>
          <w:rFonts w:ascii="Calibri" w:hAnsi="Calibri" w:cs="Calibri"/>
          <w:sz w:val="20"/>
          <w:szCs w:val="20"/>
        </w:rPr>
        <w:t>,</w:t>
      </w:r>
      <w:r w:rsidR="009135D2">
        <w:rPr>
          <w:rFonts w:ascii="Calibri" w:hAnsi="Calibri" w:cs="Calibri"/>
          <w:sz w:val="20"/>
          <w:szCs w:val="20"/>
        </w:rPr>
        <w:t xml:space="preserve"> long holding times have been found to increase</w:t>
      </w:r>
      <w:r w:rsidR="00A020DA">
        <w:rPr>
          <w:rFonts w:ascii="Calibri" w:hAnsi="Calibri" w:cs="Calibri"/>
          <w:sz w:val="20"/>
          <w:szCs w:val="20"/>
        </w:rPr>
        <w:t xml:space="preserve"> the degradation of coagulation factors</w:t>
      </w:r>
      <w:r w:rsidR="009135D2">
        <w:rPr>
          <w:rFonts w:ascii="Calibri" w:hAnsi="Calibri" w:cs="Calibri"/>
          <w:sz w:val="20"/>
          <w:szCs w:val="20"/>
        </w:rPr>
        <w:t xml:space="preserve"> necessary for patients receiving FFP transfusion</w:t>
      </w:r>
      <w:r w:rsidR="00A020DA">
        <w:rPr>
          <w:rFonts w:ascii="Calibri" w:hAnsi="Calibri" w:cs="Calibri"/>
          <w:sz w:val="20"/>
          <w:szCs w:val="20"/>
        </w:rPr>
        <w:t>, particularly Factor VIII which is the most labile.</w:t>
      </w:r>
      <w:r w:rsidR="009135D2">
        <w:rPr>
          <w:rFonts w:ascii="Calibri" w:hAnsi="Calibri" w:cs="Calibri"/>
          <w:sz w:val="20"/>
          <w:szCs w:val="20"/>
        </w:rPr>
        <w:t xml:space="preserve"> Thus, the right duration of holding time is crucial to balance </w:t>
      </w:r>
      <w:r w:rsidR="00B80251">
        <w:rPr>
          <w:rFonts w:ascii="Calibri" w:hAnsi="Calibri" w:cs="Calibri"/>
          <w:sz w:val="20"/>
          <w:szCs w:val="20"/>
        </w:rPr>
        <w:t>re</w:t>
      </w:r>
      <w:r w:rsidR="007C4BAB">
        <w:rPr>
          <w:rFonts w:ascii="Calibri" w:hAnsi="Calibri" w:cs="Calibri"/>
          <w:sz w:val="20"/>
          <w:szCs w:val="20"/>
        </w:rPr>
        <w:t>sidual</w:t>
      </w:r>
      <w:r w:rsidR="00B80251">
        <w:rPr>
          <w:rFonts w:ascii="Calibri" w:hAnsi="Calibri" w:cs="Calibri"/>
          <w:sz w:val="20"/>
          <w:szCs w:val="20"/>
        </w:rPr>
        <w:t xml:space="preserve"> leuco</w:t>
      </w:r>
      <w:r w:rsidR="00CA2617">
        <w:rPr>
          <w:rFonts w:ascii="Calibri" w:hAnsi="Calibri" w:cs="Calibri"/>
          <w:sz w:val="20"/>
          <w:szCs w:val="20"/>
        </w:rPr>
        <w:t xml:space="preserve">cyte </w:t>
      </w:r>
      <w:r w:rsidR="00B80251">
        <w:rPr>
          <w:rFonts w:ascii="Calibri" w:hAnsi="Calibri" w:cs="Calibri"/>
          <w:sz w:val="20"/>
          <w:szCs w:val="20"/>
        </w:rPr>
        <w:t xml:space="preserve">count </w:t>
      </w:r>
      <w:r w:rsidR="00CA2617">
        <w:rPr>
          <w:rFonts w:ascii="Calibri" w:hAnsi="Calibri" w:cs="Calibri"/>
          <w:sz w:val="20"/>
          <w:szCs w:val="20"/>
        </w:rPr>
        <w:t xml:space="preserve">(RLC) </w:t>
      </w:r>
      <w:r w:rsidR="009135D2">
        <w:rPr>
          <w:rFonts w:ascii="Calibri" w:hAnsi="Calibri" w:cs="Calibri"/>
          <w:sz w:val="20"/>
          <w:szCs w:val="20"/>
        </w:rPr>
        <w:t xml:space="preserve">and </w:t>
      </w:r>
      <w:r w:rsidR="00B80251">
        <w:rPr>
          <w:rFonts w:ascii="Calibri" w:hAnsi="Calibri" w:cs="Calibri"/>
          <w:sz w:val="20"/>
          <w:szCs w:val="20"/>
        </w:rPr>
        <w:t>total protein conc</w:t>
      </w:r>
      <w:r w:rsidR="00CA2617">
        <w:rPr>
          <w:rFonts w:ascii="Calibri" w:hAnsi="Calibri" w:cs="Calibri"/>
          <w:sz w:val="20"/>
          <w:szCs w:val="20"/>
        </w:rPr>
        <w:t>en</w:t>
      </w:r>
      <w:r w:rsidR="00B80251">
        <w:rPr>
          <w:rFonts w:ascii="Calibri" w:hAnsi="Calibri" w:cs="Calibri"/>
          <w:sz w:val="20"/>
          <w:szCs w:val="20"/>
        </w:rPr>
        <w:t>tration</w:t>
      </w:r>
      <w:r w:rsidR="00CA2617">
        <w:rPr>
          <w:rFonts w:ascii="Calibri" w:hAnsi="Calibri" w:cs="Calibri"/>
          <w:sz w:val="20"/>
          <w:szCs w:val="20"/>
        </w:rPr>
        <w:t xml:space="preserve"> (PC)</w:t>
      </w:r>
      <w:r w:rsidR="001C6BD8">
        <w:rPr>
          <w:rFonts w:ascii="Calibri" w:hAnsi="Calibri" w:cs="Calibri"/>
          <w:sz w:val="20"/>
          <w:szCs w:val="20"/>
        </w:rPr>
        <w:fldChar w:fldCharType="begin"/>
      </w:r>
      <w:r w:rsidR="009863A9">
        <w:rPr>
          <w:rFonts w:ascii="Calibri" w:hAnsi="Calibri" w:cs="Calibri"/>
          <w:sz w:val="20"/>
          <w:szCs w:val="20"/>
        </w:rPr>
        <w:instrText xml:space="preserve"> ADDIN ZOTERO_ITEM CSL_CITATION {"citationID":"cJLcx7nS","properties":{"formattedCitation":"(2\\uc0\\u8211{}6)","plainCitation":"(2–6)","noteIndex":0},"citationItems":[{"id":5478,"uris":["http://zotero.org/users/3782744/items/XXJR3MUW"],"itemData":{"id":5478,"type":"article-journal","container-title":"International Blood Research &amp; Reviews","DOI":"10.9734/ibrr/2025/v16i3364","ISSN":"2321-7219","issue":"4","language":"en","page":"1-10","source":"journalibrr.com","title":"Holding Time Optimisation in Fresh Frozen Plasma: A Critical Factor Worth Investigating","title-short":"Holding Time Optimisation in Fresh Frozen Plasma","volume":"16","author":[{"family":"Yousif","given":"D."},{"family":"Sammut","given":"M."},{"family":"Zammit","given":"V."}],"issued":{"date-parts":[["2025",9,6]]}},"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Andrew"},{"family":"Holme","given":"Stein"}],"issued":{"date-parts":[["2011",1]]}},"label":"page"},{"id":5415,"uris":["http://zotero.org/users/3782744/items/2299JAR7"],"itemData":{"id":5415,"type":"article-journal","abstract":"BACKGROUND: The preparation of platelet (PLT) concentrates (PCs) from PLT-rich plasma (PRP) requires that whole blood (WB) be processed within 8 hours of collection. Increasing WB storage time to 24 hours would be logistically attractive. This study compares the in vitro quality of blood components prepared from WB stored for 8 and 24 hours at room temperature before processing with the PRP method.\nSTUDY DESIGN AND METHODS: WB units were collected from ABO-matched blood donors. To reduce individual variations, paired donations were drawn in parallel, pooled, and split back in the collection bag. One unit was held for 6 to 8 hours and the other for 22 to 24 hours at 20 to 24 degrees C. Prestorage leukoreduced components were prepared with the PRP as intermediate product and analyzed during storage.\nRESULTS: RBC units prepared after an 8- or 24-hour hold were comparable in terms of hemolysis, sodium, pH, and ATP levels. RBC 2,3- diphosphoglycerate (2,3-DPG) was significantly lower in RBCs prepared from 24-hour hold donations immediately after processing but not after 20 days of storage. Residual white blood cells were approximately fivefold higher (p &lt; 0.05) in 24-hour RBC units. For PCs, measurements for glucose, ATP, lactate, pH, extent of shape change, hypotonic shock response, and CD62p activation were similar. No differences were observed in the von Willebrand factor, factor (F)V, FVIII, and fibrinogen content of fresh-frozen plasma.\nCONCLUSIONS: The decrease in FVIII and RBC 2,3-DPG can be acceptable as a compromise to improve blood component logistics, but leukoreduction efficiency must be improved before considering the adoption of an overnight storage of WB before PRP processing.","container-title":"Transfusion","DOI":"10.1111/j.1537-2995.2006.00894.x","ISSN":"0041-1132","issue":"8","journalAbbreviation":"Transfusion","language":"eng","note":"PMID: 16934062","page":"1292-1299","source":"PubMed","title":"Characterization of blood components prepared from whole-blood donations after a 24-hour hold with the platelet-rich plasma method","volume":"46","author":[{"family":"Thibault","given":"Louis"},{"family":"Beauséjour","given":"Annie"},{"family":"Grandmont","given":"Marie Joëlle","non-dropping-particle":"de"},{"family":"Lemieux","given":"Réal"},{"family":"Leblanc","given":"Jean-François"}],"issued":{"date-parts":[["2006",8]]}},"label":"page"}],"schema":"https://github.com/citation-style-language/schema/raw/master/csl-citation.json"} </w:instrText>
      </w:r>
      <w:r w:rsidR="001C6BD8">
        <w:rPr>
          <w:rFonts w:ascii="Calibri" w:hAnsi="Calibri" w:cs="Calibri"/>
          <w:sz w:val="20"/>
          <w:szCs w:val="20"/>
        </w:rPr>
        <w:fldChar w:fldCharType="separate"/>
      </w:r>
      <w:r w:rsidR="009863A9" w:rsidRPr="009863A9">
        <w:rPr>
          <w:rFonts w:ascii="Calibri" w:hAnsi="Calibri" w:cs="Calibri"/>
          <w:kern w:val="0"/>
          <w:sz w:val="20"/>
        </w:rPr>
        <w:t>(2–6)</w:t>
      </w:r>
      <w:r w:rsidR="001C6BD8">
        <w:rPr>
          <w:rFonts w:ascii="Calibri" w:hAnsi="Calibri" w:cs="Calibri"/>
          <w:sz w:val="20"/>
          <w:szCs w:val="20"/>
        </w:rPr>
        <w:fldChar w:fldCharType="end"/>
      </w:r>
      <w:r w:rsidR="001C6BD8">
        <w:rPr>
          <w:rFonts w:ascii="Calibri" w:hAnsi="Calibri" w:cs="Calibri"/>
          <w:sz w:val="20"/>
          <w:szCs w:val="20"/>
        </w:rPr>
        <w:t>.</w:t>
      </w:r>
      <w:r w:rsidR="00A020DA">
        <w:rPr>
          <w:rFonts w:ascii="Calibri" w:hAnsi="Calibri" w:cs="Calibri"/>
          <w:sz w:val="20"/>
          <w:szCs w:val="20"/>
        </w:rPr>
        <w:t xml:space="preserve"> </w:t>
      </w:r>
      <w:r w:rsidR="005743A8">
        <w:rPr>
          <w:rFonts w:ascii="Calibri" w:hAnsi="Calibri" w:cs="Calibri"/>
          <w:sz w:val="20"/>
          <w:szCs w:val="20"/>
        </w:rPr>
        <w:t xml:space="preserve">This </w:t>
      </w:r>
      <w:r w:rsidR="00447D36">
        <w:rPr>
          <w:rFonts w:ascii="Calibri" w:hAnsi="Calibri" w:cs="Calibri"/>
          <w:sz w:val="20"/>
          <w:szCs w:val="20"/>
        </w:rPr>
        <w:t>has</w:t>
      </w:r>
      <w:r w:rsidR="005743A8">
        <w:rPr>
          <w:rFonts w:ascii="Calibri" w:hAnsi="Calibri" w:cs="Calibri"/>
          <w:sz w:val="20"/>
          <w:szCs w:val="20"/>
        </w:rPr>
        <w:t xml:space="preserve"> </w:t>
      </w:r>
      <w:r w:rsidR="007E2FFA">
        <w:rPr>
          <w:rFonts w:ascii="Calibri" w:hAnsi="Calibri" w:cs="Calibri"/>
          <w:sz w:val="20"/>
          <w:szCs w:val="20"/>
        </w:rPr>
        <w:t>highlighted</w:t>
      </w:r>
      <w:r w:rsidR="005743A8">
        <w:rPr>
          <w:rFonts w:ascii="Calibri" w:hAnsi="Calibri" w:cs="Calibri"/>
          <w:sz w:val="20"/>
          <w:szCs w:val="20"/>
        </w:rPr>
        <w:t xml:space="preserve"> the importance of investigating the relationship between holding time and different parameters including RLC and total PC</w:t>
      </w:r>
      <w:r w:rsidR="00392984">
        <w:rPr>
          <w:rFonts w:ascii="Calibri" w:hAnsi="Calibri" w:cs="Calibri"/>
          <w:sz w:val="20"/>
          <w:szCs w:val="20"/>
        </w:rPr>
        <w:t>,</w:t>
      </w:r>
      <w:r w:rsidR="005743A8">
        <w:rPr>
          <w:rFonts w:ascii="Calibri" w:hAnsi="Calibri" w:cs="Calibri"/>
          <w:sz w:val="20"/>
          <w:szCs w:val="20"/>
        </w:rPr>
        <w:t xml:space="preserve"> </w:t>
      </w:r>
      <w:r w:rsidR="00A442F5">
        <w:rPr>
          <w:rFonts w:ascii="Calibri" w:hAnsi="Calibri" w:cs="Calibri"/>
          <w:sz w:val="20"/>
          <w:szCs w:val="20"/>
        </w:rPr>
        <w:t xml:space="preserve">on </w:t>
      </w:r>
      <w:r w:rsidR="005743A8">
        <w:rPr>
          <w:rFonts w:ascii="Calibri" w:hAnsi="Calibri" w:cs="Calibri"/>
          <w:sz w:val="20"/>
          <w:szCs w:val="20"/>
        </w:rPr>
        <w:t>whic</w:t>
      </w:r>
      <w:r w:rsidR="00627626">
        <w:rPr>
          <w:rFonts w:ascii="Calibri" w:hAnsi="Calibri" w:cs="Calibri"/>
          <w:sz w:val="20"/>
          <w:szCs w:val="20"/>
        </w:rPr>
        <w:t xml:space="preserve">h </w:t>
      </w:r>
      <w:r w:rsidR="00A442F5">
        <w:rPr>
          <w:rFonts w:ascii="Calibri" w:hAnsi="Calibri" w:cs="Calibri"/>
          <w:sz w:val="20"/>
          <w:szCs w:val="20"/>
        </w:rPr>
        <w:t xml:space="preserve">there is limited research, </w:t>
      </w:r>
      <w:r w:rsidR="00627626">
        <w:rPr>
          <w:rFonts w:ascii="Calibri" w:hAnsi="Calibri" w:cs="Calibri"/>
          <w:sz w:val="20"/>
          <w:szCs w:val="20"/>
        </w:rPr>
        <w:t>especially with regards to RLCs in plasma</w:t>
      </w:r>
      <w:r w:rsidR="005743A8">
        <w:rPr>
          <w:rFonts w:ascii="Calibri" w:hAnsi="Calibri" w:cs="Calibri"/>
          <w:sz w:val="20"/>
          <w:szCs w:val="20"/>
        </w:rPr>
        <w:t>. By comparing units with a S</w:t>
      </w:r>
      <w:r w:rsidR="00D1143F">
        <w:rPr>
          <w:rFonts w:ascii="Calibri" w:hAnsi="Calibri" w:cs="Calibri"/>
          <w:sz w:val="20"/>
          <w:szCs w:val="20"/>
        </w:rPr>
        <w:t xml:space="preserve">hort </w:t>
      </w:r>
      <w:r w:rsidR="005743A8">
        <w:rPr>
          <w:rFonts w:ascii="Calibri" w:hAnsi="Calibri" w:cs="Calibri"/>
          <w:sz w:val="20"/>
          <w:szCs w:val="20"/>
        </w:rPr>
        <w:t>H</w:t>
      </w:r>
      <w:r w:rsidR="00D1143F">
        <w:rPr>
          <w:rFonts w:ascii="Calibri" w:hAnsi="Calibri" w:cs="Calibri"/>
          <w:sz w:val="20"/>
          <w:szCs w:val="20"/>
        </w:rPr>
        <w:t xml:space="preserve">olding </w:t>
      </w:r>
      <w:r w:rsidR="005743A8">
        <w:rPr>
          <w:rFonts w:ascii="Calibri" w:hAnsi="Calibri" w:cs="Calibri"/>
          <w:sz w:val="20"/>
          <w:szCs w:val="20"/>
        </w:rPr>
        <w:t>T</w:t>
      </w:r>
      <w:r w:rsidR="00D1143F">
        <w:rPr>
          <w:rFonts w:ascii="Calibri" w:hAnsi="Calibri" w:cs="Calibri"/>
          <w:sz w:val="20"/>
          <w:szCs w:val="20"/>
        </w:rPr>
        <w:t>ime (SHT)</w:t>
      </w:r>
      <w:r w:rsidR="005743A8">
        <w:rPr>
          <w:rFonts w:ascii="Calibri" w:hAnsi="Calibri" w:cs="Calibri"/>
          <w:sz w:val="20"/>
          <w:szCs w:val="20"/>
        </w:rPr>
        <w:t xml:space="preserve"> and L</w:t>
      </w:r>
      <w:r w:rsidR="00D1143F">
        <w:rPr>
          <w:rFonts w:ascii="Calibri" w:hAnsi="Calibri" w:cs="Calibri"/>
          <w:sz w:val="20"/>
          <w:szCs w:val="20"/>
        </w:rPr>
        <w:t xml:space="preserve">ong </w:t>
      </w:r>
      <w:r w:rsidR="005743A8">
        <w:rPr>
          <w:rFonts w:ascii="Calibri" w:hAnsi="Calibri" w:cs="Calibri"/>
          <w:sz w:val="20"/>
          <w:szCs w:val="20"/>
        </w:rPr>
        <w:t>H</w:t>
      </w:r>
      <w:r w:rsidR="00D1143F">
        <w:rPr>
          <w:rFonts w:ascii="Calibri" w:hAnsi="Calibri" w:cs="Calibri"/>
          <w:sz w:val="20"/>
          <w:szCs w:val="20"/>
        </w:rPr>
        <w:t xml:space="preserve">olding </w:t>
      </w:r>
      <w:r w:rsidR="005743A8">
        <w:rPr>
          <w:rFonts w:ascii="Calibri" w:hAnsi="Calibri" w:cs="Calibri"/>
          <w:sz w:val="20"/>
          <w:szCs w:val="20"/>
        </w:rPr>
        <w:t>T</w:t>
      </w:r>
      <w:r w:rsidR="00D1143F">
        <w:rPr>
          <w:rFonts w:ascii="Calibri" w:hAnsi="Calibri" w:cs="Calibri"/>
          <w:sz w:val="20"/>
          <w:szCs w:val="20"/>
        </w:rPr>
        <w:t>ime (LHT)</w:t>
      </w:r>
      <w:r w:rsidR="005743A8">
        <w:rPr>
          <w:rFonts w:ascii="Calibri" w:hAnsi="Calibri" w:cs="Calibri"/>
          <w:sz w:val="20"/>
          <w:szCs w:val="20"/>
        </w:rPr>
        <w:t>, this relationship, if present, can be identified and further investigated to determine whether the standard protocols should be reconsidered to</w:t>
      </w:r>
      <w:r w:rsidR="00DA0A4C">
        <w:rPr>
          <w:rFonts w:ascii="Calibri" w:hAnsi="Calibri" w:cs="Calibri"/>
          <w:sz w:val="20"/>
          <w:szCs w:val="20"/>
        </w:rPr>
        <w:t xml:space="preserve"> enhance the safety, effectiveness and clinical use of FFP</w:t>
      </w:r>
      <w:r w:rsidR="001C6BD8">
        <w:rPr>
          <w:rFonts w:ascii="Calibri" w:hAnsi="Calibri" w:cs="Calibri"/>
          <w:sz w:val="20"/>
          <w:szCs w:val="20"/>
        </w:rPr>
        <w:fldChar w:fldCharType="begin"/>
      </w:r>
      <w:r w:rsidR="009863A9">
        <w:rPr>
          <w:rFonts w:ascii="Calibri" w:hAnsi="Calibri" w:cs="Calibri"/>
          <w:sz w:val="20"/>
          <w:szCs w:val="20"/>
        </w:rPr>
        <w:instrText xml:space="preserve"> ADDIN ZOTERO_ITEM CSL_CITATION {"citationID":"tdOtV6jy","properties":{"formattedCitation":"(2)","plainCitation":"(2)","noteIndex":0},"citationItems":[{"id":5478,"uris":["http://zotero.org/users/3782744/items/XXJR3MUW"],"itemData":{"id":5478,"type":"article-journal","container-title":"International Blood Research &amp; Reviews","DOI":"10.9734/ibrr/2025/v16i3364","ISSN":"2321-7219","issue":"4","language":"en","page":"1-10","source":"journalibrr.com","title":"Holding Time Optimisation in Fresh Frozen Plasma: A Critical Factor Worth Investigating","title-short":"Holding Time Optimisation in Fresh Frozen Plasma","volume":"16","author":[{"family":"Yousif","given":"D."},{"family":"Sammut","given":"M."},{"family":"Zammit","given":"V."}],"issued":{"date-parts":[["2025",9,6]]}}}],"schema":"https://github.com/citation-style-language/schema/raw/master/csl-citation.json"} </w:instrText>
      </w:r>
      <w:r w:rsidR="001C6BD8">
        <w:rPr>
          <w:rFonts w:ascii="Calibri" w:hAnsi="Calibri" w:cs="Calibri"/>
          <w:sz w:val="20"/>
          <w:szCs w:val="20"/>
        </w:rPr>
        <w:fldChar w:fldCharType="separate"/>
      </w:r>
      <w:r w:rsidR="009863A9" w:rsidRPr="009863A9">
        <w:rPr>
          <w:rFonts w:ascii="Calibri" w:hAnsi="Calibri" w:cs="Calibri"/>
          <w:sz w:val="20"/>
        </w:rPr>
        <w:t>(2)</w:t>
      </w:r>
      <w:r w:rsidR="001C6BD8">
        <w:rPr>
          <w:rFonts w:ascii="Calibri" w:hAnsi="Calibri" w:cs="Calibri"/>
          <w:sz w:val="20"/>
          <w:szCs w:val="20"/>
        </w:rPr>
        <w:fldChar w:fldCharType="end"/>
      </w:r>
      <w:r w:rsidR="005743A8">
        <w:rPr>
          <w:rFonts w:ascii="Calibri" w:hAnsi="Calibri" w:cs="Calibri"/>
          <w:sz w:val="20"/>
          <w:szCs w:val="20"/>
        </w:rPr>
        <w:t xml:space="preserve">. </w:t>
      </w:r>
    </w:p>
    <w:p w14:paraId="43A7E8F7" w14:textId="77777777" w:rsidR="00075317" w:rsidRDefault="00075317" w:rsidP="00075317">
      <w:pPr>
        <w:tabs>
          <w:tab w:val="left" w:pos="3384"/>
        </w:tabs>
        <w:spacing w:after="0" w:line="240" w:lineRule="auto"/>
        <w:jc w:val="both"/>
        <w:rPr>
          <w:rFonts w:ascii="Calibri" w:hAnsi="Calibri" w:cs="Calibri"/>
          <w:sz w:val="20"/>
          <w:szCs w:val="20"/>
        </w:rPr>
      </w:pPr>
    </w:p>
    <w:p w14:paraId="140466BC" w14:textId="77777777" w:rsidR="00A466EA" w:rsidRDefault="00A466EA" w:rsidP="00075317">
      <w:pPr>
        <w:tabs>
          <w:tab w:val="left" w:pos="3384"/>
        </w:tabs>
        <w:spacing w:after="0" w:line="240" w:lineRule="auto"/>
        <w:jc w:val="both"/>
        <w:rPr>
          <w:rFonts w:ascii="Calibri" w:hAnsi="Calibri" w:cs="Calibri"/>
          <w:sz w:val="20"/>
          <w:szCs w:val="20"/>
        </w:rPr>
      </w:pPr>
    </w:p>
    <w:p w14:paraId="5FD532C8" w14:textId="77777777" w:rsidR="00392984" w:rsidRPr="00A26241" w:rsidRDefault="00392984" w:rsidP="00075317">
      <w:pPr>
        <w:tabs>
          <w:tab w:val="left" w:pos="3384"/>
        </w:tabs>
        <w:spacing w:after="0" w:line="240" w:lineRule="auto"/>
        <w:jc w:val="both"/>
        <w:rPr>
          <w:rFonts w:ascii="Calibri" w:hAnsi="Calibri" w:cs="Calibri"/>
          <w:sz w:val="20"/>
          <w:szCs w:val="20"/>
        </w:rPr>
      </w:pPr>
    </w:p>
    <w:p w14:paraId="4C1DE57E" w14:textId="77777777" w:rsidR="00E46A4A" w:rsidRPr="006112AD" w:rsidRDefault="00E46A4A" w:rsidP="006112AD">
      <w:pPr>
        <w:pStyle w:val="ListParagraph"/>
        <w:spacing w:after="0" w:line="240" w:lineRule="auto"/>
        <w:ind w:left="1080"/>
        <w:rPr>
          <w:rFonts w:ascii="Calibri" w:hAnsi="Calibri" w:cs="Calibri"/>
          <w:sz w:val="20"/>
          <w:szCs w:val="20"/>
        </w:rPr>
      </w:pPr>
    </w:p>
    <w:p w14:paraId="4B1EBD79" w14:textId="77777777" w:rsidR="00AD6092" w:rsidRPr="006112AD" w:rsidRDefault="004B073D" w:rsidP="006112AD">
      <w:pPr>
        <w:pStyle w:val="ListParagraph"/>
        <w:numPr>
          <w:ilvl w:val="0"/>
          <w:numId w:val="38"/>
        </w:numPr>
        <w:spacing w:after="0" w:line="240" w:lineRule="auto"/>
        <w:rPr>
          <w:rFonts w:ascii="Calibri" w:hAnsi="Calibri" w:cs="Calibri"/>
          <w:b/>
          <w:bCs/>
          <w:sz w:val="20"/>
          <w:szCs w:val="20"/>
        </w:rPr>
      </w:pPr>
      <w:r w:rsidRPr="006112AD">
        <w:rPr>
          <w:rFonts w:ascii="Calibri" w:hAnsi="Calibri" w:cs="Calibri"/>
          <w:b/>
          <w:bCs/>
          <w:sz w:val="20"/>
          <w:szCs w:val="20"/>
        </w:rPr>
        <w:t>Method</w:t>
      </w:r>
      <w:r w:rsidR="00AD6092" w:rsidRPr="006112AD">
        <w:rPr>
          <w:rFonts w:ascii="Calibri" w:hAnsi="Calibri" w:cs="Calibri"/>
          <w:b/>
          <w:bCs/>
          <w:sz w:val="20"/>
          <w:szCs w:val="20"/>
        </w:rPr>
        <w:t>ology</w:t>
      </w:r>
      <w:bookmarkStart w:id="1" w:name="_Toc170554776"/>
      <w:bookmarkStart w:id="2" w:name="_Toc170554778"/>
      <w:bookmarkStart w:id="3" w:name="_Toc170554779"/>
      <w:bookmarkStart w:id="4" w:name="_Toc170597975"/>
      <w:bookmarkStart w:id="5" w:name="_Toc170634187"/>
      <w:bookmarkStart w:id="6" w:name="_Toc170554780"/>
      <w:bookmarkStart w:id="7" w:name="_Toc170597976"/>
      <w:bookmarkStart w:id="8" w:name="_Toc170634188"/>
      <w:bookmarkStart w:id="9" w:name="_Toc170554781"/>
      <w:bookmarkStart w:id="10" w:name="_Toc170597977"/>
      <w:bookmarkStart w:id="11" w:name="_Toc170634189"/>
      <w:bookmarkStart w:id="12" w:name="_Toc170554782"/>
      <w:bookmarkStart w:id="13" w:name="_Toc170597978"/>
      <w:bookmarkStart w:id="14" w:name="_Toc170634190"/>
      <w:bookmarkStart w:id="15" w:name="_Toc170554783"/>
      <w:bookmarkStart w:id="16" w:name="_Toc170554784"/>
      <w:bookmarkStart w:id="17" w:name="_Toc170554785"/>
      <w:bookmarkStart w:id="18" w:name="_Toc170554786"/>
      <w:bookmarkStart w:id="19" w:name="_Toc170597979"/>
      <w:bookmarkStart w:id="20" w:name="_Toc170634191"/>
      <w:bookmarkStart w:id="21" w:name="_Hlk198377815"/>
      <w:bookmarkStart w:id="22" w:name="_Toc170554789"/>
      <w:bookmarkStart w:id="23" w:name="_Toc170597982"/>
      <w:bookmarkStart w:id="24" w:name="_Toc170634194"/>
      <w:bookmarkStart w:id="25" w:name="_Toc170554790"/>
      <w:bookmarkStart w:id="26" w:name="_Toc170597983"/>
      <w:bookmarkStart w:id="27" w:name="_Toc170634195"/>
      <w:bookmarkStart w:id="28" w:name="_Toc170554791"/>
      <w:bookmarkStart w:id="29" w:name="_Toc170597984"/>
      <w:bookmarkStart w:id="30" w:name="_Toc170634196"/>
      <w:bookmarkStart w:id="31" w:name="_Toc170554792"/>
      <w:bookmarkStart w:id="32" w:name="_Toc170597985"/>
      <w:bookmarkStart w:id="33" w:name="_Toc170634197"/>
      <w:bookmarkStart w:id="34" w:name="_Toc170554793"/>
      <w:bookmarkStart w:id="35" w:name="_Toc170597986"/>
      <w:bookmarkStart w:id="36" w:name="_Toc170634198"/>
      <w:bookmarkStart w:id="37" w:name="_Toc170554794"/>
      <w:bookmarkStart w:id="38" w:name="_Toc170597987"/>
      <w:bookmarkStart w:id="39" w:name="_Toc170634199"/>
      <w:bookmarkStart w:id="40" w:name="_Toc170554795"/>
      <w:bookmarkStart w:id="41" w:name="_Toc170597988"/>
      <w:bookmarkStart w:id="42" w:name="_Toc170634200"/>
      <w:bookmarkStart w:id="43" w:name="_Toc169787022"/>
      <w:bookmarkStart w:id="44" w:name="_Toc169787099"/>
      <w:bookmarkStart w:id="45" w:name="_Toc169787119"/>
      <w:bookmarkStart w:id="46" w:name="_Toc169787023"/>
      <w:bookmarkStart w:id="47" w:name="_Toc169787100"/>
      <w:bookmarkStart w:id="48" w:name="_Toc169787120"/>
      <w:bookmarkStart w:id="49" w:name="_Toc169787024"/>
      <w:bookmarkStart w:id="50" w:name="_Toc169787101"/>
      <w:bookmarkStart w:id="51" w:name="_Toc169787121"/>
      <w:bookmarkStart w:id="52" w:name="_Toc169787025"/>
      <w:bookmarkStart w:id="53" w:name="_Toc169787102"/>
      <w:bookmarkStart w:id="54" w:name="_Toc169787122"/>
      <w:bookmarkStart w:id="55" w:name="_Toc170133100"/>
      <w:bookmarkStart w:id="56" w:name="_Toc170554800"/>
      <w:bookmarkStart w:id="57" w:name="_Toc170554801"/>
      <w:bookmarkStart w:id="58" w:name="_Toc170554802"/>
      <w:bookmarkStart w:id="59" w:name="_Toc170554803"/>
      <w:bookmarkStart w:id="60" w:name="_Toc170554804"/>
      <w:bookmarkStart w:id="61" w:name="_Toc17055480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55797E8" w14:textId="77777777" w:rsidR="00AD6092" w:rsidRPr="006112AD" w:rsidRDefault="00AD6092" w:rsidP="006112AD">
      <w:pPr>
        <w:pStyle w:val="ListParagraph"/>
        <w:spacing w:line="240" w:lineRule="auto"/>
        <w:rPr>
          <w:rFonts w:ascii="Calibri" w:hAnsi="Calibri" w:cs="Calibri"/>
          <w:b/>
          <w:bCs/>
          <w:sz w:val="20"/>
          <w:szCs w:val="20"/>
        </w:rPr>
      </w:pPr>
    </w:p>
    <w:p w14:paraId="2FFC772B" w14:textId="62B1693A" w:rsidR="0098772B" w:rsidRPr="006112AD" w:rsidRDefault="00596AA0" w:rsidP="006112AD">
      <w:pPr>
        <w:pStyle w:val="ListParagraph"/>
        <w:numPr>
          <w:ilvl w:val="1"/>
          <w:numId w:val="38"/>
        </w:numPr>
        <w:spacing w:after="0" w:line="240" w:lineRule="auto"/>
        <w:rPr>
          <w:rFonts w:ascii="Calibri" w:hAnsi="Calibri" w:cs="Calibri"/>
          <w:sz w:val="20"/>
          <w:szCs w:val="20"/>
        </w:rPr>
      </w:pPr>
      <w:r w:rsidRPr="006112AD">
        <w:rPr>
          <w:rFonts w:ascii="Calibri" w:hAnsi="Calibri" w:cs="Calibri"/>
          <w:sz w:val="20"/>
          <w:szCs w:val="20"/>
        </w:rPr>
        <w:t>Experimental Design</w:t>
      </w:r>
    </w:p>
    <w:p w14:paraId="545FAC58" w14:textId="5BD730AF" w:rsidR="00E46A4A" w:rsidRDefault="00022FC3" w:rsidP="00227E39">
      <w:pPr>
        <w:spacing w:after="0" w:line="240" w:lineRule="auto"/>
        <w:jc w:val="both"/>
        <w:rPr>
          <w:rFonts w:ascii="Calibri" w:hAnsi="Calibri" w:cs="Calibri"/>
          <w:iCs/>
          <w:sz w:val="20"/>
          <w:szCs w:val="20"/>
        </w:rPr>
      </w:pPr>
      <w:r w:rsidRPr="00022FC3">
        <w:rPr>
          <w:rFonts w:ascii="Calibri" w:hAnsi="Calibri" w:cs="Calibri"/>
          <w:iCs/>
          <w:sz w:val="20"/>
          <w:szCs w:val="20"/>
        </w:rPr>
        <w:t xml:space="preserve">Donations from anonymous blood donors were collected at the donation centre. A total of 100 </w:t>
      </w:r>
      <w:r w:rsidR="00797125">
        <w:rPr>
          <w:rFonts w:ascii="Calibri" w:hAnsi="Calibri" w:cs="Calibri"/>
          <w:iCs/>
          <w:sz w:val="20"/>
          <w:szCs w:val="20"/>
        </w:rPr>
        <w:t>FFP</w:t>
      </w:r>
      <w:r w:rsidRPr="00022FC3">
        <w:rPr>
          <w:rFonts w:ascii="Calibri" w:hAnsi="Calibri" w:cs="Calibri"/>
          <w:iCs/>
          <w:sz w:val="20"/>
          <w:szCs w:val="20"/>
        </w:rPr>
        <w:t xml:space="preserve"> units processed after a short holding time (~3h</w:t>
      </w:r>
      <w:r w:rsidR="005178DA">
        <w:rPr>
          <w:rFonts w:ascii="Calibri" w:hAnsi="Calibri" w:cs="Calibri"/>
          <w:iCs/>
          <w:sz w:val="20"/>
          <w:szCs w:val="20"/>
        </w:rPr>
        <w:t>r</w:t>
      </w:r>
      <w:r w:rsidRPr="00022FC3">
        <w:rPr>
          <w:rFonts w:ascii="Calibri" w:hAnsi="Calibri" w:cs="Calibri"/>
          <w:iCs/>
          <w:sz w:val="20"/>
          <w:szCs w:val="20"/>
        </w:rPr>
        <w:t>) were tested for RLC and PC. Data from an additional 100 units processed after an overnight holding time were obtained from the quality control laboratory for comparison. The study design is summarized in Figure 1.</w:t>
      </w:r>
      <w:r w:rsidR="00B450C2">
        <w:rPr>
          <w:rFonts w:ascii="Calibri" w:hAnsi="Calibri" w:cs="Calibri"/>
          <w:iCs/>
          <w:sz w:val="20"/>
          <w:szCs w:val="20"/>
        </w:rPr>
        <w:t xml:space="preserve"> Volumes of all units were recorded.</w:t>
      </w:r>
    </w:p>
    <w:p w14:paraId="1C572E26" w14:textId="77777777" w:rsidR="00227E39" w:rsidRPr="006112AD" w:rsidRDefault="00227E39" w:rsidP="00227E39">
      <w:pPr>
        <w:spacing w:after="0" w:line="240" w:lineRule="auto"/>
        <w:jc w:val="both"/>
        <w:rPr>
          <w:rFonts w:ascii="Calibri" w:hAnsi="Calibri" w:cs="Calibri"/>
          <w:iCs/>
          <w:sz w:val="20"/>
          <w:szCs w:val="20"/>
        </w:rPr>
      </w:pPr>
    </w:p>
    <w:p w14:paraId="2E0661E2" w14:textId="3D4D2A61" w:rsidR="00022FC3" w:rsidRPr="00022FC3" w:rsidRDefault="00022FC3" w:rsidP="006112AD">
      <w:pPr>
        <w:spacing w:after="0" w:line="240" w:lineRule="auto"/>
        <w:ind w:left="360"/>
        <w:jc w:val="center"/>
        <w:rPr>
          <w:rFonts w:ascii="Calibri" w:hAnsi="Calibri" w:cs="Calibri"/>
          <w:iCs/>
          <w:sz w:val="20"/>
          <w:szCs w:val="20"/>
        </w:rPr>
      </w:pPr>
      <w:r w:rsidRPr="00022FC3">
        <w:rPr>
          <w:rFonts w:ascii="Calibri" w:hAnsi="Calibri" w:cs="Calibri"/>
          <w:iCs/>
          <w:noProof/>
          <w:sz w:val="20"/>
          <w:szCs w:val="20"/>
        </w:rPr>
        <w:lastRenderedPageBreak/>
        <w:drawing>
          <wp:inline distT="0" distB="0" distL="0" distR="0" wp14:anchorId="1F5D70F8" wp14:editId="0C7EECAF">
            <wp:extent cx="4000935" cy="4206240"/>
            <wp:effectExtent l="0" t="0" r="0" b="0"/>
            <wp:docPr id="1309007984" name="Picture 23"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23003" name="Picture 23" descr="A black screen with white tex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3447"/>
                    <a:stretch>
                      <a:fillRect/>
                    </a:stretch>
                  </pic:blipFill>
                  <pic:spPr bwMode="auto">
                    <a:xfrm>
                      <a:off x="0" y="0"/>
                      <a:ext cx="4002608" cy="4207999"/>
                    </a:xfrm>
                    <a:prstGeom prst="rect">
                      <a:avLst/>
                    </a:prstGeom>
                    <a:noFill/>
                    <a:ln>
                      <a:noFill/>
                    </a:ln>
                    <a:extLst>
                      <a:ext uri="{53640926-AAD7-44D8-BBD7-CCE9431645EC}">
                        <a14:shadowObscured xmlns:a14="http://schemas.microsoft.com/office/drawing/2010/main"/>
                      </a:ext>
                    </a:extLst>
                  </pic:spPr>
                </pic:pic>
              </a:graphicData>
            </a:graphic>
          </wp:inline>
        </w:drawing>
      </w:r>
    </w:p>
    <w:p w14:paraId="636A3E82" w14:textId="2004F5C6" w:rsidR="00E43677" w:rsidRPr="00227E39" w:rsidRDefault="00022FC3" w:rsidP="00227E39">
      <w:pPr>
        <w:spacing w:after="0" w:line="240" w:lineRule="auto"/>
        <w:ind w:left="360"/>
        <w:jc w:val="center"/>
        <w:rPr>
          <w:rFonts w:ascii="Calibri" w:hAnsi="Calibri" w:cs="Calibri"/>
          <w:b/>
          <w:bCs/>
          <w:sz w:val="20"/>
          <w:szCs w:val="20"/>
        </w:rPr>
      </w:pPr>
      <w:r w:rsidRPr="00022FC3">
        <w:rPr>
          <w:rFonts w:ascii="Calibri" w:hAnsi="Calibri" w:cs="Calibri"/>
          <w:b/>
          <w:bCs/>
          <w:sz w:val="20"/>
          <w:szCs w:val="20"/>
        </w:rPr>
        <w:t>Figure 1: Experimental design</w:t>
      </w:r>
    </w:p>
    <w:p w14:paraId="25E1DCE6" w14:textId="77777777" w:rsidR="00A32A1D" w:rsidRDefault="00A32A1D" w:rsidP="00A32A1D">
      <w:pPr>
        <w:pStyle w:val="ListParagraph"/>
        <w:spacing w:after="0" w:line="240" w:lineRule="auto"/>
        <w:ind w:left="1512"/>
        <w:rPr>
          <w:rFonts w:ascii="Calibri" w:hAnsi="Calibri" w:cs="Calibri"/>
          <w:sz w:val="20"/>
          <w:szCs w:val="20"/>
        </w:rPr>
      </w:pPr>
    </w:p>
    <w:p w14:paraId="1C7AA41C" w14:textId="77777777" w:rsidR="00A466EA" w:rsidRDefault="00A466EA" w:rsidP="00A32A1D">
      <w:pPr>
        <w:pStyle w:val="ListParagraph"/>
        <w:spacing w:after="0" w:line="240" w:lineRule="auto"/>
        <w:ind w:left="1512"/>
        <w:rPr>
          <w:rFonts w:ascii="Calibri" w:hAnsi="Calibri" w:cs="Calibri"/>
          <w:sz w:val="20"/>
          <w:szCs w:val="20"/>
        </w:rPr>
      </w:pPr>
    </w:p>
    <w:p w14:paraId="5AA78EA2" w14:textId="5B56A417" w:rsidR="00E43677" w:rsidRPr="006112AD" w:rsidRDefault="00022FC3" w:rsidP="006112AD">
      <w:pPr>
        <w:pStyle w:val="ListParagraph"/>
        <w:numPr>
          <w:ilvl w:val="1"/>
          <w:numId w:val="38"/>
        </w:numPr>
        <w:spacing w:after="0" w:line="240" w:lineRule="auto"/>
        <w:rPr>
          <w:rFonts w:ascii="Calibri" w:hAnsi="Calibri" w:cs="Calibri"/>
          <w:sz w:val="20"/>
          <w:szCs w:val="20"/>
        </w:rPr>
      </w:pPr>
      <w:r w:rsidRPr="006112AD">
        <w:rPr>
          <w:rFonts w:ascii="Calibri" w:hAnsi="Calibri" w:cs="Calibri"/>
          <w:sz w:val="20"/>
          <w:szCs w:val="20"/>
        </w:rPr>
        <w:t>Sample preparation and analysis</w:t>
      </w:r>
    </w:p>
    <w:p w14:paraId="1146AC7F" w14:textId="1E1CE5C7" w:rsidR="001E3296" w:rsidRPr="006112AD" w:rsidRDefault="001E3296" w:rsidP="006112AD">
      <w:pPr>
        <w:pStyle w:val="Heading2"/>
        <w:spacing w:after="0" w:line="240" w:lineRule="auto"/>
        <w:jc w:val="both"/>
        <w:rPr>
          <w:rFonts w:ascii="Calibri" w:hAnsi="Calibri" w:cs="Calibri"/>
          <w:i w:val="0"/>
          <w:iCs/>
          <w:sz w:val="20"/>
          <w:szCs w:val="20"/>
          <w:u w:val="none"/>
        </w:rPr>
      </w:pPr>
      <w:r w:rsidRPr="006112AD">
        <w:rPr>
          <w:rFonts w:ascii="Calibri" w:hAnsi="Calibri" w:cs="Calibri"/>
          <w:i w:val="0"/>
          <w:iCs/>
          <w:sz w:val="20"/>
          <w:szCs w:val="20"/>
          <w:u w:val="none"/>
        </w:rPr>
        <w:t xml:space="preserve">Plasma bags processed the previous day were weighed and volumes </w:t>
      </w:r>
      <w:r w:rsidR="008E07BE">
        <w:rPr>
          <w:rFonts w:ascii="Calibri" w:hAnsi="Calibri" w:cs="Calibri"/>
          <w:i w:val="0"/>
          <w:iCs/>
          <w:sz w:val="20"/>
          <w:szCs w:val="20"/>
          <w:u w:val="none"/>
        </w:rPr>
        <w:t xml:space="preserve">were </w:t>
      </w:r>
      <w:r w:rsidRPr="006112AD">
        <w:rPr>
          <w:rFonts w:ascii="Calibri" w:hAnsi="Calibri" w:cs="Calibri"/>
          <w:i w:val="0"/>
          <w:iCs/>
          <w:sz w:val="20"/>
          <w:szCs w:val="20"/>
          <w:u w:val="none"/>
        </w:rPr>
        <w:t>calculated after correcting for bag weight and plasma density. Units were mixed according to standard procedures</w:t>
      </w:r>
      <w:r w:rsidR="000C09A4">
        <w:rPr>
          <w:rFonts w:ascii="Calibri" w:hAnsi="Calibri" w:cs="Calibri"/>
          <w:i w:val="0"/>
          <w:iCs/>
          <w:sz w:val="20"/>
          <w:szCs w:val="20"/>
          <w:u w:val="none"/>
        </w:rPr>
        <w:t>,</w:t>
      </w:r>
      <w:r w:rsidRPr="006112AD">
        <w:rPr>
          <w:rFonts w:ascii="Calibri" w:hAnsi="Calibri" w:cs="Calibri"/>
          <w:i w:val="0"/>
          <w:iCs/>
          <w:sz w:val="20"/>
          <w:szCs w:val="20"/>
          <w:u w:val="none"/>
        </w:rPr>
        <w:t xml:space="preserve"> and plasma was aspirated with sterile syringes. Aliquots were transferred to clot-activator vacutainers for protein analysis (</w:t>
      </w:r>
      <w:r w:rsidR="0010565B" w:rsidRPr="006112AD">
        <w:rPr>
          <w:rFonts w:ascii="Calibri" w:hAnsi="Calibri" w:cs="Calibri"/>
          <w:i w:val="0"/>
          <w:iCs/>
          <w:sz w:val="20"/>
          <w:szCs w:val="20"/>
          <w:u w:val="none"/>
        </w:rPr>
        <w:t xml:space="preserve">which were sent to </w:t>
      </w:r>
      <w:r w:rsidRPr="006112AD">
        <w:rPr>
          <w:rFonts w:ascii="Calibri" w:hAnsi="Calibri" w:cs="Calibri"/>
          <w:i w:val="0"/>
          <w:iCs/>
          <w:sz w:val="20"/>
          <w:szCs w:val="20"/>
          <w:u w:val="none"/>
        </w:rPr>
        <w:t>external laboratory</w:t>
      </w:r>
      <w:r w:rsidR="0010565B" w:rsidRPr="006112AD">
        <w:rPr>
          <w:rFonts w:ascii="Calibri" w:hAnsi="Calibri" w:cs="Calibri"/>
          <w:i w:val="0"/>
          <w:iCs/>
          <w:sz w:val="20"/>
          <w:szCs w:val="20"/>
          <w:u w:val="none"/>
        </w:rPr>
        <w:t xml:space="preserve"> for analysis</w:t>
      </w:r>
      <w:r w:rsidRPr="006112AD">
        <w:rPr>
          <w:rFonts w:ascii="Calibri" w:hAnsi="Calibri" w:cs="Calibri"/>
          <w:i w:val="0"/>
          <w:iCs/>
          <w:sz w:val="20"/>
          <w:szCs w:val="20"/>
          <w:u w:val="none"/>
        </w:rPr>
        <w:t>) and to glass tubes for leucocyte enumeration.</w:t>
      </w:r>
      <w:r w:rsidR="00F3115B" w:rsidRPr="006112AD">
        <w:rPr>
          <w:rFonts w:ascii="Calibri" w:hAnsi="Calibri" w:cs="Calibri"/>
          <w:i w:val="0"/>
          <w:iCs/>
          <w:sz w:val="20"/>
          <w:szCs w:val="20"/>
          <w:u w:val="none"/>
        </w:rPr>
        <w:t xml:space="preserve"> </w:t>
      </w:r>
      <w:r w:rsidRPr="006112AD">
        <w:rPr>
          <w:rFonts w:ascii="Calibri" w:hAnsi="Calibri" w:cs="Calibri"/>
          <w:i w:val="0"/>
          <w:iCs/>
          <w:sz w:val="20"/>
          <w:szCs w:val="20"/>
          <w:u w:val="none"/>
        </w:rPr>
        <w:t xml:space="preserve">Leucocyte counts were obtained using the BD </w:t>
      </w:r>
      <w:proofErr w:type="spellStart"/>
      <w:r w:rsidRPr="006112AD">
        <w:rPr>
          <w:rFonts w:ascii="Calibri" w:hAnsi="Calibri" w:cs="Calibri"/>
          <w:i w:val="0"/>
          <w:iCs/>
          <w:sz w:val="20"/>
          <w:szCs w:val="20"/>
          <w:u w:val="none"/>
        </w:rPr>
        <w:t>Leucocount</w:t>
      </w:r>
      <w:proofErr w:type="spellEnd"/>
      <w:r w:rsidRPr="006112AD">
        <w:rPr>
          <w:rFonts w:ascii="Calibri" w:hAnsi="Calibri" w:cs="Calibri"/>
          <w:i w:val="0"/>
          <w:iCs/>
          <w:sz w:val="20"/>
          <w:szCs w:val="20"/>
          <w:u w:val="none"/>
        </w:rPr>
        <w:t xml:space="preserve">™ Kit and </w:t>
      </w:r>
      <w:proofErr w:type="spellStart"/>
      <w:r w:rsidRPr="006112AD">
        <w:rPr>
          <w:rFonts w:ascii="Calibri" w:hAnsi="Calibri" w:cs="Calibri"/>
          <w:i w:val="0"/>
          <w:iCs/>
          <w:sz w:val="20"/>
          <w:szCs w:val="20"/>
          <w:u w:val="none"/>
        </w:rPr>
        <w:t>FACSCanto</w:t>
      </w:r>
      <w:proofErr w:type="spellEnd"/>
      <w:r w:rsidRPr="006112AD">
        <w:rPr>
          <w:rFonts w:ascii="Calibri" w:hAnsi="Calibri" w:cs="Calibri"/>
          <w:i w:val="0"/>
          <w:iCs/>
          <w:sz w:val="20"/>
          <w:szCs w:val="20"/>
          <w:u w:val="none"/>
        </w:rPr>
        <w:t xml:space="preserve">™ II flow cytometer. Counts were expressed as absolute leucocyte concentration (×10⁹/L) </w:t>
      </w:r>
      <w:r w:rsidR="002E5BD1">
        <w:rPr>
          <w:rFonts w:ascii="Calibri" w:hAnsi="Calibri" w:cs="Calibri"/>
          <w:i w:val="0"/>
          <w:iCs/>
          <w:sz w:val="20"/>
          <w:szCs w:val="20"/>
          <w:u w:val="none"/>
        </w:rPr>
        <w:t>and tested as per the</w:t>
      </w:r>
      <w:r w:rsidRPr="006112AD">
        <w:rPr>
          <w:rFonts w:ascii="Calibri" w:hAnsi="Calibri" w:cs="Calibri"/>
          <w:i w:val="0"/>
          <w:iCs/>
          <w:sz w:val="20"/>
          <w:szCs w:val="20"/>
          <w:u w:val="none"/>
        </w:rPr>
        <w:t xml:space="preserve"> manufacturer’s </w:t>
      </w:r>
      <w:r w:rsidR="002E5BD1">
        <w:rPr>
          <w:rFonts w:ascii="Calibri" w:hAnsi="Calibri" w:cs="Calibri"/>
          <w:i w:val="0"/>
          <w:iCs/>
          <w:sz w:val="20"/>
          <w:szCs w:val="20"/>
          <w:u w:val="none"/>
        </w:rPr>
        <w:t>instructions</w:t>
      </w:r>
      <w:r w:rsidRPr="006112AD">
        <w:rPr>
          <w:rFonts w:ascii="Calibri" w:hAnsi="Calibri" w:cs="Calibri"/>
          <w:i w:val="0"/>
          <w:iCs/>
          <w:sz w:val="20"/>
          <w:szCs w:val="20"/>
          <w:u w:val="none"/>
        </w:rPr>
        <w:t>.</w:t>
      </w:r>
    </w:p>
    <w:p w14:paraId="23E7EC4B" w14:textId="77777777" w:rsidR="0098772B" w:rsidRPr="00AD6092" w:rsidRDefault="0098772B" w:rsidP="00DD559D">
      <w:pPr>
        <w:spacing w:after="0" w:line="360" w:lineRule="auto"/>
        <w:rPr>
          <w:rFonts w:ascii="Calibri" w:hAnsi="Calibri" w:cs="Calibri"/>
          <w:iCs/>
          <w:sz w:val="20"/>
          <w:szCs w:val="20"/>
        </w:rPr>
      </w:pPr>
    </w:p>
    <w:p w14:paraId="38C21C87" w14:textId="6B2EEB1F" w:rsidR="0098772B" w:rsidRPr="006112AD" w:rsidRDefault="0098772B" w:rsidP="006112AD">
      <w:pPr>
        <w:pStyle w:val="Heading2"/>
        <w:numPr>
          <w:ilvl w:val="0"/>
          <w:numId w:val="38"/>
        </w:numPr>
        <w:spacing w:after="0" w:line="240" w:lineRule="auto"/>
        <w:rPr>
          <w:rFonts w:ascii="Calibri" w:hAnsi="Calibri" w:cs="Calibri"/>
          <w:b/>
          <w:bCs/>
          <w:i w:val="0"/>
          <w:iCs/>
          <w:sz w:val="20"/>
          <w:szCs w:val="20"/>
          <w:u w:val="none"/>
        </w:rPr>
      </w:pPr>
      <w:bookmarkStart w:id="62" w:name="_Toc198372527"/>
      <w:bookmarkStart w:id="63" w:name="_Toc198372528"/>
      <w:bookmarkStart w:id="64" w:name="_Toc198372529"/>
      <w:bookmarkStart w:id="65" w:name="_Toc198372530"/>
      <w:bookmarkStart w:id="66" w:name="_Toc198372531"/>
      <w:bookmarkStart w:id="67" w:name="_Toc198372532"/>
      <w:bookmarkStart w:id="68" w:name="_Toc198372533"/>
      <w:bookmarkStart w:id="69" w:name="_Toc198372534"/>
      <w:bookmarkStart w:id="70" w:name="_Toc198372535"/>
      <w:bookmarkStart w:id="71" w:name="_Toc198372537"/>
      <w:bookmarkStart w:id="72" w:name="_Toc198372538"/>
      <w:bookmarkStart w:id="73" w:name="_Toc198372542"/>
      <w:bookmarkStart w:id="74" w:name="_Toc198372543"/>
      <w:bookmarkStart w:id="75" w:name="_Toc198372544"/>
      <w:bookmarkStart w:id="76" w:name="_Toc198372545"/>
      <w:bookmarkStart w:id="77" w:name="_Toc198372546"/>
      <w:bookmarkStart w:id="78" w:name="_Toc198372548"/>
      <w:bookmarkStart w:id="79" w:name="_Toc198372549"/>
      <w:bookmarkStart w:id="80" w:name="_Toc198372550"/>
      <w:bookmarkStart w:id="81" w:name="_Toc198372551"/>
      <w:bookmarkStart w:id="82" w:name="_Toc198372552"/>
      <w:bookmarkStart w:id="83" w:name="_Toc198372553"/>
      <w:bookmarkStart w:id="84" w:name="_Toc198372554"/>
      <w:bookmarkStart w:id="85" w:name="_Toc198372555"/>
      <w:bookmarkStart w:id="86" w:name="_Toc198372556"/>
      <w:bookmarkStart w:id="87" w:name="_Toc199078004"/>
      <w:bookmarkStart w:id="88" w:name="_Toc19837255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6112AD">
        <w:rPr>
          <w:rFonts w:ascii="Calibri" w:hAnsi="Calibri" w:cs="Calibri"/>
          <w:b/>
          <w:bCs/>
          <w:i w:val="0"/>
          <w:iCs/>
          <w:sz w:val="20"/>
          <w:szCs w:val="20"/>
          <w:u w:val="none"/>
        </w:rPr>
        <w:t>Data Analysis</w:t>
      </w:r>
      <w:bookmarkEnd w:id="87"/>
      <w:r w:rsidRPr="006112AD">
        <w:rPr>
          <w:rFonts w:ascii="Calibri" w:hAnsi="Calibri" w:cs="Calibri"/>
          <w:b/>
          <w:bCs/>
          <w:i w:val="0"/>
          <w:iCs/>
          <w:sz w:val="20"/>
          <w:szCs w:val="20"/>
          <w:u w:val="none"/>
        </w:rPr>
        <w:t xml:space="preserve"> </w:t>
      </w:r>
      <w:bookmarkEnd w:id="88"/>
    </w:p>
    <w:p w14:paraId="4DDB3E3E" w14:textId="77777777" w:rsidR="0099040A" w:rsidRDefault="0098772B" w:rsidP="006112AD">
      <w:pPr>
        <w:pStyle w:val="Heading2"/>
        <w:numPr>
          <w:ilvl w:val="1"/>
          <w:numId w:val="38"/>
        </w:numPr>
        <w:spacing w:after="0" w:line="240" w:lineRule="auto"/>
        <w:rPr>
          <w:rFonts w:ascii="Calibri" w:hAnsi="Calibri" w:cs="Calibri"/>
          <w:sz w:val="20"/>
          <w:szCs w:val="20"/>
        </w:rPr>
      </w:pPr>
      <w:bookmarkStart w:id="89" w:name="_Toc198372558"/>
      <w:bookmarkStart w:id="90" w:name="_Toc199078005"/>
      <w:r w:rsidRPr="006112AD">
        <w:rPr>
          <w:rFonts w:ascii="Calibri" w:hAnsi="Calibri" w:cs="Calibri"/>
          <w:i w:val="0"/>
          <w:iCs/>
          <w:sz w:val="20"/>
          <w:szCs w:val="20"/>
          <w:u w:val="none"/>
        </w:rPr>
        <w:t>Statistical Analysis</w:t>
      </w:r>
      <w:bookmarkEnd w:id="89"/>
      <w:bookmarkEnd w:id="90"/>
      <w:r w:rsidRPr="006112AD">
        <w:rPr>
          <w:rFonts w:ascii="Calibri" w:hAnsi="Calibri" w:cs="Calibri"/>
          <w:b/>
          <w:bCs/>
          <w:sz w:val="20"/>
          <w:szCs w:val="20"/>
        </w:rPr>
        <w:t xml:space="preserve"> </w:t>
      </w:r>
    </w:p>
    <w:p w14:paraId="1120F1D5" w14:textId="48B4C3B6" w:rsidR="00D32091" w:rsidRPr="006112AD" w:rsidRDefault="00D32091" w:rsidP="0099040A">
      <w:pPr>
        <w:pStyle w:val="Heading2"/>
        <w:spacing w:after="0" w:line="240" w:lineRule="auto"/>
        <w:jc w:val="both"/>
        <w:rPr>
          <w:rFonts w:ascii="Calibri" w:hAnsi="Calibri" w:cs="Calibri"/>
          <w:i w:val="0"/>
          <w:sz w:val="20"/>
          <w:szCs w:val="20"/>
          <w:u w:val="none"/>
        </w:rPr>
      </w:pPr>
      <w:r w:rsidRPr="0099040A">
        <w:rPr>
          <w:rFonts w:ascii="Calibri" w:hAnsi="Calibri" w:cs="Calibri"/>
          <w:i w:val="0"/>
          <w:sz w:val="20"/>
          <w:szCs w:val="20"/>
          <w:u w:val="none"/>
        </w:rPr>
        <w:t xml:space="preserve">Data were organized in Excel and </w:t>
      </w:r>
      <w:r w:rsidR="005D3B2E" w:rsidRPr="0099040A">
        <w:rPr>
          <w:rFonts w:ascii="Calibri" w:hAnsi="Calibri" w:cs="Calibri"/>
          <w:i w:val="0"/>
          <w:sz w:val="20"/>
          <w:szCs w:val="20"/>
          <w:u w:val="none"/>
        </w:rPr>
        <w:t>analysed</w:t>
      </w:r>
      <w:r w:rsidRPr="0099040A">
        <w:rPr>
          <w:rFonts w:ascii="Calibri" w:hAnsi="Calibri" w:cs="Calibri"/>
          <w:i w:val="0"/>
          <w:sz w:val="20"/>
          <w:szCs w:val="20"/>
          <w:u w:val="none"/>
        </w:rPr>
        <w:t xml:space="preserve"> using SPSS (Version 29.0). Descriptive statistics (mean, standard deviation) were calculated for RLC and </w:t>
      </w:r>
      <w:r w:rsidR="005D3B2E">
        <w:rPr>
          <w:rFonts w:ascii="Calibri" w:hAnsi="Calibri" w:cs="Calibri"/>
          <w:i w:val="0"/>
          <w:sz w:val="20"/>
          <w:szCs w:val="20"/>
          <w:u w:val="none"/>
        </w:rPr>
        <w:t xml:space="preserve">total </w:t>
      </w:r>
      <w:r w:rsidRPr="0099040A">
        <w:rPr>
          <w:rFonts w:ascii="Calibri" w:hAnsi="Calibri" w:cs="Calibri"/>
          <w:i w:val="0"/>
          <w:sz w:val="20"/>
          <w:szCs w:val="20"/>
          <w:u w:val="none"/>
        </w:rPr>
        <w:t>PC. Outliers were identified using Z-scores, with values exceeding ±3 considered extreme.</w:t>
      </w:r>
      <w:r w:rsidR="0099040A">
        <w:rPr>
          <w:rFonts w:ascii="Calibri" w:hAnsi="Calibri" w:cs="Calibri"/>
          <w:i w:val="0"/>
          <w:sz w:val="20"/>
          <w:szCs w:val="20"/>
          <w:u w:val="none"/>
        </w:rPr>
        <w:t xml:space="preserve"> </w:t>
      </w:r>
      <w:r w:rsidRPr="006112AD">
        <w:rPr>
          <w:rFonts w:ascii="Calibri" w:hAnsi="Calibri" w:cs="Calibri"/>
          <w:i w:val="0"/>
          <w:sz w:val="20"/>
          <w:szCs w:val="20"/>
          <w:u w:val="none"/>
        </w:rPr>
        <w:t xml:space="preserve">Normality of distributions was assessed with the Shapiro–Wilk test. RLC data were non-normally distributed and </w:t>
      </w:r>
      <w:r w:rsidR="00DC602B">
        <w:rPr>
          <w:rFonts w:ascii="Calibri" w:hAnsi="Calibri" w:cs="Calibri"/>
          <w:i w:val="0"/>
          <w:sz w:val="20"/>
          <w:szCs w:val="20"/>
          <w:u w:val="none"/>
        </w:rPr>
        <w:t xml:space="preserve">means were </w:t>
      </w:r>
      <w:r w:rsidRPr="006112AD">
        <w:rPr>
          <w:rFonts w:ascii="Calibri" w:hAnsi="Calibri" w:cs="Calibri"/>
          <w:i w:val="0"/>
          <w:sz w:val="20"/>
          <w:szCs w:val="20"/>
          <w:u w:val="none"/>
        </w:rPr>
        <w:t>compared between cohorts using the Mann–Whitney U test. Independent-samples t-tests were used only to obtain descriptive statistics (mean and SD).</w:t>
      </w:r>
      <w:r w:rsidR="0099040A">
        <w:rPr>
          <w:rFonts w:ascii="Calibri" w:hAnsi="Calibri" w:cs="Calibri"/>
          <w:i w:val="0"/>
          <w:sz w:val="20"/>
          <w:szCs w:val="20"/>
          <w:u w:val="none"/>
        </w:rPr>
        <w:t xml:space="preserve"> </w:t>
      </w:r>
      <w:r w:rsidRPr="006112AD">
        <w:rPr>
          <w:rFonts w:ascii="Calibri" w:hAnsi="Calibri" w:cs="Calibri"/>
          <w:i w:val="0"/>
          <w:sz w:val="20"/>
          <w:szCs w:val="20"/>
          <w:u w:val="none"/>
        </w:rPr>
        <w:t xml:space="preserve">PC data followed a normal distribution. Equality of variances was first assessed with </w:t>
      </w:r>
      <w:proofErr w:type="spellStart"/>
      <w:r w:rsidRPr="006112AD">
        <w:rPr>
          <w:rFonts w:ascii="Calibri" w:hAnsi="Calibri" w:cs="Calibri"/>
          <w:i w:val="0"/>
          <w:sz w:val="20"/>
          <w:szCs w:val="20"/>
          <w:u w:val="none"/>
        </w:rPr>
        <w:t>Levene’s</w:t>
      </w:r>
      <w:proofErr w:type="spellEnd"/>
      <w:r w:rsidRPr="006112AD">
        <w:rPr>
          <w:rFonts w:ascii="Calibri" w:hAnsi="Calibri" w:cs="Calibri"/>
          <w:i w:val="0"/>
          <w:sz w:val="20"/>
          <w:szCs w:val="20"/>
          <w:u w:val="none"/>
        </w:rPr>
        <w:t xml:space="preserve"> test, after which means were compared using</w:t>
      </w:r>
      <w:r w:rsidR="00DC602B">
        <w:rPr>
          <w:rFonts w:ascii="Calibri" w:hAnsi="Calibri" w:cs="Calibri"/>
          <w:i w:val="0"/>
          <w:sz w:val="20"/>
          <w:szCs w:val="20"/>
          <w:u w:val="none"/>
        </w:rPr>
        <w:t xml:space="preserve"> the</w:t>
      </w:r>
      <w:r w:rsidRPr="006112AD">
        <w:rPr>
          <w:rFonts w:ascii="Calibri" w:hAnsi="Calibri" w:cs="Calibri"/>
          <w:i w:val="0"/>
          <w:sz w:val="20"/>
          <w:szCs w:val="20"/>
          <w:u w:val="none"/>
        </w:rPr>
        <w:t xml:space="preserve"> independent-samples t-test. A significance threshold of p &lt; 0.05 was applied throughout.</w:t>
      </w:r>
    </w:p>
    <w:p w14:paraId="22F11452" w14:textId="09DC3BBF" w:rsidR="0098772B" w:rsidRPr="006112AD" w:rsidRDefault="0098772B" w:rsidP="006112AD">
      <w:pPr>
        <w:pStyle w:val="Heading3"/>
        <w:numPr>
          <w:ilvl w:val="1"/>
          <w:numId w:val="38"/>
        </w:numPr>
        <w:spacing w:after="0" w:line="240" w:lineRule="auto"/>
        <w:rPr>
          <w:rFonts w:ascii="Calibri" w:hAnsi="Calibri" w:cs="Calibri"/>
          <w:iCs/>
          <w:sz w:val="20"/>
          <w:szCs w:val="20"/>
        </w:rPr>
      </w:pPr>
      <w:bookmarkStart w:id="91" w:name="_Toc198372559"/>
      <w:bookmarkStart w:id="92" w:name="_Toc199078006"/>
      <w:r w:rsidRPr="006112AD">
        <w:rPr>
          <w:rFonts w:ascii="Calibri" w:hAnsi="Calibri" w:cs="Calibri"/>
          <w:iCs/>
          <w:sz w:val="20"/>
          <w:szCs w:val="20"/>
        </w:rPr>
        <w:t>Statistical Process Control</w:t>
      </w:r>
      <w:bookmarkEnd w:id="91"/>
      <w:bookmarkEnd w:id="92"/>
      <w:r w:rsidRPr="006112AD">
        <w:rPr>
          <w:rFonts w:ascii="Calibri" w:hAnsi="Calibri" w:cs="Calibri"/>
          <w:iCs/>
          <w:sz w:val="20"/>
          <w:szCs w:val="20"/>
        </w:rPr>
        <w:t xml:space="preserve"> </w:t>
      </w:r>
    </w:p>
    <w:p w14:paraId="334150B9" w14:textId="6973A248" w:rsidR="00B7310D" w:rsidRPr="006112AD" w:rsidRDefault="00BC2143" w:rsidP="00B7310D">
      <w:pPr>
        <w:spacing w:line="240" w:lineRule="auto"/>
        <w:jc w:val="both"/>
        <w:rPr>
          <w:rFonts w:ascii="Calibri" w:eastAsiaTheme="majorEastAsia" w:hAnsi="Calibri" w:cs="Calibri"/>
          <w:iCs/>
          <w:sz w:val="20"/>
          <w:szCs w:val="20"/>
        </w:rPr>
      </w:pPr>
      <w:r w:rsidRPr="00BC2143">
        <w:rPr>
          <w:rFonts w:ascii="Calibri" w:eastAsiaTheme="majorEastAsia" w:hAnsi="Calibri" w:cs="Calibri"/>
          <w:iCs/>
          <w:sz w:val="20"/>
          <w:szCs w:val="20"/>
        </w:rPr>
        <w:t>In addition to statistical analyses, statistical process control (SPC) was applied to assess whether the holding time procedure was stable and within control. SPC monitors variation in a process over time and identifies deviations requiring corrective action, thereby ensuring consistent product quality.</w:t>
      </w:r>
      <w:r w:rsidR="005D3B2E">
        <w:rPr>
          <w:rFonts w:ascii="Calibri" w:eastAsiaTheme="majorEastAsia" w:hAnsi="Calibri" w:cs="Calibri"/>
          <w:iCs/>
          <w:sz w:val="20"/>
          <w:szCs w:val="20"/>
        </w:rPr>
        <w:t xml:space="preserve"> </w:t>
      </w:r>
      <w:r w:rsidRPr="00BC2143">
        <w:rPr>
          <w:rFonts w:ascii="Calibri" w:eastAsiaTheme="majorEastAsia" w:hAnsi="Calibri" w:cs="Calibri"/>
          <w:iCs/>
          <w:sz w:val="20"/>
          <w:szCs w:val="20"/>
        </w:rPr>
        <w:t>Parameters were assigned levels of criticality according to process capability, with classification based on the potential impact on product efficacy and patient safety</w:t>
      </w:r>
      <w:r w:rsidR="00B7310D">
        <w:rPr>
          <w:rFonts w:ascii="Calibri" w:eastAsiaTheme="majorEastAsia" w:hAnsi="Calibri" w:cs="Calibri"/>
          <w:iCs/>
          <w:sz w:val="20"/>
          <w:szCs w:val="20"/>
        </w:rPr>
        <w:t xml:space="preserve"> </w:t>
      </w:r>
      <w:r w:rsidR="00B7310D" w:rsidRPr="00BC2143">
        <w:rPr>
          <w:rFonts w:ascii="Calibri" w:eastAsiaTheme="majorEastAsia" w:hAnsi="Calibri" w:cs="Calibri"/>
          <w:iCs/>
          <w:sz w:val="20"/>
          <w:szCs w:val="20"/>
        </w:rPr>
        <w:t>(Figure 2)</w:t>
      </w:r>
      <w:r w:rsidRPr="00BC2143">
        <w:rPr>
          <w:rFonts w:ascii="Calibri" w:eastAsiaTheme="majorEastAsia" w:hAnsi="Calibri" w:cs="Calibri"/>
          <w:iCs/>
          <w:sz w:val="20"/>
          <w:szCs w:val="20"/>
        </w:rPr>
        <w:t xml:space="preserve">. The process capability index was then calculated to determine whether the </w:t>
      </w:r>
      <w:r w:rsidRPr="00BC2143">
        <w:rPr>
          <w:rFonts w:ascii="Calibri" w:eastAsiaTheme="majorEastAsia" w:hAnsi="Calibri" w:cs="Calibri"/>
          <w:iCs/>
          <w:sz w:val="20"/>
          <w:szCs w:val="20"/>
        </w:rPr>
        <w:lastRenderedPageBreak/>
        <w:t>procedure was capable, borderline, or incapable</w:t>
      </w:r>
      <w:r w:rsidR="00B7310D">
        <w:rPr>
          <w:rFonts w:ascii="Calibri" w:eastAsiaTheme="majorEastAsia" w:hAnsi="Calibri" w:cs="Calibri"/>
          <w:iCs/>
          <w:sz w:val="20"/>
          <w:szCs w:val="20"/>
        </w:rPr>
        <w:t xml:space="preserve">. </w:t>
      </w:r>
      <w:r w:rsidR="00B7310D" w:rsidRPr="006112AD">
        <w:rPr>
          <w:rFonts w:ascii="Calibri" w:eastAsiaTheme="majorEastAsia" w:hAnsi="Calibri" w:cs="Calibri"/>
          <w:iCs/>
          <w:sz w:val="20"/>
          <w:szCs w:val="20"/>
        </w:rPr>
        <w:t>Process capability was evaluated using the process capability index (</w:t>
      </w:r>
      <w:proofErr w:type="spellStart"/>
      <w:r w:rsidR="00B7310D" w:rsidRPr="006112AD">
        <w:rPr>
          <w:rFonts w:ascii="Calibri" w:eastAsiaTheme="majorEastAsia" w:hAnsi="Calibri" w:cs="Calibri"/>
          <w:iCs/>
          <w:sz w:val="20"/>
          <w:szCs w:val="20"/>
        </w:rPr>
        <w:t>Cpk</w:t>
      </w:r>
      <w:proofErr w:type="spellEnd"/>
      <w:r w:rsidR="00B7310D" w:rsidRPr="006112AD">
        <w:rPr>
          <w:rFonts w:ascii="Calibri" w:eastAsiaTheme="majorEastAsia" w:hAnsi="Calibri" w:cs="Calibri"/>
          <w:iCs/>
          <w:sz w:val="20"/>
          <w:szCs w:val="20"/>
        </w:rPr>
        <w:t>)</w:t>
      </w:r>
      <w:r w:rsidR="00B7310D">
        <w:rPr>
          <w:rFonts w:ascii="Calibri" w:eastAsiaTheme="majorEastAsia" w:hAnsi="Calibri" w:cs="Calibri"/>
          <w:iCs/>
          <w:sz w:val="20"/>
          <w:szCs w:val="20"/>
        </w:rPr>
        <w:t xml:space="preserve"> since RLC and PC are</w:t>
      </w:r>
      <w:r w:rsidR="00B7310D" w:rsidRPr="006112AD">
        <w:rPr>
          <w:rFonts w:ascii="Calibri" w:eastAsiaTheme="majorEastAsia" w:hAnsi="Calibri" w:cs="Calibri"/>
          <w:iCs/>
          <w:sz w:val="20"/>
          <w:szCs w:val="20"/>
        </w:rPr>
        <w:t xml:space="preserve"> one-sided parameters</w:t>
      </w:r>
      <w:r w:rsidR="00B7310D">
        <w:rPr>
          <w:rFonts w:ascii="Calibri" w:eastAsiaTheme="majorEastAsia" w:hAnsi="Calibri" w:cs="Calibri"/>
          <w:iCs/>
          <w:sz w:val="20"/>
          <w:szCs w:val="20"/>
        </w:rPr>
        <w:t xml:space="preserve"> (only an upper or lower limit)</w:t>
      </w:r>
      <w:r w:rsidR="00B7310D" w:rsidRPr="006112AD">
        <w:rPr>
          <w:rFonts w:ascii="Calibri" w:eastAsiaTheme="majorEastAsia" w:hAnsi="Calibri" w:cs="Calibri"/>
          <w:iCs/>
          <w:sz w:val="20"/>
          <w:szCs w:val="20"/>
        </w:rPr>
        <w:t xml:space="preserve">. The relationship between </w:t>
      </w:r>
      <w:proofErr w:type="spellStart"/>
      <w:r w:rsidR="00B7310D" w:rsidRPr="006112AD">
        <w:rPr>
          <w:rFonts w:ascii="Calibri" w:eastAsiaTheme="majorEastAsia" w:hAnsi="Calibri" w:cs="Calibri"/>
          <w:iCs/>
          <w:sz w:val="20"/>
          <w:szCs w:val="20"/>
        </w:rPr>
        <w:t>Cpk</w:t>
      </w:r>
      <w:proofErr w:type="spellEnd"/>
      <w:r w:rsidR="00B7310D" w:rsidRPr="006112AD">
        <w:rPr>
          <w:rFonts w:ascii="Calibri" w:eastAsiaTheme="majorEastAsia" w:hAnsi="Calibri" w:cs="Calibri"/>
          <w:iCs/>
          <w:sz w:val="20"/>
          <w:szCs w:val="20"/>
        </w:rPr>
        <w:t xml:space="preserve"> values, parameter criticality, and SPC outcomes is presented in Table 1.</w:t>
      </w:r>
    </w:p>
    <w:p w14:paraId="57097A69" w14:textId="6BC28B4B" w:rsidR="00BC2143" w:rsidRDefault="00BC2143" w:rsidP="006112AD">
      <w:pPr>
        <w:spacing w:after="0" w:line="240" w:lineRule="auto"/>
        <w:jc w:val="both"/>
        <w:rPr>
          <w:rFonts w:ascii="Calibri" w:eastAsiaTheme="majorEastAsia" w:hAnsi="Calibri" w:cs="Calibri"/>
          <w:iCs/>
          <w:sz w:val="20"/>
          <w:szCs w:val="20"/>
        </w:rPr>
      </w:pPr>
      <w:r w:rsidRPr="00BC2143">
        <w:rPr>
          <w:rFonts w:ascii="Calibri" w:eastAsiaTheme="majorEastAsia" w:hAnsi="Calibri" w:cs="Calibri"/>
          <w:iCs/>
          <w:sz w:val="20"/>
          <w:szCs w:val="20"/>
        </w:rPr>
        <w:t xml:space="preserve"> </w:t>
      </w:r>
    </w:p>
    <w:p w14:paraId="34855D13" w14:textId="77777777" w:rsidR="005D3B2E" w:rsidRPr="00BC2143" w:rsidRDefault="005D3B2E" w:rsidP="006112AD">
      <w:pPr>
        <w:spacing w:after="0" w:line="240" w:lineRule="auto"/>
        <w:jc w:val="both"/>
        <w:rPr>
          <w:rFonts w:ascii="Calibri" w:eastAsiaTheme="majorEastAsia" w:hAnsi="Calibri" w:cs="Calibri"/>
          <w:iCs/>
          <w:sz w:val="20"/>
          <w:szCs w:val="20"/>
        </w:rPr>
      </w:pPr>
    </w:p>
    <w:p w14:paraId="40DD5063"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noProof/>
          <w:sz w:val="20"/>
          <w:szCs w:val="20"/>
        </w:rPr>
        <w:drawing>
          <wp:inline distT="0" distB="0" distL="0" distR="0" wp14:anchorId="431055A7" wp14:editId="11D56AD2">
            <wp:extent cx="2824851" cy="3329940"/>
            <wp:effectExtent l="0" t="0" r="0" b="3810"/>
            <wp:docPr id="1558558908" name="Picture 1" descr="A flow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58908" name="Picture 1" descr="A flowchart with black text&#10;&#10;AI-generated content may be incorrect."/>
                    <pic:cNvPicPr/>
                  </pic:nvPicPr>
                  <pic:blipFill rotWithShape="1">
                    <a:blip r:embed="rId9"/>
                    <a:srcRect t="1953" b="898"/>
                    <a:stretch/>
                  </pic:blipFill>
                  <pic:spPr bwMode="auto">
                    <a:xfrm>
                      <a:off x="0" y="0"/>
                      <a:ext cx="2958739" cy="3487767"/>
                    </a:xfrm>
                    <a:prstGeom prst="rect">
                      <a:avLst/>
                    </a:prstGeom>
                    <a:ln>
                      <a:noFill/>
                    </a:ln>
                    <a:extLst>
                      <a:ext uri="{53640926-AAD7-44D8-BBD7-CCE9431645EC}">
                        <a14:shadowObscured xmlns:a14="http://schemas.microsoft.com/office/drawing/2010/main"/>
                      </a:ext>
                    </a:extLst>
                  </pic:spPr>
                </pic:pic>
              </a:graphicData>
            </a:graphic>
          </wp:inline>
        </w:drawing>
      </w:r>
    </w:p>
    <w:p w14:paraId="0561BFE2" w14:textId="4DC624DD" w:rsidR="0098772B" w:rsidRPr="006112AD" w:rsidRDefault="0098772B" w:rsidP="006112AD">
      <w:pPr>
        <w:pStyle w:val="ListParagraph"/>
        <w:spacing w:line="240" w:lineRule="auto"/>
        <w:ind w:left="0"/>
        <w:jc w:val="center"/>
        <w:rPr>
          <w:rFonts w:ascii="Calibri" w:eastAsiaTheme="majorEastAsia" w:hAnsi="Calibri" w:cs="Calibri"/>
          <w:b/>
          <w:bCs/>
          <w:iCs/>
          <w:sz w:val="20"/>
          <w:szCs w:val="20"/>
        </w:rPr>
      </w:pPr>
      <w:bookmarkStart w:id="93" w:name="_Toc198711471"/>
      <w:bookmarkStart w:id="94" w:name="_Hlk198378019"/>
      <w:r w:rsidRPr="006112AD">
        <w:rPr>
          <w:rStyle w:val="FigureHeadingChar"/>
          <w:rFonts w:ascii="Calibri" w:hAnsi="Calibri" w:cs="Calibri"/>
          <w:sz w:val="20"/>
          <w:szCs w:val="20"/>
        </w:rPr>
        <w:t>Figure 2: Criticality classification</w:t>
      </w:r>
      <w:bookmarkEnd w:id="93"/>
      <w:r w:rsidRPr="006112AD">
        <w:rPr>
          <w:rFonts w:ascii="Calibri" w:eastAsiaTheme="majorEastAsia" w:hAnsi="Calibri" w:cs="Calibri"/>
          <w:b/>
          <w:bCs/>
          <w:iCs/>
          <w:sz w:val="20"/>
          <w:szCs w:val="20"/>
        </w:rPr>
        <w:t xml:space="preserve"> </w:t>
      </w:r>
      <w:bookmarkEnd w:id="94"/>
      <w:r w:rsidRPr="006112AD">
        <w:rPr>
          <w:rFonts w:ascii="Calibri" w:eastAsiaTheme="majorEastAsia" w:hAnsi="Calibri" w:cs="Calibri"/>
          <w:iCs/>
          <w:sz w:val="20"/>
          <w:szCs w:val="20"/>
        </w:rPr>
        <w:t>(Adapted from Beckman et al.</w:t>
      </w:r>
      <w:r w:rsidR="00040157">
        <w:rPr>
          <w:rFonts w:ascii="Calibri" w:eastAsiaTheme="majorEastAsia" w:hAnsi="Calibri" w:cs="Calibri"/>
          <w:iCs/>
          <w:sz w:val="20"/>
          <w:szCs w:val="20"/>
        </w:rPr>
        <w:fldChar w:fldCharType="begin"/>
      </w:r>
      <w:r w:rsidR="00040157">
        <w:rPr>
          <w:rFonts w:ascii="Calibri" w:eastAsiaTheme="majorEastAsia" w:hAnsi="Calibri" w:cs="Calibri"/>
          <w:iCs/>
          <w:sz w:val="20"/>
          <w:szCs w:val="20"/>
        </w:rPr>
        <w:instrText xml:space="preserve"> ADDIN ZOTERO_ITEM CSL_CITATION {"citationID":"s259SlDd","properties":{"formattedCitation":"(7)","plainCitation":"(7)","noteIndex":0},"citationItems":[{"id":5488,"uris":["http://zotero.org/users/3782744/items/XPP7R8S8"],"itemData":{"id":5488,"type":"article-journal","abstract":"Legislation, guidelines and recommendations for blood components related to statistical process control (SPC) and the selection of a quality monitoring (QM) sampling regimen are subject to misinterpretation and lack practical guidance on implementation. The aim of this article is: to review and interpret applicable European legislation and guidelines and to develop an SPC strategy that meets these requirements; and to provide practical guidance on the selection and application of appropriate techniques and the interpretation of resultant blood component QM data. A methodology is presented which utilizes: an algorithm to select an appropriate quality-monitoring strategy for the blood component parameter under consideration; a range of straightforward, validated SPC techniques for variable data and an assessment of process capability (Cpk) and blood component parameter 'criticality' to determine the sampling regimen. The methodology was applied to routine National Health Service Blood and Transplant (NHSBT) blood component data for 2005-2006. Cpk values ranged from 0.22 to &gt;3 and their predicted non-conformance rates were close to those observed (23 to &lt;0.001%). Required sample size ranged from 0.01 to 10%. Chosen techniques identified significant deviation from 'as validated' performance within an appropriate time-scale. Thus the methodology was straightforward to apply and prompted the choice of a clinically and operationally appropriate sampling regimen and analysis for each blood component parameter. This evidence-based, targeted use of SPC for blood component monitoring provides an essential focus on processes with a low capability in achieving their specifications.","container-title":"Transfusion Medicine (Oxford, England)","DOI":"10.1111/j.1365-3148.2009.00942.x","ISSN":"1365-3148","issue":"6","journalAbbreviation":"Transfus Med","language":"eng","note":"PMID: 19761545","page":"329-339","source":"PubMed","title":"Practical guidelines for applying statistical process control to blood component production","volume":"19","author":[{"family":"Beckman","given":"N."},{"family":"Nightingale","given":"M. J."},{"family":"Pamphilon","given":"D."}],"issued":{"date-parts":[["2009",12]]}}}],"schema":"https://github.com/citation-style-language/schema/raw/master/csl-citation.json"} </w:instrText>
      </w:r>
      <w:r w:rsidR="00040157">
        <w:rPr>
          <w:rFonts w:ascii="Calibri" w:eastAsiaTheme="majorEastAsia" w:hAnsi="Calibri" w:cs="Calibri"/>
          <w:iCs/>
          <w:sz w:val="20"/>
          <w:szCs w:val="20"/>
        </w:rPr>
        <w:fldChar w:fldCharType="separate"/>
      </w:r>
      <w:r w:rsidR="00040157" w:rsidRPr="00040157">
        <w:rPr>
          <w:rFonts w:ascii="Calibri" w:hAnsi="Calibri" w:cs="Calibri"/>
          <w:sz w:val="20"/>
        </w:rPr>
        <w:t>(7)</w:t>
      </w:r>
      <w:r w:rsidR="00040157">
        <w:rPr>
          <w:rFonts w:ascii="Calibri" w:eastAsiaTheme="majorEastAsia" w:hAnsi="Calibri" w:cs="Calibri"/>
          <w:iCs/>
          <w:sz w:val="20"/>
          <w:szCs w:val="20"/>
        </w:rPr>
        <w:fldChar w:fldCharType="end"/>
      </w:r>
      <w:r w:rsidRPr="006112AD">
        <w:rPr>
          <w:rFonts w:ascii="Calibri" w:eastAsiaTheme="majorEastAsia" w:hAnsi="Calibri" w:cs="Calibri"/>
          <w:iCs/>
          <w:sz w:val="20"/>
          <w:szCs w:val="20"/>
        </w:rPr>
        <w:t>)</w:t>
      </w:r>
    </w:p>
    <w:p w14:paraId="113DEF9D" w14:textId="77777777" w:rsidR="00521069" w:rsidRDefault="00521069" w:rsidP="006112AD">
      <w:pPr>
        <w:spacing w:after="0" w:line="240" w:lineRule="auto"/>
        <w:jc w:val="both"/>
        <w:rPr>
          <w:rFonts w:ascii="Calibri" w:eastAsiaTheme="majorEastAsia" w:hAnsi="Calibri" w:cs="Calibri"/>
          <w:iCs/>
          <w:sz w:val="20"/>
          <w:szCs w:val="20"/>
        </w:rPr>
      </w:pPr>
    </w:p>
    <w:p w14:paraId="013A9B24" w14:textId="77777777" w:rsidR="005178DA" w:rsidRDefault="005178DA" w:rsidP="006112AD">
      <w:pPr>
        <w:spacing w:after="0" w:line="240" w:lineRule="auto"/>
        <w:jc w:val="both"/>
        <w:rPr>
          <w:rFonts w:ascii="Calibri" w:eastAsiaTheme="majorEastAsia" w:hAnsi="Calibri" w:cs="Calibri"/>
          <w:iCs/>
          <w:sz w:val="20"/>
          <w:szCs w:val="20"/>
        </w:rPr>
      </w:pPr>
    </w:p>
    <w:p w14:paraId="7CA0C9D2" w14:textId="77777777" w:rsidR="005178DA" w:rsidRDefault="005178DA" w:rsidP="006112AD">
      <w:pPr>
        <w:spacing w:after="0" w:line="240" w:lineRule="auto"/>
        <w:jc w:val="both"/>
        <w:rPr>
          <w:rFonts w:ascii="Calibri" w:eastAsiaTheme="majorEastAsia" w:hAnsi="Calibri" w:cs="Calibri"/>
          <w:iCs/>
          <w:sz w:val="20"/>
          <w:szCs w:val="20"/>
        </w:rPr>
      </w:pPr>
    </w:p>
    <w:p w14:paraId="561A08E4" w14:textId="77777777" w:rsidR="005178DA" w:rsidRDefault="005178DA" w:rsidP="006112AD">
      <w:pPr>
        <w:spacing w:after="0" w:line="240" w:lineRule="auto"/>
        <w:jc w:val="both"/>
        <w:rPr>
          <w:rFonts w:ascii="Calibri" w:eastAsiaTheme="majorEastAsia" w:hAnsi="Calibri" w:cs="Calibri"/>
          <w:iCs/>
          <w:sz w:val="20"/>
          <w:szCs w:val="20"/>
        </w:rPr>
      </w:pPr>
    </w:p>
    <w:p w14:paraId="15EAED11" w14:textId="77777777" w:rsidR="005178DA" w:rsidRDefault="005178DA" w:rsidP="006112AD">
      <w:pPr>
        <w:spacing w:after="0" w:line="240" w:lineRule="auto"/>
        <w:jc w:val="both"/>
        <w:rPr>
          <w:rFonts w:ascii="Calibri" w:eastAsiaTheme="majorEastAsia" w:hAnsi="Calibri" w:cs="Calibri"/>
          <w:iCs/>
          <w:sz w:val="20"/>
          <w:szCs w:val="20"/>
        </w:rPr>
      </w:pPr>
    </w:p>
    <w:p w14:paraId="11C462E7" w14:textId="77777777" w:rsidR="005178DA" w:rsidRDefault="005178DA" w:rsidP="006112AD">
      <w:pPr>
        <w:spacing w:after="0" w:line="240" w:lineRule="auto"/>
        <w:jc w:val="both"/>
        <w:rPr>
          <w:rFonts w:ascii="Calibri" w:eastAsiaTheme="majorEastAsia" w:hAnsi="Calibri" w:cs="Calibri"/>
          <w:iCs/>
          <w:sz w:val="20"/>
          <w:szCs w:val="20"/>
        </w:rPr>
      </w:pPr>
    </w:p>
    <w:p w14:paraId="7257B24A" w14:textId="77777777" w:rsidR="005178DA" w:rsidRDefault="005178DA" w:rsidP="006112AD">
      <w:pPr>
        <w:spacing w:after="0" w:line="240" w:lineRule="auto"/>
        <w:jc w:val="both"/>
        <w:rPr>
          <w:rFonts w:ascii="Calibri" w:eastAsiaTheme="majorEastAsia" w:hAnsi="Calibri" w:cs="Calibri"/>
          <w:iCs/>
          <w:sz w:val="20"/>
          <w:szCs w:val="20"/>
        </w:rPr>
      </w:pPr>
    </w:p>
    <w:p w14:paraId="45EE3453" w14:textId="77777777" w:rsidR="005178DA" w:rsidRDefault="005178DA" w:rsidP="006112AD">
      <w:pPr>
        <w:spacing w:after="0" w:line="240" w:lineRule="auto"/>
        <w:jc w:val="both"/>
        <w:rPr>
          <w:rFonts w:ascii="Calibri" w:eastAsiaTheme="majorEastAsia" w:hAnsi="Calibri" w:cs="Calibri"/>
          <w:iCs/>
          <w:sz w:val="20"/>
          <w:szCs w:val="20"/>
        </w:rPr>
      </w:pPr>
    </w:p>
    <w:p w14:paraId="5055A5EF" w14:textId="77777777" w:rsidR="005178DA" w:rsidRDefault="005178DA" w:rsidP="006112AD">
      <w:pPr>
        <w:spacing w:after="0" w:line="240" w:lineRule="auto"/>
        <w:jc w:val="both"/>
        <w:rPr>
          <w:rFonts w:ascii="Calibri" w:eastAsiaTheme="majorEastAsia" w:hAnsi="Calibri" w:cs="Calibri"/>
          <w:iCs/>
          <w:sz w:val="20"/>
          <w:szCs w:val="20"/>
        </w:rPr>
      </w:pPr>
    </w:p>
    <w:p w14:paraId="0CB5FC8D" w14:textId="77777777" w:rsidR="005178DA" w:rsidRPr="006112AD" w:rsidRDefault="005178DA" w:rsidP="006112AD">
      <w:pPr>
        <w:spacing w:after="0" w:line="240" w:lineRule="auto"/>
        <w:jc w:val="both"/>
        <w:rPr>
          <w:rFonts w:ascii="Calibri" w:eastAsiaTheme="majorEastAsia" w:hAnsi="Calibri" w:cs="Calibri"/>
          <w:iCs/>
          <w:sz w:val="20"/>
          <w:szCs w:val="20"/>
        </w:rPr>
      </w:pPr>
    </w:p>
    <w:p w14:paraId="6750E384" w14:textId="7C134B1E" w:rsidR="0098772B" w:rsidRPr="006112AD" w:rsidRDefault="0098772B" w:rsidP="006112AD">
      <w:pPr>
        <w:pStyle w:val="ListParagraph"/>
        <w:spacing w:line="240" w:lineRule="auto"/>
        <w:ind w:left="360"/>
        <w:jc w:val="center"/>
        <w:rPr>
          <w:rFonts w:ascii="Calibri" w:eastAsiaTheme="majorEastAsia" w:hAnsi="Calibri" w:cs="Calibri"/>
          <w:b/>
          <w:bCs/>
          <w:iCs/>
          <w:sz w:val="20"/>
          <w:szCs w:val="20"/>
        </w:rPr>
      </w:pPr>
      <w:bookmarkStart w:id="95" w:name="_Toc198711780"/>
      <w:bookmarkStart w:id="96" w:name="_Hlk198378033"/>
      <w:r w:rsidRPr="006112AD">
        <w:rPr>
          <w:rStyle w:val="TableHeadingChar"/>
          <w:rFonts w:ascii="Calibri" w:hAnsi="Calibri" w:cs="Calibri"/>
          <w:sz w:val="20"/>
          <w:szCs w:val="20"/>
        </w:rPr>
        <w:t xml:space="preserve">Table 1: Determining </w:t>
      </w:r>
      <w:proofErr w:type="spellStart"/>
      <w:r w:rsidRPr="006112AD">
        <w:rPr>
          <w:rStyle w:val="TableHeadingChar"/>
          <w:rFonts w:ascii="Calibri" w:hAnsi="Calibri" w:cs="Calibri"/>
          <w:sz w:val="20"/>
          <w:szCs w:val="20"/>
        </w:rPr>
        <w:t>Cpk</w:t>
      </w:r>
      <w:proofErr w:type="spellEnd"/>
      <w:r w:rsidRPr="006112AD">
        <w:rPr>
          <w:rStyle w:val="TableHeadingChar"/>
          <w:rFonts w:ascii="Calibri" w:hAnsi="Calibri" w:cs="Calibri"/>
          <w:sz w:val="20"/>
          <w:szCs w:val="20"/>
        </w:rPr>
        <w:t xml:space="preserve"> Bandings from Criticality and </w:t>
      </w:r>
      <w:proofErr w:type="spellStart"/>
      <w:r w:rsidRPr="006112AD">
        <w:rPr>
          <w:rStyle w:val="TableHeadingChar"/>
          <w:rFonts w:ascii="Calibri" w:hAnsi="Calibri" w:cs="Calibri"/>
          <w:sz w:val="20"/>
          <w:szCs w:val="20"/>
        </w:rPr>
        <w:t>Cpk</w:t>
      </w:r>
      <w:proofErr w:type="spellEnd"/>
      <w:r w:rsidRPr="006112AD">
        <w:rPr>
          <w:rStyle w:val="TableHeadingChar"/>
          <w:rFonts w:ascii="Calibri" w:hAnsi="Calibri" w:cs="Calibri"/>
          <w:sz w:val="20"/>
          <w:szCs w:val="20"/>
        </w:rPr>
        <w:t xml:space="preserve"> Measurements</w:t>
      </w:r>
      <w:bookmarkEnd w:id="95"/>
      <w:r w:rsidRPr="006112AD">
        <w:rPr>
          <w:rFonts w:ascii="Calibri" w:eastAsiaTheme="majorEastAsia" w:hAnsi="Calibri" w:cs="Calibri"/>
          <w:b/>
          <w:bCs/>
          <w:iCs/>
          <w:sz w:val="20"/>
          <w:szCs w:val="20"/>
        </w:rPr>
        <w:t xml:space="preserve"> </w:t>
      </w:r>
      <w:bookmarkEnd w:id="96"/>
      <w:r w:rsidRPr="006112AD">
        <w:rPr>
          <w:rFonts w:ascii="Calibri" w:eastAsiaTheme="majorEastAsia" w:hAnsi="Calibri" w:cs="Calibri"/>
          <w:iCs/>
          <w:sz w:val="20"/>
          <w:szCs w:val="20"/>
        </w:rPr>
        <w:t>(Ad</w:t>
      </w:r>
      <w:r w:rsidR="006D423E" w:rsidRPr="006112AD">
        <w:rPr>
          <w:rFonts w:ascii="Calibri" w:eastAsiaTheme="majorEastAsia" w:hAnsi="Calibri" w:cs="Calibri"/>
          <w:iCs/>
          <w:sz w:val="20"/>
          <w:szCs w:val="20"/>
        </w:rPr>
        <w:t>o</w:t>
      </w:r>
      <w:r w:rsidRPr="006112AD">
        <w:rPr>
          <w:rFonts w:ascii="Calibri" w:eastAsiaTheme="majorEastAsia" w:hAnsi="Calibri" w:cs="Calibri"/>
          <w:iCs/>
          <w:sz w:val="20"/>
          <w:szCs w:val="20"/>
        </w:rPr>
        <w:t>pted from Beckman</w:t>
      </w:r>
      <w:r w:rsidR="00040157">
        <w:rPr>
          <w:rFonts w:ascii="Calibri" w:eastAsiaTheme="majorEastAsia" w:hAnsi="Calibri" w:cs="Calibri"/>
          <w:iCs/>
          <w:sz w:val="20"/>
          <w:szCs w:val="20"/>
        </w:rPr>
        <w:fldChar w:fldCharType="begin"/>
      </w:r>
      <w:r w:rsidR="00040157">
        <w:rPr>
          <w:rFonts w:ascii="Calibri" w:eastAsiaTheme="majorEastAsia" w:hAnsi="Calibri" w:cs="Calibri"/>
          <w:iCs/>
          <w:sz w:val="20"/>
          <w:szCs w:val="20"/>
        </w:rPr>
        <w:instrText xml:space="preserve"> ADDIN ZOTERO_ITEM CSL_CITATION {"citationID":"nJ1SOBxG","properties":{"formattedCitation":"(7)","plainCitation":"(7)","noteIndex":0},"citationItems":[{"id":5488,"uris":["http://zotero.org/users/3782744/items/XPP7R8S8"],"itemData":{"id":5488,"type":"article-journal","abstract":"Legislation, guidelines and recommendations for blood components related to statistical process control (SPC) and the selection of a quality monitoring (QM) sampling regimen are subject to misinterpretation and lack practical guidance on implementation. The aim of this article is: to review and interpret applicable European legislation and guidelines and to develop an SPC strategy that meets these requirements; and to provide practical guidance on the selection and application of appropriate techniques and the interpretation of resultant blood component QM data. A methodology is presented which utilizes: an algorithm to select an appropriate quality-monitoring strategy for the blood component parameter under consideration; a range of straightforward, validated SPC techniques for variable data and an assessment of process capability (Cpk) and blood component parameter 'criticality' to determine the sampling regimen. The methodology was applied to routine National Health Service Blood and Transplant (NHSBT) blood component data for 2005-2006. Cpk values ranged from 0.22 to &gt;3 and their predicted non-conformance rates were close to those observed (23 to &lt;0.001%). Required sample size ranged from 0.01 to 10%. Chosen techniques identified significant deviation from 'as validated' performance within an appropriate time-scale. Thus the methodology was straightforward to apply and prompted the choice of a clinically and operationally appropriate sampling regimen and analysis for each blood component parameter. This evidence-based, targeted use of SPC for blood component monitoring provides an essential focus on processes with a low capability in achieving their specifications.","container-title":"Transfusion Medicine (Oxford, England)","DOI":"10.1111/j.1365-3148.2009.00942.x","ISSN":"1365-3148","issue":"6","journalAbbreviation":"Transfus Med","language":"eng","note":"PMID: 19761545","page":"329-339","source":"PubMed","title":"Practical guidelines for applying statistical process control to blood component production","volume":"19","author":[{"family":"Beckman","given":"N."},{"family":"Nightingale","given":"M. J."},{"family":"Pamphilon","given":"D."}],"issued":{"date-parts":[["2009",12]]}}}],"schema":"https://github.com/citation-style-language/schema/raw/master/csl-citation.json"} </w:instrText>
      </w:r>
      <w:r w:rsidR="00040157">
        <w:rPr>
          <w:rFonts w:ascii="Calibri" w:eastAsiaTheme="majorEastAsia" w:hAnsi="Calibri" w:cs="Calibri"/>
          <w:iCs/>
          <w:sz w:val="20"/>
          <w:szCs w:val="20"/>
        </w:rPr>
        <w:fldChar w:fldCharType="separate"/>
      </w:r>
      <w:r w:rsidR="00040157" w:rsidRPr="00040157">
        <w:rPr>
          <w:rFonts w:ascii="Calibri" w:hAnsi="Calibri" w:cs="Calibri"/>
          <w:sz w:val="20"/>
        </w:rPr>
        <w:t>(7)</w:t>
      </w:r>
      <w:r w:rsidR="00040157">
        <w:rPr>
          <w:rFonts w:ascii="Calibri" w:eastAsiaTheme="majorEastAsia" w:hAnsi="Calibri" w:cs="Calibri"/>
          <w:iCs/>
          <w:sz w:val="20"/>
          <w:szCs w:val="20"/>
        </w:rPr>
        <w:fldChar w:fldCharType="end"/>
      </w:r>
      <w:r w:rsidRPr="006112AD">
        <w:rPr>
          <w:rFonts w:ascii="Calibri" w:eastAsiaTheme="majorEastAsia" w:hAnsi="Calibri" w:cs="Calibri"/>
          <w:iCs/>
          <w:sz w:val="20"/>
          <w:szCs w:val="20"/>
        </w:rPr>
        <w:t>)</w:t>
      </w:r>
    </w:p>
    <w:tbl>
      <w:tblPr>
        <w:tblStyle w:val="TableGrid"/>
        <w:tblW w:w="8970" w:type="dxa"/>
        <w:jc w:val="center"/>
        <w:tblLayout w:type="fixed"/>
        <w:tblLook w:val="04A0" w:firstRow="1" w:lastRow="0" w:firstColumn="1" w:lastColumn="0" w:noHBand="0" w:noVBand="1"/>
      </w:tblPr>
      <w:tblGrid>
        <w:gridCol w:w="1349"/>
        <w:gridCol w:w="1082"/>
        <w:gridCol w:w="1087"/>
        <w:gridCol w:w="1086"/>
        <w:gridCol w:w="1094"/>
        <w:gridCol w:w="1091"/>
        <w:gridCol w:w="1086"/>
        <w:gridCol w:w="1095"/>
      </w:tblGrid>
      <w:tr w:rsidR="0098772B" w:rsidRPr="006112AD" w14:paraId="72F118BC" w14:textId="77777777" w:rsidTr="00521069">
        <w:trPr>
          <w:trHeight w:val="533"/>
          <w:jc w:val="center"/>
        </w:trPr>
        <w:tc>
          <w:tcPr>
            <w:tcW w:w="1349" w:type="dxa"/>
            <w:vAlign w:val="center"/>
          </w:tcPr>
          <w:p w14:paraId="2535283B"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Specification type</w:t>
            </w:r>
          </w:p>
        </w:tc>
        <w:tc>
          <w:tcPr>
            <w:tcW w:w="7621" w:type="dxa"/>
            <w:gridSpan w:val="7"/>
            <w:vAlign w:val="center"/>
          </w:tcPr>
          <w:p w14:paraId="03551AC8" w14:textId="77777777" w:rsidR="0098772B" w:rsidRPr="006112AD" w:rsidRDefault="0098772B" w:rsidP="006112AD">
            <w:pPr>
              <w:pStyle w:val="ListParagraph"/>
              <w:ind w:left="0"/>
              <w:jc w:val="center"/>
              <w:rPr>
                <w:rFonts w:ascii="Calibri" w:eastAsiaTheme="majorEastAsia" w:hAnsi="Calibri" w:cs="Calibri"/>
                <w:b/>
                <w:bCs/>
                <w:iCs/>
                <w:sz w:val="20"/>
                <w:szCs w:val="20"/>
              </w:rPr>
            </w:pPr>
            <w:proofErr w:type="spellStart"/>
            <w:r w:rsidRPr="006112AD">
              <w:rPr>
                <w:rFonts w:ascii="Calibri" w:eastAsiaTheme="majorEastAsia" w:hAnsi="Calibri" w:cs="Calibri"/>
                <w:b/>
                <w:bCs/>
                <w:iCs/>
                <w:sz w:val="20"/>
                <w:szCs w:val="20"/>
              </w:rPr>
              <w:t>Cpk</w:t>
            </w:r>
            <w:proofErr w:type="spellEnd"/>
            <w:r w:rsidRPr="006112AD">
              <w:rPr>
                <w:rFonts w:ascii="Calibri" w:eastAsiaTheme="majorEastAsia" w:hAnsi="Calibri" w:cs="Calibri"/>
                <w:b/>
                <w:bCs/>
                <w:iCs/>
                <w:sz w:val="20"/>
                <w:szCs w:val="20"/>
              </w:rPr>
              <w:t xml:space="preserve"> values</w:t>
            </w:r>
          </w:p>
        </w:tc>
      </w:tr>
      <w:tr w:rsidR="0098772B" w:rsidRPr="006112AD" w14:paraId="2E5F9CBC" w14:textId="77777777" w:rsidTr="00521069">
        <w:trPr>
          <w:trHeight w:val="533"/>
          <w:jc w:val="center"/>
        </w:trPr>
        <w:tc>
          <w:tcPr>
            <w:tcW w:w="1349" w:type="dxa"/>
            <w:vAlign w:val="center"/>
          </w:tcPr>
          <w:p w14:paraId="264ED957"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Two sided</w:t>
            </w:r>
          </w:p>
        </w:tc>
        <w:tc>
          <w:tcPr>
            <w:tcW w:w="1082" w:type="dxa"/>
            <w:vAlign w:val="center"/>
          </w:tcPr>
          <w:p w14:paraId="39F49E85"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&gt;1.47</w:t>
            </w:r>
          </w:p>
        </w:tc>
        <w:tc>
          <w:tcPr>
            <w:tcW w:w="1087" w:type="dxa"/>
            <w:vAlign w:val="center"/>
          </w:tcPr>
          <w:p w14:paraId="78722BD4"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1.30 - 1.46</w:t>
            </w:r>
          </w:p>
        </w:tc>
        <w:tc>
          <w:tcPr>
            <w:tcW w:w="1086" w:type="dxa"/>
            <w:vAlign w:val="center"/>
          </w:tcPr>
          <w:p w14:paraId="4F086A36"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1.10 – 1.29</w:t>
            </w:r>
          </w:p>
        </w:tc>
        <w:tc>
          <w:tcPr>
            <w:tcW w:w="1094" w:type="dxa"/>
            <w:vAlign w:val="center"/>
          </w:tcPr>
          <w:p w14:paraId="10DF7FBF"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0.86 – 1.09</w:t>
            </w:r>
          </w:p>
        </w:tc>
        <w:tc>
          <w:tcPr>
            <w:tcW w:w="1091" w:type="dxa"/>
            <w:vAlign w:val="center"/>
          </w:tcPr>
          <w:p w14:paraId="69348BF7"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0.54 – 0.85</w:t>
            </w:r>
          </w:p>
        </w:tc>
        <w:tc>
          <w:tcPr>
            <w:tcW w:w="1086" w:type="dxa"/>
            <w:vAlign w:val="center"/>
          </w:tcPr>
          <w:p w14:paraId="1FEA6ACF"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0.39 – 0.53</w:t>
            </w:r>
          </w:p>
        </w:tc>
        <w:tc>
          <w:tcPr>
            <w:tcW w:w="1095" w:type="dxa"/>
            <w:vAlign w:val="center"/>
          </w:tcPr>
          <w:p w14:paraId="7F104623"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&lt;0.39</w:t>
            </w:r>
          </w:p>
        </w:tc>
      </w:tr>
      <w:tr w:rsidR="0098772B" w:rsidRPr="006112AD" w14:paraId="515FFBB8" w14:textId="77777777" w:rsidTr="00521069">
        <w:trPr>
          <w:trHeight w:val="533"/>
          <w:jc w:val="center"/>
        </w:trPr>
        <w:tc>
          <w:tcPr>
            <w:tcW w:w="1349" w:type="dxa"/>
            <w:vAlign w:val="center"/>
          </w:tcPr>
          <w:p w14:paraId="250CA10E"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One sided</w:t>
            </w:r>
          </w:p>
        </w:tc>
        <w:tc>
          <w:tcPr>
            <w:tcW w:w="1082" w:type="dxa"/>
            <w:vAlign w:val="center"/>
          </w:tcPr>
          <w:p w14:paraId="708B57DF"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&gt;1.40</w:t>
            </w:r>
          </w:p>
        </w:tc>
        <w:tc>
          <w:tcPr>
            <w:tcW w:w="1087" w:type="dxa"/>
            <w:vAlign w:val="center"/>
          </w:tcPr>
          <w:p w14:paraId="2CB6F24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1.23 – 1.39</w:t>
            </w:r>
          </w:p>
        </w:tc>
        <w:tc>
          <w:tcPr>
            <w:tcW w:w="1086" w:type="dxa"/>
            <w:vAlign w:val="center"/>
          </w:tcPr>
          <w:p w14:paraId="0179A022"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1.03 – 1.22</w:t>
            </w:r>
          </w:p>
        </w:tc>
        <w:tc>
          <w:tcPr>
            <w:tcW w:w="1094" w:type="dxa"/>
            <w:vAlign w:val="center"/>
          </w:tcPr>
          <w:p w14:paraId="3200E203"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0.77 – 1.02</w:t>
            </w:r>
          </w:p>
        </w:tc>
        <w:tc>
          <w:tcPr>
            <w:tcW w:w="1091" w:type="dxa"/>
            <w:vAlign w:val="center"/>
          </w:tcPr>
          <w:p w14:paraId="66EB66A1"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0.43 – 0.76</w:t>
            </w:r>
          </w:p>
        </w:tc>
        <w:tc>
          <w:tcPr>
            <w:tcW w:w="1086" w:type="dxa"/>
            <w:vAlign w:val="center"/>
          </w:tcPr>
          <w:p w14:paraId="6FCD1626"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0.21 – 0.42</w:t>
            </w:r>
          </w:p>
        </w:tc>
        <w:tc>
          <w:tcPr>
            <w:tcW w:w="1095" w:type="dxa"/>
            <w:vAlign w:val="center"/>
          </w:tcPr>
          <w:p w14:paraId="29D7A84B"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&lt;0.21</w:t>
            </w:r>
          </w:p>
        </w:tc>
      </w:tr>
      <w:tr w:rsidR="0098772B" w:rsidRPr="006112AD" w14:paraId="17C52754" w14:textId="77777777" w:rsidTr="00521069">
        <w:trPr>
          <w:trHeight w:val="533"/>
          <w:jc w:val="center"/>
        </w:trPr>
        <w:tc>
          <w:tcPr>
            <w:tcW w:w="1349" w:type="dxa"/>
            <w:vAlign w:val="center"/>
          </w:tcPr>
          <w:p w14:paraId="6A489DB4"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Parameter criticality</w:t>
            </w:r>
          </w:p>
        </w:tc>
        <w:tc>
          <w:tcPr>
            <w:tcW w:w="7621" w:type="dxa"/>
            <w:gridSpan w:val="7"/>
            <w:vAlign w:val="center"/>
          </w:tcPr>
          <w:p w14:paraId="7ED6F6C0" w14:textId="77777777" w:rsidR="0098772B" w:rsidRPr="006112AD" w:rsidRDefault="0098772B" w:rsidP="006112AD">
            <w:pPr>
              <w:pStyle w:val="ListParagraph"/>
              <w:ind w:left="0"/>
              <w:jc w:val="center"/>
              <w:rPr>
                <w:rFonts w:ascii="Calibri" w:eastAsiaTheme="majorEastAsia" w:hAnsi="Calibri" w:cs="Calibri"/>
                <w:b/>
                <w:bCs/>
                <w:iCs/>
                <w:sz w:val="20"/>
                <w:szCs w:val="20"/>
              </w:rPr>
            </w:pPr>
            <w:proofErr w:type="spellStart"/>
            <w:r w:rsidRPr="006112AD">
              <w:rPr>
                <w:rFonts w:ascii="Calibri" w:eastAsiaTheme="majorEastAsia" w:hAnsi="Calibri" w:cs="Calibri"/>
                <w:b/>
                <w:bCs/>
                <w:iCs/>
                <w:sz w:val="20"/>
                <w:szCs w:val="20"/>
              </w:rPr>
              <w:t>Cpk</w:t>
            </w:r>
            <w:proofErr w:type="spellEnd"/>
            <w:r w:rsidRPr="006112AD">
              <w:rPr>
                <w:rFonts w:ascii="Calibri" w:eastAsiaTheme="majorEastAsia" w:hAnsi="Calibri" w:cs="Calibri"/>
                <w:b/>
                <w:bCs/>
                <w:iCs/>
                <w:sz w:val="20"/>
                <w:szCs w:val="20"/>
              </w:rPr>
              <w:t xml:space="preserve"> banding</w:t>
            </w:r>
          </w:p>
        </w:tc>
      </w:tr>
      <w:tr w:rsidR="0098772B" w:rsidRPr="006112AD" w14:paraId="44D03EDD" w14:textId="77777777" w:rsidTr="00521069">
        <w:trPr>
          <w:trHeight w:val="295"/>
          <w:jc w:val="center"/>
        </w:trPr>
        <w:tc>
          <w:tcPr>
            <w:tcW w:w="1349" w:type="dxa"/>
            <w:vAlign w:val="center"/>
          </w:tcPr>
          <w:p w14:paraId="0182737F"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High</w:t>
            </w:r>
          </w:p>
        </w:tc>
        <w:tc>
          <w:tcPr>
            <w:tcW w:w="2169" w:type="dxa"/>
            <w:gridSpan w:val="2"/>
            <w:vAlign w:val="center"/>
          </w:tcPr>
          <w:p w14:paraId="0495888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Capable</w:t>
            </w:r>
          </w:p>
        </w:tc>
        <w:tc>
          <w:tcPr>
            <w:tcW w:w="1086" w:type="dxa"/>
            <w:vAlign w:val="center"/>
          </w:tcPr>
          <w:p w14:paraId="77A3A87D"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Borderline</w:t>
            </w:r>
          </w:p>
        </w:tc>
        <w:tc>
          <w:tcPr>
            <w:tcW w:w="4366" w:type="dxa"/>
            <w:gridSpan w:val="4"/>
            <w:vAlign w:val="center"/>
          </w:tcPr>
          <w:p w14:paraId="5C83BC00"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Incapable</w:t>
            </w:r>
          </w:p>
        </w:tc>
      </w:tr>
      <w:tr w:rsidR="0098772B" w:rsidRPr="006112AD" w14:paraId="32662BCD" w14:textId="77777777" w:rsidTr="00521069">
        <w:trPr>
          <w:trHeight w:val="295"/>
          <w:jc w:val="center"/>
        </w:trPr>
        <w:tc>
          <w:tcPr>
            <w:tcW w:w="1349" w:type="dxa"/>
            <w:vAlign w:val="center"/>
          </w:tcPr>
          <w:p w14:paraId="04088F96"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Medium</w:t>
            </w:r>
          </w:p>
        </w:tc>
        <w:tc>
          <w:tcPr>
            <w:tcW w:w="4349" w:type="dxa"/>
            <w:gridSpan w:val="4"/>
            <w:vAlign w:val="center"/>
          </w:tcPr>
          <w:p w14:paraId="5779252A"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Capable</w:t>
            </w:r>
          </w:p>
        </w:tc>
        <w:tc>
          <w:tcPr>
            <w:tcW w:w="1091" w:type="dxa"/>
            <w:vAlign w:val="center"/>
          </w:tcPr>
          <w:p w14:paraId="5D939486"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Borderline</w:t>
            </w:r>
          </w:p>
        </w:tc>
        <w:tc>
          <w:tcPr>
            <w:tcW w:w="2181" w:type="dxa"/>
            <w:gridSpan w:val="2"/>
            <w:vAlign w:val="center"/>
          </w:tcPr>
          <w:p w14:paraId="01B5B17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Incapable</w:t>
            </w:r>
          </w:p>
        </w:tc>
      </w:tr>
      <w:tr w:rsidR="0098772B" w:rsidRPr="006112AD" w14:paraId="6C183352" w14:textId="77777777" w:rsidTr="00521069">
        <w:trPr>
          <w:trHeight w:val="295"/>
          <w:jc w:val="center"/>
        </w:trPr>
        <w:tc>
          <w:tcPr>
            <w:tcW w:w="1349" w:type="dxa"/>
            <w:vAlign w:val="center"/>
          </w:tcPr>
          <w:p w14:paraId="14AB1DD6"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Low</w:t>
            </w:r>
          </w:p>
        </w:tc>
        <w:tc>
          <w:tcPr>
            <w:tcW w:w="5440" w:type="dxa"/>
            <w:gridSpan w:val="5"/>
            <w:vAlign w:val="center"/>
          </w:tcPr>
          <w:p w14:paraId="03A4545E"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Capable</w:t>
            </w:r>
          </w:p>
        </w:tc>
        <w:tc>
          <w:tcPr>
            <w:tcW w:w="1086" w:type="dxa"/>
            <w:vAlign w:val="center"/>
          </w:tcPr>
          <w:p w14:paraId="5245416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Borderline</w:t>
            </w:r>
          </w:p>
        </w:tc>
        <w:tc>
          <w:tcPr>
            <w:tcW w:w="1095" w:type="dxa"/>
            <w:vAlign w:val="center"/>
          </w:tcPr>
          <w:p w14:paraId="45EB39E0"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Incapable</w:t>
            </w:r>
          </w:p>
        </w:tc>
      </w:tr>
    </w:tbl>
    <w:p w14:paraId="4E177D77" w14:textId="77777777" w:rsidR="00227E39" w:rsidRDefault="00227E39" w:rsidP="006112AD">
      <w:pPr>
        <w:spacing w:line="240" w:lineRule="auto"/>
        <w:rPr>
          <w:rFonts w:ascii="Calibri" w:hAnsi="Calibri" w:cs="Calibri"/>
          <w:sz w:val="20"/>
          <w:szCs w:val="20"/>
        </w:rPr>
      </w:pPr>
    </w:p>
    <w:p w14:paraId="0DA740AF" w14:textId="77777777" w:rsidR="00075317" w:rsidRPr="006112AD" w:rsidRDefault="00075317" w:rsidP="006112AD">
      <w:pPr>
        <w:spacing w:line="240" w:lineRule="auto"/>
        <w:rPr>
          <w:rFonts w:ascii="Calibri" w:hAnsi="Calibri" w:cs="Calibri"/>
          <w:sz w:val="20"/>
          <w:szCs w:val="20"/>
        </w:rPr>
      </w:pPr>
    </w:p>
    <w:p w14:paraId="53AABACA" w14:textId="77777777" w:rsidR="0002494C" w:rsidRDefault="0098772B" w:rsidP="0002494C">
      <w:pPr>
        <w:pStyle w:val="ListParagraph"/>
        <w:numPr>
          <w:ilvl w:val="0"/>
          <w:numId w:val="38"/>
        </w:numPr>
        <w:spacing w:line="240" w:lineRule="auto"/>
        <w:rPr>
          <w:rFonts w:ascii="Calibri" w:hAnsi="Calibri" w:cs="Calibri"/>
          <w:b/>
          <w:bCs/>
          <w:sz w:val="20"/>
          <w:szCs w:val="20"/>
        </w:rPr>
      </w:pPr>
      <w:bookmarkStart w:id="97" w:name="_Toc199078008"/>
      <w:r w:rsidRPr="0002494C">
        <w:rPr>
          <w:rFonts w:ascii="Calibri" w:hAnsi="Calibri" w:cs="Calibri"/>
          <w:b/>
          <w:bCs/>
          <w:sz w:val="20"/>
          <w:szCs w:val="20"/>
        </w:rPr>
        <w:lastRenderedPageBreak/>
        <w:t>Results</w:t>
      </w:r>
      <w:bookmarkEnd w:id="97"/>
    </w:p>
    <w:p w14:paraId="5542FAA9" w14:textId="1201D916" w:rsidR="00FC5954" w:rsidRPr="0002494C" w:rsidRDefault="00FC5954" w:rsidP="00227E39">
      <w:pPr>
        <w:spacing w:line="240" w:lineRule="auto"/>
        <w:jc w:val="both"/>
        <w:rPr>
          <w:rFonts w:ascii="Calibri" w:hAnsi="Calibri" w:cs="Calibri"/>
          <w:b/>
          <w:bCs/>
          <w:sz w:val="20"/>
          <w:szCs w:val="20"/>
        </w:rPr>
      </w:pPr>
      <w:r w:rsidRPr="0002494C">
        <w:rPr>
          <w:rFonts w:ascii="Calibri" w:hAnsi="Calibri" w:cs="Calibri"/>
          <w:sz w:val="20"/>
          <w:szCs w:val="20"/>
        </w:rPr>
        <w:t>Data were organized by parameter and holding time. Each holding time cohort—SHT</w:t>
      </w:r>
      <w:r w:rsidR="0002494C">
        <w:rPr>
          <w:rFonts w:ascii="Calibri" w:hAnsi="Calibri" w:cs="Calibri"/>
          <w:sz w:val="20"/>
          <w:szCs w:val="20"/>
        </w:rPr>
        <w:t xml:space="preserve"> </w:t>
      </w:r>
      <w:r w:rsidRPr="0002494C">
        <w:rPr>
          <w:rFonts w:ascii="Calibri" w:hAnsi="Calibri" w:cs="Calibri"/>
          <w:sz w:val="20"/>
          <w:szCs w:val="20"/>
        </w:rPr>
        <w:t xml:space="preserve">and LHT—consisted of 100 FFP units. The parameters assessed were plasma volume, RLC, and PC, resulting in six groups: SHT volume, LHT volume, SHT RLC, LHT RLC, SHT PC, and LHT PC. </w:t>
      </w:r>
    </w:p>
    <w:p w14:paraId="05970648" w14:textId="77777777" w:rsidR="00FC5954" w:rsidRDefault="00FC5954" w:rsidP="00227E39">
      <w:pPr>
        <w:pStyle w:val="Heading2"/>
        <w:spacing w:after="0" w:line="240" w:lineRule="auto"/>
        <w:jc w:val="both"/>
        <w:rPr>
          <w:rFonts w:ascii="Calibri" w:hAnsi="Calibri" w:cs="Calibri"/>
          <w:i w:val="0"/>
          <w:sz w:val="20"/>
          <w:szCs w:val="20"/>
          <w:u w:val="none"/>
        </w:rPr>
      </w:pPr>
      <w:r w:rsidRPr="006112AD">
        <w:rPr>
          <w:rFonts w:ascii="Calibri" w:hAnsi="Calibri" w:cs="Calibri"/>
          <w:i w:val="0"/>
          <w:sz w:val="20"/>
          <w:szCs w:val="20"/>
          <w:u w:val="none"/>
        </w:rPr>
        <w:t>Normality of the distributions was evaluated using the Shapiro–Wilk test, which is appropriate for sample sizes under 300, such as those in this study.</w:t>
      </w:r>
    </w:p>
    <w:p w14:paraId="575658E7" w14:textId="77777777" w:rsidR="00540767" w:rsidRPr="00540767" w:rsidRDefault="00540767" w:rsidP="00227E39">
      <w:pPr>
        <w:jc w:val="both"/>
      </w:pPr>
    </w:p>
    <w:p w14:paraId="0B0EBB7E" w14:textId="38DE6B13" w:rsidR="00521069" w:rsidRPr="00540767" w:rsidRDefault="0098772B" w:rsidP="006112AD">
      <w:pPr>
        <w:pStyle w:val="Heading2"/>
        <w:numPr>
          <w:ilvl w:val="1"/>
          <w:numId w:val="38"/>
        </w:numPr>
        <w:spacing w:after="0" w:line="240" w:lineRule="auto"/>
        <w:rPr>
          <w:rFonts w:ascii="Calibri" w:hAnsi="Calibri" w:cs="Calibri"/>
          <w:i w:val="0"/>
          <w:sz w:val="20"/>
          <w:szCs w:val="20"/>
        </w:rPr>
      </w:pPr>
      <w:bookmarkStart w:id="98" w:name="_Toc198372562"/>
      <w:bookmarkStart w:id="99" w:name="_Toc199078010"/>
      <w:r w:rsidRPr="00540767">
        <w:rPr>
          <w:rFonts w:ascii="Calibri" w:hAnsi="Calibri" w:cs="Calibri"/>
          <w:i w:val="0"/>
          <w:sz w:val="20"/>
          <w:szCs w:val="20"/>
          <w:u w:val="none"/>
        </w:rPr>
        <w:t>Volume</w:t>
      </w:r>
      <w:bookmarkEnd w:id="98"/>
      <w:bookmarkEnd w:id="99"/>
    </w:p>
    <w:p w14:paraId="1392DD1F" w14:textId="6E376AEE" w:rsidR="0098772B" w:rsidRPr="006112AD" w:rsidRDefault="0098772B" w:rsidP="006112AD">
      <w:pPr>
        <w:spacing w:line="240" w:lineRule="auto"/>
        <w:jc w:val="both"/>
        <w:rPr>
          <w:rFonts w:ascii="Calibri" w:eastAsiaTheme="majorEastAsia" w:hAnsi="Calibri" w:cs="Calibri"/>
          <w:iCs/>
          <w:sz w:val="20"/>
          <w:szCs w:val="20"/>
        </w:rPr>
      </w:pPr>
      <w:r w:rsidRPr="006112AD">
        <w:rPr>
          <w:rFonts w:ascii="Calibri" w:eastAsiaTheme="majorEastAsia" w:hAnsi="Calibri" w:cs="Calibri"/>
          <w:iCs/>
          <w:sz w:val="20"/>
          <w:szCs w:val="20"/>
        </w:rPr>
        <w:t xml:space="preserve">The mean volume between the two holding time cohorts was calculated and compared. </w:t>
      </w:r>
      <w:r w:rsidRPr="006112AD">
        <w:rPr>
          <w:rFonts w:ascii="Calibri" w:hAnsi="Calibri" w:cs="Calibri"/>
          <w:iCs/>
          <w:sz w:val="20"/>
          <w:szCs w:val="20"/>
        </w:rPr>
        <w:t xml:space="preserve">As </w:t>
      </w:r>
      <w:r w:rsidR="00745129" w:rsidRPr="006112AD">
        <w:rPr>
          <w:rFonts w:ascii="Calibri" w:hAnsi="Calibri" w:cs="Calibri"/>
          <w:iCs/>
          <w:sz w:val="20"/>
          <w:szCs w:val="20"/>
        </w:rPr>
        <w:t xml:space="preserve">shown </w:t>
      </w:r>
      <w:r w:rsidRPr="006112AD">
        <w:rPr>
          <w:rFonts w:ascii="Calibri" w:hAnsi="Calibri" w:cs="Calibri"/>
          <w:iCs/>
          <w:sz w:val="20"/>
          <w:szCs w:val="20"/>
        </w:rPr>
        <w:t xml:space="preserve">in Table </w:t>
      </w:r>
      <w:r w:rsidR="00745129" w:rsidRPr="006112AD">
        <w:rPr>
          <w:rFonts w:ascii="Calibri" w:hAnsi="Calibri" w:cs="Calibri"/>
          <w:iCs/>
          <w:sz w:val="20"/>
          <w:szCs w:val="20"/>
        </w:rPr>
        <w:t>2</w:t>
      </w:r>
      <w:r w:rsidRPr="006112AD">
        <w:rPr>
          <w:rFonts w:ascii="Calibri" w:hAnsi="Calibri" w:cs="Calibri"/>
          <w:iCs/>
          <w:sz w:val="20"/>
          <w:szCs w:val="20"/>
        </w:rPr>
        <w:t xml:space="preserve"> the SHT cohort had a lower mean unit volume of 276ml, whilst that of the LHT cohort was 283ml, with a difference of 7ml.</w:t>
      </w:r>
    </w:p>
    <w:p w14:paraId="0439978D" w14:textId="4D9C566D" w:rsidR="0098772B" w:rsidRPr="006112AD" w:rsidRDefault="0098772B" w:rsidP="006112AD">
      <w:pPr>
        <w:pStyle w:val="TableHeading"/>
        <w:spacing w:line="240" w:lineRule="auto"/>
        <w:rPr>
          <w:rFonts w:ascii="Calibri" w:hAnsi="Calibri" w:cs="Calibri"/>
          <w:sz w:val="20"/>
          <w:szCs w:val="20"/>
        </w:rPr>
      </w:pPr>
      <w:bookmarkStart w:id="100" w:name="_Toc198711781"/>
      <w:bookmarkStart w:id="101" w:name="_Hlk198378191"/>
      <w:r w:rsidRPr="006112AD">
        <w:rPr>
          <w:rFonts w:ascii="Calibri" w:hAnsi="Calibri" w:cs="Calibri"/>
          <w:sz w:val="20"/>
          <w:szCs w:val="20"/>
        </w:rPr>
        <w:t>Table</w:t>
      </w:r>
      <w:r w:rsidR="00745129" w:rsidRPr="006112AD">
        <w:rPr>
          <w:rFonts w:ascii="Calibri" w:hAnsi="Calibri" w:cs="Calibri"/>
          <w:sz w:val="20"/>
          <w:szCs w:val="20"/>
        </w:rPr>
        <w:t xml:space="preserve"> 2</w:t>
      </w:r>
      <w:r w:rsidRPr="006112AD">
        <w:rPr>
          <w:rFonts w:ascii="Calibri" w:hAnsi="Calibri" w:cs="Calibri"/>
          <w:sz w:val="20"/>
          <w:szCs w:val="20"/>
        </w:rPr>
        <w:t>: Mean volumes and Standard Deviation</w:t>
      </w:r>
      <w:bookmarkEnd w:id="100"/>
    </w:p>
    <w:bookmarkEnd w:id="101"/>
    <w:p w14:paraId="7B17D223" w14:textId="42C33932"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eastAsiaTheme="majorEastAsia" w:hAnsi="Calibri" w:cs="Calibri"/>
          <w:iCs/>
          <w:sz w:val="20"/>
          <w:szCs w:val="20"/>
        </w:rPr>
        <w:t>Legend: FFP - Fresh frozen plasma, SHT - short holding time, LHT - long holding time.</w:t>
      </w:r>
    </w:p>
    <w:tbl>
      <w:tblPr>
        <w:tblStyle w:val="TableGrid"/>
        <w:tblW w:w="90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38"/>
        <w:gridCol w:w="1237"/>
        <w:gridCol w:w="3337"/>
        <w:gridCol w:w="3203"/>
      </w:tblGrid>
      <w:tr w:rsidR="0098772B" w:rsidRPr="006112AD" w14:paraId="3EBFE75E" w14:textId="77777777" w:rsidTr="00DB7A2B">
        <w:trPr>
          <w:trHeight w:val="333"/>
        </w:trPr>
        <w:tc>
          <w:tcPr>
            <w:tcW w:w="1238" w:type="dxa"/>
            <w:vAlign w:val="center"/>
          </w:tcPr>
          <w:p w14:paraId="5BE570B7" w14:textId="77777777" w:rsidR="0098772B" w:rsidRPr="006112AD" w:rsidRDefault="0098772B" w:rsidP="006112AD">
            <w:pPr>
              <w:jc w:val="center"/>
              <w:rPr>
                <w:rFonts w:ascii="Calibri" w:hAnsi="Calibri" w:cs="Calibri"/>
                <w:iCs/>
                <w:sz w:val="20"/>
                <w:szCs w:val="20"/>
              </w:rPr>
            </w:pPr>
          </w:p>
        </w:tc>
        <w:tc>
          <w:tcPr>
            <w:tcW w:w="1237" w:type="dxa"/>
            <w:vAlign w:val="bottom"/>
          </w:tcPr>
          <w:p w14:paraId="0C21FAD2"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N</w:t>
            </w:r>
          </w:p>
        </w:tc>
        <w:tc>
          <w:tcPr>
            <w:tcW w:w="3337" w:type="dxa"/>
            <w:vAlign w:val="bottom"/>
          </w:tcPr>
          <w:p w14:paraId="0E9FF1B4"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Mean FFP unit Volume (mL)</w:t>
            </w:r>
          </w:p>
        </w:tc>
        <w:tc>
          <w:tcPr>
            <w:tcW w:w="3203" w:type="dxa"/>
            <w:vAlign w:val="bottom"/>
          </w:tcPr>
          <w:p w14:paraId="29084EB3"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Standard Deviation</w:t>
            </w:r>
          </w:p>
        </w:tc>
      </w:tr>
      <w:tr w:rsidR="0098772B" w:rsidRPr="006112AD" w14:paraId="7D83B9DC" w14:textId="77777777" w:rsidTr="00521069">
        <w:trPr>
          <w:trHeight w:val="333"/>
        </w:trPr>
        <w:tc>
          <w:tcPr>
            <w:tcW w:w="1238" w:type="dxa"/>
            <w:vAlign w:val="center"/>
          </w:tcPr>
          <w:p w14:paraId="631BDFC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237" w:type="dxa"/>
            <w:vAlign w:val="center"/>
          </w:tcPr>
          <w:p w14:paraId="3F64E54E"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3337" w:type="dxa"/>
            <w:vAlign w:val="center"/>
          </w:tcPr>
          <w:p w14:paraId="1CBDBF86"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276</w:t>
            </w:r>
          </w:p>
        </w:tc>
        <w:tc>
          <w:tcPr>
            <w:tcW w:w="3203" w:type="dxa"/>
            <w:vAlign w:val="center"/>
          </w:tcPr>
          <w:p w14:paraId="36693785"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13.706</w:t>
            </w:r>
          </w:p>
        </w:tc>
      </w:tr>
      <w:tr w:rsidR="0098772B" w:rsidRPr="006112AD" w14:paraId="15E9390C" w14:textId="77777777" w:rsidTr="00521069">
        <w:trPr>
          <w:trHeight w:val="333"/>
        </w:trPr>
        <w:tc>
          <w:tcPr>
            <w:tcW w:w="1238" w:type="dxa"/>
            <w:tcBorders>
              <w:bottom w:val="single" w:sz="4" w:space="0" w:color="auto"/>
            </w:tcBorders>
            <w:vAlign w:val="center"/>
          </w:tcPr>
          <w:p w14:paraId="417E373D"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237" w:type="dxa"/>
            <w:tcBorders>
              <w:bottom w:val="single" w:sz="4" w:space="0" w:color="auto"/>
            </w:tcBorders>
            <w:vAlign w:val="center"/>
          </w:tcPr>
          <w:p w14:paraId="221A04F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3337" w:type="dxa"/>
            <w:tcBorders>
              <w:bottom w:val="single" w:sz="4" w:space="0" w:color="auto"/>
            </w:tcBorders>
            <w:vAlign w:val="center"/>
          </w:tcPr>
          <w:p w14:paraId="5B3E31F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283</w:t>
            </w:r>
          </w:p>
        </w:tc>
        <w:tc>
          <w:tcPr>
            <w:tcW w:w="3203" w:type="dxa"/>
            <w:tcBorders>
              <w:bottom w:val="single" w:sz="4" w:space="0" w:color="auto"/>
            </w:tcBorders>
            <w:vAlign w:val="center"/>
          </w:tcPr>
          <w:p w14:paraId="7C103C60"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13.176</w:t>
            </w:r>
          </w:p>
        </w:tc>
      </w:tr>
    </w:tbl>
    <w:p w14:paraId="002D4B0A" w14:textId="77777777" w:rsidR="0098772B" w:rsidRPr="006112AD" w:rsidRDefault="0098772B" w:rsidP="006112AD">
      <w:pPr>
        <w:spacing w:line="240" w:lineRule="auto"/>
        <w:rPr>
          <w:rFonts w:ascii="Calibri" w:hAnsi="Calibri" w:cs="Calibri"/>
          <w:sz w:val="20"/>
          <w:szCs w:val="20"/>
        </w:rPr>
      </w:pPr>
    </w:p>
    <w:p w14:paraId="15880B77" w14:textId="055E15D3" w:rsidR="0098772B" w:rsidRPr="006112AD" w:rsidRDefault="0098772B" w:rsidP="006112AD">
      <w:pPr>
        <w:spacing w:before="240" w:after="0" w:line="240" w:lineRule="auto"/>
        <w:jc w:val="both"/>
        <w:rPr>
          <w:rFonts w:ascii="Calibri" w:hAnsi="Calibri" w:cs="Calibri"/>
          <w:iCs/>
          <w:sz w:val="20"/>
          <w:szCs w:val="20"/>
        </w:rPr>
      </w:pPr>
      <w:r w:rsidRPr="006112AD">
        <w:rPr>
          <w:rFonts w:ascii="Calibri" w:hAnsi="Calibri" w:cs="Calibri"/>
          <w:iCs/>
          <w:sz w:val="20"/>
          <w:szCs w:val="20"/>
        </w:rPr>
        <w:t>Table 3</w:t>
      </w:r>
      <w:r w:rsidR="005F5925" w:rsidRPr="006112AD">
        <w:rPr>
          <w:rFonts w:ascii="Calibri" w:hAnsi="Calibri" w:cs="Calibri"/>
          <w:iCs/>
          <w:sz w:val="20"/>
          <w:szCs w:val="20"/>
        </w:rPr>
        <w:t xml:space="preserve"> </w:t>
      </w:r>
      <w:r w:rsidRPr="006112AD">
        <w:rPr>
          <w:rFonts w:ascii="Calibri" w:hAnsi="Calibri" w:cs="Calibri"/>
          <w:iCs/>
          <w:sz w:val="20"/>
          <w:szCs w:val="20"/>
        </w:rPr>
        <w:t xml:space="preserve">displays the normality test results for the volume parameter of the SHT and LHT cohorts. The resulting p-value for the SHT cohort was 0.179. This exceeded the 0.05 level of significance and the null hypothesis, which assumed a normal data distribution, was accepted and therefore determined that the set of volumes for this cohort followed a normal distribution. The resulting p-value for the LHT cohort was 0.043, which was just below the 0.05 criterion, therefore indicating that this cohort had a non-normal distribution of volumes.  </w:t>
      </w:r>
    </w:p>
    <w:p w14:paraId="1F2C9CEA" w14:textId="77777777" w:rsidR="0098772B" w:rsidRPr="006112AD" w:rsidRDefault="0098772B" w:rsidP="006112AD">
      <w:pPr>
        <w:spacing w:line="240" w:lineRule="auto"/>
        <w:rPr>
          <w:rFonts w:ascii="Calibri" w:hAnsi="Calibri" w:cs="Calibri"/>
          <w:sz w:val="20"/>
          <w:szCs w:val="20"/>
        </w:rPr>
      </w:pPr>
    </w:p>
    <w:p w14:paraId="0D8C77D4" w14:textId="67663742" w:rsidR="0098772B" w:rsidRPr="006112AD" w:rsidRDefault="0098772B" w:rsidP="006112AD">
      <w:pPr>
        <w:spacing w:after="0" w:line="240" w:lineRule="auto"/>
        <w:jc w:val="center"/>
        <w:rPr>
          <w:rFonts w:ascii="Calibri" w:hAnsi="Calibri" w:cs="Calibri"/>
          <w:iCs/>
          <w:sz w:val="20"/>
          <w:szCs w:val="20"/>
        </w:rPr>
      </w:pPr>
      <w:bookmarkStart w:id="102" w:name="_Hlk198378218"/>
      <w:bookmarkStart w:id="103" w:name="_Toc198711782"/>
      <w:r w:rsidRPr="006112AD">
        <w:rPr>
          <w:rStyle w:val="TableHeadingChar"/>
          <w:rFonts w:ascii="Calibri" w:hAnsi="Calibri" w:cs="Calibri"/>
          <w:sz w:val="20"/>
          <w:szCs w:val="20"/>
        </w:rPr>
        <w:t>Table 3: Test of Normality</w:t>
      </w:r>
      <w:bookmarkEnd w:id="102"/>
      <w:bookmarkEnd w:id="103"/>
    </w:p>
    <w:p w14:paraId="379CF385" w14:textId="17938E64"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FFP - Fresh frozen plasma; SHT - Short holding time; LHT - Long holding time.</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4"/>
        <w:gridCol w:w="1494"/>
        <w:gridCol w:w="1494"/>
        <w:gridCol w:w="1495"/>
      </w:tblGrid>
      <w:tr w:rsidR="0098772B" w:rsidRPr="006112AD" w14:paraId="3268C4A2" w14:textId="77777777" w:rsidTr="009B30C1">
        <w:trPr>
          <w:trHeight w:val="163"/>
          <w:jc w:val="center"/>
        </w:trPr>
        <w:tc>
          <w:tcPr>
            <w:tcW w:w="1134" w:type="dxa"/>
            <w:vAlign w:val="bottom"/>
          </w:tcPr>
          <w:p w14:paraId="1B3701E5" w14:textId="77777777" w:rsidR="0098772B" w:rsidRPr="006112AD" w:rsidRDefault="0098772B" w:rsidP="006112AD">
            <w:pPr>
              <w:jc w:val="center"/>
              <w:rPr>
                <w:rFonts w:ascii="Calibri" w:hAnsi="Calibri" w:cs="Calibri"/>
                <w:iCs/>
                <w:sz w:val="20"/>
                <w:szCs w:val="20"/>
              </w:rPr>
            </w:pPr>
          </w:p>
        </w:tc>
        <w:tc>
          <w:tcPr>
            <w:tcW w:w="4483" w:type="dxa"/>
            <w:gridSpan w:val="3"/>
          </w:tcPr>
          <w:p w14:paraId="28507A1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Shapiro-Wilk</w:t>
            </w:r>
          </w:p>
        </w:tc>
      </w:tr>
      <w:tr w:rsidR="0098772B" w:rsidRPr="006112AD" w14:paraId="05D80815" w14:textId="77777777" w:rsidTr="00521069">
        <w:trPr>
          <w:trHeight w:val="317"/>
          <w:jc w:val="center"/>
        </w:trPr>
        <w:tc>
          <w:tcPr>
            <w:tcW w:w="1134" w:type="dxa"/>
            <w:vAlign w:val="center"/>
          </w:tcPr>
          <w:p w14:paraId="784C537D" w14:textId="77777777" w:rsidR="0098772B" w:rsidRPr="006112AD" w:rsidRDefault="0098772B" w:rsidP="006112AD">
            <w:pPr>
              <w:jc w:val="center"/>
              <w:rPr>
                <w:rFonts w:ascii="Calibri" w:hAnsi="Calibri" w:cs="Calibri"/>
                <w:iCs/>
                <w:sz w:val="20"/>
                <w:szCs w:val="20"/>
              </w:rPr>
            </w:pPr>
          </w:p>
        </w:tc>
        <w:tc>
          <w:tcPr>
            <w:tcW w:w="1494" w:type="dxa"/>
            <w:vAlign w:val="center"/>
          </w:tcPr>
          <w:p w14:paraId="232BDE0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Statistic</w:t>
            </w:r>
          </w:p>
        </w:tc>
        <w:tc>
          <w:tcPr>
            <w:tcW w:w="1494" w:type="dxa"/>
            <w:vAlign w:val="center"/>
          </w:tcPr>
          <w:p w14:paraId="64F21ABE"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df</w:t>
            </w:r>
          </w:p>
        </w:tc>
        <w:tc>
          <w:tcPr>
            <w:tcW w:w="1495" w:type="dxa"/>
            <w:vAlign w:val="center"/>
          </w:tcPr>
          <w:p w14:paraId="36F8E78E" w14:textId="27E86715"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r>
      <w:tr w:rsidR="0098772B" w:rsidRPr="006112AD" w14:paraId="276A5958" w14:textId="77777777" w:rsidTr="00521069">
        <w:trPr>
          <w:trHeight w:val="317"/>
          <w:jc w:val="center"/>
        </w:trPr>
        <w:tc>
          <w:tcPr>
            <w:tcW w:w="1134" w:type="dxa"/>
            <w:vAlign w:val="center"/>
          </w:tcPr>
          <w:p w14:paraId="4BBACAC5"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494" w:type="dxa"/>
            <w:vAlign w:val="center"/>
          </w:tcPr>
          <w:p w14:paraId="5801C9CC"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0.982</w:t>
            </w:r>
          </w:p>
        </w:tc>
        <w:tc>
          <w:tcPr>
            <w:tcW w:w="1494" w:type="dxa"/>
            <w:vAlign w:val="center"/>
          </w:tcPr>
          <w:p w14:paraId="57A775F8"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495" w:type="dxa"/>
            <w:vAlign w:val="center"/>
          </w:tcPr>
          <w:p w14:paraId="4E658349"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0.179</w:t>
            </w:r>
          </w:p>
        </w:tc>
      </w:tr>
      <w:tr w:rsidR="0098772B" w:rsidRPr="006112AD" w14:paraId="4021B030" w14:textId="77777777" w:rsidTr="009B30C1">
        <w:trPr>
          <w:trHeight w:val="317"/>
          <w:jc w:val="center"/>
        </w:trPr>
        <w:tc>
          <w:tcPr>
            <w:tcW w:w="1134" w:type="dxa"/>
            <w:tcBorders>
              <w:bottom w:val="single" w:sz="4" w:space="0" w:color="auto"/>
            </w:tcBorders>
            <w:vAlign w:val="center"/>
          </w:tcPr>
          <w:p w14:paraId="35F245E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494" w:type="dxa"/>
            <w:tcBorders>
              <w:bottom w:val="single" w:sz="4" w:space="0" w:color="auto"/>
            </w:tcBorders>
            <w:vAlign w:val="center"/>
          </w:tcPr>
          <w:p w14:paraId="2A71A7CF"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0.974</w:t>
            </w:r>
          </w:p>
        </w:tc>
        <w:tc>
          <w:tcPr>
            <w:tcW w:w="1494" w:type="dxa"/>
            <w:tcBorders>
              <w:bottom w:val="single" w:sz="4" w:space="0" w:color="auto"/>
            </w:tcBorders>
            <w:vAlign w:val="center"/>
          </w:tcPr>
          <w:p w14:paraId="653F7CB3"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495" w:type="dxa"/>
            <w:tcBorders>
              <w:bottom w:val="single" w:sz="4" w:space="0" w:color="auto"/>
            </w:tcBorders>
            <w:vAlign w:val="center"/>
          </w:tcPr>
          <w:p w14:paraId="4F9FCA53"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0.043</w:t>
            </w:r>
          </w:p>
        </w:tc>
      </w:tr>
    </w:tbl>
    <w:p w14:paraId="6770F9B3" w14:textId="77777777" w:rsidR="0098772B" w:rsidRDefault="0098772B" w:rsidP="006112AD">
      <w:pPr>
        <w:spacing w:line="240" w:lineRule="auto"/>
        <w:rPr>
          <w:rFonts w:ascii="Calibri" w:hAnsi="Calibri" w:cs="Calibri"/>
          <w:sz w:val="20"/>
          <w:szCs w:val="20"/>
        </w:rPr>
      </w:pPr>
    </w:p>
    <w:p w14:paraId="5FF7F28F" w14:textId="77777777" w:rsidR="00227E39" w:rsidRPr="006112AD" w:rsidRDefault="00227E39" w:rsidP="006112AD">
      <w:pPr>
        <w:spacing w:line="240" w:lineRule="auto"/>
        <w:rPr>
          <w:rFonts w:ascii="Calibri" w:hAnsi="Calibri" w:cs="Calibri"/>
          <w:sz w:val="20"/>
          <w:szCs w:val="20"/>
        </w:rPr>
      </w:pPr>
    </w:p>
    <w:p w14:paraId="34ADFA6D" w14:textId="0362145F" w:rsidR="004B073D" w:rsidRPr="000462D0" w:rsidRDefault="0098772B" w:rsidP="000462D0">
      <w:pPr>
        <w:pStyle w:val="Heading2"/>
        <w:numPr>
          <w:ilvl w:val="1"/>
          <w:numId w:val="38"/>
        </w:numPr>
        <w:spacing w:after="0" w:line="240" w:lineRule="auto"/>
        <w:rPr>
          <w:rFonts w:ascii="Calibri" w:hAnsi="Calibri" w:cs="Calibri"/>
          <w:i w:val="0"/>
          <w:sz w:val="20"/>
          <w:szCs w:val="20"/>
          <w:u w:val="none"/>
        </w:rPr>
      </w:pPr>
      <w:bookmarkStart w:id="104" w:name="_Toc198372563"/>
      <w:bookmarkStart w:id="105" w:name="_Toc199078012"/>
      <w:r w:rsidRPr="000462D0">
        <w:rPr>
          <w:rFonts w:ascii="Calibri" w:hAnsi="Calibri" w:cs="Calibri"/>
          <w:i w:val="0"/>
          <w:sz w:val="20"/>
          <w:szCs w:val="20"/>
          <w:u w:val="none"/>
        </w:rPr>
        <w:t>Residual Leucocyte Counts</w:t>
      </w:r>
      <w:bookmarkEnd w:id="104"/>
      <w:bookmarkEnd w:id="105"/>
      <w:r w:rsidRPr="000462D0">
        <w:rPr>
          <w:rFonts w:ascii="Calibri" w:hAnsi="Calibri" w:cs="Calibri"/>
          <w:i w:val="0"/>
          <w:sz w:val="20"/>
          <w:szCs w:val="20"/>
          <w:u w:val="none"/>
        </w:rPr>
        <w:t xml:space="preserve"> </w:t>
      </w:r>
    </w:p>
    <w:p w14:paraId="27C163FC" w14:textId="77777777" w:rsidR="004B073D" w:rsidRPr="006112AD" w:rsidRDefault="004B073D" w:rsidP="006112AD">
      <w:pPr>
        <w:spacing w:after="0" w:line="240" w:lineRule="auto"/>
        <w:rPr>
          <w:rFonts w:ascii="Calibri" w:hAnsi="Calibri" w:cs="Calibri"/>
          <w:sz w:val="20"/>
          <w:szCs w:val="20"/>
        </w:rPr>
      </w:pPr>
    </w:p>
    <w:p w14:paraId="1EFC723B" w14:textId="650CCD12" w:rsidR="0098772B" w:rsidRPr="006112AD" w:rsidRDefault="0098772B" w:rsidP="006112AD">
      <w:pPr>
        <w:pStyle w:val="Heading33"/>
        <w:spacing w:line="240" w:lineRule="auto"/>
        <w:ind w:left="0"/>
        <w:rPr>
          <w:rFonts w:ascii="Calibri" w:hAnsi="Calibri" w:cs="Calibri"/>
          <w:sz w:val="20"/>
          <w:szCs w:val="20"/>
        </w:rPr>
      </w:pPr>
      <w:r w:rsidRPr="006112AD">
        <w:rPr>
          <w:rFonts w:ascii="Calibri" w:hAnsi="Calibri" w:cs="Calibri"/>
          <w:sz w:val="20"/>
          <w:szCs w:val="20"/>
        </w:rPr>
        <w:t xml:space="preserve">As </w:t>
      </w:r>
      <w:r w:rsidR="001B494C" w:rsidRPr="006112AD">
        <w:rPr>
          <w:rFonts w:ascii="Calibri" w:hAnsi="Calibri" w:cs="Calibri"/>
          <w:sz w:val="20"/>
          <w:szCs w:val="20"/>
        </w:rPr>
        <w:t xml:space="preserve">shown in </w:t>
      </w:r>
      <w:r w:rsidRPr="006112AD">
        <w:rPr>
          <w:rFonts w:ascii="Calibri" w:hAnsi="Calibri" w:cs="Calibri"/>
          <w:sz w:val="20"/>
          <w:szCs w:val="20"/>
        </w:rPr>
        <w:t xml:space="preserve">Table </w:t>
      </w:r>
      <w:r w:rsidR="00966389" w:rsidRPr="006112AD">
        <w:rPr>
          <w:rFonts w:ascii="Calibri" w:hAnsi="Calibri" w:cs="Calibri"/>
          <w:sz w:val="20"/>
          <w:szCs w:val="20"/>
        </w:rPr>
        <w:t>4</w:t>
      </w:r>
      <w:r w:rsidRPr="006112AD">
        <w:rPr>
          <w:rFonts w:ascii="Calibri" w:hAnsi="Calibri" w:cs="Calibri"/>
          <w:sz w:val="20"/>
          <w:szCs w:val="20"/>
        </w:rPr>
        <w:t>, the mean RLC of units with a SHT was more than double that of those with</w:t>
      </w:r>
      <w:r w:rsidR="001B494C" w:rsidRPr="006112AD">
        <w:rPr>
          <w:rFonts w:ascii="Calibri" w:hAnsi="Calibri" w:cs="Calibri"/>
          <w:sz w:val="20"/>
          <w:szCs w:val="20"/>
        </w:rPr>
        <w:t>in</w:t>
      </w:r>
      <w:r w:rsidRPr="006112AD">
        <w:rPr>
          <w:rFonts w:ascii="Calibri" w:hAnsi="Calibri" w:cs="Calibri"/>
          <w:sz w:val="20"/>
          <w:szCs w:val="20"/>
        </w:rPr>
        <w:t xml:space="preserve"> </w:t>
      </w:r>
      <w:r w:rsidR="001B494C" w:rsidRPr="006112AD">
        <w:rPr>
          <w:rFonts w:ascii="Calibri" w:hAnsi="Calibri" w:cs="Calibri"/>
          <w:sz w:val="20"/>
          <w:szCs w:val="20"/>
        </w:rPr>
        <w:t xml:space="preserve">the </w:t>
      </w:r>
      <w:r w:rsidRPr="006112AD">
        <w:rPr>
          <w:rFonts w:ascii="Calibri" w:hAnsi="Calibri" w:cs="Calibri"/>
          <w:sz w:val="20"/>
          <w:szCs w:val="20"/>
        </w:rPr>
        <w:t>LHT</w:t>
      </w:r>
      <w:r w:rsidR="001B494C" w:rsidRPr="006112AD">
        <w:rPr>
          <w:rFonts w:ascii="Calibri" w:hAnsi="Calibri" w:cs="Calibri"/>
          <w:sz w:val="20"/>
          <w:szCs w:val="20"/>
        </w:rPr>
        <w:t xml:space="preserve"> cohort</w:t>
      </w:r>
      <w:r w:rsidRPr="006112AD">
        <w:rPr>
          <w:rFonts w:ascii="Calibri" w:hAnsi="Calibri" w:cs="Calibri"/>
          <w:sz w:val="20"/>
          <w:szCs w:val="20"/>
        </w:rPr>
        <w:t xml:space="preserve">. However, both </w:t>
      </w:r>
      <w:proofErr w:type="gramStart"/>
      <w:r w:rsidRPr="006112AD">
        <w:rPr>
          <w:rFonts w:ascii="Calibri" w:hAnsi="Calibri" w:cs="Calibri"/>
          <w:sz w:val="20"/>
          <w:szCs w:val="20"/>
        </w:rPr>
        <w:t>means</w:t>
      </w:r>
      <w:proofErr w:type="gramEnd"/>
      <w:r w:rsidRPr="006112AD">
        <w:rPr>
          <w:rFonts w:ascii="Calibri" w:hAnsi="Calibri" w:cs="Calibri"/>
          <w:sz w:val="20"/>
          <w:szCs w:val="20"/>
        </w:rPr>
        <w:t xml:space="preserve"> were still below the maximum acceptable value of 0.1x10</w:t>
      </w:r>
      <w:r w:rsidRPr="006112AD">
        <w:rPr>
          <w:rFonts w:ascii="Calibri" w:hAnsi="Calibri" w:cs="Calibri"/>
          <w:sz w:val="20"/>
          <w:szCs w:val="20"/>
          <w:vertAlign w:val="superscript"/>
        </w:rPr>
        <w:t>9</w:t>
      </w:r>
      <w:r w:rsidRPr="006112AD">
        <w:rPr>
          <w:rFonts w:ascii="Calibri" w:hAnsi="Calibri" w:cs="Calibri"/>
          <w:sz w:val="20"/>
          <w:szCs w:val="20"/>
        </w:rPr>
        <w:t xml:space="preserve"> cells/L according to the EDQM.</w:t>
      </w:r>
    </w:p>
    <w:p w14:paraId="55B70551" w14:textId="082D113B" w:rsidR="0098772B" w:rsidRPr="006112AD" w:rsidRDefault="0098772B" w:rsidP="006112AD">
      <w:pPr>
        <w:pStyle w:val="TableHeading"/>
        <w:spacing w:line="240" w:lineRule="auto"/>
        <w:rPr>
          <w:rFonts w:ascii="Calibri" w:hAnsi="Calibri" w:cs="Calibri"/>
          <w:sz w:val="20"/>
          <w:szCs w:val="20"/>
        </w:rPr>
      </w:pPr>
      <w:bookmarkStart w:id="106" w:name="_Toc198711783"/>
      <w:bookmarkStart w:id="107" w:name="_Hlk198378274"/>
      <w:r w:rsidRPr="006112AD">
        <w:rPr>
          <w:rFonts w:ascii="Calibri" w:hAnsi="Calibri" w:cs="Calibri"/>
          <w:sz w:val="20"/>
          <w:szCs w:val="20"/>
        </w:rPr>
        <w:t xml:space="preserve">Table </w:t>
      </w:r>
      <w:r w:rsidR="00767507" w:rsidRPr="006112AD">
        <w:rPr>
          <w:rFonts w:ascii="Calibri" w:hAnsi="Calibri" w:cs="Calibri"/>
          <w:sz w:val="20"/>
          <w:szCs w:val="20"/>
        </w:rPr>
        <w:t>4</w:t>
      </w:r>
      <w:r w:rsidR="00227E39">
        <w:rPr>
          <w:rFonts w:ascii="Calibri" w:hAnsi="Calibri" w:cs="Calibri"/>
          <w:sz w:val="20"/>
          <w:szCs w:val="20"/>
        </w:rPr>
        <w:t>:</w:t>
      </w:r>
      <w:r w:rsidRPr="006112AD">
        <w:rPr>
          <w:rFonts w:ascii="Calibri" w:hAnsi="Calibri" w:cs="Calibri"/>
          <w:sz w:val="20"/>
          <w:szCs w:val="20"/>
        </w:rPr>
        <w:t xml:space="preserve"> Descriptive Statistics</w:t>
      </w:r>
      <w:bookmarkEnd w:id="106"/>
    </w:p>
    <w:bookmarkEnd w:id="107"/>
    <w:p w14:paraId="525E72DF" w14:textId="31ACA38E" w:rsidR="0098772B" w:rsidRPr="006112AD" w:rsidRDefault="0098772B" w:rsidP="006112AD">
      <w:pPr>
        <w:spacing w:after="0"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r w:rsidRPr="006112AD">
        <w:rPr>
          <w:rFonts w:ascii="Calibri" w:eastAsiaTheme="majorEastAsia" w:hAnsi="Calibri" w:cs="Calibri"/>
          <w:iCs/>
          <w:sz w:val="20"/>
          <w:szCs w:val="20"/>
        </w:rPr>
        <w:t>, SHT - short holding time, LHT - long holding time.</w:t>
      </w:r>
    </w:p>
    <w:tbl>
      <w:tblPr>
        <w:tblStyle w:val="TableGrid"/>
        <w:tblW w:w="691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9"/>
        <w:gridCol w:w="948"/>
        <w:gridCol w:w="2561"/>
        <w:gridCol w:w="2458"/>
      </w:tblGrid>
      <w:tr w:rsidR="0098772B" w:rsidRPr="006112AD" w14:paraId="316C0DC0" w14:textId="77777777" w:rsidTr="009B30C1">
        <w:trPr>
          <w:trHeight w:val="327"/>
          <w:jc w:val="center"/>
        </w:trPr>
        <w:tc>
          <w:tcPr>
            <w:tcW w:w="949" w:type="dxa"/>
            <w:vAlign w:val="center"/>
          </w:tcPr>
          <w:p w14:paraId="657BA4D3" w14:textId="77777777" w:rsidR="0098772B" w:rsidRPr="006112AD" w:rsidRDefault="0098772B" w:rsidP="006112AD">
            <w:pPr>
              <w:jc w:val="center"/>
              <w:rPr>
                <w:rFonts w:ascii="Calibri" w:hAnsi="Calibri" w:cs="Calibri"/>
                <w:iCs/>
                <w:sz w:val="20"/>
                <w:szCs w:val="20"/>
              </w:rPr>
            </w:pPr>
          </w:p>
        </w:tc>
        <w:tc>
          <w:tcPr>
            <w:tcW w:w="948" w:type="dxa"/>
            <w:vAlign w:val="bottom"/>
          </w:tcPr>
          <w:p w14:paraId="536F19AE"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N</w:t>
            </w:r>
          </w:p>
        </w:tc>
        <w:tc>
          <w:tcPr>
            <w:tcW w:w="2561" w:type="dxa"/>
            <w:vAlign w:val="bottom"/>
          </w:tcPr>
          <w:p w14:paraId="6838F8A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Mean RLC (x10</w:t>
            </w:r>
            <w:r w:rsidRPr="006112AD">
              <w:rPr>
                <w:rFonts w:ascii="Calibri" w:hAnsi="Calibri" w:cs="Calibri"/>
                <w:b/>
                <w:bCs/>
                <w:iCs/>
                <w:sz w:val="20"/>
                <w:szCs w:val="20"/>
                <w:vertAlign w:val="superscript"/>
              </w:rPr>
              <w:t>9</w:t>
            </w:r>
            <w:r w:rsidRPr="006112AD">
              <w:rPr>
                <w:rFonts w:ascii="Calibri" w:hAnsi="Calibri" w:cs="Calibri"/>
                <w:b/>
                <w:bCs/>
                <w:iCs/>
                <w:sz w:val="20"/>
                <w:szCs w:val="20"/>
              </w:rPr>
              <w:t>/L)</w:t>
            </w:r>
          </w:p>
        </w:tc>
        <w:tc>
          <w:tcPr>
            <w:tcW w:w="2458" w:type="dxa"/>
            <w:vAlign w:val="bottom"/>
          </w:tcPr>
          <w:p w14:paraId="6CA92E8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Standard Deviation</w:t>
            </w:r>
          </w:p>
        </w:tc>
      </w:tr>
      <w:tr w:rsidR="0098772B" w:rsidRPr="006112AD" w14:paraId="7317EC15" w14:textId="77777777" w:rsidTr="009B30C1">
        <w:trPr>
          <w:trHeight w:val="327"/>
          <w:jc w:val="center"/>
        </w:trPr>
        <w:tc>
          <w:tcPr>
            <w:tcW w:w="949" w:type="dxa"/>
            <w:vAlign w:val="center"/>
          </w:tcPr>
          <w:p w14:paraId="19584483"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948" w:type="dxa"/>
            <w:vAlign w:val="center"/>
          </w:tcPr>
          <w:p w14:paraId="6A490D2F"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2561" w:type="dxa"/>
            <w:vAlign w:val="center"/>
          </w:tcPr>
          <w:p w14:paraId="0F8BBBB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0.029</w:t>
            </w:r>
          </w:p>
        </w:tc>
        <w:tc>
          <w:tcPr>
            <w:tcW w:w="2458" w:type="dxa"/>
            <w:vAlign w:val="center"/>
          </w:tcPr>
          <w:p w14:paraId="7EADF83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0.040</w:t>
            </w:r>
          </w:p>
        </w:tc>
      </w:tr>
      <w:tr w:rsidR="0098772B" w:rsidRPr="006112AD" w14:paraId="4FB4A054" w14:textId="77777777" w:rsidTr="009B30C1">
        <w:trPr>
          <w:trHeight w:val="327"/>
          <w:jc w:val="center"/>
        </w:trPr>
        <w:tc>
          <w:tcPr>
            <w:tcW w:w="949" w:type="dxa"/>
            <w:tcBorders>
              <w:bottom w:val="single" w:sz="4" w:space="0" w:color="auto"/>
            </w:tcBorders>
            <w:vAlign w:val="center"/>
          </w:tcPr>
          <w:p w14:paraId="77C8D1F1"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948" w:type="dxa"/>
            <w:tcBorders>
              <w:bottom w:val="single" w:sz="4" w:space="0" w:color="auto"/>
            </w:tcBorders>
            <w:vAlign w:val="center"/>
          </w:tcPr>
          <w:p w14:paraId="6E2B158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2561" w:type="dxa"/>
            <w:tcBorders>
              <w:bottom w:val="single" w:sz="4" w:space="0" w:color="auto"/>
            </w:tcBorders>
            <w:vAlign w:val="center"/>
          </w:tcPr>
          <w:p w14:paraId="05E64D3E"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0.013</w:t>
            </w:r>
          </w:p>
        </w:tc>
        <w:tc>
          <w:tcPr>
            <w:tcW w:w="2458" w:type="dxa"/>
            <w:tcBorders>
              <w:bottom w:val="single" w:sz="4" w:space="0" w:color="auto"/>
            </w:tcBorders>
            <w:vAlign w:val="center"/>
          </w:tcPr>
          <w:p w14:paraId="6F2DEB9C"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0.013</w:t>
            </w:r>
          </w:p>
        </w:tc>
      </w:tr>
    </w:tbl>
    <w:p w14:paraId="1B8E4D61" w14:textId="77777777" w:rsidR="004B78CF" w:rsidRPr="006112AD" w:rsidRDefault="004B78CF" w:rsidP="006112AD">
      <w:pPr>
        <w:spacing w:after="0" w:line="240" w:lineRule="auto"/>
        <w:jc w:val="both"/>
        <w:rPr>
          <w:rFonts w:ascii="Calibri" w:hAnsi="Calibri" w:cs="Calibri"/>
          <w:iCs/>
          <w:sz w:val="20"/>
          <w:szCs w:val="20"/>
        </w:rPr>
      </w:pPr>
    </w:p>
    <w:p w14:paraId="2D7BDCB4" w14:textId="4F9B8F27" w:rsidR="0098772B"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The calculated Z scores were used to produce the histograms shown in Figures 3</w:t>
      </w:r>
      <w:r w:rsidR="00705739" w:rsidRPr="006112AD">
        <w:rPr>
          <w:rFonts w:ascii="Calibri" w:hAnsi="Calibri" w:cs="Calibri"/>
          <w:iCs/>
          <w:sz w:val="20"/>
          <w:szCs w:val="20"/>
        </w:rPr>
        <w:t xml:space="preserve"> </w:t>
      </w:r>
      <w:r w:rsidRPr="006112AD">
        <w:rPr>
          <w:rFonts w:ascii="Calibri" w:hAnsi="Calibri" w:cs="Calibri"/>
          <w:iCs/>
          <w:sz w:val="20"/>
          <w:szCs w:val="20"/>
        </w:rPr>
        <w:t xml:space="preserve">and 4, which visually demonstrated that both cohorts had a non-normal distribution of values. In fact, it is evident that both graphs are right-skewed. The same distribution would be observed if the Z score were to be replaced by the RLC of each unit. A threshold of +/- 3 was set to distinguish between statistically normal values, which are within a Z score of +/-3 and outliers which are outside of those limits.   </w:t>
      </w:r>
    </w:p>
    <w:p w14:paraId="0587EAA5" w14:textId="77777777" w:rsidR="00227E39" w:rsidRPr="006112AD" w:rsidRDefault="00227E39" w:rsidP="006112AD">
      <w:pPr>
        <w:spacing w:after="0" w:line="240" w:lineRule="auto"/>
        <w:jc w:val="both"/>
        <w:rPr>
          <w:rFonts w:ascii="Calibri" w:hAnsi="Calibri" w:cs="Calibri"/>
          <w:iCs/>
          <w:sz w:val="20"/>
          <w:szCs w:val="20"/>
        </w:rPr>
      </w:pPr>
    </w:p>
    <w:p w14:paraId="03CEBCD6" w14:textId="62B01E7F" w:rsidR="0098772B" w:rsidRPr="006112AD" w:rsidRDefault="000F73E1" w:rsidP="006112AD">
      <w:pPr>
        <w:spacing w:after="0" w:line="240" w:lineRule="auto"/>
        <w:jc w:val="center"/>
        <w:rPr>
          <w:rFonts w:ascii="Calibri" w:hAnsi="Calibri" w:cs="Calibri"/>
          <w:iCs/>
          <w:sz w:val="20"/>
          <w:szCs w:val="20"/>
        </w:rPr>
      </w:pPr>
      <w:r w:rsidRPr="006B495C">
        <w:rPr>
          <w:rFonts w:ascii="Calibri" w:hAnsi="Calibri" w:cs="Calibri"/>
          <w:iCs/>
          <w:noProof/>
          <w:sz w:val="20"/>
          <w:szCs w:val="20"/>
        </w:rPr>
        <w:drawing>
          <wp:inline distT="0" distB="0" distL="0" distR="0" wp14:anchorId="198EE20E" wp14:editId="1982E67D">
            <wp:extent cx="3330222" cy="2115610"/>
            <wp:effectExtent l="0" t="0" r="3810" b="0"/>
            <wp:docPr id="343043957"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3957" name="Picture 1" descr="A graph with blue bars&#10;&#10;AI-generated content may be incorrect."/>
                    <pic:cNvPicPr/>
                  </pic:nvPicPr>
                  <pic:blipFill>
                    <a:blip r:embed="rId10"/>
                    <a:stretch>
                      <a:fillRect/>
                    </a:stretch>
                  </pic:blipFill>
                  <pic:spPr>
                    <a:xfrm>
                      <a:off x="0" y="0"/>
                      <a:ext cx="3374575" cy="2143787"/>
                    </a:xfrm>
                    <a:prstGeom prst="rect">
                      <a:avLst/>
                    </a:prstGeom>
                  </pic:spPr>
                </pic:pic>
              </a:graphicData>
            </a:graphic>
          </wp:inline>
        </w:drawing>
      </w:r>
    </w:p>
    <w:p w14:paraId="2D2F103F" w14:textId="1DCFA4A2" w:rsidR="0098772B" w:rsidRPr="006112AD" w:rsidRDefault="0098772B" w:rsidP="006112AD">
      <w:pPr>
        <w:pStyle w:val="FigureHeading"/>
        <w:spacing w:line="240" w:lineRule="auto"/>
        <w:rPr>
          <w:rFonts w:ascii="Calibri" w:hAnsi="Calibri" w:cs="Calibri"/>
          <w:sz w:val="20"/>
          <w:szCs w:val="20"/>
        </w:rPr>
      </w:pPr>
      <w:bookmarkStart w:id="108" w:name="_Toc198711475"/>
      <w:bookmarkStart w:id="109" w:name="_Hlk198378360"/>
      <w:bookmarkStart w:id="110" w:name="_Hlk193297203"/>
      <w:r w:rsidRPr="006112AD">
        <w:rPr>
          <w:rFonts w:ascii="Calibri" w:hAnsi="Calibri" w:cs="Calibri"/>
          <w:sz w:val="20"/>
          <w:szCs w:val="20"/>
        </w:rPr>
        <w:t>Figure 3: Z-score distribution (SHT)</w:t>
      </w:r>
      <w:bookmarkEnd w:id="108"/>
    </w:p>
    <w:bookmarkEnd w:id="109"/>
    <w:bookmarkEnd w:id="110"/>
    <w:p w14:paraId="23D43F10"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r w:rsidRPr="006112AD">
        <w:rPr>
          <w:rFonts w:ascii="Calibri" w:eastAsiaTheme="majorEastAsia" w:hAnsi="Calibri" w:cs="Calibri"/>
          <w:iCs/>
          <w:sz w:val="20"/>
          <w:szCs w:val="20"/>
        </w:rPr>
        <w:t>, SHT - short holding time.</w:t>
      </w:r>
    </w:p>
    <w:p w14:paraId="20840116" w14:textId="77777777" w:rsidR="0098772B" w:rsidRPr="006112AD" w:rsidRDefault="0098772B" w:rsidP="006112AD">
      <w:pPr>
        <w:spacing w:line="240" w:lineRule="auto"/>
        <w:jc w:val="center"/>
        <w:rPr>
          <w:rFonts w:ascii="Calibri" w:eastAsiaTheme="majorEastAsia" w:hAnsi="Calibri" w:cs="Calibri"/>
          <w:iCs/>
          <w:sz w:val="20"/>
          <w:szCs w:val="20"/>
        </w:rPr>
      </w:pPr>
    </w:p>
    <w:p w14:paraId="51ED0606" w14:textId="77777777" w:rsidR="0098772B" w:rsidRPr="006112AD" w:rsidRDefault="0098772B" w:rsidP="006112AD">
      <w:pPr>
        <w:spacing w:after="0" w:line="240" w:lineRule="auto"/>
        <w:jc w:val="center"/>
        <w:rPr>
          <w:rFonts w:ascii="Calibri" w:hAnsi="Calibri" w:cs="Calibri"/>
          <w:iCs/>
          <w:sz w:val="20"/>
          <w:szCs w:val="20"/>
        </w:rPr>
      </w:pPr>
    </w:p>
    <w:p w14:paraId="0D0CFBBC" w14:textId="77BA3ABC" w:rsidR="0098772B" w:rsidRPr="006112AD" w:rsidRDefault="00E54B03" w:rsidP="006112AD">
      <w:pPr>
        <w:spacing w:after="0" w:line="240" w:lineRule="auto"/>
        <w:jc w:val="center"/>
        <w:rPr>
          <w:rFonts w:ascii="Calibri" w:hAnsi="Calibri" w:cs="Calibri"/>
          <w:iCs/>
          <w:sz w:val="20"/>
          <w:szCs w:val="20"/>
        </w:rPr>
      </w:pPr>
      <w:r w:rsidRPr="006B495C">
        <w:rPr>
          <w:rFonts w:ascii="Calibri" w:hAnsi="Calibri" w:cs="Calibri"/>
          <w:iCs/>
          <w:noProof/>
          <w:sz w:val="20"/>
          <w:szCs w:val="20"/>
        </w:rPr>
        <w:drawing>
          <wp:inline distT="0" distB="0" distL="0" distR="0" wp14:anchorId="3E6C306A" wp14:editId="578A1E8F">
            <wp:extent cx="3454400" cy="2194497"/>
            <wp:effectExtent l="0" t="0" r="0" b="0"/>
            <wp:docPr id="2026003615"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03615" name="Picture 1" descr="A graph with blue bars&#10;&#10;AI-generated content may be incorrect."/>
                    <pic:cNvPicPr/>
                  </pic:nvPicPr>
                  <pic:blipFill>
                    <a:blip r:embed="rId11"/>
                    <a:stretch>
                      <a:fillRect/>
                    </a:stretch>
                  </pic:blipFill>
                  <pic:spPr>
                    <a:xfrm>
                      <a:off x="0" y="0"/>
                      <a:ext cx="3469895" cy="2204341"/>
                    </a:xfrm>
                    <a:prstGeom prst="rect">
                      <a:avLst/>
                    </a:prstGeom>
                  </pic:spPr>
                </pic:pic>
              </a:graphicData>
            </a:graphic>
          </wp:inline>
        </w:drawing>
      </w:r>
    </w:p>
    <w:p w14:paraId="73C0984E" w14:textId="3C947232" w:rsidR="0098772B" w:rsidRPr="006112AD" w:rsidRDefault="0098772B" w:rsidP="006112AD">
      <w:pPr>
        <w:pStyle w:val="FigureHeading"/>
        <w:spacing w:line="240" w:lineRule="auto"/>
        <w:rPr>
          <w:rFonts w:ascii="Calibri" w:hAnsi="Calibri" w:cs="Calibri"/>
          <w:sz w:val="20"/>
          <w:szCs w:val="20"/>
        </w:rPr>
      </w:pPr>
      <w:bookmarkStart w:id="111" w:name="_Toc198711476"/>
      <w:bookmarkStart w:id="112" w:name="_Hlk198378369"/>
      <w:r w:rsidRPr="006112AD">
        <w:rPr>
          <w:rFonts w:ascii="Calibri" w:hAnsi="Calibri" w:cs="Calibri"/>
          <w:sz w:val="20"/>
          <w:szCs w:val="20"/>
        </w:rPr>
        <w:t>Figure 4: Z-score Distribution (LHT)</w:t>
      </w:r>
      <w:bookmarkEnd w:id="111"/>
    </w:p>
    <w:bookmarkEnd w:id="112"/>
    <w:p w14:paraId="3DB78F65"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r w:rsidRPr="006112AD">
        <w:rPr>
          <w:rFonts w:ascii="Calibri" w:eastAsiaTheme="majorEastAsia" w:hAnsi="Calibri" w:cs="Calibri"/>
          <w:iCs/>
          <w:sz w:val="20"/>
          <w:szCs w:val="20"/>
        </w:rPr>
        <w:t>, LHT - long holding time.</w:t>
      </w:r>
    </w:p>
    <w:p w14:paraId="4865AF0F" w14:textId="33E24BBB" w:rsidR="0098772B" w:rsidRPr="006112AD"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The probability that the Z score exceeded the threshold of -/+3 by chance was calculated using the function </w:t>
      </w:r>
      <w:proofErr w:type="gramStart"/>
      <w:r w:rsidRPr="006112AD">
        <w:rPr>
          <w:rFonts w:ascii="Calibri" w:hAnsi="Calibri" w:cs="Calibri"/>
          <w:iCs/>
          <w:sz w:val="20"/>
          <w:szCs w:val="20"/>
        </w:rPr>
        <w:t>NORM.S.DIST</w:t>
      </w:r>
      <w:proofErr w:type="gramEnd"/>
      <w:r w:rsidRPr="006112AD">
        <w:rPr>
          <w:rFonts w:ascii="Calibri" w:hAnsi="Calibri" w:cs="Calibri"/>
          <w:iCs/>
          <w:sz w:val="20"/>
          <w:szCs w:val="20"/>
        </w:rPr>
        <w:t xml:space="preserve"> in excel and resulted to be 0.0027 (0.00135 x 2), or 2 in 1000. This probability is measured by calculating the area under the graph of the unshaded areas as shown in Figure 5 on both ends of the curve. </w:t>
      </w:r>
    </w:p>
    <w:p w14:paraId="5791548F" w14:textId="764D4861" w:rsidR="0098772B"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The fact that in 100 observations, 3 Z scores exceeded 3 (3%) for units with a SHT indicates that they are outliers. For units with </w:t>
      </w:r>
      <w:proofErr w:type="gramStart"/>
      <w:r w:rsidRPr="006112AD">
        <w:rPr>
          <w:rFonts w:ascii="Calibri" w:hAnsi="Calibri" w:cs="Calibri"/>
          <w:iCs/>
          <w:sz w:val="20"/>
          <w:szCs w:val="20"/>
        </w:rPr>
        <w:t>a</w:t>
      </w:r>
      <w:proofErr w:type="gramEnd"/>
      <w:r w:rsidRPr="006112AD">
        <w:rPr>
          <w:rFonts w:ascii="Calibri" w:hAnsi="Calibri" w:cs="Calibri"/>
          <w:iCs/>
          <w:sz w:val="20"/>
          <w:szCs w:val="20"/>
        </w:rPr>
        <w:t xml:space="preserve"> LHT, only 1 outlier was identified in 100 observations (1%).  These outliers can be seen on the far right of the histograms in Figures 3 and 4. All other values were within the Z score values of -3 and 3.</w:t>
      </w:r>
    </w:p>
    <w:p w14:paraId="334A0DCC" w14:textId="77777777" w:rsidR="000462D0" w:rsidRPr="006112AD" w:rsidRDefault="000462D0" w:rsidP="006112AD">
      <w:pPr>
        <w:spacing w:after="0" w:line="240" w:lineRule="auto"/>
        <w:jc w:val="both"/>
        <w:rPr>
          <w:rFonts w:ascii="Calibri" w:hAnsi="Calibri" w:cs="Calibri"/>
          <w:iCs/>
          <w:sz w:val="20"/>
          <w:szCs w:val="20"/>
        </w:rPr>
      </w:pPr>
    </w:p>
    <w:p w14:paraId="7D65DAFF" w14:textId="0C9B8122" w:rsidR="0098772B" w:rsidRPr="006112AD" w:rsidRDefault="00375A3B" w:rsidP="006112AD">
      <w:pPr>
        <w:spacing w:after="0" w:line="240" w:lineRule="auto"/>
        <w:jc w:val="center"/>
        <w:rPr>
          <w:rFonts w:ascii="Calibri" w:hAnsi="Calibri" w:cs="Calibri"/>
          <w:iCs/>
          <w:sz w:val="20"/>
          <w:szCs w:val="20"/>
        </w:rPr>
      </w:pPr>
      <w:r w:rsidRPr="006112AD">
        <w:rPr>
          <w:rFonts w:ascii="Calibri" w:hAnsi="Calibri" w:cs="Calibri"/>
          <w:iCs/>
          <w:noProof/>
          <w:sz w:val="20"/>
          <w:szCs w:val="20"/>
        </w:rPr>
        <w:lastRenderedPageBreak/>
        <mc:AlternateContent>
          <mc:Choice Requires="wps">
            <w:drawing>
              <wp:anchor distT="0" distB="0" distL="114300" distR="114300" simplePos="0" relativeHeight="251672576" behindDoc="0" locked="0" layoutInCell="1" allowOverlap="1" wp14:anchorId="01FE84C4" wp14:editId="46EEBD8D">
                <wp:simplePos x="0" y="0"/>
                <wp:positionH relativeFrom="column">
                  <wp:posOffset>1867535</wp:posOffset>
                </wp:positionH>
                <wp:positionV relativeFrom="paragraph">
                  <wp:posOffset>1812290</wp:posOffset>
                </wp:positionV>
                <wp:extent cx="0" cy="194310"/>
                <wp:effectExtent l="0" t="0" r="38100" b="15240"/>
                <wp:wrapNone/>
                <wp:docPr id="453985250" name="Straight Connector 4"/>
                <wp:cNvGraphicFramePr/>
                <a:graphic xmlns:a="http://schemas.openxmlformats.org/drawingml/2006/main">
                  <a:graphicData uri="http://schemas.microsoft.com/office/word/2010/wordprocessingShape">
                    <wps:wsp>
                      <wps:cNvCnPr/>
                      <wps:spPr>
                        <a:xfrm flipV="1">
                          <a:off x="0" y="0"/>
                          <a:ext cx="0" cy="1943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6778C1" id="Straight Connector 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7.05pt,142.7pt" to="147.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" strokecolor="black [3200]" strokeweight="1pt">
                <v:stroke joinstyle="miter"/>
              </v:line>
            </w:pict>
          </mc:Fallback>
        </mc:AlternateContent>
      </w:r>
      <w:r w:rsidRPr="006112AD">
        <w:rPr>
          <w:rFonts w:ascii="Calibri" w:hAnsi="Calibri" w:cs="Calibri"/>
          <w:iCs/>
          <w:noProof/>
          <w:sz w:val="20"/>
          <w:szCs w:val="20"/>
        </w:rPr>
        <mc:AlternateContent>
          <mc:Choice Requires="wps">
            <w:drawing>
              <wp:anchor distT="0" distB="0" distL="114300" distR="114300" simplePos="0" relativeHeight="251673600" behindDoc="0" locked="0" layoutInCell="1" allowOverlap="1" wp14:anchorId="6B15EC3A" wp14:editId="33D3062C">
                <wp:simplePos x="0" y="0"/>
                <wp:positionH relativeFrom="column">
                  <wp:posOffset>4171950</wp:posOffset>
                </wp:positionH>
                <wp:positionV relativeFrom="paragraph">
                  <wp:posOffset>1817733</wp:posOffset>
                </wp:positionV>
                <wp:extent cx="0" cy="194310"/>
                <wp:effectExtent l="0" t="0" r="38100" b="15240"/>
                <wp:wrapNone/>
                <wp:docPr id="632967032" name="Straight Connector 4"/>
                <wp:cNvGraphicFramePr/>
                <a:graphic xmlns:a="http://schemas.openxmlformats.org/drawingml/2006/main">
                  <a:graphicData uri="http://schemas.microsoft.com/office/word/2010/wordprocessingShape">
                    <wps:wsp>
                      <wps:cNvCnPr/>
                      <wps:spPr>
                        <a:xfrm flipV="1">
                          <a:off x="0" y="0"/>
                          <a:ext cx="0" cy="1943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286728" id="Straight Connector 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28.5pt,143.15pt" to="328.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" strokecolor="black [3200]" strokeweight="1pt">
                <v:stroke joinstyle="miter"/>
              </v:line>
            </w:pict>
          </mc:Fallback>
        </mc:AlternateContent>
      </w:r>
      <w:r w:rsidRPr="006112AD">
        <w:rPr>
          <w:rFonts w:ascii="Calibri" w:hAnsi="Calibri" w:cs="Calibri"/>
          <w:iCs/>
          <w:noProof/>
          <w:sz w:val="20"/>
          <w:szCs w:val="20"/>
        </w:rPr>
        <mc:AlternateContent>
          <mc:Choice Requires="wps">
            <w:drawing>
              <wp:anchor distT="45720" distB="45720" distL="114300" distR="114300" simplePos="0" relativeHeight="251671552" behindDoc="0" locked="0" layoutInCell="1" allowOverlap="1" wp14:anchorId="6FA89722" wp14:editId="44B5B245">
                <wp:simplePos x="0" y="0"/>
                <wp:positionH relativeFrom="column">
                  <wp:posOffset>3869690</wp:posOffset>
                </wp:positionH>
                <wp:positionV relativeFrom="paragraph">
                  <wp:posOffset>1418953</wp:posOffset>
                </wp:positionV>
                <wp:extent cx="805815" cy="440055"/>
                <wp:effectExtent l="0" t="0" r="0" b="0"/>
                <wp:wrapNone/>
                <wp:docPr id="366888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40055"/>
                        </a:xfrm>
                        <a:prstGeom prst="rect">
                          <a:avLst/>
                        </a:prstGeom>
                        <a:noFill/>
                        <a:ln w="9525">
                          <a:noFill/>
                          <a:miter lim="800000"/>
                          <a:headEnd/>
                          <a:tailEnd/>
                        </a:ln>
                      </wps:spPr>
                      <wps:txbx>
                        <w:txbxContent>
                          <w:p w14:paraId="29DC7A03" w14:textId="3169C92A" w:rsidR="0098772B" w:rsidRPr="009B30C1" w:rsidRDefault="0098772B" w:rsidP="00FD1FB0">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89722" id="_x0000_t202" coordsize="21600,21600" o:spt="202" path="m,l,21600r21600,l21600,xe">
                <v:stroke joinstyle="miter"/>
                <v:path gradientshapeok="t" o:connecttype="rect"/>
              </v:shapetype>
              <v:shape id="Text Box 2" o:spid="_x0000_s1026" type="#_x0000_t202" style="position:absolute;left:0;text-align:left;margin-left:304.7pt;margin-top:111.75pt;width:63.45pt;height:34.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" filled="f" stroked="f">
                <v:textbox>
                  <w:txbxContent>
                    <w:p w14:paraId="29DC7A03" w14:textId="3169C92A" w:rsidR="0098772B" w:rsidRPr="009B30C1" w:rsidRDefault="0098772B" w:rsidP="00FD1FB0">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v:textbox>
              </v:shape>
            </w:pict>
          </mc:Fallback>
        </mc:AlternateContent>
      </w:r>
      <w:r w:rsidR="005178DA" w:rsidRPr="006112AD">
        <w:rPr>
          <w:rFonts w:ascii="Calibri" w:hAnsi="Calibri" w:cs="Calibri"/>
          <w:iCs/>
          <w:noProof/>
          <w:sz w:val="20"/>
          <w:szCs w:val="20"/>
        </w:rPr>
        <mc:AlternateContent>
          <mc:Choice Requires="wps">
            <w:drawing>
              <wp:anchor distT="45720" distB="45720" distL="114300" distR="114300" simplePos="0" relativeHeight="251670528" behindDoc="0" locked="0" layoutInCell="1" allowOverlap="1" wp14:anchorId="1E3552D8" wp14:editId="3DF3E3D5">
                <wp:simplePos x="0" y="0"/>
                <wp:positionH relativeFrom="column">
                  <wp:posOffset>1552575</wp:posOffset>
                </wp:positionH>
                <wp:positionV relativeFrom="paragraph">
                  <wp:posOffset>1423670</wp:posOffset>
                </wp:positionV>
                <wp:extent cx="805815" cy="440055"/>
                <wp:effectExtent l="0" t="0" r="0" b="0"/>
                <wp:wrapNone/>
                <wp:docPr id="466278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40055"/>
                        </a:xfrm>
                        <a:prstGeom prst="rect">
                          <a:avLst/>
                        </a:prstGeom>
                        <a:noFill/>
                        <a:ln w="9525">
                          <a:noFill/>
                          <a:miter lim="800000"/>
                          <a:headEnd/>
                          <a:tailEnd/>
                        </a:ln>
                      </wps:spPr>
                      <wps:txbx>
                        <w:txbxContent>
                          <w:p w14:paraId="324CF4B1" w14:textId="256F8D53" w:rsidR="0098772B" w:rsidRPr="009B30C1" w:rsidRDefault="0098772B">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552D8" id="_x0000_s1027" type="#_x0000_t202" style="position:absolute;left:0;text-align:left;margin-left:122.25pt;margin-top:112.1pt;width:63.45pt;height:34.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" filled="f" stroked="f">
                <v:textbox>
                  <w:txbxContent>
                    <w:p w14:paraId="324CF4B1" w14:textId="256F8D53" w:rsidR="0098772B" w:rsidRPr="009B30C1" w:rsidRDefault="0098772B">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v:textbox>
              </v:shape>
            </w:pict>
          </mc:Fallback>
        </mc:AlternateContent>
      </w:r>
      <w:r w:rsidR="0098772B" w:rsidRPr="006112AD">
        <w:rPr>
          <w:rFonts w:ascii="Calibri" w:hAnsi="Calibri" w:cs="Calibri"/>
          <w:noProof/>
          <w:sz w:val="20"/>
          <w:szCs w:val="20"/>
        </w:rPr>
        <w:drawing>
          <wp:inline distT="0" distB="0" distL="0" distR="0" wp14:anchorId="293D573A" wp14:editId="50783E3E">
            <wp:extent cx="3447336" cy="2295805"/>
            <wp:effectExtent l="0" t="0" r="1270" b="0"/>
            <wp:docPr id="235032879" name="Picture 3" descr="A red and blue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32879" name="Picture 3" descr="A red and blue curv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487724" cy="2322702"/>
                    </a:xfrm>
                    <a:prstGeom prst="rect">
                      <a:avLst/>
                    </a:prstGeom>
                    <a:noFill/>
                    <a:ln>
                      <a:noFill/>
                    </a:ln>
                    <a:extLst>
                      <a:ext uri="{53640926-AAD7-44D8-BBD7-CCE9431645EC}">
                        <a14:shadowObscured xmlns:a14="http://schemas.microsoft.com/office/drawing/2010/main"/>
                      </a:ext>
                    </a:extLst>
                  </pic:spPr>
                </pic:pic>
              </a:graphicData>
            </a:graphic>
          </wp:inline>
        </w:drawing>
      </w:r>
    </w:p>
    <w:p w14:paraId="478F5BCD" w14:textId="4F3CDA56" w:rsidR="0098772B" w:rsidRPr="006112AD" w:rsidRDefault="0098772B" w:rsidP="006112AD">
      <w:pPr>
        <w:pStyle w:val="FigureHeading"/>
        <w:spacing w:line="240" w:lineRule="auto"/>
        <w:rPr>
          <w:rFonts w:ascii="Calibri" w:hAnsi="Calibri" w:cs="Calibri"/>
          <w:sz w:val="20"/>
          <w:szCs w:val="20"/>
        </w:rPr>
      </w:pPr>
      <w:bookmarkStart w:id="113" w:name="_Toc198711477"/>
      <w:bookmarkStart w:id="114" w:name="_Hlk198378380"/>
      <w:r w:rsidRPr="006112AD">
        <w:rPr>
          <w:rFonts w:ascii="Calibri" w:hAnsi="Calibri" w:cs="Calibri"/>
          <w:sz w:val="20"/>
          <w:szCs w:val="20"/>
        </w:rPr>
        <w:t>Figure 5: Normal Distribution Curve</w:t>
      </w:r>
      <w:bookmarkEnd w:id="113"/>
    </w:p>
    <w:bookmarkEnd w:id="114"/>
    <w:p w14:paraId="70D6A5FC" w14:textId="2649E63E" w:rsidR="003E5915" w:rsidRPr="006112AD" w:rsidRDefault="0098772B" w:rsidP="000462D0">
      <w:pPr>
        <w:spacing w:after="0" w:line="240" w:lineRule="auto"/>
        <w:jc w:val="center"/>
        <w:rPr>
          <w:rFonts w:ascii="Calibri" w:hAnsi="Calibri" w:cs="Calibri"/>
          <w:iCs/>
          <w:sz w:val="20"/>
          <w:szCs w:val="20"/>
        </w:rPr>
      </w:pPr>
      <w:r w:rsidRPr="006112AD">
        <w:rPr>
          <w:rFonts w:ascii="Calibri" w:hAnsi="Calibri" w:cs="Calibri"/>
          <w:iCs/>
          <w:sz w:val="20"/>
          <w:szCs w:val="20"/>
        </w:rPr>
        <w:t>Normal distribution curve to demonstrate how the probability that values will have a Z-score above or below a certain threshold, in this case +/-3 is calculated. These outliers would be found in the unshaded areas. The total probability would be the p-value multiplied by 2 to add both ends of the curve, thus 0.0027 (0.00135 x 2) in this case.</w:t>
      </w:r>
    </w:p>
    <w:p w14:paraId="76519A99" w14:textId="5F1D5189" w:rsidR="004B78CF" w:rsidRPr="006112AD"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As can be seen in Table </w:t>
      </w:r>
      <w:r w:rsidR="004974F8" w:rsidRPr="006112AD">
        <w:rPr>
          <w:rFonts w:ascii="Calibri" w:hAnsi="Calibri" w:cs="Calibri"/>
          <w:iCs/>
          <w:sz w:val="20"/>
          <w:szCs w:val="20"/>
        </w:rPr>
        <w:t>5</w:t>
      </w:r>
      <w:r w:rsidRPr="006112AD">
        <w:rPr>
          <w:rFonts w:ascii="Calibri" w:hAnsi="Calibri" w:cs="Calibri"/>
          <w:iCs/>
          <w:sz w:val="20"/>
          <w:szCs w:val="20"/>
        </w:rPr>
        <w:t xml:space="preserve">, the p-values for both RLC cohorts resulted to be &lt;0.001 with regards to RLC. Since the p-values were less than the 0.05 level of significance, the null hypothesis, which assumed a normal data distribution, was rejected and this confirmed that both cohorts followed a non-normal distribution. </w:t>
      </w:r>
    </w:p>
    <w:p w14:paraId="5E040A9B" w14:textId="77777777" w:rsidR="0098772B" w:rsidRPr="006112AD" w:rsidRDefault="0098772B" w:rsidP="006112AD">
      <w:pPr>
        <w:spacing w:after="0" w:line="240" w:lineRule="auto"/>
        <w:jc w:val="both"/>
        <w:rPr>
          <w:rFonts w:ascii="Calibri" w:hAnsi="Calibri" w:cs="Calibri"/>
          <w:iCs/>
          <w:sz w:val="20"/>
          <w:szCs w:val="20"/>
        </w:rPr>
      </w:pPr>
    </w:p>
    <w:p w14:paraId="198A89BD" w14:textId="300B3F59" w:rsidR="0098772B" w:rsidRPr="006112AD" w:rsidRDefault="0098772B" w:rsidP="006112AD">
      <w:pPr>
        <w:pStyle w:val="TableHeading"/>
        <w:spacing w:line="240" w:lineRule="auto"/>
        <w:rPr>
          <w:rFonts w:ascii="Calibri" w:hAnsi="Calibri" w:cs="Calibri"/>
          <w:sz w:val="20"/>
          <w:szCs w:val="20"/>
        </w:rPr>
      </w:pPr>
      <w:bookmarkStart w:id="115" w:name="_Toc198711784"/>
      <w:r w:rsidRPr="006112AD">
        <w:rPr>
          <w:rFonts w:ascii="Calibri" w:hAnsi="Calibri" w:cs="Calibri"/>
          <w:sz w:val="20"/>
          <w:szCs w:val="20"/>
        </w:rPr>
        <w:t xml:space="preserve">Table </w:t>
      </w:r>
      <w:r w:rsidR="004974F8" w:rsidRPr="006112AD">
        <w:rPr>
          <w:rFonts w:ascii="Calibri" w:hAnsi="Calibri" w:cs="Calibri"/>
          <w:sz w:val="20"/>
          <w:szCs w:val="20"/>
        </w:rPr>
        <w:t>5</w:t>
      </w:r>
      <w:r w:rsidRPr="006112AD">
        <w:rPr>
          <w:rFonts w:ascii="Calibri" w:hAnsi="Calibri" w:cs="Calibri"/>
          <w:sz w:val="20"/>
          <w:szCs w:val="20"/>
        </w:rPr>
        <w:t>: Test of Normalit</w:t>
      </w:r>
      <w:r w:rsidR="00107B2B" w:rsidRPr="006112AD">
        <w:rPr>
          <w:rFonts w:ascii="Calibri" w:hAnsi="Calibri" w:cs="Calibri"/>
          <w:sz w:val="20"/>
          <w:szCs w:val="20"/>
        </w:rPr>
        <w:t>y</w:t>
      </w:r>
      <w:bookmarkEnd w:id="115"/>
    </w:p>
    <w:p w14:paraId="72D2E595" w14:textId="1D2CB32A"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The p-value obtained was &lt;0.001 for both cohorts, therefore smaller than the 0.05 level of significance, showing that both data distributions were non-normal.</w:t>
      </w:r>
    </w:p>
    <w:p w14:paraId="1FBE81BD" w14:textId="74CF5C4B"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RLC - Residual leucocyte count, SHT - Short holding time, LHT - Long holding time.</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3"/>
        <w:gridCol w:w="1309"/>
        <w:gridCol w:w="1309"/>
        <w:gridCol w:w="1310"/>
      </w:tblGrid>
      <w:tr w:rsidR="0098772B" w:rsidRPr="006112AD" w14:paraId="7E169E6A" w14:textId="77777777" w:rsidTr="009B30C1">
        <w:trPr>
          <w:trHeight w:val="122"/>
          <w:jc w:val="center"/>
        </w:trPr>
        <w:tc>
          <w:tcPr>
            <w:tcW w:w="993" w:type="dxa"/>
            <w:vAlign w:val="bottom"/>
          </w:tcPr>
          <w:p w14:paraId="6A83E5D5" w14:textId="77777777" w:rsidR="0098772B" w:rsidRPr="006112AD" w:rsidRDefault="0098772B" w:rsidP="006112AD">
            <w:pPr>
              <w:jc w:val="center"/>
              <w:rPr>
                <w:rFonts w:ascii="Calibri" w:hAnsi="Calibri" w:cs="Calibri"/>
                <w:iCs/>
                <w:sz w:val="20"/>
                <w:szCs w:val="20"/>
              </w:rPr>
            </w:pPr>
          </w:p>
        </w:tc>
        <w:tc>
          <w:tcPr>
            <w:tcW w:w="3928" w:type="dxa"/>
            <w:gridSpan w:val="3"/>
          </w:tcPr>
          <w:p w14:paraId="611502B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Shapiro-Wilk</w:t>
            </w:r>
          </w:p>
        </w:tc>
      </w:tr>
      <w:tr w:rsidR="0098772B" w:rsidRPr="006112AD" w14:paraId="048DED83" w14:textId="77777777" w:rsidTr="009B30C1">
        <w:trPr>
          <w:trHeight w:val="122"/>
          <w:jc w:val="center"/>
        </w:trPr>
        <w:tc>
          <w:tcPr>
            <w:tcW w:w="993" w:type="dxa"/>
            <w:vAlign w:val="bottom"/>
          </w:tcPr>
          <w:p w14:paraId="44C84A95" w14:textId="77777777" w:rsidR="0098772B" w:rsidRPr="006112AD" w:rsidRDefault="0098772B" w:rsidP="006112AD">
            <w:pPr>
              <w:jc w:val="center"/>
              <w:rPr>
                <w:rFonts w:ascii="Calibri" w:hAnsi="Calibri" w:cs="Calibri"/>
                <w:iCs/>
                <w:sz w:val="20"/>
                <w:szCs w:val="20"/>
              </w:rPr>
            </w:pPr>
          </w:p>
        </w:tc>
        <w:tc>
          <w:tcPr>
            <w:tcW w:w="1309" w:type="dxa"/>
            <w:vAlign w:val="bottom"/>
          </w:tcPr>
          <w:p w14:paraId="52E21C8E"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Statistic</w:t>
            </w:r>
          </w:p>
        </w:tc>
        <w:tc>
          <w:tcPr>
            <w:tcW w:w="1309" w:type="dxa"/>
            <w:vAlign w:val="center"/>
          </w:tcPr>
          <w:p w14:paraId="476E590A"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df</w:t>
            </w:r>
          </w:p>
        </w:tc>
        <w:tc>
          <w:tcPr>
            <w:tcW w:w="1310" w:type="dxa"/>
            <w:vAlign w:val="center"/>
          </w:tcPr>
          <w:p w14:paraId="6F5AAC39" w14:textId="5BA60AA1"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r>
      <w:tr w:rsidR="0098772B" w:rsidRPr="006112AD" w14:paraId="5DE1BD4C" w14:textId="77777777" w:rsidTr="009B30C1">
        <w:trPr>
          <w:trHeight w:val="317"/>
          <w:jc w:val="center"/>
        </w:trPr>
        <w:tc>
          <w:tcPr>
            <w:tcW w:w="993" w:type="dxa"/>
            <w:vAlign w:val="center"/>
          </w:tcPr>
          <w:p w14:paraId="53DD762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309" w:type="dxa"/>
            <w:vAlign w:val="center"/>
          </w:tcPr>
          <w:p w14:paraId="720AC5E1"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0.535</w:t>
            </w:r>
          </w:p>
        </w:tc>
        <w:tc>
          <w:tcPr>
            <w:tcW w:w="1309" w:type="dxa"/>
            <w:vAlign w:val="center"/>
          </w:tcPr>
          <w:p w14:paraId="2256316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310" w:type="dxa"/>
            <w:vAlign w:val="center"/>
          </w:tcPr>
          <w:p w14:paraId="5FB27FE7"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r w:rsidR="0098772B" w:rsidRPr="006112AD" w14:paraId="46E40E59" w14:textId="77777777" w:rsidTr="009B30C1">
        <w:trPr>
          <w:trHeight w:val="318"/>
          <w:jc w:val="center"/>
        </w:trPr>
        <w:tc>
          <w:tcPr>
            <w:tcW w:w="993" w:type="dxa"/>
            <w:tcBorders>
              <w:bottom w:val="single" w:sz="4" w:space="0" w:color="auto"/>
            </w:tcBorders>
            <w:vAlign w:val="center"/>
          </w:tcPr>
          <w:p w14:paraId="3827FA8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309" w:type="dxa"/>
            <w:tcBorders>
              <w:bottom w:val="single" w:sz="4" w:space="0" w:color="auto"/>
            </w:tcBorders>
            <w:vAlign w:val="center"/>
          </w:tcPr>
          <w:p w14:paraId="70C2F8C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0.691</w:t>
            </w:r>
          </w:p>
        </w:tc>
        <w:tc>
          <w:tcPr>
            <w:tcW w:w="1309" w:type="dxa"/>
            <w:tcBorders>
              <w:bottom w:val="single" w:sz="4" w:space="0" w:color="auto"/>
            </w:tcBorders>
            <w:vAlign w:val="center"/>
          </w:tcPr>
          <w:p w14:paraId="02CF3EDE"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310" w:type="dxa"/>
            <w:tcBorders>
              <w:bottom w:val="single" w:sz="4" w:space="0" w:color="auto"/>
            </w:tcBorders>
            <w:vAlign w:val="center"/>
          </w:tcPr>
          <w:p w14:paraId="63AB8A43"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bl>
    <w:p w14:paraId="434E6D09" w14:textId="77777777" w:rsidR="0098772B" w:rsidRPr="006112AD" w:rsidRDefault="0098772B" w:rsidP="006112AD">
      <w:pPr>
        <w:spacing w:after="0" w:line="240" w:lineRule="auto"/>
        <w:rPr>
          <w:rFonts w:ascii="Calibri" w:hAnsi="Calibri" w:cs="Calibri"/>
          <w:b/>
          <w:bCs/>
          <w:iCs/>
          <w:sz w:val="20"/>
          <w:szCs w:val="20"/>
        </w:rPr>
      </w:pPr>
    </w:p>
    <w:p w14:paraId="0401AEB7" w14:textId="06F80512" w:rsidR="0098772B" w:rsidRPr="006112AD" w:rsidRDefault="0098772B" w:rsidP="006112AD">
      <w:pPr>
        <w:spacing w:before="240" w:after="0" w:line="240" w:lineRule="auto"/>
        <w:jc w:val="both"/>
        <w:rPr>
          <w:rFonts w:ascii="Calibri" w:hAnsi="Calibri" w:cs="Calibri"/>
          <w:iCs/>
          <w:sz w:val="20"/>
          <w:szCs w:val="20"/>
        </w:rPr>
      </w:pPr>
      <w:r w:rsidRPr="006112AD">
        <w:rPr>
          <w:rFonts w:ascii="Calibri" w:hAnsi="Calibri" w:cs="Calibri"/>
          <w:iCs/>
          <w:sz w:val="20"/>
          <w:szCs w:val="20"/>
        </w:rPr>
        <w:t xml:space="preserve">The Mann-Whitney test also showed a p-value of &lt;0.05 when comparing the two cohorts as can be seen in Table </w:t>
      </w:r>
      <w:r w:rsidR="004974F8" w:rsidRPr="006112AD">
        <w:rPr>
          <w:rFonts w:ascii="Calibri" w:hAnsi="Calibri" w:cs="Calibri"/>
          <w:iCs/>
          <w:sz w:val="20"/>
          <w:szCs w:val="20"/>
        </w:rPr>
        <w:t>6</w:t>
      </w:r>
      <w:r w:rsidRPr="006112AD">
        <w:rPr>
          <w:rFonts w:ascii="Calibri" w:hAnsi="Calibri" w:cs="Calibri"/>
          <w:iCs/>
          <w:sz w:val="20"/>
          <w:szCs w:val="20"/>
        </w:rPr>
        <w:t xml:space="preserve">. Therefore, in this case, the null hypothesis which stated that there is an insignificant difference between the means, was rejected. Hence, there is a significance statistical difference between the means of the two cohorts. </w:t>
      </w:r>
    </w:p>
    <w:p w14:paraId="0905AAF6" w14:textId="77777777" w:rsidR="004974F8" w:rsidRPr="006112AD" w:rsidRDefault="004974F8" w:rsidP="006112AD">
      <w:pPr>
        <w:pStyle w:val="TableHeading"/>
        <w:spacing w:line="240" w:lineRule="auto"/>
        <w:rPr>
          <w:rFonts w:ascii="Calibri" w:hAnsi="Calibri" w:cs="Calibri"/>
          <w:sz w:val="20"/>
          <w:szCs w:val="20"/>
        </w:rPr>
      </w:pPr>
      <w:bookmarkStart w:id="116" w:name="_Hlk198378454"/>
      <w:bookmarkStart w:id="117" w:name="_Toc198711785"/>
    </w:p>
    <w:p w14:paraId="20CA9954" w14:textId="34150019" w:rsidR="0098772B" w:rsidRPr="006112AD" w:rsidRDefault="0098772B" w:rsidP="006112AD">
      <w:pPr>
        <w:pStyle w:val="TableHeading"/>
        <w:spacing w:line="240" w:lineRule="auto"/>
        <w:rPr>
          <w:rFonts w:ascii="Calibri" w:hAnsi="Calibri" w:cs="Calibri"/>
          <w:sz w:val="20"/>
          <w:szCs w:val="20"/>
        </w:rPr>
      </w:pPr>
      <w:r w:rsidRPr="006112AD">
        <w:rPr>
          <w:rFonts w:ascii="Calibri" w:hAnsi="Calibri" w:cs="Calibri"/>
          <w:sz w:val="20"/>
          <w:szCs w:val="20"/>
        </w:rPr>
        <w:t xml:space="preserve">Table </w:t>
      </w:r>
      <w:r w:rsidR="00540767">
        <w:rPr>
          <w:rFonts w:ascii="Calibri" w:hAnsi="Calibri" w:cs="Calibri"/>
          <w:sz w:val="20"/>
          <w:szCs w:val="20"/>
        </w:rPr>
        <w:t>6</w:t>
      </w:r>
      <w:r w:rsidRPr="006112AD">
        <w:rPr>
          <w:rFonts w:ascii="Calibri" w:hAnsi="Calibri" w:cs="Calibri"/>
          <w:sz w:val="20"/>
          <w:szCs w:val="20"/>
        </w:rPr>
        <w:t>: Mann-Whitney Test</w:t>
      </w:r>
      <w:bookmarkEnd w:id="116"/>
      <w:bookmarkEnd w:id="117"/>
    </w:p>
    <w:p w14:paraId="1768DE78" w14:textId="2741C345"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The p-value of &lt;0.001 determined that there was a significant difference between the means of the two holding time cohorts with regards to RLC.</w:t>
      </w:r>
    </w:p>
    <w:p w14:paraId="2D2B68DA" w14:textId="76877134"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RLC - Residual leucocyte count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40"/>
        <w:gridCol w:w="1640"/>
      </w:tblGrid>
      <w:tr w:rsidR="0098772B" w:rsidRPr="006112AD" w14:paraId="6F04AA8E" w14:textId="77777777" w:rsidTr="009B30C1">
        <w:trPr>
          <w:trHeight w:val="276"/>
          <w:jc w:val="center"/>
        </w:trPr>
        <w:tc>
          <w:tcPr>
            <w:tcW w:w="1640" w:type="dxa"/>
            <w:tcBorders>
              <w:top w:val="single" w:sz="4" w:space="0" w:color="auto"/>
            </w:tcBorders>
            <w:vAlign w:val="center"/>
          </w:tcPr>
          <w:p w14:paraId="75624311" w14:textId="52F27E78"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U-value</w:t>
            </w:r>
          </w:p>
        </w:tc>
        <w:tc>
          <w:tcPr>
            <w:tcW w:w="1640" w:type="dxa"/>
            <w:tcBorders>
              <w:top w:val="single" w:sz="4" w:space="0" w:color="auto"/>
            </w:tcBorders>
            <w:vAlign w:val="center"/>
          </w:tcPr>
          <w:p w14:paraId="55B3D52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3058</w:t>
            </w:r>
          </w:p>
        </w:tc>
      </w:tr>
      <w:tr w:rsidR="0098772B" w:rsidRPr="006112AD" w14:paraId="45396FFC" w14:textId="77777777" w:rsidTr="009B30C1">
        <w:trPr>
          <w:trHeight w:val="276"/>
          <w:jc w:val="center"/>
        </w:trPr>
        <w:tc>
          <w:tcPr>
            <w:tcW w:w="1640" w:type="dxa"/>
            <w:tcBorders>
              <w:bottom w:val="single" w:sz="4" w:space="0" w:color="auto"/>
            </w:tcBorders>
            <w:vAlign w:val="center"/>
          </w:tcPr>
          <w:p w14:paraId="210FF9AE" w14:textId="7F0DE40B"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c>
          <w:tcPr>
            <w:tcW w:w="1640" w:type="dxa"/>
            <w:tcBorders>
              <w:bottom w:val="single" w:sz="4" w:space="0" w:color="auto"/>
            </w:tcBorders>
            <w:vAlign w:val="center"/>
          </w:tcPr>
          <w:p w14:paraId="7CEA57DB"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bl>
    <w:p w14:paraId="4C35BD1A" w14:textId="77777777" w:rsidR="009275F3" w:rsidRDefault="009275F3" w:rsidP="006112AD">
      <w:pPr>
        <w:spacing w:after="0" w:line="240" w:lineRule="auto"/>
        <w:jc w:val="both"/>
        <w:rPr>
          <w:rFonts w:ascii="Calibri" w:hAnsi="Calibri" w:cs="Calibri"/>
          <w:iCs/>
          <w:sz w:val="20"/>
          <w:szCs w:val="20"/>
        </w:rPr>
      </w:pPr>
    </w:p>
    <w:p w14:paraId="198D8C09" w14:textId="2AB06595" w:rsidR="0098772B" w:rsidRPr="006112AD"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The error bar graph in Figure 6 displays the 95% confidence interval for the actual mean RLC for short and long holding times respectively. The fact that the two confidence intervals, represented by the whiskers in the figure, do not overlap, indicates that the mean RLC for units with a SHT is significantly larger than the corresponding mean RLC for the LHT cohort. The lower limit for the SHT cohort is larger than the higher limit of the LHT cohort as shown by the whiskers on the graph. It can also be noted that the SHT bar is much higher, showing that there was a wider range of values, whereas the LHT cohort had more consistent values within a smaller range.  </w:t>
      </w:r>
    </w:p>
    <w:p w14:paraId="6641EF56" w14:textId="77777777" w:rsidR="0098772B" w:rsidRPr="006112AD" w:rsidRDefault="0098772B" w:rsidP="006112AD">
      <w:pPr>
        <w:spacing w:after="0" w:line="240" w:lineRule="auto"/>
        <w:jc w:val="both"/>
        <w:rPr>
          <w:rFonts w:ascii="Calibri" w:hAnsi="Calibri" w:cs="Calibri"/>
          <w:iCs/>
          <w:sz w:val="20"/>
          <w:szCs w:val="20"/>
        </w:rPr>
      </w:pPr>
    </w:p>
    <w:p w14:paraId="121EB438" w14:textId="22912AE1" w:rsidR="0098772B" w:rsidRPr="006112AD" w:rsidRDefault="0074437E" w:rsidP="006112AD">
      <w:pPr>
        <w:spacing w:after="0" w:line="240" w:lineRule="auto"/>
        <w:jc w:val="center"/>
        <w:rPr>
          <w:rFonts w:ascii="Calibri" w:hAnsi="Calibri" w:cs="Calibri"/>
          <w:b/>
          <w:bCs/>
          <w:iCs/>
          <w:sz w:val="20"/>
          <w:szCs w:val="20"/>
        </w:rPr>
      </w:pPr>
      <w:bookmarkStart w:id="118" w:name="_Hlk198378477"/>
      <w:r w:rsidRPr="006B495C">
        <w:rPr>
          <w:rFonts w:ascii="Calibri" w:hAnsi="Calibri" w:cs="Calibri"/>
          <w:b/>
          <w:bCs/>
          <w:iCs/>
          <w:noProof/>
          <w:sz w:val="20"/>
          <w:szCs w:val="20"/>
        </w:rPr>
        <w:lastRenderedPageBreak/>
        <w:drawing>
          <wp:inline distT="0" distB="0" distL="0" distR="0" wp14:anchorId="3626BA1A" wp14:editId="06BE5269">
            <wp:extent cx="3568336" cy="2150972"/>
            <wp:effectExtent l="0" t="0" r="0" b="1905"/>
            <wp:docPr id="1239728899" name="Picture 1" descr="A graph of error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28899" name="Picture 1" descr="A graph of error bar graph&#10;&#10;AI-generated content may be incorrect."/>
                    <pic:cNvPicPr/>
                  </pic:nvPicPr>
                  <pic:blipFill rotWithShape="1">
                    <a:blip r:embed="rId13"/>
                    <a:srcRect b="5195"/>
                    <a:stretch>
                      <a:fillRect/>
                    </a:stretch>
                  </pic:blipFill>
                  <pic:spPr bwMode="auto">
                    <a:xfrm>
                      <a:off x="0" y="0"/>
                      <a:ext cx="3583342" cy="2160017"/>
                    </a:xfrm>
                    <a:prstGeom prst="rect">
                      <a:avLst/>
                    </a:prstGeom>
                    <a:ln>
                      <a:noFill/>
                    </a:ln>
                    <a:extLst>
                      <a:ext uri="{53640926-AAD7-44D8-BBD7-CCE9431645EC}">
                        <a14:shadowObscured xmlns:a14="http://schemas.microsoft.com/office/drawing/2010/main"/>
                      </a:ext>
                    </a:extLst>
                  </pic:spPr>
                </pic:pic>
              </a:graphicData>
            </a:graphic>
          </wp:inline>
        </w:drawing>
      </w:r>
    </w:p>
    <w:p w14:paraId="14D21BE9" w14:textId="3FF92518" w:rsidR="008660D8" w:rsidRPr="006112AD" w:rsidRDefault="008660D8" w:rsidP="006112AD">
      <w:pPr>
        <w:spacing w:after="0" w:line="240" w:lineRule="auto"/>
        <w:jc w:val="center"/>
        <w:rPr>
          <w:rFonts w:ascii="Calibri" w:hAnsi="Calibri" w:cs="Calibri"/>
          <w:iCs/>
          <w:sz w:val="20"/>
          <w:szCs w:val="20"/>
        </w:rPr>
      </w:pPr>
      <w:bookmarkStart w:id="119" w:name="_Toc198711478"/>
      <w:bookmarkEnd w:id="118"/>
      <w:r w:rsidRPr="006112AD">
        <w:rPr>
          <w:rStyle w:val="FigureHeadingChar"/>
          <w:rFonts w:ascii="Calibri" w:hAnsi="Calibri" w:cs="Calibri"/>
          <w:sz w:val="20"/>
          <w:szCs w:val="20"/>
        </w:rPr>
        <w:t>Figure 6: Error bar graph of RLC cohorts</w:t>
      </w:r>
      <w:bookmarkEnd w:id="119"/>
    </w:p>
    <w:p w14:paraId="3EF4912D" w14:textId="6FEDE419"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This graph allows comparison of the means of two cohorts and visualises the range of values.</w:t>
      </w:r>
    </w:p>
    <w:p w14:paraId="3089BBB1" w14:textId="13447E3C" w:rsidR="0053430B" w:rsidRPr="000462D0" w:rsidRDefault="0098772B" w:rsidP="000462D0">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p>
    <w:p w14:paraId="36D5658B" w14:textId="2216BFB9" w:rsidR="0098772B" w:rsidRPr="000462D0" w:rsidRDefault="0098772B" w:rsidP="000462D0">
      <w:pPr>
        <w:pStyle w:val="Heading2"/>
        <w:numPr>
          <w:ilvl w:val="1"/>
          <w:numId w:val="38"/>
        </w:numPr>
        <w:spacing w:after="0" w:line="240" w:lineRule="auto"/>
        <w:rPr>
          <w:rFonts w:ascii="Calibri" w:hAnsi="Calibri" w:cs="Calibri"/>
          <w:i w:val="0"/>
          <w:sz w:val="20"/>
          <w:szCs w:val="20"/>
          <w:u w:val="none"/>
        </w:rPr>
      </w:pPr>
      <w:bookmarkStart w:id="120" w:name="_Toc198372564"/>
      <w:bookmarkStart w:id="121" w:name="_Toc199078017"/>
      <w:r w:rsidRPr="000462D0">
        <w:rPr>
          <w:rFonts w:ascii="Calibri" w:hAnsi="Calibri" w:cs="Calibri"/>
          <w:i w:val="0"/>
          <w:sz w:val="20"/>
          <w:szCs w:val="20"/>
          <w:u w:val="none"/>
        </w:rPr>
        <w:t>Protein</w:t>
      </w:r>
      <w:bookmarkEnd w:id="120"/>
      <w:r w:rsidR="00845C56" w:rsidRPr="000462D0">
        <w:rPr>
          <w:rFonts w:ascii="Calibri" w:hAnsi="Calibri" w:cs="Calibri"/>
          <w:i w:val="0"/>
          <w:sz w:val="20"/>
          <w:szCs w:val="20"/>
          <w:u w:val="none"/>
        </w:rPr>
        <w:t xml:space="preserve"> Concentrations</w:t>
      </w:r>
      <w:bookmarkEnd w:id="121"/>
      <w:r w:rsidRPr="000462D0">
        <w:rPr>
          <w:rFonts w:ascii="Calibri" w:hAnsi="Calibri" w:cs="Calibri"/>
          <w:i w:val="0"/>
          <w:sz w:val="20"/>
          <w:szCs w:val="20"/>
          <w:u w:val="none"/>
        </w:rPr>
        <w:t xml:space="preserve"> </w:t>
      </w:r>
    </w:p>
    <w:p w14:paraId="1AFFAFF3" w14:textId="29FE89BF" w:rsidR="0098772B" w:rsidRPr="006112AD"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From the results displayed in Table </w:t>
      </w:r>
      <w:r w:rsidR="004974F8" w:rsidRPr="006112AD">
        <w:rPr>
          <w:rFonts w:ascii="Calibri" w:hAnsi="Calibri" w:cs="Calibri"/>
          <w:iCs/>
          <w:sz w:val="20"/>
          <w:szCs w:val="20"/>
        </w:rPr>
        <w:t>7</w:t>
      </w:r>
      <w:r w:rsidRPr="006112AD">
        <w:rPr>
          <w:rFonts w:ascii="Calibri" w:hAnsi="Calibri" w:cs="Calibri"/>
          <w:iCs/>
          <w:sz w:val="20"/>
          <w:szCs w:val="20"/>
        </w:rPr>
        <w:t xml:space="preserve">, it can be noted that the mean PC of the two cohorts differed by 2.03g/L, with the LHT cohort having a higher concentration of 62.55g/L and that of the SHT cohort being 60.52g/L. </w:t>
      </w:r>
    </w:p>
    <w:p w14:paraId="5E0DC9A1" w14:textId="3B51D1CC" w:rsidR="0098772B" w:rsidRPr="006112AD" w:rsidRDefault="0098772B" w:rsidP="006112AD">
      <w:pPr>
        <w:pStyle w:val="TableHeading"/>
        <w:spacing w:line="240" w:lineRule="auto"/>
        <w:rPr>
          <w:rFonts w:ascii="Calibri" w:hAnsi="Calibri" w:cs="Calibri"/>
          <w:sz w:val="20"/>
          <w:szCs w:val="20"/>
        </w:rPr>
      </w:pPr>
      <w:bookmarkStart w:id="122" w:name="_Toc198711786"/>
      <w:bookmarkStart w:id="123" w:name="_Hlk198378502"/>
      <w:r w:rsidRPr="006112AD">
        <w:rPr>
          <w:rFonts w:ascii="Calibri" w:hAnsi="Calibri" w:cs="Calibri"/>
          <w:sz w:val="20"/>
          <w:szCs w:val="20"/>
        </w:rPr>
        <w:t xml:space="preserve">Table </w:t>
      </w:r>
      <w:r w:rsidR="004974F8" w:rsidRPr="006112AD">
        <w:rPr>
          <w:rFonts w:ascii="Calibri" w:hAnsi="Calibri" w:cs="Calibri"/>
          <w:sz w:val="20"/>
          <w:szCs w:val="20"/>
        </w:rPr>
        <w:t>7</w:t>
      </w:r>
      <w:r w:rsidRPr="006112AD">
        <w:rPr>
          <w:rFonts w:ascii="Calibri" w:hAnsi="Calibri" w:cs="Calibri"/>
          <w:sz w:val="20"/>
          <w:szCs w:val="20"/>
        </w:rPr>
        <w:t>: Descriptive Statistics</w:t>
      </w:r>
      <w:bookmarkEnd w:id="122"/>
    </w:p>
    <w:bookmarkEnd w:id="123"/>
    <w:p w14:paraId="60937AB0" w14:textId="77777777"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PC - protein concentration,</w:t>
      </w:r>
      <w:r w:rsidRPr="006112AD">
        <w:rPr>
          <w:rFonts w:ascii="Calibri" w:eastAsiaTheme="majorEastAsia" w:hAnsi="Calibri" w:cs="Calibri"/>
          <w:iCs/>
          <w:sz w:val="20"/>
          <w:szCs w:val="20"/>
        </w:rPr>
        <w:t xml:space="preserve"> SHT - short holding time, LHT - long holding time.</w:t>
      </w:r>
    </w:p>
    <w:tbl>
      <w:tblPr>
        <w:tblStyle w:val="TableGrid"/>
        <w:tblW w:w="0" w:type="auto"/>
        <w:tblInd w:w="988" w:type="dxa"/>
        <w:tblBorders>
          <w:left w:val="none" w:sz="0" w:space="0" w:color="auto"/>
          <w:right w:val="none" w:sz="0" w:space="0" w:color="auto"/>
          <w:insideV w:val="none" w:sz="0" w:space="0" w:color="auto"/>
        </w:tblBorders>
        <w:tblLook w:val="04A0" w:firstRow="1" w:lastRow="0" w:firstColumn="1" w:lastColumn="0" w:noHBand="0" w:noVBand="1"/>
      </w:tblPr>
      <w:tblGrid>
        <w:gridCol w:w="892"/>
        <w:gridCol w:w="1784"/>
        <w:gridCol w:w="1784"/>
        <w:gridCol w:w="2344"/>
      </w:tblGrid>
      <w:tr w:rsidR="0098772B" w:rsidRPr="006112AD" w14:paraId="0C5CCAB0" w14:textId="77777777" w:rsidTr="0053430B">
        <w:trPr>
          <w:trHeight w:val="253"/>
        </w:trPr>
        <w:tc>
          <w:tcPr>
            <w:tcW w:w="892" w:type="dxa"/>
            <w:tcBorders>
              <w:top w:val="nil"/>
            </w:tcBorders>
          </w:tcPr>
          <w:p w14:paraId="14D691C6" w14:textId="77777777" w:rsidR="0098772B" w:rsidRPr="006112AD" w:rsidRDefault="0098772B" w:rsidP="006112AD">
            <w:pPr>
              <w:jc w:val="center"/>
              <w:rPr>
                <w:rFonts w:ascii="Calibri" w:hAnsi="Calibri" w:cs="Calibri"/>
                <w:b/>
                <w:bCs/>
                <w:iCs/>
                <w:sz w:val="20"/>
                <w:szCs w:val="20"/>
              </w:rPr>
            </w:pPr>
          </w:p>
        </w:tc>
        <w:tc>
          <w:tcPr>
            <w:tcW w:w="1784" w:type="dxa"/>
            <w:tcBorders>
              <w:top w:val="nil"/>
            </w:tcBorders>
            <w:vAlign w:val="bottom"/>
          </w:tcPr>
          <w:p w14:paraId="06A3189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N</w:t>
            </w:r>
          </w:p>
        </w:tc>
        <w:tc>
          <w:tcPr>
            <w:tcW w:w="1784" w:type="dxa"/>
            <w:tcBorders>
              <w:top w:val="nil"/>
            </w:tcBorders>
            <w:vAlign w:val="bottom"/>
          </w:tcPr>
          <w:p w14:paraId="39F44E60"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Mean PC(g/L)</w:t>
            </w:r>
          </w:p>
        </w:tc>
        <w:tc>
          <w:tcPr>
            <w:tcW w:w="2344" w:type="dxa"/>
            <w:tcBorders>
              <w:top w:val="nil"/>
            </w:tcBorders>
            <w:vAlign w:val="bottom"/>
          </w:tcPr>
          <w:p w14:paraId="6C6F7EB5"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Standard Deviation</w:t>
            </w:r>
          </w:p>
        </w:tc>
      </w:tr>
      <w:tr w:rsidR="0098772B" w:rsidRPr="006112AD" w14:paraId="1EFC7A3F" w14:textId="77777777" w:rsidTr="0053430B">
        <w:trPr>
          <w:trHeight w:val="253"/>
        </w:trPr>
        <w:tc>
          <w:tcPr>
            <w:tcW w:w="892" w:type="dxa"/>
            <w:vAlign w:val="center"/>
          </w:tcPr>
          <w:p w14:paraId="5ED868D3"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784" w:type="dxa"/>
            <w:vAlign w:val="center"/>
          </w:tcPr>
          <w:p w14:paraId="2F3A4AE8"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784" w:type="dxa"/>
            <w:vAlign w:val="center"/>
          </w:tcPr>
          <w:p w14:paraId="6A588177"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60.52</w:t>
            </w:r>
          </w:p>
        </w:tc>
        <w:tc>
          <w:tcPr>
            <w:tcW w:w="2344" w:type="dxa"/>
            <w:vAlign w:val="center"/>
          </w:tcPr>
          <w:p w14:paraId="606BB49B"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3.57</w:t>
            </w:r>
          </w:p>
        </w:tc>
      </w:tr>
      <w:tr w:rsidR="0098772B" w:rsidRPr="006112AD" w14:paraId="30567508" w14:textId="77777777" w:rsidTr="0053430B">
        <w:trPr>
          <w:trHeight w:val="253"/>
        </w:trPr>
        <w:tc>
          <w:tcPr>
            <w:tcW w:w="892" w:type="dxa"/>
            <w:vAlign w:val="center"/>
          </w:tcPr>
          <w:p w14:paraId="56EA97D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784" w:type="dxa"/>
            <w:vAlign w:val="center"/>
          </w:tcPr>
          <w:p w14:paraId="00D085A7"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784" w:type="dxa"/>
            <w:vAlign w:val="center"/>
          </w:tcPr>
          <w:p w14:paraId="5AA40A05"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62.55</w:t>
            </w:r>
          </w:p>
        </w:tc>
        <w:tc>
          <w:tcPr>
            <w:tcW w:w="2344" w:type="dxa"/>
            <w:vAlign w:val="center"/>
          </w:tcPr>
          <w:p w14:paraId="62213E0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2.76</w:t>
            </w:r>
          </w:p>
        </w:tc>
      </w:tr>
    </w:tbl>
    <w:p w14:paraId="334AF337" w14:textId="77777777" w:rsidR="0098772B" w:rsidRPr="006112AD" w:rsidRDefault="0098772B" w:rsidP="006112AD">
      <w:pPr>
        <w:spacing w:line="240" w:lineRule="auto"/>
        <w:rPr>
          <w:rFonts w:ascii="Calibri" w:hAnsi="Calibri" w:cs="Calibri"/>
          <w:iCs/>
          <w:sz w:val="20"/>
          <w:szCs w:val="20"/>
        </w:rPr>
      </w:pPr>
    </w:p>
    <w:p w14:paraId="15941B0B" w14:textId="77777777" w:rsidR="0053430B" w:rsidRPr="006112AD" w:rsidRDefault="0053430B" w:rsidP="006112AD">
      <w:pPr>
        <w:pStyle w:val="Heading3"/>
        <w:spacing w:after="0" w:line="240" w:lineRule="auto"/>
        <w:ind w:left="0"/>
        <w:rPr>
          <w:rFonts w:ascii="Calibri" w:hAnsi="Calibri" w:cs="Calibri"/>
          <w:sz w:val="20"/>
          <w:szCs w:val="20"/>
        </w:rPr>
      </w:pPr>
    </w:p>
    <w:p w14:paraId="3BD20C1B" w14:textId="6FCD6E85" w:rsidR="0098772B" w:rsidRPr="006112AD" w:rsidRDefault="0098772B" w:rsidP="000462D0">
      <w:pPr>
        <w:spacing w:line="240" w:lineRule="auto"/>
        <w:jc w:val="both"/>
        <w:rPr>
          <w:rFonts w:ascii="Calibri" w:hAnsi="Calibri" w:cs="Calibri"/>
          <w:iCs/>
          <w:sz w:val="20"/>
          <w:szCs w:val="20"/>
        </w:rPr>
      </w:pPr>
      <w:r w:rsidRPr="006112AD">
        <w:rPr>
          <w:rFonts w:ascii="Calibri" w:hAnsi="Calibri" w:cs="Calibri"/>
          <w:iCs/>
          <w:sz w:val="20"/>
          <w:szCs w:val="20"/>
        </w:rPr>
        <w:t>As demonstrated by the histogram in Figure 7, the Z score values showed a normal data distribution for the SHT cohort. Figure</w:t>
      </w:r>
      <w:r w:rsidR="001A0F87" w:rsidRPr="006112AD">
        <w:rPr>
          <w:rFonts w:ascii="Calibri" w:hAnsi="Calibri" w:cs="Calibri"/>
          <w:iCs/>
          <w:sz w:val="20"/>
          <w:szCs w:val="20"/>
        </w:rPr>
        <w:t xml:space="preserve"> </w:t>
      </w:r>
      <w:r w:rsidRPr="006112AD">
        <w:rPr>
          <w:rFonts w:ascii="Calibri" w:hAnsi="Calibri" w:cs="Calibri"/>
          <w:iCs/>
          <w:sz w:val="20"/>
          <w:szCs w:val="20"/>
        </w:rPr>
        <w:t xml:space="preserve">8 shows a less normal distribution for the LHT cohort. For both cohorts, all values were within a Z score of +/‐3. The same histogram would be obtained if the Z score was to be replaced by the PC of each FFP unit. </w:t>
      </w:r>
    </w:p>
    <w:p w14:paraId="04274B51" w14:textId="1380111B" w:rsidR="0098772B" w:rsidRPr="006112AD" w:rsidRDefault="00CA69B4" w:rsidP="006112AD">
      <w:pPr>
        <w:spacing w:after="0" w:line="240" w:lineRule="auto"/>
        <w:jc w:val="center"/>
        <w:rPr>
          <w:rFonts w:ascii="Calibri" w:hAnsi="Calibri" w:cs="Calibri"/>
          <w:iCs/>
          <w:sz w:val="20"/>
          <w:szCs w:val="20"/>
        </w:rPr>
      </w:pPr>
      <w:r w:rsidRPr="006B495C">
        <w:rPr>
          <w:rFonts w:ascii="Calibri" w:hAnsi="Calibri" w:cs="Calibri"/>
          <w:iCs/>
          <w:noProof/>
          <w:sz w:val="20"/>
          <w:szCs w:val="20"/>
        </w:rPr>
        <w:drawing>
          <wp:inline distT="0" distB="0" distL="0" distR="0" wp14:anchorId="331CF13B" wp14:editId="785F35A7">
            <wp:extent cx="3609140" cy="2262011"/>
            <wp:effectExtent l="0" t="0" r="0" b="5080"/>
            <wp:docPr id="208172549" name="Picture 1" descr="A chart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2549" name="Picture 1" descr="A chart with green bars&#10;&#10;AI-generated content may be incorrect."/>
                    <pic:cNvPicPr/>
                  </pic:nvPicPr>
                  <pic:blipFill>
                    <a:blip r:embed="rId14"/>
                    <a:stretch>
                      <a:fillRect/>
                    </a:stretch>
                  </pic:blipFill>
                  <pic:spPr>
                    <a:xfrm>
                      <a:off x="0" y="0"/>
                      <a:ext cx="3625076" cy="2271999"/>
                    </a:xfrm>
                    <a:prstGeom prst="rect">
                      <a:avLst/>
                    </a:prstGeom>
                  </pic:spPr>
                </pic:pic>
              </a:graphicData>
            </a:graphic>
          </wp:inline>
        </w:drawing>
      </w:r>
    </w:p>
    <w:p w14:paraId="5E74021B" w14:textId="7296B9D3" w:rsidR="0098772B" w:rsidRPr="006112AD" w:rsidRDefault="0098772B" w:rsidP="006112AD">
      <w:pPr>
        <w:pStyle w:val="FigureHeading"/>
        <w:spacing w:line="240" w:lineRule="auto"/>
        <w:rPr>
          <w:rFonts w:ascii="Calibri" w:hAnsi="Calibri" w:cs="Calibri"/>
          <w:sz w:val="20"/>
          <w:szCs w:val="20"/>
        </w:rPr>
      </w:pPr>
      <w:bookmarkStart w:id="124" w:name="_Toc198711479"/>
      <w:bookmarkStart w:id="125" w:name="_Hlk198378523"/>
      <w:r w:rsidRPr="006112AD">
        <w:rPr>
          <w:rFonts w:ascii="Calibri" w:hAnsi="Calibri" w:cs="Calibri"/>
          <w:sz w:val="20"/>
          <w:szCs w:val="20"/>
        </w:rPr>
        <w:t>Figure 7: Distribution of Z-scores</w:t>
      </w:r>
      <w:bookmarkEnd w:id="124"/>
    </w:p>
    <w:bookmarkEnd w:id="125"/>
    <w:p w14:paraId="3E9CF790"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 xml:space="preserve">Legend: </w:t>
      </w:r>
      <w:r w:rsidRPr="006112AD">
        <w:rPr>
          <w:rFonts w:ascii="Calibri" w:eastAsiaTheme="majorEastAsia" w:hAnsi="Calibri" w:cs="Calibri"/>
          <w:iCs/>
          <w:sz w:val="20"/>
          <w:szCs w:val="20"/>
        </w:rPr>
        <w:t>SHT - short holding time.</w:t>
      </w:r>
    </w:p>
    <w:p w14:paraId="684AC5C9" w14:textId="77777777" w:rsidR="0098772B" w:rsidRPr="006112AD" w:rsidRDefault="0098772B" w:rsidP="006112AD">
      <w:pPr>
        <w:spacing w:after="0" w:line="240" w:lineRule="auto"/>
        <w:jc w:val="both"/>
        <w:rPr>
          <w:rFonts w:ascii="Calibri" w:hAnsi="Calibri" w:cs="Calibri"/>
          <w:iCs/>
          <w:sz w:val="20"/>
          <w:szCs w:val="20"/>
        </w:rPr>
      </w:pPr>
    </w:p>
    <w:p w14:paraId="6E716F8E" w14:textId="03AE74D5" w:rsidR="0098772B" w:rsidRPr="006112AD" w:rsidRDefault="00DC69D2" w:rsidP="006112AD">
      <w:pPr>
        <w:spacing w:after="0" w:line="240" w:lineRule="auto"/>
        <w:jc w:val="center"/>
        <w:rPr>
          <w:rFonts w:ascii="Calibri" w:hAnsi="Calibri" w:cs="Calibri"/>
          <w:iCs/>
          <w:sz w:val="20"/>
          <w:szCs w:val="20"/>
        </w:rPr>
      </w:pPr>
      <w:r w:rsidRPr="006B495C">
        <w:rPr>
          <w:rFonts w:ascii="Calibri" w:hAnsi="Calibri" w:cs="Calibri"/>
          <w:iCs/>
          <w:noProof/>
          <w:sz w:val="20"/>
          <w:szCs w:val="20"/>
        </w:rPr>
        <w:lastRenderedPageBreak/>
        <w:drawing>
          <wp:inline distT="0" distB="0" distL="0" distR="0" wp14:anchorId="56C4B6F1" wp14:editId="53AB11CB">
            <wp:extent cx="3674533" cy="2193891"/>
            <wp:effectExtent l="0" t="0" r="2540" b="0"/>
            <wp:docPr id="475196014" name="Picture 1" descr="A graph of a number of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6014" name="Picture 1" descr="A graph of a number of green bars&#10;&#10;AI-generated content may be incorrect."/>
                    <pic:cNvPicPr/>
                  </pic:nvPicPr>
                  <pic:blipFill>
                    <a:blip r:embed="rId15"/>
                    <a:stretch>
                      <a:fillRect/>
                    </a:stretch>
                  </pic:blipFill>
                  <pic:spPr>
                    <a:xfrm>
                      <a:off x="0" y="0"/>
                      <a:ext cx="3702364" cy="2210508"/>
                    </a:xfrm>
                    <a:prstGeom prst="rect">
                      <a:avLst/>
                    </a:prstGeom>
                  </pic:spPr>
                </pic:pic>
              </a:graphicData>
            </a:graphic>
          </wp:inline>
        </w:drawing>
      </w:r>
    </w:p>
    <w:p w14:paraId="10D17C5F" w14:textId="7F9097D8" w:rsidR="0098772B" w:rsidRPr="006112AD" w:rsidRDefault="0098772B" w:rsidP="006112AD">
      <w:pPr>
        <w:pStyle w:val="FigureHeading"/>
        <w:spacing w:line="240" w:lineRule="auto"/>
        <w:rPr>
          <w:rFonts w:ascii="Calibri" w:hAnsi="Calibri" w:cs="Calibri"/>
          <w:sz w:val="20"/>
          <w:szCs w:val="20"/>
        </w:rPr>
      </w:pPr>
      <w:bookmarkStart w:id="126" w:name="_Toc198711480"/>
      <w:bookmarkStart w:id="127" w:name="_Hlk198378534"/>
      <w:r w:rsidRPr="006112AD">
        <w:rPr>
          <w:rFonts w:ascii="Calibri" w:hAnsi="Calibri" w:cs="Calibri"/>
          <w:sz w:val="20"/>
          <w:szCs w:val="20"/>
        </w:rPr>
        <w:t>Figure 8: Distribution of Z-scores</w:t>
      </w:r>
      <w:bookmarkEnd w:id="126"/>
    </w:p>
    <w:bookmarkEnd w:id="127"/>
    <w:p w14:paraId="2AF0491D" w14:textId="77777777" w:rsidR="0098772B" w:rsidRPr="006112AD" w:rsidRDefault="0098772B" w:rsidP="006112AD">
      <w:pPr>
        <w:spacing w:after="0" w:line="240" w:lineRule="auto"/>
        <w:jc w:val="center"/>
        <w:rPr>
          <w:rFonts w:ascii="Calibri" w:eastAsiaTheme="majorEastAsia" w:hAnsi="Calibri" w:cs="Calibri"/>
          <w:iCs/>
          <w:sz w:val="20"/>
          <w:szCs w:val="20"/>
        </w:rPr>
      </w:pPr>
      <w:r w:rsidRPr="006112AD">
        <w:rPr>
          <w:rFonts w:ascii="Calibri" w:hAnsi="Calibri" w:cs="Calibri"/>
          <w:iCs/>
          <w:sz w:val="20"/>
          <w:szCs w:val="20"/>
        </w:rPr>
        <w:t xml:space="preserve">Legend: </w:t>
      </w:r>
      <w:r w:rsidRPr="006112AD">
        <w:rPr>
          <w:rFonts w:ascii="Calibri" w:eastAsiaTheme="majorEastAsia" w:hAnsi="Calibri" w:cs="Calibri"/>
          <w:iCs/>
          <w:sz w:val="20"/>
          <w:szCs w:val="20"/>
        </w:rPr>
        <w:t>LHT - long holding time.</w:t>
      </w:r>
    </w:p>
    <w:p w14:paraId="48735940" w14:textId="77777777" w:rsidR="00800EB8" w:rsidRPr="006112AD" w:rsidRDefault="00800EB8" w:rsidP="006112AD">
      <w:pPr>
        <w:spacing w:after="0" w:line="240" w:lineRule="auto"/>
        <w:rPr>
          <w:rFonts w:ascii="Calibri" w:eastAsiaTheme="majorEastAsia" w:hAnsi="Calibri" w:cs="Calibri"/>
          <w:iCs/>
          <w:sz w:val="20"/>
          <w:szCs w:val="20"/>
        </w:rPr>
      </w:pPr>
    </w:p>
    <w:p w14:paraId="3266EB3F" w14:textId="37189E19" w:rsidR="007D66BB" w:rsidRPr="000462D0" w:rsidRDefault="0098772B" w:rsidP="000462D0">
      <w:pPr>
        <w:pStyle w:val="Heading2"/>
        <w:numPr>
          <w:ilvl w:val="1"/>
          <w:numId w:val="38"/>
        </w:numPr>
        <w:spacing w:after="0" w:line="240" w:lineRule="auto"/>
        <w:rPr>
          <w:rFonts w:ascii="Calibri" w:hAnsi="Calibri" w:cs="Calibri"/>
          <w:i w:val="0"/>
          <w:sz w:val="20"/>
          <w:szCs w:val="20"/>
          <w:u w:val="none"/>
        </w:rPr>
      </w:pPr>
      <w:bookmarkStart w:id="128" w:name="_Toc199078020"/>
      <w:r w:rsidRPr="000462D0">
        <w:rPr>
          <w:rFonts w:ascii="Calibri" w:hAnsi="Calibri" w:cs="Calibri"/>
          <w:i w:val="0"/>
          <w:sz w:val="20"/>
          <w:szCs w:val="20"/>
          <w:u w:val="none"/>
        </w:rPr>
        <w:t>Shapiro-Wilk Test for Proteins</w:t>
      </w:r>
      <w:bookmarkEnd w:id="128"/>
    </w:p>
    <w:p w14:paraId="4A6CC878" w14:textId="31CD459A" w:rsidR="0098772B" w:rsidRPr="006112AD" w:rsidRDefault="0098772B" w:rsidP="006112AD">
      <w:pPr>
        <w:spacing w:before="240" w:line="240" w:lineRule="auto"/>
        <w:jc w:val="both"/>
        <w:rPr>
          <w:rFonts w:ascii="Calibri" w:hAnsi="Calibri" w:cs="Calibri"/>
          <w:iCs/>
          <w:sz w:val="20"/>
          <w:szCs w:val="20"/>
        </w:rPr>
      </w:pPr>
      <w:r w:rsidRPr="006112AD">
        <w:rPr>
          <w:rFonts w:ascii="Calibri" w:hAnsi="Calibri" w:cs="Calibri"/>
          <w:iCs/>
          <w:sz w:val="20"/>
          <w:szCs w:val="20"/>
        </w:rPr>
        <w:t xml:space="preserve">With regards to PC, when testing normality, the p-value for the SHT cohort resulted to be 0.744. On the other hand, the p-value for the LHT cohort resulted to be 0.051 as can be seen in Table </w:t>
      </w:r>
      <w:r w:rsidR="00A46464" w:rsidRPr="006112AD">
        <w:rPr>
          <w:rFonts w:ascii="Calibri" w:hAnsi="Calibri" w:cs="Calibri"/>
          <w:iCs/>
          <w:sz w:val="20"/>
          <w:szCs w:val="20"/>
        </w:rPr>
        <w:t>8</w:t>
      </w:r>
      <w:r w:rsidRPr="006112AD">
        <w:rPr>
          <w:rFonts w:ascii="Calibri" w:hAnsi="Calibri" w:cs="Calibri"/>
          <w:iCs/>
          <w:sz w:val="20"/>
          <w:szCs w:val="20"/>
        </w:rPr>
        <w:t xml:space="preserve">. Both p-values exceeded the 0.05 level of significance, and therefore the null hypothesis which stated that the data distribution is normal was accepted for both cohorts. However, it was noted that the LHT cohort had a borderline normality since the p-value just passed the 0.05 level of significance by 0.001. </w:t>
      </w:r>
    </w:p>
    <w:p w14:paraId="7EE629AB" w14:textId="6AFE53A8" w:rsidR="0098772B" w:rsidRPr="006112AD" w:rsidRDefault="0098772B" w:rsidP="006112AD">
      <w:pPr>
        <w:pStyle w:val="TableHeading"/>
        <w:spacing w:line="240" w:lineRule="auto"/>
        <w:rPr>
          <w:rFonts w:ascii="Calibri" w:hAnsi="Calibri" w:cs="Calibri"/>
          <w:sz w:val="20"/>
          <w:szCs w:val="20"/>
        </w:rPr>
      </w:pPr>
      <w:bookmarkStart w:id="129" w:name="_Hlk198378554"/>
      <w:bookmarkStart w:id="130" w:name="_Toc198711787"/>
      <w:r w:rsidRPr="006112AD">
        <w:rPr>
          <w:rFonts w:ascii="Calibri" w:hAnsi="Calibri" w:cs="Calibri"/>
          <w:sz w:val="20"/>
          <w:szCs w:val="20"/>
        </w:rPr>
        <w:t xml:space="preserve">Table </w:t>
      </w:r>
      <w:r w:rsidR="00A46464" w:rsidRPr="006112AD">
        <w:rPr>
          <w:rFonts w:ascii="Calibri" w:hAnsi="Calibri" w:cs="Calibri"/>
          <w:sz w:val="20"/>
          <w:szCs w:val="20"/>
        </w:rPr>
        <w:t>8</w:t>
      </w:r>
      <w:r w:rsidRPr="006112AD">
        <w:rPr>
          <w:rFonts w:ascii="Calibri" w:hAnsi="Calibri" w:cs="Calibri"/>
          <w:sz w:val="20"/>
          <w:szCs w:val="20"/>
        </w:rPr>
        <w:t>: Test of Normality</w:t>
      </w:r>
      <w:bookmarkEnd w:id="129"/>
      <w:bookmarkEnd w:id="130"/>
    </w:p>
    <w:p w14:paraId="5713B2F9" w14:textId="3F14147A"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SHT - Short holding time, LHT - Long holding time</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82"/>
        <w:gridCol w:w="1294"/>
        <w:gridCol w:w="1282"/>
        <w:gridCol w:w="1148"/>
      </w:tblGrid>
      <w:tr w:rsidR="0098772B" w:rsidRPr="006112AD" w14:paraId="47EA3927" w14:textId="77777777" w:rsidTr="009B30C1">
        <w:trPr>
          <w:trHeight w:val="99"/>
          <w:jc w:val="center"/>
        </w:trPr>
        <w:tc>
          <w:tcPr>
            <w:tcW w:w="1282" w:type="dxa"/>
            <w:vAlign w:val="bottom"/>
          </w:tcPr>
          <w:p w14:paraId="29C5CD08" w14:textId="77777777" w:rsidR="0098772B" w:rsidRPr="006112AD" w:rsidRDefault="0098772B" w:rsidP="006112AD">
            <w:pPr>
              <w:jc w:val="center"/>
              <w:rPr>
                <w:rFonts w:ascii="Calibri" w:hAnsi="Calibri" w:cs="Calibri"/>
                <w:iCs/>
                <w:sz w:val="20"/>
                <w:szCs w:val="20"/>
              </w:rPr>
            </w:pPr>
          </w:p>
        </w:tc>
        <w:tc>
          <w:tcPr>
            <w:tcW w:w="3724" w:type="dxa"/>
            <w:gridSpan w:val="3"/>
          </w:tcPr>
          <w:p w14:paraId="245765D4"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Shapiro-Wilk</w:t>
            </w:r>
          </w:p>
        </w:tc>
      </w:tr>
      <w:tr w:rsidR="0098772B" w:rsidRPr="006112AD" w14:paraId="114A5A09" w14:textId="77777777" w:rsidTr="009B30C1">
        <w:trPr>
          <w:trHeight w:val="276"/>
          <w:jc w:val="center"/>
        </w:trPr>
        <w:tc>
          <w:tcPr>
            <w:tcW w:w="1282" w:type="dxa"/>
            <w:vAlign w:val="center"/>
          </w:tcPr>
          <w:p w14:paraId="7F9F5D6A" w14:textId="77777777" w:rsidR="0098772B" w:rsidRPr="006112AD" w:rsidRDefault="0098772B" w:rsidP="006112AD">
            <w:pPr>
              <w:jc w:val="center"/>
              <w:rPr>
                <w:rFonts w:ascii="Calibri" w:hAnsi="Calibri" w:cs="Calibri"/>
                <w:iCs/>
                <w:sz w:val="20"/>
                <w:szCs w:val="20"/>
              </w:rPr>
            </w:pPr>
          </w:p>
        </w:tc>
        <w:tc>
          <w:tcPr>
            <w:tcW w:w="1294" w:type="dxa"/>
            <w:vAlign w:val="center"/>
          </w:tcPr>
          <w:p w14:paraId="1FCF99F4"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Statistic</w:t>
            </w:r>
          </w:p>
        </w:tc>
        <w:tc>
          <w:tcPr>
            <w:tcW w:w="1282" w:type="dxa"/>
            <w:vAlign w:val="center"/>
          </w:tcPr>
          <w:p w14:paraId="7A51F596"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df</w:t>
            </w:r>
          </w:p>
        </w:tc>
        <w:tc>
          <w:tcPr>
            <w:tcW w:w="1148" w:type="dxa"/>
            <w:vAlign w:val="center"/>
          </w:tcPr>
          <w:p w14:paraId="3547746D" w14:textId="00626E1B"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r>
      <w:tr w:rsidR="0098772B" w:rsidRPr="006112AD" w14:paraId="6BFEDD59" w14:textId="77777777" w:rsidTr="009B30C1">
        <w:trPr>
          <w:trHeight w:val="276"/>
          <w:jc w:val="center"/>
        </w:trPr>
        <w:tc>
          <w:tcPr>
            <w:tcW w:w="1282" w:type="dxa"/>
            <w:vAlign w:val="center"/>
          </w:tcPr>
          <w:p w14:paraId="6C6CB5FA"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294" w:type="dxa"/>
            <w:vAlign w:val="center"/>
          </w:tcPr>
          <w:p w14:paraId="218E2631"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0.991</w:t>
            </w:r>
          </w:p>
        </w:tc>
        <w:tc>
          <w:tcPr>
            <w:tcW w:w="1282" w:type="dxa"/>
            <w:vAlign w:val="center"/>
          </w:tcPr>
          <w:p w14:paraId="655BEEB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148" w:type="dxa"/>
            <w:vAlign w:val="center"/>
          </w:tcPr>
          <w:p w14:paraId="12E1657B"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0.744</w:t>
            </w:r>
          </w:p>
        </w:tc>
      </w:tr>
      <w:tr w:rsidR="0098772B" w:rsidRPr="006112AD" w14:paraId="6721B9A4" w14:textId="77777777" w:rsidTr="009B30C1">
        <w:trPr>
          <w:trHeight w:val="276"/>
          <w:jc w:val="center"/>
        </w:trPr>
        <w:tc>
          <w:tcPr>
            <w:tcW w:w="1282" w:type="dxa"/>
            <w:tcBorders>
              <w:bottom w:val="single" w:sz="4" w:space="0" w:color="auto"/>
            </w:tcBorders>
            <w:vAlign w:val="center"/>
          </w:tcPr>
          <w:p w14:paraId="2B7E8BF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294" w:type="dxa"/>
            <w:tcBorders>
              <w:bottom w:val="single" w:sz="4" w:space="0" w:color="auto"/>
            </w:tcBorders>
            <w:vAlign w:val="center"/>
          </w:tcPr>
          <w:p w14:paraId="30CCDE59"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0.975</w:t>
            </w:r>
          </w:p>
        </w:tc>
        <w:tc>
          <w:tcPr>
            <w:tcW w:w="1282" w:type="dxa"/>
            <w:tcBorders>
              <w:bottom w:val="single" w:sz="4" w:space="0" w:color="auto"/>
            </w:tcBorders>
            <w:vAlign w:val="center"/>
          </w:tcPr>
          <w:p w14:paraId="3E7ABEB8"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148" w:type="dxa"/>
            <w:tcBorders>
              <w:bottom w:val="single" w:sz="4" w:space="0" w:color="auto"/>
            </w:tcBorders>
            <w:vAlign w:val="center"/>
          </w:tcPr>
          <w:p w14:paraId="05F3702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0.051</w:t>
            </w:r>
          </w:p>
        </w:tc>
      </w:tr>
    </w:tbl>
    <w:p w14:paraId="3DF3C5F4" w14:textId="77777777" w:rsidR="0098772B" w:rsidRPr="006112AD" w:rsidRDefault="0098772B" w:rsidP="006112AD">
      <w:pPr>
        <w:spacing w:line="240" w:lineRule="auto"/>
        <w:jc w:val="both"/>
        <w:rPr>
          <w:rFonts w:ascii="Calibri" w:hAnsi="Calibri" w:cs="Calibri"/>
          <w:iCs/>
          <w:sz w:val="20"/>
          <w:szCs w:val="20"/>
        </w:rPr>
      </w:pPr>
    </w:p>
    <w:p w14:paraId="6BB6578F" w14:textId="26F7310F" w:rsidR="0098772B" w:rsidRPr="006112AD" w:rsidRDefault="0098772B" w:rsidP="006112AD">
      <w:pPr>
        <w:pStyle w:val="Heading33"/>
        <w:spacing w:before="240" w:line="240" w:lineRule="auto"/>
        <w:ind w:left="0"/>
        <w:rPr>
          <w:rFonts w:ascii="Calibri" w:eastAsiaTheme="minorHAnsi" w:hAnsi="Calibri" w:cs="Calibri"/>
          <w:sz w:val="20"/>
          <w:szCs w:val="20"/>
        </w:rPr>
      </w:pPr>
      <w:r w:rsidRPr="006112AD">
        <w:rPr>
          <w:rFonts w:ascii="Calibri" w:eastAsiaTheme="minorHAnsi" w:hAnsi="Calibri" w:cs="Calibri"/>
          <w:sz w:val="20"/>
          <w:szCs w:val="20"/>
        </w:rPr>
        <w:t xml:space="preserve">The p-value of the </w:t>
      </w:r>
      <w:proofErr w:type="spellStart"/>
      <w:r w:rsidRPr="006112AD">
        <w:rPr>
          <w:rFonts w:ascii="Calibri" w:eastAsiaTheme="minorHAnsi" w:hAnsi="Calibri" w:cs="Calibri"/>
          <w:sz w:val="20"/>
          <w:szCs w:val="20"/>
        </w:rPr>
        <w:t>Levene’s</w:t>
      </w:r>
      <w:proofErr w:type="spellEnd"/>
      <w:r w:rsidRPr="006112AD">
        <w:rPr>
          <w:rFonts w:ascii="Calibri" w:eastAsiaTheme="minorHAnsi" w:hAnsi="Calibri" w:cs="Calibri"/>
          <w:sz w:val="20"/>
          <w:szCs w:val="20"/>
        </w:rPr>
        <w:t xml:space="preserve"> test for equality of variances was 0.071 </w:t>
      </w:r>
      <w:r w:rsidR="00FA19F6" w:rsidRPr="006112AD">
        <w:rPr>
          <w:rFonts w:ascii="Calibri" w:eastAsiaTheme="minorHAnsi" w:hAnsi="Calibri" w:cs="Calibri"/>
          <w:sz w:val="20"/>
          <w:szCs w:val="20"/>
        </w:rPr>
        <w:t>(</w:t>
      </w:r>
      <w:r w:rsidRPr="006112AD">
        <w:rPr>
          <w:rFonts w:ascii="Calibri" w:eastAsiaTheme="minorHAnsi" w:hAnsi="Calibri" w:cs="Calibri"/>
          <w:sz w:val="20"/>
          <w:szCs w:val="20"/>
        </w:rPr>
        <w:t xml:space="preserve">Table </w:t>
      </w:r>
      <w:r w:rsidR="004C3B0D" w:rsidRPr="006112AD">
        <w:rPr>
          <w:rFonts w:ascii="Calibri" w:eastAsiaTheme="minorHAnsi" w:hAnsi="Calibri" w:cs="Calibri"/>
          <w:sz w:val="20"/>
          <w:szCs w:val="20"/>
        </w:rPr>
        <w:t>9</w:t>
      </w:r>
      <w:r w:rsidR="00FA19F6" w:rsidRPr="006112AD">
        <w:rPr>
          <w:rFonts w:ascii="Calibri" w:eastAsiaTheme="minorHAnsi" w:hAnsi="Calibri" w:cs="Calibri"/>
          <w:sz w:val="20"/>
          <w:szCs w:val="20"/>
        </w:rPr>
        <w:t>)</w:t>
      </w:r>
      <w:r w:rsidRPr="006112AD">
        <w:rPr>
          <w:rFonts w:ascii="Calibri" w:eastAsiaTheme="minorHAnsi" w:hAnsi="Calibri" w:cs="Calibri"/>
          <w:sz w:val="20"/>
          <w:szCs w:val="20"/>
        </w:rPr>
        <w:t xml:space="preserve">. This value is greater than the 0.05 level of significance. Therefore, the null hypothesis which stated that there is no statistical difference between the two standard deviations was accepted, indicating that the standard deviations of the two cohorts are similar.  </w:t>
      </w:r>
    </w:p>
    <w:p w14:paraId="4D49EB54" w14:textId="4FAFA30B" w:rsidR="0098772B" w:rsidRPr="006112AD" w:rsidRDefault="0098772B" w:rsidP="006112AD">
      <w:pPr>
        <w:pStyle w:val="TableHeading"/>
        <w:spacing w:line="240" w:lineRule="auto"/>
        <w:rPr>
          <w:rFonts w:ascii="Calibri" w:hAnsi="Calibri" w:cs="Calibri"/>
          <w:sz w:val="20"/>
          <w:szCs w:val="20"/>
        </w:rPr>
      </w:pPr>
      <w:bookmarkStart w:id="131" w:name="_Toc198711788"/>
      <w:bookmarkStart w:id="132" w:name="_Hlk198378578"/>
      <w:r w:rsidRPr="006112AD">
        <w:rPr>
          <w:rFonts w:ascii="Calibri" w:hAnsi="Calibri" w:cs="Calibri"/>
          <w:sz w:val="20"/>
          <w:szCs w:val="20"/>
        </w:rPr>
        <w:t xml:space="preserve">Table </w:t>
      </w:r>
      <w:r w:rsidR="004C3B0D" w:rsidRPr="006112AD">
        <w:rPr>
          <w:rFonts w:ascii="Calibri" w:hAnsi="Calibri" w:cs="Calibri"/>
          <w:sz w:val="20"/>
          <w:szCs w:val="20"/>
        </w:rPr>
        <w:t>9</w:t>
      </w:r>
      <w:r w:rsidRPr="006112AD">
        <w:rPr>
          <w:rFonts w:ascii="Calibri" w:hAnsi="Calibri" w:cs="Calibri"/>
          <w:sz w:val="20"/>
          <w:szCs w:val="20"/>
        </w:rPr>
        <w:t xml:space="preserve">: </w:t>
      </w:r>
      <w:proofErr w:type="spellStart"/>
      <w:r w:rsidRPr="006112AD">
        <w:rPr>
          <w:rFonts w:ascii="Calibri" w:hAnsi="Calibri" w:cs="Calibri"/>
          <w:sz w:val="20"/>
          <w:szCs w:val="20"/>
        </w:rPr>
        <w:t>Levene’s</w:t>
      </w:r>
      <w:proofErr w:type="spellEnd"/>
      <w:r w:rsidRPr="006112AD">
        <w:rPr>
          <w:rFonts w:ascii="Calibri" w:hAnsi="Calibri" w:cs="Calibri"/>
          <w:sz w:val="20"/>
          <w:szCs w:val="20"/>
        </w:rPr>
        <w:t xml:space="preserve"> test</w:t>
      </w:r>
      <w:bookmarkEnd w:id="131"/>
    </w:p>
    <w:bookmarkEnd w:id="132"/>
    <w:p w14:paraId="27D5E263" w14:textId="6995AE98" w:rsidR="0098772B" w:rsidRPr="006112AD" w:rsidRDefault="0098772B" w:rsidP="006112AD">
      <w:pPr>
        <w:spacing w:line="240" w:lineRule="auto"/>
        <w:jc w:val="center"/>
        <w:rPr>
          <w:rFonts w:ascii="Calibri" w:hAnsi="Calibri" w:cs="Calibri"/>
          <w:iCs/>
          <w:color w:val="FF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48"/>
        <w:gridCol w:w="1748"/>
      </w:tblGrid>
      <w:tr w:rsidR="0098772B" w:rsidRPr="006112AD" w14:paraId="1911F3E2" w14:textId="77777777" w:rsidTr="00FF0CD1">
        <w:trPr>
          <w:trHeight w:val="276"/>
          <w:jc w:val="center"/>
        </w:trPr>
        <w:tc>
          <w:tcPr>
            <w:tcW w:w="1748" w:type="dxa"/>
            <w:tcBorders>
              <w:top w:val="single" w:sz="4" w:space="0" w:color="auto"/>
            </w:tcBorders>
            <w:vAlign w:val="center"/>
          </w:tcPr>
          <w:p w14:paraId="535AC6E1"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F-value</w:t>
            </w:r>
          </w:p>
        </w:tc>
        <w:tc>
          <w:tcPr>
            <w:tcW w:w="1748" w:type="dxa"/>
            <w:tcBorders>
              <w:top w:val="single" w:sz="4" w:space="0" w:color="auto"/>
            </w:tcBorders>
            <w:vAlign w:val="center"/>
          </w:tcPr>
          <w:p w14:paraId="5C8C9A8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3.287</w:t>
            </w:r>
          </w:p>
        </w:tc>
      </w:tr>
      <w:tr w:rsidR="0098772B" w:rsidRPr="006112AD" w14:paraId="250BDF5E" w14:textId="77777777" w:rsidTr="007D66BB">
        <w:trPr>
          <w:trHeight w:val="276"/>
          <w:jc w:val="center"/>
        </w:trPr>
        <w:tc>
          <w:tcPr>
            <w:tcW w:w="1748" w:type="dxa"/>
            <w:tcBorders>
              <w:bottom w:val="single" w:sz="4" w:space="0" w:color="auto"/>
            </w:tcBorders>
            <w:vAlign w:val="center"/>
          </w:tcPr>
          <w:p w14:paraId="60C5E4B7"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c>
          <w:tcPr>
            <w:tcW w:w="1748" w:type="dxa"/>
            <w:tcBorders>
              <w:bottom w:val="single" w:sz="4" w:space="0" w:color="auto"/>
            </w:tcBorders>
            <w:vAlign w:val="center"/>
          </w:tcPr>
          <w:p w14:paraId="22E4227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0.071</w:t>
            </w:r>
          </w:p>
        </w:tc>
      </w:tr>
    </w:tbl>
    <w:p w14:paraId="5384D757" w14:textId="77777777" w:rsidR="0098772B" w:rsidRPr="006112AD" w:rsidRDefault="0098772B" w:rsidP="006112AD">
      <w:pPr>
        <w:pStyle w:val="Heading33"/>
        <w:spacing w:line="240" w:lineRule="auto"/>
        <w:ind w:left="0"/>
        <w:rPr>
          <w:rFonts w:ascii="Calibri" w:eastAsiaTheme="minorHAnsi" w:hAnsi="Calibri" w:cs="Calibri"/>
          <w:sz w:val="20"/>
          <w:szCs w:val="20"/>
        </w:rPr>
      </w:pPr>
    </w:p>
    <w:p w14:paraId="2A45F54E" w14:textId="2E57F614" w:rsidR="0098772B" w:rsidRPr="006112AD"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The p-value for the independent samples T-test resulted to be less than 0.05 (&lt;0.001), as shown in Table </w:t>
      </w:r>
      <w:r w:rsidR="004C3B0D" w:rsidRPr="006112AD">
        <w:rPr>
          <w:rFonts w:ascii="Calibri" w:hAnsi="Calibri" w:cs="Calibri"/>
          <w:iCs/>
          <w:sz w:val="20"/>
          <w:szCs w:val="20"/>
        </w:rPr>
        <w:t>10</w:t>
      </w:r>
      <w:r w:rsidRPr="006112AD">
        <w:rPr>
          <w:rFonts w:ascii="Calibri" w:hAnsi="Calibri" w:cs="Calibri"/>
          <w:iCs/>
          <w:sz w:val="20"/>
          <w:szCs w:val="20"/>
        </w:rPr>
        <w:t xml:space="preserve">, thus the null hypothesis which stated that there is no statistical difference between the means of the two independent groups was rejected. </w:t>
      </w:r>
      <w:r w:rsidR="00FF0CD1" w:rsidRPr="006112AD">
        <w:rPr>
          <w:rFonts w:ascii="Calibri" w:hAnsi="Calibri" w:cs="Calibri"/>
          <w:iCs/>
          <w:sz w:val="20"/>
          <w:szCs w:val="20"/>
        </w:rPr>
        <w:t>Therefore,</w:t>
      </w:r>
      <w:r w:rsidRPr="006112AD">
        <w:rPr>
          <w:rFonts w:ascii="Calibri" w:hAnsi="Calibri" w:cs="Calibri"/>
          <w:iCs/>
          <w:sz w:val="20"/>
          <w:szCs w:val="20"/>
        </w:rPr>
        <w:t xml:space="preserve"> indicating that there is a statistical difference between the means of the two cohorts with regards to PC.  </w:t>
      </w:r>
    </w:p>
    <w:p w14:paraId="58E07CDD" w14:textId="7F883694" w:rsidR="0098772B" w:rsidRPr="006112AD" w:rsidRDefault="0098772B" w:rsidP="006112AD">
      <w:pPr>
        <w:pStyle w:val="TableHeading"/>
        <w:tabs>
          <w:tab w:val="left" w:pos="4962"/>
        </w:tabs>
        <w:spacing w:line="240" w:lineRule="auto"/>
        <w:rPr>
          <w:rFonts w:ascii="Calibri" w:hAnsi="Calibri" w:cs="Calibri"/>
          <w:sz w:val="20"/>
          <w:szCs w:val="20"/>
        </w:rPr>
      </w:pPr>
      <w:bookmarkStart w:id="133" w:name="_Toc198711789"/>
      <w:bookmarkStart w:id="134" w:name="_Hlk198378611"/>
      <w:r w:rsidRPr="006112AD">
        <w:rPr>
          <w:rFonts w:ascii="Calibri" w:hAnsi="Calibri" w:cs="Calibri"/>
          <w:sz w:val="20"/>
          <w:szCs w:val="20"/>
        </w:rPr>
        <w:t xml:space="preserve">Table </w:t>
      </w:r>
      <w:r w:rsidR="004C3B0D" w:rsidRPr="006112AD">
        <w:rPr>
          <w:rFonts w:ascii="Calibri" w:hAnsi="Calibri" w:cs="Calibri"/>
          <w:sz w:val="20"/>
          <w:szCs w:val="20"/>
        </w:rPr>
        <w:t>10</w:t>
      </w:r>
      <w:r w:rsidRPr="006112AD">
        <w:rPr>
          <w:rFonts w:ascii="Calibri" w:hAnsi="Calibri" w:cs="Calibri"/>
          <w:sz w:val="20"/>
          <w:szCs w:val="20"/>
        </w:rPr>
        <w:t>: Independent Samples T-test</w:t>
      </w:r>
      <w:bookmarkEnd w:id="133"/>
    </w:p>
    <w:bookmarkEnd w:id="134"/>
    <w:p w14:paraId="372307B9" w14:textId="21A95867" w:rsidR="0098772B" w:rsidRPr="006112AD" w:rsidRDefault="0098772B" w:rsidP="006112AD">
      <w:pPr>
        <w:spacing w:line="240" w:lineRule="auto"/>
        <w:jc w:val="center"/>
        <w:rPr>
          <w:rFonts w:ascii="Calibri" w:hAnsi="Calibri" w:cs="Calibri"/>
          <w:i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6"/>
        <w:gridCol w:w="1827"/>
      </w:tblGrid>
      <w:tr w:rsidR="0098772B" w:rsidRPr="006112AD" w14:paraId="49C459F5" w14:textId="77777777" w:rsidTr="000A3083">
        <w:trPr>
          <w:trHeight w:val="124"/>
          <w:jc w:val="center"/>
        </w:trPr>
        <w:tc>
          <w:tcPr>
            <w:tcW w:w="1826" w:type="dxa"/>
            <w:tcBorders>
              <w:top w:val="single" w:sz="4" w:space="0" w:color="auto"/>
            </w:tcBorders>
            <w:vAlign w:val="bottom"/>
          </w:tcPr>
          <w:p w14:paraId="55EC0B17" w14:textId="7EC59362"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T-value</w:t>
            </w:r>
          </w:p>
        </w:tc>
        <w:tc>
          <w:tcPr>
            <w:tcW w:w="1827" w:type="dxa"/>
            <w:tcBorders>
              <w:top w:val="single" w:sz="4" w:space="0" w:color="auto"/>
            </w:tcBorders>
            <w:vAlign w:val="bottom"/>
          </w:tcPr>
          <w:p w14:paraId="5B7244C0"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4.479</w:t>
            </w:r>
          </w:p>
        </w:tc>
      </w:tr>
      <w:tr w:rsidR="0098772B" w:rsidRPr="006112AD" w14:paraId="3A1C76C9" w14:textId="77777777" w:rsidTr="000A3083">
        <w:trPr>
          <w:trHeight w:val="201"/>
          <w:jc w:val="center"/>
        </w:trPr>
        <w:tc>
          <w:tcPr>
            <w:tcW w:w="1826" w:type="dxa"/>
            <w:tcBorders>
              <w:bottom w:val="single" w:sz="4" w:space="0" w:color="auto"/>
            </w:tcBorders>
          </w:tcPr>
          <w:p w14:paraId="0CBBEE8A" w14:textId="371ED25C"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c>
          <w:tcPr>
            <w:tcW w:w="1827" w:type="dxa"/>
            <w:tcBorders>
              <w:bottom w:val="single" w:sz="4" w:space="0" w:color="auto"/>
            </w:tcBorders>
            <w:vAlign w:val="center"/>
          </w:tcPr>
          <w:p w14:paraId="20BAD22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bl>
    <w:p w14:paraId="7105D056" w14:textId="77777777" w:rsidR="0098772B" w:rsidRPr="006112AD" w:rsidRDefault="0098772B" w:rsidP="006112AD">
      <w:pPr>
        <w:pStyle w:val="Heading33"/>
        <w:spacing w:line="240" w:lineRule="auto"/>
        <w:ind w:left="0"/>
        <w:rPr>
          <w:rFonts w:ascii="Calibri" w:eastAsiaTheme="minorHAnsi" w:hAnsi="Calibri" w:cs="Calibri"/>
          <w:sz w:val="20"/>
          <w:szCs w:val="20"/>
        </w:rPr>
      </w:pPr>
    </w:p>
    <w:p w14:paraId="071672D9" w14:textId="78B118B8" w:rsidR="0098772B" w:rsidRPr="006112AD" w:rsidRDefault="0098772B" w:rsidP="006112AD">
      <w:pPr>
        <w:spacing w:after="0" w:line="240" w:lineRule="auto"/>
        <w:jc w:val="both"/>
        <w:rPr>
          <w:rFonts w:ascii="Calibri" w:hAnsi="Calibri" w:cs="Calibri"/>
          <w:sz w:val="20"/>
          <w:szCs w:val="20"/>
        </w:rPr>
      </w:pPr>
      <w:r w:rsidRPr="006112AD">
        <w:rPr>
          <w:rFonts w:ascii="Calibri" w:hAnsi="Calibri" w:cs="Calibri"/>
          <w:iCs/>
          <w:sz w:val="20"/>
          <w:szCs w:val="20"/>
        </w:rPr>
        <w:lastRenderedPageBreak/>
        <w:t xml:space="preserve">Figure </w:t>
      </w:r>
      <w:r w:rsidR="004C3B0D" w:rsidRPr="006112AD">
        <w:rPr>
          <w:rFonts w:ascii="Calibri" w:hAnsi="Calibri" w:cs="Calibri"/>
          <w:iCs/>
          <w:sz w:val="20"/>
          <w:szCs w:val="20"/>
        </w:rPr>
        <w:t>9</w:t>
      </w:r>
      <w:r w:rsidRPr="006112AD">
        <w:rPr>
          <w:rFonts w:ascii="Calibri" w:hAnsi="Calibri" w:cs="Calibri"/>
          <w:iCs/>
          <w:sz w:val="20"/>
          <w:szCs w:val="20"/>
        </w:rPr>
        <w:t xml:space="preserve"> displays the 95% confidence interval for the actual mean </w:t>
      </w:r>
      <w:r w:rsidR="00113DF1" w:rsidRPr="006112AD">
        <w:rPr>
          <w:rFonts w:ascii="Calibri" w:hAnsi="Calibri" w:cs="Calibri"/>
          <w:iCs/>
          <w:sz w:val="20"/>
          <w:szCs w:val="20"/>
        </w:rPr>
        <w:t>PC</w:t>
      </w:r>
      <w:r w:rsidRPr="006112AD">
        <w:rPr>
          <w:rFonts w:ascii="Calibri" w:hAnsi="Calibri" w:cs="Calibri"/>
          <w:iCs/>
          <w:sz w:val="20"/>
          <w:szCs w:val="20"/>
        </w:rPr>
        <w:t xml:space="preserve"> for short and long holding times respectively. The two confidence intervals do not overlap, indicating that the mean PC for units with </w:t>
      </w:r>
      <w:proofErr w:type="gramStart"/>
      <w:r w:rsidRPr="006112AD">
        <w:rPr>
          <w:rFonts w:ascii="Calibri" w:hAnsi="Calibri" w:cs="Calibri"/>
          <w:iCs/>
          <w:sz w:val="20"/>
          <w:szCs w:val="20"/>
        </w:rPr>
        <w:t>a</w:t>
      </w:r>
      <w:proofErr w:type="gramEnd"/>
      <w:r w:rsidRPr="006112AD">
        <w:rPr>
          <w:rFonts w:ascii="Calibri" w:hAnsi="Calibri" w:cs="Calibri"/>
          <w:iCs/>
          <w:sz w:val="20"/>
          <w:szCs w:val="20"/>
        </w:rPr>
        <w:t xml:space="preserve"> </w:t>
      </w:r>
      <w:r w:rsidR="00E56922" w:rsidRPr="006112AD">
        <w:rPr>
          <w:rFonts w:ascii="Calibri" w:hAnsi="Calibri" w:cs="Calibri"/>
          <w:iCs/>
          <w:sz w:val="20"/>
          <w:szCs w:val="20"/>
        </w:rPr>
        <w:t>L</w:t>
      </w:r>
      <w:r w:rsidRPr="006112AD">
        <w:rPr>
          <w:rFonts w:ascii="Calibri" w:hAnsi="Calibri" w:cs="Calibri"/>
          <w:iCs/>
          <w:sz w:val="20"/>
          <w:szCs w:val="20"/>
        </w:rPr>
        <w:t xml:space="preserve">HT is significantly larger than the corresponding mean PC for the </w:t>
      </w:r>
      <w:r w:rsidR="00E56922" w:rsidRPr="006112AD">
        <w:rPr>
          <w:rFonts w:ascii="Calibri" w:hAnsi="Calibri" w:cs="Calibri"/>
          <w:iCs/>
          <w:sz w:val="20"/>
          <w:szCs w:val="20"/>
        </w:rPr>
        <w:t>S</w:t>
      </w:r>
      <w:r w:rsidRPr="006112AD">
        <w:rPr>
          <w:rFonts w:ascii="Calibri" w:hAnsi="Calibri" w:cs="Calibri"/>
          <w:iCs/>
          <w:sz w:val="20"/>
          <w:szCs w:val="20"/>
        </w:rPr>
        <w:t xml:space="preserve">HT cohort. The lower limit for the </w:t>
      </w:r>
      <w:r w:rsidR="00E56922" w:rsidRPr="006112AD">
        <w:rPr>
          <w:rFonts w:ascii="Calibri" w:hAnsi="Calibri" w:cs="Calibri"/>
          <w:iCs/>
          <w:sz w:val="20"/>
          <w:szCs w:val="20"/>
        </w:rPr>
        <w:t>L</w:t>
      </w:r>
      <w:r w:rsidRPr="006112AD">
        <w:rPr>
          <w:rFonts w:ascii="Calibri" w:hAnsi="Calibri" w:cs="Calibri"/>
          <w:iCs/>
          <w:sz w:val="20"/>
          <w:szCs w:val="20"/>
        </w:rPr>
        <w:t xml:space="preserve">HT is larger than the higher limit of the </w:t>
      </w:r>
      <w:r w:rsidR="00E56922" w:rsidRPr="006112AD">
        <w:rPr>
          <w:rFonts w:ascii="Calibri" w:hAnsi="Calibri" w:cs="Calibri"/>
          <w:iCs/>
          <w:sz w:val="20"/>
          <w:szCs w:val="20"/>
        </w:rPr>
        <w:t>S</w:t>
      </w:r>
      <w:r w:rsidRPr="006112AD">
        <w:rPr>
          <w:rFonts w:ascii="Calibri" w:hAnsi="Calibri" w:cs="Calibri"/>
          <w:iCs/>
          <w:sz w:val="20"/>
          <w:szCs w:val="20"/>
        </w:rPr>
        <w:t xml:space="preserve">HT as can be seen by the whiskers on the graph. The two bars can be seen to be of similar height, showing that there was a similar range of values. </w:t>
      </w:r>
    </w:p>
    <w:p w14:paraId="22442E50" w14:textId="77777777" w:rsidR="0098772B" w:rsidRPr="006112AD" w:rsidRDefault="0098772B" w:rsidP="006112AD">
      <w:pPr>
        <w:spacing w:after="0" w:line="240" w:lineRule="auto"/>
        <w:jc w:val="center"/>
        <w:rPr>
          <w:rFonts w:ascii="Calibri" w:hAnsi="Calibri" w:cs="Calibri"/>
          <w:b/>
          <w:bCs/>
          <w:iCs/>
          <w:sz w:val="20"/>
          <w:szCs w:val="20"/>
        </w:rPr>
      </w:pPr>
    </w:p>
    <w:p w14:paraId="2E38BC7A" w14:textId="2C4B0085" w:rsidR="0098772B" w:rsidRPr="006112AD" w:rsidRDefault="0098772B" w:rsidP="006112AD">
      <w:pPr>
        <w:spacing w:before="240" w:after="0" w:line="240" w:lineRule="auto"/>
        <w:jc w:val="center"/>
        <w:rPr>
          <w:rFonts w:ascii="Calibri" w:hAnsi="Calibri" w:cs="Calibri"/>
          <w:iCs/>
          <w:sz w:val="20"/>
          <w:szCs w:val="20"/>
        </w:rPr>
      </w:pPr>
    </w:p>
    <w:p w14:paraId="51A35E93" w14:textId="522EE93D" w:rsidR="0098772B" w:rsidRPr="006112AD" w:rsidRDefault="008E279A" w:rsidP="006112AD">
      <w:pPr>
        <w:tabs>
          <w:tab w:val="left" w:pos="8789"/>
        </w:tabs>
        <w:spacing w:after="0" w:line="240" w:lineRule="auto"/>
        <w:jc w:val="center"/>
        <w:rPr>
          <w:rFonts w:ascii="Calibri" w:hAnsi="Calibri" w:cs="Calibri"/>
          <w:iCs/>
          <w:sz w:val="20"/>
          <w:szCs w:val="20"/>
        </w:rPr>
      </w:pPr>
      <w:r w:rsidRPr="006B495C">
        <w:rPr>
          <w:rFonts w:ascii="Calibri" w:hAnsi="Calibri" w:cs="Calibri"/>
          <w:iCs/>
          <w:noProof/>
          <w:sz w:val="20"/>
          <w:szCs w:val="20"/>
        </w:rPr>
        <w:drawing>
          <wp:inline distT="0" distB="0" distL="0" distR="0" wp14:anchorId="6CB69E6D" wp14:editId="34E8B090">
            <wp:extent cx="3392311" cy="2153550"/>
            <wp:effectExtent l="0" t="0" r="0" b="0"/>
            <wp:docPr id="2118394314" name="Picture 1" descr="A graph with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94314" name="Picture 1" descr="A graph with green squares&#10;&#10;AI-generated content may be incorrect."/>
                    <pic:cNvPicPr/>
                  </pic:nvPicPr>
                  <pic:blipFill>
                    <a:blip r:embed="rId16"/>
                    <a:stretch>
                      <a:fillRect/>
                    </a:stretch>
                  </pic:blipFill>
                  <pic:spPr>
                    <a:xfrm>
                      <a:off x="0" y="0"/>
                      <a:ext cx="3413436" cy="2166961"/>
                    </a:xfrm>
                    <a:prstGeom prst="rect">
                      <a:avLst/>
                    </a:prstGeom>
                  </pic:spPr>
                </pic:pic>
              </a:graphicData>
            </a:graphic>
          </wp:inline>
        </w:drawing>
      </w:r>
    </w:p>
    <w:p w14:paraId="03700778" w14:textId="69113524" w:rsidR="0098772B" w:rsidRPr="006112AD" w:rsidRDefault="0098772B" w:rsidP="006112AD">
      <w:pPr>
        <w:pStyle w:val="FigureHeading"/>
        <w:spacing w:line="240" w:lineRule="auto"/>
        <w:rPr>
          <w:rFonts w:ascii="Calibri" w:hAnsi="Calibri" w:cs="Calibri"/>
          <w:sz w:val="20"/>
          <w:szCs w:val="20"/>
        </w:rPr>
      </w:pPr>
      <w:bookmarkStart w:id="135" w:name="_Toc198711481"/>
      <w:r w:rsidRPr="006112AD">
        <w:rPr>
          <w:rFonts w:ascii="Calibri" w:hAnsi="Calibri" w:cs="Calibri"/>
          <w:sz w:val="20"/>
          <w:szCs w:val="20"/>
        </w:rPr>
        <w:t xml:space="preserve">Figure </w:t>
      </w:r>
      <w:r w:rsidR="004C3B0D" w:rsidRPr="006112AD">
        <w:rPr>
          <w:rFonts w:ascii="Calibri" w:hAnsi="Calibri" w:cs="Calibri"/>
          <w:sz w:val="20"/>
          <w:szCs w:val="20"/>
        </w:rPr>
        <w:t>9</w:t>
      </w:r>
      <w:r w:rsidRPr="006112AD">
        <w:rPr>
          <w:rFonts w:ascii="Calibri" w:hAnsi="Calibri" w:cs="Calibri"/>
          <w:sz w:val="20"/>
          <w:szCs w:val="20"/>
        </w:rPr>
        <w:t>: Error bar graph of protein cohort means</w:t>
      </w:r>
      <w:bookmarkStart w:id="136" w:name="_Hlk198378627"/>
      <w:bookmarkEnd w:id="135"/>
    </w:p>
    <w:bookmarkEnd w:id="136"/>
    <w:p w14:paraId="241A5DD7" w14:textId="77777777" w:rsidR="0098772B" w:rsidRDefault="0098772B" w:rsidP="006112AD">
      <w:pPr>
        <w:tabs>
          <w:tab w:val="left" w:pos="8789"/>
        </w:tabs>
        <w:spacing w:line="240" w:lineRule="auto"/>
        <w:rPr>
          <w:rFonts w:ascii="Calibri" w:hAnsi="Calibri" w:cs="Calibri"/>
          <w:b/>
          <w:bCs/>
          <w:iCs/>
          <w:sz w:val="20"/>
          <w:szCs w:val="20"/>
        </w:rPr>
      </w:pPr>
    </w:p>
    <w:p w14:paraId="323CDA08" w14:textId="77777777" w:rsidR="00075317" w:rsidRPr="006112AD" w:rsidRDefault="00075317" w:rsidP="006112AD">
      <w:pPr>
        <w:tabs>
          <w:tab w:val="left" w:pos="8789"/>
        </w:tabs>
        <w:spacing w:line="240" w:lineRule="auto"/>
        <w:rPr>
          <w:rFonts w:ascii="Calibri" w:hAnsi="Calibri" w:cs="Calibri"/>
          <w:b/>
          <w:bCs/>
          <w:iCs/>
          <w:sz w:val="20"/>
          <w:szCs w:val="20"/>
        </w:rPr>
      </w:pPr>
    </w:p>
    <w:p w14:paraId="16B31D88" w14:textId="7669F790" w:rsidR="00F6633D" w:rsidRPr="000462D0" w:rsidRDefault="0098772B" w:rsidP="000462D0">
      <w:pPr>
        <w:pStyle w:val="ListParagraph"/>
        <w:numPr>
          <w:ilvl w:val="0"/>
          <w:numId w:val="38"/>
        </w:numPr>
        <w:spacing w:line="240" w:lineRule="auto"/>
        <w:rPr>
          <w:rFonts w:ascii="Calibri" w:hAnsi="Calibri" w:cs="Calibri"/>
          <w:b/>
          <w:bCs/>
          <w:sz w:val="20"/>
          <w:szCs w:val="20"/>
        </w:rPr>
      </w:pPr>
      <w:bookmarkStart w:id="137" w:name="_Toc198372566"/>
      <w:bookmarkStart w:id="138" w:name="_Toc199078023"/>
      <w:r w:rsidRPr="006112AD">
        <w:rPr>
          <w:rFonts w:ascii="Calibri" w:hAnsi="Calibri" w:cs="Calibri"/>
          <w:b/>
          <w:bCs/>
          <w:sz w:val="20"/>
          <w:szCs w:val="20"/>
        </w:rPr>
        <w:t>Statistical Process Control</w:t>
      </w:r>
      <w:bookmarkEnd w:id="137"/>
      <w:bookmarkEnd w:id="138"/>
    </w:p>
    <w:p w14:paraId="46F9913B" w14:textId="3B48B036" w:rsidR="0098772B" w:rsidRPr="006112AD" w:rsidRDefault="0098772B" w:rsidP="006112AD">
      <w:pPr>
        <w:spacing w:before="240" w:line="240" w:lineRule="auto"/>
        <w:jc w:val="both"/>
        <w:rPr>
          <w:rFonts w:ascii="Calibri" w:hAnsi="Calibri" w:cs="Calibri"/>
          <w:iCs/>
          <w:sz w:val="20"/>
          <w:szCs w:val="20"/>
        </w:rPr>
      </w:pPr>
      <w:r w:rsidRPr="006112AD">
        <w:rPr>
          <w:rFonts w:ascii="Calibri" w:hAnsi="Calibri" w:cs="Calibri"/>
          <w:iCs/>
          <w:sz w:val="20"/>
          <w:szCs w:val="20"/>
        </w:rPr>
        <w:t xml:space="preserve">According to statistical process control classification, leucocytes are classified as a critical parameter </w:t>
      </w:r>
      <w:r w:rsidR="00C33939">
        <w:rPr>
          <w:rFonts w:ascii="Calibri" w:hAnsi="Calibri" w:cs="Calibri"/>
          <w:iCs/>
          <w:sz w:val="20"/>
          <w:szCs w:val="20"/>
        </w:rPr>
        <w:t>since</w:t>
      </w:r>
      <w:r w:rsidRPr="006112AD">
        <w:rPr>
          <w:rFonts w:ascii="Calibri" w:hAnsi="Calibri" w:cs="Calibri"/>
          <w:iCs/>
          <w:sz w:val="20"/>
          <w:szCs w:val="20"/>
        </w:rPr>
        <w:t xml:space="preserve"> high levels put the patient in immediate harm due to the development of unwanted transfusion reactions. On the other hand, since plasma is not transfused for its total protein properties, a lower dose of protein would not put the patient at risk, thus this parameter is classified as having a low criticality level. The plasma volume is also considered to be of low criticality, as the indications for plasma transfusion are very limited and </w:t>
      </w:r>
      <w:r w:rsidR="003E0661" w:rsidRPr="006112AD">
        <w:rPr>
          <w:rFonts w:ascii="Calibri" w:hAnsi="Calibri" w:cs="Calibri"/>
          <w:iCs/>
          <w:sz w:val="20"/>
          <w:szCs w:val="20"/>
        </w:rPr>
        <w:t>the plasma product</w:t>
      </w:r>
      <w:r w:rsidR="003F4276" w:rsidRPr="006112AD">
        <w:rPr>
          <w:rFonts w:ascii="Calibri" w:hAnsi="Calibri" w:cs="Calibri"/>
          <w:iCs/>
          <w:sz w:val="20"/>
          <w:szCs w:val="20"/>
        </w:rPr>
        <w:t xml:space="preserve"> </w:t>
      </w:r>
      <w:r w:rsidRPr="006112AD">
        <w:rPr>
          <w:rFonts w:ascii="Calibri" w:hAnsi="Calibri" w:cs="Calibri"/>
          <w:iCs/>
          <w:sz w:val="20"/>
          <w:szCs w:val="20"/>
        </w:rPr>
        <w:t xml:space="preserve">is </w:t>
      </w:r>
      <w:r w:rsidR="003E0661" w:rsidRPr="006112AD">
        <w:rPr>
          <w:rFonts w:ascii="Calibri" w:hAnsi="Calibri" w:cs="Calibri"/>
          <w:iCs/>
          <w:sz w:val="20"/>
          <w:szCs w:val="20"/>
        </w:rPr>
        <w:t>most</w:t>
      </w:r>
      <w:r w:rsidR="003F4276" w:rsidRPr="006112AD">
        <w:rPr>
          <w:rFonts w:ascii="Calibri" w:hAnsi="Calibri" w:cs="Calibri"/>
          <w:iCs/>
          <w:sz w:val="20"/>
          <w:szCs w:val="20"/>
        </w:rPr>
        <w:t>ly</w:t>
      </w:r>
      <w:r w:rsidR="003E0661" w:rsidRPr="006112AD">
        <w:rPr>
          <w:rFonts w:ascii="Calibri" w:hAnsi="Calibri" w:cs="Calibri"/>
          <w:iCs/>
          <w:sz w:val="20"/>
          <w:szCs w:val="20"/>
        </w:rPr>
        <w:t xml:space="preserve"> used</w:t>
      </w:r>
      <w:r w:rsidRPr="006112AD">
        <w:rPr>
          <w:rFonts w:ascii="Calibri" w:hAnsi="Calibri" w:cs="Calibri"/>
          <w:iCs/>
          <w:sz w:val="20"/>
          <w:szCs w:val="20"/>
        </w:rPr>
        <w:t xml:space="preserve"> in conjunction with other blood components during massive blood loss </w:t>
      </w:r>
      <w:r w:rsidR="00947279">
        <w:rPr>
          <w:rFonts w:ascii="Calibri" w:hAnsi="Calibri" w:cs="Calibri"/>
          <w:iCs/>
          <w:sz w:val="20"/>
          <w:szCs w:val="20"/>
        </w:rPr>
        <w:t>or</w:t>
      </w:r>
      <w:r w:rsidRPr="006112AD">
        <w:rPr>
          <w:rFonts w:ascii="Calibri" w:hAnsi="Calibri" w:cs="Calibri"/>
          <w:iCs/>
          <w:sz w:val="20"/>
          <w:szCs w:val="20"/>
        </w:rPr>
        <w:t xml:space="preserve"> as a replacement fluid in plasma exchange therapies. Using the parameter criticality and calculated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values, the capability outcome could be determined. These results </w:t>
      </w:r>
      <w:r w:rsidR="003F4276" w:rsidRPr="006112AD">
        <w:rPr>
          <w:rFonts w:ascii="Calibri" w:hAnsi="Calibri" w:cs="Calibri"/>
          <w:iCs/>
          <w:sz w:val="20"/>
          <w:szCs w:val="20"/>
        </w:rPr>
        <w:t xml:space="preserve">have been </w:t>
      </w:r>
      <w:r w:rsidRPr="006112AD">
        <w:rPr>
          <w:rFonts w:ascii="Calibri" w:hAnsi="Calibri" w:cs="Calibri"/>
          <w:iCs/>
          <w:sz w:val="20"/>
          <w:szCs w:val="20"/>
        </w:rPr>
        <w:t xml:space="preserve">compiled in Table </w:t>
      </w:r>
      <w:r w:rsidR="0012038C" w:rsidRPr="006112AD">
        <w:rPr>
          <w:rFonts w:ascii="Calibri" w:hAnsi="Calibri" w:cs="Calibri"/>
          <w:iCs/>
          <w:sz w:val="20"/>
          <w:szCs w:val="20"/>
        </w:rPr>
        <w:t>11</w:t>
      </w:r>
      <w:r w:rsidRPr="006112AD">
        <w:rPr>
          <w:rFonts w:ascii="Calibri" w:hAnsi="Calibri" w:cs="Calibri"/>
          <w:iCs/>
          <w:sz w:val="20"/>
          <w:szCs w:val="20"/>
        </w:rPr>
        <w:t xml:space="preserve">. </w:t>
      </w:r>
    </w:p>
    <w:p w14:paraId="031955F5" w14:textId="77777777" w:rsidR="007872A2" w:rsidRDefault="007872A2" w:rsidP="006112AD">
      <w:pPr>
        <w:pStyle w:val="TableHeading"/>
        <w:spacing w:line="240" w:lineRule="auto"/>
        <w:rPr>
          <w:rFonts w:ascii="Calibri" w:hAnsi="Calibri" w:cs="Calibri"/>
          <w:sz w:val="20"/>
          <w:szCs w:val="20"/>
        </w:rPr>
      </w:pPr>
      <w:bookmarkStart w:id="139" w:name="_Hlk198378654"/>
      <w:bookmarkStart w:id="140" w:name="_Toc198711790"/>
    </w:p>
    <w:p w14:paraId="7A32541F" w14:textId="15D62A3E" w:rsidR="0098772B" w:rsidRPr="006112AD" w:rsidRDefault="0098772B" w:rsidP="006112AD">
      <w:pPr>
        <w:pStyle w:val="TableHeading"/>
        <w:spacing w:line="240" w:lineRule="auto"/>
        <w:rPr>
          <w:rFonts w:ascii="Calibri" w:hAnsi="Calibri" w:cs="Calibri"/>
          <w:sz w:val="20"/>
          <w:szCs w:val="20"/>
        </w:rPr>
      </w:pPr>
      <w:r w:rsidRPr="006112AD">
        <w:rPr>
          <w:rFonts w:ascii="Calibri" w:hAnsi="Calibri" w:cs="Calibri"/>
          <w:sz w:val="20"/>
          <w:szCs w:val="20"/>
        </w:rPr>
        <w:t>Table 1</w:t>
      </w:r>
      <w:r w:rsidR="0012038C" w:rsidRPr="006112AD">
        <w:rPr>
          <w:rFonts w:ascii="Calibri" w:hAnsi="Calibri" w:cs="Calibri"/>
          <w:sz w:val="20"/>
          <w:szCs w:val="20"/>
        </w:rPr>
        <w:t>1</w:t>
      </w:r>
      <w:r w:rsidRPr="006112AD">
        <w:rPr>
          <w:rFonts w:ascii="Calibri" w:hAnsi="Calibri" w:cs="Calibri"/>
          <w:sz w:val="20"/>
          <w:szCs w:val="20"/>
        </w:rPr>
        <w:t>: SPC Capabilities</w:t>
      </w:r>
      <w:bookmarkEnd w:id="139"/>
      <w:bookmarkEnd w:id="140"/>
    </w:p>
    <w:p w14:paraId="77D21980" w14:textId="77777777"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 xml:space="preserve">The calculated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value of each cohort for unit volume, RLC and protein concentration is represented in this table, together with the determined capability outcome, based on the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value and criticality.</w:t>
      </w:r>
    </w:p>
    <w:p w14:paraId="52294799" w14:textId="448A2CF5"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 xml:space="preserve">Legend: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 Capability index k/process capability index, RLC – Residual leucocyte count, OOS – out of specifications.</w:t>
      </w:r>
    </w:p>
    <w:tbl>
      <w:tblPr>
        <w:tblStyle w:val="TableGrid"/>
        <w:tblW w:w="9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2359"/>
        <w:gridCol w:w="1284"/>
        <w:gridCol w:w="1126"/>
        <w:gridCol w:w="834"/>
        <w:gridCol w:w="1284"/>
        <w:gridCol w:w="1297"/>
      </w:tblGrid>
      <w:tr w:rsidR="0098772B" w:rsidRPr="006112AD" w14:paraId="7EA09309" w14:textId="77777777" w:rsidTr="00F6633D">
        <w:trPr>
          <w:jc w:val="center"/>
        </w:trPr>
        <w:tc>
          <w:tcPr>
            <w:tcW w:w="1043" w:type="dxa"/>
            <w:tcBorders>
              <w:bottom w:val="single" w:sz="4" w:space="0" w:color="auto"/>
            </w:tcBorders>
          </w:tcPr>
          <w:p w14:paraId="14AC9B6A" w14:textId="77777777" w:rsidR="0098772B" w:rsidRPr="006112AD" w:rsidRDefault="0098772B" w:rsidP="006112AD">
            <w:pPr>
              <w:jc w:val="center"/>
              <w:rPr>
                <w:rFonts w:ascii="Calibri" w:hAnsi="Calibri" w:cs="Calibri"/>
                <w:iCs/>
                <w:sz w:val="20"/>
                <w:szCs w:val="20"/>
              </w:rPr>
            </w:pPr>
          </w:p>
        </w:tc>
        <w:tc>
          <w:tcPr>
            <w:tcW w:w="2359" w:type="dxa"/>
            <w:tcBorders>
              <w:bottom w:val="single" w:sz="4" w:space="0" w:color="auto"/>
            </w:tcBorders>
            <w:vAlign w:val="bottom"/>
          </w:tcPr>
          <w:p w14:paraId="3CD2FB63"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Parameter</w:t>
            </w:r>
          </w:p>
        </w:tc>
        <w:tc>
          <w:tcPr>
            <w:tcW w:w="1284" w:type="dxa"/>
            <w:tcBorders>
              <w:bottom w:val="single" w:sz="4" w:space="0" w:color="auto"/>
            </w:tcBorders>
            <w:vAlign w:val="bottom"/>
          </w:tcPr>
          <w:p w14:paraId="0502E28E"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b/>
                <w:bCs/>
                <w:color w:val="000000"/>
                <w:kern w:val="0"/>
                <w:sz w:val="20"/>
                <w:szCs w:val="20"/>
                <w:lang w:eastAsia="en-GB"/>
                <w14:ligatures w14:val="none"/>
              </w:rPr>
              <w:t>Criticality</w:t>
            </w:r>
          </w:p>
        </w:tc>
        <w:tc>
          <w:tcPr>
            <w:tcW w:w="1126" w:type="dxa"/>
            <w:tcBorders>
              <w:bottom w:val="single" w:sz="4" w:space="0" w:color="auto"/>
            </w:tcBorders>
            <w:vAlign w:val="bottom"/>
          </w:tcPr>
          <w:p w14:paraId="5ABA100A"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Mean</w:t>
            </w:r>
          </w:p>
        </w:tc>
        <w:tc>
          <w:tcPr>
            <w:tcW w:w="834" w:type="dxa"/>
            <w:tcBorders>
              <w:bottom w:val="single" w:sz="4" w:space="0" w:color="auto"/>
            </w:tcBorders>
            <w:vAlign w:val="bottom"/>
          </w:tcPr>
          <w:p w14:paraId="2F064127"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SD</w:t>
            </w:r>
          </w:p>
        </w:tc>
        <w:tc>
          <w:tcPr>
            <w:tcW w:w="1284" w:type="dxa"/>
            <w:tcBorders>
              <w:bottom w:val="single" w:sz="4" w:space="0" w:color="auto"/>
            </w:tcBorders>
            <w:vAlign w:val="bottom"/>
          </w:tcPr>
          <w:p w14:paraId="1DFE2FC4" w14:textId="77777777" w:rsidR="0098772B" w:rsidRPr="006112AD" w:rsidRDefault="0098772B" w:rsidP="006112AD">
            <w:pPr>
              <w:jc w:val="center"/>
              <w:rPr>
                <w:rFonts w:ascii="Calibri" w:hAnsi="Calibri" w:cs="Calibri"/>
                <w:iCs/>
                <w:sz w:val="20"/>
                <w:szCs w:val="20"/>
              </w:rPr>
            </w:pPr>
            <w:proofErr w:type="spellStart"/>
            <w:r w:rsidRPr="006112AD">
              <w:rPr>
                <w:rFonts w:ascii="Calibri" w:hAnsi="Calibri" w:cs="Calibri"/>
                <w:b/>
                <w:bCs/>
                <w:sz w:val="20"/>
                <w:szCs w:val="20"/>
              </w:rPr>
              <w:t>Cpk</w:t>
            </w:r>
            <w:proofErr w:type="spellEnd"/>
          </w:p>
        </w:tc>
        <w:tc>
          <w:tcPr>
            <w:tcW w:w="1297" w:type="dxa"/>
            <w:tcBorders>
              <w:bottom w:val="single" w:sz="4" w:space="0" w:color="auto"/>
            </w:tcBorders>
            <w:vAlign w:val="bottom"/>
          </w:tcPr>
          <w:p w14:paraId="3B7B2754"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Capability outcome</w:t>
            </w:r>
          </w:p>
        </w:tc>
      </w:tr>
      <w:tr w:rsidR="0098772B" w:rsidRPr="006112AD" w14:paraId="4EF7A03B" w14:textId="77777777" w:rsidTr="0012349D">
        <w:trPr>
          <w:jc w:val="center"/>
        </w:trPr>
        <w:tc>
          <w:tcPr>
            <w:tcW w:w="1043" w:type="dxa"/>
            <w:vMerge w:val="restart"/>
            <w:tcBorders>
              <w:top w:val="single" w:sz="4" w:space="0" w:color="auto"/>
            </w:tcBorders>
            <w:vAlign w:val="center"/>
          </w:tcPr>
          <w:p w14:paraId="7135B215"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Short Holding Time</w:t>
            </w:r>
          </w:p>
        </w:tc>
        <w:tc>
          <w:tcPr>
            <w:tcW w:w="2359" w:type="dxa"/>
            <w:tcBorders>
              <w:top w:val="single" w:sz="4" w:space="0" w:color="auto"/>
            </w:tcBorders>
            <w:vAlign w:val="center"/>
          </w:tcPr>
          <w:p w14:paraId="33FDCC89"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Volume</w:t>
            </w:r>
          </w:p>
        </w:tc>
        <w:tc>
          <w:tcPr>
            <w:tcW w:w="1284" w:type="dxa"/>
            <w:tcBorders>
              <w:top w:val="single" w:sz="4" w:space="0" w:color="auto"/>
            </w:tcBorders>
            <w:vAlign w:val="center"/>
          </w:tcPr>
          <w:p w14:paraId="2A9C75D1"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Low</w:t>
            </w:r>
          </w:p>
        </w:tc>
        <w:tc>
          <w:tcPr>
            <w:tcW w:w="1126" w:type="dxa"/>
            <w:tcBorders>
              <w:top w:val="single" w:sz="4" w:space="0" w:color="auto"/>
            </w:tcBorders>
            <w:vAlign w:val="center"/>
          </w:tcPr>
          <w:p w14:paraId="4F60A8C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276.17</w:t>
            </w:r>
          </w:p>
        </w:tc>
        <w:tc>
          <w:tcPr>
            <w:tcW w:w="834" w:type="dxa"/>
            <w:tcBorders>
              <w:top w:val="single" w:sz="4" w:space="0" w:color="auto"/>
            </w:tcBorders>
            <w:vAlign w:val="center"/>
          </w:tcPr>
          <w:p w14:paraId="4A3853B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13.71</w:t>
            </w:r>
          </w:p>
        </w:tc>
        <w:tc>
          <w:tcPr>
            <w:tcW w:w="1284" w:type="dxa"/>
            <w:tcBorders>
              <w:top w:val="single" w:sz="4" w:space="0" w:color="auto"/>
            </w:tcBorders>
            <w:vAlign w:val="center"/>
          </w:tcPr>
          <w:p w14:paraId="6DF0FA8F"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0.68</w:t>
            </w:r>
          </w:p>
        </w:tc>
        <w:tc>
          <w:tcPr>
            <w:tcW w:w="1297" w:type="dxa"/>
            <w:tcBorders>
              <w:top w:val="single" w:sz="4" w:space="0" w:color="auto"/>
            </w:tcBorders>
            <w:vAlign w:val="center"/>
          </w:tcPr>
          <w:p w14:paraId="50C920A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73748E0B" w14:textId="77777777" w:rsidTr="0012349D">
        <w:trPr>
          <w:jc w:val="center"/>
        </w:trPr>
        <w:tc>
          <w:tcPr>
            <w:tcW w:w="1043" w:type="dxa"/>
            <w:vMerge/>
            <w:vAlign w:val="center"/>
          </w:tcPr>
          <w:p w14:paraId="0CCADC4A" w14:textId="77777777" w:rsidR="0098772B" w:rsidRPr="006112AD" w:rsidRDefault="0098772B" w:rsidP="006112AD">
            <w:pPr>
              <w:jc w:val="center"/>
              <w:rPr>
                <w:rFonts w:ascii="Calibri" w:hAnsi="Calibri" w:cs="Calibri"/>
                <w:iCs/>
                <w:sz w:val="20"/>
                <w:szCs w:val="20"/>
              </w:rPr>
            </w:pPr>
          </w:p>
        </w:tc>
        <w:tc>
          <w:tcPr>
            <w:tcW w:w="2359" w:type="dxa"/>
            <w:vAlign w:val="center"/>
          </w:tcPr>
          <w:p w14:paraId="5D71C917"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Leucocytes</w:t>
            </w:r>
          </w:p>
        </w:tc>
        <w:tc>
          <w:tcPr>
            <w:tcW w:w="1284" w:type="dxa"/>
            <w:vAlign w:val="center"/>
          </w:tcPr>
          <w:p w14:paraId="713C58C2"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High</w:t>
            </w:r>
          </w:p>
        </w:tc>
        <w:tc>
          <w:tcPr>
            <w:tcW w:w="1126" w:type="dxa"/>
            <w:vAlign w:val="center"/>
          </w:tcPr>
          <w:p w14:paraId="33260FC6"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0.03</w:t>
            </w:r>
          </w:p>
        </w:tc>
        <w:tc>
          <w:tcPr>
            <w:tcW w:w="834" w:type="dxa"/>
            <w:vAlign w:val="center"/>
          </w:tcPr>
          <w:p w14:paraId="5637FE2A"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0.04</w:t>
            </w:r>
          </w:p>
        </w:tc>
        <w:tc>
          <w:tcPr>
            <w:tcW w:w="1284" w:type="dxa"/>
            <w:vAlign w:val="center"/>
          </w:tcPr>
          <w:p w14:paraId="3D1E65E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0.50</w:t>
            </w:r>
          </w:p>
        </w:tc>
        <w:tc>
          <w:tcPr>
            <w:tcW w:w="1297" w:type="dxa"/>
            <w:vAlign w:val="center"/>
          </w:tcPr>
          <w:p w14:paraId="523918A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Incapable</w:t>
            </w:r>
          </w:p>
        </w:tc>
      </w:tr>
      <w:tr w:rsidR="0098772B" w:rsidRPr="006112AD" w14:paraId="2DDBB5D3" w14:textId="77777777" w:rsidTr="0012349D">
        <w:trPr>
          <w:jc w:val="center"/>
        </w:trPr>
        <w:tc>
          <w:tcPr>
            <w:tcW w:w="1043" w:type="dxa"/>
            <w:vMerge/>
            <w:vAlign w:val="center"/>
          </w:tcPr>
          <w:p w14:paraId="597A3D19" w14:textId="77777777" w:rsidR="0098772B" w:rsidRPr="006112AD" w:rsidRDefault="0098772B" w:rsidP="006112AD">
            <w:pPr>
              <w:jc w:val="center"/>
              <w:rPr>
                <w:rFonts w:ascii="Calibri" w:hAnsi="Calibri" w:cs="Calibri"/>
                <w:iCs/>
                <w:sz w:val="20"/>
                <w:szCs w:val="20"/>
              </w:rPr>
            </w:pPr>
          </w:p>
        </w:tc>
        <w:tc>
          <w:tcPr>
            <w:tcW w:w="2359" w:type="dxa"/>
            <w:vAlign w:val="center"/>
          </w:tcPr>
          <w:p w14:paraId="4186C0B9"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Leucocytes (no OOS)</w:t>
            </w:r>
          </w:p>
        </w:tc>
        <w:tc>
          <w:tcPr>
            <w:tcW w:w="1284" w:type="dxa"/>
            <w:vAlign w:val="center"/>
          </w:tcPr>
          <w:p w14:paraId="699C4E79"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High</w:t>
            </w:r>
          </w:p>
        </w:tc>
        <w:tc>
          <w:tcPr>
            <w:tcW w:w="1126" w:type="dxa"/>
            <w:vAlign w:val="center"/>
          </w:tcPr>
          <w:p w14:paraId="2C7B6CE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0.02</w:t>
            </w:r>
          </w:p>
        </w:tc>
        <w:tc>
          <w:tcPr>
            <w:tcW w:w="834" w:type="dxa"/>
            <w:vAlign w:val="center"/>
          </w:tcPr>
          <w:p w14:paraId="160E61F8"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0.02</w:t>
            </w:r>
          </w:p>
        </w:tc>
        <w:tc>
          <w:tcPr>
            <w:tcW w:w="1284" w:type="dxa"/>
            <w:vAlign w:val="center"/>
          </w:tcPr>
          <w:p w14:paraId="40D11E77"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1.17</w:t>
            </w:r>
          </w:p>
        </w:tc>
        <w:tc>
          <w:tcPr>
            <w:tcW w:w="1297" w:type="dxa"/>
            <w:vAlign w:val="center"/>
          </w:tcPr>
          <w:p w14:paraId="318A9DF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Borderline</w:t>
            </w:r>
          </w:p>
        </w:tc>
      </w:tr>
      <w:tr w:rsidR="0098772B" w:rsidRPr="006112AD" w14:paraId="09BDDB31" w14:textId="77777777" w:rsidTr="0012349D">
        <w:trPr>
          <w:jc w:val="center"/>
        </w:trPr>
        <w:tc>
          <w:tcPr>
            <w:tcW w:w="1043" w:type="dxa"/>
            <w:vMerge/>
            <w:tcBorders>
              <w:bottom w:val="single" w:sz="4" w:space="0" w:color="auto"/>
            </w:tcBorders>
            <w:vAlign w:val="center"/>
          </w:tcPr>
          <w:p w14:paraId="60DB1AFE" w14:textId="77777777" w:rsidR="0098772B" w:rsidRPr="006112AD" w:rsidRDefault="0098772B" w:rsidP="006112AD">
            <w:pPr>
              <w:jc w:val="center"/>
              <w:rPr>
                <w:rFonts w:ascii="Calibri" w:hAnsi="Calibri" w:cs="Calibri"/>
                <w:iCs/>
                <w:sz w:val="20"/>
                <w:szCs w:val="20"/>
              </w:rPr>
            </w:pPr>
          </w:p>
        </w:tc>
        <w:tc>
          <w:tcPr>
            <w:tcW w:w="2359" w:type="dxa"/>
            <w:tcBorders>
              <w:bottom w:val="single" w:sz="4" w:space="0" w:color="auto"/>
            </w:tcBorders>
            <w:vAlign w:val="center"/>
          </w:tcPr>
          <w:p w14:paraId="50A77D15"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Proteins</w:t>
            </w:r>
          </w:p>
        </w:tc>
        <w:tc>
          <w:tcPr>
            <w:tcW w:w="1284" w:type="dxa"/>
            <w:tcBorders>
              <w:bottom w:val="single" w:sz="4" w:space="0" w:color="auto"/>
            </w:tcBorders>
            <w:vAlign w:val="center"/>
          </w:tcPr>
          <w:p w14:paraId="44765D4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Low</w:t>
            </w:r>
          </w:p>
        </w:tc>
        <w:tc>
          <w:tcPr>
            <w:tcW w:w="1126" w:type="dxa"/>
            <w:tcBorders>
              <w:bottom w:val="single" w:sz="4" w:space="0" w:color="auto"/>
            </w:tcBorders>
            <w:vAlign w:val="center"/>
          </w:tcPr>
          <w:p w14:paraId="0BE6488A"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60.52</w:t>
            </w:r>
          </w:p>
        </w:tc>
        <w:tc>
          <w:tcPr>
            <w:tcW w:w="834" w:type="dxa"/>
            <w:tcBorders>
              <w:bottom w:val="single" w:sz="4" w:space="0" w:color="auto"/>
            </w:tcBorders>
            <w:vAlign w:val="center"/>
          </w:tcPr>
          <w:p w14:paraId="1C798963"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3.57</w:t>
            </w:r>
          </w:p>
        </w:tc>
        <w:tc>
          <w:tcPr>
            <w:tcW w:w="1284" w:type="dxa"/>
            <w:tcBorders>
              <w:bottom w:val="single" w:sz="4" w:space="0" w:color="auto"/>
            </w:tcBorders>
            <w:vAlign w:val="center"/>
          </w:tcPr>
          <w:p w14:paraId="7D9857BA"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0.98</w:t>
            </w:r>
          </w:p>
        </w:tc>
        <w:tc>
          <w:tcPr>
            <w:tcW w:w="1297" w:type="dxa"/>
            <w:tcBorders>
              <w:bottom w:val="single" w:sz="4" w:space="0" w:color="auto"/>
            </w:tcBorders>
            <w:vAlign w:val="center"/>
          </w:tcPr>
          <w:p w14:paraId="586A86AF"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7A41A28A" w14:textId="77777777" w:rsidTr="0012349D">
        <w:trPr>
          <w:jc w:val="center"/>
        </w:trPr>
        <w:tc>
          <w:tcPr>
            <w:tcW w:w="1043" w:type="dxa"/>
            <w:vMerge w:val="restart"/>
            <w:tcBorders>
              <w:top w:val="single" w:sz="4" w:space="0" w:color="auto"/>
            </w:tcBorders>
            <w:vAlign w:val="center"/>
          </w:tcPr>
          <w:p w14:paraId="538EA4B1"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Long Holding Time</w:t>
            </w:r>
          </w:p>
        </w:tc>
        <w:tc>
          <w:tcPr>
            <w:tcW w:w="2359" w:type="dxa"/>
            <w:tcBorders>
              <w:top w:val="single" w:sz="4" w:space="0" w:color="auto"/>
            </w:tcBorders>
            <w:vAlign w:val="center"/>
          </w:tcPr>
          <w:p w14:paraId="2250F57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Volume</w:t>
            </w:r>
          </w:p>
        </w:tc>
        <w:tc>
          <w:tcPr>
            <w:tcW w:w="1284" w:type="dxa"/>
            <w:tcBorders>
              <w:top w:val="single" w:sz="4" w:space="0" w:color="auto"/>
            </w:tcBorders>
            <w:vAlign w:val="center"/>
          </w:tcPr>
          <w:p w14:paraId="16E6986D"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Low</w:t>
            </w:r>
          </w:p>
        </w:tc>
        <w:tc>
          <w:tcPr>
            <w:tcW w:w="1126" w:type="dxa"/>
            <w:tcBorders>
              <w:top w:val="single" w:sz="4" w:space="0" w:color="auto"/>
            </w:tcBorders>
            <w:vAlign w:val="center"/>
          </w:tcPr>
          <w:p w14:paraId="2772432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282.72</w:t>
            </w:r>
          </w:p>
        </w:tc>
        <w:tc>
          <w:tcPr>
            <w:tcW w:w="834" w:type="dxa"/>
            <w:tcBorders>
              <w:top w:val="single" w:sz="4" w:space="0" w:color="auto"/>
            </w:tcBorders>
            <w:vAlign w:val="center"/>
          </w:tcPr>
          <w:p w14:paraId="6587C3F3"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13.18</w:t>
            </w:r>
          </w:p>
        </w:tc>
        <w:tc>
          <w:tcPr>
            <w:tcW w:w="1284" w:type="dxa"/>
            <w:tcBorders>
              <w:top w:val="single" w:sz="4" w:space="0" w:color="auto"/>
            </w:tcBorders>
            <w:vAlign w:val="center"/>
          </w:tcPr>
          <w:p w14:paraId="247540B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0.71</w:t>
            </w:r>
          </w:p>
        </w:tc>
        <w:tc>
          <w:tcPr>
            <w:tcW w:w="1297" w:type="dxa"/>
            <w:tcBorders>
              <w:top w:val="single" w:sz="4" w:space="0" w:color="auto"/>
            </w:tcBorders>
            <w:vAlign w:val="center"/>
          </w:tcPr>
          <w:p w14:paraId="41411EA6"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5A12ED88" w14:textId="77777777" w:rsidTr="0012349D">
        <w:trPr>
          <w:jc w:val="center"/>
        </w:trPr>
        <w:tc>
          <w:tcPr>
            <w:tcW w:w="1043" w:type="dxa"/>
            <w:vMerge/>
            <w:vAlign w:val="center"/>
          </w:tcPr>
          <w:p w14:paraId="430578FA" w14:textId="77777777" w:rsidR="0098772B" w:rsidRPr="006112AD" w:rsidRDefault="0098772B" w:rsidP="006112AD">
            <w:pPr>
              <w:jc w:val="center"/>
              <w:rPr>
                <w:rFonts w:ascii="Calibri" w:hAnsi="Calibri" w:cs="Calibri"/>
                <w:iCs/>
                <w:sz w:val="20"/>
                <w:szCs w:val="20"/>
              </w:rPr>
            </w:pPr>
          </w:p>
        </w:tc>
        <w:tc>
          <w:tcPr>
            <w:tcW w:w="2359" w:type="dxa"/>
            <w:vAlign w:val="center"/>
          </w:tcPr>
          <w:p w14:paraId="43FED793"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Leucocytes</w:t>
            </w:r>
          </w:p>
        </w:tc>
        <w:tc>
          <w:tcPr>
            <w:tcW w:w="1284" w:type="dxa"/>
            <w:vAlign w:val="center"/>
          </w:tcPr>
          <w:p w14:paraId="22A10A8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High</w:t>
            </w:r>
          </w:p>
        </w:tc>
        <w:tc>
          <w:tcPr>
            <w:tcW w:w="1126" w:type="dxa"/>
            <w:vAlign w:val="center"/>
          </w:tcPr>
          <w:p w14:paraId="171EAF7F"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0.01</w:t>
            </w:r>
          </w:p>
        </w:tc>
        <w:tc>
          <w:tcPr>
            <w:tcW w:w="834" w:type="dxa"/>
            <w:vAlign w:val="center"/>
          </w:tcPr>
          <w:p w14:paraId="0F3F60A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0.01</w:t>
            </w:r>
          </w:p>
        </w:tc>
        <w:tc>
          <w:tcPr>
            <w:tcW w:w="1284" w:type="dxa"/>
            <w:vAlign w:val="center"/>
          </w:tcPr>
          <w:p w14:paraId="0D6C6F8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9.55</w:t>
            </w:r>
          </w:p>
        </w:tc>
        <w:tc>
          <w:tcPr>
            <w:tcW w:w="1297" w:type="dxa"/>
            <w:vAlign w:val="center"/>
          </w:tcPr>
          <w:p w14:paraId="13FFDEC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25DAD372" w14:textId="77777777" w:rsidTr="0012349D">
        <w:trPr>
          <w:jc w:val="center"/>
        </w:trPr>
        <w:tc>
          <w:tcPr>
            <w:tcW w:w="1043" w:type="dxa"/>
            <w:vMerge/>
            <w:tcBorders>
              <w:bottom w:val="single" w:sz="4" w:space="0" w:color="auto"/>
            </w:tcBorders>
          </w:tcPr>
          <w:p w14:paraId="232F67CE" w14:textId="77777777" w:rsidR="0098772B" w:rsidRPr="006112AD" w:rsidRDefault="0098772B" w:rsidP="006112AD">
            <w:pPr>
              <w:jc w:val="center"/>
              <w:rPr>
                <w:rFonts w:ascii="Calibri" w:hAnsi="Calibri" w:cs="Calibri"/>
                <w:iCs/>
                <w:sz w:val="20"/>
                <w:szCs w:val="20"/>
              </w:rPr>
            </w:pPr>
          </w:p>
        </w:tc>
        <w:tc>
          <w:tcPr>
            <w:tcW w:w="2359" w:type="dxa"/>
            <w:tcBorders>
              <w:bottom w:val="single" w:sz="4" w:space="0" w:color="auto"/>
            </w:tcBorders>
            <w:vAlign w:val="center"/>
          </w:tcPr>
          <w:p w14:paraId="6CAE04C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Proteins</w:t>
            </w:r>
          </w:p>
        </w:tc>
        <w:tc>
          <w:tcPr>
            <w:tcW w:w="1284" w:type="dxa"/>
            <w:tcBorders>
              <w:bottom w:val="single" w:sz="4" w:space="0" w:color="auto"/>
            </w:tcBorders>
            <w:vAlign w:val="center"/>
          </w:tcPr>
          <w:p w14:paraId="6AFB2AC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Low</w:t>
            </w:r>
          </w:p>
        </w:tc>
        <w:tc>
          <w:tcPr>
            <w:tcW w:w="1126" w:type="dxa"/>
            <w:tcBorders>
              <w:bottom w:val="single" w:sz="4" w:space="0" w:color="auto"/>
            </w:tcBorders>
            <w:vAlign w:val="center"/>
          </w:tcPr>
          <w:p w14:paraId="40A5DDE7"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62.55</w:t>
            </w:r>
          </w:p>
        </w:tc>
        <w:tc>
          <w:tcPr>
            <w:tcW w:w="834" w:type="dxa"/>
            <w:tcBorders>
              <w:bottom w:val="single" w:sz="4" w:space="0" w:color="auto"/>
            </w:tcBorders>
            <w:vAlign w:val="center"/>
          </w:tcPr>
          <w:p w14:paraId="363EC242"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2.76</w:t>
            </w:r>
          </w:p>
        </w:tc>
        <w:tc>
          <w:tcPr>
            <w:tcW w:w="1284" w:type="dxa"/>
            <w:tcBorders>
              <w:bottom w:val="single" w:sz="4" w:space="0" w:color="auto"/>
            </w:tcBorders>
            <w:vAlign w:val="center"/>
          </w:tcPr>
          <w:p w14:paraId="20AF2190"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1.52</w:t>
            </w:r>
          </w:p>
        </w:tc>
        <w:tc>
          <w:tcPr>
            <w:tcW w:w="1297" w:type="dxa"/>
            <w:tcBorders>
              <w:bottom w:val="single" w:sz="4" w:space="0" w:color="auto"/>
            </w:tcBorders>
            <w:vAlign w:val="center"/>
          </w:tcPr>
          <w:p w14:paraId="79A76501"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bl>
    <w:p w14:paraId="56EE8E76" w14:textId="77777777" w:rsidR="0098772B" w:rsidRPr="006112AD" w:rsidRDefault="0098772B" w:rsidP="006112AD">
      <w:pPr>
        <w:spacing w:after="0" w:line="240" w:lineRule="auto"/>
        <w:jc w:val="center"/>
        <w:rPr>
          <w:rFonts w:ascii="Calibri" w:hAnsi="Calibri" w:cs="Calibri"/>
          <w:iCs/>
          <w:sz w:val="20"/>
          <w:szCs w:val="20"/>
        </w:rPr>
      </w:pPr>
    </w:p>
    <w:p w14:paraId="18DC1ABD" w14:textId="77777777" w:rsidR="0098772B" w:rsidRPr="006112AD" w:rsidRDefault="0098772B" w:rsidP="006112AD">
      <w:pPr>
        <w:spacing w:after="0" w:line="240" w:lineRule="auto"/>
        <w:jc w:val="center"/>
        <w:rPr>
          <w:rFonts w:ascii="Calibri" w:hAnsi="Calibri" w:cs="Calibri"/>
          <w:iCs/>
          <w:sz w:val="20"/>
          <w:szCs w:val="20"/>
        </w:rPr>
      </w:pPr>
    </w:p>
    <w:p w14:paraId="547DBAFF" w14:textId="201D9DDF" w:rsidR="0098772B" w:rsidRPr="006112AD"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Also shown in Table </w:t>
      </w:r>
      <w:r w:rsidR="002C1209" w:rsidRPr="006112AD">
        <w:rPr>
          <w:rFonts w:ascii="Calibri" w:hAnsi="Calibri" w:cs="Calibri"/>
          <w:iCs/>
          <w:sz w:val="20"/>
          <w:szCs w:val="20"/>
        </w:rPr>
        <w:t>11</w:t>
      </w:r>
      <w:r w:rsidRPr="006112AD">
        <w:rPr>
          <w:rFonts w:ascii="Calibri" w:hAnsi="Calibri" w:cs="Calibri"/>
          <w:iCs/>
          <w:sz w:val="20"/>
          <w:szCs w:val="20"/>
        </w:rPr>
        <w:t xml:space="preserve">, when considering the volumes of FFP units, the capability outcome was capable for both cohorts. This is also true for PC. On the other hand, the capability outcome for the RLC of units with a SHT, was incapable. The process however was capable for units with </w:t>
      </w:r>
      <w:r w:rsidR="00FF6069" w:rsidRPr="006112AD">
        <w:rPr>
          <w:rFonts w:ascii="Calibri" w:hAnsi="Calibri" w:cs="Calibri"/>
          <w:iCs/>
          <w:sz w:val="20"/>
          <w:szCs w:val="20"/>
        </w:rPr>
        <w:t>an</w:t>
      </w:r>
      <w:r w:rsidRPr="006112AD">
        <w:rPr>
          <w:rFonts w:ascii="Calibri" w:hAnsi="Calibri" w:cs="Calibri"/>
          <w:iCs/>
          <w:sz w:val="20"/>
          <w:szCs w:val="20"/>
        </w:rPr>
        <w:t xml:space="preserve"> LHT. </w:t>
      </w:r>
    </w:p>
    <w:p w14:paraId="767BBA60" w14:textId="6A768799" w:rsidR="0098772B"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lastRenderedPageBreak/>
        <w:t xml:space="preserve">Out of specification (OOS) values were removed from the SHT cohort for RLC to assess the influence of outliers. When this was done, the process capability changed from incapable to borderline. </w:t>
      </w:r>
    </w:p>
    <w:p w14:paraId="3AA4C823" w14:textId="77777777" w:rsidR="00844576" w:rsidRPr="006112AD" w:rsidRDefault="00844576" w:rsidP="006112AD">
      <w:pPr>
        <w:spacing w:line="240" w:lineRule="auto"/>
        <w:jc w:val="both"/>
        <w:rPr>
          <w:rFonts w:ascii="Calibri" w:hAnsi="Calibri" w:cs="Calibri"/>
          <w:iCs/>
          <w:sz w:val="20"/>
          <w:szCs w:val="20"/>
        </w:rPr>
      </w:pPr>
    </w:p>
    <w:p w14:paraId="7C3E6028" w14:textId="4B0DCB1E" w:rsidR="00F6633D" w:rsidRPr="000462D0" w:rsidRDefault="0098772B" w:rsidP="000462D0">
      <w:pPr>
        <w:pStyle w:val="ListParagraph"/>
        <w:numPr>
          <w:ilvl w:val="0"/>
          <w:numId w:val="38"/>
        </w:numPr>
        <w:spacing w:line="240" w:lineRule="auto"/>
        <w:rPr>
          <w:rFonts w:ascii="Calibri" w:hAnsi="Calibri" w:cs="Calibri"/>
          <w:b/>
          <w:bCs/>
          <w:sz w:val="20"/>
          <w:szCs w:val="20"/>
        </w:rPr>
      </w:pPr>
      <w:bookmarkStart w:id="141" w:name="_Toc198372567"/>
      <w:bookmarkStart w:id="142" w:name="_Toc199078024"/>
      <w:r w:rsidRPr="000462D0">
        <w:rPr>
          <w:rFonts w:ascii="Calibri" w:hAnsi="Calibri" w:cs="Calibri"/>
          <w:b/>
          <w:bCs/>
          <w:sz w:val="20"/>
          <w:szCs w:val="20"/>
        </w:rPr>
        <w:t>Discussion</w:t>
      </w:r>
      <w:bookmarkEnd w:id="141"/>
      <w:bookmarkEnd w:id="142"/>
    </w:p>
    <w:p w14:paraId="13EB7322" w14:textId="0A8D857E" w:rsidR="0098772B" w:rsidRPr="006112AD" w:rsidRDefault="0098772B" w:rsidP="006112AD">
      <w:pPr>
        <w:spacing w:line="240" w:lineRule="auto"/>
        <w:jc w:val="both"/>
        <w:rPr>
          <w:rFonts w:ascii="Calibri" w:hAnsi="Calibri" w:cs="Calibri"/>
          <w:sz w:val="20"/>
          <w:szCs w:val="20"/>
        </w:rPr>
      </w:pPr>
      <w:r w:rsidRPr="006112AD">
        <w:rPr>
          <w:rFonts w:ascii="Calibri" w:hAnsi="Calibri" w:cs="Calibri"/>
          <w:sz w:val="20"/>
          <w:szCs w:val="20"/>
        </w:rPr>
        <w:t>FFP is a vital transfusion product which is indicated in cases of complex coagulopathies, severe bleeding, Vitamin K deficiency, and burns amongst others. As with other blood products, FFP is required to be of optimal quality for transfusion to ensure that the product has a therapeutic effect, and any unwanted adverse transfusion reactions are avoided for the safety of the patient. According to the EDQM non-filtered FFP must have a</w:t>
      </w:r>
      <w:r w:rsidR="003F4A41" w:rsidRPr="006112AD">
        <w:rPr>
          <w:rFonts w:ascii="Calibri" w:hAnsi="Calibri" w:cs="Calibri"/>
          <w:sz w:val="20"/>
          <w:szCs w:val="20"/>
        </w:rPr>
        <w:t xml:space="preserve"> </w:t>
      </w:r>
      <w:r w:rsidRPr="006112AD">
        <w:rPr>
          <w:rFonts w:ascii="Calibri" w:hAnsi="Calibri" w:cs="Calibri"/>
          <w:sz w:val="20"/>
          <w:szCs w:val="20"/>
        </w:rPr>
        <w:t>RLC of &lt;0.1x10</w:t>
      </w:r>
      <w:r w:rsidRPr="006112AD">
        <w:rPr>
          <w:rFonts w:ascii="Calibri" w:hAnsi="Calibri" w:cs="Calibri"/>
          <w:sz w:val="20"/>
          <w:szCs w:val="20"/>
          <w:vertAlign w:val="superscript"/>
        </w:rPr>
        <w:t>9</w:t>
      </w:r>
      <w:r w:rsidRPr="006112AD">
        <w:rPr>
          <w:rFonts w:ascii="Calibri" w:hAnsi="Calibri" w:cs="Calibri"/>
          <w:sz w:val="20"/>
          <w:szCs w:val="20"/>
        </w:rPr>
        <w:t xml:space="preserve"> cells/L and a total PC of ≥50g/L</w:t>
      </w:r>
      <w:r w:rsidR="00871EAA">
        <w:rPr>
          <w:rFonts w:ascii="Calibri" w:hAnsi="Calibri" w:cs="Calibri"/>
          <w:sz w:val="20"/>
          <w:szCs w:val="20"/>
        </w:rPr>
        <w:fldChar w:fldCharType="begin"/>
      </w:r>
      <w:r w:rsidR="00871EAA">
        <w:rPr>
          <w:rFonts w:ascii="Calibri" w:hAnsi="Calibri" w:cs="Calibri"/>
          <w:sz w:val="20"/>
          <w:szCs w:val="20"/>
        </w:rPr>
        <w:instrText xml:space="preserve"> ADDIN ZOTERO_ITEM CSL_CITATION {"citationID":"pLa5PFfn","properties":{"formattedCitation":"(1)","plainCitation":"(1)","noteIndex":0},"citationItems":[{"id":5389,"uris":["http://zotero.org/users/3782744/items/CV6ESY35"],"itemData":{"id":5389,"type":"webpage","container-title":"European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871EAA">
        <w:rPr>
          <w:rFonts w:ascii="Calibri" w:hAnsi="Calibri" w:cs="Calibri"/>
          <w:sz w:val="20"/>
          <w:szCs w:val="20"/>
        </w:rPr>
        <w:fldChar w:fldCharType="separate"/>
      </w:r>
      <w:r w:rsidR="00871EAA" w:rsidRPr="00871EAA">
        <w:rPr>
          <w:rFonts w:ascii="Calibri" w:hAnsi="Calibri" w:cs="Calibri"/>
          <w:sz w:val="20"/>
        </w:rPr>
        <w:t>(1)</w:t>
      </w:r>
      <w:r w:rsidR="00871EAA">
        <w:rPr>
          <w:rFonts w:ascii="Calibri" w:hAnsi="Calibri" w:cs="Calibri"/>
          <w:sz w:val="20"/>
          <w:szCs w:val="20"/>
        </w:rPr>
        <w:fldChar w:fldCharType="end"/>
      </w:r>
      <w:r w:rsidRPr="006112AD">
        <w:rPr>
          <w:rFonts w:ascii="Calibri" w:hAnsi="Calibri" w:cs="Calibri"/>
          <w:sz w:val="20"/>
          <w:szCs w:val="20"/>
        </w:rPr>
        <w:t>. These parameters are subject to variations due to various factors such as temperature, storage conditions, blood separation techniques and holding time which varies between units and is currently limited to 3 to 20 hours</w:t>
      </w:r>
      <w:r w:rsidR="00871EAA">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{"citationID":"czx6gawe","properties":{"formattedCitation":"(1,8)","plainCitation":"(1,8)","noteIndex":0},"citationItems":[{"id":5389,"uris":["http://zotero.org/users/3782744/items/CV6ESY35"],"itemData":{"id":5389,"type":"webpage","container-title":"European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der"},{"family":"Korte","given":"Dirk","non-dropping-particle":"de"}],"issued":{"date-parts":[["2015",1]]}},"label":"page"}],"schema":"https://github.com/citation-style-language/schema/raw/master/csl-citation.json"} </w:instrText>
      </w:r>
      <w:r w:rsidR="00871EAA">
        <w:rPr>
          <w:rFonts w:ascii="Calibri" w:hAnsi="Calibri" w:cs="Calibri"/>
          <w:sz w:val="20"/>
          <w:szCs w:val="20"/>
        </w:rPr>
        <w:fldChar w:fldCharType="separate"/>
      </w:r>
      <w:r w:rsidR="00040157" w:rsidRPr="00040157">
        <w:rPr>
          <w:rFonts w:ascii="Calibri" w:hAnsi="Calibri" w:cs="Calibri"/>
          <w:sz w:val="20"/>
        </w:rPr>
        <w:t>(1,8)</w:t>
      </w:r>
      <w:r w:rsidR="00871EAA">
        <w:rPr>
          <w:rFonts w:ascii="Calibri" w:hAnsi="Calibri" w:cs="Calibri"/>
          <w:sz w:val="20"/>
          <w:szCs w:val="20"/>
        </w:rPr>
        <w:fldChar w:fldCharType="end"/>
      </w:r>
      <w:r w:rsidR="005D0B19" w:rsidRPr="006112AD">
        <w:rPr>
          <w:rFonts w:ascii="Calibri" w:hAnsi="Calibri" w:cs="Calibri"/>
          <w:sz w:val="20"/>
          <w:szCs w:val="20"/>
        </w:rPr>
        <w:t>.</w:t>
      </w:r>
      <w:r w:rsidRPr="006112AD">
        <w:rPr>
          <w:rFonts w:ascii="Calibri" w:hAnsi="Calibri" w:cs="Calibri"/>
          <w:sz w:val="20"/>
          <w:szCs w:val="20"/>
        </w:rPr>
        <w:t xml:space="preserve"> This period between the collection of a blood donation and its separation is necessary for phagocytosis of any microorganisms by the bactericidal action of leucocytes, and leucocyte degradation</w:t>
      </w:r>
      <w:r w:rsidR="00947279">
        <w:rPr>
          <w:rFonts w:ascii="Calibri" w:hAnsi="Calibri" w:cs="Calibri"/>
          <w:sz w:val="20"/>
          <w:szCs w:val="20"/>
        </w:rPr>
        <w:t xml:space="preserve"> and inactivation</w:t>
      </w:r>
      <w:r w:rsidRPr="006112AD">
        <w:rPr>
          <w:rFonts w:ascii="Calibri" w:hAnsi="Calibri" w:cs="Calibri"/>
          <w:sz w:val="20"/>
          <w:szCs w:val="20"/>
        </w:rPr>
        <w:t xml:space="preserve">.  </w:t>
      </w:r>
    </w:p>
    <w:p w14:paraId="171E917A" w14:textId="6E9CDA43" w:rsidR="00D47008" w:rsidRDefault="0098772B" w:rsidP="00D47008">
      <w:pPr>
        <w:spacing w:before="240" w:line="240" w:lineRule="auto"/>
        <w:jc w:val="both"/>
        <w:rPr>
          <w:rFonts w:ascii="Calibri" w:hAnsi="Calibri" w:cs="Calibri"/>
          <w:sz w:val="20"/>
          <w:szCs w:val="20"/>
        </w:rPr>
      </w:pPr>
      <w:r w:rsidRPr="006112AD">
        <w:rPr>
          <w:rFonts w:ascii="Calibri" w:hAnsi="Calibri" w:cs="Calibri"/>
          <w:sz w:val="20"/>
          <w:szCs w:val="20"/>
        </w:rPr>
        <w:t xml:space="preserve">Thus, the aim of this study was to investigate whether there is a statistical correlation between holding time and RLC, as well as holding time and PC on which no </w:t>
      </w:r>
      <w:r w:rsidR="004913FB">
        <w:rPr>
          <w:rFonts w:ascii="Calibri" w:hAnsi="Calibri" w:cs="Calibri"/>
          <w:sz w:val="20"/>
          <w:szCs w:val="20"/>
        </w:rPr>
        <w:t>relative</w:t>
      </w:r>
      <w:r w:rsidRPr="006112AD">
        <w:rPr>
          <w:rFonts w:ascii="Calibri" w:hAnsi="Calibri" w:cs="Calibri"/>
          <w:sz w:val="20"/>
          <w:szCs w:val="20"/>
        </w:rPr>
        <w:t xml:space="preserve"> data is available in relation to holding time. In </w:t>
      </w:r>
      <w:r w:rsidR="00B50300" w:rsidRPr="006112AD">
        <w:rPr>
          <w:rFonts w:ascii="Calibri" w:hAnsi="Calibri" w:cs="Calibri"/>
          <w:sz w:val="20"/>
          <w:szCs w:val="20"/>
        </w:rPr>
        <w:t>addition,</w:t>
      </w:r>
      <w:r w:rsidRPr="006112AD">
        <w:rPr>
          <w:rFonts w:ascii="Calibri" w:hAnsi="Calibri" w:cs="Calibri"/>
          <w:sz w:val="20"/>
          <w:szCs w:val="20"/>
        </w:rPr>
        <w:t xml:space="preserve"> the study also aim</w:t>
      </w:r>
      <w:r w:rsidR="004812E0">
        <w:rPr>
          <w:rFonts w:ascii="Calibri" w:hAnsi="Calibri" w:cs="Calibri"/>
          <w:sz w:val="20"/>
          <w:szCs w:val="20"/>
        </w:rPr>
        <w:t>ed</w:t>
      </w:r>
      <w:r w:rsidRPr="006112AD">
        <w:rPr>
          <w:rFonts w:ascii="Calibri" w:hAnsi="Calibri" w:cs="Calibri"/>
          <w:sz w:val="20"/>
          <w:szCs w:val="20"/>
        </w:rPr>
        <w:t xml:space="preserve"> to determine if good procedural control is maintained by monitoring of SPC. The determination of a correlation between holding time and the RLC and PC parameters would enable further standardisation of whole blood processing. The objectives to establish this, were to measure and compare RLCs and PCs in a cohort of 100 units with a SHT and a cohort of another 100 units with </w:t>
      </w:r>
      <w:proofErr w:type="gramStart"/>
      <w:r w:rsidRPr="006112AD">
        <w:rPr>
          <w:rFonts w:ascii="Calibri" w:hAnsi="Calibri" w:cs="Calibri"/>
          <w:sz w:val="20"/>
          <w:szCs w:val="20"/>
        </w:rPr>
        <w:t>a</w:t>
      </w:r>
      <w:proofErr w:type="gramEnd"/>
      <w:r w:rsidRPr="006112AD">
        <w:rPr>
          <w:rFonts w:ascii="Calibri" w:hAnsi="Calibri" w:cs="Calibri"/>
          <w:sz w:val="20"/>
          <w:szCs w:val="20"/>
        </w:rPr>
        <w:t xml:space="preserve"> LHT. </w:t>
      </w:r>
      <w:r w:rsidR="008751FF" w:rsidRPr="006112AD">
        <w:rPr>
          <w:rFonts w:ascii="Calibri" w:hAnsi="Calibri" w:cs="Calibri"/>
          <w:sz w:val="20"/>
          <w:szCs w:val="20"/>
        </w:rPr>
        <w:t xml:space="preserve">The </w:t>
      </w:r>
      <w:r w:rsidRPr="006112AD">
        <w:rPr>
          <w:rFonts w:ascii="Calibri" w:hAnsi="Calibri" w:cs="Calibri"/>
          <w:sz w:val="20"/>
          <w:szCs w:val="20"/>
        </w:rPr>
        <w:t xml:space="preserve">LHT </w:t>
      </w:r>
      <w:r w:rsidR="008751FF" w:rsidRPr="006112AD">
        <w:rPr>
          <w:rFonts w:ascii="Calibri" w:hAnsi="Calibri" w:cs="Calibri"/>
          <w:sz w:val="20"/>
          <w:szCs w:val="20"/>
        </w:rPr>
        <w:t xml:space="preserve">cohort </w:t>
      </w:r>
      <w:r w:rsidR="007E091D" w:rsidRPr="006112AD">
        <w:rPr>
          <w:rFonts w:ascii="Calibri" w:hAnsi="Calibri" w:cs="Calibri"/>
          <w:sz w:val="20"/>
          <w:szCs w:val="20"/>
        </w:rPr>
        <w:t>refers to</w:t>
      </w:r>
      <w:r w:rsidRPr="006112AD">
        <w:rPr>
          <w:rFonts w:ascii="Calibri" w:hAnsi="Calibri" w:cs="Calibri"/>
          <w:sz w:val="20"/>
          <w:szCs w:val="20"/>
        </w:rPr>
        <w:t xml:space="preserve"> units collected</w:t>
      </w:r>
      <w:r w:rsidR="00C0086D" w:rsidRPr="006112AD">
        <w:rPr>
          <w:rFonts w:ascii="Calibri" w:hAnsi="Calibri" w:cs="Calibri"/>
          <w:sz w:val="20"/>
          <w:szCs w:val="20"/>
        </w:rPr>
        <w:t>,</w:t>
      </w:r>
      <w:r w:rsidRPr="006112AD">
        <w:rPr>
          <w:rFonts w:ascii="Calibri" w:hAnsi="Calibri" w:cs="Calibri"/>
          <w:sz w:val="20"/>
          <w:szCs w:val="20"/>
        </w:rPr>
        <w:t xml:space="preserve"> left overnight and processed the following day. </w:t>
      </w:r>
      <w:r w:rsidR="00FA156C" w:rsidRPr="006112AD">
        <w:rPr>
          <w:rFonts w:ascii="Calibri" w:hAnsi="Calibri" w:cs="Calibri"/>
          <w:sz w:val="20"/>
          <w:szCs w:val="20"/>
        </w:rPr>
        <w:t xml:space="preserve">SHT </w:t>
      </w:r>
      <w:r w:rsidR="00E44F01" w:rsidRPr="006112AD">
        <w:rPr>
          <w:rFonts w:ascii="Calibri" w:hAnsi="Calibri" w:cs="Calibri"/>
          <w:sz w:val="20"/>
          <w:szCs w:val="20"/>
        </w:rPr>
        <w:t xml:space="preserve">are units collected and processed on the same day </w:t>
      </w:r>
      <w:r w:rsidR="00B947BE" w:rsidRPr="006112AD">
        <w:rPr>
          <w:rFonts w:ascii="Calibri" w:hAnsi="Calibri" w:cs="Calibri"/>
          <w:sz w:val="20"/>
          <w:szCs w:val="20"/>
        </w:rPr>
        <w:t>with a standing time of approximately 3 – 4 hours.</w:t>
      </w:r>
      <w:r w:rsidR="003E7793" w:rsidRPr="006112AD">
        <w:rPr>
          <w:rFonts w:ascii="Calibri" w:hAnsi="Calibri" w:cs="Calibri"/>
          <w:sz w:val="20"/>
          <w:szCs w:val="20"/>
        </w:rPr>
        <w:t xml:space="preserve"> </w:t>
      </w:r>
      <w:r w:rsidRPr="006112AD">
        <w:rPr>
          <w:rFonts w:ascii="Calibri" w:hAnsi="Calibri" w:cs="Calibri"/>
          <w:sz w:val="20"/>
          <w:szCs w:val="20"/>
        </w:rPr>
        <w:t xml:space="preserve">The FFP unit volume, RLC, and PC were measured for each unit of the two cohorts. </w:t>
      </w:r>
    </w:p>
    <w:p w14:paraId="0B84044E" w14:textId="126E2F0F" w:rsidR="00D47008" w:rsidRPr="006112AD" w:rsidRDefault="00D47008" w:rsidP="00D47008">
      <w:pPr>
        <w:spacing w:before="240" w:line="240" w:lineRule="auto"/>
        <w:jc w:val="both"/>
        <w:rPr>
          <w:rFonts w:ascii="Calibri" w:hAnsi="Calibri" w:cs="Calibri"/>
          <w:color w:val="FF0000"/>
          <w:sz w:val="20"/>
          <w:szCs w:val="20"/>
        </w:rPr>
      </w:pPr>
      <w:r w:rsidRPr="006112AD">
        <w:rPr>
          <w:rFonts w:ascii="Calibri" w:hAnsi="Calibri" w:cs="Calibri"/>
          <w:sz w:val="20"/>
          <w:szCs w:val="20"/>
        </w:rPr>
        <w:t>The volumes of FFP units varied between 251mL and 306mL, with the mean of the LHT cohort being higher by 7mL tha</w:t>
      </w:r>
      <w:r w:rsidR="00FF47EF">
        <w:rPr>
          <w:rFonts w:ascii="Calibri" w:hAnsi="Calibri" w:cs="Calibri"/>
          <w:sz w:val="20"/>
          <w:szCs w:val="20"/>
        </w:rPr>
        <w:t>n</w:t>
      </w:r>
      <w:r w:rsidRPr="006112AD">
        <w:rPr>
          <w:rFonts w:ascii="Calibri" w:hAnsi="Calibri" w:cs="Calibri"/>
          <w:sz w:val="20"/>
          <w:szCs w:val="20"/>
        </w:rPr>
        <w:t xml:space="preserve"> that of the SHT cohort. The volume of a unit may be influenced by various factors including the automated separator used to derive the plasma component and centrifugation speed when separating the whole blood components</w:t>
      </w:r>
      <w:r w:rsidR="00871EAA">
        <w:rPr>
          <w:rFonts w:ascii="Calibri" w:hAnsi="Calibri" w:cs="Calibri"/>
          <w:sz w:val="20"/>
          <w:szCs w:val="20"/>
        </w:rPr>
        <w:fldChar w:fldCharType="begin"/>
      </w:r>
      <w:r w:rsidR="00871EAA">
        <w:rPr>
          <w:rFonts w:ascii="Calibri" w:hAnsi="Calibri" w:cs="Calibri"/>
          <w:sz w:val="20"/>
          <w:szCs w:val="20"/>
        </w:rPr>
        <w:instrText xml:space="preserve"> ADDIN ZOTERO_ITEM CSL_CITATION {"citationID":"knTlrO9h","properties":{"formattedCitation":"(1)","plainCitation":"(1)","noteIndex":0},"citationItems":[{"id":5389,"uris":["http://zotero.org/users/3782744/items/CV6ESY35"],"itemData":{"id":5389,"type":"webpage","container-title":"European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871EAA">
        <w:rPr>
          <w:rFonts w:ascii="Calibri" w:hAnsi="Calibri" w:cs="Calibri"/>
          <w:sz w:val="20"/>
          <w:szCs w:val="20"/>
        </w:rPr>
        <w:fldChar w:fldCharType="separate"/>
      </w:r>
      <w:r w:rsidR="00871EAA" w:rsidRPr="00871EAA">
        <w:rPr>
          <w:rFonts w:ascii="Calibri" w:hAnsi="Calibri" w:cs="Calibri"/>
          <w:sz w:val="20"/>
        </w:rPr>
        <w:t>(1)</w:t>
      </w:r>
      <w:r w:rsidR="00871EAA">
        <w:rPr>
          <w:rFonts w:ascii="Calibri" w:hAnsi="Calibri" w:cs="Calibri"/>
          <w:sz w:val="20"/>
          <w:szCs w:val="20"/>
        </w:rPr>
        <w:fldChar w:fldCharType="end"/>
      </w:r>
      <w:r w:rsidRPr="006112AD">
        <w:rPr>
          <w:rFonts w:ascii="Calibri" w:hAnsi="Calibri" w:cs="Calibri"/>
          <w:sz w:val="20"/>
          <w:szCs w:val="20"/>
        </w:rPr>
        <w:t xml:space="preserve">. Unfortunately, no literature which relates SHT and LHT in terms of volumes was discovered. </w:t>
      </w:r>
    </w:p>
    <w:p w14:paraId="60CA727E" w14:textId="6A553ACF" w:rsidR="006D4B1A"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FFP unit volumes differed by 7ml between the two cohorts, with that of the LHT cohort being higher. A higher number of FFP units with elevated RLCs were identified in the SHT cohort, which also had a wider variation of values. From this cohort of 100 units, 3 were identified as statistical outliers, </w:t>
      </w:r>
      <w:r w:rsidR="00AD17AF" w:rsidRPr="006112AD">
        <w:rPr>
          <w:rFonts w:ascii="Calibri" w:hAnsi="Calibri" w:cs="Calibri"/>
          <w:sz w:val="20"/>
          <w:szCs w:val="20"/>
        </w:rPr>
        <w:t xml:space="preserve">and overall, a total of </w:t>
      </w:r>
      <w:r w:rsidRPr="006112AD">
        <w:rPr>
          <w:rFonts w:ascii="Calibri" w:hAnsi="Calibri" w:cs="Calibri"/>
          <w:sz w:val="20"/>
          <w:szCs w:val="20"/>
        </w:rPr>
        <w:t xml:space="preserve">5 </w:t>
      </w:r>
      <w:r w:rsidR="001310AB" w:rsidRPr="006112AD">
        <w:rPr>
          <w:rFonts w:ascii="Calibri" w:hAnsi="Calibri" w:cs="Calibri"/>
          <w:sz w:val="20"/>
          <w:szCs w:val="20"/>
        </w:rPr>
        <w:t xml:space="preserve">units </w:t>
      </w:r>
      <w:r w:rsidRPr="006112AD">
        <w:rPr>
          <w:rFonts w:ascii="Calibri" w:hAnsi="Calibri" w:cs="Calibri"/>
          <w:sz w:val="20"/>
          <w:szCs w:val="20"/>
        </w:rPr>
        <w:t>exceeded the minimum acceptable RLC of &lt;0.1x10</w:t>
      </w:r>
      <w:r w:rsidRPr="006112AD">
        <w:rPr>
          <w:rFonts w:ascii="Calibri" w:hAnsi="Calibri" w:cs="Calibri"/>
          <w:sz w:val="20"/>
          <w:szCs w:val="20"/>
          <w:vertAlign w:val="superscript"/>
        </w:rPr>
        <w:t>9</w:t>
      </w:r>
      <w:r w:rsidRPr="006112AD">
        <w:rPr>
          <w:rFonts w:ascii="Calibri" w:hAnsi="Calibri" w:cs="Calibri"/>
          <w:sz w:val="20"/>
          <w:szCs w:val="20"/>
        </w:rPr>
        <w:t xml:space="preserve"> cells/L, making the difference between cohorts due to a SHT more significant. All units from the LHT cohort had acceptable RLCs, although a single unit was identified as an outlier statistically. The mean RLC of the SHT cohort was more than double that of the LHT cohort. PCs were all found to be adequate in both cohorts, however there was a statistical difference between the mean PCs of the two cohorts. </w:t>
      </w:r>
    </w:p>
    <w:p w14:paraId="26E78326" w14:textId="3BB01AD4" w:rsidR="005F463C" w:rsidRPr="006112AD" w:rsidRDefault="005F463C" w:rsidP="006112AD">
      <w:pPr>
        <w:spacing w:line="240" w:lineRule="auto"/>
        <w:jc w:val="both"/>
        <w:rPr>
          <w:rFonts w:ascii="Calibri" w:hAnsi="Calibri" w:cs="Calibri"/>
          <w:sz w:val="20"/>
          <w:szCs w:val="20"/>
        </w:rPr>
      </w:pPr>
      <w:r w:rsidRPr="006112AD">
        <w:rPr>
          <w:rFonts w:ascii="Calibri" w:hAnsi="Calibri" w:cs="Calibri"/>
          <w:sz w:val="20"/>
          <w:szCs w:val="20"/>
        </w:rPr>
        <w:t>Using a standard normal distribution</w:t>
      </w:r>
      <w:r w:rsidR="00FD2FF0">
        <w:rPr>
          <w:rFonts w:ascii="Calibri" w:hAnsi="Calibri" w:cs="Calibri"/>
          <w:sz w:val="20"/>
          <w:szCs w:val="20"/>
        </w:rPr>
        <w:t xml:space="preserve"> curve</w:t>
      </w:r>
      <w:r w:rsidRPr="006112AD">
        <w:rPr>
          <w:rFonts w:ascii="Calibri" w:hAnsi="Calibri" w:cs="Calibri"/>
          <w:sz w:val="20"/>
          <w:szCs w:val="20"/>
        </w:rPr>
        <w:t>, the probability of a unit having a Z-score exceeding ±3 is 0.27% (2 in 1000). Applied to a sample of 1000 units, this predicts approximately 2 outliers. In the SHT cohort of 100 units, 3 outliers (3%) were observed—substantially higher than expected. By contrast, the long holding time LHT cohort also of 100 units had only 1 outlier (1%), which, while slightly above the expected rate, was three times fewer than in the SHT cohort. These findings indicate that shorter holding times may be associated with increased variability and a higher likelihood of units exceeding acceptable leucocyte limits.</w:t>
      </w:r>
    </w:p>
    <w:p w14:paraId="736A6E16" w14:textId="0749540E" w:rsidR="0098772B" w:rsidRPr="006112AD" w:rsidRDefault="0098772B" w:rsidP="006112AD">
      <w:pPr>
        <w:spacing w:line="240" w:lineRule="auto"/>
        <w:jc w:val="both"/>
        <w:rPr>
          <w:rFonts w:ascii="Calibri" w:hAnsi="Calibri" w:cs="Calibri"/>
          <w:sz w:val="20"/>
          <w:szCs w:val="20"/>
        </w:rPr>
      </w:pPr>
      <w:r w:rsidRPr="006112AD">
        <w:rPr>
          <w:rFonts w:ascii="Calibri" w:hAnsi="Calibri" w:cs="Calibri"/>
          <w:sz w:val="20"/>
          <w:szCs w:val="20"/>
        </w:rPr>
        <w:t>The data collected showed that when comparing mean RLCs the two cohorts were found to be statistically different using the Mann Whitney test (p = &lt;0.001), with the mean of the SHT cohort being larger (0.029x10</w:t>
      </w:r>
      <w:r w:rsidRPr="006112AD">
        <w:rPr>
          <w:rFonts w:ascii="Calibri" w:hAnsi="Calibri" w:cs="Calibri"/>
          <w:sz w:val="20"/>
          <w:szCs w:val="20"/>
          <w:vertAlign w:val="superscript"/>
        </w:rPr>
        <w:t xml:space="preserve">9 </w:t>
      </w:r>
      <w:r w:rsidRPr="006112AD">
        <w:rPr>
          <w:rFonts w:ascii="Calibri" w:hAnsi="Calibri" w:cs="Calibri"/>
          <w:sz w:val="20"/>
          <w:szCs w:val="20"/>
        </w:rPr>
        <w:t>cells/L) than that of the LHT cohort (0.013x10</w:t>
      </w:r>
      <w:r w:rsidRPr="006112AD">
        <w:rPr>
          <w:rFonts w:ascii="Calibri" w:hAnsi="Calibri" w:cs="Calibri"/>
          <w:sz w:val="20"/>
          <w:szCs w:val="20"/>
          <w:vertAlign w:val="superscript"/>
        </w:rPr>
        <w:t>9</w:t>
      </w:r>
      <w:r w:rsidRPr="006112AD">
        <w:rPr>
          <w:rFonts w:ascii="Calibri" w:hAnsi="Calibri" w:cs="Calibri"/>
          <w:sz w:val="20"/>
          <w:szCs w:val="20"/>
        </w:rPr>
        <w:t xml:space="preserve"> cells/L) by more than twice as much. The presence of</w:t>
      </w:r>
      <w:r w:rsidR="00402675" w:rsidRPr="006112AD">
        <w:rPr>
          <w:rFonts w:ascii="Calibri" w:hAnsi="Calibri" w:cs="Calibri"/>
          <w:sz w:val="20"/>
          <w:szCs w:val="20"/>
        </w:rPr>
        <w:t xml:space="preserve"> OOS</w:t>
      </w:r>
      <w:r w:rsidRPr="006112AD">
        <w:rPr>
          <w:rFonts w:ascii="Calibri" w:hAnsi="Calibri" w:cs="Calibri"/>
          <w:sz w:val="20"/>
          <w:szCs w:val="20"/>
        </w:rPr>
        <w:t xml:space="preserve"> values most likely had some influence on the mean value since the data set was right-skewed, but the fact that more units with an elevated RLC were identified in the SHT cohort showed that the holding time did in fact have an influence on this parameter and this was consistent with the findings of the </w:t>
      </w:r>
      <w:r w:rsidR="003E7793" w:rsidRPr="006112AD">
        <w:rPr>
          <w:rFonts w:ascii="Calibri" w:hAnsi="Calibri" w:cs="Calibri"/>
          <w:sz w:val="20"/>
          <w:szCs w:val="20"/>
        </w:rPr>
        <w:t>local establishment</w:t>
      </w:r>
      <w:r w:rsidRPr="006112AD">
        <w:rPr>
          <w:rFonts w:ascii="Calibri" w:hAnsi="Calibri" w:cs="Calibri"/>
          <w:sz w:val="20"/>
          <w:szCs w:val="20"/>
        </w:rPr>
        <w:t xml:space="preserve">. </w:t>
      </w:r>
    </w:p>
    <w:p w14:paraId="00FC997B" w14:textId="3536654B" w:rsidR="00AE610B" w:rsidRPr="006112AD" w:rsidRDefault="0098772B" w:rsidP="006112AD">
      <w:pPr>
        <w:spacing w:line="240" w:lineRule="auto"/>
        <w:jc w:val="both"/>
        <w:rPr>
          <w:rFonts w:ascii="Calibri" w:hAnsi="Calibri" w:cs="Calibri"/>
          <w:sz w:val="20"/>
          <w:szCs w:val="20"/>
        </w:rPr>
      </w:pPr>
      <w:r w:rsidRPr="006112AD">
        <w:rPr>
          <w:rFonts w:ascii="Calibri" w:hAnsi="Calibri" w:cs="Calibri"/>
          <w:sz w:val="20"/>
          <w:szCs w:val="20"/>
        </w:rPr>
        <w:t>Various factors influencing transfusion products have been studied in the past few decades, however, there has been very little if any research specifically on the influence that holding time has on the RLC in plasma</w:t>
      </w:r>
      <w:r w:rsidR="00F6779D">
        <w:rPr>
          <w:rFonts w:ascii="Calibri" w:hAnsi="Calibri" w:cs="Calibri"/>
          <w:sz w:val="20"/>
          <w:szCs w:val="20"/>
        </w:rPr>
        <w:t xml:space="preserve"> </w:t>
      </w:r>
      <w:r w:rsidR="00871EAA">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bMTNmhjA","properties":{"formattedCitation":"(5,8\\uc0\\u8211{}14)","plainCitation":"(5,8–14)","noteIndex":0},"citationItems":[{"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der"},{"family":"Korte","given":"Dirk","non-dropping-particle":"de"}],"issued":{"date-parts":[["2015",1]]}},"label":"page"},{"id":5405,"uris":["http://zotero.org/users/3782744/items/DYG6Q6HQ"],"itemData":{"id":5405,"type":"article-journal","abstract":"BACKGROUND: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Ming"}],"issued":{"date-parts":[["2011",10]]}},"label":"page"},{"id":5444,"uris":["http://zotero.org/users/3782744/items/HSA37AVI"],"itemData":{"id":5444,"type":"article-journal","abstract":"BACKGROUND: The manufacture of fresh-frozen plasma (FFP) requires that plasma be frozen within 8 hours of collection and 24-hour frozen plasma requires 1 to 6°C refrigeration before freezing. Manufacture of plasma after a room temperature hold for 24 hours, while convenient, could compromise clotting factor levels.\nSTUDY DESIGN AND METHODS: Pairs of FFP and 24-hour room temperature-frozen plasma (PLT-rich plasma [PRP]-24HRTFP) were manufactured from PRP after a room temperature hold for 8 and 24 hours, respectively. Additional whole blood (WB) donations were kept at room temperature for 24 hours before plasma manufacture (WB-24HRTFP). The frozen plasma products were stored at -18°C, thawed, and then stored at 1 to 6°C, with coagulation factor assays performed for up to 7 days.\nRESULTS: On the day of thaw, Factor (F)VIII was lower in PRP-24HRTFP by 13% (p = 0.002) but not in WB-24HRTFP (p = 0.3) compared to FFP. All other clotting factors were within normal range. During the postthaw period FVIII and FV declined 25 and 6%, respectively, in WB-24HRTFP and 23 to 50% in the paired products; however, the difference between both types of 24HRTFP and FFP is insignificant by Day 7 (p &gt; 0.05). Other clotting factors either were unchanged or showed minimal reduction (&lt; 15%).\nCONCLUSION: Plasma manufactured after a 24-hour room temperature hold contains coagulation factors comparable to FFP except for a possible reduction of up to 20% in FVIII. This plasma appears suitable as a transfusable product and extension of liquid storage to 7 days merits consideration.","container-title":"Transfusion","DOI":"10.1111/j.1537-2995.2010.02648.x","ISSN":"1537-2995","issue":"9","journalAbbreviation":"Transfusion","language":"eng","note":"PMID: 20412526","page":"1934-1942","source":"PubMed","title":"Stability of coagulation factors in plasma prepared after a 24-hour room temperature hold","volume":"50","author":[{"family":"Alhumaidan","given":"Hiba"},{"family":"Cheves","given":"Tracey"},{"family":"Holme","given":"Stein"},{"family":"Sweeney","given":"Joseph"}],"issued":{"date-parts":[["2010",9]]}},"label":"page"},{"id":5480,"uris":["http://zotero.org/users/3782744/items/8RYK7BBN"],"itemData":{"id":5480,"type":"article-journal","abstract":"Background:\nThe aim of this study was to analyse and compare the activity of factor V, VIII and fibrinogen level in fresh frozen plasma and frozen plasma frozen after 8 hrs but within 24 hours after phlebotomy.\n\nMaterials and Methods:\nFresh frozen plasma separated from whole blood within 8 hours was compared with plasma separated within 24 hours after phlebotomy in terms of coagulation factors V and VIII and level of fibrinogen by standard methods using semi automated coagulometer sysmex CA50.\n\nResults:\nLonger storage of whole blood before processing resulted in significant decrease (18.4%) in activity of factor VIII but the fall in activity of factor V (6.52%) or level of fibrinogen (1.81%) was not significant.\n\nDiscussion:\nThese data suggest that there is good retention of coagulation factors in both types of plasma. Although there is significant fall in activity of factor VIII, but it is an acute phase reactant and raised in most of the diseases so it is suggested that frozen plasma would be an acceptable product for most patients requiring fresh frozen plasma.","container-title":"Asian Journal of Transfusion Science","DOI":"10.4103/0973-6247.150936","ISSN":"0973-6247","issue":"1","journalAbbreviation":"Asian J Transfus Sci","note":"PMID: 25722564\nPMCID: PMC4339934","page":"6-8","source":"PubMed Central","title":"Comparative analysis of activity of coagulation Factors V and VIII and level of fibrinogen in fresh frozen plasma and frozen plasma","volume":"9","author":[{"family":"Dogra","given":"Mitu"},{"family":"Sidhu","given":"Meena"},{"family":"Vasudev","given":"Rahul"},{"family":"Dogra","given":"Ashu"}],"issued":{"date-parts":[["2015"]]}},"label":"page"},{"id":5482,"uris":["http://zotero.org/users/3782744/items/G4MS4YFP"],"itemData":{"id":5482,"type":"article-journal","abstract":"BACKGROUND AND OBJECTIVES: The aim of this study was to evaluate the quality of leucocyte-depleted plasma produced from leucocyte-depleted whole blood, stored for different periods of times before filtration through polyurethane filters.\nMATERIALS AND METHODS: Whole blood was collected, from 48 voluntary donors, into quadruple blood bag sets with integrated whole-blood filters, and stored at room temperature for 1, 2, 6, or 18 h before filtration. Five samples were taken: one directly from the donor; one immediately after collection; one before and one after filtration; and one from plasma units before freezing. All samples were analysed for the following parameters: prothrombin time; activated partial thromboplastin time; prothrombin fragments F1+2; fibrinogen; factors VIII, XI and XII; von Willebrand factor antigen; ristocetin cofactor activity; collagen-binding capacity; multimers; and complement C3a-desArg.\nRESULTS: Different whole-blood storage times before filtration did not have a significant effect on the stability of coagulation factors. The activity of all investigated coagulation factors in plasma was generally above 90 U/dl, even after 18 h of storage of whole blood before filtration. von Willebrand factor multimeric distribution remained stable throughout the process. However, activation of complement did occur during storage.\nCONCLUSIONS: Leucodepleted plasma originating from leucodepleted whole blood maintains a satisfactory level of coagulation factors, even after the storage of whole blood for 18 h at room temperature before filtration.","container-title":"Vox Sanguinis","DOI":"10.1111/j.1423-0410.2004.00563.x","ISSN":"0042-9007","issue":"3","journalAbbreviation":"Vox Sang","language":"eng","note":"PMID: 15569067","page":"156-164","source":"PubMed","title":"Effects of extended storage of whole blood before leucocyte depletion on coagulation factors in plasma","volume":"87","author":[{"family":"Kretzschmar","given":"E."},{"family":"Kruse","given":"F."},{"family":"Greiss","given":"O."},{"family":"Paunovic","given":"D."},{"family":"Kallweit","given":"T."},{"family":"Trobisch","given":"H."}],"issued":{"date-parts":[["2004",10]]}},"label":"page"},{"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der"},{"family":"Wildt-Eggen","given":"Janny","non-dropping-particle":"de"}],"issued":{"date-parts":[["2006",4]]}},"label":"page"},{"id":5484,"uris":["http://zotero.org/users/3782744/items/YNVW5A6G"],"itemData":{"id":5484,"type":"article-journal","abstract":"Blood services routinely separate whole blood into components that are then stored under different conditions. The storage conditions used for whole blood prior to separation must therefore be a compromise between the needs of the red cells (which benefit from refrigeration) and plasma and platelets (which are better preserved at ambient temperature). For many years, the approach has been to manufacture plasma and platelet components on the day of blood collection, and to refrigerate any unprocessed blood for manufacture into red cell components on the following day. However, this can make it challenging to maintain adequate stocks of all components. The European practice of 'ambient hold' of whole blood for up to 24 hours prior to processing allows greater flexibility in blood component manufacture, and the data reviewed suggest there is relatively little impact on the quality of red cell or plasma components, and an improvement in the quality of platelet components.","container-title":"Transfusion Medicine (Oxford, England)","DOI":"10.1111/j.1365-3148.2010.01025.x","ISSN":"1365-3148","issue":"6","journalAbbreviation":"Transfus Med","language":"eng","note":"PMID: 20667039","page":"361-368","source":"PubMed","title":"Ambient overnight hold of whole blood prior to the manufacture of blood components","volume":"20","author":[{"family":"Thomas","given":"Stephen"}],"issued":{"date-parts":[["2010",12]]}},"label":"page"}],"schema":"https://github.com/citation-style-language/schema/raw/master/csl-citation.json"} </w:instrText>
      </w:r>
      <w:r w:rsidR="00871EAA">
        <w:rPr>
          <w:rFonts w:ascii="Calibri" w:hAnsi="Calibri" w:cs="Calibri"/>
          <w:sz w:val="20"/>
          <w:szCs w:val="20"/>
        </w:rPr>
        <w:fldChar w:fldCharType="separate"/>
      </w:r>
      <w:r w:rsidR="00040157" w:rsidRPr="00040157">
        <w:rPr>
          <w:rFonts w:ascii="Calibri" w:hAnsi="Calibri" w:cs="Calibri"/>
          <w:kern w:val="0"/>
          <w:sz w:val="20"/>
        </w:rPr>
        <w:t>(5,8–14)</w:t>
      </w:r>
      <w:r w:rsidR="00871EAA">
        <w:rPr>
          <w:rFonts w:ascii="Calibri" w:hAnsi="Calibri" w:cs="Calibri"/>
          <w:sz w:val="20"/>
          <w:szCs w:val="20"/>
        </w:rPr>
        <w:fldChar w:fldCharType="end"/>
      </w:r>
      <w:r w:rsidRPr="006112AD">
        <w:rPr>
          <w:rFonts w:ascii="Calibri" w:hAnsi="Calibri" w:cs="Calibri"/>
          <w:sz w:val="20"/>
          <w:szCs w:val="20"/>
        </w:rPr>
        <w:t xml:space="preserve"> There was a similar study carried out by van der Meer</w:t>
      </w:r>
      <w:r w:rsidR="00E73FB3">
        <w:rPr>
          <w:rFonts w:ascii="Calibri" w:hAnsi="Calibri" w:cs="Calibri"/>
          <w:sz w:val="20"/>
          <w:szCs w:val="20"/>
        </w:rPr>
        <w:t xml:space="preserve"> et al. </w:t>
      </w:r>
      <w:r w:rsidR="00E92DA4">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{"citationID":"VndF2Wgf","properties":{"formattedCitation":"(13)","plainCitation":"(13)","noteIndex":0},"citationItems":[{"id":5486,"uris":["http://zotero.org/users/3782744/items/MK3U2PN7"],"itemData":{"id":5486,"type":"article-journal","abstract":"BACKGROUND: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der"},{"family":"Wildt-Eggen","given":"Janny","non-dropping-particle":"de"}],"issued":{"date-parts":[["2006",4]]}}}],"schema":"https://github.com/citation-style-language/schema/raw/master/csl-citation.json"} </w:instrText>
      </w:r>
      <w:r w:rsidR="00E92DA4">
        <w:rPr>
          <w:rFonts w:ascii="Calibri" w:hAnsi="Calibri" w:cs="Calibri"/>
          <w:sz w:val="20"/>
          <w:szCs w:val="20"/>
        </w:rPr>
        <w:fldChar w:fldCharType="separate"/>
      </w:r>
      <w:r w:rsidR="00040157" w:rsidRPr="00040157">
        <w:rPr>
          <w:rFonts w:ascii="Calibri" w:hAnsi="Calibri" w:cs="Calibri"/>
          <w:sz w:val="20"/>
        </w:rPr>
        <w:t>(13)</w:t>
      </w:r>
      <w:r w:rsidR="00E92DA4">
        <w:rPr>
          <w:rFonts w:ascii="Calibri" w:hAnsi="Calibri" w:cs="Calibri"/>
          <w:sz w:val="20"/>
          <w:szCs w:val="20"/>
        </w:rPr>
        <w:fldChar w:fldCharType="end"/>
      </w:r>
      <w:r w:rsidR="00E92DA4">
        <w:rPr>
          <w:rFonts w:ascii="Calibri" w:hAnsi="Calibri" w:cs="Calibri"/>
          <w:sz w:val="20"/>
          <w:szCs w:val="20"/>
        </w:rPr>
        <w:t xml:space="preserve"> </w:t>
      </w:r>
      <w:r w:rsidRPr="006112AD">
        <w:rPr>
          <w:rFonts w:ascii="Calibri" w:hAnsi="Calibri" w:cs="Calibri"/>
          <w:sz w:val="20"/>
          <w:szCs w:val="20"/>
        </w:rPr>
        <w:t xml:space="preserve">where this correlation between RLC and holding </w:t>
      </w:r>
      <w:r w:rsidRPr="006112AD">
        <w:rPr>
          <w:rFonts w:ascii="Calibri" w:hAnsi="Calibri" w:cs="Calibri"/>
          <w:sz w:val="20"/>
          <w:szCs w:val="20"/>
        </w:rPr>
        <w:lastRenderedPageBreak/>
        <w:t xml:space="preserve">time was tested in whole blood and </w:t>
      </w:r>
      <w:proofErr w:type="spellStart"/>
      <w:r w:rsidRPr="006112AD">
        <w:rPr>
          <w:rFonts w:ascii="Calibri" w:hAnsi="Calibri" w:cs="Calibri"/>
          <w:sz w:val="20"/>
          <w:szCs w:val="20"/>
        </w:rPr>
        <w:t>leucodepleted</w:t>
      </w:r>
      <w:proofErr w:type="spellEnd"/>
      <w:r w:rsidRPr="006112AD">
        <w:rPr>
          <w:rFonts w:ascii="Calibri" w:hAnsi="Calibri" w:cs="Calibri"/>
          <w:sz w:val="20"/>
          <w:szCs w:val="20"/>
        </w:rPr>
        <w:t xml:space="preserve"> red cell concentrates. RLCs were measured at different holding times and were found to increase with a longer holding time prior to whole blood processing</w:t>
      </w:r>
      <w:r w:rsidR="00E92DA4">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{"citationID":"l20ht12U","properties":{"formattedCitation":"(13,14)","plainCitation":"(13,14)","noteIndex":0},"citationItems":[{"id":5486,"uris":["http://zotero.org/users/3782744/items/MK3U2PN7"],"itemData":{"id":5486,"type":"article-journal","abstract":"BACKGROUND: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der"},{"family":"Wildt-Eggen","given":"Janny","non-dropping-particle":"de"}],"issued":{"date-parts":[["2006",4]]}},"label":"page"},{"id":5484,"uris":["http://zotero.org/users/3782744/items/YNVW5A6G"],"itemData":{"id":5484,"type":"article-journal","abstract":"Blood services routinely separate whole blood into components that are then stored under different conditions. The storage conditions used for whole blood prior to separation must therefore be a compromise between the needs of the red cells (which benefit from refrigeration) and plasma and platelets (which are better preserved at ambient temperature). For many years, the approach has been to manufacture plasma and platelet components on the day of blood collection, and to refrigerate any unprocessed blood for manufacture into red cell components on the following day. However, this can make it challenging to maintain adequate stocks of all components. The European practice of 'ambient hold' of whole blood for up to 24 hours prior to processing allows greater flexibility in blood component manufacture, and the data reviewed suggest there is relatively little impact on the quality of red cell or plasma components, and an improvement in the quality of platelet components.","container-title":"Transfusion Medicine (Oxford, England)","DOI":"10.1111/j.1365-3148.2010.01025.x","ISSN":"1365-3148","issue":"6","journalAbbreviation":"Transfus Med","language":"eng","note":"PMID: 20667039","page":"361-368","source":"PubMed","title":"Ambient overnight hold of whole blood prior to the manufacture of blood components","volume":"20","author":[{"family":"Thomas","given":"Stephen"}],"issued":{"date-parts":[["2010",12]]}},"label":"page"}],"schema":"https://github.com/citation-style-language/schema/raw/master/csl-citation.json"} </w:instrText>
      </w:r>
      <w:r w:rsidR="00E92DA4">
        <w:rPr>
          <w:rFonts w:ascii="Calibri" w:hAnsi="Calibri" w:cs="Calibri"/>
          <w:sz w:val="20"/>
          <w:szCs w:val="20"/>
        </w:rPr>
        <w:fldChar w:fldCharType="separate"/>
      </w:r>
      <w:r w:rsidR="00040157" w:rsidRPr="00040157">
        <w:rPr>
          <w:rFonts w:ascii="Calibri" w:hAnsi="Calibri" w:cs="Calibri"/>
          <w:sz w:val="20"/>
        </w:rPr>
        <w:t>(13,14)</w:t>
      </w:r>
      <w:r w:rsidR="00E92DA4">
        <w:rPr>
          <w:rFonts w:ascii="Calibri" w:hAnsi="Calibri" w:cs="Calibri"/>
          <w:sz w:val="20"/>
          <w:szCs w:val="20"/>
        </w:rPr>
        <w:fldChar w:fldCharType="end"/>
      </w:r>
      <w:r w:rsidR="00E92DA4">
        <w:rPr>
          <w:rFonts w:ascii="Calibri" w:hAnsi="Calibri" w:cs="Calibri"/>
          <w:sz w:val="20"/>
          <w:szCs w:val="20"/>
        </w:rPr>
        <w:t>,</w:t>
      </w:r>
      <w:r w:rsidRPr="006112AD">
        <w:rPr>
          <w:rFonts w:ascii="Calibri" w:hAnsi="Calibri" w:cs="Calibri"/>
          <w:sz w:val="20"/>
          <w:szCs w:val="20"/>
        </w:rPr>
        <w:t xml:space="preserve"> whereas the findings in the current study showed that the mean RLCs decreased with time, most likely due to leucocyte degradation. However, it must be considered that in the study by van der Meer</w:t>
      </w:r>
      <w:r w:rsidR="00E73FB3">
        <w:rPr>
          <w:rFonts w:ascii="Calibri" w:hAnsi="Calibri" w:cs="Calibri"/>
          <w:sz w:val="20"/>
          <w:szCs w:val="20"/>
        </w:rPr>
        <w:t xml:space="preserve"> et al. </w:t>
      </w:r>
      <w:r w:rsidR="00E92DA4">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{"citationID":"chPiECIC","properties":{"formattedCitation":"(13)","plainCitation":"(13)","noteIndex":0},"citationItems":[{"id":5486,"uris":["http://zotero.org/users/3782744/items/MK3U2PN7"],"itemData":{"id":5486,"type":"article-journal","abstract":"BACKGROUND: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der"},{"family":"Wildt-Eggen","given":"Janny","non-dropping-particle":"de"}],"issued":{"date-parts":[["2006",4]]}}}],"schema":"https://github.com/citation-style-language/schema/raw/master/csl-citation.json"} </w:instrText>
      </w:r>
      <w:r w:rsidR="00E92DA4">
        <w:rPr>
          <w:rFonts w:ascii="Calibri" w:hAnsi="Calibri" w:cs="Calibri"/>
          <w:sz w:val="20"/>
          <w:szCs w:val="20"/>
        </w:rPr>
        <w:fldChar w:fldCharType="separate"/>
      </w:r>
      <w:r w:rsidR="00040157" w:rsidRPr="00040157">
        <w:rPr>
          <w:rFonts w:ascii="Calibri" w:hAnsi="Calibri" w:cs="Calibri"/>
          <w:sz w:val="20"/>
        </w:rPr>
        <w:t>(13)</w:t>
      </w:r>
      <w:r w:rsidR="00E92DA4">
        <w:rPr>
          <w:rFonts w:ascii="Calibri" w:hAnsi="Calibri" w:cs="Calibri"/>
          <w:sz w:val="20"/>
          <w:szCs w:val="20"/>
        </w:rPr>
        <w:fldChar w:fldCharType="end"/>
      </w:r>
      <w:r w:rsidRPr="006112AD">
        <w:rPr>
          <w:rFonts w:ascii="Calibri" w:hAnsi="Calibri" w:cs="Calibri"/>
          <w:sz w:val="20"/>
          <w:szCs w:val="20"/>
        </w:rPr>
        <w:t xml:space="preserve"> this parameter was tested in other blood products and not FFP. Additionally, the blood products were </w:t>
      </w:r>
      <w:proofErr w:type="spellStart"/>
      <w:r w:rsidRPr="006112AD">
        <w:rPr>
          <w:rFonts w:ascii="Calibri" w:hAnsi="Calibri" w:cs="Calibri"/>
          <w:sz w:val="20"/>
          <w:szCs w:val="20"/>
        </w:rPr>
        <w:t>leucodepleted</w:t>
      </w:r>
      <w:proofErr w:type="spellEnd"/>
      <w:r w:rsidRPr="006112AD">
        <w:rPr>
          <w:rFonts w:ascii="Calibri" w:hAnsi="Calibri" w:cs="Calibri"/>
          <w:sz w:val="20"/>
          <w:szCs w:val="20"/>
        </w:rPr>
        <w:t xml:space="preserve"> prior to testing, unlike the current study which used non-filtered FFP.</w:t>
      </w:r>
      <w:r w:rsidR="00AE610B" w:rsidRPr="006112AD">
        <w:rPr>
          <w:rFonts w:ascii="Calibri" w:hAnsi="Calibri" w:cs="Calibri"/>
          <w:sz w:val="20"/>
          <w:szCs w:val="20"/>
        </w:rPr>
        <w:t xml:space="preserve"> </w:t>
      </w:r>
    </w:p>
    <w:p w14:paraId="55ED068F" w14:textId="4F50F39C" w:rsidR="0098772B" w:rsidRPr="006112AD" w:rsidRDefault="00AE610B" w:rsidP="006112AD">
      <w:pPr>
        <w:spacing w:line="240" w:lineRule="auto"/>
        <w:jc w:val="both"/>
        <w:rPr>
          <w:rFonts w:ascii="Calibri" w:hAnsi="Calibri" w:cs="Calibri"/>
          <w:sz w:val="20"/>
          <w:szCs w:val="20"/>
        </w:rPr>
      </w:pPr>
      <w:r w:rsidRPr="006112AD">
        <w:rPr>
          <w:rFonts w:ascii="Calibri" w:hAnsi="Calibri" w:cs="Calibri"/>
          <w:sz w:val="20"/>
          <w:szCs w:val="20"/>
        </w:rPr>
        <w:t>W</w:t>
      </w:r>
      <w:r w:rsidR="0098772B" w:rsidRPr="006112AD">
        <w:rPr>
          <w:rFonts w:ascii="Calibri" w:hAnsi="Calibri" w:cs="Calibri"/>
          <w:sz w:val="20"/>
          <w:szCs w:val="20"/>
        </w:rPr>
        <w:t xml:space="preserve">ith regards to PCs, although no outliers were identified and all PCs were above the minimum limit set by the EDQM (that is ≥50g/L), the means of the two cohorts were also deemed to have a statistical difference according to the p-value obtained from the independent samples T-test (p = &lt;0.001). Since the LHT cohort had a larger mean value (62.55g/L) than that of the SHT (60.52g/L) this would indicate that a longer holding time resulted in a slightly higher mean PC. </w:t>
      </w:r>
    </w:p>
    <w:p w14:paraId="40D72BCA" w14:textId="0A4A2091"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Unlike RLCs, proteins in plasma products have been more extensively studied, however such studies did not test total PCs, but rather </w:t>
      </w:r>
      <w:r w:rsidR="00DF5330" w:rsidRPr="006112AD">
        <w:rPr>
          <w:rFonts w:ascii="Calibri" w:hAnsi="Calibri" w:cs="Calibri"/>
          <w:sz w:val="20"/>
          <w:szCs w:val="20"/>
        </w:rPr>
        <w:t xml:space="preserve">specific proteins, mainly </w:t>
      </w:r>
      <w:r w:rsidRPr="006112AD">
        <w:rPr>
          <w:rFonts w:ascii="Calibri" w:hAnsi="Calibri" w:cs="Calibri"/>
          <w:sz w:val="20"/>
          <w:szCs w:val="20"/>
        </w:rPr>
        <w:t>coagulation factors</w:t>
      </w:r>
      <w:r w:rsidR="00EF778F">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{"citationID":"h8vpc1OM","properties":{"formattedCitation":"(10,12)","plainCitation":"(10,12)","noteIndex":0},"citationItems":[{"id":5444,"uris":["http://zotero.org/users/3782744/items/HSA37AVI"],"itemData":{"id":5444,"type":"article-journal","abstract":"BACKGROUND: The manufacture of fresh-frozen plasma (FFP) requires that plasma be frozen within 8 hours of collection and 24-hour frozen plasma requires 1 to 6°C refrigeration before freezing. Manufacture of plasma after a room temperature hold for 24 hours, while convenient, could compromise clotting factor levels.\nSTUDY DESIGN AND METHODS: Pairs of FFP and 24-hour room temperature-frozen plasma (PLT-rich plasma [PRP]-24HRTFP) were manufactured from PRP after a room temperature hold for 8 and 24 hours, respectively. Additional whole blood (WB) donations were kept at room temperature for 24 hours before plasma manufacture (WB-24HRTFP). The frozen plasma products were stored at -18°C, thawed, and then stored at 1 to 6°C, with coagulation factor assays performed for up to 7 days.\nRESULTS: On the day of thaw, Factor (F)VIII was lower in PRP-24HRTFP by 13% (p = 0.002) but not in WB-24HRTFP (p = 0.3) compared to FFP. All other clotting factors were within normal range. During the postthaw period FVIII and FV declined 25 and 6%, respectively, in WB-24HRTFP and 23 to 50% in the paired products; however, the difference between both types of 24HRTFP and FFP is insignificant by Day 7 (p &gt; 0.05). Other clotting factors either were unchanged or showed minimal reduction (&lt; 15%).\nCONCLUSION: Plasma manufactured after a 24-hour room temperature hold contains coagulation factors comparable to FFP except for a possible reduction of up to 20% in FVIII. This plasma appears suitable as a transfusable product and extension of liquid storage to 7 days merits consideration.","container-title":"Transfusion","DOI":"10.1111/j.1537-2995.2010.02648.x","ISSN":"1537-2995","issue":"9","journalAbbreviation":"Transfusion","language":"eng","note":"PMID: 20412526","page":"1934-1942","source":"PubMed","title":"Stability of coagulation factors in plasma prepared after a 24-hour room temperature hold","volume":"50","author":[{"family":"Alhumaidan","given":"Hiba"},{"family":"Cheves","given":"Tracey"},{"family":"Holme","given":"Stein"},{"family":"Sweeney","given":"Joseph"}],"issued":{"date-parts":[["2010",9]]}},"label":"page"},{"id":5482,"uris":["http://zotero.org/users/3782744/items/G4MS4YFP"],"itemData":{"id":5482,"type":"article-journal","abstract":"BACKGROUND AND OBJECTIVES: The aim of this study was to evaluate the quality of leucocyte-depleted plasma produced from leucocyte-depleted whole blood, stored for different periods of times before filtration through polyurethane filters.\nMATERIALS AND METHODS: Whole blood was collected, from 48 voluntary donors, into quadruple blood bag sets with integrated whole-blood filters, and stored at room temperature for 1, 2, 6, or 18 h before filtration. Five samples were taken: one directly from the donor; one immediately after collection; one before and one after filtration; and one from plasma units before freezing. All samples were analysed for the following parameters: prothrombin time; activated partial thromboplastin time; prothrombin fragments F1+2; fibrinogen; factors VIII, XI and XII; von Willebrand factor antigen; ristocetin cofactor activity; collagen-binding capacity; multimers; and complement C3a-desArg.\nRESULTS: Different whole-blood storage times before filtration did not have a significant effect on the stability of coagulation factors. The activity of all investigated coagulation factors in plasma was generally above 90 U/dl, even after 18 h of storage of whole blood before filtration. von Willebrand factor multimeric distribution remained stable throughout the process. However, activation of complement did occur during storage.\nCONCLUSIONS: Leucodepleted plasma originating from leucodepleted whole blood maintains a satisfactory level of coagulation factors, even after the storage of whole blood for 18 h at room temperature before filtration.","container-title":"Vox Sanguinis","DOI":"10.1111/j.1423-0410.2004.00563.x","ISSN":"0042-9007","issue":"3","journalAbbreviation":"Vox Sang","language":"eng","note":"PMID: 15569067","page":"156-164","source":"PubMed","title":"Effects of extended storage of whole blood before leucocyte depletion on coagulation factors in plasma","volume":"87","author":[{"family":"Kretzschmar","given":"E."},{"family":"Kruse","given":"F."},{"family":"Greiss","given":"O."},{"family":"Paunovic","given":"D."},{"family":"Kallweit","given":"T."},{"family":"Trobisch","given":"H."}],"issued":{"date-parts":[["2004",10]]}},"label":"page"}],"schema":"https://github.com/citation-style-language/schema/raw/master/csl-citation.json"} </w:instrText>
      </w:r>
      <w:r w:rsidR="00EF778F">
        <w:rPr>
          <w:rFonts w:ascii="Calibri" w:hAnsi="Calibri" w:cs="Calibri"/>
          <w:sz w:val="20"/>
          <w:szCs w:val="20"/>
        </w:rPr>
        <w:fldChar w:fldCharType="separate"/>
      </w:r>
      <w:r w:rsidR="00040157" w:rsidRPr="00040157">
        <w:rPr>
          <w:rFonts w:ascii="Calibri" w:hAnsi="Calibri" w:cs="Calibri"/>
          <w:sz w:val="20"/>
        </w:rPr>
        <w:t>(10,12)</w:t>
      </w:r>
      <w:r w:rsidR="00EF778F">
        <w:rPr>
          <w:rFonts w:ascii="Calibri" w:hAnsi="Calibri" w:cs="Calibri"/>
          <w:sz w:val="20"/>
          <w:szCs w:val="20"/>
        </w:rPr>
        <w:fldChar w:fldCharType="end"/>
      </w:r>
      <w:r w:rsidR="00EF778F">
        <w:rPr>
          <w:rFonts w:ascii="Calibri" w:hAnsi="Calibri" w:cs="Calibri"/>
          <w:sz w:val="20"/>
          <w:szCs w:val="20"/>
        </w:rPr>
        <w:t>.</w:t>
      </w:r>
      <w:r w:rsidRPr="006112AD">
        <w:rPr>
          <w:rFonts w:ascii="Calibri" w:hAnsi="Calibri" w:cs="Calibri"/>
          <w:sz w:val="20"/>
          <w:szCs w:val="20"/>
        </w:rPr>
        <w:t xml:space="preserve"> Lu et al.</w:t>
      </w:r>
      <w:r w:rsidR="0071196A">
        <w:rPr>
          <w:rFonts w:ascii="Calibri" w:hAnsi="Calibri" w:cs="Calibri"/>
          <w:sz w:val="20"/>
          <w:szCs w:val="20"/>
        </w:rPr>
        <w:t xml:space="preserve"> </w:t>
      </w:r>
      <w:r w:rsidR="0071196A">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{"citationID":"ARvkbFbK","properties":{"formattedCitation":"(9)","plainCitation":"(9)","noteIndex":0},"citationItems":[{"id":5405,"uris":["http://zotero.org/users/3782744/items/DYG6Q6HQ"],"itemData":{"id":5405,"type":"article-journal","abstract":"BACKGROUND: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0071196A">
        <w:rPr>
          <w:rFonts w:ascii="Calibri" w:hAnsi="Calibri" w:cs="Calibri"/>
          <w:sz w:val="20"/>
          <w:szCs w:val="20"/>
        </w:rPr>
        <w:fldChar w:fldCharType="separate"/>
      </w:r>
      <w:r w:rsidR="00040157" w:rsidRPr="00040157">
        <w:rPr>
          <w:rFonts w:ascii="Calibri" w:hAnsi="Calibri" w:cs="Calibri"/>
          <w:sz w:val="20"/>
        </w:rPr>
        <w:t>(9)</w:t>
      </w:r>
      <w:r w:rsidR="0071196A">
        <w:rPr>
          <w:rFonts w:ascii="Calibri" w:hAnsi="Calibri" w:cs="Calibri"/>
          <w:sz w:val="20"/>
          <w:szCs w:val="20"/>
        </w:rPr>
        <w:fldChar w:fldCharType="end"/>
      </w:r>
      <w:r w:rsidRPr="006112AD">
        <w:rPr>
          <w:rFonts w:ascii="Calibri" w:hAnsi="Calibri" w:cs="Calibri"/>
          <w:sz w:val="20"/>
          <w:szCs w:val="20"/>
        </w:rPr>
        <w:t xml:space="preserve"> tested and compared a number of parameters in units with a holding time of up to 8 hours and others with an overnight holding time (24 hours) in the three main blood products (red blood cells, pooled platelet concentrates and plasma). Minor variations were found in the levels of coagulation factors tested (FII, FVII, FV, FIX, FX, and FXI; fibrinogen; and von Willebrand factor) in frozen plasma, </w:t>
      </w:r>
      <w:r w:rsidR="005B0ED9" w:rsidRPr="006112AD">
        <w:rPr>
          <w:rFonts w:ascii="Calibri" w:hAnsi="Calibri" w:cs="Calibri"/>
          <w:sz w:val="20"/>
          <w:szCs w:val="20"/>
        </w:rPr>
        <w:t>except for</w:t>
      </w:r>
      <w:r w:rsidRPr="006112AD">
        <w:rPr>
          <w:rFonts w:ascii="Calibri" w:hAnsi="Calibri" w:cs="Calibri"/>
          <w:sz w:val="20"/>
          <w:szCs w:val="20"/>
        </w:rPr>
        <w:t xml:space="preserve"> FVIII which lost around 20% of its activity with an overnight hold at room temperature. Thus, apart from FVIII, other proteins were still at acceptable concentrations even after a 24-hour holding time</w:t>
      </w:r>
      <w:r w:rsidR="00B731A5">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{"citationID":"44d1Fxle","properties":{"formattedCitation":"(9)","plainCitation":"(9)","noteIndex":0},"citationItems":[{"id":5405,"uris":["http://zotero.org/users/3782744/items/DYG6Q6HQ"],"itemData":{"id":5405,"type":"article-journal","abstract":"BACKGROUND: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00B731A5">
        <w:rPr>
          <w:rFonts w:ascii="Calibri" w:hAnsi="Calibri" w:cs="Calibri"/>
          <w:sz w:val="20"/>
          <w:szCs w:val="20"/>
        </w:rPr>
        <w:fldChar w:fldCharType="separate"/>
      </w:r>
      <w:r w:rsidR="00040157" w:rsidRPr="00040157">
        <w:rPr>
          <w:rFonts w:ascii="Calibri" w:hAnsi="Calibri" w:cs="Calibri"/>
          <w:sz w:val="20"/>
        </w:rPr>
        <w:t>(9)</w:t>
      </w:r>
      <w:r w:rsidR="00B731A5">
        <w:rPr>
          <w:rFonts w:ascii="Calibri" w:hAnsi="Calibri" w:cs="Calibri"/>
          <w:sz w:val="20"/>
          <w:szCs w:val="20"/>
        </w:rPr>
        <w:fldChar w:fldCharType="end"/>
      </w:r>
      <w:r w:rsidRPr="006112AD">
        <w:rPr>
          <w:rFonts w:ascii="Calibri" w:hAnsi="Calibri" w:cs="Calibri"/>
          <w:sz w:val="20"/>
          <w:szCs w:val="20"/>
        </w:rPr>
        <w:t xml:space="preserve">. This finding correlates with the current study since the total PC was at acceptable values in units with a </w:t>
      </w:r>
      <w:r w:rsidR="000F1474" w:rsidRPr="006112AD">
        <w:rPr>
          <w:rFonts w:ascii="Calibri" w:hAnsi="Calibri" w:cs="Calibri"/>
          <w:sz w:val="20"/>
          <w:szCs w:val="20"/>
        </w:rPr>
        <w:t>SHT and</w:t>
      </w:r>
      <w:r w:rsidRPr="006112AD">
        <w:rPr>
          <w:rFonts w:ascii="Calibri" w:hAnsi="Calibri" w:cs="Calibri"/>
          <w:sz w:val="20"/>
          <w:szCs w:val="20"/>
        </w:rPr>
        <w:t xml:space="preserve"> was still at acceptable values in units with </w:t>
      </w:r>
      <w:proofErr w:type="gramStart"/>
      <w:r w:rsidRPr="006112AD">
        <w:rPr>
          <w:rFonts w:ascii="Calibri" w:hAnsi="Calibri" w:cs="Calibri"/>
          <w:sz w:val="20"/>
          <w:szCs w:val="20"/>
        </w:rPr>
        <w:t>a</w:t>
      </w:r>
      <w:proofErr w:type="gramEnd"/>
      <w:r w:rsidRPr="006112AD">
        <w:rPr>
          <w:rFonts w:ascii="Calibri" w:hAnsi="Calibri" w:cs="Calibri"/>
          <w:sz w:val="20"/>
          <w:szCs w:val="20"/>
        </w:rPr>
        <w:t xml:space="preserve"> LHT (up to 20 hours). Although contrary to current literature evidence, the mean PC in the current study was higher for units with </w:t>
      </w:r>
      <w:proofErr w:type="gramStart"/>
      <w:r w:rsidR="00FF6069" w:rsidRPr="006112AD">
        <w:rPr>
          <w:rFonts w:ascii="Calibri" w:hAnsi="Calibri" w:cs="Calibri"/>
          <w:sz w:val="20"/>
          <w:szCs w:val="20"/>
        </w:rPr>
        <w:t>a</w:t>
      </w:r>
      <w:proofErr w:type="gramEnd"/>
      <w:r w:rsidRPr="006112AD">
        <w:rPr>
          <w:rFonts w:ascii="Calibri" w:hAnsi="Calibri" w:cs="Calibri"/>
          <w:sz w:val="20"/>
          <w:szCs w:val="20"/>
        </w:rPr>
        <w:t xml:space="preserve"> LHT.</w:t>
      </w:r>
    </w:p>
    <w:p w14:paraId="62406B52" w14:textId="58D007B5" w:rsidR="0098772B" w:rsidRPr="00A73F1D" w:rsidRDefault="00C34446" w:rsidP="006112AD">
      <w:pPr>
        <w:spacing w:before="240" w:line="240" w:lineRule="auto"/>
        <w:jc w:val="both"/>
        <w:rPr>
          <w:rFonts w:ascii="Calibri" w:hAnsi="Calibri" w:cs="Calibri"/>
          <w:sz w:val="20"/>
          <w:szCs w:val="20"/>
        </w:rPr>
      </w:pPr>
      <w:r>
        <w:rPr>
          <w:rFonts w:ascii="Calibri" w:hAnsi="Calibri" w:cs="Calibri"/>
          <w:sz w:val="20"/>
          <w:szCs w:val="20"/>
        </w:rPr>
        <w:t xml:space="preserve">Several studies </w:t>
      </w:r>
      <w:r>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{"citationID":"7WbJ2l2o","properties":{"formattedCitation":"(4,5,10,11)","plainCitation":"(4,5,10,11)","noteIndex":0},"citationItems":[{"id":5374,"uris":["http://zotero.org/users/3782744/items/4E3TH5Y9"],"itemData":{"id":5374,"type":"article-journal","abstract":"BACKGROUND: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Andrew"},{"family":"Holme","given":"Stein"}],"issued":{"date-parts":[["2011",1]]}},"label":"page"},{"id":5444,"uris":["http://zotero.org/users/3782744/items/HSA37AVI"],"itemData":{"id":5444,"type":"article-journal","abstract":"BACKGROUND: The manufacture of fresh-frozen plasma (FFP) requires that plasma be frozen within 8 hours of collection and 24-hour frozen plasma requires 1 to 6°C refrigeration before freezing. Manufacture of plasma after a room temperature hold for 24 hours, while convenient, could compromise clotting factor levels.\nSTUDY DESIGN AND METHODS: Pairs of FFP and 24-hour room temperature-frozen plasma (PLT-rich plasma [PRP]-24HRTFP) were manufactured from PRP after a room temperature hold for 8 and 24 hours, respectively. Additional whole blood (WB) donations were kept at room temperature for 24 hours before plasma manufacture (WB-24HRTFP). The frozen plasma products were stored at -18°C, thawed, and then stored at 1 to 6°C, with coagulation factor assays performed for up to 7 days.\nRESULTS: On the day of thaw, Factor (F)VIII was lower in PRP-24HRTFP by 13% (p = 0.002) but not in WB-24HRTFP (p = 0.3) compared to FFP. All other clotting factors were within normal range. During the postthaw period FVIII and FV declined 25 and 6%, respectively, in WB-24HRTFP and 23 to 50% in the paired products; however, the difference between both types of 24HRTFP and FFP is insignificant by Day 7 (p &gt; 0.05). Other clotting factors either were unchanged or showed minimal reduction (&lt; 15%).\nCONCLUSION: Plasma manufactured after a 24-hour room temperature hold contains coagulation factors comparable to FFP except for a possible reduction of up to 20% in FVIII. This plasma appears suitable as a transfusable product and extension of liquid storage to 7 days merits consideration.","container-title":"Transfusion","DOI":"10.1111/j.1537-2995.2010.02648.x","ISSN":"1537-2995","issue":"9","journalAbbreviation":"Transfusion","language":"eng","note":"PMID: 20412526","page":"1934-1942","source":"PubMed","title":"Stability of coagulation factors in plasma prepared after a 24-hour room temperature hold","volume":"50","author":[{"family":"Alhumaidan","given":"Hiba"},{"family":"Cheves","given":"Tracey"},{"family":"Holme","given":"Stein"},{"family":"Sweeney","given":"Joseph"}],"issued":{"date-parts":[["2010",9]]}},"label":"page"},{"id":5480,"uris":["http://zotero.org/users/3782744/items/8RYK7BBN"],"itemData":{"id":5480,"type":"article-journal","abstract":"Background:\nThe aim of this study was to analyse and compare the activity of factor V, VIII and fibrinogen level in fresh frozen plasma and frozen plasma frozen after 8 hrs but within 24 hours after phlebotomy.\n\nMaterials and Methods:\nFresh frozen plasma separated from whole blood within 8 hours was compared with plasma separated within 24 hours after phlebotomy in terms of coagulation factors V and VIII and level of fibrinogen by standard methods using semi automated coagulometer sysmex CA50.\n\nResults:\nLonger storage of whole blood before processing resulted in significant decrease (18.4%) in activity of factor VIII but the fall in activity of factor V (6.52%) or level of fibrinogen (1.81%) was not significant.\n\nDiscussion:\nThese data suggest that there is good retention of coagulation factors in both types of plasma. Although there is significant fall in activity of factor VIII, but it is an acute phase reactant and raised in most of the diseases so it is suggested that frozen plasma would be an acceptable product for most patients requiring fresh frozen plasma.","container-title":"Asian Journal of Transfusion Science","DOI":"10.4103/0973-6247.150936","ISSN":"0973-6247","issue":"1","journalAbbreviation":"Asian J Transfus Sci","note":"PMID: 25722564\nPMCID: PMC4339934","page":"6-8","source":"PubMed Central","title":"Comparative analysis of activity of coagulation Factors V and VIII and level of fibrinogen in fresh frozen plasma and frozen plasma","volume":"9","author":[{"family":"Dogra","given":"Mitu"},{"family":"Sidhu","given":"Meena"},{"family":"Vasudev","given":"Rahul"},{"family":"Dogra","given":"Ashu"}],"issued":{"date-parts":[["2015"]]}},"label":"page"}],"schema":"https://github.com/citation-style-language/schema/raw/master/csl-citation.json"} </w:instrText>
      </w:r>
      <w:r>
        <w:rPr>
          <w:rFonts w:ascii="Calibri" w:hAnsi="Calibri" w:cs="Calibri"/>
          <w:sz w:val="20"/>
          <w:szCs w:val="20"/>
        </w:rPr>
        <w:fldChar w:fldCharType="separate"/>
      </w:r>
      <w:r w:rsidR="00040157" w:rsidRPr="00040157">
        <w:rPr>
          <w:rFonts w:ascii="Calibri" w:hAnsi="Calibri" w:cs="Calibri"/>
          <w:sz w:val="20"/>
        </w:rPr>
        <w:t>(4,5,10,11)</w:t>
      </w:r>
      <w:r>
        <w:rPr>
          <w:rFonts w:ascii="Calibri" w:hAnsi="Calibri" w:cs="Calibri"/>
          <w:sz w:val="20"/>
          <w:szCs w:val="20"/>
        </w:rPr>
        <w:fldChar w:fldCharType="end"/>
      </w:r>
      <w:r w:rsidR="0098772B" w:rsidRPr="006112AD">
        <w:rPr>
          <w:rFonts w:ascii="Calibri" w:hAnsi="Calibri" w:cs="Calibri"/>
          <w:sz w:val="20"/>
          <w:szCs w:val="20"/>
        </w:rPr>
        <w:t xml:space="preserve"> have investigated the changes in coagulation factor levels with changes in holding time. </w:t>
      </w:r>
      <w:r w:rsidR="00196B93" w:rsidRPr="006112AD">
        <w:rPr>
          <w:rFonts w:ascii="Calibri" w:hAnsi="Calibri" w:cs="Calibri"/>
          <w:sz w:val="20"/>
          <w:szCs w:val="20"/>
        </w:rPr>
        <w:t>Like</w:t>
      </w:r>
      <w:r w:rsidR="0098772B" w:rsidRPr="006112AD">
        <w:rPr>
          <w:rFonts w:ascii="Calibri" w:hAnsi="Calibri" w:cs="Calibri"/>
          <w:sz w:val="20"/>
          <w:szCs w:val="20"/>
        </w:rPr>
        <w:t xml:space="preserve"> the previous study mentioned, most proteins and coagulation factors were found to be at acceptable levels even after a holding time of 24 hours, but like many research studies they highlight a decrease in the levels of FVIII. This decline in FVIII is now well known and may not always have clinical relevance</w:t>
      </w:r>
      <w:r>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{"citationID":"L35NCP62","properties":{"formattedCitation":"(14)","plainCitation":"(14)","noteIndex":0},"citationItems":[{"id":5484,"uris":["http://zotero.org/users/3782744/items/YNVW5A6G"],"itemData":{"id":5484,"type":"article-journal","abstract":"Blood services routinely separate whole blood into components that are then stored under different conditions. The storage conditions used for whole blood prior to separation must therefore be a compromise between the needs of the red cells (which benefit from refrigeration) and plasma and platelets (which are better preserved at ambient temperature). For many years, the approach has been to manufacture plasma and platelet components on the day of blood collection, and to refrigerate any unprocessed blood for manufacture into red cell components on the following day. However, this can make it challenging to maintain adequate stocks of all components. The European practice of 'ambient hold' of whole blood for up to 24 hours prior to processing allows greater flexibility in blood component manufacture, and the data reviewed suggest there is relatively little impact on the quality of red cell or plasma components, and an improvement in the quality of platelet components.","container-title":"Transfusion Medicine (Oxford, England)","DOI":"10.1111/j.1365-3148.2010.01025.x","ISSN":"1365-3148","issue":"6","journalAbbreviation":"Transfus Med","language":"eng","note":"PMID: 20667039","page":"361-368","source":"PubMed","title":"Ambient overnight hold of whole blood prior to the manufacture of blood components","volume":"20","author":[{"family":"Thomas","given":"Stephen"}],"issued":{"date-parts":[["2010",12]]}}}],"schema":"https://github.com/citation-style-language/schema/raw/master/csl-citation.json"} </w:instrText>
      </w:r>
      <w:r>
        <w:rPr>
          <w:rFonts w:ascii="Calibri" w:hAnsi="Calibri" w:cs="Calibri"/>
          <w:sz w:val="20"/>
          <w:szCs w:val="20"/>
        </w:rPr>
        <w:fldChar w:fldCharType="separate"/>
      </w:r>
      <w:r w:rsidR="00040157" w:rsidRPr="00040157">
        <w:rPr>
          <w:rFonts w:ascii="Calibri" w:hAnsi="Calibri" w:cs="Calibri"/>
          <w:sz w:val="20"/>
        </w:rPr>
        <w:t>(14)</w:t>
      </w:r>
      <w:r>
        <w:rPr>
          <w:rFonts w:ascii="Calibri" w:hAnsi="Calibri" w:cs="Calibri"/>
          <w:sz w:val="20"/>
          <w:szCs w:val="20"/>
        </w:rPr>
        <w:fldChar w:fldCharType="end"/>
      </w:r>
      <w:r w:rsidR="0098772B" w:rsidRPr="006112AD">
        <w:rPr>
          <w:rFonts w:ascii="Calibri" w:hAnsi="Calibri" w:cs="Calibri"/>
          <w:color w:val="000000" w:themeColor="text1"/>
          <w:sz w:val="20"/>
          <w:szCs w:val="20"/>
        </w:rPr>
        <w:t xml:space="preserve">. In fact, </w:t>
      </w:r>
      <w:r w:rsidR="0098772B" w:rsidRPr="006112AD">
        <w:rPr>
          <w:rFonts w:ascii="Calibri" w:hAnsi="Calibri" w:cs="Calibri"/>
          <w:sz w:val="20"/>
          <w:szCs w:val="20"/>
        </w:rPr>
        <w:t>FVIII is considered as a great indication of product quality by the EDQM since its level is known to decrease with time.</w:t>
      </w:r>
      <w:r w:rsidR="00A73F1D">
        <w:rPr>
          <w:rFonts w:ascii="Calibri" w:hAnsi="Calibri" w:cs="Calibri"/>
          <w:sz w:val="20"/>
          <w:szCs w:val="20"/>
        </w:rPr>
        <w:t xml:space="preserve"> </w:t>
      </w:r>
      <w:r w:rsidR="0098772B" w:rsidRPr="006112AD">
        <w:rPr>
          <w:rFonts w:ascii="Calibri" w:hAnsi="Calibri" w:cs="Calibri"/>
          <w:sz w:val="20"/>
          <w:szCs w:val="20"/>
        </w:rPr>
        <w:t>Cardigan</w:t>
      </w:r>
      <w:r>
        <w:rPr>
          <w:rFonts w:ascii="Calibri" w:hAnsi="Calibri" w:cs="Calibri"/>
          <w:sz w:val="20"/>
          <w:szCs w:val="20"/>
        </w:rPr>
        <w:t xml:space="preserve"> </w:t>
      </w:r>
      <w:r w:rsidR="0098772B" w:rsidRPr="006112AD">
        <w:rPr>
          <w:rFonts w:ascii="Calibri" w:hAnsi="Calibri" w:cs="Calibri"/>
          <w:sz w:val="20"/>
          <w:szCs w:val="20"/>
        </w:rPr>
        <w:t xml:space="preserve">et al. </w:t>
      </w:r>
      <w:r w:rsidR="00A7166F">
        <w:rPr>
          <w:rFonts w:ascii="Calibri" w:hAnsi="Calibri" w:cs="Calibri"/>
          <w:sz w:val="20"/>
          <w:szCs w:val="20"/>
        </w:rPr>
        <w:fldChar w:fldCharType="begin"/>
      </w:r>
      <w:r w:rsidR="00A7166F">
        <w:rPr>
          <w:rFonts w:ascii="Calibri" w:hAnsi="Calibri" w:cs="Calibri"/>
          <w:sz w:val="20"/>
          <w:szCs w:val="20"/>
        </w:rPr>
        <w:instrText xml:space="preserve"> ADDIN ZOTERO_ITEM CSL_CITATION {"citationID":"LXrtTxVA","properties":{"formattedCitation":"(4)","plainCitation":"(4)","noteIndex":0},"citationItems":[{"id":5374,"uris":["http://zotero.org/users/3782744/items/4E3TH5Y9"],"itemData":{"id":5374,"type":"article-journal","abstract":"BACKGROUND: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schema":"https://github.com/citation-style-language/schema/raw/master/csl-citation.json"} </w:instrText>
      </w:r>
      <w:r w:rsidR="00A7166F">
        <w:rPr>
          <w:rFonts w:ascii="Calibri" w:hAnsi="Calibri" w:cs="Calibri"/>
          <w:sz w:val="20"/>
          <w:szCs w:val="20"/>
        </w:rPr>
        <w:fldChar w:fldCharType="separate"/>
      </w:r>
      <w:r w:rsidR="00A7166F" w:rsidRPr="00A7166F">
        <w:rPr>
          <w:rFonts w:ascii="Calibri" w:hAnsi="Calibri" w:cs="Calibri"/>
          <w:sz w:val="20"/>
        </w:rPr>
        <w:t>(4)</w:t>
      </w:r>
      <w:r w:rsidR="00A7166F">
        <w:rPr>
          <w:rFonts w:ascii="Calibri" w:hAnsi="Calibri" w:cs="Calibri"/>
          <w:sz w:val="20"/>
          <w:szCs w:val="20"/>
        </w:rPr>
        <w:fldChar w:fldCharType="end"/>
      </w:r>
      <w:r w:rsidR="00A7166F">
        <w:rPr>
          <w:rFonts w:ascii="Calibri" w:hAnsi="Calibri" w:cs="Calibri"/>
          <w:sz w:val="20"/>
          <w:szCs w:val="20"/>
        </w:rPr>
        <w:t xml:space="preserve"> </w:t>
      </w:r>
      <w:r w:rsidR="0098772B" w:rsidRPr="006112AD">
        <w:rPr>
          <w:rFonts w:ascii="Calibri" w:hAnsi="Calibri" w:cs="Calibri"/>
          <w:sz w:val="20"/>
          <w:szCs w:val="20"/>
        </w:rPr>
        <w:t>also tested the activated partial thromboplastin time, fibrinogen, FVIII, protein C, protein S and prothrombin and unlike other coagulation factors that were tested, the results showed that these were slightly but significantly reduced when comparing an 8-hour to a 24-hour holding time</w:t>
      </w:r>
      <w:r w:rsidR="00A12115">
        <w:rPr>
          <w:rFonts w:ascii="Calibri" w:hAnsi="Calibri" w:cs="Calibri"/>
          <w:sz w:val="20"/>
          <w:szCs w:val="20"/>
        </w:rPr>
        <w:t>.</w:t>
      </w:r>
      <w:r w:rsidR="0098772B" w:rsidRPr="006112AD">
        <w:rPr>
          <w:rFonts w:ascii="Calibri" w:hAnsi="Calibri" w:cs="Calibri"/>
          <w:sz w:val="20"/>
          <w:szCs w:val="20"/>
        </w:rPr>
        <w:t xml:space="preserve"> </w:t>
      </w:r>
      <w:r w:rsidR="005B0ED9">
        <w:rPr>
          <w:rFonts w:ascii="Calibri" w:hAnsi="Calibri" w:cs="Calibri"/>
          <w:color w:val="000000" w:themeColor="text1"/>
          <w:sz w:val="20"/>
          <w:szCs w:val="20"/>
        </w:rPr>
        <w:t>Thus,</w:t>
      </w:r>
      <w:r w:rsidR="0098772B" w:rsidRPr="006112AD">
        <w:rPr>
          <w:rFonts w:ascii="Calibri" w:hAnsi="Calibri" w:cs="Calibri"/>
          <w:color w:val="000000" w:themeColor="text1"/>
          <w:sz w:val="20"/>
          <w:szCs w:val="20"/>
        </w:rPr>
        <w:t xml:space="preserve"> most proteins degrade with time, some being more sensitive than others. In the current study the mean total PC, however, was found to be higher with a longer holding time. </w:t>
      </w:r>
    </w:p>
    <w:p w14:paraId="3919CB7F" w14:textId="490E3286" w:rsidR="0098772B" w:rsidRDefault="0098772B" w:rsidP="006112AD">
      <w:pPr>
        <w:spacing w:line="240" w:lineRule="auto"/>
        <w:jc w:val="both"/>
        <w:rPr>
          <w:rFonts w:ascii="Calibri" w:hAnsi="Calibri" w:cs="Calibri"/>
          <w:sz w:val="20"/>
          <w:szCs w:val="20"/>
        </w:rPr>
      </w:pPr>
      <w:r w:rsidRPr="006112AD">
        <w:rPr>
          <w:rFonts w:ascii="Calibri" w:hAnsi="Calibri" w:cs="Calibri"/>
          <w:sz w:val="20"/>
          <w:szCs w:val="20"/>
        </w:rPr>
        <w:t>The SPC results showed that processes for volume and PCs were within control for both the cohort</w:t>
      </w:r>
      <w:r w:rsidR="0081355D">
        <w:rPr>
          <w:rFonts w:ascii="Calibri" w:hAnsi="Calibri" w:cs="Calibri"/>
          <w:sz w:val="20"/>
          <w:szCs w:val="20"/>
        </w:rPr>
        <w:t>s</w:t>
      </w:r>
      <w:r w:rsidRPr="006112AD">
        <w:rPr>
          <w:rFonts w:ascii="Calibri" w:hAnsi="Calibri" w:cs="Calibri"/>
          <w:sz w:val="20"/>
          <w:szCs w:val="20"/>
        </w:rPr>
        <w:t>. The process for RLCs of the cohort on the other hand was incapable. When recalculated with OOS excluded, the results further showed the influence of the OOS values. The capability outcome of RLCs in the SHT cohort was improved from incapable to borderline. Thus, it can be concluded that even without OOS values, the RLCs of the units in the SHT cohort may not always be within process control in future measurements as the capability outcome was still borderline. The fact that the process for RLCs did not become capable was most likely due to the wide range of values of this cohort</w:t>
      </w:r>
      <w:r w:rsidR="00A12115">
        <w:rPr>
          <w:rFonts w:ascii="Calibri" w:hAnsi="Calibri" w:cs="Calibri"/>
          <w:sz w:val="20"/>
          <w:szCs w:val="20"/>
        </w:rPr>
        <w:t xml:space="preserve">. </w:t>
      </w:r>
      <w:r w:rsidRPr="006112AD">
        <w:rPr>
          <w:rFonts w:ascii="Calibri" w:hAnsi="Calibri" w:cs="Calibri"/>
          <w:sz w:val="20"/>
          <w:szCs w:val="20"/>
        </w:rPr>
        <w:t xml:space="preserve">SPC results for RLC consolidate the need for monitoring of FFP units having a SHT. The LHT cohort immediately showed a capable outcome for all parameters, confirming that the values were consistently within process control. </w:t>
      </w:r>
    </w:p>
    <w:p w14:paraId="4DFD9BAA" w14:textId="6118785A" w:rsidR="004D71F6" w:rsidRPr="004D71F6" w:rsidRDefault="004D71F6" w:rsidP="004D71F6">
      <w:pPr>
        <w:pStyle w:val="ListParagraph"/>
        <w:numPr>
          <w:ilvl w:val="0"/>
          <w:numId w:val="38"/>
        </w:numPr>
        <w:spacing w:line="240" w:lineRule="auto"/>
        <w:rPr>
          <w:rFonts w:ascii="Calibri" w:hAnsi="Calibri" w:cs="Calibri"/>
          <w:b/>
          <w:bCs/>
          <w:sz w:val="20"/>
          <w:szCs w:val="20"/>
        </w:rPr>
      </w:pPr>
      <w:r w:rsidRPr="004D71F6">
        <w:rPr>
          <w:rFonts w:ascii="Calibri" w:hAnsi="Calibri" w:cs="Calibri"/>
          <w:b/>
          <w:bCs/>
          <w:sz w:val="20"/>
          <w:szCs w:val="20"/>
        </w:rPr>
        <w:t>Conclusion</w:t>
      </w:r>
    </w:p>
    <w:p w14:paraId="15499484" w14:textId="77777777" w:rsidR="004D71F6" w:rsidRPr="006112AD" w:rsidRDefault="004D71F6" w:rsidP="004D71F6">
      <w:pPr>
        <w:spacing w:before="240" w:line="240" w:lineRule="auto"/>
        <w:jc w:val="both"/>
        <w:rPr>
          <w:rFonts w:ascii="Calibri" w:hAnsi="Calibri" w:cs="Calibri"/>
          <w:sz w:val="20"/>
          <w:szCs w:val="20"/>
        </w:rPr>
      </w:pPr>
      <w:r w:rsidRPr="006112AD">
        <w:rPr>
          <w:rFonts w:ascii="Calibri" w:hAnsi="Calibri" w:cs="Calibri"/>
          <w:sz w:val="20"/>
          <w:szCs w:val="20"/>
        </w:rPr>
        <w:t xml:space="preserve">The results collected from this study suggest that prior to whole blood processing, holding time impacts the RLC and PC in non-filtered FFP units, hence the aim of this study was reached since a relationship was identified. With an increased holding time of whole blood, RLCs in FFP were found to decrease, whilst PCs increased. As identified by the local establishment, units with an elevated RLC were also observed in the SHT cohort of this study. Thus, it may be recommended that the current minimum holding time of 3 hours, should be increased to reduce the risks of having units which do not meet quality requirements and having to discard them. However, a qualification procedure should be established to determine the optimal range of holding time duration required to obtain FFP units with low RLC levels and adequate PCs. </w:t>
      </w:r>
    </w:p>
    <w:p w14:paraId="42D33D08" w14:textId="77777777" w:rsidR="004D71F6" w:rsidRPr="006112AD" w:rsidRDefault="004D71F6" w:rsidP="004D71F6">
      <w:pPr>
        <w:spacing w:before="240" w:line="240" w:lineRule="auto"/>
        <w:jc w:val="both"/>
        <w:rPr>
          <w:rFonts w:ascii="Calibri" w:hAnsi="Calibri" w:cs="Calibri"/>
          <w:sz w:val="20"/>
          <w:szCs w:val="20"/>
        </w:rPr>
      </w:pPr>
      <w:r w:rsidRPr="006112AD">
        <w:rPr>
          <w:rFonts w:ascii="Calibri" w:hAnsi="Calibri" w:cs="Calibri"/>
          <w:sz w:val="20"/>
          <w:szCs w:val="20"/>
        </w:rPr>
        <w:lastRenderedPageBreak/>
        <w:t xml:space="preserve">To maintain low RLCs regardless of holding time, incorporating a </w:t>
      </w:r>
      <w:proofErr w:type="spellStart"/>
      <w:r w:rsidRPr="006112AD">
        <w:rPr>
          <w:rFonts w:ascii="Calibri" w:hAnsi="Calibri" w:cs="Calibri"/>
          <w:sz w:val="20"/>
          <w:szCs w:val="20"/>
        </w:rPr>
        <w:t>leucoreduction</w:t>
      </w:r>
      <w:proofErr w:type="spellEnd"/>
      <w:r w:rsidRPr="006112AD">
        <w:rPr>
          <w:rFonts w:ascii="Calibri" w:hAnsi="Calibri" w:cs="Calibri"/>
          <w:sz w:val="20"/>
          <w:szCs w:val="20"/>
        </w:rPr>
        <w:t xml:space="preserve"> step after processing of FFP could also be considered, but as for increasing the holding time, a rigorous and robust qualification plan would need to be employed including assessing any related risks and subsequent mitigation measures. </w:t>
      </w:r>
    </w:p>
    <w:p w14:paraId="3CD934C6" w14:textId="77777777" w:rsidR="004D71F6" w:rsidRDefault="004D71F6" w:rsidP="004D71F6">
      <w:pPr>
        <w:spacing w:before="240" w:line="240" w:lineRule="auto"/>
        <w:jc w:val="both"/>
        <w:rPr>
          <w:rFonts w:ascii="Calibri" w:hAnsi="Calibri" w:cs="Calibri"/>
          <w:sz w:val="20"/>
          <w:szCs w:val="20"/>
        </w:rPr>
      </w:pPr>
      <w:r w:rsidRPr="006112AD">
        <w:rPr>
          <w:rFonts w:ascii="Calibri" w:hAnsi="Calibri" w:cs="Calibri"/>
          <w:sz w:val="20"/>
          <w:szCs w:val="20"/>
        </w:rPr>
        <w:t xml:space="preserve">Apart from ensuring that blood product requirements are met, and recipients are safeguarded from undesired and avoidable transfusion reactions, </w:t>
      </w:r>
      <w:proofErr w:type="gramStart"/>
      <w:r w:rsidRPr="006112AD">
        <w:rPr>
          <w:rFonts w:ascii="Calibri" w:hAnsi="Calibri" w:cs="Calibri"/>
          <w:sz w:val="20"/>
          <w:szCs w:val="20"/>
        </w:rPr>
        <w:t>a</w:t>
      </w:r>
      <w:proofErr w:type="gramEnd"/>
      <w:r w:rsidRPr="006112AD">
        <w:rPr>
          <w:rFonts w:ascii="Calibri" w:hAnsi="Calibri" w:cs="Calibri"/>
          <w:sz w:val="20"/>
          <w:szCs w:val="20"/>
        </w:rPr>
        <w:t xml:space="preserve"> LHT has other benefits. Extending the minimum holding time would enable better operational flexibility due to the working hours of the blood establishment (Thomas 2010), and better management of workflow since whole blood would not need to be processed within a few hours, but can be left for longer, thus time can be spent on other high priority tasks. </w:t>
      </w:r>
    </w:p>
    <w:p w14:paraId="2D02D1C0" w14:textId="77777777" w:rsidR="007872A2" w:rsidRPr="006112AD" w:rsidRDefault="007872A2" w:rsidP="006112AD">
      <w:pPr>
        <w:spacing w:line="240" w:lineRule="auto"/>
        <w:jc w:val="both"/>
        <w:rPr>
          <w:rFonts w:ascii="Calibri" w:hAnsi="Calibri" w:cs="Calibri"/>
          <w:sz w:val="20"/>
          <w:szCs w:val="20"/>
        </w:rPr>
      </w:pPr>
    </w:p>
    <w:p w14:paraId="5B0C2EA0" w14:textId="3BA59EFF" w:rsidR="00767410" w:rsidRPr="007872A2" w:rsidRDefault="00767410" w:rsidP="004D71F6">
      <w:pPr>
        <w:pStyle w:val="ListParagraph"/>
        <w:numPr>
          <w:ilvl w:val="0"/>
          <w:numId w:val="38"/>
        </w:numPr>
        <w:spacing w:line="240" w:lineRule="auto"/>
        <w:rPr>
          <w:rFonts w:ascii="Calibri" w:hAnsi="Calibri" w:cs="Calibri"/>
          <w:b/>
          <w:bCs/>
          <w:sz w:val="20"/>
          <w:szCs w:val="20"/>
        </w:rPr>
      </w:pPr>
      <w:bookmarkStart w:id="143" w:name="_GoBack"/>
      <w:bookmarkEnd w:id="143"/>
      <w:r w:rsidRPr="007872A2">
        <w:rPr>
          <w:rFonts w:ascii="Calibri" w:hAnsi="Calibri" w:cs="Calibri"/>
          <w:b/>
          <w:bCs/>
          <w:sz w:val="20"/>
          <w:szCs w:val="20"/>
        </w:rPr>
        <w:t>Limitations</w:t>
      </w:r>
    </w:p>
    <w:p w14:paraId="08611FF6" w14:textId="15C8FFDB"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Although informative, this study had its limitations. Undoubtedly the larger the sample size, the more accurate and reliable results are in any study. Having a small sample size of 100 unit per cohort limits the accuracy of the conclusion made by this study. Nonetheless, it still provides essential data and sets a good foundation for more extensive research if required. </w:t>
      </w:r>
    </w:p>
    <w:p w14:paraId="43BAF439" w14:textId="0B8A3B69"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Another limitation of this study was related to the FFP units tested in the two cohorts. Although ideal, it would not be feasible for the same units to be used for both SHT and LHT.  Hence the units of the SHT cohort were derived from whole blood units that were different from the 100 units of the LHT cohort. Using the same units for both cohorts would allow the observation of how the RLC and PC change with time in the same unit, however the holding time is defined as the time between whole blood collection and its separation into the main blood components. Thus, units with a SHT would have already been processed and therefore cannot be put back together and tested after </w:t>
      </w:r>
      <w:r w:rsidR="00FF6069" w:rsidRPr="006112AD">
        <w:rPr>
          <w:rFonts w:ascii="Calibri" w:hAnsi="Calibri" w:cs="Calibri"/>
          <w:sz w:val="20"/>
          <w:szCs w:val="20"/>
        </w:rPr>
        <w:t>an</w:t>
      </w:r>
      <w:r w:rsidRPr="006112AD">
        <w:rPr>
          <w:rFonts w:ascii="Calibri" w:hAnsi="Calibri" w:cs="Calibri"/>
          <w:sz w:val="20"/>
          <w:szCs w:val="20"/>
        </w:rPr>
        <w:t xml:space="preserve"> LHT. In addition, the FFP product is not very stable and testing the unit twice would require keeping the product at higher temperatures for longer than recommended since it is ideally frozen as soon as possible to maintain the levels of coagulation factors, particularly FXIII. Hence, this would likely result in lower </w:t>
      </w:r>
      <w:r w:rsidR="00113DF1" w:rsidRPr="006112AD">
        <w:rPr>
          <w:rFonts w:ascii="Calibri" w:hAnsi="Calibri" w:cs="Calibri"/>
          <w:sz w:val="20"/>
          <w:szCs w:val="20"/>
        </w:rPr>
        <w:t>PC</w:t>
      </w:r>
      <w:r w:rsidRPr="006112AD">
        <w:rPr>
          <w:rFonts w:ascii="Calibri" w:hAnsi="Calibri" w:cs="Calibri"/>
          <w:sz w:val="20"/>
          <w:szCs w:val="20"/>
        </w:rPr>
        <w:t>s as certain labile proteins start to degrade after a few hours</w:t>
      </w:r>
      <w:r w:rsidR="00D85FD3">
        <w:rPr>
          <w:rFonts w:ascii="Calibri" w:hAnsi="Calibri" w:cs="Calibri"/>
          <w:sz w:val="20"/>
          <w:szCs w:val="20"/>
        </w:rPr>
        <w:fldChar w:fldCharType="begin"/>
      </w:r>
      <w:r w:rsidR="00D85FD3">
        <w:rPr>
          <w:rFonts w:ascii="Calibri" w:hAnsi="Calibri" w:cs="Calibri"/>
          <w:sz w:val="20"/>
          <w:szCs w:val="20"/>
        </w:rPr>
        <w:instrText xml:space="preserve"> ADDIN ZOTERO_ITEM CSL_CITATION {"citationID":"PnjCvh0k","properties":{"formattedCitation":"(1,15)","plainCitation":"(1,15)","noteIndex":0},"citationItems":[{"id":5389,"uris":["http://zotero.org/users/3782744/items/CV6ESY35"],"itemData":{"id":5389,"type":"webpage","container-title":"European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HealthCare"}],"accessed":{"date-parts":[["2025",8,13]]}},"label":"page"},{"id":5490,"uris":["http://zotero.org/users/3782744/items/ACW5WC7P"],"itemData":{"id":5490,"type":"article-journal","abstract":"INTRODUCTION: Sample freezing is a part of routine laboratory tasks because some coagulation parameters are analysed in batches to optimize reagent consumption. The coagulation parameter stability in fresh and frozen samples has been described, but data are scarcer after thawing. This study objective was to determine the stability of the main coagulation parameters (from blood withdrawn on siliconized CTAD tubes and double-centrifuged) after one freeze/thaw cycle to generate procedures for appropriate handling, storage and testing.\nMETHODS: Prothrombin time (PT), activated partial thromboplastin time (aPTT), fibrinogen, D-dimers, clotting factors (F), protein C, protein S, antithrombin, lupus anticoagulant (LA)-sensitive aPTT and diluted-Russel's viper venom time (dRVVT) were assessed in 60 plasma samples (n=30, normal range and n=30, outside the normal range). Thirty samples from anticoagulated patients [unfractionated heparin (UFH), low-molecular weight heparin (LMWH), apixaban or rivaroxaban] were assessed using specific anticoagulant assays. Frozen samples were thawed, and assays were performed at 15 min, 2, 4 and 6 h after thawing. The coagulation parameter stability was assessed with the method of rejection limit.\nRESULTS: After thawing, aPTT, PT, fibrinogen, D-dimers, FII, FV, FX, FIX, FXI, FXII, PC and UFH anti-Xa activity remained stable for at least 6 h, FVII for 5 h, PS, AT, dRVVT screen assay and LMWH anti-Xa activity for 4 h, and LA-sensitive aPTT and apixaban-specific anti-Xa activity for 3 h. FVIII, dRVVT confirm assay and rivaroxaban specific anti-Xa activity were stable for 2 h.\nCONCLUSION: These results suggest that sample stability for some haemostasis assays is limited after thawing.","container-title":"International Journal of Laboratory Hematology","DOI":"10.1111/ijlh.13794","ISSN":"1751-553X","issue":"3","journalAbbreviation":"Int J Lab Hematol","language":"eng","note":"PMID: 35029031","page":"610-618","source":"PubMed","title":"Stability of coagulation parameters in plasma samples at room temperature after one freeze/thaw cycle","volume":"44","author":[{"family":"Gaudard","given":"Marion"},{"family":"Boissier","given":"Elodie"},{"family":"Talon","given":"Laurie"},{"family":"Douxfils","given":"Jonathan"},{"family":"Sapin","given":"Anne-Françoise"},{"family":"Sinegre","given":"Thomas"},{"family":"Lebreton","given":"Aurélien"}],"issued":{"date-parts":[["2022",6]]}},"label":"page"}],"schema":"https://github.com/citation-style-language/schema/raw/master/csl-citation.json"} </w:instrText>
      </w:r>
      <w:r w:rsidR="00D85FD3">
        <w:rPr>
          <w:rFonts w:ascii="Calibri" w:hAnsi="Calibri" w:cs="Calibri"/>
          <w:sz w:val="20"/>
          <w:szCs w:val="20"/>
        </w:rPr>
        <w:fldChar w:fldCharType="separate"/>
      </w:r>
      <w:r w:rsidR="00D85FD3" w:rsidRPr="00D85FD3">
        <w:rPr>
          <w:rFonts w:ascii="Calibri" w:hAnsi="Calibri" w:cs="Calibri"/>
          <w:sz w:val="20"/>
        </w:rPr>
        <w:t>(1,15)</w:t>
      </w:r>
      <w:r w:rsidR="00D85FD3">
        <w:rPr>
          <w:rFonts w:ascii="Calibri" w:hAnsi="Calibri" w:cs="Calibri"/>
          <w:sz w:val="20"/>
          <w:szCs w:val="20"/>
        </w:rPr>
        <w:fldChar w:fldCharType="end"/>
      </w:r>
      <w:r w:rsidR="00DC05B0">
        <w:rPr>
          <w:rFonts w:ascii="Calibri" w:hAnsi="Calibri" w:cs="Calibri"/>
          <w:sz w:val="20"/>
          <w:szCs w:val="20"/>
        </w:rPr>
        <w:t>.</w:t>
      </w:r>
      <w:r w:rsidRPr="006112AD">
        <w:rPr>
          <w:rFonts w:ascii="Calibri" w:hAnsi="Calibri" w:cs="Calibri"/>
          <w:sz w:val="20"/>
          <w:szCs w:val="20"/>
        </w:rPr>
        <w:t xml:space="preserve"> </w:t>
      </w:r>
    </w:p>
    <w:p w14:paraId="0B75BD44" w14:textId="5D6214DB" w:rsidR="006D4B1A" w:rsidRDefault="0098772B" w:rsidP="006112AD">
      <w:pPr>
        <w:spacing w:before="240" w:line="240" w:lineRule="auto"/>
        <w:jc w:val="both"/>
        <w:rPr>
          <w:rFonts w:ascii="Calibri" w:hAnsi="Calibri" w:cs="Calibri"/>
          <w:color w:val="000000" w:themeColor="text1"/>
          <w:sz w:val="20"/>
          <w:szCs w:val="20"/>
        </w:rPr>
      </w:pPr>
      <w:r w:rsidRPr="006112AD">
        <w:rPr>
          <w:rFonts w:ascii="Calibri" w:hAnsi="Calibri" w:cs="Calibri"/>
          <w:sz w:val="20"/>
          <w:szCs w:val="20"/>
        </w:rPr>
        <w:t>The limited literature available on the influence of holding time on the parameters involved in this study made it challenging to compare the findings obtained. Although, these hinted towards being consistent with the findings of the</w:t>
      </w:r>
      <w:r w:rsidR="00E54E70" w:rsidRPr="006112AD">
        <w:rPr>
          <w:rFonts w:ascii="Calibri" w:hAnsi="Calibri" w:cs="Calibri"/>
          <w:sz w:val="20"/>
          <w:szCs w:val="20"/>
        </w:rPr>
        <w:t xml:space="preserve"> local establishment</w:t>
      </w:r>
      <w:r w:rsidRPr="006112AD">
        <w:rPr>
          <w:rFonts w:ascii="Calibri" w:hAnsi="Calibri" w:cs="Calibri"/>
          <w:sz w:val="20"/>
          <w:szCs w:val="20"/>
        </w:rPr>
        <w:t xml:space="preserve">. </w:t>
      </w:r>
      <w:r w:rsidR="00FD2FF0">
        <w:rPr>
          <w:rFonts w:ascii="Calibri" w:hAnsi="Calibri" w:cs="Calibri"/>
          <w:color w:val="000000" w:themeColor="text1"/>
          <w:sz w:val="20"/>
          <w:szCs w:val="20"/>
        </w:rPr>
        <w:t>I</w:t>
      </w:r>
      <w:r w:rsidRPr="006112AD">
        <w:rPr>
          <w:rFonts w:ascii="Calibri" w:hAnsi="Calibri" w:cs="Calibri"/>
          <w:color w:val="000000" w:themeColor="text1"/>
          <w:sz w:val="20"/>
          <w:szCs w:val="20"/>
        </w:rPr>
        <w:t xml:space="preserve">n addition, studies found in the available literature opted to investigate coagulation factors and not total PC, making it difficult to determine how the total PC results relate to these studies. </w:t>
      </w:r>
    </w:p>
    <w:p w14:paraId="037AB63C" w14:textId="77777777" w:rsidR="007872A2" w:rsidRPr="006112AD" w:rsidRDefault="007872A2" w:rsidP="006112AD">
      <w:pPr>
        <w:spacing w:before="240" w:line="240" w:lineRule="auto"/>
        <w:jc w:val="both"/>
        <w:rPr>
          <w:rFonts w:ascii="Calibri" w:hAnsi="Calibri" w:cs="Calibri"/>
          <w:color w:val="000000" w:themeColor="text1"/>
          <w:sz w:val="20"/>
          <w:szCs w:val="20"/>
        </w:rPr>
      </w:pPr>
    </w:p>
    <w:p w14:paraId="310F3165" w14:textId="2A5FC5F3" w:rsidR="006112AD" w:rsidRPr="007872A2" w:rsidRDefault="00767410" w:rsidP="004D71F6">
      <w:pPr>
        <w:pStyle w:val="ListParagraph"/>
        <w:numPr>
          <w:ilvl w:val="0"/>
          <w:numId w:val="38"/>
        </w:numPr>
        <w:spacing w:line="240" w:lineRule="auto"/>
        <w:rPr>
          <w:rFonts w:ascii="Calibri" w:hAnsi="Calibri" w:cs="Calibri"/>
          <w:b/>
          <w:bCs/>
          <w:sz w:val="20"/>
          <w:szCs w:val="20"/>
        </w:rPr>
      </w:pPr>
      <w:r w:rsidRPr="007872A2">
        <w:rPr>
          <w:rFonts w:ascii="Calibri" w:hAnsi="Calibri" w:cs="Calibri"/>
          <w:b/>
          <w:bCs/>
          <w:sz w:val="20"/>
          <w:szCs w:val="20"/>
        </w:rPr>
        <w:t xml:space="preserve">Further </w:t>
      </w:r>
      <w:r w:rsidR="006112AD" w:rsidRPr="007872A2">
        <w:rPr>
          <w:rFonts w:ascii="Calibri" w:hAnsi="Calibri" w:cs="Calibri"/>
          <w:b/>
          <w:bCs/>
          <w:sz w:val="20"/>
          <w:szCs w:val="20"/>
        </w:rPr>
        <w:t>work</w:t>
      </w:r>
    </w:p>
    <w:p w14:paraId="73982B4A" w14:textId="4657CAE3"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There are endless possible studies to perform on non-filtered FFP and how holding time and other factors impact the different components of this blood product. </w:t>
      </w:r>
    </w:p>
    <w:p w14:paraId="2FC19D36" w14:textId="237972EF"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Firstly, involving a larger number of FFP units would improve the accuracy and credibility of the results gathered and the conclusions or assumptions made. This is crucial when trying to have continuous improvement of protocols and ensure that the changes made based on collected data will indeed result in the desired outcome. </w:t>
      </w:r>
    </w:p>
    <w:p w14:paraId="31B8E6AD" w14:textId="1D656DEF"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The holding time in hours of each unit can be estimated in addition to dividing the units into two cohorts with short and long holding time. This would make parameter changes with increasing holding time more evident by plotting graphs. This can be estimated by recording the number of hours between the time of whole blood donation and the time when the final FFP product was obtained.</w:t>
      </w:r>
    </w:p>
    <w:p w14:paraId="499853F7" w14:textId="0226C6F1" w:rsidR="006D4B1A"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Measuring individual proteins, especially coagulation factors at different holding times in addition to PC can be used to evaluate how the level of each protein is affected. </w:t>
      </w:r>
    </w:p>
    <w:p w14:paraId="0AE46A21" w14:textId="77777777" w:rsidR="00075317" w:rsidRPr="006112AD" w:rsidRDefault="00075317" w:rsidP="006112AD">
      <w:pPr>
        <w:spacing w:before="240" w:line="240" w:lineRule="auto"/>
        <w:jc w:val="both"/>
        <w:rPr>
          <w:rFonts w:ascii="Calibri" w:hAnsi="Calibri" w:cs="Calibri"/>
          <w:sz w:val="20"/>
          <w:szCs w:val="20"/>
        </w:rPr>
      </w:pPr>
    </w:p>
    <w:p w14:paraId="56CCE3A7" w14:textId="481834C5" w:rsidR="0037786A" w:rsidRDefault="0037786A" w:rsidP="00777D48">
      <w:pPr>
        <w:spacing w:before="240" w:line="240" w:lineRule="auto"/>
        <w:jc w:val="both"/>
        <w:rPr>
          <w:rFonts w:ascii="Calibri" w:hAnsi="Calibri" w:cs="Calibri"/>
          <w:b/>
          <w:bCs/>
          <w:sz w:val="20"/>
          <w:szCs w:val="20"/>
        </w:rPr>
      </w:pPr>
    </w:p>
    <w:p w14:paraId="0BF3BC72" w14:textId="77777777" w:rsidR="005B0ED9" w:rsidRDefault="005B0ED9" w:rsidP="00777D48">
      <w:pPr>
        <w:spacing w:before="240" w:line="240" w:lineRule="auto"/>
        <w:jc w:val="both"/>
        <w:rPr>
          <w:rFonts w:ascii="Calibri" w:hAnsi="Calibri" w:cs="Calibri"/>
          <w:b/>
          <w:bCs/>
          <w:sz w:val="20"/>
          <w:szCs w:val="20"/>
        </w:rPr>
      </w:pPr>
    </w:p>
    <w:p w14:paraId="6132C9E5" w14:textId="77777777" w:rsidR="0037786A" w:rsidRDefault="0037786A" w:rsidP="00777D48">
      <w:pPr>
        <w:spacing w:before="240" w:line="240" w:lineRule="auto"/>
        <w:jc w:val="both"/>
        <w:rPr>
          <w:rFonts w:ascii="Calibri" w:hAnsi="Calibri" w:cs="Calibri"/>
          <w:sz w:val="20"/>
          <w:szCs w:val="20"/>
        </w:rPr>
      </w:pPr>
    </w:p>
    <w:p w14:paraId="43EBE574" w14:textId="0D4668E5" w:rsidR="00777D48" w:rsidRPr="0037786A" w:rsidRDefault="00777D48" w:rsidP="00777D48">
      <w:pPr>
        <w:spacing w:before="240" w:line="240" w:lineRule="auto"/>
        <w:jc w:val="both"/>
        <w:rPr>
          <w:rFonts w:ascii="Calibri" w:hAnsi="Calibri" w:cs="Calibri"/>
          <w:b/>
          <w:bCs/>
          <w:sz w:val="20"/>
          <w:szCs w:val="20"/>
        </w:rPr>
      </w:pPr>
      <w:r w:rsidRPr="0037786A">
        <w:rPr>
          <w:rFonts w:ascii="Calibri" w:hAnsi="Calibri" w:cs="Calibri"/>
          <w:b/>
          <w:bCs/>
          <w:sz w:val="20"/>
          <w:szCs w:val="20"/>
        </w:rPr>
        <w:t>Ethical Appro</w:t>
      </w:r>
      <w:r w:rsidR="001F440A" w:rsidRPr="0037786A">
        <w:rPr>
          <w:rFonts w:ascii="Calibri" w:hAnsi="Calibri" w:cs="Calibri"/>
          <w:b/>
          <w:bCs/>
          <w:sz w:val="20"/>
          <w:szCs w:val="20"/>
        </w:rPr>
        <w:t>val</w:t>
      </w:r>
    </w:p>
    <w:p w14:paraId="55834C04" w14:textId="451551CC" w:rsidR="00D73D65" w:rsidRPr="006112AD" w:rsidRDefault="00777D48" w:rsidP="00777D48">
      <w:pPr>
        <w:spacing w:before="240" w:line="240" w:lineRule="auto"/>
        <w:jc w:val="both"/>
        <w:rPr>
          <w:rFonts w:ascii="Calibri" w:hAnsi="Calibri" w:cs="Calibri"/>
          <w:sz w:val="20"/>
          <w:szCs w:val="20"/>
        </w:rPr>
      </w:pPr>
      <w:r w:rsidRPr="00777D48">
        <w:rPr>
          <w:rFonts w:ascii="Calibri" w:hAnsi="Calibri" w:cs="Calibri"/>
          <w:sz w:val="20"/>
          <w:szCs w:val="20"/>
        </w:rPr>
        <w:t>University of Malta Faculty of Research Ethics</w:t>
      </w:r>
      <w:r w:rsidR="001F440A">
        <w:rPr>
          <w:rFonts w:ascii="Calibri" w:hAnsi="Calibri" w:cs="Calibri"/>
          <w:sz w:val="20"/>
          <w:szCs w:val="20"/>
        </w:rPr>
        <w:t xml:space="preserve"> </w:t>
      </w:r>
      <w:r w:rsidRPr="00777D48">
        <w:rPr>
          <w:rFonts w:ascii="Calibri" w:hAnsi="Calibri" w:cs="Calibri"/>
          <w:sz w:val="20"/>
          <w:szCs w:val="20"/>
        </w:rPr>
        <w:t>Committee (FREC) approval number FHS- 202</w:t>
      </w:r>
      <w:r w:rsidR="0037786A">
        <w:rPr>
          <w:rFonts w:ascii="Calibri" w:hAnsi="Calibri" w:cs="Calibri"/>
          <w:sz w:val="20"/>
          <w:szCs w:val="20"/>
        </w:rPr>
        <w:t>4</w:t>
      </w:r>
      <w:r w:rsidRPr="00777D48">
        <w:rPr>
          <w:rFonts w:ascii="Calibri" w:hAnsi="Calibri" w:cs="Calibri"/>
          <w:sz w:val="20"/>
          <w:szCs w:val="20"/>
        </w:rPr>
        <w:t>-</w:t>
      </w:r>
      <w:r w:rsidR="0037786A">
        <w:rPr>
          <w:rFonts w:ascii="Calibri" w:hAnsi="Calibri" w:cs="Calibri"/>
          <w:sz w:val="20"/>
          <w:szCs w:val="20"/>
        </w:rPr>
        <w:t>00108</w:t>
      </w:r>
      <w:r w:rsidRPr="00777D48">
        <w:rPr>
          <w:rFonts w:ascii="Calibri" w:hAnsi="Calibri" w:cs="Calibri"/>
          <w:sz w:val="20"/>
          <w:szCs w:val="20"/>
        </w:rPr>
        <w:t>.</w:t>
      </w:r>
    </w:p>
    <w:p w14:paraId="2C126C6E" w14:textId="77777777" w:rsidR="00005D4D" w:rsidRDefault="00005D4D" w:rsidP="00005D4D">
      <w:pPr>
        <w:spacing w:line="240" w:lineRule="auto"/>
        <w:rPr>
          <w:rFonts w:ascii="Calibri" w:hAnsi="Calibri" w:cs="Calibri"/>
          <w:b/>
          <w:bCs/>
          <w:sz w:val="20"/>
          <w:szCs w:val="20"/>
        </w:rPr>
      </w:pPr>
    </w:p>
    <w:p w14:paraId="47A6AD6A" w14:textId="77777777" w:rsidR="004952BF" w:rsidRPr="009C5487" w:rsidRDefault="004952BF" w:rsidP="004952BF">
      <w:pPr>
        <w:rPr>
          <w:rFonts w:ascii="Calibri" w:eastAsia="Calibri" w:hAnsi="Calibri" w:cs="Times New Roman"/>
          <w:highlight w:val="yellow"/>
          <w:lang w:val="en-US"/>
        </w:rPr>
      </w:pPr>
      <w:bookmarkStart w:id="144" w:name="_Hlk197682619"/>
      <w:bookmarkStart w:id="145" w:name="_Hlk180402183"/>
      <w:bookmarkStart w:id="146" w:name="_Hlk183680988"/>
      <w:bookmarkStart w:id="147" w:name="_Hlk197351200"/>
      <w:r w:rsidRPr="009C5487">
        <w:rPr>
          <w:rFonts w:ascii="Calibri" w:eastAsia="Calibri" w:hAnsi="Calibri" w:cs="Times New Roman"/>
          <w:highlight w:val="yellow"/>
          <w:lang w:val="en-US"/>
        </w:rPr>
        <w:t>Disclaimer (Artificial intelligence)</w:t>
      </w:r>
    </w:p>
    <w:p w14:paraId="6057A049" w14:textId="77777777" w:rsidR="004952BF" w:rsidRPr="009C5487" w:rsidRDefault="004952BF" w:rsidP="004952B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CACF620" w14:textId="77777777" w:rsidR="004952BF" w:rsidRPr="009C5487" w:rsidRDefault="004952BF" w:rsidP="004952B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644D7E6D" w14:textId="6F2CBE60" w:rsidR="00183B70" w:rsidRDefault="00433D52" w:rsidP="00183B70">
      <w:pPr>
        <w:rPr>
          <w:rFonts w:ascii="Calibri" w:eastAsia="Calibri" w:hAnsi="Calibri" w:cs="Times New Roman"/>
          <w:highlight w:val="yellow"/>
          <w:lang w:val="en-US"/>
        </w:rPr>
      </w:pPr>
      <w:r>
        <w:rPr>
          <w:rFonts w:ascii="Calibri" w:eastAsia="Calibri" w:hAnsi="Calibri" w:cs="Times New Roman"/>
          <w:highlight w:val="yellow"/>
          <w:lang w:val="en-US"/>
        </w:rPr>
        <w:t>Acknowledgments</w:t>
      </w:r>
    </w:p>
    <w:p w14:paraId="71AFC4BE" w14:textId="14FFD88B" w:rsidR="00433D52" w:rsidRDefault="00494288" w:rsidP="00803827">
      <w:pPr>
        <w:rPr>
          <w:rFonts w:ascii="Calibri" w:eastAsia="Calibri" w:hAnsi="Calibri" w:cs="Times New Roman"/>
          <w:highlight w:val="yellow"/>
          <w:lang w:val="en-US"/>
        </w:rPr>
      </w:pPr>
      <w:r w:rsidRPr="00494288">
        <w:rPr>
          <w:rFonts w:ascii="Calibri" w:eastAsia="Calibri" w:hAnsi="Calibri" w:cs="Times New Roman"/>
          <w:lang w:val="en-US"/>
        </w:rPr>
        <w:t>The Authors would like to thank the National</w:t>
      </w:r>
      <w:r>
        <w:rPr>
          <w:rFonts w:ascii="Calibri" w:eastAsia="Calibri" w:hAnsi="Calibri" w:cs="Times New Roman"/>
          <w:lang w:val="en-US"/>
        </w:rPr>
        <w:t xml:space="preserve"> </w:t>
      </w:r>
      <w:r w:rsidRPr="00494288">
        <w:rPr>
          <w:rFonts w:ascii="Calibri" w:eastAsia="Calibri" w:hAnsi="Calibri" w:cs="Times New Roman"/>
          <w:lang w:val="en-US"/>
        </w:rPr>
        <w:t>Blood Transfusion Service Malta for sample</w:t>
      </w:r>
      <w:r w:rsidR="00803827">
        <w:rPr>
          <w:rFonts w:ascii="Calibri" w:eastAsia="Calibri" w:hAnsi="Calibri" w:cs="Times New Roman"/>
          <w:lang w:val="en-US"/>
        </w:rPr>
        <w:t xml:space="preserve"> </w:t>
      </w:r>
      <w:r w:rsidRPr="00494288">
        <w:rPr>
          <w:rFonts w:ascii="Calibri" w:eastAsia="Calibri" w:hAnsi="Calibri" w:cs="Times New Roman"/>
          <w:lang w:val="en-US"/>
        </w:rPr>
        <w:t>collection and analysis</w:t>
      </w:r>
      <w:r w:rsidR="00803827">
        <w:rPr>
          <w:rFonts w:ascii="Calibri" w:eastAsia="Calibri" w:hAnsi="Calibri" w:cs="Times New Roman"/>
          <w:lang w:val="en-US"/>
        </w:rPr>
        <w:t xml:space="preserve"> </w:t>
      </w:r>
      <w:proofErr w:type="gramStart"/>
      <w:r w:rsidR="00803827">
        <w:rPr>
          <w:rFonts w:ascii="Calibri" w:eastAsia="Calibri" w:hAnsi="Calibri" w:cs="Times New Roman"/>
          <w:lang w:val="en-US"/>
        </w:rPr>
        <w:t xml:space="preserve">and </w:t>
      </w:r>
      <w:r w:rsidRPr="00494288">
        <w:rPr>
          <w:rFonts w:ascii="Calibri" w:eastAsia="Calibri" w:hAnsi="Calibri" w:cs="Times New Roman"/>
          <w:lang w:val="en-US"/>
        </w:rPr>
        <w:t xml:space="preserve"> the</w:t>
      </w:r>
      <w:proofErr w:type="gramEnd"/>
      <w:r w:rsidRPr="00494288">
        <w:rPr>
          <w:rFonts w:ascii="Calibri" w:eastAsia="Calibri" w:hAnsi="Calibri" w:cs="Times New Roman"/>
          <w:lang w:val="en-US"/>
        </w:rPr>
        <w:t xml:space="preserve"> Department of</w:t>
      </w:r>
      <w:r w:rsidR="00803827">
        <w:rPr>
          <w:rFonts w:ascii="Calibri" w:eastAsia="Calibri" w:hAnsi="Calibri" w:cs="Times New Roman"/>
          <w:lang w:val="en-US"/>
        </w:rPr>
        <w:t xml:space="preserve"> </w:t>
      </w:r>
      <w:r w:rsidRPr="00494288">
        <w:rPr>
          <w:rFonts w:ascii="Calibri" w:eastAsia="Calibri" w:hAnsi="Calibri" w:cs="Times New Roman"/>
          <w:lang w:val="en-US"/>
        </w:rPr>
        <w:t>Applied Biomedical Science, Faculty of Health</w:t>
      </w:r>
      <w:r w:rsidR="00803827">
        <w:rPr>
          <w:rFonts w:ascii="Calibri" w:eastAsia="Calibri" w:hAnsi="Calibri" w:cs="Times New Roman"/>
          <w:lang w:val="en-US"/>
        </w:rPr>
        <w:t xml:space="preserve"> </w:t>
      </w:r>
      <w:r w:rsidRPr="00494288">
        <w:rPr>
          <w:rFonts w:ascii="Calibri" w:eastAsia="Calibri" w:hAnsi="Calibri" w:cs="Times New Roman"/>
          <w:lang w:val="en-US"/>
        </w:rPr>
        <w:t>Sciences, University of Malta for the funds</w:t>
      </w:r>
      <w:r w:rsidR="00803827">
        <w:rPr>
          <w:rFonts w:ascii="Calibri" w:eastAsia="Calibri" w:hAnsi="Calibri" w:cs="Times New Roman"/>
          <w:lang w:val="en-US"/>
        </w:rPr>
        <w:t>.</w:t>
      </w:r>
    </w:p>
    <w:p w14:paraId="4D0B930D" w14:textId="77777777" w:rsidR="00183B70" w:rsidRPr="009C5487" w:rsidRDefault="00183B70" w:rsidP="00183B70">
      <w:pPr>
        <w:rPr>
          <w:rFonts w:ascii="Calibri" w:eastAsia="Calibri" w:hAnsi="Calibri" w:cs="Times New Roman"/>
          <w:highlight w:val="yellow"/>
          <w:lang w:val="en-US"/>
        </w:rPr>
      </w:pPr>
    </w:p>
    <w:p w14:paraId="030ED809" w14:textId="77777777" w:rsidR="004952BF" w:rsidRDefault="004952BF" w:rsidP="005E4F42">
      <w:bookmarkStart w:id="148" w:name="_Hlk187485061"/>
      <w:bookmarkEnd w:id="144"/>
      <w:bookmarkEnd w:id="145"/>
      <w:bookmarkEnd w:id="146"/>
    </w:p>
    <w:bookmarkEnd w:id="147"/>
    <w:bookmarkEnd w:id="148"/>
    <w:p w14:paraId="4239302E" w14:textId="3D43729C" w:rsidR="0037786A" w:rsidRDefault="0037786A" w:rsidP="00005D4D">
      <w:pPr>
        <w:spacing w:line="240" w:lineRule="auto"/>
        <w:rPr>
          <w:rFonts w:ascii="Calibri" w:hAnsi="Calibri" w:cs="Calibri"/>
          <w:b/>
          <w:bCs/>
          <w:sz w:val="20"/>
          <w:szCs w:val="20"/>
        </w:rPr>
      </w:pPr>
    </w:p>
    <w:p w14:paraId="68C712A6" w14:textId="77777777" w:rsidR="0037786A" w:rsidRDefault="0037786A" w:rsidP="006112AD">
      <w:pPr>
        <w:spacing w:line="240" w:lineRule="auto"/>
        <w:rPr>
          <w:rFonts w:ascii="Calibri" w:hAnsi="Calibri" w:cs="Calibri"/>
          <w:b/>
          <w:bCs/>
          <w:sz w:val="20"/>
          <w:szCs w:val="20"/>
        </w:rPr>
      </w:pPr>
    </w:p>
    <w:p w14:paraId="328F8288" w14:textId="26FA3B71" w:rsidR="00075317" w:rsidRPr="00D73D65" w:rsidRDefault="00A12115" w:rsidP="006112AD">
      <w:pPr>
        <w:spacing w:line="240" w:lineRule="auto"/>
        <w:rPr>
          <w:rFonts w:ascii="Calibri" w:hAnsi="Calibri" w:cs="Calibri"/>
          <w:b/>
          <w:bCs/>
          <w:sz w:val="20"/>
          <w:szCs w:val="20"/>
        </w:rPr>
      </w:pPr>
      <w:r w:rsidRPr="00D73D65">
        <w:rPr>
          <w:rFonts w:ascii="Calibri" w:hAnsi="Calibri" w:cs="Calibri"/>
          <w:b/>
          <w:bCs/>
          <w:sz w:val="20"/>
          <w:szCs w:val="20"/>
        </w:rPr>
        <w:t>References</w:t>
      </w:r>
    </w:p>
    <w:p w14:paraId="3A3E3DC8" w14:textId="725282FA" w:rsidR="00D85FD3" w:rsidRPr="00D85FD3" w:rsidRDefault="00A12115" w:rsidP="00D85FD3">
      <w:pPr>
        <w:pStyle w:val="Bibliography"/>
        <w:rPr>
          <w:rFonts w:ascii="Calibri" w:hAnsi="Calibri" w:cs="Calibri"/>
          <w:sz w:val="20"/>
        </w:rPr>
      </w:pPr>
      <w:r>
        <w:rPr>
          <w:rFonts w:ascii="Calibri" w:hAnsi="Calibri" w:cs="Calibri"/>
          <w:sz w:val="20"/>
          <w:szCs w:val="20"/>
        </w:rPr>
        <w:fldChar w:fldCharType="begin"/>
      </w:r>
      <w:r>
        <w:rPr>
          <w:rFonts w:ascii="Calibri" w:hAnsi="Calibri" w:cs="Calibri"/>
          <w:sz w:val="20"/>
          <w:szCs w:val="20"/>
        </w:rPr>
        <w:instrText xml:space="preserve"> ADDIN ZOTERO_BIBL {"uncited":[],"omitted":[],"custom":[]} CSL_BIBLIOGRAPHY </w:instrText>
      </w:r>
      <w:r>
        <w:rPr>
          <w:rFonts w:ascii="Calibri" w:hAnsi="Calibri" w:cs="Calibri"/>
          <w:sz w:val="20"/>
          <w:szCs w:val="20"/>
        </w:rPr>
        <w:fldChar w:fldCharType="separate"/>
      </w:r>
      <w:r w:rsidR="00D85FD3" w:rsidRPr="00D85FD3">
        <w:rPr>
          <w:rFonts w:ascii="Calibri" w:hAnsi="Calibri" w:cs="Calibri"/>
          <w:sz w:val="20"/>
        </w:rPr>
        <w:t>1.</w:t>
      </w:r>
      <w:r w:rsidR="00D85FD3" w:rsidRPr="00D85FD3">
        <w:rPr>
          <w:rFonts w:ascii="Calibri" w:hAnsi="Calibri" w:cs="Calibri"/>
          <w:sz w:val="20"/>
        </w:rPr>
        <w:tab/>
        <w:t>European Directorate for the Quality of Medicines &amp; HealthCare</w:t>
      </w:r>
      <w:r w:rsidR="00E1219B">
        <w:rPr>
          <w:rFonts w:ascii="Calibri" w:hAnsi="Calibri" w:cs="Calibri"/>
          <w:sz w:val="20"/>
        </w:rPr>
        <w:t xml:space="preserve"> (EDQM)</w:t>
      </w:r>
      <w:r w:rsidR="00D85FD3" w:rsidRPr="00D85FD3">
        <w:rPr>
          <w:rFonts w:ascii="Calibri" w:hAnsi="Calibri" w:cs="Calibri"/>
          <w:sz w:val="20"/>
        </w:rPr>
        <w:t xml:space="preserve"> [cited 2025 Aug 13]. Guide to the preparation, use and quality assurance of blood components - European Directorate for the Quality of Medicines &amp; HealthCare - EDQM. Available from: https://www.edqm.eu/en/blood-guide</w:t>
      </w:r>
    </w:p>
    <w:p w14:paraId="00D4E1A6"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2.</w:t>
      </w:r>
      <w:r w:rsidRPr="00D85FD3">
        <w:rPr>
          <w:rFonts w:ascii="Calibri" w:hAnsi="Calibri" w:cs="Calibri"/>
          <w:sz w:val="20"/>
        </w:rPr>
        <w:tab/>
        <w:t xml:space="preserve">Yousif D, Sammut M, Zammit V. Holding Time Optimisation in Fresh Frozen Plasma: A Critical Factor Worth Investigating. International Blood Research &amp; Reviews. 2025 Sep 6;16(4):1–10. </w:t>
      </w:r>
    </w:p>
    <w:p w14:paraId="01E1556E"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3.</w:t>
      </w:r>
      <w:r w:rsidRPr="00D85FD3">
        <w:rPr>
          <w:rFonts w:ascii="Calibri" w:hAnsi="Calibri" w:cs="Calibri"/>
          <w:sz w:val="20"/>
        </w:rPr>
        <w:tab/>
        <w:t xml:space="preserve">Serrano K, Scammell K, Weiss S, Culibrk B, Levin E, Gyöngyössy-Issa M, et al. Plasma and cryoprecipitate manufactured from whole blood held overnight at room temperature meet quality standards. Transfusion. 2010 Feb;50(2):344–53. </w:t>
      </w:r>
    </w:p>
    <w:p w14:paraId="3C971250"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4.</w:t>
      </w:r>
      <w:r w:rsidRPr="00D85FD3">
        <w:rPr>
          <w:rFonts w:ascii="Calibri" w:hAnsi="Calibri" w:cs="Calibri"/>
          <w:sz w:val="20"/>
        </w:rPr>
        <w:tab/>
        <w:t xml:space="preserve">Cardigan R, Van der Meer PF, Pergande C, Cookson P, Baumann-Baretti B, Cancelas JA, et al. Coagulation factor content of plasma produced from whole blood stored for 24 hours at ambient temperature: results from an international multicenter BEST Collaborative study. Transfusion. 2011 Jan;51 Suppl 1:50S-57S. </w:t>
      </w:r>
    </w:p>
    <w:p w14:paraId="0AA652A1"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5.</w:t>
      </w:r>
      <w:r w:rsidRPr="00D85FD3">
        <w:rPr>
          <w:rFonts w:ascii="Calibri" w:hAnsi="Calibri" w:cs="Calibri"/>
          <w:sz w:val="20"/>
        </w:rPr>
        <w:tab/>
        <w:t xml:space="preserve">Moroff G, AuBuchon JP, Pickard C, Whitley PH, Heaton WA, Holme S. Evaluation of the properties of components prepared and stored after holding of whole blood units for 8 and 24 hours at ambient temperature. Transfusion. 2011 Jan;51 Suppl 1:7S-14S. </w:t>
      </w:r>
    </w:p>
    <w:p w14:paraId="29BCA143"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6.</w:t>
      </w:r>
      <w:r w:rsidRPr="00D85FD3">
        <w:rPr>
          <w:rFonts w:ascii="Calibri" w:hAnsi="Calibri" w:cs="Calibri"/>
          <w:sz w:val="20"/>
        </w:rPr>
        <w:tab/>
        <w:t xml:space="preserve">Thibault L, Beauséjour A, de Grandmont MJ, Lemieux R, Leblanc JF. Characterization of blood components prepared from whole-blood donations after a 24-hour hold with the platelet-rich plasma method. Transfusion. 2006 Aug;46(8):1292–9. </w:t>
      </w:r>
    </w:p>
    <w:p w14:paraId="448358B6"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7.</w:t>
      </w:r>
      <w:r w:rsidRPr="00D85FD3">
        <w:rPr>
          <w:rFonts w:ascii="Calibri" w:hAnsi="Calibri" w:cs="Calibri"/>
          <w:sz w:val="20"/>
        </w:rPr>
        <w:tab/>
        <w:t xml:space="preserve">Beckman N, Nightingale MJ, Pamphilon D. Practical guidelines for applying statistical process control to blood component production. Transfus Med. 2009 Dec;19(6):329–39. </w:t>
      </w:r>
    </w:p>
    <w:p w14:paraId="7DEF21FE"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lastRenderedPageBreak/>
        <w:t>8.</w:t>
      </w:r>
      <w:r w:rsidRPr="00D85FD3">
        <w:rPr>
          <w:rFonts w:ascii="Calibri" w:hAnsi="Calibri" w:cs="Calibri"/>
          <w:sz w:val="20"/>
        </w:rPr>
        <w:tab/>
        <w:t xml:space="preserve">van der Meer PF, de Korte D. The effect of holding times of whole blood and its components during processing on in vitro and in vivo quality. Transfus Med Rev. 2015 Jan;29(1):24–34. </w:t>
      </w:r>
    </w:p>
    <w:p w14:paraId="59F81258"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9.</w:t>
      </w:r>
      <w:r w:rsidRPr="00D85FD3">
        <w:rPr>
          <w:rFonts w:ascii="Calibri" w:hAnsi="Calibri" w:cs="Calibri"/>
          <w:sz w:val="20"/>
        </w:rPr>
        <w:tab/>
        <w:t xml:space="preserve">Lu FQ, Kang W, Peng Y, Wang WM. Characterization of blood components separated from donated whole blood after an overnight holding at room temperature with the buffy coat method. Transfusion. 2011 Oct;51(10):2199–207. </w:t>
      </w:r>
    </w:p>
    <w:p w14:paraId="1CE4AA97"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10.</w:t>
      </w:r>
      <w:r w:rsidRPr="00D85FD3">
        <w:rPr>
          <w:rFonts w:ascii="Calibri" w:hAnsi="Calibri" w:cs="Calibri"/>
          <w:sz w:val="20"/>
        </w:rPr>
        <w:tab/>
        <w:t xml:space="preserve">Alhumaidan H, Cheves T, Holme S, Sweeney J. Stability of coagulation factors in plasma prepared after a 24-hour room temperature hold. Transfusion. 2010 Sep;50(9):1934–42. </w:t>
      </w:r>
    </w:p>
    <w:p w14:paraId="0B71168F"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11.</w:t>
      </w:r>
      <w:r w:rsidRPr="00D85FD3">
        <w:rPr>
          <w:rFonts w:ascii="Calibri" w:hAnsi="Calibri" w:cs="Calibri"/>
          <w:sz w:val="20"/>
        </w:rPr>
        <w:tab/>
        <w:t xml:space="preserve">Dogra M, Sidhu M, Vasudev R, Dogra A. Comparative analysis of activity of coagulation Factors V and VIII and level of fibrinogen in fresh frozen plasma and frozen plasma. Asian J Transfus Sci. 2015;9(1):6–8. </w:t>
      </w:r>
    </w:p>
    <w:p w14:paraId="0C7B2C2B"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12.</w:t>
      </w:r>
      <w:r w:rsidRPr="00D85FD3">
        <w:rPr>
          <w:rFonts w:ascii="Calibri" w:hAnsi="Calibri" w:cs="Calibri"/>
          <w:sz w:val="20"/>
        </w:rPr>
        <w:tab/>
        <w:t xml:space="preserve">Kretzschmar E, Kruse F, Greiss O, Paunovic D, Kallweit T, Trobisch H. Effects of extended storage of whole blood before leucocyte depletion on coagulation factors in plasma. Vox Sang. 2004 Oct;87(3):156–64. </w:t>
      </w:r>
    </w:p>
    <w:p w14:paraId="6C5A1448"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13.</w:t>
      </w:r>
      <w:r w:rsidRPr="00D85FD3">
        <w:rPr>
          <w:rFonts w:ascii="Calibri" w:hAnsi="Calibri" w:cs="Calibri"/>
          <w:sz w:val="20"/>
        </w:rPr>
        <w:tab/>
        <w:t xml:space="preserve">van der Meer PF, de Wildt-Eggen J. The effect of whole-blood storage time on the number of white cells and platelets in whole blood and in white cell-reduced red cells. Transfusion. 2006 Apr;46(4):589–94. </w:t>
      </w:r>
    </w:p>
    <w:p w14:paraId="56C903DE"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14.</w:t>
      </w:r>
      <w:r w:rsidRPr="00D85FD3">
        <w:rPr>
          <w:rFonts w:ascii="Calibri" w:hAnsi="Calibri" w:cs="Calibri"/>
          <w:sz w:val="20"/>
        </w:rPr>
        <w:tab/>
        <w:t xml:space="preserve">Thomas S. Ambient overnight hold of whole blood prior to the manufacture of blood components. Transfus Med. 2010 Dec;20(6):361–8. </w:t>
      </w:r>
    </w:p>
    <w:p w14:paraId="78A64345"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15.</w:t>
      </w:r>
      <w:r w:rsidRPr="00D85FD3">
        <w:rPr>
          <w:rFonts w:ascii="Calibri" w:hAnsi="Calibri" w:cs="Calibri"/>
          <w:sz w:val="20"/>
        </w:rPr>
        <w:tab/>
        <w:t xml:space="preserve">Gaudard M, Boissier E, Talon L, Douxfils J, Sapin AF, Sinegre T, et al. Stability of coagulation parameters in plasma samples at room temperature after one freeze/thaw cycle. Int J Lab Hematol. 2022 Jun;44(3):610–8. </w:t>
      </w:r>
    </w:p>
    <w:p w14:paraId="333E0CEA" w14:textId="5C1C5417" w:rsidR="00A12115" w:rsidRDefault="00A12115" w:rsidP="006112AD">
      <w:pPr>
        <w:spacing w:line="240" w:lineRule="auto"/>
        <w:rPr>
          <w:rFonts w:ascii="Calibri" w:hAnsi="Calibri" w:cs="Calibri"/>
          <w:sz w:val="20"/>
          <w:szCs w:val="20"/>
        </w:rPr>
      </w:pPr>
      <w:r>
        <w:rPr>
          <w:rFonts w:ascii="Calibri" w:hAnsi="Calibri" w:cs="Calibri"/>
          <w:sz w:val="20"/>
          <w:szCs w:val="20"/>
        </w:rPr>
        <w:fldChar w:fldCharType="end"/>
      </w:r>
    </w:p>
    <w:p w14:paraId="08276859" w14:textId="77777777" w:rsidR="00075317" w:rsidRDefault="00075317" w:rsidP="006112AD">
      <w:pPr>
        <w:spacing w:line="240" w:lineRule="auto"/>
        <w:rPr>
          <w:rFonts w:ascii="Calibri" w:hAnsi="Calibri" w:cs="Calibri"/>
          <w:sz w:val="20"/>
          <w:szCs w:val="20"/>
        </w:rPr>
      </w:pPr>
    </w:p>
    <w:p w14:paraId="695EB1C0" w14:textId="77777777" w:rsidR="00075317" w:rsidRDefault="00075317" w:rsidP="006112AD">
      <w:pPr>
        <w:spacing w:line="240" w:lineRule="auto"/>
        <w:rPr>
          <w:rFonts w:ascii="Calibri" w:hAnsi="Calibri" w:cs="Calibri"/>
          <w:sz w:val="20"/>
          <w:szCs w:val="20"/>
        </w:rPr>
      </w:pPr>
    </w:p>
    <w:p w14:paraId="723EDECE" w14:textId="77777777" w:rsidR="00075317" w:rsidRDefault="00075317" w:rsidP="006112AD">
      <w:pPr>
        <w:spacing w:line="240" w:lineRule="auto"/>
        <w:rPr>
          <w:rFonts w:ascii="Calibri" w:hAnsi="Calibri" w:cs="Calibri"/>
          <w:sz w:val="20"/>
          <w:szCs w:val="20"/>
        </w:rPr>
      </w:pPr>
    </w:p>
    <w:p w14:paraId="0D920C96" w14:textId="77777777" w:rsidR="00075317" w:rsidRDefault="00075317" w:rsidP="006112AD">
      <w:pPr>
        <w:spacing w:line="240" w:lineRule="auto"/>
        <w:rPr>
          <w:rFonts w:ascii="Calibri" w:hAnsi="Calibri" w:cs="Calibri"/>
          <w:sz w:val="20"/>
          <w:szCs w:val="20"/>
        </w:rPr>
      </w:pPr>
    </w:p>
    <w:p w14:paraId="085AABAF" w14:textId="77777777" w:rsidR="00075317" w:rsidRDefault="00075317" w:rsidP="006112AD">
      <w:pPr>
        <w:spacing w:line="240" w:lineRule="auto"/>
        <w:rPr>
          <w:rFonts w:ascii="Calibri" w:hAnsi="Calibri" w:cs="Calibri"/>
          <w:sz w:val="20"/>
          <w:szCs w:val="20"/>
        </w:rPr>
      </w:pPr>
    </w:p>
    <w:p w14:paraId="06BC3A39" w14:textId="268DC880" w:rsidR="002042B9" w:rsidRPr="00807A49" w:rsidRDefault="002042B9" w:rsidP="00807A49">
      <w:pPr>
        <w:pStyle w:val="ListParagraph"/>
        <w:spacing w:line="240" w:lineRule="auto"/>
        <w:jc w:val="both"/>
        <w:rPr>
          <w:rFonts w:ascii="Calibri" w:hAnsi="Calibri" w:cs="Calibri"/>
          <w:sz w:val="20"/>
          <w:szCs w:val="20"/>
        </w:rPr>
      </w:pPr>
    </w:p>
    <w:sectPr w:rsidR="002042B9" w:rsidRPr="00807A49" w:rsidSect="008376F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472C7" w14:textId="77777777" w:rsidR="00D021B0" w:rsidRDefault="00D021B0" w:rsidP="00846781">
      <w:pPr>
        <w:spacing w:after="0" w:line="240" w:lineRule="auto"/>
      </w:pPr>
      <w:r>
        <w:separator/>
      </w:r>
    </w:p>
    <w:p w14:paraId="15843B4D" w14:textId="77777777" w:rsidR="00D021B0" w:rsidRDefault="00D021B0"/>
    <w:p w14:paraId="0CE3A7F5" w14:textId="77777777" w:rsidR="00D021B0" w:rsidRDefault="00D021B0" w:rsidP="00CD0D9D"/>
  </w:endnote>
  <w:endnote w:type="continuationSeparator" w:id="0">
    <w:p w14:paraId="1B3408BB" w14:textId="77777777" w:rsidR="00D021B0" w:rsidRDefault="00D021B0" w:rsidP="00846781">
      <w:pPr>
        <w:spacing w:after="0" w:line="240" w:lineRule="auto"/>
      </w:pPr>
      <w:r>
        <w:continuationSeparator/>
      </w:r>
    </w:p>
    <w:p w14:paraId="363FA5AE" w14:textId="77777777" w:rsidR="00D021B0" w:rsidRDefault="00D021B0"/>
    <w:p w14:paraId="42C3E372" w14:textId="77777777" w:rsidR="00D021B0" w:rsidRDefault="00D021B0" w:rsidP="00CD0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70D0" w14:textId="77777777" w:rsidR="00602FC2" w:rsidRDefault="00602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302071"/>
      <w:docPartObj>
        <w:docPartGallery w:val="Page Numbers (Bottom of Page)"/>
        <w:docPartUnique/>
      </w:docPartObj>
    </w:sdtPr>
    <w:sdtEndPr>
      <w:rPr>
        <w:noProof/>
      </w:rPr>
    </w:sdtEndPr>
    <w:sdtContent>
      <w:p w14:paraId="4F1824D1" w14:textId="6FE70386" w:rsidR="003C567A" w:rsidRDefault="003C567A">
        <w:pPr>
          <w:pStyle w:val="Footer"/>
          <w:jc w:val="center"/>
        </w:pPr>
        <w:r w:rsidRPr="003C567A">
          <w:rPr>
            <w:rFonts w:ascii="Times New Roman" w:hAnsi="Times New Roman" w:cs="Times New Roman"/>
            <w:sz w:val="24"/>
            <w:szCs w:val="24"/>
          </w:rPr>
          <w:fldChar w:fldCharType="begin"/>
        </w:r>
        <w:r w:rsidRPr="003C567A">
          <w:rPr>
            <w:rFonts w:ascii="Times New Roman" w:hAnsi="Times New Roman" w:cs="Times New Roman"/>
            <w:sz w:val="24"/>
            <w:szCs w:val="24"/>
          </w:rPr>
          <w:instrText xml:space="preserve"> PAGE   \* MERGEFORMAT </w:instrText>
        </w:r>
        <w:r w:rsidRPr="003C567A">
          <w:rPr>
            <w:rFonts w:ascii="Times New Roman" w:hAnsi="Times New Roman" w:cs="Times New Roman"/>
            <w:sz w:val="24"/>
            <w:szCs w:val="24"/>
          </w:rPr>
          <w:fldChar w:fldCharType="separate"/>
        </w:r>
        <w:r w:rsidRPr="003C567A">
          <w:rPr>
            <w:rFonts w:ascii="Times New Roman" w:hAnsi="Times New Roman" w:cs="Times New Roman"/>
            <w:noProof/>
            <w:sz w:val="24"/>
            <w:szCs w:val="24"/>
          </w:rPr>
          <w:t>2</w:t>
        </w:r>
        <w:r w:rsidRPr="003C567A">
          <w:rPr>
            <w:rFonts w:ascii="Times New Roman" w:hAnsi="Times New Roman" w:cs="Times New Roman"/>
            <w:noProof/>
            <w:sz w:val="24"/>
            <w:szCs w:val="24"/>
          </w:rPr>
          <w:fldChar w:fldCharType="end"/>
        </w:r>
      </w:p>
    </w:sdtContent>
  </w:sdt>
  <w:p w14:paraId="2C8545A6" w14:textId="77777777" w:rsidR="00846781" w:rsidRDefault="00846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1984"/>
      <w:docPartObj>
        <w:docPartGallery w:val="Page Numbers (Bottom of Page)"/>
        <w:docPartUnique/>
      </w:docPartObj>
    </w:sdtPr>
    <w:sdtEndPr>
      <w:rPr>
        <w:noProof/>
      </w:rPr>
    </w:sdtEndPr>
    <w:sdtContent>
      <w:p w14:paraId="6D9C199F" w14:textId="25F5B096" w:rsidR="003B794C" w:rsidRDefault="003B7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2B82E8" w14:textId="77777777" w:rsidR="007015F1" w:rsidRDefault="0070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4C81" w14:textId="77777777" w:rsidR="00D021B0" w:rsidRDefault="00D021B0" w:rsidP="00846781">
      <w:pPr>
        <w:spacing w:after="0" w:line="240" w:lineRule="auto"/>
      </w:pPr>
      <w:r>
        <w:separator/>
      </w:r>
    </w:p>
    <w:p w14:paraId="2DC0BA85" w14:textId="77777777" w:rsidR="00D021B0" w:rsidRDefault="00D021B0"/>
    <w:p w14:paraId="55C048FF" w14:textId="77777777" w:rsidR="00D021B0" w:rsidRDefault="00D021B0" w:rsidP="00CD0D9D"/>
  </w:footnote>
  <w:footnote w:type="continuationSeparator" w:id="0">
    <w:p w14:paraId="13462552" w14:textId="77777777" w:rsidR="00D021B0" w:rsidRDefault="00D021B0" w:rsidP="00846781">
      <w:pPr>
        <w:spacing w:after="0" w:line="240" w:lineRule="auto"/>
      </w:pPr>
      <w:r>
        <w:continuationSeparator/>
      </w:r>
    </w:p>
    <w:p w14:paraId="05127FF4" w14:textId="77777777" w:rsidR="00D021B0" w:rsidRDefault="00D021B0"/>
    <w:p w14:paraId="31C359DB" w14:textId="77777777" w:rsidR="00D021B0" w:rsidRDefault="00D021B0" w:rsidP="00CD0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9823" w14:textId="63350DFA" w:rsidR="00602FC2" w:rsidRDefault="00D021B0">
    <w:pPr>
      <w:pStyle w:val="Header"/>
    </w:pPr>
    <w:r>
      <w:rPr>
        <w:noProof/>
      </w:rPr>
      <w:pict w14:anchorId="7D132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85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9485" w14:textId="35A09581" w:rsidR="007015F1" w:rsidRDefault="00D021B0" w:rsidP="007015F1">
    <w:pPr>
      <w:pStyle w:val="Header"/>
      <w:jc w:val="center"/>
    </w:pPr>
    <w:r>
      <w:rPr>
        <w:noProof/>
      </w:rPr>
      <w:pict w14:anchorId="55D05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8543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62C46865" w14:textId="77777777" w:rsidR="00315014" w:rsidRDefault="00315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F4B3" w14:textId="487417C3" w:rsidR="00602FC2" w:rsidRDefault="00D021B0">
    <w:pPr>
      <w:pStyle w:val="Header"/>
    </w:pPr>
    <w:r>
      <w:rPr>
        <w:noProof/>
      </w:rPr>
      <w:pict w14:anchorId="7AD4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85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7D"/>
    <w:multiLevelType w:val="hybridMultilevel"/>
    <w:tmpl w:val="F4DEA160"/>
    <w:lvl w:ilvl="0" w:tplc="08090001">
      <w:start w:val="1"/>
      <w:numFmt w:val="bullet"/>
      <w:lvlText w:val=""/>
      <w:lvlJc w:val="left"/>
      <w:pPr>
        <w:ind w:left="720" w:hanging="360"/>
      </w:pPr>
      <w:rPr>
        <w:rFonts w:ascii="Symbol" w:hAnsi="Symbol" w:hint="default"/>
      </w:rPr>
    </w:lvl>
    <w:lvl w:ilvl="1" w:tplc="E6E8D82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02AE9"/>
    <w:multiLevelType w:val="multilevel"/>
    <w:tmpl w:val="E064DC4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BBB4915"/>
    <w:multiLevelType w:val="hybridMultilevel"/>
    <w:tmpl w:val="348438BC"/>
    <w:lvl w:ilvl="0" w:tplc="C7C8FDC0">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4681D"/>
    <w:multiLevelType w:val="multilevel"/>
    <w:tmpl w:val="7FC2A9E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9115E9B"/>
    <w:multiLevelType w:val="hybridMultilevel"/>
    <w:tmpl w:val="43A6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60F0"/>
    <w:multiLevelType w:val="hybridMultilevel"/>
    <w:tmpl w:val="360A82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7B1654"/>
    <w:multiLevelType w:val="hybridMultilevel"/>
    <w:tmpl w:val="F334B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F157AB"/>
    <w:multiLevelType w:val="hybridMultilevel"/>
    <w:tmpl w:val="90E2A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64B5D"/>
    <w:multiLevelType w:val="multilevel"/>
    <w:tmpl w:val="F79833E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11389C"/>
    <w:multiLevelType w:val="hybridMultilevel"/>
    <w:tmpl w:val="1C8224EA"/>
    <w:lvl w:ilvl="0" w:tplc="B63CA38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0440E"/>
    <w:multiLevelType w:val="hybridMultilevel"/>
    <w:tmpl w:val="740ECA24"/>
    <w:lvl w:ilvl="0" w:tplc="02443256">
      <w:start w:val="3"/>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C2565"/>
    <w:multiLevelType w:val="multilevel"/>
    <w:tmpl w:val="0EBEE24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i/>
        <w:iCs w:val="0"/>
        <w:sz w:val="40"/>
        <w:szCs w:val="40"/>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A3B4533"/>
    <w:multiLevelType w:val="multilevel"/>
    <w:tmpl w:val="11C408E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BC01D11"/>
    <w:multiLevelType w:val="hybridMultilevel"/>
    <w:tmpl w:val="CBCA8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B45B1"/>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A24BB"/>
    <w:multiLevelType w:val="hybridMultilevel"/>
    <w:tmpl w:val="FBE4E0C2"/>
    <w:lvl w:ilvl="0" w:tplc="2A626E4C">
      <w:start w:val="1"/>
      <w:numFmt w:val="decimal"/>
      <w:lvlText w:val="%1."/>
      <w:lvlJc w:val="left"/>
      <w:pPr>
        <w:ind w:left="1637" w:hanging="360"/>
      </w:pPr>
      <w:rPr>
        <w:rFonts w:hint="default"/>
        <w:b/>
        <w:bCs/>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5C6A3B"/>
    <w:multiLevelType w:val="multilevel"/>
    <w:tmpl w:val="3A682998"/>
    <w:lvl w:ilvl="0">
      <w:start w:val="1"/>
      <w:numFmt w:val="decimal"/>
      <w:lvlText w:val="%1."/>
      <w:lvlJc w:val="left"/>
      <w:pPr>
        <w:ind w:left="756" w:hanging="756"/>
      </w:pPr>
      <w:rPr>
        <w:rFonts w:hint="default"/>
      </w:rPr>
    </w:lvl>
    <w:lvl w:ilvl="1">
      <w:start w:val="1"/>
      <w:numFmt w:val="decimal"/>
      <w:lvlText w:val="%1.%2."/>
      <w:lvlJc w:val="left"/>
      <w:pPr>
        <w:ind w:left="996" w:hanging="756"/>
      </w:pPr>
      <w:rPr>
        <w:rFonts w:hint="default"/>
      </w:rPr>
    </w:lvl>
    <w:lvl w:ilvl="2">
      <w:start w:val="1"/>
      <w:numFmt w:val="decimal"/>
      <w:lvlText w:val="%1.%2.%3."/>
      <w:lvlJc w:val="left"/>
      <w:pPr>
        <w:ind w:left="1607" w:hanging="756"/>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17" w15:restartNumberingAfterBreak="0">
    <w:nsid w:val="30BD0831"/>
    <w:multiLevelType w:val="multilevel"/>
    <w:tmpl w:val="23782E3E"/>
    <w:lvl w:ilvl="0">
      <w:start w:val="5"/>
      <w:numFmt w:val="decimal"/>
      <w:lvlText w:val="%1."/>
      <w:lvlJc w:val="left"/>
      <w:pPr>
        <w:ind w:left="360" w:hanging="360"/>
      </w:pPr>
      <w:rPr>
        <w:rFonts w:ascii="Calibri" w:hAnsi="Calibri" w:cs="Calibri" w:hint="default"/>
        <w:b w:val="0"/>
        <w:bCs/>
        <w:sz w:val="20"/>
        <w:szCs w:val="20"/>
        <w:u w:val="none"/>
      </w:rPr>
    </w:lvl>
    <w:lvl w:ilvl="1">
      <w:start w:val="3"/>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18" w15:restartNumberingAfterBreak="0">
    <w:nsid w:val="32104CBE"/>
    <w:multiLevelType w:val="multilevel"/>
    <w:tmpl w:val="CAFCC73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F5752E"/>
    <w:multiLevelType w:val="multilevel"/>
    <w:tmpl w:val="0FC2C5E0"/>
    <w:lvl w:ilvl="0">
      <w:start w:val="1"/>
      <w:numFmt w:val="decimal"/>
      <w:lvlText w:val="%1."/>
      <w:lvlJc w:val="left"/>
      <w:pPr>
        <w:ind w:left="1080" w:hanging="360"/>
      </w:pPr>
      <w:rPr>
        <w:rFonts w:hint="default"/>
      </w:rPr>
    </w:lvl>
    <w:lvl w:ilvl="1">
      <w:start w:val="1"/>
      <w:numFmt w:val="decimal"/>
      <w:lvlText w:val="%1.%2."/>
      <w:lvlJc w:val="left"/>
      <w:pPr>
        <w:ind w:left="1512" w:hanging="432"/>
      </w:pPr>
      <w:rPr>
        <w:i w:val="0"/>
        <w:i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55E5D31"/>
    <w:multiLevelType w:val="hybridMultilevel"/>
    <w:tmpl w:val="C414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B4F7A"/>
    <w:multiLevelType w:val="multilevel"/>
    <w:tmpl w:val="86783954"/>
    <w:lvl w:ilvl="0">
      <w:start w:val="2"/>
      <w:numFmt w:val="decimal"/>
      <w:lvlText w:val="%1"/>
      <w:lvlJc w:val="left"/>
      <w:pPr>
        <w:ind w:left="504" w:hanging="50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94F176E"/>
    <w:multiLevelType w:val="hybridMultilevel"/>
    <w:tmpl w:val="80F6E8E0"/>
    <w:lvl w:ilvl="0" w:tplc="EEF6030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C20C7"/>
    <w:multiLevelType w:val="multilevel"/>
    <w:tmpl w:val="FBBC148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9752F"/>
    <w:multiLevelType w:val="hybridMultilevel"/>
    <w:tmpl w:val="FB988D3A"/>
    <w:lvl w:ilvl="0" w:tplc="6554E2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514BA"/>
    <w:multiLevelType w:val="multilevel"/>
    <w:tmpl w:val="C3DA2A6A"/>
    <w:lvl w:ilvl="0">
      <w:start w:val="2"/>
      <w:numFmt w:val="decimal"/>
      <w:lvlText w:val="%1"/>
      <w:lvlJc w:val="left"/>
      <w:pPr>
        <w:ind w:left="504" w:hanging="50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DF45B7D"/>
    <w:multiLevelType w:val="multilevel"/>
    <w:tmpl w:val="0FC2C5E0"/>
    <w:lvl w:ilvl="0">
      <w:start w:val="1"/>
      <w:numFmt w:val="decimal"/>
      <w:lvlText w:val="%1."/>
      <w:lvlJc w:val="left"/>
      <w:pPr>
        <w:ind w:left="1080" w:hanging="360"/>
      </w:pPr>
      <w:rPr>
        <w:rFonts w:hint="default"/>
      </w:rPr>
    </w:lvl>
    <w:lvl w:ilvl="1">
      <w:start w:val="1"/>
      <w:numFmt w:val="decimal"/>
      <w:lvlText w:val="%1.%2."/>
      <w:lvlJc w:val="left"/>
      <w:pPr>
        <w:ind w:left="1512" w:hanging="432"/>
      </w:pPr>
      <w:rPr>
        <w:i w:val="0"/>
        <w:i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4E5C633D"/>
    <w:multiLevelType w:val="multilevel"/>
    <w:tmpl w:val="CB868EFA"/>
    <w:lvl w:ilvl="0">
      <w:start w:val="1"/>
      <w:numFmt w:val="decimal"/>
      <w:lvlText w:val="%1"/>
      <w:lvlJc w:val="left"/>
      <w:pPr>
        <w:ind w:left="360" w:hanging="360"/>
      </w:pPr>
      <w:rPr>
        <w:rFonts w:hint="default"/>
        <w:sz w:val="24"/>
        <w:u w:val="none"/>
      </w:rPr>
    </w:lvl>
    <w:lvl w:ilvl="1">
      <w:start w:val="4"/>
      <w:numFmt w:val="decimal"/>
      <w:lvlText w:val="%1.%2"/>
      <w:lvlJc w:val="left"/>
      <w:pPr>
        <w:ind w:left="720" w:hanging="720"/>
      </w:pPr>
      <w:rPr>
        <w:rFonts w:hint="default"/>
        <w:sz w:val="24"/>
        <w:u w:val="none"/>
      </w:rPr>
    </w:lvl>
    <w:lvl w:ilvl="2">
      <w:start w:val="1"/>
      <w:numFmt w:val="decimal"/>
      <w:lvlText w:val="%1.%2.%3"/>
      <w:lvlJc w:val="left"/>
      <w:pPr>
        <w:ind w:left="720" w:hanging="720"/>
      </w:pPr>
      <w:rPr>
        <w:rFonts w:hint="default"/>
        <w:sz w:val="24"/>
        <w:u w:val="none"/>
      </w:rPr>
    </w:lvl>
    <w:lvl w:ilvl="3">
      <w:start w:val="1"/>
      <w:numFmt w:val="decimal"/>
      <w:lvlText w:val="%1.%2.%3.%4"/>
      <w:lvlJc w:val="left"/>
      <w:pPr>
        <w:ind w:left="1080" w:hanging="1080"/>
      </w:pPr>
      <w:rPr>
        <w:rFonts w:hint="default"/>
        <w:sz w:val="24"/>
        <w:u w:val="none"/>
      </w:rPr>
    </w:lvl>
    <w:lvl w:ilvl="4">
      <w:start w:val="1"/>
      <w:numFmt w:val="decimal"/>
      <w:lvlText w:val="%1.%2.%3.%4.%5"/>
      <w:lvlJc w:val="left"/>
      <w:pPr>
        <w:ind w:left="1440" w:hanging="1440"/>
      </w:pPr>
      <w:rPr>
        <w:rFonts w:hint="default"/>
        <w:sz w:val="24"/>
        <w:u w:val="none"/>
      </w:rPr>
    </w:lvl>
    <w:lvl w:ilvl="5">
      <w:start w:val="1"/>
      <w:numFmt w:val="decimal"/>
      <w:lvlText w:val="%1.%2.%3.%4.%5.%6"/>
      <w:lvlJc w:val="left"/>
      <w:pPr>
        <w:ind w:left="1800" w:hanging="1800"/>
      </w:pPr>
      <w:rPr>
        <w:rFonts w:hint="default"/>
        <w:sz w:val="24"/>
        <w:u w:val="none"/>
      </w:rPr>
    </w:lvl>
    <w:lvl w:ilvl="6">
      <w:start w:val="1"/>
      <w:numFmt w:val="decimal"/>
      <w:lvlText w:val="%1.%2.%3.%4.%5.%6.%7"/>
      <w:lvlJc w:val="left"/>
      <w:pPr>
        <w:ind w:left="1800" w:hanging="1800"/>
      </w:pPr>
      <w:rPr>
        <w:rFonts w:hint="default"/>
        <w:sz w:val="24"/>
        <w:u w:val="none"/>
      </w:rPr>
    </w:lvl>
    <w:lvl w:ilvl="7">
      <w:start w:val="1"/>
      <w:numFmt w:val="decimal"/>
      <w:lvlText w:val="%1.%2.%3.%4.%5.%6.%7.%8"/>
      <w:lvlJc w:val="left"/>
      <w:pPr>
        <w:ind w:left="2160" w:hanging="2160"/>
      </w:pPr>
      <w:rPr>
        <w:rFonts w:hint="default"/>
        <w:sz w:val="24"/>
        <w:u w:val="none"/>
      </w:rPr>
    </w:lvl>
    <w:lvl w:ilvl="8">
      <w:start w:val="1"/>
      <w:numFmt w:val="decimal"/>
      <w:lvlText w:val="%1.%2.%3.%4.%5.%6.%7.%8.%9"/>
      <w:lvlJc w:val="left"/>
      <w:pPr>
        <w:ind w:left="2520" w:hanging="2520"/>
      </w:pPr>
      <w:rPr>
        <w:rFonts w:hint="default"/>
        <w:sz w:val="24"/>
        <w:u w:val="none"/>
      </w:rPr>
    </w:lvl>
  </w:abstractNum>
  <w:abstractNum w:abstractNumId="28" w15:restartNumberingAfterBreak="0">
    <w:nsid w:val="5010306C"/>
    <w:multiLevelType w:val="hybridMultilevel"/>
    <w:tmpl w:val="2CBEE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C65C9C"/>
    <w:multiLevelType w:val="multilevel"/>
    <w:tmpl w:val="432C4FD4"/>
    <w:lvl w:ilvl="0">
      <w:start w:val="2"/>
      <w:numFmt w:val="decimal"/>
      <w:lvlText w:val="%1"/>
      <w:lvlJc w:val="left"/>
      <w:pPr>
        <w:ind w:left="504" w:hanging="504"/>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592A763D"/>
    <w:multiLevelType w:val="hybridMultilevel"/>
    <w:tmpl w:val="60F860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B945AC"/>
    <w:multiLevelType w:val="hybridMultilevel"/>
    <w:tmpl w:val="C68A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4760A"/>
    <w:multiLevelType w:val="multilevel"/>
    <w:tmpl w:val="3DF8C030"/>
    <w:lvl w:ilvl="0">
      <w:start w:val="2"/>
      <w:numFmt w:val="decimal"/>
      <w:lvlText w:val="%1"/>
      <w:lvlJc w:val="left"/>
      <w:pPr>
        <w:ind w:left="732" w:hanging="732"/>
      </w:pPr>
      <w:rPr>
        <w:rFonts w:hint="default"/>
      </w:rPr>
    </w:lvl>
    <w:lvl w:ilvl="1">
      <w:start w:val="6"/>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4F96409"/>
    <w:multiLevelType w:val="multilevel"/>
    <w:tmpl w:val="DBD051AC"/>
    <w:lvl w:ilvl="0">
      <w:start w:val="2"/>
      <w:numFmt w:val="decimal"/>
      <w:lvlText w:val="%1"/>
      <w:lvlJc w:val="left"/>
      <w:pPr>
        <w:ind w:left="732" w:hanging="732"/>
      </w:pPr>
      <w:rPr>
        <w:rFonts w:hint="default"/>
      </w:rPr>
    </w:lvl>
    <w:lvl w:ilvl="1">
      <w:start w:val="6"/>
      <w:numFmt w:val="decimal"/>
      <w:lvlText w:val="%1.%2"/>
      <w:lvlJc w:val="left"/>
      <w:pPr>
        <w:ind w:left="732" w:hanging="732"/>
      </w:pPr>
      <w:rPr>
        <w:rFonts w:hint="default"/>
      </w:rPr>
    </w:lvl>
    <w:lvl w:ilvl="2">
      <w:start w:val="2"/>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50251F5"/>
    <w:multiLevelType w:val="hybridMultilevel"/>
    <w:tmpl w:val="DA30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35C38"/>
    <w:multiLevelType w:val="hybridMultilevel"/>
    <w:tmpl w:val="5BE6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F7017"/>
    <w:multiLevelType w:val="hybridMultilevel"/>
    <w:tmpl w:val="15F22906"/>
    <w:lvl w:ilvl="0" w:tplc="4DBEEEB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83B75"/>
    <w:multiLevelType w:val="multilevel"/>
    <w:tmpl w:val="0809001F"/>
    <w:numStyleLink w:val="Style1"/>
  </w:abstractNum>
  <w:abstractNum w:abstractNumId="38" w15:restartNumberingAfterBreak="0">
    <w:nsid w:val="740C4150"/>
    <w:multiLevelType w:val="hybridMultilevel"/>
    <w:tmpl w:val="A0042A82"/>
    <w:lvl w:ilvl="0" w:tplc="2ED069E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21659"/>
    <w:multiLevelType w:val="multilevel"/>
    <w:tmpl w:val="32C4131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390505"/>
    <w:multiLevelType w:val="hybridMultilevel"/>
    <w:tmpl w:val="6832E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0"/>
  </w:num>
  <w:num w:numId="4">
    <w:abstractNumId w:val="11"/>
  </w:num>
  <w:num w:numId="5">
    <w:abstractNumId w:val="22"/>
  </w:num>
  <w:num w:numId="6">
    <w:abstractNumId w:val="16"/>
  </w:num>
  <w:num w:numId="7">
    <w:abstractNumId w:val="4"/>
  </w:num>
  <w:num w:numId="8">
    <w:abstractNumId w:val="30"/>
  </w:num>
  <w:num w:numId="9">
    <w:abstractNumId w:val="3"/>
  </w:num>
  <w:num w:numId="10">
    <w:abstractNumId w:val="34"/>
  </w:num>
  <w:num w:numId="11">
    <w:abstractNumId w:val="20"/>
  </w:num>
  <w:num w:numId="12">
    <w:abstractNumId w:val="38"/>
  </w:num>
  <w:num w:numId="13">
    <w:abstractNumId w:val="2"/>
  </w:num>
  <w:num w:numId="14">
    <w:abstractNumId w:val="35"/>
  </w:num>
  <w:num w:numId="15">
    <w:abstractNumId w:val="10"/>
  </w:num>
  <w:num w:numId="16">
    <w:abstractNumId w:val="9"/>
  </w:num>
  <w:num w:numId="17">
    <w:abstractNumId w:val="37"/>
    <w:lvlOverride w:ilvl="1">
      <w:lvl w:ilvl="1">
        <w:start w:val="1"/>
        <w:numFmt w:val="decimal"/>
        <w:lvlText w:val="%1.%2."/>
        <w:lvlJc w:val="left"/>
        <w:pPr>
          <w:ind w:left="792" w:hanging="432"/>
        </w:pPr>
        <w:rPr>
          <w:color w:val="auto"/>
        </w:rPr>
      </w:lvl>
    </w:lvlOverride>
  </w:num>
  <w:num w:numId="18">
    <w:abstractNumId w:val="14"/>
  </w:num>
  <w:num w:numId="19">
    <w:abstractNumId w:val="23"/>
  </w:num>
  <w:num w:numId="20">
    <w:abstractNumId w:val="31"/>
  </w:num>
  <w:num w:numId="21">
    <w:abstractNumId w:val="6"/>
  </w:num>
  <w:num w:numId="22">
    <w:abstractNumId w:val="28"/>
  </w:num>
  <w:num w:numId="23">
    <w:abstractNumId w:val="36"/>
  </w:num>
  <w:num w:numId="24">
    <w:abstractNumId w:val="21"/>
  </w:num>
  <w:num w:numId="25">
    <w:abstractNumId w:val="29"/>
  </w:num>
  <w:num w:numId="26">
    <w:abstractNumId w:val="25"/>
  </w:num>
  <w:num w:numId="27">
    <w:abstractNumId w:val="32"/>
  </w:num>
  <w:num w:numId="28">
    <w:abstractNumId w:val="33"/>
  </w:num>
  <w:num w:numId="29">
    <w:abstractNumId w:val="1"/>
  </w:num>
  <w:num w:numId="30">
    <w:abstractNumId w:val="13"/>
  </w:num>
  <w:num w:numId="31">
    <w:abstractNumId w:val="12"/>
  </w:num>
  <w:num w:numId="32">
    <w:abstractNumId w:val="8"/>
  </w:num>
  <w:num w:numId="33">
    <w:abstractNumId w:val="39"/>
  </w:num>
  <w:num w:numId="34">
    <w:abstractNumId w:val="27"/>
  </w:num>
  <w:num w:numId="35">
    <w:abstractNumId w:val="18"/>
  </w:num>
  <w:num w:numId="36">
    <w:abstractNumId w:val="24"/>
  </w:num>
  <w:num w:numId="37">
    <w:abstractNumId w:val="15"/>
  </w:num>
  <w:num w:numId="38">
    <w:abstractNumId w:val="19"/>
  </w:num>
  <w:num w:numId="39">
    <w:abstractNumId w:val="17"/>
  </w:num>
  <w:num w:numId="40">
    <w:abstractNumId w:val="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MjY1MDQyNDQwNDFW0lEKTi0uzszPAykwrAUANtfP7ywAAAA="/>
  </w:docVars>
  <w:rsids>
    <w:rsidRoot w:val="00A85271"/>
    <w:rsid w:val="000022E1"/>
    <w:rsid w:val="00005D4D"/>
    <w:rsid w:val="00011B7F"/>
    <w:rsid w:val="0001258E"/>
    <w:rsid w:val="00015794"/>
    <w:rsid w:val="00020366"/>
    <w:rsid w:val="00020986"/>
    <w:rsid w:val="00022C35"/>
    <w:rsid w:val="00022E0E"/>
    <w:rsid w:val="00022FC3"/>
    <w:rsid w:val="00023728"/>
    <w:rsid w:val="0002494C"/>
    <w:rsid w:val="00024B57"/>
    <w:rsid w:val="000260B5"/>
    <w:rsid w:val="000267DD"/>
    <w:rsid w:val="0002735E"/>
    <w:rsid w:val="00030A02"/>
    <w:rsid w:val="000329D8"/>
    <w:rsid w:val="0003367F"/>
    <w:rsid w:val="00033BCD"/>
    <w:rsid w:val="00034FE3"/>
    <w:rsid w:val="00036033"/>
    <w:rsid w:val="0003712F"/>
    <w:rsid w:val="00040157"/>
    <w:rsid w:val="000408C0"/>
    <w:rsid w:val="0004156A"/>
    <w:rsid w:val="000462D0"/>
    <w:rsid w:val="00052723"/>
    <w:rsid w:val="00052C17"/>
    <w:rsid w:val="00053931"/>
    <w:rsid w:val="0005493A"/>
    <w:rsid w:val="00056B3E"/>
    <w:rsid w:val="00060C94"/>
    <w:rsid w:val="00060ECD"/>
    <w:rsid w:val="000611BF"/>
    <w:rsid w:val="000613BC"/>
    <w:rsid w:val="0006182B"/>
    <w:rsid w:val="00062CAC"/>
    <w:rsid w:val="00065AF9"/>
    <w:rsid w:val="0006615A"/>
    <w:rsid w:val="000674A0"/>
    <w:rsid w:val="00067DB8"/>
    <w:rsid w:val="00071855"/>
    <w:rsid w:val="00071C49"/>
    <w:rsid w:val="00072909"/>
    <w:rsid w:val="00072A2C"/>
    <w:rsid w:val="00074C96"/>
    <w:rsid w:val="00075317"/>
    <w:rsid w:val="0008395A"/>
    <w:rsid w:val="00083CBC"/>
    <w:rsid w:val="00083F5E"/>
    <w:rsid w:val="00084052"/>
    <w:rsid w:val="00084160"/>
    <w:rsid w:val="0008497D"/>
    <w:rsid w:val="00086B2B"/>
    <w:rsid w:val="000871BC"/>
    <w:rsid w:val="00091998"/>
    <w:rsid w:val="00091D28"/>
    <w:rsid w:val="00091EFC"/>
    <w:rsid w:val="0009421F"/>
    <w:rsid w:val="00094C76"/>
    <w:rsid w:val="00095AED"/>
    <w:rsid w:val="00095B70"/>
    <w:rsid w:val="00097443"/>
    <w:rsid w:val="000A3E25"/>
    <w:rsid w:val="000A6479"/>
    <w:rsid w:val="000A64FF"/>
    <w:rsid w:val="000A7425"/>
    <w:rsid w:val="000A7BFB"/>
    <w:rsid w:val="000B17B7"/>
    <w:rsid w:val="000B3349"/>
    <w:rsid w:val="000B3C5A"/>
    <w:rsid w:val="000C035E"/>
    <w:rsid w:val="000C09A4"/>
    <w:rsid w:val="000C6F85"/>
    <w:rsid w:val="000C788B"/>
    <w:rsid w:val="000D17A0"/>
    <w:rsid w:val="000D44F6"/>
    <w:rsid w:val="000D780F"/>
    <w:rsid w:val="000E1253"/>
    <w:rsid w:val="000E339B"/>
    <w:rsid w:val="000E503A"/>
    <w:rsid w:val="000E59A0"/>
    <w:rsid w:val="000E5AE2"/>
    <w:rsid w:val="000F1474"/>
    <w:rsid w:val="000F733A"/>
    <w:rsid w:val="000F73E1"/>
    <w:rsid w:val="001004AE"/>
    <w:rsid w:val="00100C53"/>
    <w:rsid w:val="00100D57"/>
    <w:rsid w:val="001011C8"/>
    <w:rsid w:val="00101D40"/>
    <w:rsid w:val="0010565B"/>
    <w:rsid w:val="00107B2B"/>
    <w:rsid w:val="00110584"/>
    <w:rsid w:val="001117AE"/>
    <w:rsid w:val="001119E5"/>
    <w:rsid w:val="00112557"/>
    <w:rsid w:val="00112D32"/>
    <w:rsid w:val="00113DF1"/>
    <w:rsid w:val="00114239"/>
    <w:rsid w:val="0011458A"/>
    <w:rsid w:val="00115D83"/>
    <w:rsid w:val="001160A8"/>
    <w:rsid w:val="0012038C"/>
    <w:rsid w:val="001219BC"/>
    <w:rsid w:val="00121C54"/>
    <w:rsid w:val="00121C66"/>
    <w:rsid w:val="00122922"/>
    <w:rsid w:val="00124652"/>
    <w:rsid w:val="001310AB"/>
    <w:rsid w:val="00136189"/>
    <w:rsid w:val="001369F2"/>
    <w:rsid w:val="001376FE"/>
    <w:rsid w:val="001400C9"/>
    <w:rsid w:val="00142DD4"/>
    <w:rsid w:val="00144EFE"/>
    <w:rsid w:val="0014640B"/>
    <w:rsid w:val="001510C0"/>
    <w:rsid w:val="001546A4"/>
    <w:rsid w:val="00154848"/>
    <w:rsid w:val="0015724B"/>
    <w:rsid w:val="0016027C"/>
    <w:rsid w:val="00164198"/>
    <w:rsid w:val="0016423D"/>
    <w:rsid w:val="001717ED"/>
    <w:rsid w:val="00176BD5"/>
    <w:rsid w:val="001807BD"/>
    <w:rsid w:val="00183680"/>
    <w:rsid w:val="0018396C"/>
    <w:rsid w:val="00183B70"/>
    <w:rsid w:val="0018471D"/>
    <w:rsid w:val="00185633"/>
    <w:rsid w:val="00193226"/>
    <w:rsid w:val="00196317"/>
    <w:rsid w:val="00196B93"/>
    <w:rsid w:val="001A0F87"/>
    <w:rsid w:val="001A1DD8"/>
    <w:rsid w:val="001A30E9"/>
    <w:rsid w:val="001A3ADF"/>
    <w:rsid w:val="001A6940"/>
    <w:rsid w:val="001B06E3"/>
    <w:rsid w:val="001B0CB7"/>
    <w:rsid w:val="001B3133"/>
    <w:rsid w:val="001B3F62"/>
    <w:rsid w:val="001B4135"/>
    <w:rsid w:val="001B494C"/>
    <w:rsid w:val="001B514F"/>
    <w:rsid w:val="001B58CF"/>
    <w:rsid w:val="001B6907"/>
    <w:rsid w:val="001B69EC"/>
    <w:rsid w:val="001C0E7A"/>
    <w:rsid w:val="001C1345"/>
    <w:rsid w:val="001C2105"/>
    <w:rsid w:val="001C5F4B"/>
    <w:rsid w:val="001C6BD8"/>
    <w:rsid w:val="001D19C9"/>
    <w:rsid w:val="001D2C7E"/>
    <w:rsid w:val="001D2EE6"/>
    <w:rsid w:val="001D59E1"/>
    <w:rsid w:val="001D60E7"/>
    <w:rsid w:val="001D7D39"/>
    <w:rsid w:val="001E0F8B"/>
    <w:rsid w:val="001E1CB4"/>
    <w:rsid w:val="001E1E5F"/>
    <w:rsid w:val="001E2883"/>
    <w:rsid w:val="001E3296"/>
    <w:rsid w:val="001E3D97"/>
    <w:rsid w:val="001E3F11"/>
    <w:rsid w:val="001E455F"/>
    <w:rsid w:val="001E5FF9"/>
    <w:rsid w:val="001E63EE"/>
    <w:rsid w:val="001F0F3C"/>
    <w:rsid w:val="001F4361"/>
    <w:rsid w:val="001F440A"/>
    <w:rsid w:val="001F5479"/>
    <w:rsid w:val="001F637A"/>
    <w:rsid w:val="001F6E77"/>
    <w:rsid w:val="002010D6"/>
    <w:rsid w:val="002027A5"/>
    <w:rsid w:val="00203736"/>
    <w:rsid w:val="00203C1D"/>
    <w:rsid w:val="002042B9"/>
    <w:rsid w:val="002048D5"/>
    <w:rsid w:val="0020583D"/>
    <w:rsid w:val="002058ED"/>
    <w:rsid w:val="002060A4"/>
    <w:rsid w:val="002067AB"/>
    <w:rsid w:val="00207587"/>
    <w:rsid w:val="0021094C"/>
    <w:rsid w:val="00210D33"/>
    <w:rsid w:val="0021117C"/>
    <w:rsid w:val="0021173C"/>
    <w:rsid w:val="00216C1F"/>
    <w:rsid w:val="00217BD4"/>
    <w:rsid w:val="00221B0E"/>
    <w:rsid w:val="00221D08"/>
    <w:rsid w:val="002224AD"/>
    <w:rsid w:val="00223724"/>
    <w:rsid w:val="002258BD"/>
    <w:rsid w:val="00227A2A"/>
    <w:rsid w:val="00227E39"/>
    <w:rsid w:val="0023311C"/>
    <w:rsid w:val="002354A1"/>
    <w:rsid w:val="00235B15"/>
    <w:rsid w:val="00236D55"/>
    <w:rsid w:val="00240948"/>
    <w:rsid w:val="00241878"/>
    <w:rsid w:val="00241915"/>
    <w:rsid w:val="002459C2"/>
    <w:rsid w:val="0025029C"/>
    <w:rsid w:val="002522BF"/>
    <w:rsid w:val="0025507A"/>
    <w:rsid w:val="0025553E"/>
    <w:rsid w:val="00255E9A"/>
    <w:rsid w:val="00256042"/>
    <w:rsid w:val="0025645B"/>
    <w:rsid w:val="00260D6F"/>
    <w:rsid w:val="002627CE"/>
    <w:rsid w:val="002649A7"/>
    <w:rsid w:val="00264AAA"/>
    <w:rsid w:val="00275861"/>
    <w:rsid w:val="002758AB"/>
    <w:rsid w:val="00275AD8"/>
    <w:rsid w:val="00282F36"/>
    <w:rsid w:val="002835C0"/>
    <w:rsid w:val="0028706B"/>
    <w:rsid w:val="00290616"/>
    <w:rsid w:val="00293E2C"/>
    <w:rsid w:val="0029472A"/>
    <w:rsid w:val="002A01BF"/>
    <w:rsid w:val="002A2685"/>
    <w:rsid w:val="002A461D"/>
    <w:rsid w:val="002A5129"/>
    <w:rsid w:val="002A549E"/>
    <w:rsid w:val="002B17C4"/>
    <w:rsid w:val="002B27F1"/>
    <w:rsid w:val="002B36B6"/>
    <w:rsid w:val="002B482E"/>
    <w:rsid w:val="002B603B"/>
    <w:rsid w:val="002B75C6"/>
    <w:rsid w:val="002C1209"/>
    <w:rsid w:val="002C1F0E"/>
    <w:rsid w:val="002C581A"/>
    <w:rsid w:val="002C592C"/>
    <w:rsid w:val="002D1803"/>
    <w:rsid w:val="002D487D"/>
    <w:rsid w:val="002E1803"/>
    <w:rsid w:val="002E55E5"/>
    <w:rsid w:val="002E5BD1"/>
    <w:rsid w:val="002E5D43"/>
    <w:rsid w:val="002E66AA"/>
    <w:rsid w:val="002E746F"/>
    <w:rsid w:val="002E75B9"/>
    <w:rsid w:val="002E7716"/>
    <w:rsid w:val="002F0614"/>
    <w:rsid w:val="002F1600"/>
    <w:rsid w:val="002F2D73"/>
    <w:rsid w:val="002F3028"/>
    <w:rsid w:val="002F40C6"/>
    <w:rsid w:val="002F5009"/>
    <w:rsid w:val="002F6B36"/>
    <w:rsid w:val="002F7720"/>
    <w:rsid w:val="00301DBE"/>
    <w:rsid w:val="003064E7"/>
    <w:rsid w:val="00311310"/>
    <w:rsid w:val="00312290"/>
    <w:rsid w:val="00313A5D"/>
    <w:rsid w:val="0031438E"/>
    <w:rsid w:val="00315014"/>
    <w:rsid w:val="003153BB"/>
    <w:rsid w:val="0031661B"/>
    <w:rsid w:val="00321408"/>
    <w:rsid w:val="003220A7"/>
    <w:rsid w:val="003305E9"/>
    <w:rsid w:val="00334DB2"/>
    <w:rsid w:val="00335A3F"/>
    <w:rsid w:val="0033670E"/>
    <w:rsid w:val="00336E24"/>
    <w:rsid w:val="0033717A"/>
    <w:rsid w:val="0034130D"/>
    <w:rsid w:val="00341811"/>
    <w:rsid w:val="00342151"/>
    <w:rsid w:val="003421E5"/>
    <w:rsid w:val="00343327"/>
    <w:rsid w:val="00346564"/>
    <w:rsid w:val="003516A9"/>
    <w:rsid w:val="003516D7"/>
    <w:rsid w:val="003537CF"/>
    <w:rsid w:val="0035494B"/>
    <w:rsid w:val="0035520A"/>
    <w:rsid w:val="00356C91"/>
    <w:rsid w:val="0035770E"/>
    <w:rsid w:val="00357C35"/>
    <w:rsid w:val="00360FC4"/>
    <w:rsid w:val="00361F41"/>
    <w:rsid w:val="00366554"/>
    <w:rsid w:val="00366BB8"/>
    <w:rsid w:val="003700F2"/>
    <w:rsid w:val="00370CF2"/>
    <w:rsid w:val="003713AF"/>
    <w:rsid w:val="00372332"/>
    <w:rsid w:val="003728A4"/>
    <w:rsid w:val="00372E52"/>
    <w:rsid w:val="00375A3B"/>
    <w:rsid w:val="00375F54"/>
    <w:rsid w:val="00376203"/>
    <w:rsid w:val="00377453"/>
    <w:rsid w:val="00377556"/>
    <w:rsid w:val="003775C1"/>
    <w:rsid w:val="0037786A"/>
    <w:rsid w:val="00380032"/>
    <w:rsid w:val="003803B4"/>
    <w:rsid w:val="00381E2B"/>
    <w:rsid w:val="00382FC9"/>
    <w:rsid w:val="003838E1"/>
    <w:rsid w:val="00384634"/>
    <w:rsid w:val="00386592"/>
    <w:rsid w:val="0039137C"/>
    <w:rsid w:val="00392198"/>
    <w:rsid w:val="00392984"/>
    <w:rsid w:val="003935F0"/>
    <w:rsid w:val="00393904"/>
    <w:rsid w:val="00393F79"/>
    <w:rsid w:val="00394358"/>
    <w:rsid w:val="0039750B"/>
    <w:rsid w:val="003A1A1C"/>
    <w:rsid w:val="003A1EDA"/>
    <w:rsid w:val="003A2E01"/>
    <w:rsid w:val="003A3559"/>
    <w:rsid w:val="003A3F01"/>
    <w:rsid w:val="003A49B6"/>
    <w:rsid w:val="003B12F4"/>
    <w:rsid w:val="003B381A"/>
    <w:rsid w:val="003B683C"/>
    <w:rsid w:val="003B794C"/>
    <w:rsid w:val="003C207F"/>
    <w:rsid w:val="003C22D2"/>
    <w:rsid w:val="003C4F3B"/>
    <w:rsid w:val="003C5504"/>
    <w:rsid w:val="003C567A"/>
    <w:rsid w:val="003D001B"/>
    <w:rsid w:val="003D0A75"/>
    <w:rsid w:val="003D0E39"/>
    <w:rsid w:val="003D129C"/>
    <w:rsid w:val="003D15D5"/>
    <w:rsid w:val="003D1D1A"/>
    <w:rsid w:val="003D39B1"/>
    <w:rsid w:val="003D59CB"/>
    <w:rsid w:val="003E0661"/>
    <w:rsid w:val="003E1FA3"/>
    <w:rsid w:val="003E252F"/>
    <w:rsid w:val="003E39CE"/>
    <w:rsid w:val="003E5055"/>
    <w:rsid w:val="003E5915"/>
    <w:rsid w:val="003E5E72"/>
    <w:rsid w:val="003E63A7"/>
    <w:rsid w:val="003E6BE1"/>
    <w:rsid w:val="003E7793"/>
    <w:rsid w:val="003F11B6"/>
    <w:rsid w:val="003F33DB"/>
    <w:rsid w:val="003F3EE9"/>
    <w:rsid w:val="003F4276"/>
    <w:rsid w:val="003F439B"/>
    <w:rsid w:val="003F4A41"/>
    <w:rsid w:val="003F4AD8"/>
    <w:rsid w:val="003F55BB"/>
    <w:rsid w:val="003F59C3"/>
    <w:rsid w:val="004000EA"/>
    <w:rsid w:val="00400325"/>
    <w:rsid w:val="00402675"/>
    <w:rsid w:val="004027C1"/>
    <w:rsid w:val="004117BC"/>
    <w:rsid w:val="00413BD2"/>
    <w:rsid w:val="004143E8"/>
    <w:rsid w:val="00414ED4"/>
    <w:rsid w:val="00416627"/>
    <w:rsid w:val="004203CA"/>
    <w:rsid w:val="004206A1"/>
    <w:rsid w:val="004221C0"/>
    <w:rsid w:val="00427DBB"/>
    <w:rsid w:val="00430FBA"/>
    <w:rsid w:val="00431FA1"/>
    <w:rsid w:val="00433D52"/>
    <w:rsid w:val="004366FB"/>
    <w:rsid w:val="0044061B"/>
    <w:rsid w:val="004438EB"/>
    <w:rsid w:val="004447AA"/>
    <w:rsid w:val="00444F41"/>
    <w:rsid w:val="00444FD1"/>
    <w:rsid w:val="00447D36"/>
    <w:rsid w:val="00447ECA"/>
    <w:rsid w:val="004507DC"/>
    <w:rsid w:val="00450BB1"/>
    <w:rsid w:val="00451EB7"/>
    <w:rsid w:val="004529B3"/>
    <w:rsid w:val="00457305"/>
    <w:rsid w:val="004575CF"/>
    <w:rsid w:val="0045794C"/>
    <w:rsid w:val="00457E27"/>
    <w:rsid w:val="0046250F"/>
    <w:rsid w:val="00462FC3"/>
    <w:rsid w:val="00463548"/>
    <w:rsid w:val="00464976"/>
    <w:rsid w:val="00472962"/>
    <w:rsid w:val="00472B20"/>
    <w:rsid w:val="00474521"/>
    <w:rsid w:val="004757B0"/>
    <w:rsid w:val="004779B6"/>
    <w:rsid w:val="004812E0"/>
    <w:rsid w:val="00481F56"/>
    <w:rsid w:val="004843C8"/>
    <w:rsid w:val="004871D9"/>
    <w:rsid w:val="004913FB"/>
    <w:rsid w:val="0049425B"/>
    <w:rsid w:val="00494288"/>
    <w:rsid w:val="00494EA8"/>
    <w:rsid w:val="004952BF"/>
    <w:rsid w:val="00495676"/>
    <w:rsid w:val="00496158"/>
    <w:rsid w:val="004974F8"/>
    <w:rsid w:val="004A37BB"/>
    <w:rsid w:val="004A40A3"/>
    <w:rsid w:val="004A4E05"/>
    <w:rsid w:val="004B073D"/>
    <w:rsid w:val="004B0868"/>
    <w:rsid w:val="004B087A"/>
    <w:rsid w:val="004B197F"/>
    <w:rsid w:val="004B3E37"/>
    <w:rsid w:val="004B6DE0"/>
    <w:rsid w:val="004B71BC"/>
    <w:rsid w:val="004B78CF"/>
    <w:rsid w:val="004C0083"/>
    <w:rsid w:val="004C3222"/>
    <w:rsid w:val="004C3B0D"/>
    <w:rsid w:val="004C4A3C"/>
    <w:rsid w:val="004C6878"/>
    <w:rsid w:val="004D1ABB"/>
    <w:rsid w:val="004D3F3D"/>
    <w:rsid w:val="004D6212"/>
    <w:rsid w:val="004D71F6"/>
    <w:rsid w:val="004E0178"/>
    <w:rsid w:val="004E0606"/>
    <w:rsid w:val="004E0D7F"/>
    <w:rsid w:val="004E13A9"/>
    <w:rsid w:val="004E167F"/>
    <w:rsid w:val="004E177E"/>
    <w:rsid w:val="004E19B3"/>
    <w:rsid w:val="004E3E9A"/>
    <w:rsid w:val="004E4627"/>
    <w:rsid w:val="004E50D2"/>
    <w:rsid w:val="004E6AD6"/>
    <w:rsid w:val="004F0948"/>
    <w:rsid w:val="004F26C3"/>
    <w:rsid w:val="004F6D95"/>
    <w:rsid w:val="00501428"/>
    <w:rsid w:val="00501804"/>
    <w:rsid w:val="00501B0D"/>
    <w:rsid w:val="00505C9B"/>
    <w:rsid w:val="005070AE"/>
    <w:rsid w:val="0051142E"/>
    <w:rsid w:val="00511E76"/>
    <w:rsid w:val="00512179"/>
    <w:rsid w:val="005144FE"/>
    <w:rsid w:val="0051476C"/>
    <w:rsid w:val="005167B6"/>
    <w:rsid w:val="005178DA"/>
    <w:rsid w:val="00521069"/>
    <w:rsid w:val="00522BB1"/>
    <w:rsid w:val="005237CA"/>
    <w:rsid w:val="00533957"/>
    <w:rsid w:val="0053430B"/>
    <w:rsid w:val="00536F5E"/>
    <w:rsid w:val="005405FA"/>
    <w:rsid w:val="00540767"/>
    <w:rsid w:val="00542051"/>
    <w:rsid w:val="005452F9"/>
    <w:rsid w:val="00545405"/>
    <w:rsid w:val="00546983"/>
    <w:rsid w:val="00546ED3"/>
    <w:rsid w:val="00546F4E"/>
    <w:rsid w:val="005504AE"/>
    <w:rsid w:val="0055182E"/>
    <w:rsid w:val="005555F0"/>
    <w:rsid w:val="005570DE"/>
    <w:rsid w:val="00557AF3"/>
    <w:rsid w:val="00560415"/>
    <w:rsid w:val="00562198"/>
    <w:rsid w:val="0056229D"/>
    <w:rsid w:val="00562683"/>
    <w:rsid w:val="00567B6A"/>
    <w:rsid w:val="005700EA"/>
    <w:rsid w:val="00570ACE"/>
    <w:rsid w:val="00570E2A"/>
    <w:rsid w:val="00571B69"/>
    <w:rsid w:val="005727BC"/>
    <w:rsid w:val="00572C82"/>
    <w:rsid w:val="005743A8"/>
    <w:rsid w:val="00574BBD"/>
    <w:rsid w:val="00575E75"/>
    <w:rsid w:val="00585F1D"/>
    <w:rsid w:val="00587211"/>
    <w:rsid w:val="005921BA"/>
    <w:rsid w:val="00592C05"/>
    <w:rsid w:val="00593650"/>
    <w:rsid w:val="00594C71"/>
    <w:rsid w:val="00596AA0"/>
    <w:rsid w:val="005A038D"/>
    <w:rsid w:val="005A2DE4"/>
    <w:rsid w:val="005A4A31"/>
    <w:rsid w:val="005B0993"/>
    <w:rsid w:val="005B0CB4"/>
    <w:rsid w:val="005B0ED9"/>
    <w:rsid w:val="005B2488"/>
    <w:rsid w:val="005C2B78"/>
    <w:rsid w:val="005C62C8"/>
    <w:rsid w:val="005D00C6"/>
    <w:rsid w:val="005D0B19"/>
    <w:rsid w:val="005D0B49"/>
    <w:rsid w:val="005D1124"/>
    <w:rsid w:val="005D3B2E"/>
    <w:rsid w:val="005D4122"/>
    <w:rsid w:val="005D4AB0"/>
    <w:rsid w:val="005D59F5"/>
    <w:rsid w:val="005E2F84"/>
    <w:rsid w:val="005E3999"/>
    <w:rsid w:val="005E4EFF"/>
    <w:rsid w:val="005E4F42"/>
    <w:rsid w:val="005E53A2"/>
    <w:rsid w:val="005E7705"/>
    <w:rsid w:val="005E77BD"/>
    <w:rsid w:val="005E7A67"/>
    <w:rsid w:val="005F0B2A"/>
    <w:rsid w:val="005F0CB8"/>
    <w:rsid w:val="005F105F"/>
    <w:rsid w:val="005F1E69"/>
    <w:rsid w:val="005F23FF"/>
    <w:rsid w:val="005F369D"/>
    <w:rsid w:val="005F4063"/>
    <w:rsid w:val="005F463C"/>
    <w:rsid w:val="005F4B5F"/>
    <w:rsid w:val="005F4D7B"/>
    <w:rsid w:val="005F5925"/>
    <w:rsid w:val="00600059"/>
    <w:rsid w:val="00602C6F"/>
    <w:rsid w:val="00602E0B"/>
    <w:rsid w:val="00602FC2"/>
    <w:rsid w:val="00603B2B"/>
    <w:rsid w:val="00604824"/>
    <w:rsid w:val="00604EA9"/>
    <w:rsid w:val="006052B0"/>
    <w:rsid w:val="006112AD"/>
    <w:rsid w:val="0061187C"/>
    <w:rsid w:val="00617367"/>
    <w:rsid w:val="00620C08"/>
    <w:rsid w:val="00623653"/>
    <w:rsid w:val="00623B00"/>
    <w:rsid w:val="00625353"/>
    <w:rsid w:val="0062553A"/>
    <w:rsid w:val="00625BDD"/>
    <w:rsid w:val="0062633B"/>
    <w:rsid w:val="00626630"/>
    <w:rsid w:val="00626A2C"/>
    <w:rsid w:val="00627626"/>
    <w:rsid w:val="0063054F"/>
    <w:rsid w:val="00631645"/>
    <w:rsid w:val="00632394"/>
    <w:rsid w:val="00632A09"/>
    <w:rsid w:val="00633171"/>
    <w:rsid w:val="00633437"/>
    <w:rsid w:val="00635EF2"/>
    <w:rsid w:val="006441ED"/>
    <w:rsid w:val="00644341"/>
    <w:rsid w:val="0064462A"/>
    <w:rsid w:val="00645029"/>
    <w:rsid w:val="00645712"/>
    <w:rsid w:val="00645E31"/>
    <w:rsid w:val="00651829"/>
    <w:rsid w:val="00651FA7"/>
    <w:rsid w:val="00653C83"/>
    <w:rsid w:val="00656C1D"/>
    <w:rsid w:val="00660D03"/>
    <w:rsid w:val="006626B3"/>
    <w:rsid w:val="00662CE8"/>
    <w:rsid w:val="006644D5"/>
    <w:rsid w:val="006652F7"/>
    <w:rsid w:val="00670EBE"/>
    <w:rsid w:val="0067387E"/>
    <w:rsid w:val="006902C9"/>
    <w:rsid w:val="00690688"/>
    <w:rsid w:val="00691531"/>
    <w:rsid w:val="00692463"/>
    <w:rsid w:val="00692BDC"/>
    <w:rsid w:val="006A1118"/>
    <w:rsid w:val="006A14C8"/>
    <w:rsid w:val="006A3547"/>
    <w:rsid w:val="006A4256"/>
    <w:rsid w:val="006A4C09"/>
    <w:rsid w:val="006A7302"/>
    <w:rsid w:val="006A7CA5"/>
    <w:rsid w:val="006B58E9"/>
    <w:rsid w:val="006B5FEC"/>
    <w:rsid w:val="006B60D4"/>
    <w:rsid w:val="006B6884"/>
    <w:rsid w:val="006B71D0"/>
    <w:rsid w:val="006B7D3F"/>
    <w:rsid w:val="006C21CD"/>
    <w:rsid w:val="006C2E98"/>
    <w:rsid w:val="006C4A6F"/>
    <w:rsid w:val="006C59E3"/>
    <w:rsid w:val="006D2A29"/>
    <w:rsid w:val="006D423E"/>
    <w:rsid w:val="006D4B1A"/>
    <w:rsid w:val="006E00C2"/>
    <w:rsid w:val="006E452D"/>
    <w:rsid w:val="006E4567"/>
    <w:rsid w:val="006E649B"/>
    <w:rsid w:val="006E72BD"/>
    <w:rsid w:val="006F06C0"/>
    <w:rsid w:val="006F1D74"/>
    <w:rsid w:val="006F2A97"/>
    <w:rsid w:val="006F38E3"/>
    <w:rsid w:val="006F6634"/>
    <w:rsid w:val="006F6A30"/>
    <w:rsid w:val="006F753F"/>
    <w:rsid w:val="006F793A"/>
    <w:rsid w:val="007015F1"/>
    <w:rsid w:val="007028F3"/>
    <w:rsid w:val="00702AFA"/>
    <w:rsid w:val="00705739"/>
    <w:rsid w:val="007117FE"/>
    <w:rsid w:val="0071196A"/>
    <w:rsid w:val="00711E0C"/>
    <w:rsid w:val="0071241E"/>
    <w:rsid w:val="00713847"/>
    <w:rsid w:val="00713E44"/>
    <w:rsid w:val="007153DE"/>
    <w:rsid w:val="007165BE"/>
    <w:rsid w:val="0071740B"/>
    <w:rsid w:val="00720882"/>
    <w:rsid w:val="00721B77"/>
    <w:rsid w:val="007234A4"/>
    <w:rsid w:val="00723758"/>
    <w:rsid w:val="00726143"/>
    <w:rsid w:val="007262B3"/>
    <w:rsid w:val="007272CE"/>
    <w:rsid w:val="00727354"/>
    <w:rsid w:val="007307D7"/>
    <w:rsid w:val="00730A8C"/>
    <w:rsid w:val="00735A65"/>
    <w:rsid w:val="00740691"/>
    <w:rsid w:val="007424F3"/>
    <w:rsid w:val="00742618"/>
    <w:rsid w:val="00742734"/>
    <w:rsid w:val="00743955"/>
    <w:rsid w:val="00743A2F"/>
    <w:rsid w:val="0074437E"/>
    <w:rsid w:val="00744E94"/>
    <w:rsid w:val="00745129"/>
    <w:rsid w:val="00750DCC"/>
    <w:rsid w:val="00755433"/>
    <w:rsid w:val="00756720"/>
    <w:rsid w:val="00756A92"/>
    <w:rsid w:val="007575E6"/>
    <w:rsid w:val="0075788A"/>
    <w:rsid w:val="0076080A"/>
    <w:rsid w:val="007644E9"/>
    <w:rsid w:val="00766256"/>
    <w:rsid w:val="00766BE4"/>
    <w:rsid w:val="00767410"/>
    <w:rsid w:val="00767507"/>
    <w:rsid w:val="007716FD"/>
    <w:rsid w:val="00772402"/>
    <w:rsid w:val="00776A13"/>
    <w:rsid w:val="007772C8"/>
    <w:rsid w:val="00777D48"/>
    <w:rsid w:val="0078246F"/>
    <w:rsid w:val="007872A2"/>
    <w:rsid w:val="007926D8"/>
    <w:rsid w:val="007934C9"/>
    <w:rsid w:val="007950BD"/>
    <w:rsid w:val="007950C8"/>
    <w:rsid w:val="00797125"/>
    <w:rsid w:val="007979E2"/>
    <w:rsid w:val="00797CB7"/>
    <w:rsid w:val="00797DF6"/>
    <w:rsid w:val="007A2372"/>
    <w:rsid w:val="007A5185"/>
    <w:rsid w:val="007A5913"/>
    <w:rsid w:val="007A7928"/>
    <w:rsid w:val="007B0448"/>
    <w:rsid w:val="007B1C22"/>
    <w:rsid w:val="007B4B7C"/>
    <w:rsid w:val="007B68A4"/>
    <w:rsid w:val="007B722E"/>
    <w:rsid w:val="007B7DA8"/>
    <w:rsid w:val="007C19A3"/>
    <w:rsid w:val="007C247E"/>
    <w:rsid w:val="007C288E"/>
    <w:rsid w:val="007C3DA4"/>
    <w:rsid w:val="007C4BAB"/>
    <w:rsid w:val="007C5A34"/>
    <w:rsid w:val="007C6564"/>
    <w:rsid w:val="007C698D"/>
    <w:rsid w:val="007D1EF2"/>
    <w:rsid w:val="007D4712"/>
    <w:rsid w:val="007D5264"/>
    <w:rsid w:val="007D585B"/>
    <w:rsid w:val="007D66BB"/>
    <w:rsid w:val="007D6D59"/>
    <w:rsid w:val="007E091D"/>
    <w:rsid w:val="007E2FFA"/>
    <w:rsid w:val="007F0364"/>
    <w:rsid w:val="007F0A2C"/>
    <w:rsid w:val="007F1304"/>
    <w:rsid w:val="007F4A7C"/>
    <w:rsid w:val="007F5754"/>
    <w:rsid w:val="007F6352"/>
    <w:rsid w:val="00800303"/>
    <w:rsid w:val="0080075E"/>
    <w:rsid w:val="00800E68"/>
    <w:rsid w:val="00800EB8"/>
    <w:rsid w:val="00803827"/>
    <w:rsid w:val="00805310"/>
    <w:rsid w:val="0080621E"/>
    <w:rsid w:val="00807A49"/>
    <w:rsid w:val="00811236"/>
    <w:rsid w:val="00812D84"/>
    <w:rsid w:val="0081355D"/>
    <w:rsid w:val="00813912"/>
    <w:rsid w:val="00813CA8"/>
    <w:rsid w:val="00813FA5"/>
    <w:rsid w:val="00814763"/>
    <w:rsid w:val="0081478B"/>
    <w:rsid w:val="0081509F"/>
    <w:rsid w:val="00815760"/>
    <w:rsid w:val="00816BBA"/>
    <w:rsid w:val="00817568"/>
    <w:rsid w:val="008218E3"/>
    <w:rsid w:val="008227FB"/>
    <w:rsid w:val="008233E2"/>
    <w:rsid w:val="00825526"/>
    <w:rsid w:val="00827009"/>
    <w:rsid w:val="00827C58"/>
    <w:rsid w:val="00831DF7"/>
    <w:rsid w:val="008336E2"/>
    <w:rsid w:val="00836653"/>
    <w:rsid w:val="008376F2"/>
    <w:rsid w:val="008410FB"/>
    <w:rsid w:val="00841A6C"/>
    <w:rsid w:val="00841B2F"/>
    <w:rsid w:val="00841CB8"/>
    <w:rsid w:val="00841E6C"/>
    <w:rsid w:val="00843348"/>
    <w:rsid w:val="00843A7E"/>
    <w:rsid w:val="00844576"/>
    <w:rsid w:val="008459B1"/>
    <w:rsid w:val="00845C56"/>
    <w:rsid w:val="00846781"/>
    <w:rsid w:val="00846B87"/>
    <w:rsid w:val="00847E24"/>
    <w:rsid w:val="00847E67"/>
    <w:rsid w:val="00851EF4"/>
    <w:rsid w:val="008524F0"/>
    <w:rsid w:val="008537F3"/>
    <w:rsid w:val="00855D69"/>
    <w:rsid w:val="00856FAF"/>
    <w:rsid w:val="00864495"/>
    <w:rsid w:val="00864F00"/>
    <w:rsid w:val="00865A9D"/>
    <w:rsid w:val="0086603D"/>
    <w:rsid w:val="008660D8"/>
    <w:rsid w:val="00870679"/>
    <w:rsid w:val="00871EAA"/>
    <w:rsid w:val="008751FF"/>
    <w:rsid w:val="00875428"/>
    <w:rsid w:val="00877BCE"/>
    <w:rsid w:val="00880080"/>
    <w:rsid w:val="00882B93"/>
    <w:rsid w:val="00882F4A"/>
    <w:rsid w:val="00887C26"/>
    <w:rsid w:val="00893582"/>
    <w:rsid w:val="00894640"/>
    <w:rsid w:val="00896349"/>
    <w:rsid w:val="008A3AAC"/>
    <w:rsid w:val="008A4107"/>
    <w:rsid w:val="008A6993"/>
    <w:rsid w:val="008B5436"/>
    <w:rsid w:val="008B7D17"/>
    <w:rsid w:val="008C0826"/>
    <w:rsid w:val="008C0D59"/>
    <w:rsid w:val="008C21D6"/>
    <w:rsid w:val="008C21F0"/>
    <w:rsid w:val="008C3D33"/>
    <w:rsid w:val="008C7FCD"/>
    <w:rsid w:val="008D1732"/>
    <w:rsid w:val="008D47FF"/>
    <w:rsid w:val="008D58F0"/>
    <w:rsid w:val="008D6257"/>
    <w:rsid w:val="008D784A"/>
    <w:rsid w:val="008E0797"/>
    <w:rsid w:val="008E07BE"/>
    <w:rsid w:val="008E0B18"/>
    <w:rsid w:val="008E279A"/>
    <w:rsid w:val="008E27F7"/>
    <w:rsid w:val="008E53FD"/>
    <w:rsid w:val="008E5C0D"/>
    <w:rsid w:val="008E610C"/>
    <w:rsid w:val="008E6212"/>
    <w:rsid w:val="008E674A"/>
    <w:rsid w:val="008E76E5"/>
    <w:rsid w:val="008F141E"/>
    <w:rsid w:val="008F176C"/>
    <w:rsid w:val="008F2D1F"/>
    <w:rsid w:val="008F37CB"/>
    <w:rsid w:val="008F4095"/>
    <w:rsid w:val="008F6894"/>
    <w:rsid w:val="0090049D"/>
    <w:rsid w:val="00903901"/>
    <w:rsid w:val="0090393C"/>
    <w:rsid w:val="00904703"/>
    <w:rsid w:val="0091031C"/>
    <w:rsid w:val="009135D2"/>
    <w:rsid w:val="00913E2A"/>
    <w:rsid w:val="0091407D"/>
    <w:rsid w:val="00917BF0"/>
    <w:rsid w:val="00920064"/>
    <w:rsid w:val="009225FC"/>
    <w:rsid w:val="009239B7"/>
    <w:rsid w:val="009248A6"/>
    <w:rsid w:val="0092523F"/>
    <w:rsid w:val="0092738E"/>
    <w:rsid w:val="009275F3"/>
    <w:rsid w:val="00930E9C"/>
    <w:rsid w:val="00932EFE"/>
    <w:rsid w:val="009342C3"/>
    <w:rsid w:val="00935303"/>
    <w:rsid w:val="009361FB"/>
    <w:rsid w:val="00936364"/>
    <w:rsid w:val="0093713A"/>
    <w:rsid w:val="00937839"/>
    <w:rsid w:val="00940952"/>
    <w:rsid w:val="00940977"/>
    <w:rsid w:val="0094348F"/>
    <w:rsid w:val="00943B20"/>
    <w:rsid w:val="009447DE"/>
    <w:rsid w:val="0094628F"/>
    <w:rsid w:val="0094642A"/>
    <w:rsid w:val="009465F1"/>
    <w:rsid w:val="0094668B"/>
    <w:rsid w:val="00947279"/>
    <w:rsid w:val="00950497"/>
    <w:rsid w:val="00950FCB"/>
    <w:rsid w:val="00951199"/>
    <w:rsid w:val="00951B31"/>
    <w:rsid w:val="00953AE7"/>
    <w:rsid w:val="00953F52"/>
    <w:rsid w:val="00955544"/>
    <w:rsid w:val="0095662E"/>
    <w:rsid w:val="00957073"/>
    <w:rsid w:val="00957A0D"/>
    <w:rsid w:val="00957C8E"/>
    <w:rsid w:val="0096195B"/>
    <w:rsid w:val="0096360C"/>
    <w:rsid w:val="00964438"/>
    <w:rsid w:val="00965786"/>
    <w:rsid w:val="00966389"/>
    <w:rsid w:val="009707C7"/>
    <w:rsid w:val="009763A6"/>
    <w:rsid w:val="00976936"/>
    <w:rsid w:val="0097700D"/>
    <w:rsid w:val="00985C5A"/>
    <w:rsid w:val="009863A9"/>
    <w:rsid w:val="00986A8C"/>
    <w:rsid w:val="0098772B"/>
    <w:rsid w:val="0099040A"/>
    <w:rsid w:val="00990A21"/>
    <w:rsid w:val="00993168"/>
    <w:rsid w:val="009954BD"/>
    <w:rsid w:val="009975B9"/>
    <w:rsid w:val="009A1459"/>
    <w:rsid w:val="009A22CD"/>
    <w:rsid w:val="009A34B4"/>
    <w:rsid w:val="009A3F63"/>
    <w:rsid w:val="009A56CB"/>
    <w:rsid w:val="009A74DC"/>
    <w:rsid w:val="009A75EF"/>
    <w:rsid w:val="009B1639"/>
    <w:rsid w:val="009B248D"/>
    <w:rsid w:val="009B24A3"/>
    <w:rsid w:val="009B30C1"/>
    <w:rsid w:val="009B6B9F"/>
    <w:rsid w:val="009B764B"/>
    <w:rsid w:val="009C071F"/>
    <w:rsid w:val="009C2BD8"/>
    <w:rsid w:val="009C4A28"/>
    <w:rsid w:val="009C516E"/>
    <w:rsid w:val="009C58E9"/>
    <w:rsid w:val="009D16B2"/>
    <w:rsid w:val="009D1AC5"/>
    <w:rsid w:val="009D2B1D"/>
    <w:rsid w:val="009D62FB"/>
    <w:rsid w:val="009D656C"/>
    <w:rsid w:val="009E1544"/>
    <w:rsid w:val="009E5435"/>
    <w:rsid w:val="009F68BA"/>
    <w:rsid w:val="009F73FC"/>
    <w:rsid w:val="00A0082F"/>
    <w:rsid w:val="00A00C05"/>
    <w:rsid w:val="00A017F6"/>
    <w:rsid w:val="00A020DA"/>
    <w:rsid w:val="00A0332C"/>
    <w:rsid w:val="00A05909"/>
    <w:rsid w:val="00A05EE9"/>
    <w:rsid w:val="00A07289"/>
    <w:rsid w:val="00A11A43"/>
    <w:rsid w:val="00A11D39"/>
    <w:rsid w:val="00A11FF0"/>
    <w:rsid w:val="00A12115"/>
    <w:rsid w:val="00A13A91"/>
    <w:rsid w:val="00A13EFA"/>
    <w:rsid w:val="00A14A9F"/>
    <w:rsid w:val="00A17470"/>
    <w:rsid w:val="00A248CF"/>
    <w:rsid w:val="00A26241"/>
    <w:rsid w:val="00A26A34"/>
    <w:rsid w:val="00A31FEA"/>
    <w:rsid w:val="00A32A1D"/>
    <w:rsid w:val="00A3643E"/>
    <w:rsid w:val="00A402CB"/>
    <w:rsid w:val="00A40E89"/>
    <w:rsid w:val="00A4278C"/>
    <w:rsid w:val="00A442F5"/>
    <w:rsid w:val="00A45BCD"/>
    <w:rsid w:val="00A46464"/>
    <w:rsid w:val="00A466EA"/>
    <w:rsid w:val="00A50CF3"/>
    <w:rsid w:val="00A51272"/>
    <w:rsid w:val="00A56505"/>
    <w:rsid w:val="00A57DBE"/>
    <w:rsid w:val="00A61D1A"/>
    <w:rsid w:val="00A64765"/>
    <w:rsid w:val="00A64CFE"/>
    <w:rsid w:val="00A65B11"/>
    <w:rsid w:val="00A65BCA"/>
    <w:rsid w:val="00A665CB"/>
    <w:rsid w:val="00A669BC"/>
    <w:rsid w:val="00A66FF4"/>
    <w:rsid w:val="00A7166F"/>
    <w:rsid w:val="00A72DDF"/>
    <w:rsid w:val="00A734FD"/>
    <w:rsid w:val="00A73F1D"/>
    <w:rsid w:val="00A746A2"/>
    <w:rsid w:val="00A74CFB"/>
    <w:rsid w:val="00A7647E"/>
    <w:rsid w:val="00A77224"/>
    <w:rsid w:val="00A7795B"/>
    <w:rsid w:val="00A80949"/>
    <w:rsid w:val="00A83ECD"/>
    <w:rsid w:val="00A83FE0"/>
    <w:rsid w:val="00A85271"/>
    <w:rsid w:val="00A90616"/>
    <w:rsid w:val="00A95B02"/>
    <w:rsid w:val="00AA133F"/>
    <w:rsid w:val="00AA1EAB"/>
    <w:rsid w:val="00AA2574"/>
    <w:rsid w:val="00AA2BDA"/>
    <w:rsid w:val="00AA78AB"/>
    <w:rsid w:val="00AB3378"/>
    <w:rsid w:val="00AC117A"/>
    <w:rsid w:val="00AC23C2"/>
    <w:rsid w:val="00AC382F"/>
    <w:rsid w:val="00AC52B3"/>
    <w:rsid w:val="00AD04C1"/>
    <w:rsid w:val="00AD17AF"/>
    <w:rsid w:val="00AD47A9"/>
    <w:rsid w:val="00AD6092"/>
    <w:rsid w:val="00AD60E3"/>
    <w:rsid w:val="00AD65FA"/>
    <w:rsid w:val="00AE116C"/>
    <w:rsid w:val="00AE2A23"/>
    <w:rsid w:val="00AE30B1"/>
    <w:rsid w:val="00AE5396"/>
    <w:rsid w:val="00AE5975"/>
    <w:rsid w:val="00AE5AEE"/>
    <w:rsid w:val="00AE610B"/>
    <w:rsid w:val="00AE74B1"/>
    <w:rsid w:val="00AF0251"/>
    <w:rsid w:val="00AF241F"/>
    <w:rsid w:val="00AF6622"/>
    <w:rsid w:val="00B00F19"/>
    <w:rsid w:val="00B02083"/>
    <w:rsid w:val="00B100FF"/>
    <w:rsid w:val="00B10274"/>
    <w:rsid w:val="00B10ACB"/>
    <w:rsid w:val="00B12992"/>
    <w:rsid w:val="00B1623C"/>
    <w:rsid w:val="00B164B9"/>
    <w:rsid w:val="00B2261E"/>
    <w:rsid w:val="00B266B8"/>
    <w:rsid w:val="00B3095F"/>
    <w:rsid w:val="00B345E1"/>
    <w:rsid w:val="00B365D1"/>
    <w:rsid w:val="00B36C4E"/>
    <w:rsid w:val="00B37263"/>
    <w:rsid w:val="00B37EF4"/>
    <w:rsid w:val="00B43D88"/>
    <w:rsid w:val="00B450C2"/>
    <w:rsid w:val="00B47476"/>
    <w:rsid w:val="00B50300"/>
    <w:rsid w:val="00B50F11"/>
    <w:rsid w:val="00B513B1"/>
    <w:rsid w:val="00B527A9"/>
    <w:rsid w:val="00B529E6"/>
    <w:rsid w:val="00B530C5"/>
    <w:rsid w:val="00B53162"/>
    <w:rsid w:val="00B53362"/>
    <w:rsid w:val="00B57DA6"/>
    <w:rsid w:val="00B61591"/>
    <w:rsid w:val="00B62859"/>
    <w:rsid w:val="00B6542C"/>
    <w:rsid w:val="00B67984"/>
    <w:rsid w:val="00B7158D"/>
    <w:rsid w:val="00B7288E"/>
    <w:rsid w:val="00B7310D"/>
    <w:rsid w:val="00B731A5"/>
    <w:rsid w:val="00B7766D"/>
    <w:rsid w:val="00B77778"/>
    <w:rsid w:val="00B80251"/>
    <w:rsid w:val="00B8402F"/>
    <w:rsid w:val="00B85168"/>
    <w:rsid w:val="00B85598"/>
    <w:rsid w:val="00B85E6E"/>
    <w:rsid w:val="00B878C5"/>
    <w:rsid w:val="00B908AB"/>
    <w:rsid w:val="00B91C29"/>
    <w:rsid w:val="00B947BE"/>
    <w:rsid w:val="00BA52BF"/>
    <w:rsid w:val="00BB0716"/>
    <w:rsid w:val="00BB38C5"/>
    <w:rsid w:val="00BB58F7"/>
    <w:rsid w:val="00BC2143"/>
    <w:rsid w:val="00BC2DBE"/>
    <w:rsid w:val="00BC4E96"/>
    <w:rsid w:val="00BC5A38"/>
    <w:rsid w:val="00BC6337"/>
    <w:rsid w:val="00BD4A55"/>
    <w:rsid w:val="00BD4B38"/>
    <w:rsid w:val="00BE01FB"/>
    <w:rsid w:val="00BE38AB"/>
    <w:rsid w:val="00BE50BE"/>
    <w:rsid w:val="00BE51B8"/>
    <w:rsid w:val="00BF0E23"/>
    <w:rsid w:val="00BF11C8"/>
    <w:rsid w:val="00BF4A9C"/>
    <w:rsid w:val="00BF4C40"/>
    <w:rsid w:val="00BF4E21"/>
    <w:rsid w:val="00C0086D"/>
    <w:rsid w:val="00C008C5"/>
    <w:rsid w:val="00C0538D"/>
    <w:rsid w:val="00C07E57"/>
    <w:rsid w:val="00C1048F"/>
    <w:rsid w:val="00C13955"/>
    <w:rsid w:val="00C16230"/>
    <w:rsid w:val="00C21C55"/>
    <w:rsid w:val="00C22B63"/>
    <w:rsid w:val="00C2348B"/>
    <w:rsid w:val="00C311C3"/>
    <w:rsid w:val="00C313A4"/>
    <w:rsid w:val="00C33939"/>
    <w:rsid w:val="00C33B14"/>
    <w:rsid w:val="00C34446"/>
    <w:rsid w:val="00C414A1"/>
    <w:rsid w:val="00C46B00"/>
    <w:rsid w:val="00C52A06"/>
    <w:rsid w:val="00C53382"/>
    <w:rsid w:val="00C5363E"/>
    <w:rsid w:val="00C550F1"/>
    <w:rsid w:val="00C5620A"/>
    <w:rsid w:val="00C56A1E"/>
    <w:rsid w:val="00C63628"/>
    <w:rsid w:val="00C63CB5"/>
    <w:rsid w:val="00C642AC"/>
    <w:rsid w:val="00C65983"/>
    <w:rsid w:val="00C66972"/>
    <w:rsid w:val="00C71F86"/>
    <w:rsid w:val="00C71FDB"/>
    <w:rsid w:val="00C76510"/>
    <w:rsid w:val="00C76931"/>
    <w:rsid w:val="00C76C97"/>
    <w:rsid w:val="00C82C3E"/>
    <w:rsid w:val="00C83B89"/>
    <w:rsid w:val="00C84029"/>
    <w:rsid w:val="00C84D57"/>
    <w:rsid w:val="00C93D71"/>
    <w:rsid w:val="00C94BDE"/>
    <w:rsid w:val="00C95B0E"/>
    <w:rsid w:val="00C96E6E"/>
    <w:rsid w:val="00C976DD"/>
    <w:rsid w:val="00CA1484"/>
    <w:rsid w:val="00CA1D21"/>
    <w:rsid w:val="00CA2617"/>
    <w:rsid w:val="00CA28FC"/>
    <w:rsid w:val="00CA471B"/>
    <w:rsid w:val="00CA4AD6"/>
    <w:rsid w:val="00CA607C"/>
    <w:rsid w:val="00CA69B4"/>
    <w:rsid w:val="00CA6CC4"/>
    <w:rsid w:val="00CB3504"/>
    <w:rsid w:val="00CB70C3"/>
    <w:rsid w:val="00CB7939"/>
    <w:rsid w:val="00CC018D"/>
    <w:rsid w:val="00CC4C8D"/>
    <w:rsid w:val="00CC7B9D"/>
    <w:rsid w:val="00CD0D9D"/>
    <w:rsid w:val="00CD1B91"/>
    <w:rsid w:val="00CD23F4"/>
    <w:rsid w:val="00CD3AAE"/>
    <w:rsid w:val="00CD491F"/>
    <w:rsid w:val="00CD5F19"/>
    <w:rsid w:val="00CD6D21"/>
    <w:rsid w:val="00CE2AFE"/>
    <w:rsid w:val="00CE2B86"/>
    <w:rsid w:val="00CE2CAD"/>
    <w:rsid w:val="00CE642C"/>
    <w:rsid w:val="00CE642F"/>
    <w:rsid w:val="00CF1DB9"/>
    <w:rsid w:val="00CF2899"/>
    <w:rsid w:val="00CF36ED"/>
    <w:rsid w:val="00CF5FA4"/>
    <w:rsid w:val="00CF6184"/>
    <w:rsid w:val="00CF6B7F"/>
    <w:rsid w:val="00CF7434"/>
    <w:rsid w:val="00CF77DE"/>
    <w:rsid w:val="00D01007"/>
    <w:rsid w:val="00D01BD0"/>
    <w:rsid w:val="00D01E31"/>
    <w:rsid w:val="00D021B0"/>
    <w:rsid w:val="00D02731"/>
    <w:rsid w:val="00D05658"/>
    <w:rsid w:val="00D05B57"/>
    <w:rsid w:val="00D0744E"/>
    <w:rsid w:val="00D07AE9"/>
    <w:rsid w:val="00D1143F"/>
    <w:rsid w:val="00D11622"/>
    <w:rsid w:val="00D13290"/>
    <w:rsid w:val="00D135EE"/>
    <w:rsid w:val="00D14279"/>
    <w:rsid w:val="00D1473E"/>
    <w:rsid w:val="00D17CAB"/>
    <w:rsid w:val="00D20202"/>
    <w:rsid w:val="00D20CAD"/>
    <w:rsid w:val="00D21440"/>
    <w:rsid w:val="00D2178D"/>
    <w:rsid w:val="00D229D0"/>
    <w:rsid w:val="00D23CA4"/>
    <w:rsid w:val="00D2425A"/>
    <w:rsid w:val="00D25433"/>
    <w:rsid w:val="00D274D2"/>
    <w:rsid w:val="00D27CAE"/>
    <w:rsid w:val="00D32091"/>
    <w:rsid w:val="00D3366E"/>
    <w:rsid w:val="00D33712"/>
    <w:rsid w:val="00D338C6"/>
    <w:rsid w:val="00D35754"/>
    <w:rsid w:val="00D40B6D"/>
    <w:rsid w:val="00D41F5C"/>
    <w:rsid w:val="00D4207C"/>
    <w:rsid w:val="00D44106"/>
    <w:rsid w:val="00D441CC"/>
    <w:rsid w:val="00D458AB"/>
    <w:rsid w:val="00D46FB3"/>
    <w:rsid w:val="00D47008"/>
    <w:rsid w:val="00D528E8"/>
    <w:rsid w:val="00D52F38"/>
    <w:rsid w:val="00D552A8"/>
    <w:rsid w:val="00D56010"/>
    <w:rsid w:val="00D575E3"/>
    <w:rsid w:val="00D61D7B"/>
    <w:rsid w:val="00D67F40"/>
    <w:rsid w:val="00D717FC"/>
    <w:rsid w:val="00D72B00"/>
    <w:rsid w:val="00D73D65"/>
    <w:rsid w:val="00D740E6"/>
    <w:rsid w:val="00D75080"/>
    <w:rsid w:val="00D80067"/>
    <w:rsid w:val="00D816D9"/>
    <w:rsid w:val="00D82DC2"/>
    <w:rsid w:val="00D84908"/>
    <w:rsid w:val="00D84F30"/>
    <w:rsid w:val="00D85FD3"/>
    <w:rsid w:val="00D87B6B"/>
    <w:rsid w:val="00D90C4E"/>
    <w:rsid w:val="00D9144F"/>
    <w:rsid w:val="00D915C5"/>
    <w:rsid w:val="00D93898"/>
    <w:rsid w:val="00D95344"/>
    <w:rsid w:val="00D97228"/>
    <w:rsid w:val="00D97742"/>
    <w:rsid w:val="00D97931"/>
    <w:rsid w:val="00D97EDA"/>
    <w:rsid w:val="00DA0A4C"/>
    <w:rsid w:val="00DA2562"/>
    <w:rsid w:val="00DA2A82"/>
    <w:rsid w:val="00DA44EF"/>
    <w:rsid w:val="00DA56EA"/>
    <w:rsid w:val="00DB0559"/>
    <w:rsid w:val="00DB311E"/>
    <w:rsid w:val="00DB3B90"/>
    <w:rsid w:val="00DB64E2"/>
    <w:rsid w:val="00DB6A37"/>
    <w:rsid w:val="00DB7A2B"/>
    <w:rsid w:val="00DC05B0"/>
    <w:rsid w:val="00DC0E02"/>
    <w:rsid w:val="00DC109B"/>
    <w:rsid w:val="00DC4674"/>
    <w:rsid w:val="00DC602B"/>
    <w:rsid w:val="00DC69D2"/>
    <w:rsid w:val="00DD08BD"/>
    <w:rsid w:val="00DD4DFF"/>
    <w:rsid w:val="00DD559D"/>
    <w:rsid w:val="00DD65C8"/>
    <w:rsid w:val="00DD7C7E"/>
    <w:rsid w:val="00DE4ED9"/>
    <w:rsid w:val="00DF0C72"/>
    <w:rsid w:val="00DF44B1"/>
    <w:rsid w:val="00DF5330"/>
    <w:rsid w:val="00E017A0"/>
    <w:rsid w:val="00E020CA"/>
    <w:rsid w:val="00E02342"/>
    <w:rsid w:val="00E048BC"/>
    <w:rsid w:val="00E04AC0"/>
    <w:rsid w:val="00E06613"/>
    <w:rsid w:val="00E10AF8"/>
    <w:rsid w:val="00E1219B"/>
    <w:rsid w:val="00E12D20"/>
    <w:rsid w:val="00E1571B"/>
    <w:rsid w:val="00E1687B"/>
    <w:rsid w:val="00E2469C"/>
    <w:rsid w:val="00E253EB"/>
    <w:rsid w:val="00E27319"/>
    <w:rsid w:val="00E32227"/>
    <w:rsid w:val="00E33459"/>
    <w:rsid w:val="00E3395F"/>
    <w:rsid w:val="00E33FFB"/>
    <w:rsid w:val="00E37DB4"/>
    <w:rsid w:val="00E37F58"/>
    <w:rsid w:val="00E407AC"/>
    <w:rsid w:val="00E4107E"/>
    <w:rsid w:val="00E42647"/>
    <w:rsid w:val="00E43677"/>
    <w:rsid w:val="00E44F01"/>
    <w:rsid w:val="00E46A4A"/>
    <w:rsid w:val="00E516B4"/>
    <w:rsid w:val="00E51D0B"/>
    <w:rsid w:val="00E53D9B"/>
    <w:rsid w:val="00E54282"/>
    <w:rsid w:val="00E549BC"/>
    <w:rsid w:val="00E54A39"/>
    <w:rsid w:val="00E54B03"/>
    <w:rsid w:val="00E54E70"/>
    <w:rsid w:val="00E56212"/>
    <w:rsid w:val="00E56922"/>
    <w:rsid w:val="00E56AE4"/>
    <w:rsid w:val="00E57786"/>
    <w:rsid w:val="00E579FC"/>
    <w:rsid w:val="00E618AB"/>
    <w:rsid w:val="00E61B92"/>
    <w:rsid w:val="00E63C2C"/>
    <w:rsid w:val="00E65D4A"/>
    <w:rsid w:val="00E66203"/>
    <w:rsid w:val="00E67184"/>
    <w:rsid w:val="00E67997"/>
    <w:rsid w:val="00E70E55"/>
    <w:rsid w:val="00E7110C"/>
    <w:rsid w:val="00E73FB3"/>
    <w:rsid w:val="00E776E9"/>
    <w:rsid w:val="00E83304"/>
    <w:rsid w:val="00E873F1"/>
    <w:rsid w:val="00E90E2B"/>
    <w:rsid w:val="00E9230B"/>
    <w:rsid w:val="00E92DA4"/>
    <w:rsid w:val="00E94F5F"/>
    <w:rsid w:val="00EA04F5"/>
    <w:rsid w:val="00EA3BF0"/>
    <w:rsid w:val="00EA3C0F"/>
    <w:rsid w:val="00EA571A"/>
    <w:rsid w:val="00EA65A4"/>
    <w:rsid w:val="00EA7433"/>
    <w:rsid w:val="00EA7A9D"/>
    <w:rsid w:val="00EB09F3"/>
    <w:rsid w:val="00EB1742"/>
    <w:rsid w:val="00EB59F9"/>
    <w:rsid w:val="00EC1C08"/>
    <w:rsid w:val="00EC6370"/>
    <w:rsid w:val="00EC673B"/>
    <w:rsid w:val="00EC68B6"/>
    <w:rsid w:val="00EC7387"/>
    <w:rsid w:val="00EC74F3"/>
    <w:rsid w:val="00ED640C"/>
    <w:rsid w:val="00ED6D96"/>
    <w:rsid w:val="00EE2CE4"/>
    <w:rsid w:val="00EE6753"/>
    <w:rsid w:val="00EE6BB3"/>
    <w:rsid w:val="00EF1C13"/>
    <w:rsid w:val="00EF1CEA"/>
    <w:rsid w:val="00EF742C"/>
    <w:rsid w:val="00EF778F"/>
    <w:rsid w:val="00F037A7"/>
    <w:rsid w:val="00F047E3"/>
    <w:rsid w:val="00F053FB"/>
    <w:rsid w:val="00F07411"/>
    <w:rsid w:val="00F07742"/>
    <w:rsid w:val="00F15CA9"/>
    <w:rsid w:val="00F1637C"/>
    <w:rsid w:val="00F227A8"/>
    <w:rsid w:val="00F25D0F"/>
    <w:rsid w:val="00F3022A"/>
    <w:rsid w:val="00F3115B"/>
    <w:rsid w:val="00F32512"/>
    <w:rsid w:val="00F329A1"/>
    <w:rsid w:val="00F34BEE"/>
    <w:rsid w:val="00F36E7B"/>
    <w:rsid w:val="00F419A6"/>
    <w:rsid w:val="00F4214F"/>
    <w:rsid w:val="00F43F7B"/>
    <w:rsid w:val="00F47AA3"/>
    <w:rsid w:val="00F50414"/>
    <w:rsid w:val="00F5545B"/>
    <w:rsid w:val="00F5699E"/>
    <w:rsid w:val="00F56D95"/>
    <w:rsid w:val="00F574FC"/>
    <w:rsid w:val="00F6466A"/>
    <w:rsid w:val="00F6515D"/>
    <w:rsid w:val="00F6633D"/>
    <w:rsid w:val="00F6779D"/>
    <w:rsid w:val="00F70CB8"/>
    <w:rsid w:val="00F72E1B"/>
    <w:rsid w:val="00F73F7C"/>
    <w:rsid w:val="00F747AE"/>
    <w:rsid w:val="00F76189"/>
    <w:rsid w:val="00F76FD6"/>
    <w:rsid w:val="00F8099A"/>
    <w:rsid w:val="00F81CBD"/>
    <w:rsid w:val="00F82302"/>
    <w:rsid w:val="00F84901"/>
    <w:rsid w:val="00F853E9"/>
    <w:rsid w:val="00F9219F"/>
    <w:rsid w:val="00F96D9E"/>
    <w:rsid w:val="00FA156C"/>
    <w:rsid w:val="00FA19F6"/>
    <w:rsid w:val="00FA288C"/>
    <w:rsid w:val="00FA3B06"/>
    <w:rsid w:val="00FA3D08"/>
    <w:rsid w:val="00FA4688"/>
    <w:rsid w:val="00FA7208"/>
    <w:rsid w:val="00FB3636"/>
    <w:rsid w:val="00FB5476"/>
    <w:rsid w:val="00FC0CAE"/>
    <w:rsid w:val="00FC14F4"/>
    <w:rsid w:val="00FC1C15"/>
    <w:rsid w:val="00FC5954"/>
    <w:rsid w:val="00FD2435"/>
    <w:rsid w:val="00FD2F4A"/>
    <w:rsid w:val="00FD2FF0"/>
    <w:rsid w:val="00FD4A5F"/>
    <w:rsid w:val="00FD538D"/>
    <w:rsid w:val="00FD7713"/>
    <w:rsid w:val="00FE031E"/>
    <w:rsid w:val="00FE59D3"/>
    <w:rsid w:val="00FE6A6A"/>
    <w:rsid w:val="00FE6D3C"/>
    <w:rsid w:val="00FF0CD1"/>
    <w:rsid w:val="00FF1219"/>
    <w:rsid w:val="00FF216F"/>
    <w:rsid w:val="00FF2D37"/>
    <w:rsid w:val="00FF47EF"/>
    <w:rsid w:val="00FF4B7E"/>
    <w:rsid w:val="00FF511F"/>
    <w:rsid w:val="00FF6069"/>
    <w:rsid w:val="00FF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D8104"/>
  <w15:chartTrackingRefBased/>
  <w15:docId w15:val="{6245E0C7-974D-419A-B56D-174C2A7B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C6F"/>
    <w:pPr>
      <w:keepNext/>
      <w:keepLines/>
      <w:spacing w:before="360" w:after="80"/>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7A2372"/>
    <w:pPr>
      <w:keepNext/>
      <w:keepLines/>
      <w:spacing w:before="160" w:after="80"/>
      <w:outlineLvl w:val="1"/>
    </w:pPr>
    <w:rPr>
      <w:rFonts w:ascii="Times New Roman" w:eastAsiaTheme="majorEastAsia" w:hAnsi="Times New Roman" w:cstheme="majorBidi"/>
      <w:i/>
      <w:sz w:val="36"/>
      <w:szCs w:val="32"/>
      <w:u w:val="single"/>
    </w:rPr>
  </w:style>
  <w:style w:type="paragraph" w:styleId="Heading3">
    <w:name w:val="heading 3"/>
    <w:basedOn w:val="Normal"/>
    <w:next w:val="Normal"/>
    <w:link w:val="Heading3Char"/>
    <w:uiPriority w:val="9"/>
    <w:unhideWhenUsed/>
    <w:qFormat/>
    <w:rsid w:val="003C207F"/>
    <w:pPr>
      <w:keepNext/>
      <w:keepLines/>
      <w:spacing w:before="160" w:after="80"/>
      <w:ind w:left="720"/>
      <w:outlineLvl w:val="2"/>
    </w:pPr>
    <w:rPr>
      <w:rFonts w:ascii="Times New Roman" w:eastAsiaTheme="majorEastAsia" w:hAnsi="Times New Roman" w:cstheme="majorBidi"/>
      <w:sz w:val="32"/>
      <w:szCs w:val="28"/>
    </w:rPr>
  </w:style>
  <w:style w:type="paragraph" w:styleId="Heading4">
    <w:name w:val="heading 4"/>
    <w:basedOn w:val="Normal"/>
    <w:next w:val="Normal"/>
    <w:link w:val="Heading4Char"/>
    <w:uiPriority w:val="9"/>
    <w:semiHidden/>
    <w:unhideWhenUsed/>
    <w:qFormat/>
    <w:rsid w:val="00210D33"/>
    <w:pPr>
      <w:keepNext/>
      <w:keepLines/>
      <w:spacing w:before="80" w:after="40"/>
      <w:outlineLvl w:val="3"/>
    </w:pPr>
    <w:rPr>
      <w:rFonts w:ascii="Times New Roman" w:eastAsiaTheme="majorEastAsia" w:hAnsi="Times New Roman" w:cstheme="majorBidi"/>
      <w:i/>
      <w:iCs/>
      <w:sz w:val="32"/>
    </w:rPr>
  </w:style>
  <w:style w:type="paragraph" w:styleId="Heading5">
    <w:name w:val="heading 5"/>
    <w:basedOn w:val="Normal"/>
    <w:next w:val="Normal"/>
    <w:link w:val="Heading5Char"/>
    <w:uiPriority w:val="9"/>
    <w:semiHidden/>
    <w:unhideWhenUsed/>
    <w:qFormat/>
    <w:rsid w:val="00A8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C6F"/>
    <w:rPr>
      <w:rFonts w:ascii="Times New Roman" w:eastAsiaTheme="majorEastAsia" w:hAnsi="Times New Roman" w:cstheme="majorBidi"/>
      <w:color w:val="000000" w:themeColor="text1"/>
      <w:sz w:val="40"/>
      <w:szCs w:val="40"/>
    </w:rPr>
  </w:style>
  <w:style w:type="character" w:customStyle="1" w:styleId="Heading2Char">
    <w:name w:val="Heading 2 Char"/>
    <w:basedOn w:val="DefaultParagraphFont"/>
    <w:link w:val="Heading2"/>
    <w:uiPriority w:val="9"/>
    <w:rsid w:val="007A2372"/>
    <w:rPr>
      <w:rFonts w:ascii="Times New Roman" w:eastAsiaTheme="majorEastAsia" w:hAnsi="Times New Roman" w:cstheme="majorBidi"/>
      <w:i/>
      <w:sz w:val="36"/>
      <w:szCs w:val="32"/>
      <w:u w:val="single"/>
    </w:rPr>
  </w:style>
  <w:style w:type="character" w:customStyle="1" w:styleId="Heading3Char">
    <w:name w:val="Heading 3 Char"/>
    <w:basedOn w:val="DefaultParagraphFont"/>
    <w:link w:val="Heading3"/>
    <w:uiPriority w:val="9"/>
    <w:rsid w:val="003C207F"/>
    <w:rPr>
      <w:rFonts w:ascii="Times New Roman" w:eastAsiaTheme="majorEastAsia" w:hAnsi="Times New Roman" w:cstheme="majorBidi"/>
      <w:sz w:val="32"/>
      <w:szCs w:val="28"/>
    </w:rPr>
  </w:style>
  <w:style w:type="character" w:customStyle="1" w:styleId="Heading4Char">
    <w:name w:val="Heading 4 Char"/>
    <w:basedOn w:val="DefaultParagraphFont"/>
    <w:link w:val="Heading4"/>
    <w:uiPriority w:val="9"/>
    <w:semiHidden/>
    <w:rsid w:val="00210D33"/>
    <w:rPr>
      <w:rFonts w:ascii="Times New Roman" w:eastAsiaTheme="majorEastAsia" w:hAnsi="Times New Roman" w:cstheme="majorBidi"/>
      <w:i/>
      <w:iCs/>
      <w:sz w:val="32"/>
    </w:rPr>
  </w:style>
  <w:style w:type="character" w:customStyle="1" w:styleId="Heading5Char">
    <w:name w:val="Heading 5 Char"/>
    <w:basedOn w:val="DefaultParagraphFont"/>
    <w:link w:val="Heading5"/>
    <w:uiPriority w:val="9"/>
    <w:semiHidden/>
    <w:rsid w:val="00A8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271"/>
    <w:rPr>
      <w:rFonts w:eastAsiaTheme="majorEastAsia" w:cstheme="majorBidi"/>
      <w:color w:val="272727" w:themeColor="text1" w:themeTint="D8"/>
    </w:rPr>
  </w:style>
  <w:style w:type="paragraph" w:styleId="Title">
    <w:name w:val="Title"/>
    <w:basedOn w:val="Normal"/>
    <w:next w:val="Normal"/>
    <w:link w:val="TitleChar"/>
    <w:uiPriority w:val="10"/>
    <w:qFormat/>
    <w:rsid w:val="00A8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71"/>
    <w:pPr>
      <w:spacing w:before="160"/>
      <w:jc w:val="center"/>
    </w:pPr>
    <w:rPr>
      <w:i/>
      <w:iCs/>
      <w:color w:val="404040" w:themeColor="text1" w:themeTint="BF"/>
    </w:rPr>
  </w:style>
  <w:style w:type="character" w:customStyle="1" w:styleId="QuoteChar">
    <w:name w:val="Quote Char"/>
    <w:basedOn w:val="DefaultParagraphFont"/>
    <w:link w:val="Quote"/>
    <w:uiPriority w:val="29"/>
    <w:rsid w:val="00A85271"/>
    <w:rPr>
      <w:i/>
      <w:iCs/>
      <w:color w:val="404040" w:themeColor="text1" w:themeTint="BF"/>
    </w:rPr>
  </w:style>
  <w:style w:type="paragraph" w:styleId="ListParagraph">
    <w:name w:val="List Paragraph"/>
    <w:basedOn w:val="Normal"/>
    <w:uiPriority w:val="34"/>
    <w:qFormat/>
    <w:rsid w:val="00A85271"/>
    <w:pPr>
      <w:ind w:left="720"/>
      <w:contextualSpacing/>
    </w:pPr>
  </w:style>
  <w:style w:type="character" w:styleId="IntenseEmphasis">
    <w:name w:val="Intense Emphasis"/>
    <w:basedOn w:val="DefaultParagraphFont"/>
    <w:uiPriority w:val="21"/>
    <w:qFormat/>
    <w:rsid w:val="00A85271"/>
    <w:rPr>
      <w:i/>
      <w:iCs/>
      <w:color w:val="0F4761" w:themeColor="accent1" w:themeShade="BF"/>
    </w:rPr>
  </w:style>
  <w:style w:type="paragraph" w:styleId="IntenseQuote">
    <w:name w:val="Intense Quote"/>
    <w:basedOn w:val="Normal"/>
    <w:next w:val="Normal"/>
    <w:link w:val="IntenseQuoteChar"/>
    <w:uiPriority w:val="30"/>
    <w:qFormat/>
    <w:rsid w:val="00A8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271"/>
    <w:rPr>
      <w:i/>
      <w:iCs/>
      <w:color w:val="0F4761" w:themeColor="accent1" w:themeShade="BF"/>
    </w:rPr>
  </w:style>
  <w:style w:type="character" w:styleId="IntenseReference">
    <w:name w:val="Intense Reference"/>
    <w:basedOn w:val="DefaultParagraphFont"/>
    <w:uiPriority w:val="32"/>
    <w:qFormat/>
    <w:rsid w:val="00A85271"/>
    <w:rPr>
      <w:b/>
      <w:bCs/>
      <w:smallCaps/>
      <w:color w:val="0F4761" w:themeColor="accent1" w:themeShade="BF"/>
      <w:spacing w:val="5"/>
    </w:rPr>
  </w:style>
  <w:style w:type="paragraph" w:styleId="TOCHeading">
    <w:name w:val="TOC Heading"/>
    <w:basedOn w:val="Heading1"/>
    <w:next w:val="Normal"/>
    <w:uiPriority w:val="39"/>
    <w:unhideWhenUsed/>
    <w:qFormat/>
    <w:rsid w:val="00846781"/>
    <w:pPr>
      <w:spacing w:before="240" w:after="0"/>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846781"/>
    <w:pPr>
      <w:spacing w:after="100"/>
    </w:pPr>
  </w:style>
  <w:style w:type="character" w:styleId="Hyperlink">
    <w:name w:val="Hyperlink"/>
    <w:basedOn w:val="DefaultParagraphFont"/>
    <w:uiPriority w:val="99"/>
    <w:unhideWhenUsed/>
    <w:rsid w:val="00846781"/>
    <w:rPr>
      <w:color w:val="467886" w:themeColor="hyperlink"/>
      <w:u w:val="single"/>
    </w:rPr>
  </w:style>
  <w:style w:type="paragraph" w:styleId="Header">
    <w:name w:val="header"/>
    <w:basedOn w:val="Normal"/>
    <w:link w:val="HeaderChar"/>
    <w:uiPriority w:val="99"/>
    <w:unhideWhenUsed/>
    <w:rsid w:val="00846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81"/>
  </w:style>
  <w:style w:type="paragraph" w:styleId="Footer">
    <w:name w:val="footer"/>
    <w:basedOn w:val="Normal"/>
    <w:link w:val="FooterChar"/>
    <w:uiPriority w:val="99"/>
    <w:unhideWhenUsed/>
    <w:rsid w:val="00846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81"/>
  </w:style>
  <w:style w:type="paragraph" w:styleId="TOC2">
    <w:name w:val="toc 2"/>
    <w:basedOn w:val="Normal"/>
    <w:next w:val="Normal"/>
    <w:autoRedefine/>
    <w:uiPriority w:val="39"/>
    <w:unhideWhenUsed/>
    <w:rsid w:val="00E3395F"/>
    <w:pPr>
      <w:tabs>
        <w:tab w:val="left" w:pos="960"/>
        <w:tab w:val="right" w:leader="dot" w:pos="9016"/>
      </w:tabs>
      <w:spacing w:after="100"/>
      <w:ind w:left="993" w:hanging="851"/>
    </w:pPr>
    <w:rPr>
      <w:rFonts w:cs="Times New Roman"/>
      <w:i/>
      <w:noProof/>
    </w:rPr>
  </w:style>
  <w:style w:type="paragraph" w:styleId="TOC3">
    <w:name w:val="toc 3"/>
    <w:basedOn w:val="Normal"/>
    <w:next w:val="Normal"/>
    <w:autoRedefine/>
    <w:uiPriority w:val="39"/>
    <w:unhideWhenUsed/>
    <w:rsid w:val="006E4567"/>
    <w:pPr>
      <w:tabs>
        <w:tab w:val="right" w:leader="dot" w:pos="9016"/>
      </w:tabs>
      <w:spacing w:after="100"/>
      <w:ind w:left="709"/>
    </w:pPr>
  </w:style>
  <w:style w:type="character" w:styleId="UnresolvedMention">
    <w:name w:val="Unresolved Mention"/>
    <w:basedOn w:val="DefaultParagraphFont"/>
    <w:uiPriority w:val="99"/>
    <w:semiHidden/>
    <w:unhideWhenUsed/>
    <w:rsid w:val="00B53362"/>
    <w:rPr>
      <w:color w:val="605E5C"/>
      <w:shd w:val="clear" w:color="auto" w:fill="E1DFDD"/>
    </w:rPr>
  </w:style>
  <w:style w:type="paragraph" w:styleId="Revision">
    <w:name w:val="Revision"/>
    <w:hidden/>
    <w:uiPriority w:val="99"/>
    <w:semiHidden/>
    <w:rsid w:val="002D1803"/>
    <w:pPr>
      <w:spacing w:after="0" w:line="240" w:lineRule="auto"/>
    </w:pPr>
  </w:style>
  <w:style w:type="character" w:styleId="CommentReference">
    <w:name w:val="annotation reference"/>
    <w:basedOn w:val="DefaultParagraphFont"/>
    <w:uiPriority w:val="99"/>
    <w:semiHidden/>
    <w:unhideWhenUsed/>
    <w:rsid w:val="00B7766D"/>
    <w:rPr>
      <w:sz w:val="16"/>
      <w:szCs w:val="16"/>
    </w:rPr>
  </w:style>
  <w:style w:type="paragraph" w:styleId="CommentText">
    <w:name w:val="annotation text"/>
    <w:basedOn w:val="Normal"/>
    <w:link w:val="CommentTextChar"/>
    <w:uiPriority w:val="99"/>
    <w:unhideWhenUsed/>
    <w:rsid w:val="00B7766D"/>
    <w:pPr>
      <w:spacing w:line="240" w:lineRule="auto"/>
    </w:pPr>
    <w:rPr>
      <w:sz w:val="20"/>
      <w:szCs w:val="20"/>
    </w:rPr>
  </w:style>
  <w:style w:type="character" w:customStyle="1" w:styleId="CommentTextChar">
    <w:name w:val="Comment Text Char"/>
    <w:basedOn w:val="DefaultParagraphFont"/>
    <w:link w:val="CommentText"/>
    <w:uiPriority w:val="99"/>
    <w:rsid w:val="00B7766D"/>
    <w:rPr>
      <w:sz w:val="20"/>
      <w:szCs w:val="20"/>
    </w:rPr>
  </w:style>
  <w:style w:type="paragraph" w:styleId="CommentSubject">
    <w:name w:val="annotation subject"/>
    <w:basedOn w:val="CommentText"/>
    <w:next w:val="CommentText"/>
    <w:link w:val="CommentSubjectChar"/>
    <w:uiPriority w:val="99"/>
    <w:semiHidden/>
    <w:unhideWhenUsed/>
    <w:rsid w:val="00B7766D"/>
    <w:rPr>
      <w:b/>
      <w:bCs/>
    </w:rPr>
  </w:style>
  <w:style w:type="character" w:customStyle="1" w:styleId="CommentSubjectChar">
    <w:name w:val="Comment Subject Char"/>
    <w:basedOn w:val="CommentTextChar"/>
    <w:link w:val="CommentSubject"/>
    <w:uiPriority w:val="99"/>
    <w:semiHidden/>
    <w:rsid w:val="00B7766D"/>
    <w:rPr>
      <w:b/>
      <w:bCs/>
      <w:sz w:val="20"/>
      <w:szCs w:val="20"/>
    </w:rPr>
  </w:style>
  <w:style w:type="table" w:styleId="TableGrid">
    <w:name w:val="Table Grid"/>
    <w:basedOn w:val="TableNormal"/>
    <w:uiPriority w:val="39"/>
    <w:rsid w:val="00CE2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1011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1011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01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8772B"/>
    <w:rPr>
      <w:color w:val="666666"/>
    </w:rPr>
  </w:style>
  <w:style w:type="numbering" w:customStyle="1" w:styleId="Style1">
    <w:name w:val="Style1"/>
    <w:uiPriority w:val="99"/>
    <w:rsid w:val="0098772B"/>
    <w:pPr>
      <w:numPr>
        <w:numId w:val="18"/>
      </w:numPr>
    </w:pPr>
  </w:style>
  <w:style w:type="paragraph" w:customStyle="1" w:styleId="Heading33">
    <w:name w:val="Heading 33"/>
    <w:basedOn w:val="Normal"/>
    <w:link w:val="Heading33Char"/>
    <w:qFormat/>
    <w:rsid w:val="0098772B"/>
    <w:pPr>
      <w:spacing w:line="480" w:lineRule="auto"/>
      <w:ind w:left="720"/>
      <w:jc w:val="both"/>
    </w:pPr>
    <w:rPr>
      <w:rFonts w:ascii="Times New Roman" w:eastAsiaTheme="majorEastAsia" w:hAnsi="Times New Roman" w:cs="Times New Roman"/>
      <w:iCs/>
      <w:sz w:val="32"/>
      <w:szCs w:val="32"/>
    </w:rPr>
  </w:style>
  <w:style w:type="character" w:customStyle="1" w:styleId="Heading33Char">
    <w:name w:val="Heading 33 Char"/>
    <w:basedOn w:val="DefaultParagraphFont"/>
    <w:link w:val="Heading33"/>
    <w:rsid w:val="0098772B"/>
    <w:rPr>
      <w:rFonts w:ascii="Times New Roman" w:eastAsiaTheme="majorEastAsia" w:hAnsi="Times New Roman" w:cs="Times New Roman"/>
      <w:iCs/>
      <w:sz w:val="32"/>
      <w:szCs w:val="32"/>
    </w:rPr>
  </w:style>
  <w:style w:type="paragraph" w:customStyle="1" w:styleId="ChapterHeading">
    <w:name w:val="Chapter Heading"/>
    <w:basedOn w:val="Heading1"/>
    <w:link w:val="ChapterHeadingChar"/>
    <w:qFormat/>
    <w:rsid w:val="00FD7713"/>
    <w:pPr>
      <w:jc w:val="center"/>
    </w:pPr>
    <w:rPr>
      <w:rFonts w:cs="Times New Roman"/>
      <w:color w:val="auto"/>
      <w:sz w:val="52"/>
      <w:szCs w:val="52"/>
    </w:rPr>
  </w:style>
  <w:style w:type="character" w:customStyle="1" w:styleId="ChapterHeadingChar">
    <w:name w:val="Chapter Heading Char"/>
    <w:basedOn w:val="Heading1Char"/>
    <w:link w:val="ChapterHeading"/>
    <w:rsid w:val="00FD7713"/>
    <w:rPr>
      <w:rFonts w:ascii="Times New Roman" w:eastAsiaTheme="majorEastAsia" w:hAnsi="Times New Roman" w:cs="Times New Roman"/>
      <w:color w:val="000000" w:themeColor="text1"/>
      <w:sz w:val="52"/>
      <w:szCs w:val="52"/>
    </w:rPr>
  </w:style>
  <w:style w:type="character" w:customStyle="1" w:styleId="cf01">
    <w:name w:val="cf01"/>
    <w:basedOn w:val="DefaultParagraphFont"/>
    <w:rsid w:val="00E618AB"/>
    <w:rPr>
      <w:rFonts w:ascii="Segoe UI" w:hAnsi="Segoe UI" w:cs="Segoe UI" w:hint="default"/>
      <w:sz w:val="18"/>
      <w:szCs w:val="18"/>
    </w:rPr>
  </w:style>
  <w:style w:type="paragraph" w:styleId="TableofFigures">
    <w:name w:val="table of figures"/>
    <w:basedOn w:val="Normal"/>
    <w:next w:val="Normal"/>
    <w:uiPriority w:val="99"/>
    <w:unhideWhenUsed/>
    <w:rsid w:val="00CB70C3"/>
    <w:pPr>
      <w:spacing w:after="0"/>
    </w:pPr>
    <w:rPr>
      <w:rFonts w:ascii="Times New Roman" w:hAnsi="Times New Roman"/>
      <w:sz w:val="24"/>
    </w:rPr>
  </w:style>
  <w:style w:type="paragraph" w:customStyle="1" w:styleId="FigureHeading">
    <w:name w:val="Figure Heading"/>
    <w:basedOn w:val="Normal"/>
    <w:link w:val="FigureHeadingChar"/>
    <w:qFormat/>
    <w:rsid w:val="00CB70C3"/>
    <w:pPr>
      <w:spacing w:after="0" w:line="276" w:lineRule="auto"/>
      <w:jc w:val="center"/>
    </w:pPr>
    <w:rPr>
      <w:rFonts w:ascii="Times New Roman" w:hAnsi="Times New Roman" w:cs="Times New Roman"/>
      <w:b/>
      <w:bCs/>
      <w:sz w:val="24"/>
      <w:szCs w:val="24"/>
    </w:rPr>
  </w:style>
  <w:style w:type="character" w:customStyle="1" w:styleId="FigureHeadingChar">
    <w:name w:val="Figure Heading Char"/>
    <w:basedOn w:val="DefaultParagraphFont"/>
    <w:link w:val="FigureHeading"/>
    <w:rsid w:val="00CB70C3"/>
    <w:rPr>
      <w:rFonts w:ascii="Times New Roman" w:hAnsi="Times New Roman" w:cs="Times New Roman"/>
      <w:b/>
      <w:bCs/>
      <w:sz w:val="24"/>
      <w:szCs w:val="24"/>
    </w:rPr>
  </w:style>
  <w:style w:type="paragraph" w:customStyle="1" w:styleId="TableHeading">
    <w:name w:val="Table Heading"/>
    <w:basedOn w:val="Normal"/>
    <w:link w:val="TableHeadingChar"/>
    <w:qFormat/>
    <w:rsid w:val="008660D8"/>
    <w:pPr>
      <w:spacing w:after="0" w:line="276" w:lineRule="auto"/>
      <w:jc w:val="center"/>
    </w:pPr>
    <w:rPr>
      <w:rFonts w:ascii="Times New Roman" w:hAnsi="Times New Roman" w:cs="Times New Roman"/>
      <w:b/>
      <w:bCs/>
      <w:sz w:val="24"/>
      <w:szCs w:val="24"/>
    </w:rPr>
  </w:style>
  <w:style w:type="character" w:customStyle="1" w:styleId="TableHeadingChar">
    <w:name w:val="Table Heading Char"/>
    <w:basedOn w:val="DefaultParagraphFont"/>
    <w:link w:val="TableHeading"/>
    <w:rsid w:val="008660D8"/>
    <w:rPr>
      <w:rFonts w:ascii="Times New Roman" w:hAnsi="Times New Roman" w:cs="Times New Roman"/>
      <w:b/>
      <w:bCs/>
      <w:sz w:val="24"/>
      <w:szCs w:val="24"/>
    </w:rPr>
  </w:style>
  <w:style w:type="paragraph" w:styleId="NoSpacing">
    <w:name w:val="No Spacing"/>
    <w:link w:val="NoSpacingChar"/>
    <w:uiPriority w:val="1"/>
    <w:qFormat/>
    <w:rsid w:val="00E37F5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37F58"/>
    <w:rPr>
      <w:rFonts w:eastAsiaTheme="minorEastAsia"/>
      <w:kern w:val="0"/>
      <w:lang w:val="en-US"/>
      <w14:ligatures w14:val="none"/>
    </w:rPr>
  </w:style>
  <w:style w:type="paragraph" w:styleId="Bibliography">
    <w:name w:val="Bibliography"/>
    <w:basedOn w:val="Normal"/>
    <w:next w:val="Normal"/>
    <w:uiPriority w:val="37"/>
    <w:unhideWhenUsed/>
    <w:rsid w:val="00A12115"/>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39601">
      <w:bodyDiv w:val="1"/>
      <w:marLeft w:val="0"/>
      <w:marRight w:val="0"/>
      <w:marTop w:val="0"/>
      <w:marBottom w:val="0"/>
      <w:divBdr>
        <w:top w:val="none" w:sz="0" w:space="0" w:color="auto"/>
        <w:left w:val="none" w:sz="0" w:space="0" w:color="auto"/>
        <w:bottom w:val="none" w:sz="0" w:space="0" w:color="auto"/>
        <w:right w:val="none" w:sz="0" w:space="0" w:color="auto"/>
      </w:divBdr>
    </w:div>
    <w:div w:id="483859278">
      <w:bodyDiv w:val="1"/>
      <w:marLeft w:val="0"/>
      <w:marRight w:val="0"/>
      <w:marTop w:val="0"/>
      <w:marBottom w:val="0"/>
      <w:divBdr>
        <w:top w:val="none" w:sz="0" w:space="0" w:color="auto"/>
        <w:left w:val="none" w:sz="0" w:space="0" w:color="auto"/>
        <w:bottom w:val="none" w:sz="0" w:space="0" w:color="auto"/>
        <w:right w:val="none" w:sz="0" w:space="0" w:color="auto"/>
      </w:divBdr>
    </w:div>
    <w:div w:id="1006664562">
      <w:bodyDiv w:val="1"/>
      <w:marLeft w:val="0"/>
      <w:marRight w:val="0"/>
      <w:marTop w:val="0"/>
      <w:marBottom w:val="0"/>
      <w:divBdr>
        <w:top w:val="none" w:sz="0" w:space="0" w:color="auto"/>
        <w:left w:val="none" w:sz="0" w:space="0" w:color="auto"/>
        <w:bottom w:val="none" w:sz="0" w:space="0" w:color="auto"/>
        <w:right w:val="none" w:sz="0" w:space="0" w:color="auto"/>
      </w:divBdr>
    </w:div>
    <w:div w:id="1009605232">
      <w:bodyDiv w:val="1"/>
      <w:marLeft w:val="0"/>
      <w:marRight w:val="0"/>
      <w:marTop w:val="0"/>
      <w:marBottom w:val="0"/>
      <w:divBdr>
        <w:top w:val="none" w:sz="0" w:space="0" w:color="auto"/>
        <w:left w:val="none" w:sz="0" w:space="0" w:color="auto"/>
        <w:bottom w:val="none" w:sz="0" w:space="0" w:color="auto"/>
        <w:right w:val="none" w:sz="0" w:space="0" w:color="auto"/>
      </w:divBdr>
    </w:div>
    <w:div w:id="1243027965">
      <w:bodyDiv w:val="1"/>
      <w:marLeft w:val="0"/>
      <w:marRight w:val="0"/>
      <w:marTop w:val="0"/>
      <w:marBottom w:val="0"/>
      <w:divBdr>
        <w:top w:val="none" w:sz="0" w:space="0" w:color="auto"/>
        <w:left w:val="none" w:sz="0" w:space="0" w:color="auto"/>
        <w:bottom w:val="none" w:sz="0" w:space="0" w:color="auto"/>
        <w:right w:val="none" w:sz="0" w:space="0" w:color="auto"/>
      </w:divBdr>
    </w:div>
    <w:div w:id="1262369878">
      <w:bodyDiv w:val="1"/>
      <w:marLeft w:val="0"/>
      <w:marRight w:val="0"/>
      <w:marTop w:val="0"/>
      <w:marBottom w:val="0"/>
      <w:divBdr>
        <w:top w:val="none" w:sz="0" w:space="0" w:color="auto"/>
        <w:left w:val="none" w:sz="0" w:space="0" w:color="auto"/>
        <w:bottom w:val="none" w:sz="0" w:space="0" w:color="auto"/>
        <w:right w:val="none" w:sz="0" w:space="0" w:color="auto"/>
      </w:divBdr>
    </w:div>
    <w:div w:id="1356228958">
      <w:bodyDiv w:val="1"/>
      <w:marLeft w:val="0"/>
      <w:marRight w:val="0"/>
      <w:marTop w:val="0"/>
      <w:marBottom w:val="0"/>
      <w:divBdr>
        <w:top w:val="none" w:sz="0" w:space="0" w:color="auto"/>
        <w:left w:val="none" w:sz="0" w:space="0" w:color="auto"/>
        <w:bottom w:val="none" w:sz="0" w:space="0" w:color="auto"/>
        <w:right w:val="none" w:sz="0" w:space="0" w:color="auto"/>
      </w:divBdr>
    </w:div>
    <w:div w:id="1421297433">
      <w:bodyDiv w:val="1"/>
      <w:marLeft w:val="0"/>
      <w:marRight w:val="0"/>
      <w:marTop w:val="0"/>
      <w:marBottom w:val="0"/>
      <w:divBdr>
        <w:top w:val="none" w:sz="0" w:space="0" w:color="auto"/>
        <w:left w:val="none" w:sz="0" w:space="0" w:color="auto"/>
        <w:bottom w:val="none" w:sz="0" w:space="0" w:color="auto"/>
        <w:right w:val="none" w:sz="0" w:space="0" w:color="auto"/>
      </w:divBdr>
    </w:div>
    <w:div w:id="1521314316">
      <w:bodyDiv w:val="1"/>
      <w:marLeft w:val="0"/>
      <w:marRight w:val="0"/>
      <w:marTop w:val="0"/>
      <w:marBottom w:val="0"/>
      <w:divBdr>
        <w:top w:val="none" w:sz="0" w:space="0" w:color="auto"/>
        <w:left w:val="none" w:sz="0" w:space="0" w:color="auto"/>
        <w:bottom w:val="none" w:sz="0" w:space="0" w:color="auto"/>
        <w:right w:val="none" w:sz="0" w:space="0" w:color="auto"/>
      </w:divBdr>
    </w:div>
    <w:div w:id="1618637555">
      <w:bodyDiv w:val="1"/>
      <w:marLeft w:val="0"/>
      <w:marRight w:val="0"/>
      <w:marTop w:val="0"/>
      <w:marBottom w:val="0"/>
      <w:divBdr>
        <w:top w:val="none" w:sz="0" w:space="0" w:color="auto"/>
        <w:left w:val="none" w:sz="0" w:space="0" w:color="auto"/>
        <w:bottom w:val="none" w:sz="0" w:space="0" w:color="auto"/>
        <w:right w:val="none" w:sz="0" w:space="0" w:color="auto"/>
      </w:divBdr>
    </w:div>
    <w:div w:id="1648195855">
      <w:bodyDiv w:val="1"/>
      <w:marLeft w:val="0"/>
      <w:marRight w:val="0"/>
      <w:marTop w:val="0"/>
      <w:marBottom w:val="0"/>
      <w:divBdr>
        <w:top w:val="none" w:sz="0" w:space="0" w:color="auto"/>
        <w:left w:val="none" w:sz="0" w:space="0" w:color="auto"/>
        <w:bottom w:val="none" w:sz="0" w:space="0" w:color="auto"/>
        <w:right w:val="none" w:sz="0" w:space="0" w:color="auto"/>
      </w:divBdr>
    </w:div>
    <w:div w:id="18147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800E-2296-4D62-8B11-F791ECF2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16929</Words>
  <Characters>96499</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Yousif</dc:creator>
  <cp:keywords/>
  <dc:description/>
  <cp:lastModifiedBy>SDI 1089</cp:lastModifiedBy>
  <cp:revision>713</cp:revision>
  <cp:lastPrinted>2025-09-24T15:54:00Z</cp:lastPrinted>
  <dcterms:created xsi:type="dcterms:W3CDTF">2024-06-28T08:48:00Z</dcterms:created>
  <dcterms:modified xsi:type="dcterms:W3CDTF">2025-11-06T11:34:00Z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id="8yEdeVRl"/&gt;&lt;style id="http://www.zotero.org/styles/vancouver" locale="en-GB" hasBibliography="1" bibliographyStyleHasBeenSet="1"/&gt;&lt;prefs&gt;&lt;pref name="fieldType" value="Field"/&gt;&lt;/prefs&gt;&lt;/data&gt;</vt:lpwstr>
  </property>
</Properties>
</file>