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93F7" w14:textId="77777777" w:rsidR="006E0C03" w:rsidRDefault="006E0C03" w:rsidP="00C06074">
      <w:pPr>
        <w:pStyle w:val="PlainText"/>
        <w:spacing w:after="120" w:line="276" w:lineRule="auto"/>
        <w:jc w:val="right"/>
        <w:rPr>
          <w:rFonts w:ascii="Arial" w:hAnsi="Arial" w:cs="Arial"/>
          <w:b/>
          <w:sz w:val="34"/>
          <w:szCs w:val="34"/>
        </w:rPr>
      </w:pPr>
      <w:r w:rsidRPr="006E0C03">
        <w:rPr>
          <w:rFonts w:ascii="Arial" w:hAnsi="Arial" w:cs="Arial"/>
          <w:b/>
          <w:sz w:val="34"/>
          <w:szCs w:val="34"/>
        </w:rPr>
        <w:t xml:space="preserve">Original Research Article </w:t>
      </w:r>
    </w:p>
    <w:p w14:paraId="291CAF40" w14:textId="77777777" w:rsidR="006E0C03" w:rsidRDefault="006E0C03" w:rsidP="00C06074">
      <w:pPr>
        <w:pStyle w:val="PlainText"/>
        <w:spacing w:after="120" w:line="276" w:lineRule="auto"/>
        <w:jc w:val="right"/>
        <w:rPr>
          <w:rFonts w:ascii="Arial" w:hAnsi="Arial" w:cs="Arial"/>
          <w:b/>
          <w:sz w:val="34"/>
          <w:szCs w:val="34"/>
        </w:rPr>
      </w:pPr>
    </w:p>
    <w:p w14:paraId="6D395BBB" w14:textId="60333F9F" w:rsidR="00A604F5" w:rsidRDefault="00A604F5" w:rsidP="00C06074">
      <w:pPr>
        <w:pStyle w:val="PlainText"/>
        <w:spacing w:after="120" w:line="276" w:lineRule="auto"/>
        <w:jc w:val="right"/>
        <w:rPr>
          <w:rFonts w:ascii="Arial" w:hAnsi="Arial" w:cs="Arial"/>
          <w:b/>
          <w:sz w:val="34"/>
          <w:szCs w:val="34"/>
        </w:rPr>
      </w:pPr>
      <w:bookmarkStart w:id="0" w:name="_Hlk214268736"/>
      <w:r w:rsidRPr="004A5CCA">
        <w:rPr>
          <w:rFonts w:ascii="Arial" w:hAnsi="Arial" w:cs="Arial"/>
          <w:b/>
          <w:sz w:val="34"/>
          <w:szCs w:val="34"/>
        </w:rPr>
        <w:t>Epidemiological Trends and Clinical Characteristics of Esophageal Cancer in North-East India: A Hospital-Based Descriptive Study from a Tertiary Cancer Center</w:t>
      </w:r>
    </w:p>
    <w:bookmarkEnd w:id="0"/>
    <w:p w14:paraId="054751B0" w14:textId="77777777" w:rsidR="00B0243B" w:rsidRPr="004A5CCA" w:rsidRDefault="00B0243B" w:rsidP="00C06074">
      <w:pPr>
        <w:pStyle w:val="PlainText"/>
        <w:spacing w:after="120" w:line="276" w:lineRule="auto"/>
        <w:jc w:val="right"/>
        <w:rPr>
          <w:rFonts w:ascii="Arial" w:hAnsi="Arial" w:cs="Arial"/>
          <w:b/>
          <w:sz w:val="34"/>
          <w:szCs w:val="34"/>
        </w:rPr>
      </w:pPr>
    </w:p>
    <w:p w14:paraId="01F6079C" w14:textId="77777777" w:rsidR="00C95765" w:rsidRDefault="00C95765" w:rsidP="004A5CCA">
      <w:pPr>
        <w:pStyle w:val="PlainText"/>
        <w:jc w:val="right"/>
        <w:rPr>
          <w:rFonts w:ascii="Arial" w:hAnsi="Arial" w:cs="Arial"/>
          <w:b/>
          <w:sz w:val="20"/>
          <w:szCs w:val="20"/>
        </w:rPr>
      </w:pPr>
    </w:p>
    <w:p w14:paraId="78CECBD3" w14:textId="77777777" w:rsidR="00A604F5" w:rsidRPr="00D30BE4" w:rsidRDefault="004A5CCA" w:rsidP="00A604F5">
      <w:pPr>
        <w:pStyle w:val="PlainText"/>
        <w:spacing w:line="360" w:lineRule="auto"/>
        <w:jc w:val="both"/>
        <w:rPr>
          <w:rFonts w:ascii="Arial" w:hAnsi="Arial" w:cs="Arial"/>
          <w:sz w:val="24"/>
          <w:szCs w:val="24"/>
        </w:rPr>
      </w:pPr>
      <w:r w:rsidRPr="004A5CCA">
        <w:rPr>
          <w:rFonts w:ascii="Arial" w:hAnsi="Arial" w:cs="Arial"/>
          <w:b/>
          <w:noProof/>
          <w:sz w:val="28"/>
          <w:szCs w:val="28"/>
        </w:rPr>
        <mc:AlternateContent>
          <mc:Choice Requires="wps">
            <w:drawing>
              <wp:anchor distT="0" distB="0" distL="114300" distR="114300" simplePos="0" relativeHeight="251660288" behindDoc="0" locked="0" layoutInCell="1" allowOverlap="1" wp14:anchorId="57E31E35" wp14:editId="3F0ABBE3">
                <wp:simplePos x="0" y="0"/>
                <wp:positionH relativeFrom="margin">
                  <wp:align>center</wp:align>
                </wp:positionH>
                <wp:positionV relativeFrom="paragraph">
                  <wp:posOffset>57785</wp:posOffset>
                </wp:positionV>
                <wp:extent cx="57086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708650" cy="127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71E7CA" id="Straight Connector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5pt" to="4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" strokecolor="black [3213]" strokeweight="1.5pt">
                <v:stroke joinstyle="miter"/>
                <w10:wrap anchorx="margin"/>
              </v:line>
            </w:pict>
          </mc:Fallback>
        </mc:AlternateContent>
      </w:r>
    </w:p>
    <w:p w14:paraId="306E48BA" w14:textId="3A2EB783" w:rsidR="00A604F5" w:rsidRDefault="00A857A1" w:rsidP="00A857A1">
      <w:pPr>
        <w:pStyle w:val="PlainText"/>
        <w:spacing w:line="360" w:lineRule="auto"/>
        <w:ind w:left="-360"/>
        <w:rPr>
          <w:rFonts w:ascii="Arial" w:hAnsi="Arial" w:cs="Arial"/>
          <w:b/>
          <w:sz w:val="22"/>
          <w:szCs w:val="22"/>
        </w:rPr>
      </w:pPr>
      <w:r>
        <w:rPr>
          <w:rFonts w:ascii="Arial" w:hAnsi="Arial" w:cs="Arial"/>
          <w:b/>
          <w:sz w:val="22"/>
          <w:szCs w:val="22"/>
        </w:rPr>
        <w:t xml:space="preserve"> </w:t>
      </w:r>
      <w:r w:rsidR="00A604F5" w:rsidRPr="00D30BE4">
        <w:rPr>
          <w:rFonts w:ascii="Arial" w:hAnsi="Arial" w:cs="Arial"/>
          <w:b/>
          <w:sz w:val="22"/>
          <w:szCs w:val="22"/>
        </w:rPr>
        <w:t>ABSTRACT</w:t>
      </w:r>
    </w:p>
    <w:p w14:paraId="71FA7EFF"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Background:</w:t>
      </w:r>
      <w:r w:rsidRPr="00EF1F22">
        <w:rPr>
          <w:rFonts w:ascii="Arial" w:hAnsi="Arial" w:cs="Arial"/>
          <w:sz w:val="20"/>
          <w:szCs w:val="20"/>
        </w:rPr>
        <w:t xml:space="preserve"> Esophageal cancer (EC) represents a significant public health burden in North-East India, with a substantially higher incidence compared to other regions globally. This hospital-based descriptive study aims to characterize the epidemiological trends, clinical characteristics, and treatment patterns of esophageal cancer patients in the North-East region of India. </w:t>
      </w:r>
    </w:p>
    <w:p w14:paraId="31E6E8E9"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Methods:</w:t>
      </w:r>
      <w:r w:rsidRPr="00EF1F22">
        <w:rPr>
          <w:rFonts w:ascii="Arial" w:hAnsi="Arial" w:cs="Arial"/>
          <w:sz w:val="20"/>
          <w:szCs w:val="20"/>
        </w:rPr>
        <w:t xml:space="preserve"> A hospital-based descriptive study was conducted analyzing clinical and epidemiological data of 1,937 esophageal cancer cases registered between 2018 and 2022 at the State Cancer Institute, </w:t>
      </w:r>
      <w:proofErr w:type="spellStart"/>
      <w:r w:rsidRPr="00EF1F22">
        <w:rPr>
          <w:rFonts w:ascii="Arial" w:hAnsi="Arial" w:cs="Arial"/>
          <w:sz w:val="20"/>
          <w:szCs w:val="20"/>
        </w:rPr>
        <w:t>Gauhati</w:t>
      </w:r>
      <w:proofErr w:type="spellEnd"/>
      <w:r w:rsidRPr="00EF1F22">
        <w:rPr>
          <w:rFonts w:ascii="Arial" w:hAnsi="Arial" w:cs="Arial"/>
          <w:sz w:val="20"/>
          <w:szCs w:val="20"/>
        </w:rPr>
        <w:t xml:space="preserve"> Medical College, Assam, India. Demographic data, clinical presentation, histopathology, tumor location, staging, and treatment modalities were systematically extracted and analyzed. Stratified analyses were performed by gender, age, and disease extent. </w:t>
      </w:r>
    </w:p>
    <w:p w14:paraId="0281F842" w14:textId="77777777" w:rsidR="00D43E8E" w:rsidRPr="00EF1F22"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Results:</w:t>
      </w:r>
      <w:r w:rsidRPr="00EF1F22">
        <w:rPr>
          <w:rFonts w:ascii="Arial" w:hAnsi="Arial" w:cs="Arial"/>
          <w:sz w:val="20"/>
          <w:szCs w:val="20"/>
        </w:rPr>
        <w:t xml:space="preserve"> The study cohort comprised 1,284 males (66.3%) and 653 females (33.7%), yielding a male-to-female ratio of approximately 2:1. Esophageal cancer accounted for 15.4% of all malignancies in males and 8.5% in females. The mean age at presentation was predominantly in the sixth decade of life. Tobacco and alcohol consumption were identified as significant risk factors, present in 73.5% of cases. Squamous cell carcinoma was the predominant histopathological type (91.6%), with the middle third of the esophagus being the most common site of involvement (67.7%). At diagnosis, 32.6% of patients presented with localized disease, 52.8% with regional involvement, and 14.6% with distant metastases. Combined radiotherapy and chemotherapy (R+C) was the predominant treatment modality, accounting for 46.5% of male and 43.9% of female patient cases. Single-modality therapy was administered to 39.3% of males and 41.6% of females. Surgical intervention was performed in 6.7% of males and 5.9% of females.</w:t>
      </w:r>
    </w:p>
    <w:p w14:paraId="41B18EF0" w14:textId="30FB9AC0" w:rsidR="00D43E8E" w:rsidRPr="00A604F5" w:rsidRDefault="00D43E8E" w:rsidP="00D43E8E">
      <w:pPr>
        <w:pStyle w:val="PlainText"/>
        <w:spacing w:after="120" w:line="360" w:lineRule="auto"/>
        <w:jc w:val="both"/>
        <w:rPr>
          <w:rFonts w:ascii="Arial" w:hAnsi="Arial" w:cs="Arial"/>
          <w:sz w:val="20"/>
          <w:szCs w:val="20"/>
        </w:rPr>
      </w:pPr>
      <w:r w:rsidRPr="00EF1F22">
        <w:rPr>
          <w:rFonts w:ascii="Arial" w:hAnsi="Arial" w:cs="Arial"/>
          <w:b/>
          <w:sz w:val="20"/>
          <w:szCs w:val="20"/>
        </w:rPr>
        <w:t>Conclusion:</w:t>
      </w:r>
      <w:r w:rsidRPr="00EF1F22">
        <w:rPr>
          <w:rFonts w:ascii="Arial" w:hAnsi="Arial" w:cs="Arial"/>
          <w:sz w:val="20"/>
          <w:szCs w:val="20"/>
        </w:rPr>
        <w:t xml:space="preserve"> This hospital-based study confirms the high burden of esophageal cancer in North-East India with marked male predominance. Tobacco and alcohol use remain the dominant etiological factors. Most</w:t>
      </w:r>
      <w:r>
        <w:rPr>
          <w:rFonts w:ascii="Arial" w:hAnsi="Arial" w:cs="Arial"/>
          <w:sz w:val="20"/>
          <w:szCs w:val="20"/>
        </w:rPr>
        <w:t xml:space="preserve"> </w:t>
      </w:r>
      <w:r w:rsidRPr="00EF1F22">
        <w:rPr>
          <w:rFonts w:ascii="Arial" w:hAnsi="Arial" w:cs="Arial"/>
          <w:sz w:val="20"/>
          <w:szCs w:val="20"/>
        </w:rPr>
        <w:t xml:space="preserve">patients present at advanced stages with regional disease. Multimodal treatment approaches, particularly combined chemoradiotherapy, are the primary management strategy at tertiary care centers. These findings underscore the urgent need for region-specific prevention strategies, early detection </w:t>
      </w:r>
      <w:r w:rsidRPr="00EF1F22">
        <w:rPr>
          <w:rFonts w:ascii="Arial" w:hAnsi="Arial" w:cs="Arial"/>
          <w:sz w:val="20"/>
          <w:szCs w:val="20"/>
        </w:rPr>
        <w:lastRenderedPageBreak/>
        <w:t>programs, and equitable access to evidence-based multimodal treatment to improve outcomes in this high-incidence population.</w:t>
      </w:r>
    </w:p>
    <w:p w14:paraId="7D0B5FCC" w14:textId="052303E6" w:rsidR="00A604F5" w:rsidRDefault="00D43E8E" w:rsidP="00D43E8E">
      <w:pPr>
        <w:pStyle w:val="PlainText"/>
        <w:spacing w:line="360" w:lineRule="auto"/>
        <w:jc w:val="both"/>
        <w:rPr>
          <w:rFonts w:ascii="Arial" w:hAnsi="Arial" w:cs="Arial"/>
          <w:sz w:val="24"/>
          <w:szCs w:val="24"/>
        </w:rPr>
      </w:pPr>
      <w:r w:rsidRPr="00363D77">
        <w:rPr>
          <w:rFonts w:ascii="Arial" w:hAnsi="Arial" w:cs="Arial"/>
          <w:b/>
          <w:i/>
          <w:sz w:val="20"/>
          <w:szCs w:val="20"/>
        </w:rPr>
        <w:t>Keywords:</w:t>
      </w:r>
      <w:r w:rsidRPr="00363D77">
        <w:rPr>
          <w:rFonts w:ascii="Arial" w:hAnsi="Arial" w:cs="Arial"/>
          <w:i/>
          <w:sz w:val="20"/>
          <w:szCs w:val="20"/>
        </w:rPr>
        <w:t xml:space="preserve"> Esophageal cancer, epidemiology, clinical characteristics, descriptive study,</w:t>
      </w:r>
      <w:r>
        <w:rPr>
          <w:rFonts w:ascii="Arial" w:hAnsi="Arial" w:cs="Arial"/>
          <w:i/>
          <w:sz w:val="20"/>
          <w:szCs w:val="20"/>
        </w:rPr>
        <w:t xml:space="preserve"> statistical analysis,</w:t>
      </w:r>
      <w:r w:rsidRPr="00363D77">
        <w:rPr>
          <w:rFonts w:ascii="Arial" w:hAnsi="Arial" w:cs="Arial"/>
          <w:i/>
          <w:sz w:val="20"/>
          <w:szCs w:val="20"/>
        </w:rPr>
        <w:t xml:space="preserve"> treatment patterns, tobacco-related cancers</w:t>
      </w:r>
      <w:r>
        <w:rPr>
          <w:rFonts w:ascii="Arial" w:hAnsi="Arial" w:cs="Arial"/>
          <w:i/>
          <w:sz w:val="20"/>
          <w:szCs w:val="20"/>
        </w:rPr>
        <w:t>, North-East</w:t>
      </w:r>
      <w:r w:rsidR="000F0E9F">
        <w:rPr>
          <w:rFonts w:ascii="Arial" w:hAnsi="Arial" w:cs="Arial"/>
          <w:i/>
          <w:sz w:val="20"/>
          <w:szCs w:val="20"/>
        </w:rPr>
        <w:t>, India</w:t>
      </w:r>
    </w:p>
    <w:p w14:paraId="3867073A" w14:textId="77777777" w:rsidR="00A604F5" w:rsidRDefault="00A604F5" w:rsidP="00A604F5">
      <w:pPr>
        <w:pStyle w:val="PlainText"/>
        <w:spacing w:line="360" w:lineRule="auto"/>
        <w:jc w:val="both"/>
        <w:rPr>
          <w:rFonts w:ascii="Arial" w:hAnsi="Arial" w:cs="Arial"/>
          <w:sz w:val="24"/>
          <w:szCs w:val="24"/>
        </w:rPr>
      </w:pPr>
    </w:p>
    <w:p w14:paraId="1D8A5FBB" w14:textId="77777777" w:rsidR="00A108C9" w:rsidRPr="00566359" w:rsidRDefault="00A108C9" w:rsidP="00566359">
      <w:pPr>
        <w:pStyle w:val="PlainText"/>
        <w:rPr>
          <w:rFonts w:ascii="Arial" w:hAnsi="Arial" w:cs="Arial"/>
          <w:b/>
          <w:sz w:val="22"/>
          <w:szCs w:val="22"/>
        </w:rPr>
      </w:pPr>
      <w:r w:rsidRPr="00566359">
        <w:rPr>
          <w:rFonts w:ascii="Arial" w:hAnsi="Arial" w:cs="Arial"/>
          <w:b/>
          <w:sz w:val="22"/>
          <w:szCs w:val="22"/>
        </w:rPr>
        <w:t>1. INTRODUCTION</w:t>
      </w:r>
    </w:p>
    <w:p w14:paraId="60875668" w14:textId="77777777" w:rsidR="00A108C9" w:rsidRPr="00632BFC" w:rsidRDefault="00A108C9" w:rsidP="00632BFC">
      <w:pPr>
        <w:pStyle w:val="PlainText"/>
        <w:jc w:val="both"/>
        <w:rPr>
          <w:rFonts w:ascii="Arial" w:hAnsi="Arial" w:cs="Arial"/>
          <w:sz w:val="20"/>
          <w:szCs w:val="20"/>
        </w:rPr>
      </w:pPr>
    </w:p>
    <w:p w14:paraId="430ACCF1" w14:textId="73925DC3" w:rsidR="00A108C9" w:rsidRPr="000C70AE" w:rsidRDefault="00A108C9" w:rsidP="00632BFC">
      <w:pPr>
        <w:pStyle w:val="PlainText"/>
        <w:jc w:val="both"/>
        <w:rPr>
          <w:rFonts w:ascii="Arial" w:hAnsi="Arial" w:cs="Arial"/>
          <w:sz w:val="20"/>
          <w:szCs w:val="20"/>
        </w:rPr>
      </w:pPr>
      <w:r w:rsidRPr="00632BFC">
        <w:rPr>
          <w:rFonts w:ascii="Arial" w:hAnsi="Arial" w:cs="Arial"/>
          <w:sz w:val="20"/>
          <w:szCs w:val="20"/>
        </w:rPr>
        <w:t xml:space="preserve">Esophageal cancer (EC) ranks as the sixth leading cause of cancer-related mortality and the eighth most common cancer worldwide, with an estimated 399,933 deaths annually (Sung et al., 2021). The global burden of esophageal cancer demonstrates remarkable geographic variation, with particularly high incidence rates in Asia, Iran, and Southern Africa, termed the "esophageal cancer belt" (Kamangar et al., 2006). Within India, the North-East region represents a unique epidemiological zone characterized by exceptionally high incidence rates, often exceeding 50 per 100,000 population in males, which is substantially higher than national and global averages </w:t>
      </w:r>
      <w:r w:rsidR="006A3583" w:rsidRPr="000C70AE">
        <w:rPr>
          <w:rFonts w:ascii="Arial" w:hAnsi="Arial" w:cs="Arial"/>
          <w:sz w:val="20"/>
          <w:szCs w:val="20"/>
        </w:rPr>
        <w:t>(</w:t>
      </w:r>
      <w:r w:rsidR="000C70AE" w:rsidRPr="000C70AE">
        <w:rPr>
          <w:rFonts w:ascii="Arial" w:hAnsi="Arial" w:cs="Arial"/>
          <w:sz w:val="20"/>
          <w:szCs w:val="20"/>
        </w:rPr>
        <w:t>Indian Council of Medical Research – National Centre for Disease Informatics and Research, 2021</w:t>
      </w:r>
      <w:r w:rsidR="006A3583" w:rsidRPr="000C70AE">
        <w:rPr>
          <w:rFonts w:ascii="Arial" w:hAnsi="Arial" w:cs="Arial"/>
          <w:sz w:val="20"/>
          <w:szCs w:val="20"/>
        </w:rPr>
        <w:t>).</w:t>
      </w:r>
    </w:p>
    <w:p w14:paraId="10650861" w14:textId="77777777" w:rsidR="00A108C9" w:rsidRPr="00632BFC" w:rsidRDefault="00A108C9" w:rsidP="00632BFC">
      <w:pPr>
        <w:pStyle w:val="PlainText"/>
        <w:jc w:val="both"/>
        <w:rPr>
          <w:rFonts w:ascii="Arial" w:hAnsi="Arial" w:cs="Arial"/>
          <w:sz w:val="20"/>
          <w:szCs w:val="20"/>
        </w:rPr>
      </w:pPr>
    </w:p>
    <w:p w14:paraId="0EFF2804" w14:textId="36B16DF2" w:rsidR="00A108C9" w:rsidRPr="00A6231C" w:rsidRDefault="00A108C9" w:rsidP="00632BFC">
      <w:pPr>
        <w:pStyle w:val="PlainText"/>
        <w:jc w:val="both"/>
        <w:rPr>
          <w:rFonts w:ascii="Arial" w:hAnsi="Arial" w:cs="Arial"/>
          <w:sz w:val="20"/>
          <w:szCs w:val="20"/>
        </w:rPr>
      </w:pPr>
      <w:r w:rsidRPr="00632BFC">
        <w:rPr>
          <w:rFonts w:ascii="Arial" w:hAnsi="Arial" w:cs="Arial"/>
          <w:sz w:val="20"/>
          <w:szCs w:val="20"/>
        </w:rPr>
        <w:t xml:space="preserve">The disease presents with two major histopathological subtypes: squamous cell carcinoma (SCC) and adenocarcinoma. Esophageal squamous cell carcinoma (ESCC) predominates globally in high-incidence regions, while esophageal adenocarcinoma (EAC) is more prevalent in developed Western countries (Wang et al., 2024). The etiopathogenesis of these two subtypes differs significantly; ESCC is strongly associated with tobacco and alcohol consumption, while EAC is linked to chronic gastroesophageal reflux disease (GERD) and Barrett's esophagus (Then et al., 2020). In the North-East Indian context, ESCC accounts for over 90% of esophageal malignancies, reflecting the high prevalence of traditional tobacco practices such as betel leaf chewing (pan) combined with tobacco and </w:t>
      </w:r>
      <w:r w:rsidRPr="00A6231C">
        <w:rPr>
          <w:rFonts w:ascii="Arial" w:hAnsi="Arial" w:cs="Arial"/>
          <w:sz w:val="20"/>
          <w:szCs w:val="20"/>
        </w:rPr>
        <w:t xml:space="preserve">smoking </w:t>
      </w:r>
      <w:r w:rsidR="00A6231C" w:rsidRPr="00A6231C">
        <w:rPr>
          <w:rFonts w:ascii="Arial" w:hAnsi="Arial" w:cs="Arial"/>
          <w:sz w:val="20"/>
          <w:szCs w:val="20"/>
        </w:rPr>
        <w:t>(Indian Council of Medical Research, 2014)</w:t>
      </w:r>
    </w:p>
    <w:p w14:paraId="6DAECC76" w14:textId="77777777" w:rsidR="00A108C9" w:rsidRPr="00632BFC" w:rsidRDefault="00A108C9" w:rsidP="00632BFC">
      <w:pPr>
        <w:pStyle w:val="PlainText"/>
        <w:jc w:val="both"/>
        <w:rPr>
          <w:rFonts w:ascii="Arial" w:hAnsi="Arial" w:cs="Arial"/>
          <w:sz w:val="20"/>
          <w:szCs w:val="20"/>
        </w:rPr>
      </w:pPr>
    </w:p>
    <w:p w14:paraId="65E6AEBF" w14:textId="6096B086" w:rsidR="00A108C9" w:rsidRPr="00821DF2" w:rsidRDefault="00A108C9" w:rsidP="00632BFC">
      <w:pPr>
        <w:pStyle w:val="PlainText"/>
        <w:jc w:val="both"/>
        <w:rPr>
          <w:rFonts w:ascii="Arial" w:hAnsi="Arial" w:cs="Arial"/>
          <w:sz w:val="20"/>
          <w:szCs w:val="20"/>
        </w:rPr>
      </w:pPr>
      <w:r w:rsidRPr="00632BFC">
        <w:rPr>
          <w:rFonts w:ascii="Arial" w:hAnsi="Arial" w:cs="Arial"/>
          <w:sz w:val="20"/>
          <w:szCs w:val="20"/>
        </w:rPr>
        <w:t xml:space="preserve">Despite significant advances in diagnostic and therapeutic modalities, esophageal cancer remains a highly aggressive malignancy with a poor prognosis. The five-year overall survival rate remains approximately 20%, though this varies substantially by stage at diagnosis and treatment modality (Alsop &amp; Sharma, 2016). When diagnosed at early localized stages, the five-year survival rate can reach 47%, but this decreases to 25% for regional disease and falls below 5% for distant metastatic disease </w:t>
      </w:r>
      <w:r w:rsidR="009A6800">
        <w:rPr>
          <w:rFonts w:ascii="Arial" w:hAnsi="Arial" w:cs="Arial"/>
          <w:sz w:val="20"/>
          <w:szCs w:val="20"/>
        </w:rPr>
        <w:t>(National Cancer Institute, 2025</w:t>
      </w:r>
      <w:r w:rsidRPr="00632BFC">
        <w:rPr>
          <w:rFonts w:ascii="Arial" w:hAnsi="Arial" w:cs="Arial"/>
          <w:sz w:val="20"/>
          <w:szCs w:val="20"/>
        </w:rPr>
        <w:t xml:space="preserve">). Unfortunately, approximately 70-80% of patients present with advanced-stage disease at the time of diagnosis, contributing to the overall dismal prognosis </w:t>
      </w:r>
      <w:r w:rsidR="00821DF2" w:rsidRPr="00821DF2">
        <w:rPr>
          <w:rFonts w:ascii="Arial" w:hAnsi="Arial" w:cs="Arial"/>
          <w:sz w:val="20"/>
          <w:szCs w:val="20"/>
        </w:rPr>
        <w:t>(Zhang, M., et al., 2021)</w:t>
      </w:r>
      <w:r w:rsidR="001628C6">
        <w:rPr>
          <w:rFonts w:ascii="Arial" w:hAnsi="Arial" w:cs="Arial"/>
          <w:sz w:val="20"/>
          <w:szCs w:val="20"/>
        </w:rPr>
        <w:t>.</w:t>
      </w:r>
    </w:p>
    <w:p w14:paraId="5DCAB42B" w14:textId="77777777" w:rsidR="00A108C9" w:rsidRPr="00632BFC" w:rsidRDefault="00A108C9" w:rsidP="00632BFC">
      <w:pPr>
        <w:pStyle w:val="PlainText"/>
        <w:jc w:val="both"/>
        <w:rPr>
          <w:rFonts w:ascii="Arial" w:hAnsi="Arial" w:cs="Arial"/>
          <w:sz w:val="20"/>
          <w:szCs w:val="20"/>
        </w:rPr>
      </w:pPr>
    </w:p>
    <w:p w14:paraId="446ECD3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clinical presentation of esophageal cancer is typically insidious, with patients remaining asymptomatic during early stages. Dysphagia (difficulty in swallowing) is the most common presenting symptom, occurring in approximately 90% of patients at presentation (Lagergren et al., 2017). Additional presenting symptoms include progressive weight loss, chest pain, heartburn, hoarseness, chronic cough, and in advanced cases, hematemesis or signs of metastatic disease (Short et al., 2017). The progressive nature of dysphagia, typically beginning with difficulty swallowing solids before progressing to liquids, often corresponds with tumor growth and luminal narrowing.</w:t>
      </w:r>
    </w:p>
    <w:p w14:paraId="69C34032" w14:textId="77777777" w:rsidR="00A108C9" w:rsidRPr="00632BFC" w:rsidRDefault="00A108C9" w:rsidP="00632BFC">
      <w:pPr>
        <w:pStyle w:val="PlainText"/>
        <w:jc w:val="both"/>
        <w:rPr>
          <w:rFonts w:ascii="Arial" w:hAnsi="Arial" w:cs="Arial"/>
          <w:sz w:val="20"/>
          <w:szCs w:val="20"/>
        </w:rPr>
      </w:pPr>
    </w:p>
    <w:p w14:paraId="0282A51F" w14:textId="25A9339B"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Gender represents a significant determinant of esophageal cancer epidemiology, with males demonstrating substantially higher incidence rates globally. The male-to-female ratio typically ranges from 3:1 to 7:1 depending on geographic region and histopathological subtype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Multiple factors contribute to this gender disparity, including higher rates of tobacco and alcohol consumption in males, occupational exposures, and potentially differential biological susceptibility related to estrogen and sex hormone metabolism </w:t>
      </w:r>
      <w:r w:rsidR="00E40C30" w:rsidRPr="00E40C30">
        <w:rPr>
          <w:rFonts w:ascii="Arial" w:hAnsi="Arial" w:cs="Arial"/>
          <w:sz w:val="20"/>
          <w:szCs w:val="20"/>
        </w:rPr>
        <w:t>(Xiang et al., 2022).</w:t>
      </w:r>
      <w:r w:rsidR="00E40C30">
        <w:rPr>
          <w:rFonts w:ascii="Arial" w:hAnsi="Arial" w:cs="Arial"/>
          <w:sz w:val="20"/>
          <w:szCs w:val="20"/>
        </w:rPr>
        <w:t xml:space="preserve"> </w:t>
      </w:r>
      <w:r w:rsidRPr="00632BFC">
        <w:rPr>
          <w:rFonts w:ascii="Arial" w:hAnsi="Arial" w:cs="Arial"/>
          <w:sz w:val="20"/>
          <w:szCs w:val="20"/>
        </w:rPr>
        <w:t xml:space="preserve">Some studies suggest that sex may be an independent prognostic marker in ESCC, with females demonstrating superior survival outcomes compared to males </w:t>
      </w:r>
      <w:r w:rsidR="00217AA4" w:rsidRPr="00217AA4">
        <w:rPr>
          <w:rFonts w:ascii="Arial" w:hAnsi="Arial" w:cs="Arial"/>
          <w:sz w:val="20"/>
          <w:szCs w:val="20"/>
        </w:rPr>
        <w:t>(</w:t>
      </w:r>
      <w:r w:rsidR="00217AA4" w:rsidRPr="00217AA4">
        <w:rPr>
          <w:rFonts w:ascii="Arial" w:hAnsi="Arial" w:cs="Arial"/>
          <w:bCs/>
          <w:sz w:val="20"/>
          <w:szCs w:val="20"/>
        </w:rPr>
        <w:t>Li et al., 2021)</w:t>
      </w:r>
      <w:r w:rsidR="00217AA4" w:rsidRPr="00217AA4">
        <w:rPr>
          <w:rFonts w:ascii="Arial" w:hAnsi="Arial" w:cs="Arial"/>
          <w:sz w:val="20"/>
          <w:szCs w:val="20"/>
        </w:rPr>
        <w:t>.</w:t>
      </w:r>
    </w:p>
    <w:p w14:paraId="69053967" w14:textId="77777777" w:rsidR="00A108C9" w:rsidRPr="00632BFC" w:rsidRDefault="00A108C9" w:rsidP="00632BFC">
      <w:pPr>
        <w:pStyle w:val="PlainText"/>
        <w:jc w:val="both"/>
        <w:rPr>
          <w:rFonts w:ascii="Arial" w:hAnsi="Arial" w:cs="Arial"/>
          <w:sz w:val="20"/>
          <w:szCs w:val="20"/>
        </w:rPr>
      </w:pPr>
    </w:p>
    <w:p w14:paraId="08780588" w14:textId="6B3C712B" w:rsidR="00A108C9" w:rsidRPr="00EF4DFD" w:rsidRDefault="00A108C9" w:rsidP="00632BFC">
      <w:pPr>
        <w:pStyle w:val="PlainText"/>
        <w:jc w:val="both"/>
        <w:rPr>
          <w:rFonts w:ascii="Arial" w:hAnsi="Arial" w:cs="Arial"/>
          <w:sz w:val="20"/>
          <w:szCs w:val="20"/>
        </w:rPr>
      </w:pPr>
      <w:r w:rsidRPr="00632BFC">
        <w:rPr>
          <w:rFonts w:ascii="Arial" w:hAnsi="Arial" w:cs="Arial"/>
          <w:sz w:val="20"/>
          <w:szCs w:val="20"/>
        </w:rPr>
        <w:t xml:space="preserve">Treatment approaches for esophageal cancer have evolved substantially over recent decades. Contemporary multimodal treatment strategies, combining surgery, chemotherapy, and radiotherapy, have demonstrated superior outcomes compared to single-modality approaches (Rice et al., 2017). </w:t>
      </w:r>
      <w:proofErr w:type="spellStart"/>
      <w:r w:rsidRPr="00632BFC">
        <w:rPr>
          <w:rFonts w:ascii="Arial" w:hAnsi="Arial" w:cs="Arial"/>
          <w:sz w:val="20"/>
          <w:szCs w:val="20"/>
        </w:rPr>
        <w:lastRenderedPageBreak/>
        <w:t>Trimodality</w:t>
      </w:r>
      <w:proofErr w:type="spellEnd"/>
      <w:r w:rsidRPr="00632BFC">
        <w:rPr>
          <w:rFonts w:ascii="Arial" w:hAnsi="Arial" w:cs="Arial"/>
          <w:sz w:val="20"/>
          <w:szCs w:val="20"/>
        </w:rPr>
        <w:t xml:space="preserve"> therapy combining neoadjuvant chemoradiation followed by esophagectomy is increasingly recognized as the standard of care for fit patients with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disease (Shapiro et al., 2015). For patients unsuitable for surgery or with advanced disease, definitive chemoradiotherapy has emerged as a viable alternative, yielding improved survival compared to radiotherapy alone </w:t>
      </w:r>
      <w:r w:rsidR="00EF4DFD" w:rsidRPr="00EF4DFD">
        <w:rPr>
          <w:rFonts w:ascii="Arial" w:hAnsi="Arial" w:cs="Arial"/>
          <w:sz w:val="20"/>
          <w:szCs w:val="20"/>
        </w:rPr>
        <w:t>(Xia et al., 2021)</w:t>
      </w:r>
      <w:r w:rsidR="0090386A">
        <w:rPr>
          <w:rFonts w:ascii="Arial" w:hAnsi="Arial" w:cs="Arial"/>
          <w:sz w:val="20"/>
          <w:szCs w:val="20"/>
        </w:rPr>
        <w:t>.</w:t>
      </w:r>
    </w:p>
    <w:p w14:paraId="7F78E61A" w14:textId="77777777" w:rsidR="00A108C9" w:rsidRPr="00EF4DFD" w:rsidRDefault="00A108C9" w:rsidP="00632BFC">
      <w:pPr>
        <w:pStyle w:val="PlainText"/>
        <w:jc w:val="both"/>
        <w:rPr>
          <w:rFonts w:ascii="Arial" w:hAnsi="Arial" w:cs="Arial"/>
          <w:sz w:val="20"/>
          <w:szCs w:val="20"/>
        </w:rPr>
      </w:pPr>
    </w:p>
    <w:p w14:paraId="5C208062"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quality of life (QoL) of esophageal cancer patients is substantially affected by both the disease and its treatment. Multimodal treatments, particularly those combining chemotherapy and radiotherapy, result in short-term QoL deterioration of approximately 15.7-37.8%, though most patients experience gradual recovery over subsequent years (Chen et al., 2024). Treatment decisions must balance oncologic efficacy against treatment-related morbidity and long-term functional outcomes.</w:t>
      </w:r>
    </w:p>
    <w:p w14:paraId="65EA2310" w14:textId="77777777" w:rsidR="00A108C9" w:rsidRPr="00632BFC" w:rsidRDefault="00A108C9" w:rsidP="00632BFC">
      <w:pPr>
        <w:pStyle w:val="PlainText"/>
        <w:jc w:val="both"/>
        <w:rPr>
          <w:rFonts w:ascii="Arial" w:hAnsi="Arial" w:cs="Arial"/>
          <w:sz w:val="20"/>
          <w:szCs w:val="20"/>
        </w:rPr>
      </w:pPr>
    </w:p>
    <w:p w14:paraId="6250197E" w14:textId="6B371730"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Hospital-based cancer registries provide essential epidemiological data that inform cancer prevention, screening, and treatment strategies at regional and national levels (</w:t>
      </w:r>
      <w:proofErr w:type="spellStart"/>
      <w:r w:rsidRPr="00632BFC">
        <w:rPr>
          <w:rFonts w:ascii="Arial" w:hAnsi="Arial" w:cs="Arial"/>
          <w:sz w:val="20"/>
          <w:szCs w:val="20"/>
        </w:rPr>
        <w:t>Gondhowiardjo</w:t>
      </w:r>
      <w:proofErr w:type="spellEnd"/>
      <w:r w:rsidRPr="00632BFC">
        <w:rPr>
          <w:rFonts w:ascii="Arial" w:hAnsi="Arial" w:cs="Arial"/>
          <w:sz w:val="20"/>
          <w:szCs w:val="20"/>
        </w:rPr>
        <w:t xml:space="preserve"> et al., 2021). North-East India, encompassing states such as Assam, Meghalaya, Manipur, Mizoram, Nagaland, Sikkim, Tripura, and Arunachal Pradesh, demonstrates distinctive cancer epidemiology characterized by high incidence of upper aerodigestive tract malign</w:t>
      </w:r>
      <w:r w:rsidR="001F41FF">
        <w:rPr>
          <w:rFonts w:ascii="Arial" w:hAnsi="Arial" w:cs="Arial"/>
          <w:sz w:val="20"/>
          <w:szCs w:val="20"/>
        </w:rPr>
        <w:t xml:space="preserve">ancies </w:t>
      </w:r>
      <w:r w:rsidR="001F41FF" w:rsidRPr="001F41FF">
        <w:rPr>
          <w:rFonts w:ascii="Arial" w:hAnsi="Arial" w:cs="Arial"/>
          <w:sz w:val="20"/>
          <w:szCs w:val="20"/>
        </w:rPr>
        <w:t>(National Centre for Disease Informatics and Research, 2024)</w:t>
      </w:r>
      <w:r w:rsidRPr="00632BFC">
        <w:rPr>
          <w:rFonts w:ascii="Arial" w:hAnsi="Arial" w:cs="Arial"/>
          <w:sz w:val="20"/>
          <w:szCs w:val="20"/>
        </w:rPr>
        <w:t>. However, comprehensive hospital-based descriptive studies characterizing the epidemiological trends, clinical characteristics, and treatment patterns of esophageal cancer in this region remain limited.</w:t>
      </w:r>
    </w:p>
    <w:p w14:paraId="35EEDA34" w14:textId="77777777" w:rsidR="00A108C9" w:rsidRPr="00632BFC" w:rsidRDefault="00A108C9" w:rsidP="00632BFC">
      <w:pPr>
        <w:pStyle w:val="PlainText"/>
        <w:jc w:val="both"/>
        <w:rPr>
          <w:rFonts w:ascii="Arial" w:hAnsi="Arial" w:cs="Arial"/>
          <w:sz w:val="20"/>
          <w:szCs w:val="20"/>
        </w:rPr>
      </w:pPr>
    </w:p>
    <w:p w14:paraId="2735D82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present study aims to comprehensively characterize the epidemiological trends, clinical presentation, staging, histopathology, and treatment patterns of esophageal cancer patients presenting to a tertiary care oncology center in North-East India. This hospital-based descriptive analysis will provide contemporary epidemiological data to inform region-specific prevention and treatment strategies, identify gaps in care delivery, and contribute to the growing body of literature on esophageal cancer in high-incidence populations.</w:t>
      </w:r>
    </w:p>
    <w:p w14:paraId="57B23326" w14:textId="77777777" w:rsidR="00A108C9" w:rsidRPr="00632BFC" w:rsidRDefault="00A108C9" w:rsidP="00632BFC">
      <w:pPr>
        <w:pStyle w:val="PlainText"/>
        <w:jc w:val="both"/>
        <w:rPr>
          <w:rFonts w:ascii="Arial" w:hAnsi="Arial" w:cs="Arial"/>
          <w:sz w:val="20"/>
          <w:szCs w:val="20"/>
        </w:rPr>
      </w:pPr>
    </w:p>
    <w:p w14:paraId="6A61109E" w14:textId="77777777" w:rsidR="00566359" w:rsidRDefault="00566359" w:rsidP="00632BFC">
      <w:pPr>
        <w:pStyle w:val="PlainText"/>
        <w:jc w:val="both"/>
        <w:rPr>
          <w:rFonts w:ascii="Arial" w:hAnsi="Arial" w:cs="Arial"/>
          <w:sz w:val="20"/>
          <w:szCs w:val="20"/>
        </w:rPr>
      </w:pPr>
    </w:p>
    <w:p w14:paraId="28C7791B" w14:textId="77777777" w:rsidR="00A108C9" w:rsidRPr="0056784A" w:rsidRDefault="00A108C9" w:rsidP="0056784A">
      <w:pPr>
        <w:pStyle w:val="PlainText"/>
        <w:rPr>
          <w:rFonts w:ascii="Arial" w:hAnsi="Arial" w:cs="Arial"/>
          <w:b/>
          <w:sz w:val="22"/>
          <w:szCs w:val="22"/>
        </w:rPr>
      </w:pPr>
      <w:r w:rsidRPr="0056784A">
        <w:rPr>
          <w:rFonts w:ascii="Arial" w:hAnsi="Arial" w:cs="Arial"/>
          <w:b/>
          <w:sz w:val="22"/>
          <w:szCs w:val="22"/>
        </w:rPr>
        <w:t>2. MATERIAL AND METHODS</w:t>
      </w:r>
    </w:p>
    <w:p w14:paraId="077DD661" w14:textId="77777777" w:rsidR="0056784A" w:rsidRDefault="0056784A" w:rsidP="00632BFC">
      <w:pPr>
        <w:pStyle w:val="PlainText"/>
        <w:jc w:val="both"/>
        <w:rPr>
          <w:rFonts w:ascii="Arial" w:hAnsi="Arial" w:cs="Arial"/>
          <w:sz w:val="20"/>
          <w:szCs w:val="20"/>
        </w:rPr>
      </w:pPr>
    </w:p>
    <w:p w14:paraId="01960B5A" w14:textId="77777777" w:rsidR="00A108C9" w:rsidRPr="00205FEB" w:rsidRDefault="00A108C9" w:rsidP="0056784A">
      <w:pPr>
        <w:pStyle w:val="PlainText"/>
        <w:rPr>
          <w:rFonts w:ascii="Arial" w:hAnsi="Arial" w:cs="Arial"/>
          <w:b/>
          <w:sz w:val="22"/>
          <w:szCs w:val="22"/>
        </w:rPr>
      </w:pPr>
      <w:r w:rsidRPr="00205FEB">
        <w:rPr>
          <w:rFonts w:ascii="Arial" w:hAnsi="Arial" w:cs="Arial"/>
          <w:b/>
          <w:sz w:val="22"/>
          <w:szCs w:val="22"/>
        </w:rPr>
        <w:t>2.1 Study Design and Setting</w:t>
      </w:r>
    </w:p>
    <w:p w14:paraId="743E3370" w14:textId="77777777" w:rsidR="00A108C9" w:rsidRPr="00632BFC" w:rsidRDefault="00A108C9" w:rsidP="00632BFC">
      <w:pPr>
        <w:pStyle w:val="PlainText"/>
        <w:jc w:val="both"/>
        <w:rPr>
          <w:rFonts w:ascii="Arial" w:hAnsi="Arial" w:cs="Arial"/>
          <w:sz w:val="20"/>
          <w:szCs w:val="20"/>
        </w:rPr>
      </w:pPr>
    </w:p>
    <w:p w14:paraId="1148554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This was a hospital-based descriptive epidemiological study conducted at the State Cancer Institute, </w:t>
      </w:r>
      <w:proofErr w:type="spellStart"/>
      <w:r w:rsidRPr="00632BFC">
        <w:rPr>
          <w:rFonts w:ascii="Arial" w:hAnsi="Arial" w:cs="Arial"/>
          <w:sz w:val="20"/>
          <w:szCs w:val="20"/>
        </w:rPr>
        <w:t>Gauhati</w:t>
      </w:r>
      <w:proofErr w:type="spellEnd"/>
      <w:r w:rsidRPr="00632BFC">
        <w:rPr>
          <w:rFonts w:ascii="Arial" w:hAnsi="Arial" w:cs="Arial"/>
          <w:sz w:val="20"/>
          <w:szCs w:val="20"/>
        </w:rPr>
        <w:t xml:space="preserve"> Medical College, Assam, North-East India. The institution is a tertiary care cancer center serving a large catchment population across the North-East region and functions as a regional referral center for cancer management. The institution serves as a major referral center for cancer patients from the North-East states and is equipped with comprehensive diagnostic and therapeutic facilities including endoscopy, endoscopic ultrasound (EUS), computed tomography (CT), positron emission tomography-CT (PET-CT), radiotherapy, and chemotherapy infrastructure.</w:t>
      </w:r>
    </w:p>
    <w:p w14:paraId="1EFCB1CE" w14:textId="77777777" w:rsidR="00A108C9" w:rsidRPr="00632BFC" w:rsidRDefault="00A108C9" w:rsidP="00632BFC">
      <w:pPr>
        <w:pStyle w:val="PlainText"/>
        <w:jc w:val="both"/>
        <w:rPr>
          <w:rFonts w:ascii="Arial" w:hAnsi="Arial" w:cs="Arial"/>
          <w:sz w:val="20"/>
          <w:szCs w:val="20"/>
        </w:rPr>
      </w:pPr>
    </w:p>
    <w:p w14:paraId="5F3DEEF8" w14:textId="77777777" w:rsidR="00A108C9" w:rsidRPr="00205FEB" w:rsidRDefault="00A108C9" w:rsidP="0056784A">
      <w:pPr>
        <w:pStyle w:val="PlainText"/>
        <w:rPr>
          <w:rFonts w:ascii="Arial" w:hAnsi="Arial" w:cs="Arial"/>
          <w:b/>
          <w:sz w:val="22"/>
          <w:szCs w:val="22"/>
        </w:rPr>
      </w:pPr>
      <w:r w:rsidRPr="00205FEB">
        <w:rPr>
          <w:rFonts w:ascii="Arial" w:hAnsi="Arial" w:cs="Arial"/>
          <w:b/>
          <w:sz w:val="22"/>
          <w:szCs w:val="22"/>
        </w:rPr>
        <w:t>2.2 Data Source and Study Population</w:t>
      </w:r>
    </w:p>
    <w:p w14:paraId="660596B4" w14:textId="77777777" w:rsidR="00A108C9" w:rsidRPr="00632BFC" w:rsidRDefault="00A108C9" w:rsidP="00632BFC">
      <w:pPr>
        <w:pStyle w:val="PlainText"/>
        <w:jc w:val="both"/>
        <w:rPr>
          <w:rFonts w:ascii="Arial" w:hAnsi="Arial" w:cs="Arial"/>
          <w:sz w:val="20"/>
          <w:szCs w:val="20"/>
        </w:rPr>
      </w:pPr>
    </w:p>
    <w:p w14:paraId="7F7365D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Data w</w:t>
      </w:r>
      <w:r w:rsidR="00284600">
        <w:rPr>
          <w:rFonts w:ascii="Arial" w:hAnsi="Arial" w:cs="Arial"/>
          <w:sz w:val="20"/>
          <w:szCs w:val="20"/>
        </w:rPr>
        <w:t xml:space="preserve">ere extracted from the hospital </w:t>
      </w:r>
      <w:r w:rsidRPr="00632BFC">
        <w:rPr>
          <w:rFonts w:ascii="Arial" w:hAnsi="Arial" w:cs="Arial"/>
          <w:sz w:val="20"/>
          <w:szCs w:val="20"/>
        </w:rPr>
        <w:t>based cancer registry</w:t>
      </w:r>
      <w:r w:rsidR="00284600">
        <w:rPr>
          <w:rFonts w:ascii="Arial" w:hAnsi="Arial" w:cs="Arial"/>
          <w:sz w:val="20"/>
          <w:szCs w:val="20"/>
        </w:rPr>
        <w:t xml:space="preserve"> (HBCR)</w:t>
      </w:r>
      <w:r w:rsidRPr="00632BFC">
        <w:rPr>
          <w:rFonts w:ascii="Arial" w:hAnsi="Arial" w:cs="Arial"/>
          <w:sz w:val="20"/>
          <w:szCs w:val="20"/>
        </w:rPr>
        <w:t xml:space="preserve"> maintained at the State Cancer Institute for the period spanning January 1, 2018, to December 31, 2022 (five-year period). The cancer registry systematically documents demographic characteristics, clinical features, diagnostic findings, and treatment details for all newly diagnosed and referred cancer patients.</w:t>
      </w:r>
    </w:p>
    <w:p w14:paraId="0916928B" w14:textId="77777777" w:rsidR="00A108C9" w:rsidRPr="00632BFC" w:rsidRDefault="00A108C9" w:rsidP="00632BFC">
      <w:pPr>
        <w:pStyle w:val="PlainText"/>
        <w:jc w:val="both"/>
        <w:rPr>
          <w:rFonts w:ascii="Arial" w:hAnsi="Arial" w:cs="Arial"/>
          <w:sz w:val="20"/>
          <w:szCs w:val="20"/>
        </w:rPr>
      </w:pPr>
    </w:p>
    <w:p w14:paraId="4200A33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study population comprised all patients with </w:t>
      </w:r>
      <w:proofErr w:type="spellStart"/>
      <w:r w:rsidRPr="00632BFC">
        <w:rPr>
          <w:rFonts w:ascii="Arial" w:hAnsi="Arial" w:cs="Arial"/>
          <w:sz w:val="20"/>
          <w:szCs w:val="20"/>
        </w:rPr>
        <w:t>histopathologically</w:t>
      </w:r>
      <w:proofErr w:type="spellEnd"/>
      <w:r w:rsidRPr="00632BFC">
        <w:rPr>
          <w:rFonts w:ascii="Arial" w:hAnsi="Arial" w:cs="Arial"/>
          <w:sz w:val="20"/>
          <w:szCs w:val="20"/>
        </w:rPr>
        <w:t xml:space="preserve"> or cytologically confirmed diagnoses of esophageal cancer registered during the study period. Patients with incomplete demographic or clinical information were retained in the descriptive analysis but excluded from analyses requiring specific data elements. The study also included data on all cancer patients registered during the same period to enable comparative analysis of esophageal cancer's relative burden.</w:t>
      </w:r>
    </w:p>
    <w:p w14:paraId="2D81F163" w14:textId="77777777" w:rsidR="00A108C9" w:rsidRPr="00632BFC" w:rsidRDefault="00A108C9" w:rsidP="00632BFC">
      <w:pPr>
        <w:pStyle w:val="PlainText"/>
        <w:jc w:val="both"/>
        <w:rPr>
          <w:rFonts w:ascii="Arial" w:hAnsi="Arial" w:cs="Arial"/>
          <w:sz w:val="20"/>
          <w:szCs w:val="20"/>
        </w:rPr>
      </w:pPr>
    </w:p>
    <w:p w14:paraId="6D16213A" w14:textId="77777777" w:rsidR="00A108C9" w:rsidRPr="00205FEB" w:rsidRDefault="00A108C9" w:rsidP="00632BFC">
      <w:pPr>
        <w:pStyle w:val="PlainText"/>
        <w:jc w:val="both"/>
        <w:rPr>
          <w:rFonts w:ascii="Arial" w:hAnsi="Arial" w:cs="Arial"/>
          <w:b/>
          <w:sz w:val="22"/>
          <w:szCs w:val="22"/>
        </w:rPr>
      </w:pPr>
      <w:r w:rsidRPr="00205FEB">
        <w:rPr>
          <w:rFonts w:ascii="Arial" w:hAnsi="Arial" w:cs="Arial"/>
          <w:b/>
          <w:sz w:val="22"/>
          <w:szCs w:val="22"/>
        </w:rPr>
        <w:t>2.3 Data Variables and Measurement</w:t>
      </w:r>
    </w:p>
    <w:p w14:paraId="0505AC1B" w14:textId="77777777" w:rsidR="00A108C9" w:rsidRPr="00632BFC" w:rsidRDefault="00A108C9" w:rsidP="00632BFC">
      <w:pPr>
        <w:pStyle w:val="PlainText"/>
        <w:jc w:val="both"/>
        <w:rPr>
          <w:rFonts w:ascii="Arial" w:hAnsi="Arial" w:cs="Arial"/>
          <w:sz w:val="20"/>
          <w:szCs w:val="20"/>
        </w:rPr>
      </w:pPr>
    </w:p>
    <w:p w14:paraId="45A82900"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Demographic and clinical data were systematically extracted from patient medical records and institutional cancer registry databases. The following variables were collected: age at diagnosis, gender, place of residence (rural/urban), ethnicity, occupational history, tobacco use patterns (smoking, pan-betel chewing), alcohol consumption, presenting symptoms, age at first symptom onset, and duration of symptoms prior to diagnosis.</w:t>
      </w:r>
    </w:p>
    <w:p w14:paraId="5F39D0BF" w14:textId="77777777" w:rsidR="00A108C9" w:rsidRPr="00632BFC" w:rsidRDefault="00A108C9" w:rsidP="00632BFC">
      <w:pPr>
        <w:pStyle w:val="PlainText"/>
        <w:jc w:val="both"/>
        <w:rPr>
          <w:rFonts w:ascii="Arial" w:hAnsi="Arial" w:cs="Arial"/>
          <w:sz w:val="20"/>
          <w:szCs w:val="20"/>
        </w:rPr>
      </w:pPr>
    </w:p>
    <w:p w14:paraId="480A10DE" w14:textId="77777777" w:rsidR="001448D7" w:rsidRDefault="00205FEB" w:rsidP="00632BFC">
      <w:pPr>
        <w:pStyle w:val="PlainText"/>
        <w:jc w:val="both"/>
        <w:rPr>
          <w:rFonts w:ascii="Arial" w:hAnsi="Arial" w:cs="Arial"/>
          <w:sz w:val="20"/>
          <w:szCs w:val="20"/>
        </w:rPr>
      </w:pPr>
      <w:r w:rsidRPr="00205FEB">
        <w:rPr>
          <w:rFonts w:ascii="Arial" w:hAnsi="Arial" w:cs="Arial"/>
          <w:b/>
          <w:sz w:val="20"/>
          <w:szCs w:val="20"/>
          <w:u w:val="single"/>
        </w:rPr>
        <w:t>2.3.1 Clinical Variables</w:t>
      </w:r>
      <w:r>
        <w:rPr>
          <w:rFonts w:ascii="Arial" w:hAnsi="Arial" w:cs="Arial"/>
          <w:sz w:val="20"/>
          <w:szCs w:val="20"/>
        </w:rPr>
        <w:t xml:space="preserve"> </w:t>
      </w:r>
    </w:p>
    <w:p w14:paraId="4535FA8D" w14:textId="77777777" w:rsidR="001448D7" w:rsidRDefault="001448D7" w:rsidP="00632BFC">
      <w:pPr>
        <w:pStyle w:val="PlainText"/>
        <w:jc w:val="both"/>
        <w:rPr>
          <w:rFonts w:ascii="Arial" w:hAnsi="Arial" w:cs="Arial"/>
          <w:sz w:val="20"/>
          <w:szCs w:val="20"/>
        </w:rPr>
      </w:pPr>
    </w:p>
    <w:p w14:paraId="42D9CE43" w14:textId="77777777" w:rsidR="00A108C9" w:rsidRDefault="00A108C9" w:rsidP="00632BFC">
      <w:pPr>
        <w:pStyle w:val="PlainText"/>
        <w:jc w:val="both"/>
        <w:rPr>
          <w:rFonts w:ascii="Arial" w:hAnsi="Arial" w:cs="Arial"/>
          <w:sz w:val="20"/>
          <w:szCs w:val="20"/>
        </w:rPr>
      </w:pPr>
      <w:r w:rsidRPr="00632BFC">
        <w:rPr>
          <w:rFonts w:ascii="Arial" w:hAnsi="Arial" w:cs="Arial"/>
          <w:sz w:val="20"/>
          <w:szCs w:val="20"/>
        </w:rPr>
        <w:t>Histological type when available, anatomical location within the esophagus, and clinical extent of disease categorized using standardized TNM (Tumor-Node-Metastasis) staging according to the American Joint Committee on Cancer (AJCC) 8th edition. Clinical extent was categorized as: localized disease (confined to the organ of origin), regional disease (involvement of regional lymph nodes or direct extension), and distant disease (presence of distant metastases). This included imaging modality findings and endoscopic features.</w:t>
      </w:r>
    </w:p>
    <w:p w14:paraId="38CAAE6A" w14:textId="77777777" w:rsidR="004320A7" w:rsidRPr="00632BFC" w:rsidRDefault="004320A7" w:rsidP="00632BFC">
      <w:pPr>
        <w:pStyle w:val="PlainText"/>
        <w:jc w:val="both"/>
        <w:rPr>
          <w:rFonts w:ascii="Arial" w:hAnsi="Arial" w:cs="Arial"/>
          <w:sz w:val="20"/>
          <w:szCs w:val="20"/>
        </w:rPr>
      </w:pPr>
    </w:p>
    <w:p w14:paraId="5291FCB0" w14:textId="77777777" w:rsidR="00A108C9" w:rsidRPr="00632BFC" w:rsidRDefault="00A108C9" w:rsidP="00632BFC">
      <w:pPr>
        <w:pStyle w:val="PlainText"/>
        <w:jc w:val="both"/>
        <w:rPr>
          <w:rFonts w:ascii="Arial" w:hAnsi="Arial" w:cs="Arial"/>
          <w:sz w:val="20"/>
          <w:szCs w:val="20"/>
        </w:rPr>
      </w:pPr>
    </w:p>
    <w:p w14:paraId="4597C028" w14:textId="77777777" w:rsidR="001448D7" w:rsidRDefault="001448D7" w:rsidP="001448D7">
      <w:pPr>
        <w:pStyle w:val="PlainText"/>
        <w:rPr>
          <w:rFonts w:ascii="Arial" w:hAnsi="Arial" w:cs="Arial"/>
          <w:sz w:val="20"/>
          <w:szCs w:val="20"/>
        </w:rPr>
      </w:pPr>
      <w:r>
        <w:rPr>
          <w:rFonts w:ascii="Arial" w:hAnsi="Arial" w:cs="Arial"/>
          <w:b/>
          <w:sz w:val="20"/>
          <w:szCs w:val="20"/>
          <w:u w:val="single"/>
        </w:rPr>
        <w:t xml:space="preserve">2.3.2 </w:t>
      </w:r>
      <w:r w:rsidR="00205FEB" w:rsidRPr="00205FEB">
        <w:rPr>
          <w:rFonts w:ascii="Arial" w:hAnsi="Arial" w:cs="Arial"/>
          <w:b/>
          <w:sz w:val="20"/>
          <w:szCs w:val="20"/>
          <w:u w:val="single"/>
        </w:rPr>
        <w:t>Treatment Variables</w:t>
      </w:r>
      <w:r w:rsidR="00205FEB">
        <w:rPr>
          <w:rFonts w:ascii="Arial" w:hAnsi="Arial" w:cs="Arial"/>
          <w:sz w:val="20"/>
          <w:szCs w:val="20"/>
        </w:rPr>
        <w:t xml:space="preserve"> </w:t>
      </w:r>
    </w:p>
    <w:p w14:paraId="69B39EA9" w14:textId="77777777" w:rsidR="001448D7" w:rsidRDefault="001448D7" w:rsidP="001448D7">
      <w:pPr>
        <w:pStyle w:val="PlainText"/>
        <w:rPr>
          <w:rFonts w:ascii="Arial" w:hAnsi="Arial" w:cs="Arial"/>
          <w:sz w:val="20"/>
          <w:szCs w:val="20"/>
        </w:rPr>
      </w:pPr>
    </w:p>
    <w:p w14:paraId="2ADABB52" w14:textId="77777777" w:rsidR="00A108C9" w:rsidRPr="00632BFC" w:rsidRDefault="00A108C9" w:rsidP="001448D7">
      <w:pPr>
        <w:pStyle w:val="PlainText"/>
        <w:jc w:val="both"/>
        <w:rPr>
          <w:rFonts w:ascii="Arial" w:hAnsi="Arial" w:cs="Arial"/>
          <w:sz w:val="20"/>
          <w:szCs w:val="20"/>
        </w:rPr>
      </w:pPr>
      <w:r w:rsidRPr="00632BFC">
        <w:rPr>
          <w:rFonts w:ascii="Arial" w:hAnsi="Arial" w:cs="Arial"/>
          <w:sz w:val="20"/>
          <w:szCs w:val="20"/>
        </w:rPr>
        <w:t>Type and modality of treatment received (surgery, radiotherapy, chemotherapy, combined modalities), chemotherapy regimens and duration, radiation dose and fractionation, surgical approach and extent of resection, treatment outcomes, and treatment-related complications. Treatment was classified as: (1) single-modality (receipt of one treatment modality only), or (2) combination therapy (receipt of two or more treatment modalities). Patient outcomes including response to treatment and survival status at last follow-up were documented.</w:t>
      </w:r>
    </w:p>
    <w:p w14:paraId="2A5426A6" w14:textId="4C29A178" w:rsidR="00F86877" w:rsidRDefault="00F86877" w:rsidP="00632BFC">
      <w:pPr>
        <w:pStyle w:val="PlainText"/>
        <w:jc w:val="both"/>
        <w:rPr>
          <w:rFonts w:ascii="Arial" w:hAnsi="Arial" w:cs="Arial"/>
          <w:sz w:val="20"/>
          <w:szCs w:val="20"/>
        </w:rPr>
      </w:pPr>
    </w:p>
    <w:p w14:paraId="795B7B7A" w14:textId="77777777" w:rsidR="00F86877" w:rsidRDefault="00F86877" w:rsidP="00632BFC">
      <w:pPr>
        <w:pStyle w:val="PlainText"/>
        <w:jc w:val="both"/>
        <w:rPr>
          <w:rFonts w:ascii="Arial" w:hAnsi="Arial" w:cs="Arial"/>
          <w:sz w:val="20"/>
          <w:szCs w:val="20"/>
        </w:rPr>
      </w:pPr>
    </w:p>
    <w:p w14:paraId="459CFAF8" w14:textId="77777777" w:rsidR="00A108C9" w:rsidRPr="00205FEB" w:rsidRDefault="00A108C9" w:rsidP="00205FEB">
      <w:pPr>
        <w:pStyle w:val="PlainText"/>
        <w:rPr>
          <w:rFonts w:ascii="Arial" w:hAnsi="Arial" w:cs="Arial"/>
          <w:b/>
          <w:sz w:val="22"/>
          <w:szCs w:val="22"/>
        </w:rPr>
      </w:pPr>
      <w:r w:rsidRPr="00205FEB">
        <w:rPr>
          <w:rFonts w:ascii="Arial" w:hAnsi="Arial" w:cs="Arial"/>
          <w:b/>
          <w:sz w:val="22"/>
          <w:szCs w:val="22"/>
        </w:rPr>
        <w:t>2.4 Classification and Categorization</w:t>
      </w:r>
    </w:p>
    <w:p w14:paraId="3254DB7B" w14:textId="77777777" w:rsidR="00A108C9" w:rsidRPr="00632BFC" w:rsidRDefault="00A108C9" w:rsidP="00632BFC">
      <w:pPr>
        <w:pStyle w:val="PlainText"/>
        <w:jc w:val="both"/>
        <w:rPr>
          <w:rFonts w:ascii="Arial" w:hAnsi="Arial" w:cs="Arial"/>
          <w:sz w:val="20"/>
          <w:szCs w:val="20"/>
        </w:rPr>
      </w:pPr>
    </w:p>
    <w:p w14:paraId="7C74B9EC" w14:textId="77777777" w:rsidR="001448D7" w:rsidRDefault="001448D7" w:rsidP="00632BFC">
      <w:pPr>
        <w:pStyle w:val="PlainText"/>
        <w:jc w:val="both"/>
        <w:rPr>
          <w:rFonts w:ascii="Arial" w:hAnsi="Arial" w:cs="Arial"/>
          <w:sz w:val="20"/>
          <w:szCs w:val="20"/>
        </w:rPr>
      </w:pPr>
      <w:r w:rsidRPr="001448D7">
        <w:rPr>
          <w:rFonts w:ascii="Arial" w:hAnsi="Arial" w:cs="Arial"/>
          <w:b/>
          <w:sz w:val="20"/>
          <w:szCs w:val="20"/>
          <w:u w:val="single"/>
        </w:rPr>
        <w:t>2.4.1 Cancer Site Classification</w:t>
      </w:r>
      <w:r>
        <w:rPr>
          <w:rFonts w:ascii="Arial" w:hAnsi="Arial" w:cs="Arial"/>
          <w:sz w:val="20"/>
          <w:szCs w:val="20"/>
        </w:rPr>
        <w:t xml:space="preserve"> </w:t>
      </w:r>
    </w:p>
    <w:p w14:paraId="250D9470" w14:textId="77777777" w:rsidR="001448D7" w:rsidRDefault="001448D7" w:rsidP="00632BFC">
      <w:pPr>
        <w:pStyle w:val="PlainText"/>
        <w:jc w:val="both"/>
        <w:rPr>
          <w:rFonts w:ascii="Arial" w:hAnsi="Arial" w:cs="Arial"/>
          <w:sz w:val="20"/>
          <w:szCs w:val="20"/>
        </w:rPr>
      </w:pPr>
    </w:p>
    <w:p w14:paraId="1504505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Esophageal cancer cases were identified and extracted from the comprehensive cancer registry. The relative burden of esophageal cancer was assessed by comparing it to other leading cancer sites, with results stratified by gender.</w:t>
      </w:r>
    </w:p>
    <w:p w14:paraId="618B40FE" w14:textId="77777777" w:rsidR="00A108C9" w:rsidRPr="00632BFC" w:rsidRDefault="00A108C9" w:rsidP="00632BFC">
      <w:pPr>
        <w:pStyle w:val="PlainText"/>
        <w:jc w:val="both"/>
        <w:rPr>
          <w:rFonts w:ascii="Arial" w:hAnsi="Arial" w:cs="Arial"/>
          <w:sz w:val="20"/>
          <w:szCs w:val="20"/>
        </w:rPr>
      </w:pPr>
    </w:p>
    <w:p w14:paraId="3649483C" w14:textId="77777777" w:rsidR="001448D7" w:rsidRPr="001448D7" w:rsidRDefault="001448D7" w:rsidP="00632BFC">
      <w:pPr>
        <w:pStyle w:val="PlainText"/>
        <w:jc w:val="both"/>
        <w:rPr>
          <w:rFonts w:ascii="Arial" w:hAnsi="Arial" w:cs="Arial"/>
          <w:b/>
          <w:sz w:val="20"/>
          <w:szCs w:val="20"/>
        </w:rPr>
      </w:pPr>
      <w:r w:rsidRPr="001448D7">
        <w:rPr>
          <w:rFonts w:ascii="Arial" w:hAnsi="Arial" w:cs="Arial"/>
          <w:b/>
          <w:sz w:val="20"/>
          <w:szCs w:val="20"/>
          <w:u w:val="single"/>
        </w:rPr>
        <w:t xml:space="preserve">2.4.2 </w:t>
      </w:r>
      <w:r w:rsidR="00A108C9" w:rsidRPr="001448D7">
        <w:rPr>
          <w:rFonts w:ascii="Arial" w:hAnsi="Arial" w:cs="Arial"/>
          <w:b/>
          <w:sz w:val="20"/>
          <w:szCs w:val="20"/>
          <w:u w:val="single"/>
        </w:rPr>
        <w:t>T</w:t>
      </w:r>
      <w:r w:rsidRPr="001448D7">
        <w:rPr>
          <w:rFonts w:ascii="Arial" w:hAnsi="Arial" w:cs="Arial"/>
          <w:b/>
          <w:sz w:val="20"/>
          <w:szCs w:val="20"/>
          <w:u w:val="single"/>
        </w:rPr>
        <w:t>obacco-Related Cancers (TRC)</w:t>
      </w:r>
    </w:p>
    <w:p w14:paraId="3464F838" w14:textId="77777777" w:rsidR="001448D7" w:rsidRDefault="001448D7" w:rsidP="00632BFC">
      <w:pPr>
        <w:pStyle w:val="PlainText"/>
        <w:jc w:val="both"/>
        <w:rPr>
          <w:rFonts w:ascii="Arial" w:hAnsi="Arial" w:cs="Arial"/>
          <w:sz w:val="20"/>
          <w:szCs w:val="20"/>
        </w:rPr>
      </w:pPr>
    </w:p>
    <w:p w14:paraId="20934EB1" w14:textId="00214B54"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Cancers attributable to tobacco use were identified based on established etiological associations. Sites classified as tobacco-related included: lip, tongue, oral cavity (mouth), oropharynx, hypopharynx, pharynx, larynx, esophagus, lung and bronchus, and urinary bladder (International Ag</w:t>
      </w:r>
      <w:r w:rsidR="006E1CDF">
        <w:rPr>
          <w:rFonts w:ascii="Arial" w:hAnsi="Arial" w:cs="Arial"/>
          <w:sz w:val="20"/>
          <w:szCs w:val="20"/>
        </w:rPr>
        <w:t>ency for Research on Cancer, 200</w:t>
      </w:r>
      <w:r w:rsidRPr="00632BFC">
        <w:rPr>
          <w:rFonts w:ascii="Arial" w:hAnsi="Arial" w:cs="Arial"/>
          <w:sz w:val="20"/>
          <w:szCs w:val="20"/>
        </w:rPr>
        <w:t>8).</w:t>
      </w:r>
    </w:p>
    <w:p w14:paraId="4E3EA7AE" w14:textId="77777777" w:rsidR="00A108C9" w:rsidRPr="00632BFC" w:rsidRDefault="00A108C9" w:rsidP="00632BFC">
      <w:pPr>
        <w:pStyle w:val="PlainText"/>
        <w:jc w:val="both"/>
        <w:rPr>
          <w:rFonts w:ascii="Arial" w:hAnsi="Arial" w:cs="Arial"/>
          <w:sz w:val="20"/>
          <w:szCs w:val="20"/>
        </w:rPr>
      </w:pPr>
    </w:p>
    <w:p w14:paraId="54B38DB5" w14:textId="77777777" w:rsidR="001448D7" w:rsidRPr="001448D7" w:rsidRDefault="001448D7" w:rsidP="00632BFC">
      <w:pPr>
        <w:pStyle w:val="PlainText"/>
        <w:jc w:val="both"/>
        <w:rPr>
          <w:rFonts w:ascii="Arial" w:hAnsi="Arial" w:cs="Arial"/>
          <w:b/>
          <w:sz w:val="20"/>
          <w:szCs w:val="20"/>
          <w:u w:val="single"/>
        </w:rPr>
      </w:pPr>
      <w:r w:rsidRPr="001448D7">
        <w:rPr>
          <w:rFonts w:ascii="Arial" w:hAnsi="Arial" w:cs="Arial"/>
          <w:b/>
          <w:sz w:val="20"/>
          <w:szCs w:val="20"/>
          <w:u w:val="single"/>
        </w:rPr>
        <w:t>2.4.3 Treatment Classification</w:t>
      </w:r>
    </w:p>
    <w:p w14:paraId="07504E3F" w14:textId="77777777" w:rsidR="001448D7" w:rsidRDefault="001448D7" w:rsidP="00632BFC">
      <w:pPr>
        <w:pStyle w:val="PlainText"/>
        <w:jc w:val="both"/>
        <w:rPr>
          <w:rFonts w:ascii="Arial" w:hAnsi="Arial" w:cs="Arial"/>
          <w:sz w:val="20"/>
          <w:szCs w:val="20"/>
        </w:rPr>
      </w:pPr>
    </w:p>
    <w:p w14:paraId="2ED6732C"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All treatment procedures were coded according to specific modalities. Combined regimens were categorized based on constituent components (e.g., R+C for radiotherapy plus chemotherapy, S+R for surgery plus radiotherapy).</w:t>
      </w:r>
    </w:p>
    <w:p w14:paraId="740D1FDF" w14:textId="77777777" w:rsidR="00A108C9" w:rsidRPr="00632BFC" w:rsidRDefault="00A108C9" w:rsidP="00632BFC">
      <w:pPr>
        <w:pStyle w:val="PlainText"/>
        <w:jc w:val="both"/>
        <w:rPr>
          <w:rFonts w:ascii="Arial" w:hAnsi="Arial" w:cs="Arial"/>
          <w:sz w:val="20"/>
          <w:szCs w:val="20"/>
        </w:rPr>
      </w:pPr>
    </w:p>
    <w:p w14:paraId="368C9364"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2.5 Data Management and Analysis</w:t>
      </w:r>
    </w:p>
    <w:p w14:paraId="49FF3407" w14:textId="77777777" w:rsidR="00A108C9" w:rsidRPr="00632BFC" w:rsidRDefault="00A108C9" w:rsidP="00632BFC">
      <w:pPr>
        <w:pStyle w:val="PlainText"/>
        <w:jc w:val="both"/>
        <w:rPr>
          <w:rFonts w:ascii="Arial" w:hAnsi="Arial" w:cs="Arial"/>
          <w:sz w:val="20"/>
          <w:szCs w:val="20"/>
        </w:rPr>
      </w:pPr>
    </w:p>
    <w:p w14:paraId="5E7BBC12"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Data were organized in structured formats and analyzed using descriptive statistical methods. For categorical variables, frequencies and proportions (percentages) were calculated. Gender-stratified analysis was performed for all key variables to assess gender-based differences. The male-to-female ratio and sex ratio (males per 100 females) were calculated for esophageal cancer cases.</w:t>
      </w:r>
    </w:p>
    <w:p w14:paraId="4BEADBF9" w14:textId="77777777" w:rsidR="00A108C9" w:rsidRPr="00632BFC" w:rsidRDefault="00A108C9" w:rsidP="00632BFC">
      <w:pPr>
        <w:pStyle w:val="PlainText"/>
        <w:jc w:val="both"/>
        <w:rPr>
          <w:rFonts w:ascii="Arial" w:hAnsi="Arial" w:cs="Arial"/>
          <w:sz w:val="20"/>
          <w:szCs w:val="20"/>
        </w:rPr>
      </w:pPr>
    </w:p>
    <w:p w14:paraId="0C05CCB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Procedures per patient ratios were calculated by dividing the total number of treatment procedures by the total number of patients, providing a measure of treatment intensity. Proportional distributions across treatment modalities and disease stages were presented both numerically and graphically.</w:t>
      </w:r>
    </w:p>
    <w:p w14:paraId="558AE8C9" w14:textId="77777777" w:rsidR="00A108C9" w:rsidRPr="00632BFC" w:rsidRDefault="00A108C9" w:rsidP="00632BFC">
      <w:pPr>
        <w:pStyle w:val="PlainText"/>
        <w:jc w:val="both"/>
        <w:rPr>
          <w:rFonts w:ascii="Arial" w:hAnsi="Arial" w:cs="Arial"/>
          <w:sz w:val="20"/>
          <w:szCs w:val="20"/>
        </w:rPr>
      </w:pPr>
    </w:p>
    <w:p w14:paraId="4D11473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Data were analyzed using standard statistical software packages including Microsoft Excel and SPSS (Statistical Package for Social Sciences). Data quality was ensured through double-data entry verification and logical range checks during data entry.</w:t>
      </w:r>
    </w:p>
    <w:p w14:paraId="2AE65E9A" w14:textId="77777777" w:rsidR="00A108C9" w:rsidRPr="00632BFC" w:rsidRDefault="00A108C9" w:rsidP="00632BFC">
      <w:pPr>
        <w:pStyle w:val="PlainText"/>
        <w:jc w:val="both"/>
        <w:rPr>
          <w:rFonts w:ascii="Arial" w:hAnsi="Arial" w:cs="Arial"/>
          <w:sz w:val="20"/>
          <w:szCs w:val="20"/>
        </w:rPr>
      </w:pPr>
    </w:p>
    <w:p w14:paraId="5D72C7B9" w14:textId="77777777" w:rsidR="001448D7" w:rsidRPr="001448D7" w:rsidRDefault="001448D7" w:rsidP="001448D7">
      <w:pPr>
        <w:pStyle w:val="PlainText"/>
        <w:rPr>
          <w:rFonts w:ascii="Arial" w:hAnsi="Arial" w:cs="Arial"/>
          <w:b/>
          <w:sz w:val="22"/>
          <w:szCs w:val="22"/>
        </w:rPr>
      </w:pPr>
    </w:p>
    <w:p w14:paraId="1764EADD"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3. RESULTS</w:t>
      </w:r>
    </w:p>
    <w:p w14:paraId="1592CDEB" w14:textId="77777777" w:rsidR="00A108C9" w:rsidRPr="00632BFC" w:rsidRDefault="00A108C9" w:rsidP="00632BFC">
      <w:pPr>
        <w:pStyle w:val="PlainText"/>
        <w:jc w:val="both"/>
        <w:rPr>
          <w:rFonts w:ascii="Arial" w:hAnsi="Arial" w:cs="Arial"/>
          <w:sz w:val="20"/>
          <w:szCs w:val="20"/>
        </w:rPr>
      </w:pPr>
    </w:p>
    <w:p w14:paraId="3BF27B9A" w14:textId="77777777" w:rsidR="00A108C9" w:rsidRPr="001448D7" w:rsidRDefault="00A108C9" w:rsidP="001448D7">
      <w:pPr>
        <w:pStyle w:val="PlainText"/>
        <w:rPr>
          <w:rFonts w:ascii="Arial" w:hAnsi="Arial" w:cs="Arial"/>
          <w:b/>
          <w:sz w:val="22"/>
          <w:szCs w:val="22"/>
        </w:rPr>
      </w:pPr>
      <w:r w:rsidRPr="001448D7">
        <w:rPr>
          <w:rFonts w:ascii="Arial" w:hAnsi="Arial" w:cs="Arial"/>
          <w:b/>
          <w:sz w:val="22"/>
          <w:szCs w:val="22"/>
        </w:rPr>
        <w:t>3.1 Demographic Characteristics and Gender Distribution</w:t>
      </w:r>
    </w:p>
    <w:p w14:paraId="607C8482" w14:textId="77777777" w:rsidR="00A108C9" w:rsidRPr="00632BFC" w:rsidRDefault="00A108C9" w:rsidP="00632BFC">
      <w:pPr>
        <w:pStyle w:val="PlainText"/>
        <w:jc w:val="both"/>
        <w:rPr>
          <w:rFonts w:ascii="Arial" w:hAnsi="Arial" w:cs="Arial"/>
          <w:sz w:val="20"/>
          <w:szCs w:val="20"/>
        </w:rPr>
      </w:pPr>
    </w:p>
    <w:p w14:paraId="23F4469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During the five-year study period (2018-2022), a total of 1,937 esophageal cancer cases were registered. The gender distribution revealed marked male predominance: males constituted 1,284 cases (66.3%), while females represented 653 cases (33.7%), corresponding to a male-to-female ratio of approximately 2:1 and a sex ratio of 197 (males per 100 females).</w:t>
      </w:r>
    </w:p>
    <w:p w14:paraId="6D45071D" w14:textId="77777777" w:rsidR="00A108C9" w:rsidRPr="00632BFC" w:rsidRDefault="00A108C9" w:rsidP="00632BFC">
      <w:pPr>
        <w:pStyle w:val="PlainText"/>
        <w:jc w:val="both"/>
        <w:rPr>
          <w:rFonts w:ascii="Arial" w:hAnsi="Arial" w:cs="Arial"/>
          <w:sz w:val="20"/>
          <w:szCs w:val="20"/>
        </w:rPr>
      </w:pPr>
    </w:p>
    <w:p w14:paraId="0C2ED1D5" w14:textId="77777777" w:rsidR="00A108C9" w:rsidRPr="00632BFC" w:rsidRDefault="00A108C9" w:rsidP="00632BFC">
      <w:pPr>
        <w:pStyle w:val="PlainText"/>
        <w:jc w:val="both"/>
        <w:rPr>
          <w:rFonts w:ascii="Arial" w:hAnsi="Arial" w:cs="Arial"/>
          <w:sz w:val="20"/>
          <w:szCs w:val="20"/>
        </w:rPr>
      </w:pPr>
    </w:p>
    <w:p w14:paraId="7B349A3D" w14:textId="77777777" w:rsidR="001448D7" w:rsidRPr="00B73E82" w:rsidRDefault="001448D7" w:rsidP="00B73E82">
      <w:pPr>
        <w:pStyle w:val="PlainText"/>
        <w:jc w:val="center"/>
        <w:rPr>
          <w:rFonts w:ascii="Arial" w:hAnsi="Arial" w:cs="Arial"/>
          <w:b/>
          <w:sz w:val="20"/>
          <w:szCs w:val="20"/>
        </w:rPr>
      </w:pPr>
      <w:r w:rsidRPr="00B73E82">
        <w:rPr>
          <w:rFonts w:ascii="Arial" w:hAnsi="Arial" w:cs="Arial"/>
          <w:b/>
          <w:sz w:val="20"/>
          <w:szCs w:val="20"/>
        </w:rPr>
        <w:t xml:space="preserve">Table 1. </w:t>
      </w:r>
      <w:r w:rsidR="00A108C9" w:rsidRPr="00B73E82">
        <w:rPr>
          <w:rFonts w:ascii="Arial" w:hAnsi="Arial" w:cs="Arial"/>
          <w:b/>
          <w:sz w:val="20"/>
          <w:szCs w:val="20"/>
        </w:rPr>
        <w:t>Number (#) and Proportion (%) of Esophageal Cancer Cases According to Sex and Sex Ratio</w:t>
      </w:r>
    </w:p>
    <w:p w14:paraId="2C0E0967" w14:textId="77777777" w:rsidR="001448D7" w:rsidRDefault="001448D7" w:rsidP="00632BFC">
      <w:pPr>
        <w:pStyle w:val="PlainText"/>
        <w:jc w:val="both"/>
        <w:rPr>
          <w:rFonts w:ascii="Arial" w:hAnsi="Arial" w:cs="Arial"/>
          <w:sz w:val="20"/>
          <w:szCs w:val="20"/>
        </w:rPr>
      </w:pPr>
    </w:p>
    <w:tbl>
      <w:tblPr>
        <w:tblW w:w="7195" w:type="dxa"/>
        <w:jc w:val="center"/>
        <w:tblLook w:val="04A0" w:firstRow="1" w:lastRow="0" w:firstColumn="1" w:lastColumn="0" w:noHBand="0" w:noVBand="1"/>
      </w:tblPr>
      <w:tblGrid>
        <w:gridCol w:w="1020"/>
        <w:gridCol w:w="1160"/>
        <w:gridCol w:w="1040"/>
        <w:gridCol w:w="1140"/>
        <w:gridCol w:w="1305"/>
        <w:gridCol w:w="1530"/>
      </w:tblGrid>
      <w:tr w:rsidR="001448D7" w:rsidRPr="00B73E82" w14:paraId="6F2F6D06" w14:textId="77777777" w:rsidTr="00B73E82">
        <w:trPr>
          <w:trHeight w:val="380"/>
          <w:jc w:val="center"/>
        </w:trPr>
        <w:tc>
          <w:tcPr>
            <w:tcW w:w="2180" w:type="dxa"/>
            <w:gridSpan w:val="2"/>
            <w:tcBorders>
              <w:top w:val="single" w:sz="4" w:space="0" w:color="000000"/>
              <w:left w:val="single" w:sz="4" w:space="0" w:color="000000"/>
              <w:bottom w:val="single" w:sz="4" w:space="0" w:color="000000"/>
              <w:right w:val="single" w:sz="4" w:space="0" w:color="000000"/>
            </w:tcBorders>
            <w:vAlign w:val="center"/>
            <w:hideMark/>
          </w:tcPr>
          <w:p w14:paraId="318B75FB"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Males</w:t>
            </w:r>
          </w:p>
        </w:tc>
        <w:tc>
          <w:tcPr>
            <w:tcW w:w="2180" w:type="dxa"/>
            <w:gridSpan w:val="2"/>
            <w:tcBorders>
              <w:top w:val="single" w:sz="4" w:space="0" w:color="000000"/>
              <w:left w:val="nil"/>
              <w:bottom w:val="single" w:sz="4" w:space="0" w:color="000000"/>
              <w:right w:val="single" w:sz="4" w:space="0" w:color="000000"/>
            </w:tcBorders>
            <w:vAlign w:val="center"/>
            <w:hideMark/>
          </w:tcPr>
          <w:p w14:paraId="4E39F58D"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Females</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hideMark/>
          </w:tcPr>
          <w:p w14:paraId="208DF41F"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Sex Ratio</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14:paraId="00DB1132"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Total Cases</w:t>
            </w:r>
          </w:p>
        </w:tc>
      </w:tr>
      <w:tr w:rsidR="001448D7" w:rsidRPr="00B73E82" w14:paraId="064D7DB1" w14:textId="77777777" w:rsidTr="00B73E82">
        <w:trPr>
          <w:trHeight w:val="380"/>
          <w:jc w:val="center"/>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0976726D"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160" w:type="dxa"/>
            <w:tcBorders>
              <w:top w:val="single" w:sz="4" w:space="0" w:color="000000"/>
              <w:left w:val="nil"/>
              <w:bottom w:val="single" w:sz="4" w:space="0" w:color="000000"/>
              <w:right w:val="single" w:sz="4" w:space="0" w:color="000000"/>
            </w:tcBorders>
            <w:vAlign w:val="center"/>
            <w:hideMark/>
          </w:tcPr>
          <w:p w14:paraId="20106630"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040" w:type="dxa"/>
            <w:tcBorders>
              <w:top w:val="single" w:sz="4" w:space="0" w:color="000000"/>
              <w:left w:val="nil"/>
              <w:bottom w:val="single" w:sz="4" w:space="0" w:color="000000"/>
              <w:right w:val="single" w:sz="4" w:space="0" w:color="000000"/>
            </w:tcBorders>
            <w:vAlign w:val="center"/>
            <w:hideMark/>
          </w:tcPr>
          <w:p w14:paraId="302D07D2"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140" w:type="dxa"/>
            <w:tcBorders>
              <w:top w:val="single" w:sz="4" w:space="0" w:color="000000"/>
              <w:left w:val="nil"/>
              <w:bottom w:val="single" w:sz="4" w:space="0" w:color="000000"/>
              <w:right w:val="single" w:sz="4" w:space="0" w:color="000000"/>
            </w:tcBorders>
            <w:vAlign w:val="center"/>
            <w:hideMark/>
          </w:tcPr>
          <w:p w14:paraId="4A91C899" w14:textId="77777777" w:rsidR="001448D7" w:rsidRPr="00B73E82" w:rsidRDefault="001448D7" w:rsidP="00B73E82">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305" w:type="dxa"/>
            <w:vMerge/>
            <w:tcBorders>
              <w:top w:val="single" w:sz="4" w:space="0" w:color="000000"/>
              <w:left w:val="single" w:sz="4" w:space="0" w:color="000000"/>
              <w:bottom w:val="single" w:sz="4" w:space="0" w:color="000000"/>
              <w:right w:val="single" w:sz="4" w:space="0" w:color="000000"/>
            </w:tcBorders>
            <w:vAlign w:val="center"/>
            <w:hideMark/>
          </w:tcPr>
          <w:p w14:paraId="55C97018" w14:textId="77777777" w:rsidR="001448D7" w:rsidRPr="00B73E82" w:rsidRDefault="001448D7" w:rsidP="00B73E82">
            <w:pPr>
              <w:jc w:val="center"/>
              <w:rPr>
                <w:rFonts w:ascii="Arial" w:hAnsi="Arial" w:cs="Arial"/>
                <w:b/>
                <w:bCs/>
                <w:color w:val="000000"/>
                <w:sz w:val="20"/>
                <w:szCs w:val="20"/>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2BDE32BE" w14:textId="77777777" w:rsidR="001448D7" w:rsidRPr="00B73E82" w:rsidRDefault="001448D7" w:rsidP="00B73E82">
            <w:pPr>
              <w:jc w:val="center"/>
              <w:rPr>
                <w:rFonts w:ascii="Arial" w:hAnsi="Arial" w:cs="Arial"/>
                <w:b/>
                <w:bCs/>
                <w:color w:val="000000"/>
                <w:sz w:val="20"/>
                <w:szCs w:val="20"/>
              </w:rPr>
            </w:pPr>
          </w:p>
        </w:tc>
      </w:tr>
      <w:tr w:rsidR="001448D7" w:rsidRPr="00B73E82" w14:paraId="5502EC8F" w14:textId="77777777" w:rsidTr="00B73E82">
        <w:trPr>
          <w:trHeight w:val="283"/>
          <w:jc w:val="center"/>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65DB9A88"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1284</w:t>
            </w:r>
          </w:p>
        </w:tc>
        <w:tc>
          <w:tcPr>
            <w:tcW w:w="1160" w:type="dxa"/>
            <w:tcBorders>
              <w:top w:val="single" w:sz="4" w:space="0" w:color="000000"/>
              <w:left w:val="nil"/>
              <w:bottom w:val="single" w:sz="4" w:space="0" w:color="000000"/>
              <w:right w:val="single" w:sz="4" w:space="0" w:color="000000"/>
            </w:tcBorders>
            <w:vAlign w:val="center"/>
            <w:hideMark/>
          </w:tcPr>
          <w:p w14:paraId="34C44C31"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66.3</w:t>
            </w:r>
          </w:p>
        </w:tc>
        <w:tc>
          <w:tcPr>
            <w:tcW w:w="1040" w:type="dxa"/>
            <w:tcBorders>
              <w:top w:val="single" w:sz="4" w:space="0" w:color="000000"/>
              <w:left w:val="nil"/>
              <w:bottom w:val="single" w:sz="4" w:space="0" w:color="000000"/>
              <w:right w:val="single" w:sz="4" w:space="0" w:color="000000"/>
            </w:tcBorders>
            <w:vAlign w:val="center"/>
            <w:hideMark/>
          </w:tcPr>
          <w:p w14:paraId="69ABC625"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653</w:t>
            </w:r>
          </w:p>
        </w:tc>
        <w:tc>
          <w:tcPr>
            <w:tcW w:w="1140" w:type="dxa"/>
            <w:tcBorders>
              <w:top w:val="single" w:sz="4" w:space="0" w:color="000000"/>
              <w:left w:val="nil"/>
              <w:bottom w:val="single" w:sz="4" w:space="0" w:color="000000"/>
              <w:right w:val="single" w:sz="4" w:space="0" w:color="000000"/>
            </w:tcBorders>
            <w:vAlign w:val="center"/>
            <w:hideMark/>
          </w:tcPr>
          <w:p w14:paraId="7DDD6B2E"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33.7</w:t>
            </w:r>
          </w:p>
        </w:tc>
        <w:tc>
          <w:tcPr>
            <w:tcW w:w="1305" w:type="dxa"/>
            <w:tcBorders>
              <w:top w:val="single" w:sz="4" w:space="0" w:color="000000"/>
              <w:left w:val="nil"/>
              <w:bottom w:val="single" w:sz="4" w:space="0" w:color="000000"/>
              <w:right w:val="single" w:sz="4" w:space="0" w:color="000000"/>
            </w:tcBorders>
            <w:vAlign w:val="center"/>
            <w:hideMark/>
          </w:tcPr>
          <w:p w14:paraId="3265B993"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197</w:t>
            </w:r>
          </w:p>
        </w:tc>
        <w:tc>
          <w:tcPr>
            <w:tcW w:w="1530" w:type="dxa"/>
            <w:tcBorders>
              <w:top w:val="single" w:sz="4" w:space="0" w:color="000000"/>
              <w:left w:val="nil"/>
              <w:bottom w:val="single" w:sz="4" w:space="0" w:color="000000"/>
              <w:right w:val="single" w:sz="4" w:space="0" w:color="000000"/>
            </w:tcBorders>
            <w:vAlign w:val="center"/>
            <w:hideMark/>
          </w:tcPr>
          <w:p w14:paraId="038D0B9B" w14:textId="77777777" w:rsidR="001448D7" w:rsidRPr="00B73E82" w:rsidRDefault="001448D7" w:rsidP="00B73E82">
            <w:pPr>
              <w:jc w:val="center"/>
              <w:rPr>
                <w:rFonts w:ascii="Arial" w:hAnsi="Arial" w:cs="Arial"/>
                <w:color w:val="000000"/>
                <w:sz w:val="20"/>
                <w:szCs w:val="20"/>
              </w:rPr>
            </w:pPr>
            <w:r w:rsidRPr="00B73E82">
              <w:rPr>
                <w:rFonts w:ascii="Arial" w:hAnsi="Arial" w:cs="Arial"/>
                <w:color w:val="000000"/>
                <w:sz w:val="20"/>
                <w:szCs w:val="20"/>
              </w:rPr>
              <w:t>1937</w:t>
            </w:r>
          </w:p>
        </w:tc>
      </w:tr>
    </w:tbl>
    <w:p w14:paraId="6C3A0D14" w14:textId="77777777" w:rsidR="00A108C9" w:rsidRPr="00632BFC" w:rsidRDefault="00A108C9" w:rsidP="00632BFC">
      <w:pPr>
        <w:pStyle w:val="PlainText"/>
        <w:jc w:val="both"/>
        <w:rPr>
          <w:rFonts w:ascii="Arial" w:hAnsi="Arial" w:cs="Arial"/>
          <w:sz w:val="20"/>
          <w:szCs w:val="20"/>
        </w:rPr>
      </w:pPr>
    </w:p>
    <w:p w14:paraId="0A149E06" w14:textId="77777777" w:rsidR="00B73E82" w:rsidRDefault="00B73E82" w:rsidP="00632BFC">
      <w:pPr>
        <w:pStyle w:val="PlainText"/>
        <w:jc w:val="both"/>
        <w:rPr>
          <w:rFonts w:ascii="Arial" w:hAnsi="Arial" w:cs="Arial"/>
          <w:sz w:val="20"/>
          <w:szCs w:val="20"/>
        </w:rPr>
      </w:pPr>
    </w:p>
    <w:p w14:paraId="53FEF311" w14:textId="77777777" w:rsidR="00B73E82" w:rsidRDefault="00B73E82" w:rsidP="00632BFC">
      <w:pPr>
        <w:pStyle w:val="PlainText"/>
        <w:jc w:val="both"/>
        <w:rPr>
          <w:rFonts w:ascii="Arial" w:hAnsi="Arial" w:cs="Arial"/>
          <w:sz w:val="20"/>
          <w:szCs w:val="20"/>
        </w:rPr>
      </w:pPr>
      <w:r w:rsidRPr="00D30BE4">
        <w:rPr>
          <w:rFonts w:ascii="Arial" w:hAnsi="Arial" w:cs="Arial"/>
          <w:noProof/>
          <w:sz w:val="24"/>
          <w:szCs w:val="24"/>
        </w:rPr>
        <w:drawing>
          <wp:inline distT="0" distB="0" distL="0" distR="0" wp14:anchorId="1BE38AB4" wp14:editId="034CDEAE">
            <wp:extent cx="5829300" cy="3867150"/>
            <wp:effectExtent l="0" t="0" r="0" b="0"/>
            <wp:docPr id="87493813" name="Chart 1">
              <a:extLst xmlns:a="http://schemas.openxmlformats.org/drawingml/2006/main">
                <a:ext uri="{FF2B5EF4-FFF2-40B4-BE49-F238E27FC236}">
                  <a16:creationId xmlns:a16="http://schemas.microsoft.com/office/drawing/2014/main" id="{21E56EA6-D514-AA4A-4D6C-B813B544B1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6BFB76D" w14:textId="169D89A9" w:rsidR="00B73E82" w:rsidRPr="00B73E82" w:rsidRDefault="00B73E82" w:rsidP="00B73E82">
      <w:pPr>
        <w:spacing w:before="120" w:after="120"/>
        <w:jc w:val="center"/>
        <w:rPr>
          <w:rFonts w:ascii="Arial" w:hAnsi="Arial" w:cs="Arial"/>
          <w:b/>
          <w:sz w:val="20"/>
          <w:szCs w:val="20"/>
        </w:rPr>
      </w:pPr>
      <w:r w:rsidRPr="00B73E82">
        <w:rPr>
          <w:rFonts w:ascii="Arial" w:hAnsi="Arial" w:cs="Arial"/>
          <w:b/>
          <w:sz w:val="20"/>
          <w:szCs w:val="20"/>
        </w:rPr>
        <w:t>Figure:1 Gender wise distribution of E</w:t>
      </w:r>
      <w:r w:rsidR="00173DE0">
        <w:rPr>
          <w:rFonts w:ascii="Arial" w:hAnsi="Arial" w:cs="Arial"/>
          <w:b/>
          <w:sz w:val="20"/>
          <w:szCs w:val="20"/>
        </w:rPr>
        <w:t>s</w:t>
      </w:r>
      <w:r w:rsidRPr="00B73E82">
        <w:rPr>
          <w:rFonts w:ascii="Arial" w:hAnsi="Arial" w:cs="Arial"/>
          <w:b/>
          <w:sz w:val="20"/>
          <w:szCs w:val="20"/>
        </w:rPr>
        <w:t>ophageal Cancer</w:t>
      </w:r>
    </w:p>
    <w:p w14:paraId="33ECD226"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greater prevalence of esophageal cancer among males is consistent with existing epidemiological evidence attributing this disparity to behavioral and environmental risk factors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Tobacco use, alcohol consumption, and occupational exposures are typically more prevalent among male </w:t>
      </w:r>
      <w:r w:rsidRPr="00632BFC">
        <w:rPr>
          <w:rFonts w:ascii="Arial" w:hAnsi="Arial" w:cs="Arial"/>
          <w:sz w:val="20"/>
          <w:szCs w:val="20"/>
        </w:rPr>
        <w:lastRenderedPageBreak/>
        <w:t>populations in traditional societies. Gender-based variations in biological susceptibility and hormone metabolism may further contribute to the observed distribution. These findings underscore the necessity for targeted, gender-responsive prevention strategies with particular emphasis on high-risk male populations, while simultaneously addressing the rising burden among females.</w:t>
      </w:r>
    </w:p>
    <w:p w14:paraId="1F46D7E5" w14:textId="77777777" w:rsidR="00A108C9" w:rsidRPr="00632BFC" w:rsidRDefault="00A108C9" w:rsidP="00632BFC">
      <w:pPr>
        <w:pStyle w:val="PlainText"/>
        <w:jc w:val="both"/>
        <w:rPr>
          <w:rFonts w:ascii="Arial" w:hAnsi="Arial" w:cs="Arial"/>
          <w:sz w:val="20"/>
          <w:szCs w:val="20"/>
        </w:rPr>
      </w:pPr>
    </w:p>
    <w:p w14:paraId="7BD528BB" w14:textId="77777777" w:rsidR="004320A7" w:rsidRDefault="004320A7" w:rsidP="00A8124F">
      <w:pPr>
        <w:pStyle w:val="PlainText"/>
        <w:rPr>
          <w:rFonts w:ascii="Arial" w:hAnsi="Arial" w:cs="Arial"/>
          <w:b/>
          <w:sz w:val="22"/>
          <w:szCs w:val="22"/>
        </w:rPr>
      </w:pPr>
    </w:p>
    <w:p w14:paraId="3B888525" w14:textId="77777777" w:rsidR="004320A7" w:rsidRDefault="004320A7" w:rsidP="00A8124F">
      <w:pPr>
        <w:pStyle w:val="PlainText"/>
        <w:rPr>
          <w:rFonts w:ascii="Arial" w:hAnsi="Arial" w:cs="Arial"/>
          <w:b/>
          <w:sz w:val="22"/>
          <w:szCs w:val="22"/>
        </w:rPr>
      </w:pPr>
    </w:p>
    <w:p w14:paraId="7F68B5FA"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3.2 Esophageal Cancer Among All Cancer Sites</w:t>
      </w:r>
    </w:p>
    <w:p w14:paraId="6F1A3A58" w14:textId="77777777" w:rsidR="00A108C9" w:rsidRPr="00632BFC" w:rsidRDefault="00A108C9" w:rsidP="00632BFC">
      <w:pPr>
        <w:pStyle w:val="PlainText"/>
        <w:jc w:val="both"/>
        <w:rPr>
          <w:rFonts w:ascii="Arial" w:hAnsi="Arial" w:cs="Arial"/>
          <w:sz w:val="20"/>
          <w:szCs w:val="20"/>
        </w:rPr>
      </w:pPr>
    </w:p>
    <w:p w14:paraId="5C3D2BFE" w14:textId="77777777" w:rsidR="00A108C9" w:rsidRPr="00B73E82" w:rsidRDefault="00B73E82" w:rsidP="00B73E82">
      <w:pPr>
        <w:pStyle w:val="PlainText"/>
        <w:jc w:val="center"/>
        <w:rPr>
          <w:rFonts w:ascii="Arial" w:hAnsi="Arial" w:cs="Arial"/>
          <w:b/>
          <w:sz w:val="20"/>
          <w:szCs w:val="20"/>
        </w:rPr>
      </w:pPr>
      <w:r w:rsidRPr="00B73E82">
        <w:rPr>
          <w:rFonts w:ascii="Arial" w:hAnsi="Arial" w:cs="Arial"/>
          <w:b/>
          <w:sz w:val="20"/>
          <w:szCs w:val="20"/>
        </w:rPr>
        <w:t xml:space="preserve">Table 2. </w:t>
      </w:r>
      <w:r w:rsidR="00A108C9" w:rsidRPr="00B73E82">
        <w:rPr>
          <w:rFonts w:ascii="Arial" w:hAnsi="Arial" w:cs="Arial"/>
          <w:b/>
          <w:sz w:val="20"/>
          <w:szCs w:val="20"/>
        </w:rPr>
        <w:t>Rank, Number (#), and Relative Proportion (%) of Leading Cancer Sites in Males</w:t>
      </w:r>
    </w:p>
    <w:p w14:paraId="31CD8A03" w14:textId="77777777" w:rsidR="00A108C9" w:rsidRPr="00632BFC" w:rsidRDefault="00A108C9" w:rsidP="00632BFC">
      <w:pPr>
        <w:pStyle w:val="PlainText"/>
        <w:jc w:val="both"/>
        <w:rPr>
          <w:rFonts w:ascii="Arial" w:hAnsi="Arial" w:cs="Arial"/>
          <w:sz w:val="20"/>
          <w:szCs w:val="20"/>
        </w:rPr>
      </w:pPr>
    </w:p>
    <w:tbl>
      <w:tblPr>
        <w:tblW w:w="6289" w:type="dxa"/>
        <w:jc w:val="center"/>
        <w:tblLook w:val="04A0" w:firstRow="1" w:lastRow="0" w:firstColumn="1" w:lastColumn="0" w:noHBand="0" w:noVBand="1"/>
      </w:tblPr>
      <w:tblGrid>
        <w:gridCol w:w="1052"/>
        <w:gridCol w:w="3133"/>
        <w:gridCol w:w="1052"/>
        <w:gridCol w:w="1052"/>
      </w:tblGrid>
      <w:tr w:rsidR="00B73E82" w:rsidRPr="00B73E82" w14:paraId="5CD653BA" w14:textId="77777777" w:rsidTr="00A8124F">
        <w:trPr>
          <w:trHeight w:val="342"/>
          <w:jc w:val="center"/>
        </w:trPr>
        <w:tc>
          <w:tcPr>
            <w:tcW w:w="1052" w:type="dxa"/>
            <w:tcBorders>
              <w:top w:val="single" w:sz="4" w:space="0" w:color="auto"/>
              <w:left w:val="single" w:sz="4" w:space="0" w:color="auto"/>
              <w:bottom w:val="single" w:sz="4" w:space="0" w:color="auto"/>
              <w:right w:val="single" w:sz="4" w:space="0" w:color="auto"/>
            </w:tcBorders>
            <w:noWrap/>
            <w:vAlign w:val="center"/>
            <w:hideMark/>
          </w:tcPr>
          <w:p w14:paraId="35346DA8"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Rank</w:t>
            </w:r>
          </w:p>
        </w:tc>
        <w:tc>
          <w:tcPr>
            <w:tcW w:w="3133" w:type="dxa"/>
            <w:tcBorders>
              <w:top w:val="single" w:sz="4" w:space="0" w:color="auto"/>
              <w:left w:val="nil"/>
              <w:bottom w:val="single" w:sz="4" w:space="0" w:color="auto"/>
              <w:right w:val="single" w:sz="4" w:space="0" w:color="auto"/>
            </w:tcBorders>
            <w:noWrap/>
            <w:vAlign w:val="center"/>
            <w:hideMark/>
          </w:tcPr>
          <w:p w14:paraId="375F9455"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Sites of Cancer</w:t>
            </w:r>
          </w:p>
        </w:tc>
        <w:tc>
          <w:tcPr>
            <w:tcW w:w="1052" w:type="dxa"/>
            <w:tcBorders>
              <w:top w:val="single" w:sz="4" w:space="0" w:color="auto"/>
              <w:left w:val="nil"/>
              <w:bottom w:val="single" w:sz="4" w:space="0" w:color="auto"/>
              <w:right w:val="single" w:sz="4" w:space="0" w:color="auto"/>
            </w:tcBorders>
            <w:noWrap/>
            <w:vAlign w:val="center"/>
            <w:hideMark/>
          </w:tcPr>
          <w:p w14:paraId="68CA5399"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w:t>
            </w:r>
          </w:p>
        </w:tc>
        <w:tc>
          <w:tcPr>
            <w:tcW w:w="1052" w:type="dxa"/>
            <w:tcBorders>
              <w:top w:val="single" w:sz="4" w:space="0" w:color="auto"/>
              <w:left w:val="nil"/>
              <w:bottom w:val="single" w:sz="4" w:space="0" w:color="auto"/>
              <w:right w:val="single" w:sz="4" w:space="0" w:color="auto"/>
            </w:tcBorders>
            <w:noWrap/>
            <w:vAlign w:val="center"/>
            <w:hideMark/>
          </w:tcPr>
          <w:p w14:paraId="34F602CD"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w:t>
            </w:r>
          </w:p>
        </w:tc>
      </w:tr>
      <w:tr w:rsidR="00B73E82" w:rsidRPr="00B73E82" w14:paraId="5DB73AF4"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556FDEF"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w:t>
            </w:r>
          </w:p>
        </w:tc>
        <w:tc>
          <w:tcPr>
            <w:tcW w:w="3133" w:type="dxa"/>
            <w:tcBorders>
              <w:top w:val="nil"/>
              <w:left w:val="nil"/>
              <w:bottom w:val="single" w:sz="4" w:space="0" w:color="auto"/>
              <w:right w:val="single" w:sz="4" w:space="0" w:color="auto"/>
            </w:tcBorders>
            <w:noWrap/>
            <w:vAlign w:val="center"/>
            <w:hideMark/>
          </w:tcPr>
          <w:p w14:paraId="15587ADD"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Esophagus</w:t>
            </w:r>
          </w:p>
        </w:tc>
        <w:tc>
          <w:tcPr>
            <w:tcW w:w="1052" w:type="dxa"/>
            <w:tcBorders>
              <w:top w:val="nil"/>
              <w:left w:val="nil"/>
              <w:bottom w:val="single" w:sz="4" w:space="0" w:color="auto"/>
              <w:right w:val="single" w:sz="4" w:space="0" w:color="auto"/>
            </w:tcBorders>
            <w:noWrap/>
            <w:vAlign w:val="center"/>
            <w:hideMark/>
          </w:tcPr>
          <w:p w14:paraId="7E6E3D3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1284</w:t>
            </w:r>
          </w:p>
        </w:tc>
        <w:tc>
          <w:tcPr>
            <w:tcW w:w="1052" w:type="dxa"/>
            <w:tcBorders>
              <w:top w:val="nil"/>
              <w:left w:val="nil"/>
              <w:bottom w:val="single" w:sz="4" w:space="0" w:color="auto"/>
              <w:right w:val="single" w:sz="4" w:space="0" w:color="auto"/>
            </w:tcBorders>
            <w:noWrap/>
            <w:vAlign w:val="center"/>
            <w:hideMark/>
          </w:tcPr>
          <w:p w14:paraId="6630158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15.4</w:t>
            </w:r>
          </w:p>
        </w:tc>
      </w:tr>
      <w:tr w:rsidR="00B73E82" w:rsidRPr="00B73E82" w14:paraId="14207913"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595D8B17"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w:t>
            </w:r>
          </w:p>
        </w:tc>
        <w:tc>
          <w:tcPr>
            <w:tcW w:w="3133" w:type="dxa"/>
            <w:tcBorders>
              <w:top w:val="nil"/>
              <w:left w:val="nil"/>
              <w:bottom w:val="single" w:sz="4" w:space="0" w:color="auto"/>
              <w:right w:val="single" w:sz="4" w:space="0" w:color="auto"/>
            </w:tcBorders>
            <w:noWrap/>
            <w:vAlign w:val="center"/>
            <w:hideMark/>
          </w:tcPr>
          <w:p w14:paraId="74ADD32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Hypopharynx</w:t>
            </w:r>
          </w:p>
        </w:tc>
        <w:tc>
          <w:tcPr>
            <w:tcW w:w="1052" w:type="dxa"/>
            <w:tcBorders>
              <w:top w:val="nil"/>
              <w:left w:val="nil"/>
              <w:bottom w:val="single" w:sz="4" w:space="0" w:color="auto"/>
              <w:right w:val="single" w:sz="4" w:space="0" w:color="auto"/>
            </w:tcBorders>
            <w:noWrap/>
            <w:vAlign w:val="center"/>
            <w:hideMark/>
          </w:tcPr>
          <w:p w14:paraId="4B89C12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1117</w:t>
            </w:r>
          </w:p>
        </w:tc>
        <w:tc>
          <w:tcPr>
            <w:tcW w:w="1052" w:type="dxa"/>
            <w:tcBorders>
              <w:top w:val="nil"/>
              <w:left w:val="nil"/>
              <w:bottom w:val="single" w:sz="4" w:space="0" w:color="auto"/>
              <w:right w:val="single" w:sz="4" w:space="0" w:color="auto"/>
            </w:tcBorders>
            <w:noWrap/>
            <w:vAlign w:val="center"/>
            <w:hideMark/>
          </w:tcPr>
          <w:p w14:paraId="7EC2D98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13.4</w:t>
            </w:r>
          </w:p>
        </w:tc>
      </w:tr>
      <w:tr w:rsidR="00B73E82" w:rsidRPr="00B73E82" w14:paraId="48E4942E"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3CD17DC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w:t>
            </w:r>
          </w:p>
        </w:tc>
        <w:tc>
          <w:tcPr>
            <w:tcW w:w="3133" w:type="dxa"/>
            <w:tcBorders>
              <w:top w:val="nil"/>
              <w:left w:val="nil"/>
              <w:bottom w:val="single" w:sz="4" w:space="0" w:color="auto"/>
              <w:right w:val="single" w:sz="4" w:space="0" w:color="auto"/>
            </w:tcBorders>
            <w:noWrap/>
            <w:vAlign w:val="center"/>
            <w:hideMark/>
          </w:tcPr>
          <w:p w14:paraId="4BD33E1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Mouth</w:t>
            </w:r>
          </w:p>
        </w:tc>
        <w:tc>
          <w:tcPr>
            <w:tcW w:w="1052" w:type="dxa"/>
            <w:tcBorders>
              <w:top w:val="nil"/>
              <w:left w:val="nil"/>
              <w:bottom w:val="single" w:sz="4" w:space="0" w:color="auto"/>
              <w:right w:val="single" w:sz="4" w:space="0" w:color="auto"/>
            </w:tcBorders>
            <w:noWrap/>
            <w:vAlign w:val="center"/>
            <w:hideMark/>
          </w:tcPr>
          <w:p w14:paraId="0202E449"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768</w:t>
            </w:r>
          </w:p>
        </w:tc>
        <w:tc>
          <w:tcPr>
            <w:tcW w:w="1052" w:type="dxa"/>
            <w:tcBorders>
              <w:top w:val="nil"/>
              <w:left w:val="nil"/>
              <w:bottom w:val="single" w:sz="4" w:space="0" w:color="auto"/>
              <w:right w:val="single" w:sz="4" w:space="0" w:color="auto"/>
            </w:tcBorders>
            <w:noWrap/>
            <w:vAlign w:val="center"/>
            <w:hideMark/>
          </w:tcPr>
          <w:p w14:paraId="43FC80C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9.2</w:t>
            </w:r>
          </w:p>
        </w:tc>
      </w:tr>
      <w:tr w:rsidR="00B73E82" w:rsidRPr="00B73E82" w14:paraId="2FD30881"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0415834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4</w:t>
            </w:r>
          </w:p>
        </w:tc>
        <w:tc>
          <w:tcPr>
            <w:tcW w:w="3133" w:type="dxa"/>
            <w:tcBorders>
              <w:top w:val="nil"/>
              <w:left w:val="nil"/>
              <w:bottom w:val="single" w:sz="4" w:space="0" w:color="auto"/>
              <w:right w:val="single" w:sz="4" w:space="0" w:color="auto"/>
            </w:tcBorders>
            <w:noWrap/>
            <w:vAlign w:val="center"/>
            <w:hideMark/>
          </w:tcPr>
          <w:p w14:paraId="485AEB9A"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Stomach</w:t>
            </w:r>
          </w:p>
        </w:tc>
        <w:tc>
          <w:tcPr>
            <w:tcW w:w="1052" w:type="dxa"/>
            <w:tcBorders>
              <w:top w:val="nil"/>
              <w:left w:val="nil"/>
              <w:bottom w:val="single" w:sz="4" w:space="0" w:color="auto"/>
              <w:right w:val="single" w:sz="4" w:space="0" w:color="auto"/>
            </w:tcBorders>
            <w:noWrap/>
            <w:vAlign w:val="center"/>
            <w:hideMark/>
          </w:tcPr>
          <w:p w14:paraId="630D497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593</w:t>
            </w:r>
          </w:p>
        </w:tc>
        <w:tc>
          <w:tcPr>
            <w:tcW w:w="1052" w:type="dxa"/>
            <w:tcBorders>
              <w:top w:val="nil"/>
              <w:left w:val="nil"/>
              <w:bottom w:val="single" w:sz="4" w:space="0" w:color="auto"/>
              <w:right w:val="single" w:sz="4" w:space="0" w:color="auto"/>
            </w:tcBorders>
            <w:noWrap/>
            <w:vAlign w:val="center"/>
            <w:hideMark/>
          </w:tcPr>
          <w:p w14:paraId="0FC9126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7.1</w:t>
            </w:r>
          </w:p>
        </w:tc>
      </w:tr>
      <w:tr w:rsidR="00B73E82" w:rsidRPr="00B73E82" w14:paraId="4387C847"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4DF9FA9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w:t>
            </w:r>
          </w:p>
        </w:tc>
        <w:tc>
          <w:tcPr>
            <w:tcW w:w="3133" w:type="dxa"/>
            <w:tcBorders>
              <w:top w:val="nil"/>
              <w:left w:val="nil"/>
              <w:bottom w:val="single" w:sz="4" w:space="0" w:color="auto"/>
              <w:right w:val="single" w:sz="4" w:space="0" w:color="auto"/>
            </w:tcBorders>
            <w:noWrap/>
            <w:vAlign w:val="center"/>
            <w:hideMark/>
          </w:tcPr>
          <w:p w14:paraId="0A0FD99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Lung etc.</w:t>
            </w:r>
          </w:p>
        </w:tc>
        <w:tc>
          <w:tcPr>
            <w:tcW w:w="1052" w:type="dxa"/>
            <w:tcBorders>
              <w:top w:val="nil"/>
              <w:left w:val="nil"/>
              <w:bottom w:val="single" w:sz="4" w:space="0" w:color="auto"/>
              <w:right w:val="single" w:sz="4" w:space="0" w:color="auto"/>
            </w:tcBorders>
            <w:noWrap/>
            <w:vAlign w:val="center"/>
            <w:hideMark/>
          </w:tcPr>
          <w:p w14:paraId="1D1A2735"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539</w:t>
            </w:r>
          </w:p>
        </w:tc>
        <w:tc>
          <w:tcPr>
            <w:tcW w:w="1052" w:type="dxa"/>
            <w:tcBorders>
              <w:top w:val="nil"/>
              <w:left w:val="nil"/>
              <w:bottom w:val="single" w:sz="4" w:space="0" w:color="auto"/>
              <w:right w:val="single" w:sz="4" w:space="0" w:color="auto"/>
            </w:tcBorders>
            <w:noWrap/>
            <w:vAlign w:val="center"/>
            <w:hideMark/>
          </w:tcPr>
          <w:p w14:paraId="0F5ED115"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6.5</w:t>
            </w:r>
          </w:p>
        </w:tc>
      </w:tr>
      <w:tr w:rsidR="00B73E82" w:rsidRPr="00B73E82" w14:paraId="4C7CA428"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4B1B27B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w:t>
            </w:r>
          </w:p>
        </w:tc>
        <w:tc>
          <w:tcPr>
            <w:tcW w:w="3133" w:type="dxa"/>
            <w:tcBorders>
              <w:top w:val="nil"/>
              <w:left w:val="nil"/>
              <w:bottom w:val="single" w:sz="4" w:space="0" w:color="auto"/>
              <w:right w:val="single" w:sz="4" w:space="0" w:color="auto"/>
            </w:tcBorders>
            <w:noWrap/>
            <w:vAlign w:val="center"/>
            <w:hideMark/>
          </w:tcPr>
          <w:p w14:paraId="6BD005E6"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Tongue</w:t>
            </w:r>
          </w:p>
        </w:tc>
        <w:tc>
          <w:tcPr>
            <w:tcW w:w="1052" w:type="dxa"/>
            <w:tcBorders>
              <w:top w:val="nil"/>
              <w:left w:val="nil"/>
              <w:bottom w:val="single" w:sz="4" w:space="0" w:color="auto"/>
              <w:right w:val="single" w:sz="4" w:space="0" w:color="auto"/>
            </w:tcBorders>
            <w:noWrap/>
            <w:vAlign w:val="center"/>
            <w:hideMark/>
          </w:tcPr>
          <w:p w14:paraId="267F480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538</w:t>
            </w:r>
          </w:p>
        </w:tc>
        <w:tc>
          <w:tcPr>
            <w:tcW w:w="1052" w:type="dxa"/>
            <w:tcBorders>
              <w:top w:val="nil"/>
              <w:left w:val="nil"/>
              <w:bottom w:val="single" w:sz="4" w:space="0" w:color="auto"/>
              <w:right w:val="single" w:sz="4" w:space="0" w:color="auto"/>
            </w:tcBorders>
            <w:noWrap/>
            <w:vAlign w:val="center"/>
            <w:hideMark/>
          </w:tcPr>
          <w:p w14:paraId="7BFA4D8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6.5</w:t>
            </w:r>
          </w:p>
        </w:tc>
      </w:tr>
      <w:tr w:rsidR="00B73E82" w:rsidRPr="00B73E82" w14:paraId="494D023E"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64B27F4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7</w:t>
            </w:r>
          </w:p>
        </w:tc>
        <w:tc>
          <w:tcPr>
            <w:tcW w:w="3133" w:type="dxa"/>
            <w:tcBorders>
              <w:top w:val="nil"/>
              <w:left w:val="nil"/>
              <w:bottom w:val="single" w:sz="4" w:space="0" w:color="auto"/>
              <w:right w:val="single" w:sz="4" w:space="0" w:color="auto"/>
            </w:tcBorders>
            <w:noWrap/>
            <w:vAlign w:val="center"/>
            <w:hideMark/>
          </w:tcPr>
          <w:p w14:paraId="2EC8A99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Gallbladder etc.</w:t>
            </w:r>
          </w:p>
        </w:tc>
        <w:tc>
          <w:tcPr>
            <w:tcW w:w="1052" w:type="dxa"/>
            <w:tcBorders>
              <w:top w:val="nil"/>
              <w:left w:val="nil"/>
              <w:bottom w:val="single" w:sz="4" w:space="0" w:color="auto"/>
              <w:right w:val="single" w:sz="4" w:space="0" w:color="auto"/>
            </w:tcBorders>
            <w:noWrap/>
            <w:vAlign w:val="center"/>
            <w:hideMark/>
          </w:tcPr>
          <w:p w14:paraId="631F02E9"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396</w:t>
            </w:r>
          </w:p>
        </w:tc>
        <w:tc>
          <w:tcPr>
            <w:tcW w:w="1052" w:type="dxa"/>
            <w:tcBorders>
              <w:top w:val="nil"/>
              <w:left w:val="nil"/>
              <w:bottom w:val="single" w:sz="4" w:space="0" w:color="auto"/>
              <w:right w:val="single" w:sz="4" w:space="0" w:color="auto"/>
            </w:tcBorders>
            <w:noWrap/>
            <w:vAlign w:val="center"/>
            <w:hideMark/>
          </w:tcPr>
          <w:p w14:paraId="37BF848E"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4.8</w:t>
            </w:r>
          </w:p>
        </w:tc>
      </w:tr>
      <w:tr w:rsidR="00B73E82" w:rsidRPr="00B73E82" w14:paraId="2C47EEF1"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A5BE96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8</w:t>
            </w:r>
          </w:p>
        </w:tc>
        <w:tc>
          <w:tcPr>
            <w:tcW w:w="3133" w:type="dxa"/>
            <w:tcBorders>
              <w:top w:val="nil"/>
              <w:left w:val="nil"/>
              <w:bottom w:val="single" w:sz="4" w:space="0" w:color="auto"/>
              <w:right w:val="single" w:sz="4" w:space="0" w:color="auto"/>
            </w:tcBorders>
            <w:noWrap/>
            <w:vAlign w:val="center"/>
            <w:hideMark/>
          </w:tcPr>
          <w:p w14:paraId="2314F47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Rectum</w:t>
            </w:r>
          </w:p>
        </w:tc>
        <w:tc>
          <w:tcPr>
            <w:tcW w:w="1052" w:type="dxa"/>
            <w:tcBorders>
              <w:top w:val="nil"/>
              <w:left w:val="nil"/>
              <w:bottom w:val="single" w:sz="4" w:space="0" w:color="auto"/>
              <w:right w:val="single" w:sz="4" w:space="0" w:color="auto"/>
            </w:tcBorders>
            <w:noWrap/>
            <w:vAlign w:val="center"/>
            <w:hideMark/>
          </w:tcPr>
          <w:p w14:paraId="75F29AD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303</w:t>
            </w:r>
          </w:p>
        </w:tc>
        <w:tc>
          <w:tcPr>
            <w:tcW w:w="1052" w:type="dxa"/>
            <w:tcBorders>
              <w:top w:val="nil"/>
              <w:left w:val="nil"/>
              <w:bottom w:val="single" w:sz="4" w:space="0" w:color="auto"/>
              <w:right w:val="single" w:sz="4" w:space="0" w:color="auto"/>
            </w:tcBorders>
            <w:noWrap/>
            <w:vAlign w:val="center"/>
            <w:hideMark/>
          </w:tcPr>
          <w:p w14:paraId="772A4938"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3.6</w:t>
            </w:r>
          </w:p>
        </w:tc>
      </w:tr>
      <w:tr w:rsidR="00B73E82" w:rsidRPr="00B73E82" w14:paraId="57FDA43F"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5EA6684B"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9</w:t>
            </w:r>
          </w:p>
        </w:tc>
        <w:tc>
          <w:tcPr>
            <w:tcW w:w="3133" w:type="dxa"/>
            <w:tcBorders>
              <w:top w:val="nil"/>
              <w:left w:val="nil"/>
              <w:bottom w:val="single" w:sz="4" w:space="0" w:color="auto"/>
              <w:right w:val="single" w:sz="4" w:space="0" w:color="auto"/>
            </w:tcBorders>
            <w:noWrap/>
            <w:vAlign w:val="center"/>
            <w:hideMark/>
          </w:tcPr>
          <w:p w14:paraId="30FBEFCC"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Tonsil</w:t>
            </w:r>
          </w:p>
        </w:tc>
        <w:tc>
          <w:tcPr>
            <w:tcW w:w="1052" w:type="dxa"/>
            <w:tcBorders>
              <w:top w:val="nil"/>
              <w:left w:val="nil"/>
              <w:bottom w:val="single" w:sz="4" w:space="0" w:color="auto"/>
              <w:right w:val="single" w:sz="4" w:space="0" w:color="auto"/>
            </w:tcBorders>
            <w:noWrap/>
            <w:vAlign w:val="center"/>
            <w:hideMark/>
          </w:tcPr>
          <w:p w14:paraId="4C2B23D3"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277</w:t>
            </w:r>
          </w:p>
        </w:tc>
        <w:tc>
          <w:tcPr>
            <w:tcW w:w="1052" w:type="dxa"/>
            <w:tcBorders>
              <w:top w:val="nil"/>
              <w:left w:val="nil"/>
              <w:bottom w:val="single" w:sz="4" w:space="0" w:color="auto"/>
              <w:right w:val="single" w:sz="4" w:space="0" w:color="auto"/>
            </w:tcBorders>
            <w:noWrap/>
            <w:vAlign w:val="center"/>
            <w:hideMark/>
          </w:tcPr>
          <w:p w14:paraId="2E0A30C4"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3.3</w:t>
            </w:r>
          </w:p>
        </w:tc>
      </w:tr>
      <w:tr w:rsidR="00B73E82" w:rsidRPr="00B73E82" w14:paraId="323ECE2D"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3892E4F2"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10</w:t>
            </w:r>
          </w:p>
        </w:tc>
        <w:tc>
          <w:tcPr>
            <w:tcW w:w="3133" w:type="dxa"/>
            <w:tcBorders>
              <w:top w:val="nil"/>
              <w:left w:val="nil"/>
              <w:bottom w:val="single" w:sz="4" w:space="0" w:color="auto"/>
              <w:right w:val="single" w:sz="4" w:space="0" w:color="auto"/>
            </w:tcBorders>
            <w:noWrap/>
            <w:vAlign w:val="center"/>
            <w:hideMark/>
          </w:tcPr>
          <w:p w14:paraId="7665EC8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Colon</w:t>
            </w:r>
          </w:p>
        </w:tc>
        <w:tc>
          <w:tcPr>
            <w:tcW w:w="1052" w:type="dxa"/>
            <w:tcBorders>
              <w:top w:val="nil"/>
              <w:left w:val="nil"/>
              <w:bottom w:val="single" w:sz="4" w:space="0" w:color="auto"/>
              <w:right w:val="single" w:sz="4" w:space="0" w:color="auto"/>
            </w:tcBorders>
            <w:noWrap/>
            <w:vAlign w:val="center"/>
            <w:hideMark/>
          </w:tcPr>
          <w:p w14:paraId="3F2F13D7"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262</w:t>
            </w:r>
          </w:p>
        </w:tc>
        <w:tc>
          <w:tcPr>
            <w:tcW w:w="1052" w:type="dxa"/>
            <w:tcBorders>
              <w:top w:val="nil"/>
              <w:left w:val="nil"/>
              <w:bottom w:val="single" w:sz="4" w:space="0" w:color="auto"/>
              <w:right w:val="single" w:sz="4" w:space="0" w:color="auto"/>
            </w:tcBorders>
            <w:noWrap/>
            <w:vAlign w:val="center"/>
            <w:hideMark/>
          </w:tcPr>
          <w:p w14:paraId="0C18E611"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3.2</w:t>
            </w:r>
          </w:p>
        </w:tc>
      </w:tr>
      <w:tr w:rsidR="00B73E82" w:rsidRPr="00B73E82" w14:paraId="29D4D0F5" w14:textId="77777777" w:rsidTr="00A8124F">
        <w:trPr>
          <w:trHeight w:val="342"/>
          <w:jc w:val="center"/>
        </w:trPr>
        <w:tc>
          <w:tcPr>
            <w:tcW w:w="1052" w:type="dxa"/>
            <w:tcBorders>
              <w:top w:val="nil"/>
              <w:left w:val="single" w:sz="4" w:space="0" w:color="auto"/>
              <w:bottom w:val="single" w:sz="4" w:space="0" w:color="auto"/>
              <w:right w:val="single" w:sz="4" w:space="0" w:color="auto"/>
            </w:tcBorders>
            <w:noWrap/>
            <w:vAlign w:val="center"/>
            <w:hideMark/>
          </w:tcPr>
          <w:p w14:paraId="2E787070" w14:textId="77777777" w:rsidR="00B73E82" w:rsidRPr="00B73E82" w:rsidRDefault="00B73E82" w:rsidP="00A8124F">
            <w:pPr>
              <w:jc w:val="center"/>
              <w:rPr>
                <w:rFonts w:ascii="Arial" w:hAnsi="Arial" w:cs="Arial"/>
                <w:color w:val="000000"/>
                <w:sz w:val="20"/>
                <w:szCs w:val="20"/>
              </w:rPr>
            </w:pPr>
            <w:r w:rsidRPr="00B73E82">
              <w:rPr>
                <w:rFonts w:ascii="Arial" w:hAnsi="Arial" w:cs="Arial"/>
                <w:color w:val="000000"/>
                <w:sz w:val="20"/>
                <w:szCs w:val="20"/>
              </w:rPr>
              <w:t> </w:t>
            </w:r>
          </w:p>
        </w:tc>
        <w:tc>
          <w:tcPr>
            <w:tcW w:w="3133" w:type="dxa"/>
            <w:tcBorders>
              <w:top w:val="nil"/>
              <w:left w:val="nil"/>
              <w:bottom w:val="single" w:sz="4" w:space="0" w:color="auto"/>
              <w:right w:val="single" w:sz="4" w:space="0" w:color="auto"/>
            </w:tcBorders>
            <w:noWrap/>
            <w:vAlign w:val="center"/>
            <w:hideMark/>
          </w:tcPr>
          <w:p w14:paraId="5D7E353A"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All Sites</w:t>
            </w:r>
          </w:p>
        </w:tc>
        <w:tc>
          <w:tcPr>
            <w:tcW w:w="1052" w:type="dxa"/>
            <w:tcBorders>
              <w:top w:val="nil"/>
              <w:left w:val="nil"/>
              <w:bottom w:val="single" w:sz="4" w:space="0" w:color="auto"/>
              <w:right w:val="single" w:sz="4" w:space="0" w:color="auto"/>
            </w:tcBorders>
            <w:noWrap/>
            <w:vAlign w:val="center"/>
            <w:hideMark/>
          </w:tcPr>
          <w:p w14:paraId="4DCCE948"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8312</w:t>
            </w:r>
          </w:p>
        </w:tc>
        <w:tc>
          <w:tcPr>
            <w:tcW w:w="1052" w:type="dxa"/>
            <w:tcBorders>
              <w:top w:val="nil"/>
              <w:left w:val="nil"/>
              <w:bottom w:val="single" w:sz="4" w:space="0" w:color="auto"/>
              <w:right w:val="single" w:sz="4" w:space="0" w:color="auto"/>
            </w:tcBorders>
            <w:noWrap/>
            <w:vAlign w:val="center"/>
            <w:hideMark/>
          </w:tcPr>
          <w:p w14:paraId="491E489F" w14:textId="77777777" w:rsidR="00B73E82" w:rsidRPr="00B73E82" w:rsidRDefault="00B73E82" w:rsidP="00A8124F">
            <w:pPr>
              <w:jc w:val="center"/>
              <w:rPr>
                <w:rFonts w:ascii="Arial" w:hAnsi="Arial" w:cs="Arial"/>
                <w:b/>
                <w:bCs/>
                <w:color w:val="000000"/>
                <w:sz w:val="20"/>
                <w:szCs w:val="20"/>
              </w:rPr>
            </w:pPr>
            <w:r w:rsidRPr="00B73E82">
              <w:rPr>
                <w:rFonts w:ascii="Arial" w:hAnsi="Arial" w:cs="Arial"/>
                <w:b/>
                <w:bCs/>
                <w:color w:val="000000"/>
                <w:sz w:val="20"/>
                <w:szCs w:val="20"/>
              </w:rPr>
              <w:t>100.0</w:t>
            </w:r>
          </w:p>
        </w:tc>
      </w:tr>
    </w:tbl>
    <w:p w14:paraId="64610EA2" w14:textId="77777777" w:rsidR="00B73E82" w:rsidRDefault="00B73E82" w:rsidP="00632BFC">
      <w:pPr>
        <w:pStyle w:val="PlainText"/>
        <w:jc w:val="both"/>
        <w:rPr>
          <w:rFonts w:ascii="Arial" w:hAnsi="Arial" w:cs="Arial"/>
          <w:sz w:val="20"/>
          <w:szCs w:val="20"/>
        </w:rPr>
      </w:pPr>
    </w:p>
    <w:p w14:paraId="7A7B4F90" w14:textId="77777777" w:rsidR="00B73E82" w:rsidRDefault="00B73E82" w:rsidP="00632BFC">
      <w:pPr>
        <w:pStyle w:val="PlainText"/>
        <w:jc w:val="both"/>
        <w:rPr>
          <w:rFonts w:ascii="Arial" w:hAnsi="Arial" w:cs="Arial"/>
          <w:sz w:val="20"/>
          <w:szCs w:val="20"/>
        </w:rPr>
      </w:pPr>
    </w:p>
    <w:p w14:paraId="67A84B09" w14:textId="77777777" w:rsidR="00B73E82" w:rsidRDefault="00B73E82" w:rsidP="00B73E82">
      <w:pPr>
        <w:pStyle w:val="PlainText"/>
        <w:jc w:val="center"/>
        <w:rPr>
          <w:rFonts w:ascii="Arial" w:hAnsi="Arial" w:cs="Arial"/>
          <w:sz w:val="20"/>
          <w:szCs w:val="20"/>
        </w:rPr>
      </w:pPr>
      <w:r w:rsidRPr="00D30BE4">
        <w:rPr>
          <w:rFonts w:ascii="Arial" w:hAnsi="Arial" w:cs="Arial"/>
          <w:noProof/>
          <w:sz w:val="24"/>
          <w:szCs w:val="24"/>
        </w:rPr>
        <w:lastRenderedPageBreak/>
        <w:drawing>
          <wp:inline distT="0" distB="0" distL="0" distR="0" wp14:anchorId="37077109" wp14:editId="3388261D">
            <wp:extent cx="5865495" cy="4028440"/>
            <wp:effectExtent l="0" t="0" r="1905" b="10160"/>
            <wp:docPr id="101819674" name="Chart 1">
              <a:extLst xmlns:a="http://schemas.openxmlformats.org/drawingml/2006/main">
                <a:ext uri="{FF2B5EF4-FFF2-40B4-BE49-F238E27FC236}">
                  <a16:creationId xmlns:a16="http://schemas.microsoft.com/office/drawing/2014/main" id="{99A54D07-3F4F-1EBB-0767-547AA6896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537EB2" w14:textId="77777777" w:rsidR="009D452D" w:rsidRPr="009D452D" w:rsidRDefault="009D452D" w:rsidP="009D452D">
      <w:pPr>
        <w:spacing w:before="120" w:after="0"/>
        <w:jc w:val="center"/>
        <w:rPr>
          <w:rFonts w:ascii="Arial" w:hAnsi="Arial" w:cs="Arial"/>
          <w:b/>
          <w:sz w:val="20"/>
          <w:szCs w:val="20"/>
          <w:u w:val="single"/>
        </w:rPr>
      </w:pPr>
      <w:r w:rsidRPr="009D452D">
        <w:rPr>
          <w:rFonts w:ascii="Arial" w:hAnsi="Arial" w:cs="Arial"/>
          <w:b/>
          <w:sz w:val="20"/>
          <w:szCs w:val="20"/>
          <w:u w:val="single"/>
        </w:rPr>
        <w:t>Figure:2</w:t>
      </w:r>
      <w:r w:rsidRPr="009D452D">
        <w:rPr>
          <w:rFonts w:ascii="Arial" w:hAnsi="Arial" w:cs="Arial"/>
          <w:b/>
          <w:sz w:val="20"/>
          <w:szCs w:val="20"/>
        </w:rPr>
        <w:t xml:space="preserve"> </w:t>
      </w:r>
      <w:r w:rsidRPr="009D452D">
        <w:rPr>
          <w:rFonts w:ascii="Arial" w:hAnsi="Arial" w:cs="Arial"/>
          <w:b/>
          <w:sz w:val="20"/>
          <w:szCs w:val="20"/>
          <w:u w:val="single"/>
        </w:rPr>
        <w:t>Top ten Leading Sites of Cancer-Males</w:t>
      </w:r>
    </w:p>
    <w:p w14:paraId="2430581E" w14:textId="77777777" w:rsidR="00B73E82" w:rsidRDefault="00B73E82" w:rsidP="00632BFC">
      <w:pPr>
        <w:pStyle w:val="PlainText"/>
        <w:jc w:val="both"/>
        <w:rPr>
          <w:rFonts w:ascii="Arial" w:hAnsi="Arial" w:cs="Arial"/>
          <w:sz w:val="20"/>
          <w:szCs w:val="20"/>
        </w:rPr>
      </w:pPr>
    </w:p>
    <w:p w14:paraId="6DB14E7D" w14:textId="77777777" w:rsidR="004320A7" w:rsidRDefault="004320A7" w:rsidP="00632BFC">
      <w:pPr>
        <w:pStyle w:val="PlainText"/>
        <w:jc w:val="both"/>
        <w:rPr>
          <w:rFonts w:ascii="Arial" w:hAnsi="Arial" w:cs="Arial"/>
          <w:sz w:val="20"/>
          <w:szCs w:val="20"/>
        </w:rPr>
      </w:pPr>
    </w:p>
    <w:p w14:paraId="461CF836"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8,312 registered male cancer cases, esophageal cancer emerged as the leading malignancy, accounting for 1,284 cases (15.4%). This was followed by hypopharyngeal cancer (1,117 cases, 13.4%) and oral cavity cancers (768 cases, 9.2%). The predominance of these upper aerodigestive tract malignancies collectively highlights a significant disease burden in this anatomical region, many of which are strongly associated with tobacco and alcohol use (</w:t>
      </w:r>
      <w:proofErr w:type="spellStart"/>
      <w:r w:rsidRPr="00632BFC">
        <w:rPr>
          <w:rFonts w:ascii="Arial" w:hAnsi="Arial" w:cs="Arial"/>
          <w:sz w:val="20"/>
          <w:szCs w:val="20"/>
        </w:rPr>
        <w:t>Vioque</w:t>
      </w:r>
      <w:proofErr w:type="spellEnd"/>
      <w:r w:rsidRPr="00632BFC">
        <w:rPr>
          <w:rFonts w:ascii="Arial" w:hAnsi="Arial" w:cs="Arial"/>
          <w:sz w:val="20"/>
          <w:szCs w:val="20"/>
        </w:rPr>
        <w:t xml:space="preserve"> et al., 2008). Gastrointestinal cancers also constituted a substantial portion of the cancer burden, with gastric cancer contributing 7.1% and colorectal cancers (rectum and colon combined) accounting for 6.8% of male malignancies.</w:t>
      </w:r>
    </w:p>
    <w:p w14:paraId="606B118C" w14:textId="77777777" w:rsidR="00A108C9" w:rsidRPr="00632BFC" w:rsidRDefault="00A108C9" w:rsidP="00632BFC">
      <w:pPr>
        <w:pStyle w:val="PlainText"/>
        <w:jc w:val="both"/>
        <w:rPr>
          <w:rFonts w:ascii="Arial" w:hAnsi="Arial" w:cs="Arial"/>
          <w:sz w:val="20"/>
          <w:szCs w:val="20"/>
        </w:rPr>
      </w:pPr>
    </w:p>
    <w:p w14:paraId="068D1136" w14:textId="77777777" w:rsid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3. </w:t>
      </w:r>
      <w:r w:rsidR="00A108C9" w:rsidRPr="009D452D">
        <w:rPr>
          <w:rFonts w:ascii="Arial" w:hAnsi="Arial" w:cs="Arial"/>
          <w:b/>
          <w:sz w:val="20"/>
          <w:szCs w:val="20"/>
        </w:rPr>
        <w:t>Rank, Number (#), and Relative Proportion (%) of Leading Cancer Sites in Females</w:t>
      </w:r>
    </w:p>
    <w:p w14:paraId="6CDA06ED" w14:textId="77777777" w:rsidR="00A108C9" w:rsidRPr="009D452D" w:rsidRDefault="00A108C9" w:rsidP="009D452D">
      <w:pPr>
        <w:pStyle w:val="PlainText"/>
        <w:jc w:val="center"/>
        <w:rPr>
          <w:rFonts w:ascii="Arial" w:hAnsi="Arial" w:cs="Arial"/>
          <w:b/>
          <w:sz w:val="20"/>
          <w:szCs w:val="20"/>
        </w:rPr>
      </w:pPr>
    </w:p>
    <w:tbl>
      <w:tblPr>
        <w:tblW w:w="6526" w:type="dxa"/>
        <w:jc w:val="center"/>
        <w:tblLook w:val="04A0" w:firstRow="1" w:lastRow="0" w:firstColumn="1" w:lastColumn="0" w:noHBand="0" w:noVBand="1"/>
      </w:tblPr>
      <w:tblGrid>
        <w:gridCol w:w="996"/>
        <w:gridCol w:w="3063"/>
        <w:gridCol w:w="1210"/>
        <w:gridCol w:w="1257"/>
      </w:tblGrid>
      <w:tr w:rsidR="009D452D" w:rsidRPr="009D452D" w14:paraId="70327AFE" w14:textId="77777777" w:rsidTr="00A8124F">
        <w:trPr>
          <w:trHeight w:val="373"/>
          <w:jc w:val="center"/>
        </w:trPr>
        <w:tc>
          <w:tcPr>
            <w:tcW w:w="996" w:type="dxa"/>
            <w:tcBorders>
              <w:top w:val="single" w:sz="4" w:space="0" w:color="auto"/>
              <w:left w:val="single" w:sz="4" w:space="0" w:color="auto"/>
              <w:bottom w:val="single" w:sz="4" w:space="0" w:color="auto"/>
              <w:right w:val="single" w:sz="4" w:space="0" w:color="auto"/>
            </w:tcBorders>
            <w:vAlign w:val="center"/>
            <w:hideMark/>
          </w:tcPr>
          <w:p w14:paraId="0348A8CA" w14:textId="77777777" w:rsidR="009D452D" w:rsidRPr="009D452D" w:rsidRDefault="009D452D" w:rsidP="00A8124F">
            <w:pPr>
              <w:rPr>
                <w:rFonts w:ascii="Arial" w:hAnsi="Arial" w:cs="Arial"/>
                <w:b/>
                <w:bCs/>
                <w:color w:val="000000"/>
                <w:sz w:val="20"/>
                <w:szCs w:val="20"/>
              </w:rPr>
            </w:pPr>
            <w:r w:rsidRPr="009D452D">
              <w:rPr>
                <w:rFonts w:ascii="Arial" w:hAnsi="Arial" w:cs="Arial"/>
                <w:b/>
                <w:bCs/>
                <w:color w:val="000000"/>
                <w:sz w:val="20"/>
                <w:szCs w:val="20"/>
              </w:rPr>
              <w:t>Rank</w:t>
            </w:r>
          </w:p>
        </w:tc>
        <w:tc>
          <w:tcPr>
            <w:tcW w:w="3063" w:type="dxa"/>
            <w:tcBorders>
              <w:top w:val="single" w:sz="4" w:space="0" w:color="auto"/>
              <w:left w:val="nil"/>
              <w:bottom w:val="single" w:sz="4" w:space="0" w:color="auto"/>
              <w:right w:val="single" w:sz="4" w:space="0" w:color="auto"/>
            </w:tcBorders>
            <w:noWrap/>
            <w:vAlign w:val="center"/>
            <w:hideMark/>
          </w:tcPr>
          <w:p w14:paraId="157FF61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Sites of Cancer</w:t>
            </w:r>
          </w:p>
        </w:tc>
        <w:tc>
          <w:tcPr>
            <w:tcW w:w="1210" w:type="dxa"/>
            <w:tcBorders>
              <w:top w:val="single" w:sz="4" w:space="0" w:color="auto"/>
              <w:left w:val="nil"/>
              <w:bottom w:val="single" w:sz="4" w:space="0" w:color="auto"/>
              <w:right w:val="single" w:sz="4" w:space="0" w:color="auto"/>
            </w:tcBorders>
            <w:vAlign w:val="center"/>
            <w:hideMark/>
          </w:tcPr>
          <w:p w14:paraId="690FDC38"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57" w:type="dxa"/>
            <w:tcBorders>
              <w:top w:val="single" w:sz="4" w:space="0" w:color="auto"/>
              <w:left w:val="nil"/>
              <w:bottom w:val="single" w:sz="4" w:space="0" w:color="auto"/>
              <w:right w:val="single" w:sz="4" w:space="0" w:color="auto"/>
            </w:tcBorders>
            <w:vAlign w:val="center"/>
            <w:hideMark/>
          </w:tcPr>
          <w:p w14:paraId="20802C5C"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51007B76"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5BA55D9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w:t>
            </w:r>
          </w:p>
        </w:tc>
        <w:tc>
          <w:tcPr>
            <w:tcW w:w="3063" w:type="dxa"/>
            <w:tcBorders>
              <w:top w:val="nil"/>
              <w:left w:val="nil"/>
              <w:bottom w:val="single" w:sz="4" w:space="0" w:color="auto"/>
              <w:right w:val="single" w:sz="4" w:space="0" w:color="auto"/>
            </w:tcBorders>
            <w:vAlign w:val="center"/>
            <w:hideMark/>
          </w:tcPr>
          <w:p w14:paraId="7204DC8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Breast</w:t>
            </w:r>
          </w:p>
        </w:tc>
        <w:tc>
          <w:tcPr>
            <w:tcW w:w="1210" w:type="dxa"/>
            <w:tcBorders>
              <w:top w:val="nil"/>
              <w:left w:val="nil"/>
              <w:bottom w:val="single" w:sz="4" w:space="0" w:color="auto"/>
              <w:right w:val="single" w:sz="4" w:space="0" w:color="auto"/>
            </w:tcBorders>
            <w:vAlign w:val="center"/>
            <w:hideMark/>
          </w:tcPr>
          <w:p w14:paraId="3F8DCD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1530</w:t>
            </w:r>
          </w:p>
        </w:tc>
        <w:tc>
          <w:tcPr>
            <w:tcW w:w="1257" w:type="dxa"/>
            <w:tcBorders>
              <w:top w:val="nil"/>
              <w:left w:val="nil"/>
              <w:bottom w:val="single" w:sz="4" w:space="0" w:color="auto"/>
              <w:right w:val="single" w:sz="4" w:space="0" w:color="auto"/>
            </w:tcBorders>
            <w:vAlign w:val="center"/>
            <w:hideMark/>
          </w:tcPr>
          <w:p w14:paraId="3E11EEB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20.0</w:t>
            </w:r>
          </w:p>
        </w:tc>
      </w:tr>
      <w:tr w:rsidR="009D452D" w:rsidRPr="009D452D" w14:paraId="6D2A3B3F"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1A8D3D8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w:t>
            </w:r>
          </w:p>
        </w:tc>
        <w:tc>
          <w:tcPr>
            <w:tcW w:w="3063" w:type="dxa"/>
            <w:tcBorders>
              <w:top w:val="nil"/>
              <w:left w:val="nil"/>
              <w:bottom w:val="single" w:sz="4" w:space="0" w:color="auto"/>
              <w:right w:val="single" w:sz="4" w:space="0" w:color="auto"/>
            </w:tcBorders>
            <w:vAlign w:val="center"/>
            <w:hideMark/>
          </w:tcPr>
          <w:p w14:paraId="377F225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Cervix Uteri</w:t>
            </w:r>
          </w:p>
        </w:tc>
        <w:tc>
          <w:tcPr>
            <w:tcW w:w="1210" w:type="dxa"/>
            <w:tcBorders>
              <w:top w:val="nil"/>
              <w:left w:val="nil"/>
              <w:bottom w:val="single" w:sz="4" w:space="0" w:color="auto"/>
              <w:right w:val="single" w:sz="4" w:space="0" w:color="auto"/>
            </w:tcBorders>
            <w:vAlign w:val="center"/>
            <w:hideMark/>
          </w:tcPr>
          <w:p w14:paraId="23552E7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1251</w:t>
            </w:r>
          </w:p>
        </w:tc>
        <w:tc>
          <w:tcPr>
            <w:tcW w:w="1257" w:type="dxa"/>
            <w:tcBorders>
              <w:top w:val="nil"/>
              <w:left w:val="nil"/>
              <w:bottom w:val="single" w:sz="4" w:space="0" w:color="auto"/>
              <w:right w:val="single" w:sz="4" w:space="0" w:color="auto"/>
            </w:tcBorders>
            <w:vAlign w:val="center"/>
            <w:hideMark/>
          </w:tcPr>
          <w:p w14:paraId="15E429F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16.3</w:t>
            </w:r>
          </w:p>
        </w:tc>
      </w:tr>
      <w:tr w:rsidR="009D452D" w:rsidRPr="009D452D" w14:paraId="64A54D23"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082FD64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w:t>
            </w:r>
          </w:p>
        </w:tc>
        <w:tc>
          <w:tcPr>
            <w:tcW w:w="3063" w:type="dxa"/>
            <w:tcBorders>
              <w:top w:val="nil"/>
              <w:left w:val="nil"/>
              <w:bottom w:val="single" w:sz="4" w:space="0" w:color="auto"/>
              <w:right w:val="single" w:sz="4" w:space="0" w:color="auto"/>
            </w:tcBorders>
            <w:vAlign w:val="center"/>
            <w:hideMark/>
          </w:tcPr>
          <w:p w14:paraId="2E3C14F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Gallbladder etc.</w:t>
            </w:r>
          </w:p>
        </w:tc>
        <w:tc>
          <w:tcPr>
            <w:tcW w:w="1210" w:type="dxa"/>
            <w:tcBorders>
              <w:top w:val="nil"/>
              <w:left w:val="nil"/>
              <w:bottom w:val="single" w:sz="4" w:space="0" w:color="auto"/>
              <w:right w:val="single" w:sz="4" w:space="0" w:color="auto"/>
            </w:tcBorders>
            <w:vAlign w:val="center"/>
            <w:hideMark/>
          </w:tcPr>
          <w:p w14:paraId="51FD4A4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842</w:t>
            </w:r>
          </w:p>
        </w:tc>
        <w:tc>
          <w:tcPr>
            <w:tcW w:w="1257" w:type="dxa"/>
            <w:tcBorders>
              <w:top w:val="nil"/>
              <w:left w:val="nil"/>
              <w:bottom w:val="single" w:sz="4" w:space="0" w:color="auto"/>
              <w:right w:val="single" w:sz="4" w:space="0" w:color="auto"/>
            </w:tcBorders>
            <w:vAlign w:val="center"/>
            <w:hideMark/>
          </w:tcPr>
          <w:p w14:paraId="7D16897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11.0</w:t>
            </w:r>
          </w:p>
        </w:tc>
      </w:tr>
      <w:tr w:rsidR="009D452D" w:rsidRPr="009D452D" w14:paraId="124FC5A1"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348D118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w:t>
            </w:r>
          </w:p>
        </w:tc>
        <w:tc>
          <w:tcPr>
            <w:tcW w:w="3063" w:type="dxa"/>
            <w:tcBorders>
              <w:top w:val="nil"/>
              <w:left w:val="nil"/>
              <w:bottom w:val="single" w:sz="4" w:space="0" w:color="auto"/>
              <w:right w:val="single" w:sz="4" w:space="0" w:color="auto"/>
            </w:tcBorders>
            <w:vAlign w:val="center"/>
            <w:hideMark/>
          </w:tcPr>
          <w:p w14:paraId="22E7464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Esophagus</w:t>
            </w:r>
          </w:p>
        </w:tc>
        <w:tc>
          <w:tcPr>
            <w:tcW w:w="1210" w:type="dxa"/>
            <w:tcBorders>
              <w:top w:val="nil"/>
              <w:left w:val="nil"/>
              <w:bottom w:val="single" w:sz="4" w:space="0" w:color="auto"/>
              <w:right w:val="single" w:sz="4" w:space="0" w:color="auto"/>
            </w:tcBorders>
            <w:vAlign w:val="center"/>
            <w:hideMark/>
          </w:tcPr>
          <w:p w14:paraId="1D7F2B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653</w:t>
            </w:r>
          </w:p>
        </w:tc>
        <w:tc>
          <w:tcPr>
            <w:tcW w:w="1257" w:type="dxa"/>
            <w:tcBorders>
              <w:top w:val="nil"/>
              <w:left w:val="nil"/>
              <w:bottom w:val="single" w:sz="4" w:space="0" w:color="auto"/>
              <w:right w:val="single" w:sz="4" w:space="0" w:color="auto"/>
            </w:tcBorders>
            <w:vAlign w:val="center"/>
            <w:hideMark/>
          </w:tcPr>
          <w:p w14:paraId="32AF836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8.5</w:t>
            </w:r>
          </w:p>
        </w:tc>
      </w:tr>
      <w:tr w:rsidR="009D452D" w:rsidRPr="009D452D" w14:paraId="23063704"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195D7D7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w:t>
            </w:r>
          </w:p>
        </w:tc>
        <w:tc>
          <w:tcPr>
            <w:tcW w:w="3063" w:type="dxa"/>
            <w:tcBorders>
              <w:top w:val="nil"/>
              <w:left w:val="nil"/>
              <w:bottom w:val="single" w:sz="4" w:space="0" w:color="auto"/>
              <w:right w:val="single" w:sz="4" w:space="0" w:color="auto"/>
            </w:tcBorders>
            <w:vAlign w:val="center"/>
            <w:hideMark/>
          </w:tcPr>
          <w:p w14:paraId="32A31F1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Mouth</w:t>
            </w:r>
          </w:p>
        </w:tc>
        <w:tc>
          <w:tcPr>
            <w:tcW w:w="1210" w:type="dxa"/>
            <w:tcBorders>
              <w:top w:val="nil"/>
              <w:left w:val="nil"/>
              <w:bottom w:val="single" w:sz="4" w:space="0" w:color="auto"/>
              <w:right w:val="single" w:sz="4" w:space="0" w:color="auto"/>
            </w:tcBorders>
            <w:vAlign w:val="center"/>
            <w:hideMark/>
          </w:tcPr>
          <w:p w14:paraId="36ED700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396</w:t>
            </w:r>
          </w:p>
        </w:tc>
        <w:tc>
          <w:tcPr>
            <w:tcW w:w="1257" w:type="dxa"/>
            <w:tcBorders>
              <w:top w:val="nil"/>
              <w:left w:val="nil"/>
              <w:bottom w:val="single" w:sz="4" w:space="0" w:color="auto"/>
              <w:right w:val="single" w:sz="4" w:space="0" w:color="auto"/>
            </w:tcBorders>
            <w:vAlign w:val="center"/>
            <w:hideMark/>
          </w:tcPr>
          <w:p w14:paraId="4DF09EB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5.2</w:t>
            </w:r>
          </w:p>
        </w:tc>
      </w:tr>
      <w:tr w:rsidR="009D452D" w:rsidRPr="009D452D" w14:paraId="614A78BD"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4079481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w:t>
            </w:r>
          </w:p>
        </w:tc>
        <w:tc>
          <w:tcPr>
            <w:tcW w:w="3063" w:type="dxa"/>
            <w:tcBorders>
              <w:top w:val="nil"/>
              <w:left w:val="nil"/>
              <w:bottom w:val="single" w:sz="4" w:space="0" w:color="auto"/>
              <w:right w:val="single" w:sz="4" w:space="0" w:color="auto"/>
            </w:tcBorders>
            <w:vAlign w:val="center"/>
            <w:hideMark/>
          </w:tcPr>
          <w:p w14:paraId="07CF06E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Ovary etc.</w:t>
            </w:r>
          </w:p>
        </w:tc>
        <w:tc>
          <w:tcPr>
            <w:tcW w:w="1210" w:type="dxa"/>
            <w:tcBorders>
              <w:top w:val="nil"/>
              <w:left w:val="nil"/>
              <w:bottom w:val="single" w:sz="4" w:space="0" w:color="auto"/>
              <w:right w:val="single" w:sz="4" w:space="0" w:color="auto"/>
            </w:tcBorders>
            <w:vAlign w:val="center"/>
            <w:hideMark/>
          </w:tcPr>
          <w:p w14:paraId="2C47908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376</w:t>
            </w:r>
          </w:p>
        </w:tc>
        <w:tc>
          <w:tcPr>
            <w:tcW w:w="1257" w:type="dxa"/>
            <w:tcBorders>
              <w:top w:val="nil"/>
              <w:left w:val="nil"/>
              <w:bottom w:val="single" w:sz="4" w:space="0" w:color="auto"/>
              <w:right w:val="single" w:sz="4" w:space="0" w:color="auto"/>
            </w:tcBorders>
            <w:vAlign w:val="center"/>
            <w:hideMark/>
          </w:tcPr>
          <w:p w14:paraId="508033A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4.9</w:t>
            </w:r>
          </w:p>
        </w:tc>
      </w:tr>
      <w:tr w:rsidR="009D452D" w:rsidRPr="009D452D" w14:paraId="7D3808EB"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0106DA2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7</w:t>
            </w:r>
          </w:p>
        </w:tc>
        <w:tc>
          <w:tcPr>
            <w:tcW w:w="3063" w:type="dxa"/>
            <w:tcBorders>
              <w:top w:val="nil"/>
              <w:left w:val="nil"/>
              <w:bottom w:val="single" w:sz="4" w:space="0" w:color="auto"/>
              <w:right w:val="single" w:sz="4" w:space="0" w:color="auto"/>
            </w:tcBorders>
            <w:vAlign w:val="center"/>
            <w:hideMark/>
          </w:tcPr>
          <w:p w14:paraId="7EEBEEC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Stomach</w:t>
            </w:r>
          </w:p>
        </w:tc>
        <w:tc>
          <w:tcPr>
            <w:tcW w:w="1210" w:type="dxa"/>
            <w:tcBorders>
              <w:top w:val="nil"/>
              <w:left w:val="nil"/>
              <w:bottom w:val="single" w:sz="4" w:space="0" w:color="auto"/>
              <w:right w:val="single" w:sz="4" w:space="0" w:color="auto"/>
            </w:tcBorders>
            <w:vAlign w:val="center"/>
            <w:hideMark/>
          </w:tcPr>
          <w:p w14:paraId="3C34DFC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318</w:t>
            </w:r>
          </w:p>
        </w:tc>
        <w:tc>
          <w:tcPr>
            <w:tcW w:w="1257" w:type="dxa"/>
            <w:tcBorders>
              <w:top w:val="nil"/>
              <w:left w:val="nil"/>
              <w:bottom w:val="single" w:sz="4" w:space="0" w:color="auto"/>
              <w:right w:val="single" w:sz="4" w:space="0" w:color="auto"/>
            </w:tcBorders>
            <w:vAlign w:val="center"/>
            <w:hideMark/>
          </w:tcPr>
          <w:p w14:paraId="5379A83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4.2</w:t>
            </w:r>
          </w:p>
        </w:tc>
      </w:tr>
      <w:tr w:rsidR="009D452D" w:rsidRPr="009D452D" w14:paraId="0D8204A3"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69BB1AA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w:t>
            </w:r>
          </w:p>
        </w:tc>
        <w:tc>
          <w:tcPr>
            <w:tcW w:w="3063" w:type="dxa"/>
            <w:tcBorders>
              <w:top w:val="nil"/>
              <w:left w:val="nil"/>
              <w:bottom w:val="single" w:sz="4" w:space="0" w:color="auto"/>
              <w:right w:val="single" w:sz="4" w:space="0" w:color="auto"/>
            </w:tcBorders>
            <w:vAlign w:val="center"/>
            <w:hideMark/>
          </w:tcPr>
          <w:p w14:paraId="49F964A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Lung etc.</w:t>
            </w:r>
          </w:p>
        </w:tc>
        <w:tc>
          <w:tcPr>
            <w:tcW w:w="1210" w:type="dxa"/>
            <w:tcBorders>
              <w:top w:val="nil"/>
              <w:left w:val="nil"/>
              <w:bottom w:val="single" w:sz="4" w:space="0" w:color="auto"/>
              <w:right w:val="single" w:sz="4" w:space="0" w:color="auto"/>
            </w:tcBorders>
            <w:vAlign w:val="center"/>
            <w:hideMark/>
          </w:tcPr>
          <w:p w14:paraId="7F98716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220</w:t>
            </w:r>
          </w:p>
        </w:tc>
        <w:tc>
          <w:tcPr>
            <w:tcW w:w="1257" w:type="dxa"/>
            <w:tcBorders>
              <w:top w:val="nil"/>
              <w:left w:val="nil"/>
              <w:bottom w:val="single" w:sz="4" w:space="0" w:color="auto"/>
              <w:right w:val="single" w:sz="4" w:space="0" w:color="auto"/>
            </w:tcBorders>
            <w:vAlign w:val="center"/>
            <w:hideMark/>
          </w:tcPr>
          <w:p w14:paraId="16426DF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2.9</w:t>
            </w:r>
          </w:p>
        </w:tc>
      </w:tr>
      <w:tr w:rsidR="009D452D" w:rsidRPr="009D452D" w14:paraId="4FE578C8"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4FF89B8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lastRenderedPageBreak/>
              <w:t>9</w:t>
            </w:r>
          </w:p>
        </w:tc>
        <w:tc>
          <w:tcPr>
            <w:tcW w:w="3063" w:type="dxa"/>
            <w:tcBorders>
              <w:top w:val="nil"/>
              <w:left w:val="nil"/>
              <w:bottom w:val="single" w:sz="4" w:space="0" w:color="auto"/>
              <w:right w:val="single" w:sz="4" w:space="0" w:color="auto"/>
            </w:tcBorders>
            <w:vAlign w:val="center"/>
            <w:hideMark/>
          </w:tcPr>
          <w:p w14:paraId="0F72B035"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Rectum</w:t>
            </w:r>
          </w:p>
        </w:tc>
        <w:tc>
          <w:tcPr>
            <w:tcW w:w="1210" w:type="dxa"/>
            <w:tcBorders>
              <w:top w:val="nil"/>
              <w:left w:val="nil"/>
              <w:bottom w:val="single" w:sz="4" w:space="0" w:color="auto"/>
              <w:right w:val="single" w:sz="4" w:space="0" w:color="auto"/>
            </w:tcBorders>
            <w:vAlign w:val="center"/>
            <w:hideMark/>
          </w:tcPr>
          <w:p w14:paraId="3DDE9CE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215</w:t>
            </w:r>
          </w:p>
        </w:tc>
        <w:tc>
          <w:tcPr>
            <w:tcW w:w="1257" w:type="dxa"/>
            <w:tcBorders>
              <w:top w:val="nil"/>
              <w:left w:val="nil"/>
              <w:bottom w:val="single" w:sz="4" w:space="0" w:color="auto"/>
              <w:right w:val="single" w:sz="4" w:space="0" w:color="auto"/>
            </w:tcBorders>
            <w:vAlign w:val="center"/>
            <w:hideMark/>
          </w:tcPr>
          <w:p w14:paraId="2035ED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2.8</w:t>
            </w:r>
          </w:p>
        </w:tc>
      </w:tr>
      <w:tr w:rsidR="009D452D" w:rsidRPr="009D452D" w14:paraId="6344C4C0"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3157615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w:t>
            </w:r>
          </w:p>
        </w:tc>
        <w:tc>
          <w:tcPr>
            <w:tcW w:w="3063" w:type="dxa"/>
            <w:tcBorders>
              <w:top w:val="nil"/>
              <w:left w:val="nil"/>
              <w:bottom w:val="single" w:sz="4" w:space="0" w:color="auto"/>
              <w:right w:val="single" w:sz="4" w:space="0" w:color="auto"/>
            </w:tcBorders>
            <w:vAlign w:val="center"/>
            <w:hideMark/>
          </w:tcPr>
          <w:p w14:paraId="003EAB9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Hypopharynx</w:t>
            </w:r>
          </w:p>
        </w:tc>
        <w:tc>
          <w:tcPr>
            <w:tcW w:w="1210" w:type="dxa"/>
            <w:tcBorders>
              <w:top w:val="nil"/>
              <w:left w:val="nil"/>
              <w:bottom w:val="single" w:sz="4" w:space="0" w:color="auto"/>
              <w:right w:val="single" w:sz="4" w:space="0" w:color="auto"/>
            </w:tcBorders>
            <w:vAlign w:val="center"/>
            <w:hideMark/>
          </w:tcPr>
          <w:p w14:paraId="7F4976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203</w:t>
            </w:r>
          </w:p>
        </w:tc>
        <w:tc>
          <w:tcPr>
            <w:tcW w:w="1257" w:type="dxa"/>
            <w:tcBorders>
              <w:top w:val="nil"/>
              <w:left w:val="nil"/>
              <w:bottom w:val="single" w:sz="4" w:space="0" w:color="auto"/>
              <w:right w:val="single" w:sz="4" w:space="0" w:color="auto"/>
            </w:tcBorders>
            <w:vAlign w:val="center"/>
            <w:hideMark/>
          </w:tcPr>
          <w:p w14:paraId="40644F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2.7</w:t>
            </w:r>
          </w:p>
        </w:tc>
      </w:tr>
      <w:tr w:rsidR="009D452D" w:rsidRPr="009D452D" w14:paraId="1CB078BA" w14:textId="77777777" w:rsidTr="00A8124F">
        <w:trPr>
          <w:trHeight w:val="373"/>
          <w:jc w:val="center"/>
        </w:trPr>
        <w:tc>
          <w:tcPr>
            <w:tcW w:w="996" w:type="dxa"/>
            <w:tcBorders>
              <w:top w:val="nil"/>
              <w:left w:val="single" w:sz="4" w:space="0" w:color="auto"/>
              <w:bottom w:val="single" w:sz="4" w:space="0" w:color="auto"/>
              <w:right w:val="single" w:sz="4" w:space="0" w:color="auto"/>
            </w:tcBorders>
            <w:vAlign w:val="center"/>
            <w:hideMark/>
          </w:tcPr>
          <w:p w14:paraId="603CD529" w14:textId="77777777" w:rsidR="009D452D" w:rsidRPr="009D452D" w:rsidRDefault="009D452D" w:rsidP="00A8124F">
            <w:pPr>
              <w:rPr>
                <w:rFonts w:ascii="Arial" w:hAnsi="Arial" w:cs="Arial"/>
                <w:color w:val="000000"/>
                <w:sz w:val="20"/>
                <w:szCs w:val="20"/>
              </w:rPr>
            </w:pPr>
            <w:r w:rsidRPr="009D452D">
              <w:rPr>
                <w:rFonts w:ascii="Arial" w:hAnsi="Arial" w:cs="Arial"/>
                <w:color w:val="000000"/>
                <w:sz w:val="20"/>
                <w:szCs w:val="20"/>
              </w:rPr>
              <w:t> </w:t>
            </w:r>
          </w:p>
        </w:tc>
        <w:tc>
          <w:tcPr>
            <w:tcW w:w="3063" w:type="dxa"/>
            <w:tcBorders>
              <w:top w:val="nil"/>
              <w:left w:val="nil"/>
              <w:bottom w:val="single" w:sz="4" w:space="0" w:color="auto"/>
              <w:right w:val="single" w:sz="4" w:space="0" w:color="auto"/>
            </w:tcBorders>
            <w:vAlign w:val="center"/>
            <w:hideMark/>
          </w:tcPr>
          <w:p w14:paraId="18CA76D0"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All Sites</w:t>
            </w:r>
          </w:p>
        </w:tc>
        <w:tc>
          <w:tcPr>
            <w:tcW w:w="1210" w:type="dxa"/>
            <w:tcBorders>
              <w:top w:val="nil"/>
              <w:left w:val="nil"/>
              <w:bottom w:val="single" w:sz="4" w:space="0" w:color="auto"/>
              <w:right w:val="single" w:sz="4" w:space="0" w:color="auto"/>
            </w:tcBorders>
            <w:vAlign w:val="center"/>
            <w:hideMark/>
          </w:tcPr>
          <w:p w14:paraId="2A3CD92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7653</w:t>
            </w:r>
          </w:p>
        </w:tc>
        <w:tc>
          <w:tcPr>
            <w:tcW w:w="1257" w:type="dxa"/>
            <w:tcBorders>
              <w:top w:val="nil"/>
              <w:left w:val="nil"/>
              <w:bottom w:val="single" w:sz="4" w:space="0" w:color="auto"/>
              <w:right w:val="single" w:sz="4" w:space="0" w:color="auto"/>
            </w:tcBorders>
            <w:vAlign w:val="center"/>
            <w:hideMark/>
          </w:tcPr>
          <w:p w14:paraId="7B62E9CE"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391438D5" w14:textId="77777777" w:rsidR="009D452D" w:rsidRPr="00D30BE4" w:rsidRDefault="009D452D" w:rsidP="009D452D">
      <w:pPr>
        <w:pStyle w:val="PlainText"/>
        <w:spacing w:line="360" w:lineRule="auto"/>
        <w:jc w:val="both"/>
        <w:rPr>
          <w:rFonts w:ascii="Arial" w:hAnsi="Arial" w:cs="Arial"/>
          <w:sz w:val="24"/>
          <w:szCs w:val="24"/>
        </w:rPr>
      </w:pPr>
    </w:p>
    <w:p w14:paraId="57D5253C" w14:textId="77777777" w:rsidR="009D452D" w:rsidRPr="00D30BE4" w:rsidRDefault="009D452D" w:rsidP="009D452D">
      <w:pPr>
        <w:pStyle w:val="PlainText"/>
        <w:spacing w:line="360" w:lineRule="auto"/>
        <w:jc w:val="both"/>
        <w:rPr>
          <w:rFonts w:ascii="Arial" w:hAnsi="Arial" w:cs="Arial"/>
          <w:sz w:val="24"/>
          <w:szCs w:val="24"/>
        </w:rPr>
      </w:pPr>
      <w:r w:rsidRPr="00D30BE4">
        <w:rPr>
          <w:rFonts w:ascii="Arial" w:hAnsi="Arial" w:cs="Arial"/>
          <w:noProof/>
          <w:sz w:val="24"/>
          <w:szCs w:val="24"/>
        </w:rPr>
        <w:drawing>
          <wp:inline distT="0" distB="0" distL="0" distR="0" wp14:anchorId="092AE7BA" wp14:editId="4E087F18">
            <wp:extent cx="5765800" cy="3390900"/>
            <wp:effectExtent l="0" t="0" r="6350" b="0"/>
            <wp:docPr id="844171109" name="Chart 1">
              <a:extLst xmlns:a="http://schemas.openxmlformats.org/drawingml/2006/main">
                <a:ext uri="{FF2B5EF4-FFF2-40B4-BE49-F238E27FC236}">
                  <a16:creationId xmlns:a16="http://schemas.microsoft.com/office/drawing/2014/main" id="{2082FEA6-84D4-91AD-2641-AECCE11A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02512E" w14:textId="77777777" w:rsidR="009D452D" w:rsidRPr="009D452D" w:rsidRDefault="009D452D" w:rsidP="009D452D">
      <w:pPr>
        <w:spacing w:before="120"/>
        <w:jc w:val="center"/>
        <w:rPr>
          <w:rFonts w:ascii="Arial" w:hAnsi="Arial" w:cs="Arial"/>
          <w:b/>
          <w:sz w:val="20"/>
          <w:szCs w:val="20"/>
        </w:rPr>
      </w:pPr>
      <w:r w:rsidRPr="009D452D">
        <w:rPr>
          <w:rFonts w:ascii="Arial" w:hAnsi="Arial" w:cs="Arial"/>
          <w:b/>
          <w:sz w:val="20"/>
          <w:szCs w:val="20"/>
        </w:rPr>
        <w:t>Figure:3 Top ten Leading Sites of Cancer -Females</w:t>
      </w:r>
    </w:p>
    <w:p w14:paraId="1EF11825"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7,653 registered female cancer cases, breast cancer was the most frequent diagnosis (1,530 cases, 20.0%), followed by cervical cancer (1,251 cases, 16.3%). Esophageal cancer ranked fourth among female malignancies, accounting for 653 cases (8.5%). This distribution reflects the dual burden of gender-specific malignancies (breast, cervix, ovary) and upper aerodigestive tract cancers amenable to preventive interventions. The findings underline the imperative for comprehensive, gender-sensitive cancer control strategies incorporating enhanced screening for breast and cervical cancers alongside prevention programs targeting modifiable risk factors associated with gastrointestinal and upper aerodigestive tract malignancies.</w:t>
      </w:r>
    </w:p>
    <w:p w14:paraId="22381364" w14:textId="77777777" w:rsidR="00A108C9" w:rsidRPr="00632BFC" w:rsidRDefault="00A108C9" w:rsidP="00A8124F">
      <w:pPr>
        <w:pStyle w:val="PlainText"/>
        <w:rPr>
          <w:rFonts w:ascii="Arial" w:hAnsi="Arial" w:cs="Arial"/>
          <w:sz w:val="20"/>
          <w:szCs w:val="20"/>
        </w:rPr>
      </w:pPr>
    </w:p>
    <w:p w14:paraId="5C4CB5E6"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3.3 Tobacco-Related Cancers</w:t>
      </w:r>
    </w:p>
    <w:p w14:paraId="05EB18D7" w14:textId="77777777" w:rsidR="00A108C9" w:rsidRPr="00632BFC" w:rsidRDefault="00A108C9" w:rsidP="00632BFC">
      <w:pPr>
        <w:pStyle w:val="PlainText"/>
        <w:jc w:val="both"/>
        <w:rPr>
          <w:rFonts w:ascii="Arial" w:hAnsi="Arial" w:cs="Arial"/>
          <w:sz w:val="20"/>
          <w:szCs w:val="20"/>
        </w:rPr>
      </w:pPr>
    </w:p>
    <w:p w14:paraId="2724B33E" w14:textId="77777777" w:rsidR="00A108C9" w:rsidRP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4. </w:t>
      </w:r>
      <w:r w:rsidR="00A108C9" w:rsidRPr="009D452D">
        <w:rPr>
          <w:rFonts w:ascii="Arial" w:hAnsi="Arial" w:cs="Arial"/>
          <w:b/>
          <w:sz w:val="20"/>
          <w:szCs w:val="20"/>
        </w:rPr>
        <w:t>Number (#) and Proportion (%) of Tobacco-Related Cancers (TRC) Relative to All Sites of Cancer</w:t>
      </w:r>
    </w:p>
    <w:p w14:paraId="45FD21C6" w14:textId="77777777" w:rsidR="009D452D" w:rsidRDefault="009D452D" w:rsidP="00632BFC">
      <w:pPr>
        <w:pStyle w:val="PlainText"/>
        <w:jc w:val="both"/>
        <w:rPr>
          <w:rFonts w:ascii="Arial" w:hAnsi="Arial" w:cs="Arial"/>
          <w:sz w:val="20"/>
          <w:szCs w:val="20"/>
        </w:rPr>
      </w:pPr>
    </w:p>
    <w:tbl>
      <w:tblPr>
        <w:tblW w:w="7983" w:type="dxa"/>
        <w:tblInd w:w="682" w:type="dxa"/>
        <w:tblLook w:val="04A0" w:firstRow="1" w:lastRow="0" w:firstColumn="1" w:lastColumn="0" w:noHBand="0" w:noVBand="1"/>
      </w:tblPr>
      <w:tblGrid>
        <w:gridCol w:w="3253"/>
        <w:gridCol w:w="1241"/>
        <w:gridCol w:w="1124"/>
        <w:gridCol w:w="1241"/>
        <w:gridCol w:w="1124"/>
      </w:tblGrid>
      <w:tr w:rsidR="009D452D" w:rsidRPr="009D452D" w14:paraId="222B7165" w14:textId="77777777" w:rsidTr="00A8124F">
        <w:trPr>
          <w:trHeight w:val="368"/>
        </w:trPr>
        <w:tc>
          <w:tcPr>
            <w:tcW w:w="3253" w:type="dxa"/>
            <w:vMerge w:val="restart"/>
            <w:tcBorders>
              <w:top w:val="single" w:sz="4" w:space="0" w:color="auto"/>
              <w:left w:val="single" w:sz="4" w:space="0" w:color="auto"/>
              <w:bottom w:val="single" w:sz="4" w:space="0" w:color="000000"/>
              <w:right w:val="single" w:sz="4" w:space="0" w:color="auto"/>
            </w:tcBorders>
            <w:noWrap/>
            <w:vAlign w:val="center"/>
            <w:hideMark/>
          </w:tcPr>
          <w:p w14:paraId="1B05710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Sites of Cancer</w:t>
            </w:r>
          </w:p>
        </w:tc>
        <w:tc>
          <w:tcPr>
            <w:tcW w:w="2365" w:type="dxa"/>
            <w:gridSpan w:val="2"/>
            <w:tcBorders>
              <w:top w:val="single" w:sz="4" w:space="0" w:color="auto"/>
              <w:left w:val="nil"/>
              <w:bottom w:val="single" w:sz="4" w:space="0" w:color="auto"/>
              <w:right w:val="single" w:sz="4" w:space="0" w:color="000000"/>
            </w:tcBorders>
            <w:noWrap/>
            <w:vAlign w:val="center"/>
            <w:hideMark/>
          </w:tcPr>
          <w:p w14:paraId="3ACD4FE4"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Males</w:t>
            </w:r>
          </w:p>
        </w:tc>
        <w:tc>
          <w:tcPr>
            <w:tcW w:w="2365" w:type="dxa"/>
            <w:gridSpan w:val="2"/>
            <w:tcBorders>
              <w:top w:val="single" w:sz="4" w:space="0" w:color="auto"/>
              <w:left w:val="nil"/>
              <w:bottom w:val="single" w:sz="4" w:space="0" w:color="auto"/>
              <w:right w:val="single" w:sz="4" w:space="0" w:color="000000"/>
            </w:tcBorders>
            <w:noWrap/>
            <w:vAlign w:val="center"/>
            <w:hideMark/>
          </w:tcPr>
          <w:p w14:paraId="717EA276"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Females</w:t>
            </w:r>
          </w:p>
        </w:tc>
      </w:tr>
      <w:tr w:rsidR="009D452D" w:rsidRPr="009D452D" w14:paraId="512DBD82" w14:textId="77777777" w:rsidTr="00A8124F">
        <w:trPr>
          <w:trHeight w:val="368"/>
        </w:trPr>
        <w:tc>
          <w:tcPr>
            <w:tcW w:w="3253" w:type="dxa"/>
            <w:vMerge/>
            <w:tcBorders>
              <w:top w:val="single" w:sz="4" w:space="0" w:color="auto"/>
              <w:left w:val="single" w:sz="4" w:space="0" w:color="auto"/>
              <w:bottom w:val="single" w:sz="4" w:space="0" w:color="000000"/>
              <w:right w:val="single" w:sz="4" w:space="0" w:color="auto"/>
            </w:tcBorders>
            <w:vAlign w:val="center"/>
            <w:hideMark/>
          </w:tcPr>
          <w:p w14:paraId="77A9F226" w14:textId="77777777" w:rsidR="009D452D" w:rsidRPr="009D452D" w:rsidRDefault="009D452D" w:rsidP="00A8124F">
            <w:pPr>
              <w:rPr>
                <w:rFonts w:ascii="Arial" w:hAnsi="Arial" w:cs="Arial"/>
                <w:b/>
                <w:bCs/>
                <w:color w:val="000000"/>
                <w:sz w:val="20"/>
                <w:szCs w:val="20"/>
              </w:rPr>
            </w:pPr>
          </w:p>
        </w:tc>
        <w:tc>
          <w:tcPr>
            <w:tcW w:w="1241" w:type="dxa"/>
            <w:tcBorders>
              <w:top w:val="nil"/>
              <w:left w:val="nil"/>
              <w:bottom w:val="single" w:sz="4" w:space="0" w:color="auto"/>
              <w:right w:val="single" w:sz="4" w:space="0" w:color="auto"/>
            </w:tcBorders>
            <w:noWrap/>
            <w:vAlign w:val="center"/>
            <w:hideMark/>
          </w:tcPr>
          <w:p w14:paraId="4DBBA06D"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124" w:type="dxa"/>
            <w:tcBorders>
              <w:top w:val="nil"/>
              <w:left w:val="nil"/>
              <w:bottom w:val="single" w:sz="4" w:space="0" w:color="auto"/>
              <w:right w:val="single" w:sz="4" w:space="0" w:color="auto"/>
            </w:tcBorders>
            <w:noWrap/>
            <w:vAlign w:val="center"/>
            <w:hideMark/>
          </w:tcPr>
          <w:p w14:paraId="320662E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41" w:type="dxa"/>
            <w:tcBorders>
              <w:top w:val="nil"/>
              <w:left w:val="nil"/>
              <w:bottom w:val="single" w:sz="4" w:space="0" w:color="auto"/>
              <w:right w:val="single" w:sz="4" w:space="0" w:color="auto"/>
            </w:tcBorders>
            <w:noWrap/>
            <w:vAlign w:val="center"/>
            <w:hideMark/>
          </w:tcPr>
          <w:p w14:paraId="3A0DABBC"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124" w:type="dxa"/>
            <w:tcBorders>
              <w:top w:val="nil"/>
              <w:left w:val="nil"/>
              <w:bottom w:val="single" w:sz="4" w:space="0" w:color="auto"/>
              <w:right w:val="single" w:sz="4" w:space="0" w:color="auto"/>
            </w:tcBorders>
            <w:noWrap/>
            <w:vAlign w:val="center"/>
            <w:hideMark/>
          </w:tcPr>
          <w:p w14:paraId="3982276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336949F9"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62CBF51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Lip</w:t>
            </w:r>
          </w:p>
        </w:tc>
        <w:tc>
          <w:tcPr>
            <w:tcW w:w="1241" w:type="dxa"/>
            <w:tcBorders>
              <w:top w:val="nil"/>
              <w:left w:val="nil"/>
              <w:bottom w:val="single" w:sz="4" w:space="0" w:color="auto"/>
              <w:right w:val="single" w:sz="4" w:space="0" w:color="auto"/>
            </w:tcBorders>
            <w:noWrap/>
            <w:vAlign w:val="center"/>
            <w:hideMark/>
          </w:tcPr>
          <w:p w14:paraId="4585B3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38</w:t>
            </w:r>
          </w:p>
        </w:tc>
        <w:tc>
          <w:tcPr>
            <w:tcW w:w="1124" w:type="dxa"/>
            <w:tcBorders>
              <w:top w:val="nil"/>
              <w:left w:val="nil"/>
              <w:bottom w:val="single" w:sz="4" w:space="0" w:color="auto"/>
              <w:right w:val="single" w:sz="4" w:space="0" w:color="auto"/>
            </w:tcBorders>
            <w:noWrap/>
            <w:vAlign w:val="center"/>
            <w:hideMark/>
          </w:tcPr>
          <w:p w14:paraId="353EF2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0.3</w:t>
            </w:r>
          </w:p>
        </w:tc>
        <w:tc>
          <w:tcPr>
            <w:tcW w:w="1241" w:type="dxa"/>
            <w:tcBorders>
              <w:top w:val="nil"/>
              <w:left w:val="nil"/>
              <w:bottom w:val="single" w:sz="4" w:space="0" w:color="auto"/>
              <w:right w:val="single" w:sz="4" w:space="0" w:color="auto"/>
            </w:tcBorders>
            <w:noWrap/>
            <w:vAlign w:val="center"/>
            <w:hideMark/>
          </w:tcPr>
          <w:p w14:paraId="4AE3E19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26</w:t>
            </w:r>
          </w:p>
        </w:tc>
        <w:tc>
          <w:tcPr>
            <w:tcW w:w="1124" w:type="dxa"/>
            <w:tcBorders>
              <w:top w:val="nil"/>
              <w:left w:val="nil"/>
              <w:bottom w:val="single" w:sz="4" w:space="0" w:color="auto"/>
              <w:right w:val="single" w:sz="4" w:space="0" w:color="auto"/>
            </w:tcBorders>
            <w:noWrap/>
            <w:vAlign w:val="center"/>
            <w:hideMark/>
          </w:tcPr>
          <w:p w14:paraId="23529D4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7F2D0AC6"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6947955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Tongue</w:t>
            </w:r>
          </w:p>
        </w:tc>
        <w:tc>
          <w:tcPr>
            <w:tcW w:w="1241" w:type="dxa"/>
            <w:tcBorders>
              <w:top w:val="nil"/>
              <w:left w:val="nil"/>
              <w:bottom w:val="single" w:sz="4" w:space="0" w:color="auto"/>
              <w:right w:val="single" w:sz="4" w:space="0" w:color="auto"/>
            </w:tcBorders>
            <w:noWrap/>
            <w:vAlign w:val="center"/>
            <w:hideMark/>
          </w:tcPr>
          <w:p w14:paraId="7A3A350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538</w:t>
            </w:r>
          </w:p>
        </w:tc>
        <w:tc>
          <w:tcPr>
            <w:tcW w:w="1124" w:type="dxa"/>
            <w:tcBorders>
              <w:top w:val="nil"/>
              <w:left w:val="nil"/>
              <w:bottom w:val="single" w:sz="4" w:space="0" w:color="auto"/>
              <w:right w:val="single" w:sz="4" w:space="0" w:color="auto"/>
            </w:tcBorders>
            <w:noWrap/>
            <w:vAlign w:val="center"/>
            <w:hideMark/>
          </w:tcPr>
          <w:p w14:paraId="26112D6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4.4</w:t>
            </w:r>
          </w:p>
        </w:tc>
        <w:tc>
          <w:tcPr>
            <w:tcW w:w="1241" w:type="dxa"/>
            <w:tcBorders>
              <w:top w:val="nil"/>
              <w:left w:val="nil"/>
              <w:bottom w:val="single" w:sz="4" w:space="0" w:color="auto"/>
              <w:right w:val="single" w:sz="4" w:space="0" w:color="auto"/>
            </w:tcBorders>
            <w:noWrap/>
            <w:vAlign w:val="center"/>
            <w:hideMark/>
          </w:tcPr>
          <w:p w14:paraId="7C06A20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149</w:t>
            </w:r>
          </w:p>
        </w:tc>
        <w:tc>
          <w:tcPr>
            <w:tcW w:w="1124" w:type="dxa"/>
            <w:tcBorders>
              <w:top w:val="nil"/>
              <w:left w:val="nil"/>
              <w:bottom w:val="single" w:sz="4" w:space="0" w:color="auto"/>
              <w:right w:val="single" w:sz="4" w:space="0" w:color="auto"/>
            </w:tcBorders>
            <w:noWrap/>
            <w:vAlign w:val="center"/>
            <w:hideMark/>
          </w:tcPr>
          <w:p w14:paraId="2581C9F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w:t>
            </w:r>
          </w:p>
        </w:tc>
      </w:tr>
      <w:tr w:rsidR="009D452D" w:rsidRPr="009D452D" w14:paraId="545B0A9C"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7E03412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Mouth</w:t>
            </w:r>
          </w:p>
        </w:tc>
        <w:tc>
          <w:tcPr>
            <w:tcW w:w="1241" w:type="dxa"/>
            <w:tcBorders>
              <w:top w:val="nil"/>
              <w:left w:val="nil"/>
              <w:bottom w:val="single" w:sz="4" w:space="0" w:color="auto"/>
              <w:right w:val="single" w:sz="4" w:space="0" w:color="auto"/>
            </w:tcBorders>
            <w:noWrap/>
            <w:vAlign w:val="center"/>
            <w:hideMark/>
          </w:tcPr>
          <w:p w14:paraId="5DE7F68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768</w:t>
            </w:r>
          </w:p>
        </w:tc>
        <w:tc>
          <w:tcPr>
            <w:tcW w:w="1124" w:type="dxa"/>
            <w:tcBorders>
              <w:top w:val="nil"/>
              <w:left w:val="nil"/>
              <w:bottom w:val="single" w:sz="4" w:space="0" w:color="auto"/>
              <w:right w:val="single" w:sz="4" w:space="0" w:color="auto"/>
            </w:tcBorders>
            <w:noWrap/>
            <w:vAlign w:val="center"/>
            <w:hideMark/>
          </w:tcPr>
          <w:p w14:paraId="26EA304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6.3</w:t>
            </w:r>
          </w:p>
        </w:tc>
        <w:tc>
          <w:tcPr>
            <w:tcW w:w="1241" w:type="dxa"/>
            <w:tcBorders>
              <w:top w:val="nil"/>
              <w:left w:val="nil"/>
              <w:bottom w:val="single" w:sz="4" w:space="0" w:color="auto"/>
              <w:right w:val="single" w:sz="4" w:space="0" w:color="auto"/>
            </w:tcBorders>
            <w:noWrap/>
            <w:vAlign w:val="center"/>
            <w:hideMark/>
          </w:tcPr>
          <w:p w14:paraId="014BD2D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396</w:t>
            </w:r>
          </w:p>
        </w:tc>
        <w:tc>
          <w:tcPr>
            <w:tcW w:w="1124" w:type="dxa"/>
            <w:tcBorders>
              <w:top w:val="nil"/>
              <w:left w:val="nil"/>
              <w:bottom w:val="single" w:sz="4" w:space="0" w:color="auto"/>
              <w:right w:val="single" w:sz="4" w:space="0" w:color="auto"/>
            </w:tcBorders>
            <w:noWrap/>
            <w:vAlign w:val="center"/>
            <w:hideMark/>
          </w:tcPr>
          <w:p w14:paraId="54E445E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3.6</w:t>
            </w:r>
          </w:p>
        </w:tc>
      </w:tr>
      <w:tr w:rsidR="009D452D" w:rsidRPr="009D452D" w14:paraId="1528CB8E"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43B2D77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lastRenderedPageBreak/>
              <w:t>Oropharynx</w:t>
            </w:r>
          </w:p>
        </w:tc>
        <w:tc>
          <w:tcPr>
            <w:tcW w:w="1241" w:type="dxa"/>
            <w:tcBorders>
              <w:top w:val="nil"/>
              <w:left w:val="nil"/>
              <w:bottom w:val="single" w:sz="4" w:space="0" w:color="auto"/>
              <w:right w:val="single" w:sz="4" w:space="0" w:color="auto"/>
            </w:tcBorders>
            <w:noWrap/>
            <w:vAlign w:val="center"/>
            <w:hideMark/>
          </w:tcPr>
          <w:p w14:paraId="3F01C7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119</w:t>
            </w:r>
          </w:p>
        </w:tc>
        <w:tc>
          <w:tcPr>
            <w:tcW w:w="1124" w:type="dxa"/>
            <w:tcBorders>
              <w:top w:val="nil"/>
              <w:left w:val="nil"/>
              <w:bottom w:val="single" w:sz="4" w:space="0" w:color="auto"/>
              <w:right w:val="single" w:sz="4" w:space="0" w:color="auto"/>
            </w:tcBorders>
            <w:noWrap/>
            <w:vAlign w:val="center"/>
            <w:hideMark/>
          </w:tcPr>
          <w:p w14:paraId="425FB00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w:t>
            </w:r>
          </w:p>
        </w:tc>
        <w:tc>
          <w:tcPr>
            <w:tcW w:w="1241" w:type="dxa"/>
            <w:tcBorders>
              <w:top w:val="nil"/>
              <w:left w:val="nil"/>
              <w:bottom w:val="single" w:sz="4" w:space="0" w:color="auto"/>
              <w:right w:val="single" w:sz="4" w:space="0" w:color="auto"/>
            </w:tcBorders>
            <w:noWrap/>
            <w:vAlign w:val="center"/>
            <w:hideMark/>
          </w:tcPr>
          <w:p w14:paraId="6BF1E49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23</w:t>
            </w:r>
          </w:p>
        </w:tc>
        <w:tc>
          <w:tcPr>
            <w:tcW w:w="1124" w:type="dxa"/>
            <w:tcBorders>
              <w:top w:val="nil"/>
              <w:left w:val="nil"/>
              <w:bottom w:val="single" w:sz="4" w:space="0" w:color="auto"/>
              <w:right w:val="single" w:sz="4" w:space="0" w:color="auto"/>
            </w:tcBorders>
            <w:noWrap/>
            <w:vAlign w:val="center"/>
            <w:hideMark/>
          </w:tcPr>
          <w:p w14:paraId="39DAACE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18033308"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5915B6B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Hypopharynx</w:t>
            </w:r>
          </w:p>
        </w:tc>
        <w:tc>
          <w:tcPr>
            <w:tcW w:w="1241" w:type="dxa"/>
            <w:tcBorders>
              <w:top w:val="nil"/>
              <w:left w:val="nil"/>
              <w:bottom w:val="single" w:sz="4" w:space="0" w:color="auto"/>
              <w:right w:val="single" w:sz="4" w:space="0" w:color="auto"/>
            </w:tcBorders>
            <w:noWrap/>
            <w:vAlign w:val="center"/>
            <w:hideMark/>
          </w:tcPr>
          <w:p w14:paraId="310E6F4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1117</w:t>
            </w:r>
          </w:p>
        </w:tc>
        <w:tc>
          <w:tcPr>
            <w:tcW w:w="1124" w:type="dxa"/>
            <w:tcBorders>
              <w:top w:val="nil"/>
              <w:left w:val="nil"/>
              <w:bottom w:val="single" w:sz="4" w:space="0" w:color="auto"/>
              <w:right w:val="single" w:sz="4" w:space="0" w:color="auto"/>
            </w:tcBorders>
            <w:noWrap/>
            <w:vAlign w:val="center"/>
            <w:hideMark/>
          </w:tcPr>
          <w:p w14:paraId="11D0D65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9.1</w:t>
            </w:r>
          </w:p>
        </w:tc>
        <w:tc>
          <w:tcPr>
            <w:tcW w:w="1241" w:type="dxa"/>
            <w:tcBorders>
              <w:top w:val="nil"/>
              <w:left w:val="nil"/>
              <w:bottom w:val="single" w:sz="4" w:space="0" w:color="auto"/>
              <w:right w:val="single" w:sz="4" w:space="0" w:color="auto"/>
            </w:tcBorders>
            <w:noWrap/>
            <w:vAlign w:val="center"/>
            <w:hideMark/>
          </w:tcPr>
          <w:p w14:paraId="13BC44C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203</w:t>
            </w:r>
          </w:p>
        </w:tc>
        <w:tc>
          <w:tcPr>
            <w:tcW w:w="1124" w:type="dxa"/>
            <w:tcBorders>
              <w:top w:val="nil"/>
              <w:left w:val="nil"/>
              <w:bottom w:val="single" w:sz="4" w:space="0" w:color="auto"/>
              <w:right w:val="single" w:sz="4" w:space="0" w:color="auto"/>
            </w:tcBorders>
            <w:noWrap/>
            <w:vAlign w:val="center"/>
            <w:hideMark/>
          </w:tcPr>
          <w:p w14:paraId="38A7CA2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1.9</w:t>
            </w:r>
          </w:p>
        </w:tc>
      </w:tr>
      <w:tr w:rsidR="009D452D" w:rsidRPr="009D452D" w14:paraId="0CFA5C64"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4DC96CD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Pharynx</w:t>
            </w:r>
          </w:p>
        </w:tc>
        <w:tc>
          <w:tcPr>
            <w:tcW w:w="1241" w:type="dxa"/>
            <w:tcBorders>
              <w:top w:val="nil"/>
              <w:left w:val="nil"/>
              <w:bottom w:val="single" w:sz="4" w:space="0" w:color="auto"/>
              <w:right w:val="single" w:sz="4" w:space="0" w:color="auto"/>
            </w:tcBorders>
            <w:noWrap/>
            <w:vAlign w:val="center"/>
            <w:hideMark/>
          </w:tcPr>
          <w:p w14:paraId="4361FB2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94</w:t>
            </w:r>
          </w:p>
        </w:tc>
        <w:tc>
          <w:tcPr>
            <w:tcW w:w="1124" w:type="dxa"/>
            <w:tcBorders>
              <w:top w:val="nil"/>
              <w:left w:val="nil"/>
              <w:bottom w:val="single" w:sz="4" w:space="0" w:color="auto"/>
              <w:right w:val="single" w:sz="4" w:space="0" w:color="auto"/>
            </w:tcBorders>
            <w:noWrap/>
            <w:vAlign w:val="center"/>
            <w:hideMark/>
          </w:tcPr>
          <w:p w14:paraId="20EDE39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0.8</w:t>
            </w:r>
          </w:p>
        </w:tc>
        <w:tc>
          <w:tcPr>
            <w:tcW w:w="1241" w:type="dxa"/>
            <w:tcBorders>
              <w:top w:val="nil"/>
              <w:left w:val="nil"/>
              <w:bottom w:val="single" w:sz="4" w:space="0" w:color="auto"/>
              <w:right w:val="single" w:sz="4" w:space="0" w:color="auto"/>
            </w:tcBorders>
            <w:noWrap/>
            <w:vAlign w:val="center"/>
            <w:hideMark/>
          </w:tcPr>
          <w:p w14:paraId="6140BD1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18</w:t>
            </w:r>
          </w:p>
        </w:tc>
        <w:tc>
          <w:tcPr>
            <w:tcW w:w="1124" w:type="dxa"/>
            <w:tcBorders>
              <w:top w:val="nil"/>
              <w:left w:val="nil"/>
              <w:bottom w:val="single" w:sz="4" w:space="0" w:color="auto"/>
              <w:right w:val="single" w:sz="4" w:space="0" w:color="auto"/>
            </w:tcBorders>
            <w:noWrap/>
            <w:vAlign w:val="center"/>
            <w:hideMark/>
          </w:tcPr>
          <w:p w14:paraId="0BA3262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0.2</w:t>
            </w:r>
          </w:p>
        </w:tc>
      </w:tr>
      <w:tr w:rsidR="009D452D" w:rsidRPr="009D452D" w14:paraId="2D411F80"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7BB715B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Esophagus</w:t>
            </w:r>
          </w:p>
        </w:tc>
        <w:tc>
          <w:tcPr>
            <w:tcW w:w="1241" w:type="dxa"/>
            <w:tcBorders>
              <w:top w:val="nil"/>
              <w:left w:val="nil"/>
              <w:bottom w:val="single" w:sz="4" w:space="0" w:color="auto"/>
              <w:right w:val="single" w:sz="4" w:space="0" w:color="auto"/>
            </w:tcBorders>
            <w:noWrap/>
            <w:vAlign w:val="center"/>
            <w:hideMark/>
          </w:tcPr>
          <w:p w14:paraId="39C9A9F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1284</w:t>
            </w:r>
          </w:p>
        </w:tc>
        <w:tc>
          <w:tcPr>
            <w:tcW w:w="1124" w:type="dxa"/>
            <w:tcBorders>
              <w:top w:val="nil"/>
              <w:left w:val="nil"/>
              <w:bottom w:val="single" w:sz="4" w:space="0" w:color="auto"/>
              <w:right w:val="single" w:sz="4" w:space="0" w:color="auto"/>
            </w:tcBorders>
            <w:noWrap/>
            <w:vAlign w:val="center"/>
            <w:hideMark/>
          </w:tcPr>
          <w:p w14:paraId="088AF68D"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10.5</w:t>
            </w:r>
          </w:p>
        </w:tc>
        <w:tc>
          <w:tcPr>
            <w:tcW w:w="1241" w:type="dxa"/>
            <w:tcBorders>
              <w:top w:val="nil"/>
              <w:left w:val="nil"/>
              <w:bottom w:val="single" w:sz="4" w:space="0" w:color="auto"/>
              <w:right w:val="single" w:sz="4" w:space="0" w:color="auto"/>
            </w:tcBorders>
            <w:noWrap/>
            <w:vAlign w:val="center"/>
            <w:hideMark/>
          </w:tcPr>
          <w:p w14:paraId="5621361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653</w:t>
            </w:r>
          </w:p>
        </w:tc>
        <w:tc>
          <w:tcPr>
            <w:tcW w:w="1124" w:type="dxa"/>
            <w:tcBorders>
              <w:top w:val="nil"/>
              <w:left w:val="nil"/>
              <w:bottom w:val="single" w:sz="4" w:space="0" w:color="auto"/>
              <w:right w:val="single" w:sz="4" w:space="0" w:color="auto"/>
            </w:tcBorders>
            <w:noWrap/>
            <w:vAlign w:val="center"/>
            <w:hideMark/>
          </w:tcPr>
          <w:p w14:paraId="532428E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6.0</w:t>
            </w:r>
          </w:p>
        </w:tc>
      </w:tr>
      <w:tr w:rsidR="009D452D" w:rsidRPr="009D452D" w14:paraId="1F887DCB"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36622A3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Larynx</w:t>
            </w:r>
          </w:p>
        </w:tc>
        <w:tc>
          <w:tcPr>
            <w:tcW w:w="1241" w:type="dxa"/>
            <w:tcBorders>
              <w:top w:val="nil"/>
              <w:left w:val="nil"/>
              <w:bottom w:val="single" w:sz="4" w:space="0" w:color="auto"/>
              <w:right w:val="single" w:sz="4" w:space="0" w:color="auto"/>
            </w:tcBorders>
            <w:noWrap/>
            <w:vAlign w:val="center"/>
            <w:hideMark/>
          </w:tcPr>
          <w:p w14:paraId="6EFA937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217</w:t>
            </w:r>
          </w:p>
        </w:tc>
        <w:tc>
          <w:tcPr>
            <w:tcW w:w="1124" w:type="dxa"/>
            <w:tcBorders>
              <w:top w:val="nil"/>
              <w:left w:val="nil"/>
              <w:bottom w:val="single" w:sz="4" w:space="0" w:color="auto"/>
              <w:right w:val="single" w:sz="4" w:space="0" w:color="auto"/>
            </w:tcBorders>
            <w:noWrap/>
            <w:vAlign w:val="center"/>
            <w:hideMark/>
          </w:tcPr>
          <w:p w14:paraId="1DF71B8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1.8</w:t>
            </w:r>
          </w:p>
        </w:tc>
        <w:tc>
          <w:tcPr>
            <w:tcW w:w="1241" w:type="dxa"/>
            <w:tcBorders>
              <w:top w:val="nil"/>
              <w:left w:val="nil"/>
              <w:bottom w:val="single" w:sz="4" w:space="0" w:color="auto"/>
              <w:right w:val="single" w:sz="4" w:space="0" w:color="auto"/>
            </w:tcBorders>
            <w:noWrap/>
            <w:vAlign w:val="center"/>
            <w:hideMark/>
          </w:tcPr>
          <w:p w14:paraId="2BE732C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58</w:t>
            </w:r>
          </w:p>
        </w:tc>
        <w:tc>
          <w:tcPr>
            <w:tcW w:w="1124" w:type="dxa"/>
            <w:tcBorders>
              <w:top w:val="nil"/>
              <w:left w:val="nil"/>
              <w:bottom w:val="single" w:sz="4" w:space="0" w:color="auto"/>
              <w:right w:val="single" w:sz="4" w:space="0" w:color="auto"/>
            </w:tcBorders>
            <w:noWrap/>
            <w:vAlign w:val="center"/>
            <w:hideMark/>
          </w:tcPr>
          <w:p w14:paraId="5F92D880"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0.5</w:t>
            </w:r>
          </w:p>
        </w:tc>
      </w:tr>
      <w:tr w:rsidR="009D452D" w:rsidRPr="009D452D" w14:paraId="50DFBB7D"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524E9FA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Lung</w:t>
            </w:r>
          </w:p>
        </w:tc>
        <w:tc>
          <w:tcPr>
            <w:tcW w:w="1241" w:type="dxa"/>
            <w:tcBorders>
              <w:top w:val="nil"/>
              <w:left w:val="nil"/>
              <w:bottom w:val="single" w:sz="4" w:space="0" w:color="auto"/>
              <w:right w:val="single" w:sz="4" w:space="0" w:color="auto"/>
            </w:tcBorders>
            <w:noWrap/>
            <w:vAlign w:val="center"/>
            <w:hideMark/>
          </w:tcPr>
          <w:p w14:paraId="2D507BE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539</w:t>
            </w:r>
          </w:p>
        </w:tc>
        <w:tc>
          <w:tcPr>
            <w:tcW w:w="1124" w:type="dxa"/>
            <w:tcBorders>
              <w:top w:val="nil"/>
              <w:left w:val="nil"/>
              <w:bottom w:val="single" w:sz="4" w:space="0" w:color="auto"/>
              <w:right w:val="single" w:sz="4" w:space="0" w:color="auto"/>
            </w:tcBorders>
            <w:noWrap/>
            <w:vAlign w:val="center"/>
            <w:hideMark/>
          </w:tcPr>
          <w:p w14:paraId="03AE0E6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4.4</w:t>
            </w:r>
          </w:p>
        </w:tc>
        <w:tc>
          <w:tcPr>
            <w:tcW w:w="1241" w:type="dxa"/>
            <w:tcBorders>
              <w:top w:val="nil"/>
              <w:left w:val="nil"/>
              <w:bottom w:val="single" w:sz="4" w:space="0" w:color="auto"/>
              <w:right w:val="single" w:sz="4" w:space="0" w:color="auto"/>
            </w:tcBorders>
            <w:noWrap/>
            <w:vAlign w:val="center"/>
            <w:hideMark/>
          </w:tcPr>
          <w:p w14:paraId="476B7C2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220</w:t>
            </w:r>
          </w:p>
        </w:tc>
        <w:tc>
          <w:tcPr>
            <w:tcW w:w="1124" w:type="dxa"/>
            <w:tcBorders>
              <w:top w:val="nil"/>
              <w:left w:val="nil"/>
              <w:bottom w:val="single" w:sz="4" w:space="0" w:color="auto"/>
              <w:right w:val="single" w:sz="4" w:space="0" w:color="auto"/>
            </w:tcBorders>
            <w:noWrap/>
            <w:vAlign w:val="center"/>
            <w:hideMark/>
          </w:tcPr>
          <w:p w14:paraId="0187C6BC"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2.0</w:t>
            </w:r>
          </w:p>
        </w:tc>
      </w:tr>
      <w:tr w:rsidR="009D452D" w:rsidRPr="009D452D" w14:paraId="3F16A95B" w14:textId="77777777" w:rsidTr="00A8124F">
        <w:trPr>
          <w:trHeight w:val="368"/>
        </w:trPr>
        <w:tc>
          <w:tcPr>
            <w:tcW w:w="3253" w:type="dxa"/>
            <w:tcBorders>
              <w:top w:val="nil"/>
              <w:left w:val="single" w:sz="4" w:space="0" w:color="auto"/>
              <w:bottom w:val="single" w:sz="4" w:space="0" w:color="auto"/>
              <w:right w:val="single" w:sz="4" w:space="0" w:color="auto"/>
            </w:tcBorders>
            <w:noWrap/>
            <w:vAlign w:val="center"/>
            <w:hideMark/>
          </w:tcPr>
          <w:p w14:paraId="3228962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Urinary Bladder</w:t>
            </w:r>
          </w:p>
        </w:tc>
        <w:tc>
          <w:tcPr>
            <w:tcW w:w="1241" w:type="dxa"/>
            <w:tcBorders>
              <w:top w:val="nil"/>
              <w:left w:val="nil"/>
              <w:bottom w:val="single" w:sz="4" w:space="0" w:color="auto"/>
              <w:right w:val="single" w:sz="4" w:space="0" w:color="auto"/>
            </w:tcBorders>
            <w:noWrap/>
            <w:vAlign w:val="center"/>
            <w:hideMark/>
          </w:tcPr>
          <w:p w14:paraId="5A15697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66</w:t>
            </w:r>
          </w:p>
        </w:tc>
        <w:tc>
          <w:tcPr>
            <w:tcW w:w="1124" w:type="dxa"/>
            <w:tcBorders>
              <w:top w:val="nil"/>
              <w:left w:val="nil"/>
              <w:bottom w:val="single" w:sz="4" w:space="0" w:color="auto"/>
              <w:right w:val="single" w:sz="4" w:space="0" w:color="auto"/>
            </w:tcBorders>
            <w:noWrap/>
            <w:vAlign w:val="center"/>
            <w:hideMark/>
          </w:tcPr>
          <w:p w14:paraId="027C4B3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0.5</w:t>
            </w:r>
          </w:p>
        </w:tc>
        <w:tc>
          <w:tcPr>
            <w:tcW w:w="1241" w:type="dxa"/>
            <w:tcBorders>
              <w:top w:val="nil"/>
              <w:left w:val="nil"/>
              <w:bottom w:val="single" w:sz="4" w:space="0" w:color="auto"/>
              <w:right w:val="single" w:sz="4" w:space="0" w:color="auto"/>
            </w:tcBorders>
            <w:noWrap/>
            <w:vAlign w:val="center"/>
            <w:hideMark/>
          </w:tcPr>
          <w:p w14:paraId="755DFA9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w:t>
            </w:r>
          </w:p>
        </w:tc>
        <w:tc>
          <w:tcPr>
            <w:tcW w:w="1124" w:type="dxa"/>
            <w:tcBorders>
              <w:top w:val="nil"/>
              <w:left w:val="nil"/>
              <w:bottom w:val="single" w:sz="4" w:space="0" w:color="auto"/>
              <w:right w:val="single" w:sz="4" w:space="0" w:color="auto"/>
            </w:tcBorders>
            <w:noWrap/>
            <w:vAlign w:val="center"/>
            <w:hideMark/>
          </w:tcPr>
          <w:p w14:paraId="3163072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0.1</w:t>
            </w:r>
          </w:p>
        </w:tc>
      </w:tr>
      <w:tr w:rsidR="009D452D" w:rsidRPr="009D452D" w14:paraId="67D2DCA8" w14:textId="77777777" w:rsidTr="00A8124F">
        <w:trPr>
          <w:trHeight w:val="362"/>
        </w:trPr>
        <w:tc>
          <w:tcPr>
            <w:tcW w:w="3253" w:type="dxa"/>
            <w:tcBorders>
              <w:top w:val="nil"/>
              <w:left w:val="single" w:sz="4" w:space="0" w:color="auto"/>
              <w:bottom w:val="single" w:sz="4" w:space="0" w:color="auto"/>
              <w:right w:val="single" w:sz="4" w:space="0" w:color="auto"/>
            </w:tcBorders>
            <w:noWrap/>
            <w:vAlign w:val="center"/>
            <w:hideMark/>
          </w:tcPr>
          <w:p w14:paraId="636BCC6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TRC</w:t>
            </w:r>
          </w:p>
        </w:tc>
        <w:tc>
          <w:tcPr>
            <w:tcW w:w="1241" w:type="dxa"/>
            <w:tcBorders>
              <w:top w:val="nil"/>
              <w:left w:val="nil"/>
              <w:bottom w:val="single" w:sz="4" w:space="0" w:color="auto"/>
              <w:right w:val="single" w:sz="4" w:space="0" w:color="auto"/>
            </w:tcBorders>
            <w:noWrap/>
            <w:vAlign w:val="center"/>
            <w:hideMark/>
          </w:tcPr>
          <w:p w14:paraId="398D0B5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4780</w:t>
            </w:r>
          </w:p>
        </w:tc>
        <w:tc>
          <w:tcPr>
            <w:tcW w:w="1124" w:type="dxa"/>
            <w:tcBorders>
              <w:top w:val="nil"/>
              <w:left w:val="nil"/>
              <w:bottom w:val="single" w:sz="4" w:space="0" w:color="auto"/>
              <w:right w:val="single" w:sz="4" w:space="0" w:color="auto"/>
            </w:tcBorders>
            <w:noWrap/>
            <w:vAlign w:val="center"/>
            <w:hideMark/>
          </w:tcPr>
          <w:p w14:paraId="72F901D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39.2</w:t>
            </w:r>
          </w:p>
        </w:tc>
        <w:tc>
          <w:tcPr>
            <w:tcW w:w="1241" w:type="dxa"/>
            <w:tcBorders>
              <w:top w:val="nil"/>
              <w:left w:val="nil"/>
              <w:bottom w:val="single" w:sz="4" w:space="0" w:color="auto"/>
              <w:right w:val="single" w:sz="4" w:space="0" w:color="auto"/>
            </w:tcBorders>
            <w:noWrap/>
            <w:vAlign w:val="center"/>
            <w:hideMark/>
          </w:tcPr>
          <w:p w14:paraId="55C86AE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1760</w:t>
            </w:r>
          </w:p>
        </w:tc>
        <w:tc>
          <w:tcPr>
            <w:tcW w:w="1124" w:type="dxa"/>
            <w:tcBorders>
              <w:top w:val="nil"/>
              <w:left w:val="nil"/>
              <w:bottom w:val="single" w:sz="4" w:space="0" w:color="auto"/>
              <w:right w:val="single" w:sz="4" w:space="0" w:color="auto"/>
            </w:tcBorders>
            <w:noWrap/>
            <w:vAlign w:val="center"/>
            <w:hideMark/>
          </w:tcPr>
          <w:p w14:paraId="04B9D2A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16.2</w:t>
            </w:r>
          </w:p>
        </w:tc>
      </w:tr>
      <w:tr w:rsidR="009D452D" w:rsidRPr="009D452D" w14:paraId="74945859" w14:textId="77777777" w:rsidTr="00A8124F">
        <w:trPr>
          <w:trHeight w:val="350"/>
        </w:trPr>
        <w:tc>
          <w:tcPr>
            <w:tcW w:w="3253" w:type="dxa"/>
            <w:tcBorders>
              <w:top w:val="nil"/>
              <w:left w:val="single" w:sz="4" w:space="0" w:color="auto"/>
              <w:bottom w:val="single" w:sz="4" w:space="0" w:color="auto"/>
              <w:right w:val="single" w:sz="4" w:space="0" w:color="auto"/>
            </w:tcBorders>
            <w:noWrap/>
            <w:vAlign w:val="center"/>
            <w:hideMark/>
          </w:tcPr>
          <w:p w14:paraId="1F67F54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All Sites</w:t>
            </w:r>
          </w:p>
        </w:tc>
        <w:tc>
          <w:tcPr>
            <w:tcW w:w="1241" w:type="dxa"/>
            <w:tcBorders>
              <w:top w:val="nil"/>
              <w:left w:val="nil"/>
              <w:bottom w:val="single" w:sz="4" w:space="0" w:color="auto"/>
              <w:right w:val="single" w:sz="4" w:space="0" w:color="auto"/>
            </w:tcBorders>
            <w:noWrap/>
            <w:vAlign w:val="center"/>
            <w:hideMark/>
          </w:tcPr>
          <w:p w14:paraId="7239228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12209</w:t>
            </w:r>
          </w:p>
        </w:tc>
        <w:tc>
          <w:tcPr>
            <w:tcW w:w="1124" w:type="dxa"/>
            <w:tcBorders>
              <w:top w:val="nil"/>
              <w:left w:val="nil"/>
              <w:bottom w:val="single" w:sz="4" w:space="0" w:color="auto"/>
              <w:right w:val="single" w:sz="4" w:space="0" w:color="auto"/>
            </w:tcBorders>
            <w:noWrap/>
            <w:vAlign w:val="center"/>
            <w:hideMark/>
          </w:tcPr>
          <w:p w14:paraId="14EF1D78"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c>
          <w:tcPr>
            <w:tcW w:w="1241" w:type="dxa"/>
            <w:tcBorders>
              <w:top w:val="nil"/>
              <w:left w:val="nil"/>
              <w:bottom w:val="single" w:sz="4" w:space="0" w:color="auto"/>
              <w:right w:val="single" w:sz="4" w:space="0" w:color="auto"/>
            </w:tcBorders>
            <w:noWrap/>
            <w:vAlign w:val="center"/>
            <w:hideMark/>
          </w:tcPr>
          <w:p w14:paraId="344A388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10852</w:t>
            </w:r>
          </w:p>
        </w:tc>
        <w:tc>
          <w:tcPr>
            <w:tcW w:w="1124" w:type="dxa"/>
            <w:tcBorders>
              <w:top w:val="nil"/>
              <w:left w:val="nil"/>
              <w:bottom w:val="single" w:sz="4" w:space="0" w:color="auto"/>
              <w:right w:val="single" w:sz="4" w:space="0" w:color="auto"/>
            </w:tcBorders>
            <w:noWrap/>
            <w:vAlign w:val="center"/>
            <w:hideMark/>
          </w:tcPr>
          <w:p w14:paraId="1E671B70"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7A0E452A" w14:textId="77777777" w:rsidR="009D452D" w:rsidRDefault="009D452D" w:rsidP="00632BFC">
      <w:pPr>
        <w:pStyle w:val="PlainText"/>
        <w:jc w:val="both"/>
        <w:rPr>
          <w:rFonts w:ascii="Arial" w:hAnsi="Arial" w:cs="Arial"/>
          <w:sz w:val="20"/>
          <w:szCs w:val="20"/>
        </w:rPr>
      </w:pPr>
    </w:p>
    <w:p w14:paraId="10805FC3" w14:textId="77777777" w:rsidR="009D452D" w:rsidRDefault="009D452D" w:rsidP="00632BFC">
      <w:pPr>
        <w:pStyle w:val="PlainText"/>
        <w:jc w:val="both"/>
        <w:rPr>
          <w:rFonts w:ascii="Arial" w:hAnsi="Arial" w:cs="Arial"/>
          <w:sz w:val="20"/>
          <w:szCs w:val="20"/>
        </w:rPr>
      </w:pPr>
      <w:r w:rsidRPr="00D30BE4">
        <w:rPr>
          <w:rFonts w:ascii="Arial" w:hAnsi="Arial" w:cs="Arial"/>
          <w:noProof/>
          <w:sz w:val="24"/>
          <w:szCs w:val="24"/>
        </w:rPr>
        <w:drawing>
          <wp:inline distT="0" distB="0" distL="0" distR="0" wp14:anchorId="3700A239" wp14:editId="2E5C2AC4">
            <wp:extent cx="5865495" cy="3705225"/>
            <wp:effectExtent l="0" t="0" r="19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E666ED" w14:textId="77777777" w:rsidR="009D452D" w:rsidRPr="009D452D" w:rsidRDefault="009D452D" w:rsidP="009D452D">
      <w:pPr>
        <w:tabs>
          <w:tab w:val="left" w:pos="1600"/>
        </w:tabs>
        <w:spacing w:before="120" w:after="0"/>
        <w:jc w:val="center"/>
        <w:rPr>
          <w:rFonts w:ascii="Arial" w:hAnsi="Arial" w:cs="Arial"/>
          <w:b/>
          <w:sz w:val="20"/>
          <w:szCs w:val="20"/>
        </w:rPr>
      </w:pPr>
      <w:r w:rsidRPr="009D452D">
        <w:rPr>
          <w:rFonts w:ascii="Arial" w:hAnsi="Arial" w:cs="Arial"/>
          <w:b/>
          <w:sz w:val="20"/>
          <w:szCs w:val="20"/>
        </w:rPr>
        <w:t>Figure:4 Tobacco Related Cancers (TRC) Relative to all Sites of Cancer-Males &amp; Females</w:t>
      </w:r>
    </w:p>
    <w:p w14:paraId="4D075695" w14:textId="77777777" w:rsidR="009D452D" w:rsidRDefault="009D452D" w:rsidP="00632BFC">
      <w:pPr>
        <w:pStyle w:val="PlainText"/>
        <w:jc w:val="both"/>
        <w:rPr>
          <w:rFonts w:ascii="Arial" w:hAnsi="Arial" w:cs="Arial"/>
          <w:sz w:val="20"/>
          <w:szCs w:val="20"/>
        </w:rPr>
      </w:pPr>
    </w:p>
    <w:p w14:paraId="2D916CB8" w14:textId="54598FE8"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Tobacco-related cancers (TRCs) constituted a substantial proportion of the total cancer burden, accounting for 39.2% (4,780 of 12,209 cases) in males and 16.2% (1,760 of 10,852 cases) in females, demonstrating markedly higher prevalence in the male</w:t>
      </w:r>
      <w:r w:rsidR="00E36CEF">
        <w:rPr>
          <w:rFonts w:ascii="Arial" w:hAnsi="Arial" w:cs="Arial"/>
          <w:sz w:val="20"/>
          <w:szCs w:val="20"/>
        </w:rPr>
        <w:t xml:space="preserve"> population </w:t>
      </w:r>
      <w:r w:rsidR="00E36CEF" w:rsidRPr="00632BFC">
        <w:rPr>
          <w:rFonts w:ascii="Arial" w:hAnsi="Arial" w:cs="Arial"/>
          <w:sz w:val="20"/>
          <w:szCs w:val="20"/>
        </w:rPr>
        <w:t>(Reddy &amp; Gupta, 2004).</w:t>
      </w:r>
      <w:r w:rsidRPr="00632BFC">
        <w:rPr>
          <w:rFonts w:ascii="Arial" w:hAnsi="Arial" w:cs="Arial"/>
          <w:sz w:val="20"/>
          <w:szCs w:val="20"/>
        </w:rPr>
        <w:t xml:space="preserve"> Within the male TRC cohort, the esophagus represented the most frequently involved site (10.5%), followed by the hypopharynx (9.1%) and oral cavity (6.3%). Similar patterns were observed in females, with esophageal cancer constituting 6.0% of all female cancers, followed by oral cancers (3.6%) and lung cancer (2.0%).</w:t>
      </w:r>
    </w:p>
    <w:p w14:paraId="3F049979" w14:textId="77777777" w:rsidR="00A108C9" w:rsidRPr="00632BFC" w:rsidRDefault="00A108C9" w:rsidP="00632BFC">
      <w:pPr>
        <w:pStyle w:val="PlainText"/>
        <w:jc w:val="both"/>
        <w:rPr>
          <w:rFonts w:ascii="Arial" w:hAnsi="Arial" w:cs="Arial"/>
          <w:sz w:val="20"/>
          <w:szCs w:val="20"/>
        </w:rPr>
      </w:pPr>
    </w:p>
    <w:p w14:paraId="2E808D80" w14:textId="3DD13088"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gender disparity in TRC burden likely reflects substantial differences in tobacco consumption patterns, with males demonstrating higher usage rates, longer duration of tobacco exposure, and greater consumption of both smoked (cigarettes, bidis) and smokeless tobacco (pan-betel, </w:t>
      </w:r>
      <w:proofErr w:type="spellStart"/>
      <w:r w:rsidRPr="00632BFC">
        <w:rPr>
          <w:rFonts w:ascii="Arial" w:hAnsi="Arial" w:cs="Arial"/>
          <w:sz w:val="20"/>
          <w:szCs w:val="20"/>
        </w:rPr>
        <w:t>g</w:t>
      </w:r>
      <w:r w:rsidR="007D0445">
        <w:rPr>
          <w:rFonts w:ascii="Arial" w:hAnsi="Arial" w:cs="Arial"/>
          <w:sz w:val="20"/>
          <w:szCs w:val="20"/>
        </w:rPr>
        <w:t>utkha</w:t>
      </w:r>
      <w:proofErr w:type="spellEnd"/>
      <w:r w:rsidR="007D0445">
        <w:rPr>
          <w:rFonts w:ascii="Arial" w:hAnsi="Arial" w:cs="Arial"/>
          <w:sz w:val="20"/>
          <w:szCs w:val="20"/>
        </w:rPr>
        <w:t>) products (</w:t>
      </w:r>
      <w:r w:rsidR="007D0445" w:rsidRPr="003F053A">
        <w:rPr>
          <w:rFonts w:ascii="Arial" w:hAnsi="Arial" w:cs="Arial"/>
          <w:bCs/>
          <w:color w:val="000000" w:themeColor="text1"/>
          <w:sz w:val="20"/>
          <w:szCs w:val="20"/>
        </w:rPr>
        <w:t>Xiang</w:t>
      </w:r>
      <w:r w:rsidR="007D0445">
        <w:rPr>
          <w:rFonts w:ascii="Arial" w:hAnsi="Arial" w:cs="Arial"/>
          <w:sz w:val="20"/>
          <w:szCs w:val="20"/>
        </w:rPr>
        <w:t xml:space="preserve"> et al., 2022</w:t>
      </w:r>
      <w:r w:rsidRPr="00632BFC">
        <w:rPr>
          <w:rFonts w:ascii="Arial" w:hAnsi="Arial" w:cs="Arial"/>
          <w:sz w:val="20"/>
          <w:szCs w:val="20"/>
        </w:rPr>
        <w:t xml:space="preserve">). These findings emphasize the urgent requirement for targeted, site-specific tobacco control strategies, robust cessation programs, early detection initiatives, and community-based </w:t>
      </w:r>
      <w:r w:rsidRPr="00632BFC">
        <w:rPr>
          <w:rFonts w:ascii="Arial" w:hAnsi="Arial" w:cs="Arial"/>
          <w:sz w:val="20"/>
          <w:szCs w:val="20"/>
        </w:rPr>
        <w:lastRenderedPageBreak/>
        <w:t>awareness campaigns addressing high-risk tobacco-associated malignancies, particularly targeting vulnerable male populations in high-incidence regions.</w:t>
      </w:r>
    </w:p>
    <w:p w14:paraId="14C13979" w14:textId="77777777" w:rsidR="00A108C9" w:rsidRPr="00632BFC" w:rsidRDefault="00A108C9" w:rsidP="00632BFC">
      <w:pPr>
        <w:pStyle w:val="PlainText"/>
        <w:jc w:val="both"/>
        <w:rPr>
          <w:rFonts w:ascii="Arial" w:hAnsi="Arial" w:cs="Arial"/>
          <w:sz w:val="20"/>
          <w:szCs w:val="20"/>
        </w:rPr>
      </w:pPr>
    </w:p>
    <w:p w14:paraId="53C6A5DB"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3.4 Clinical Extent of Disease and Staging</w:t>
      </w:r>
    </w:p>
    <w:p w14:paraId="06D5A6AB" w14:textId="77777777" w:rsidR="00A108C9" w:rsidRPr="00632BFC" w:rsidRDefault="00A108C9" w:rsidP="00632BFC">
      <w:pPr>
        <w:pStyle w:val="PlainText"/>
        <w:jc w:val="both"/>
        <w:rPr>
          <w:rFonts w:ascii="Arial" w:hAnsi="Arial" w:cs="Arial"/>
          <w:sz w:val="20"/>
          <w:szCs w:val="20"/>
        </w:rPr>
      </w:pPr>
    </w:p>
    <w:p w14:paraId="4D679502" w14:textId="77777777" w:rsidR="009D452D" w:rsidRDefault="009D452D" w:rsidP="009D452D">
      <w:pPr>
        <w:pStyle w:val="PlainText"/>
        <w:jc w:val="center"/>
        <w:rPr>
          <w:rFonts w:ascii="Arial" w:hAnsi="Arial" w:cs="Arial"/>
          <w:b/>
          <w:sz w:val="20"/>
          <w:szCs w:val="20"/>
        </w:rPr>
      </w:pPr>
      <w:r w:rsidRPr="009D452D">
        <w:rPr>
          <w:rFonts w:ascii="Arial" w:hAnsi="Arial" w:cs="Arial"/>
          <w:b/>
          <w:sz w:val="20"/>
          <w:szCs w:val="20"/>
        </w:rPr>
        <w:t xml:space="preserve">Table 5. </w:t>
      </w:r>
      <w:r w:rsidR="00A108C9" w:rsidRPr="009D452D">
        <w:rPr>
          <w:rFonts w:ascii="Arial" w:hAnsi="Arial" w:cs="Arial"/>
          <w:b/>
          <w:sz w:val="20"/>
          <w:szCs w:val="20"/>
        </w:rPr>
        <w:t>Number (#) and Relative Proportion (%) of Esophageal Cancer Patients According to Clinical Extent of Disease (Treatment at Reporting Institution Only)</w:t>
      </w:r>
    </w:p>
    <w:p w14:paraId="19CC51FC" w14:textId="77777777" w:rsidR="009D452D" w:rsidRDefault="009D452D" w:rsidP="009D452D">
      <w:pPr>
        <w:pStyle w:val="PlainText"/>
        <w:jc w:val="center"/>
        <w:rPr>
          <w:rFonts w:ascii="Arial" w:hAnsi="Arial" w:cs="Arial"/>
          <w:b/>
          <w:sz w:val="20"/>
          <w:szCs w:val="20"/>
        </w:rPr>
      </w:pPr>
    </w:p>
    <w:tbl>
      <w:tblPr>
        <w:tblW w:w="8094" w:type="dxa"/>
        <w:jc w:val="center"/>
        <w:tblLook w:val="04A0" w:firstRow="1" w:lastRow="0" w:firstColumn="1" w:lastColumn="0" w:noHBand="0" w:noVBand="1"/>
      </w:tblPr>
      <w:tblGrid>
        <w:gridCol w:w="2464"/>
        <w:gridCol w:w="1500"/>
        <w:gridCol w:w="1433"/>
        <w:gridCol w:w="1402"/>
        <w:gridCol w:w="1295"/>
      </w:tblGrid>
      <w:tr w:rsidR="009D452D" w:rsidRPr="009D452D" w14:paraId="4CDB035E" w14:textId="77777777" w:rsidTr="00A8124F">
        <w:trPr>
          <w:trHeight w:val="464"/>
          <w:jc w:val="center"/>
        </w:trPr>
        <w:tc>
          <w:tcPr>
            <w:tcW w:w="2464" w:type="dxa"/>
            <w:vMerge w:val="restart"/>
            <w:tcBorders>
              <w:top w:val="single" w:sz="4" w:space="0" w:color="auto"/>
              <w:left w:val="single" w:sz="4" w:space="0" w:color="auto"/>
              <w:bottom w:val="single" w:sz="4" w:space="0" w:color="000000"/>
              <w:right w:val="single" w:sz="4" w:space="0" w:color="auto"/>
            </w:tcBorders>
            <w:noWrap/>
            <w:vAlign w:val="center"/>
            <w:hideMark/>
          </w:tcPr>
          <w:p w14:paraId="4E71E55F"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Clinical Extent</w:t>
            </w:r>
          </w:p>
        </w:tc>
        <w:tc>
          <w:tcPr>
            <w:tcW w:w="2933" w:type="dxa"/>
            <w:gridSpan w:val="2"/>
            <w:tcBorders>
              <w:top w:val="single" w:sz="4" w:space="0" w:color="auto"/>
              <w:left w:val="nil"/>
              <w:bottom w:val="single" w:sz="4" w:space="0" w:color="auto"/>
              <w:right w:val="single" w:sz="4" w:space="0" w:color="000000"/>
            </w:tcBorders>
            <w:noWrap/>
            <w:vAlign w:val="center"/>
            <w:hideMark/>
          </w:tcPr>
          <w:p w14:paraId="02794987"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Males</w:t>
            </w:r>
          </w:p>
        </w:tc>
        <w:tc>
          <w:tcPr>
            <w:tcW w:w="2697" w:type="dxa"/>
            <w:gridSpan w:val="2"/>
            <w:tcBorders>
              <w:top w:val="single" w:sz="4" w:space="0" w:color="auto"/>
              <w:left w:val="nil"/>
              <w:bottom w:val="single" w:sz="4" w:space="0" w:color="auto"/>
              <w:right w:val="single" w:sz="4" w:space="0" w:color="000000"/>
            </w:tcBorders>
            <w:noWrap/>
            <w:vAlign w:val="center"/>
            <w:hideMark/>
          </w:tcPr>
          <w:p w14:paraId="0206759F"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Females</w:t>
            </w:r>
          </w:p>
        </w:tc>
      </w:tr>
      <w:tr w:rsidR="009D452D" w:rsidRPr="009D452D" w14:paraId="34352BC0" w14:textId="77777777" w:rsidTr="00A8124F">
        <w:trPr>
          <w:trHeight w:val="464"/>
          <w:jc w:val="center"/>
        </w:trPr>
        <w:tc>
          <w:tcPr>
            <w:tcW w:w="2464" w:type="dxa"/>
            <w:vMerge/>
            <w:tcBorders>
              <w:top w:val="single" w:sz="4" w:space="0" w:color="auto"/>
              <w:left w:val="single" w:sz="4" w:space="0" w:color="auto"/>
              <w:bottom w:val="single" w:sz="4" w:space="0" w:color="000000"/>
              <w:right w:val="single" w:sz="4" w:space="0" w:color="auto"/>
            </w:tcBorders>
            <w:vAlign w:val="center"/>
            <w:hideMark/>
          </w:tcPr>
          <w:p w14:paraId="091D1D3D" w14:textId="77777777" w:rsidR="009D452D" w:rsidRPr="009D452D" w:rsidRDefault="009D452D" w:rsidP="00A8124F">
            <w:pPr>
              <w:rPr>
                <w:rFonts w:ascii="Arial" w:hAnsi="Arial" w:cs="Arial"/>
                <w:b/>
                <w:bCs/>
                <w:color w:val="000000"/>
                <w:sz w:val="20"/>
                <w:szCs w:val="20"/>
              </w:rPr>
            </w:pPr>
          </w:p>
        </w:tc>
        <w:tc>
          <w:tcPr>
            <w:tcW w:w="1500" w:type="dxa"/>
            <w:tcBorders>
              <w:top w:val="nil"/>
              <w:left w:val="nil"/>
              <w:bottom w:val="single" w:sz="4" w:space="0" w:color="auto"/>
              <w:right w:val="single" w:sz="4" w:space="0" w:color="auto"/>
            </w:tcBorders>
            <w:noWrap/>
            <w:vAlign w:val="center"/>
            <w:hideMark/>
          </w:tcPr>
          <w:p w14:paraId="3CF7752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433" w:type="dxa"/>
            <w:tcBorders>
              <w:top w:val="nil"/>
              <w:left w:val="nil"/>
              <w:bottom w:val="single" w:sz="4" w:space="0" w:color="auto"/>
              <w:right w:val="single" w:sz="4" w:space="0" w:color="auto"/>
            </w:tcBorders>
            <w:noWrap/>
            <w:vAlign w:val="center"/>
            <w:hideMark/>
          </w:tcPr>
          <w:p w14:paraId="7C56BB73"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402" w:type="dxa"/>
            <w:tcBorders>
              <w:top w:val="nil"/>
              <w:left w:val="nil"/>
              <w:bottom w:val="single" w:sz="4" w:space="0" w:color="auto"/>
              <w:right w:val="single" w:sz="4" w:space="0" w:color="auto"/>
            </w:tcBorders>
            <w:noWrap/>
            <w:vAlign w:val="center"/>
            <w:hideMark/>
          </w:tcPr>
          <w:p w14:paraId="266219E6"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c>
          <w:tcPr>
            <w:tcW w:w="1295" w:type="dxa"/>
            <w:tcBorders>
              <w:top w:val="nil"/>
              <w:left w:val="nil"/>
              <w:bottom w:val="single" w:sz="4" w:space="0" w:color="auto"/>
              <w:right w:val="single" w:sz="4" w:space="0" w:color="auto"/>
            </w:tcBorders>
            <w:noWrap/>
            <w:vAlign w:val="center"/>
            <w:hideMark/>
          </w:tcPr>
          <w:p w14:paraId="1C884E6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w:t>
            </w:r>
          </w:p>
        </w:tc>
      </w:tr>
      <w:tr w:rsidR="009D452D" w:rsidRPr="009D452D" w14:paraId="42EAE10F" w14:textId="77777777" w:rsidTr="00A8124F">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76DC2629" w14:textId="77777777" w:rsidR="009D452D" w:rsidRPr="009D452D" w:rsidRDefault="009D452D" w:rsidP="00A8124F">
            <w:pPr>
              <w:jc w:val="center"/>
              <w:rPr>
                <w:rFonts w:ascii="Arial" w:hAnsi="Arial" w:cs="Arial"/>
                <w:color w:val="000000"/>
                <w:sz w:val="20"/>
                <w:szCs w:val="20"/>
              </w:rPr>
            </w:pPr>
            <w:proofErr w:type="spellStart"/>
            <w:r w:rsidRPr="009D452D">
              <w:rPr>
                <w:rFonts w:ascii="Arial" w:hAnsi="Arial" w:cs="Arial"/>
                <w:color w:val="000000"/>
                <w:sz w:val="20"/>
                <w:szCs w:val="20"/>
              </w:rPr>
              <w:t>Localised</w:t>
            </w:r>
            <w:proofErr w:type="spellEnd"/>
            <w:r w:rsidRPr="009D452D">
              <w:rPr>
                <w:rFonts w:ascii="Arial" w:hAnsi="Arial" w:cs="Arial"/>
                <w:color w:val="000000"/>
                <w:sz w:val="20"/>
                <w:szCs w:val="20"/>
              </w:rPr>
              <w:t xml:space="preserve"> (L)</w:t>
            </w:r>
          </w:p>
        </w:tc>
        <w:tc>
          <w:tcPr>
            <w:tcW w:w="1500" w:type="dxa"/>
            <w:tcBorders>
              <w:top w:val="nil"/>
              <w:left w:val="nil"/>
              <w:bottom w:val="single" w:sz="4" w:space="0" w:color="auto"/>
              <w:right w:val="single" w:sz="4" w:space="0" w:color="auto"/>
            </w:tcBorders>
            <w:noWrap/>
            <w:vAlign w:val="center"/>
            <w:hideMark/>
          </w:tcPr>
          <w:p w14:paraId="76B0E2A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197</w:t>
            </w:r>
          </w:p>
        </w:tc>
        <w:tc>
          <w:tcPr>
            <w:tcW w:w="1433" w:type="dxa"/>
            <w:tcBorders>
              <w:top w:val="nil"/>
              <w:left w:val="nil"/>
              <w:bottom w:val="single" w:sz="4" w:space="0" w:color="auto"/>
              <w:right w:val="single" w:sz="4" w:space="0" w:color="auto"/>
            </w:tcBorders>
            <w:noWrap/>
            <w:vAlign w:val="center"/>
            <w:hideMark/>
          </w:tcPr>
          <w:p w14:paraId="7AF55413"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33.1</w:t>
            </w:r>
          </w:p>
        </w:tc>
        <w:tc>
          <w:tcPr>
            <w:tcW w:w="1402" w:type="dxa"/>
            <w:tcBorders>
              <w:top w:val="nil"/>
              <w:left w:val="nil"/>
              <w:bottom w:val="single" w:sz="4" w:space="0" w:color="auto"/>
              <w:right w:val="single" w:sz="4" w:space="0" w:color="auto"/>
            </w:tcBorders>
            <w:noWrap/>
            <w:vAlign w:val="center"/>
            <w:hideMark/>
          </w:tcPr>
          <w:p w14:paraId="30A74A8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98</w:t>
            </w:r>
          </w:p>
        </w:tc>
        <w:tc>
          <w:tcPr>
            <w:tcW w:w="1295" w:type="dxa"/>
            <w:tcBorders>
              <w:top w:val="nil"/>
              <w:left w:val="nil"/>
              <w:bottom w:val="single" w:sz="4" w:space="0" w:color="auto"/>
              <w:right w:val="single" w:sz="4" w:space="0" w:color="auto"/>
            </w:tcBorders>
            <w:noWrap/>
            <w:vAlign w:val="center"/>
            <w:hideMark/>
          </w:tcPr>
          <w:p w14:paraId="1CE2C6A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32.1</w:t>
            </w:r>
          </w:p>
        </w:tc>
      </w:tr>
      <w:tr w:rsidR="009D452D" w:rsidRPr="009D452D" w14:paraId="0095935C" w14:textId="77777777" w:rsidTr="00A8124F">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47C8DCB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Regional (R)</w:t>
            </w:r>
          </w:p>
        </w:tc>
        <w:tc>
          <w:tcPr>
            <w:tcW w:w="1500" w:type="dxa"/>
            <w:tcBorders>
              <w:top w:val="nil"/>
              <w:left w:val="nil"/>
              <w:bottom w:val="single" w:sz="4" w:space="0" w:color="auto"/>
              <w:right w:val="single" w:sz="4" w:space="0" w:color="auto"/>
            </w:tcBorders>
            <w:noWrap/>
            <w:vAlign w:val="center"/>
            <w:hideMark/>
          </w:tcPr>
          <w:p w14:paraId="7FC8DB6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313</w:t>
            </w:r>
          </w:p>
        </w:tc>
        <w:tc>
          <w:tcPr>
            <w:tcW w:w="1433" w:type="dxa"/>
            <w:tcBorders>
              <w:top w:val="nil"/>
              <w:left w:val="nil"/>
              <w:bottom w:val="single" w:sz="4" w:space="0" w:color="auto"/>
              <w:right w:val="single" w:sz="4" w:space="0" w:color="auto"/>
            </w:tcBorders>
            <w:noWrap/>
            <w:vAlign w:val="center"/>
            <w:hideMark/>
          </w:tcPr>
          <w:p w14:paraId="57970192"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52.5</w:t>
            </w:r>
          </w:p>
        </w:tc>
        <w:tc>
          <w:tcPr>
            <w:tcW w:w="1402" w:type="dxa"/>
            <w:tcBorders>
              <w:top w:val="nil"/>
              <w:left w:val="nil"/>
              <w:bottom w:val="single" w:sz="4" w:space="0" w:color="auto"/>
              <w:right w:val="single" w:sz="4" w:space="0" w:color="auto"/>
            </w:tcBorders>
            <w:noWrap/>
            <w:vAlign w:val="center"/>
            <w:hideMark/>
          </w:tcPr>
          <w:p w14:paraId="57242C8F"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164</w:t>
            </w:r>
          </w:p>
        </w:tc>
        <w:tc>
          <w:tcPr>
            <w:tcW w:w="1295" w:type="dxa"/>
            <w:tcBorders>
              <w:top w:val="nil"/>
              <w:left w:val="nil"/>
              <w:bottom w:val="single" w:sz="4" w:space="0" w:color="auto"/>
              <w:right w:val="single" w:sz="4" w:space="0" w:color="auto"/>
            </w:tcBorders>
            <w:noWrap/>
            <w:vAlign w:val="center"/>
            <w:hideMark/>
          </w:tcPr>
          <w:p w14:paraId="21CE40B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53.8</w:t>
            </w:r>
          </w:p>
        </w:tc>
      </w:tr>
      <w:tr w:rsidR="009D452D" w:rsidRPr="009D452D" w14:paraId="74CA9433" w14:textId="77777777" w:rsidTr="009D452D">
        <w:trPr>
          <w:trHeight w:val="464"/>
          <w:jc w:val="center"/>
        </w:trPr>
        <w:tc>
          <w:tcPr>
            <w:tcW w:w="2464" w:type="dxa"/>
            <w:tcBorders>
              <w:top w:val="nil"/>
              <w:left w:val="single" w:sz="4" w:space="0" w:color="auto"/>
              <w:bottom w:val="single" w:sz="4" w:space="0" w:color="auto"/>
              <w:right w:val="single" w:sz="4" w:space="0" w:color="auto"/>
            </w:tcBorders>
            <w:noWrap/>
            <w:vAlign w:val="center"/>
            <w:hideMark/>
          </w:tcPr>
          <w:p w14:paraId="0542F2F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L+R</w:t>
            </w:r>
          </w:p>
        </w:tc>
        <w:tc>
          <w:tcPr>
            <w:tcW w:w="1500" w:type="dxa"/>
            <w:tcBorders>
              <w:top w:val="nil"/>
              <w:left w:val="nil"/>
              <w:bottom w:val="single" w:sz="4" w:space="0" w:color="auto"/>
              <w:right w:val="single" w:sz="4" w:space="0" w:color="auto"/>
            </w:tcBorders>
            <w:noWrap/>
            <w:vAlign w:val="center"/>
            <w:hideMark/>
          </w:tcPr>
          <w:p w14:paraId="746F863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510</w:t>
            </w:r>
          </w:p>
        </w:tc>
        <w:tc>
          <w:tcPr>
            <w:tcW w:w="1433" w:type="dxa"/>
            <w:tcBorders>
              <w:top w:val="nil"/>
              <w:left w:val="nil"/>
              <w:bottom w:val="single" w:sz="4" w:space="0" w:color="auto"/>
              <w:right w:val="single" w:sz="4" w:space="0" w:color="auto"/>
            </w:tcBorders>
            <w:noWrap/>
            <w:vAlign w:val="center"/>
            <w:hideMark/>
          </w:tcPr>
          <w:p w14:paraId="757D79FA"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85.6</w:t>
            </w:r>
          </w:p>
        </w:tc>
        <w:tc>
          <w:tcPr>
            <w:tcW w:w="1402" w:type="dxa"/>
            <w:tcBorders>
              <w:top w:val="nil"/>
              <w:left w:val="nil"/>
              <w:bottom w:val="single" w:sz="4" w:space="0" w:color="auto"/>
              <w:right w:val="single" w:sz="4" w:space="0" w:color="auto"/>
            </w:tcBorders>
            <w:noWrap/>
            <w:vAlign w:val="center"/>
            <w:hideMark/>
          </w:tcPr>
          <w:p w14:paraId="69BD6607" w14:textId="10181EC5" w:rsidR="009D452D" w:rsidRPr="009D452D" w:rsidRDefault="001020B5" w:rsidP="00A8124F">
            <w:pPr>
              <w:jc w:val="center"/>
              <w:rPr>
                <w:rFonts w:ascii="Arial" w:hAnsi="Arial" w:cs="Arial"/>
                <w:color w:val="000000"/>
                <w:sz w:val="20"/>
                <w:szCs w:val="20"/>
              </w:rPr>
            </w:pPr>
            <w:r>
              <w:rPr>
                <w:rFonts w:ascii="Arial" w:hAnsi="Arial" w:cs="Arial"/>
                <w:color w:val="000000"/>
                <w:sz w:val="20"/>
                <w:szCs w:val="20"/>
              </w:rPr>
              <w:t>262</w:t>
            </w:r>
          </w:p>
        </w:tc>
        <w:tc>
          <w:tcPr>
            <w:tcW w:w="1295" w:type="dxa"/>
            <w:tcBorders>
              <w:top w:val="nil"/>
              <w:left w:val="nil"/>
              <w:bottom w:val="single" w:sz="4" w:space="0" w:color="auto"/>
              <w:right w:val="single" w:sz="4" w:space="0" w:color="auto"/>
            </w:tcBorders>
            <w:noWrap/>
            <w:vAlign w:val="center"/>
            <w:hideMark/>
          </w:tcPr>
          <w:p w14:paraId="21FFFE46" w14:textId="10F1E8B0" w:rsidR="009D452D" w:rsidRPr="009D452D" w:rsidRDefault="001020B5" w:rsidP="00A8124F">
            <w:pPr>
              <w:jc w:val="center"/>
              <w:rPr>
                <w:rFonts w:ascii="Arial" w:hAnsi="Arial" w:cs="Arial"/>
                <w:color w:val="000000"/>
                <w:sz w:val="20"/>
                <w:szCs w:val="20"/>
              </w:rPr>
            </w:pPr>
            <w:r>
              <w:rPr>
                <w:rFonts w:ascii="Arial" w:hAnsi="Arial" w:cs="Arial"/>
                <w:color w:val="000000"/>
                <w:sz w:val="20"/>
                <w:szCs w:val="20"/>
              </w:rPr>
              <w:t>85.9</w:t>
            </w:r>
          </w:p>
        </w:tc>
      </w:tr>
      <w:tr w:rsidR="009D452D" w:rsidRPr="009D452D" w14:paraId="3E0F78AA"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1AA46164"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Distant (D)</w:t>
            </w:r>
          </w:p>
        </w:tc>
        <w:tc>
          <w:tcPr>
            <w:tcW w:w="1500" w:type="dxa"/>
            <w:tcBorders>
              <w:top w:val="single" w:sz="4" w:space="0" w:color="auto"/>
              <w:left w:val="nil"/>
              <w:bottom w:val="single" w:sz="4" w:space="0" w:color="auto"/>
              <w:right w:val="single" w:sz="4" w:space="0" w:color="auto"/>
            </w:tcBorders>
            <w:noWrap/>
            <w:vAlign w:val="center"/>
            <w:hideMark/>
          </w:tcPr>
          <w:p w14:paraId="2F38EC5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86</w:t>
            </w:r>
          </w:p>
        </w:tc>
        <w:tc>
          <w:tcPr>
            <w:tcW w:w="1433" w:type="dxa"/>
            <w:tcBorders>
              <w:top w:val="single" w:sz="4" w:space="0" w:color="auto"/>
              <w:left w:val="nil"/>
              <w:bottom w:val="single" w:sz="4" w:space="0" w:color="auto"/>
              <w:right w:val="single" w:sz="4" w:space="0" w:color="auto"/>
            </w:tcBorders>
            <w:noWrap/>
            <w:vAlign w:val="center"/>
            <w:hideMark/>
          </w:tcPr>
          <w:p w14:paraId="35D02D4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14.4</w:t>
            </w:r>
          </w:p>
        </w:tc>
        <w:tc>
          <w:tcPr>
            <w:tcW w:w="1402" w:type="dxa"/>
            <w:tcBorders>
              <w:top w:val="single" w:sz="4" w:space="0" w:color="auto"/>
              <w:left w:val="nil"/>
              <w:bottom w:val="single" w:sz="4" w:space="0" w:color="auto"/>
              <w:right w:val="single" w:sz="4" w:space="0" w:color="auto"/>
            </w:tcBorders>
            <w:noWrap/>
            <w:vAlign w:val="center"/>
            <w:hideMark/>
          </w:tcPr>
          <w:p w14:paraId="0E66154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43</w:t>
            </w:r>
          </w:p>
        </w:tc>
        <w:tc>
          <w:tcPr>
            <w:tcW w:w="1295" w:type="dxa"/>
            <w:tcBorders>
              <w:top w:val="single" w:sz="4" w:space="0" w:color="auto"/>
              <w:left w:val="nil"/>
              <w:bottom w:val="single" w:sz="4" w:space="0" w:color="auto"/>
              <w:right w:val="single" w:sz="4" w:space="0" w:color="auto"/>
            </w:tcBorders>
            <w:noWrap/>
            <w:vAlign w:val="center"/>
            <w:hideMark/>
          </w:tcPr>
          <w:p w14:paraId="7D4AEA6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14.1</w:t>
            </w:r>
          </w:p>
        </w:tc>
      </w:tr>
      <w:tr w:rsidR="009D452D" w:rsidRPr="009D452D" w14:paraId="7D462232"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7294E65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Others</w:t>
            </w:r>
          </w:p>
        </w:tc>
        <w:tc>
          <w:tcPr>
            <w:tcW w:w="1500" w:type="dxa"/>
            <w:tcBorders>
              <w:top w:val="single" w:sz="4" w:space="0" w:color="auto"/>
              <w:left w:val="nil"/>
              <w:bottom w:val="single" w:sz="4" w:space="0" w:color="auto"/>
              <w:right w:val="single" w:sz="4" w:space="0" w:color="auto"/>
            </w:tcBorders>
            <w:noWrap/>
            <w:vAlign w:val="center"/>
            <w:hideMark/>
          </w:tcPr>
          <w:p w14:paraId="5555E74E"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33" w:type="dxa"/>
            <w:tcBorders>
              <w:top w:val="single" w:sz="4" w:space="0" w:color="auto"/>
              <w:left w:val="nil"/>
              <w:bottom w:val="single" w:sz="4" w:space="0" w:color="auto"/>
              <w:right w:val="single" w:sz="4" w:space="0" w:color="auto"/>
            </w:tcBorders>
            <w:noWrap/>
            <w:vAlign w:val="center"/>
            <w:hideMark/>
          </w:tcPr>
          <w:p w14:paraId="5B9788A8"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02" w:type="dxa"/>
            <w:tcBorders>
              <w:top w:val="single" w:sz="4" w:space="0" w:color="auto"/>
              <w:left w:val="nil"/>
              <w:bottom w:val="single" w:sz="4" w:space="0" w:color="auto"/>
              <w:right w:val="single" w:sz="4" w:space="0" w:color="auto"/>
            </w:tcBorders>
            <w:noWrap/>
            <w:vAlign w:val="center"/>
            <w:hideMark/>
          </w:tcPr>
          <w:p w14:paraId="5F626F65"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295" w:type="dxa"/>
            <w:tcBorders>
              <w:top w:val="single" w:sz="4" w:space="0" w:color="auto"/>
              <w:left w:val="nil"/>
              <w:bottom w:val="single" w:sz="4" w:space="0" w:color="auto"/>
              <w:right w:val="single" w:sz="4" w:space="0" w:color="auto"/>
            </w:tcBorders>
            <w:noWrap/>
            <w:vAlign w:val="center"/>
            <w:hideMark/>
          </w:tcPr>
          <w:p w14:paraId="5E5851C7"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r>
      <w:tr w:rsidR="009D452D" w:rsidRPr="009D452D" w14:paraId="12BD9A69"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069ACF61"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Unknown</w:t>
            </w:r>
          </w:p>
        </w:tc>
        <w:tc>
          <w:tcPr>
            <w:tcW w:w="1500" w:type="dxa"/>
            <w:tcBorders>
              <w:top w:val="single" w:sz="4" w:space="0" w:color="auto"/>
              <w:left w:val="nil"/>
              <w:bottom w:val="single" w:sz="4" w:space="0" w:color="auto"/>
              <w:right w:val="single" w:sz="4" w:space="0" w:color="auto"/>
            </w:tcBorders>
            <w:noWrap/>
            <w:vAlign w:val="center"/>
            <w:hideMark/>
          </w:tcPr>
          <w:p w14:paraId="7C126F69"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33" w:type="dxa"/>
            <w:tcBorders>
              <w:top w:val="single" w:sz="4" w:space="0" w:color="auto"/>
              <w:left w:val="nil"/>
              <w:bottom w:val="single" w:sz="4" w:space="0" w:color="auto"/>
              <w:right w:val="single" w:sz="4" w:space="0" w:color="auto"/>
            </w:tcBorders>
            <w:noWrap/>
            <w:vAlign w:val="center"/>
            <w:hideMark/>
          </w:tcPr>
          <w:p w14:paraId="6A4911A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402" w:type="dxa"/>
            <w:tcBorders>
              <w:top w:val="single" w:sz="4" w:space="0" w:color="auto"/>
              <w:left w:val="nil"/>
              <w:bottom w:val="single" w:sz="4" w:space="0" w:color="auto"/>
              <w:right w:val="single" w:sz="4" w:space="0" w:color="auto"/>
            </w:tcBorders>
            <w:noWrap/>
            <w:vAlign w:val="center"/>
            <w:hideMark/>
          </w:tcPr>
          <w:p w14:paraId="1037B726"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c>
          <w:tcPr>
            <w:tcW w:w="1295" w:type="dxa"/>
            <w:tcBorders>
              <w:top w:val="single" w:sz="4" w:space="0" w:color="auto"/>
              <w:left w:val="nil"/>
              <w:bottom w:val="single" w:sz="4" w:space="0" w:color="auto"/>
              <w:right w:val="single" w:sz="4" w:space="0" w:color="auto"/>
            </w:tcBorders>
            <w:noWrap/>
            <w:vAlign w:val="center"/>
            <w:hideMark/>
          </w:tcPr>
          <w:p w14:paraId="4479E11B" w14:textId="77777777" w:rsidR="009D452D" w:rsidRPr="009D452D" w:rsidRDefault="009D452D" w:rsidP="00A8124F">
            <w:pPr>
              <w:jc w:val="center"/>
              <w:rPr>
                <w:rFonts w:ascii="Arial" w:hAnsi="Arial" w:cs="Arial"/>
                <w:color w:val="000000"/>
                <w:sz w:val="20"/>
                <w:szCs w:val="20"/>
              </w:rPr>
            </w:pPr>
            <w:r w:rsidRPr="009D452D">
              <w:rPr>
                <w:rFonts w:ascii="Arial" w:hAnsi="Arial" w:cs="Arial"/>
                <w:color w:val="000000"/>
                <w:sz w:val="20"/>
                <w:szCs w:val="20"/>
              </w:rPr>
              <w:t>0</w:t>
            </w:r>
          </w:p>
        </w:tc>
      </w:tr>
      <w:tr w:rsidR="009D452D" w:rsidRPr="009D452D" w14:paraId="79D23977" w14:textId="77777777" w:rsidTr="009D452D">
        <w:trPr>
          <w:trHeight w:val="464"/>
          <w:jc w:val="center"/>
        </w:trPr>
        <w:tc>
          <w:tcPr>
            <w:tcW w:w="2464" w:type="dxa"/>
            <w:tcBorders>
              <w:top w:val="single" w:sz="4" w:space="0" w:color="auto"/>
              <w:left w:val="single" w:sz="4" w:space="0" w:color="auto"/>
              <w:bottom w:val="single" w:sz="4" w:space="0" w:color="auto"/>
              <w:right w:val="single" w:sz="4" w:space="0" w:color="auto"/>
            </w:tcBorders>
            <w:noWrap/>
            <w:vAlign w:val="center"/>
            <w:hideMark/>
          </w:tcPr>
          <w:p w14:paraId="0ED95A35"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Total (L+R+D)</w:t>
            </w:r>
          </w:p>
        </w:tc>
        <w:tc>
          <w:tcPr>
            <w:tcW w:w="1500" w:type="dxa"/>
            <w:tcBorders>
              <w:top w:val="single" w:sz="4" w:space="0" w:color="auto"/>
              <w:left w:val="nil"/>
              <w:bottom w:val="single" w:sz="4" w:space="0" w:color="auto"/>
              <w:right w:val="single" w:sz="4" w:space="0" w:color="auto"/>
            </w:tcBorders>
            <w:noWrap/>
            <w:vAlign w:val="center"/>
            <w:hideMark/>
          </w:tcPr>
          <w:p w14:paraId="43664F3D"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596</w:t>
            </w:r>
          </w:p>
        </w:tc>
        <w:tc>
          <w:tcPr>
            <w:tcW w:w="1433" w:type="dxa"/>
            <w:tcBorders>
              <w:top w:val="single" w:sz="4" w:space="0" w:color="auto"/>
              <w:left w:val="nil"/>
              <w:bottom w:val="single" w:sz="4" w:space="0" w:color="auto"/>
              <w:right w:val="single" w:sz="4" w:space="0" w:color="auto"/>
            </w:tcBorders>
            <w:noWrap/>
            <w:vAlign w:val="center"/>
            <w:hideMark/>
          </w:tcPr>
          <w:p w14:paraId="46FAA28A"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c>
          <w:tcPr>
            <w:tcW w:w="1402" w:type="dxa"/>
            <w:tcBorders>
              <w:top w:val="single" w:sz="4" w:space="0" w:color="auto"/>
              <w:left w:val="nil"/>
              <w:bottom w:val="single" w:sz="4" w:space="0" w:color="auto"/>
              <w:right w:val="single" w:sz="4" w:space="0" w:color="auto"/>
            </w:tcBorders>
            <w:noWrap/>
            <w:vAlign w:val="center"/>
            <w:hideMark/>
          </w:tcPr>
          <w:p w14:paraId="183A57A2"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305</w:t>
            </w:r>
          </w:p>
        </w:tc>
        <w:tc>
          <w:tcPr>
            <w:tcW w:w="1295" w:type="dxa"/>
            <w:tcBorders>
              <w:top w:val="single" w:sz="4" w:space="0" w:color="auto"/>
              <w:left w:val="nil"/>
              <w:bottom w:val="single" w:sz="4" w:space="0" w:color="auto"/>
              <w:right w:val="single" w:sz="4" w:space="0" w:color="auto"/>
            </w:tcBorders>
            <w:noWrap/>
            <w:vAlign w:val="center"/>
            <w:hideMark/>
          </w:tcPr>
          <w:p w14:paraId="1140B0FB" w14:textId="77777777" w:rsidR="009D452D" w:rsidRPr="009D452D" w:rsidRDefault="009D452D" w:rsidP="00A8124F">
            <w:pPr>
              <w:jc w:val="center"/>
              <w:rPr>
                <w:rFonts w:ascii="Arial" w:hAnsi="Arial" w:cs="Arial"/>
                <w:b/>
                <w:bCs/>
                <w:color w:val="000000"/>
                <w:sz w:val="20"/>
                <w:szCs w:val="20"/>
              </w:rPr>
            </w:pPr>
            <w:r w:rsidRPr="009D452D">
              <w:rPr>
                <w:rFonts w:ascii="Arial" w:hAnsi="Arial" w:cs="Arial"/>
                <w:b/>
                <w:bCs/>
                <w:color w:val="000000"/>
                <w:sz w:val="20"/>
                <w:szCs w:val="20"/>
              </w:rPr>
              <w:t>100.0</w:t>
            </w:r>
          </w:p>
        </w:tc>
      </w:tr>
    </w:tbl>
    <w:p w14:paraId="10F3717C" w14:textId="77777777" w:rsidR="00A108C9" w:rsidRPr="00632BFC" w:rsidRDefault="00A108C9" w:rsidP="00632BFC">
      <w:pPr>
        <w:pStyle w:val="PlainText"/>
        <w:jc w:val="both"/>
        <w:rPr>
          <w:rFonts w:ascii="Arial" w:hAnsi="Arial" w:cs="Arial"/>
          <w:sz w:val="20"/>
          <w:szCs w:val="20"/>
        </w:rPr>
      </w:pPr>
    </w:p>
    <w:p w14:paraId="66556136" w14:textId="2D076BE3"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Among 596 male patients treated exclusively at the reporting institution, 33.1% presented with localized disease, 52.5% with regional involvement, and 14.4% with distant metastases. Similarly, among 305 female patients, 32.1% had localized disease, 53.8% had regional spread, and 14.1% presented with distant metastases. The combined proportion of patients with localized or regional disease (L+R) was 85.6% in males. The distribution patterns across both genders demonstrated remarkable similarity, confirming that most patients treated at the reporting institution presented with non-metastatic, potentially treatable disease </w:t>
      </w:r>
      <w:r w:rsidRPr="008D3C41">
        <w:rPr>
          <w:rFonts w:ascii="Arial" w:hAnsi="Arial" w:cs="Arial"/>
          <w:sz w:val="20"/>
          <w:szCs w:val="20"/>
        </w:rPr>
        <w:t>stages</w:t>
      </w:r>
      <w:r w:rsidR="00C67710" w:rsidRPr="008D3C41">
        <w:rPr>
          <w:rFonts w:ascii="Arial" w:hAnsi="Arial" w:cs="Arial"/>
          <w:sz w:val="20"/>
          <w:szCs w:val="20"/>
        </w:rPr>
        <w:t xml:space="preserve"> (Baidya et al., 2024).</w:t>
      </w:r>
    </w:p>
    <w:p w14:paraId="747F332C" w14:textId="77777777" w:rsidR="00A108C9" w:rsidRPr="00632BFC" w:rsidRDefault="00A108C9" w:rsidP="00632BFC">
      <w:pPr>
        <w:pStyle w:val="PlainText"/>
        <w:jc w:val="both"/>
        <w:rPr>
          <w:rFonts w:ascii="Arial" w:hAnsi="Arial" w:cs="Arial"/>
          <w:sz w:val="20"/>
          <w:szCs w:val="20"/>
        </w:rPr>
      </w:pPr>
    </w:p>
    <w:p w14:paraId="4EDB2807"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Regional disease predominated in both sexes, representing the largest disease category and suggesting that while early detection efforts require enhancement, many patients remain suitable for intensive multimodal treatment approaches. The relatively low proportion of distant metastatic disease (approximately 14%) underscores the reporting institution's success in capturing patients at stages amenable to curative or aggressive multimodality interventions. The absence of cases in the "Unknown" or "Others" categories reflects systematic and reliable clinical staging practices (Mountain, 1997).</w:t>
      </w:r>
    </w:p>
    <w:p w14:paraId="489B76EC" w14:textId="77777777" w:rsidR="00A108C9" w:rsidRPr="00632BFC" w:rsidRDefault="00A108C9" w:rsidP="00632BFC">
      <w:pPr>
        <w:pStyle w:val="PlainText"/>
        <w:jc w:val="both"/>
        <w:rPr>
          <w:rFonts w:ascii="Arial" w:hAnsi="Arial" w:cs="Arial"/>
          <w:sz w:val="20"/>
          <w:szCs w:val="20"/>
        </w:rPr>
      </w:pPr>
    </w:p>
    <w:p w14:paraId="0F2E2889" w14:textId="77777777" w:rsidR="00A108C9" w:rsidRPr="009D452D" w:rsidRDefault="00A108C9" w:rsidP="00A8124F">
      <w:pPr>
        <w:pStyle w:val="PlainText"/>
        <w:rPr>
          <w:rFonts w:ascii="Arial" w:hAnsi="Arial" w:cs="Arial"/>
          <w:b/>
          <w:sz w:val="22"/>
          <w:szCs w:val="22"/>
        </w:rPr>
      </w:pPr>
      <w:r w:rsidRPr="009D452D">
        <w:rPr>
          <w:rFonts w:ascii="Arial" w:hAnsi="Arial" w:cs="Arial"/>
          <w:b/>
          <w:sz w:val="22"/>
          <w:szCs w:val="22"/>
        </w:rPr>
        <w:t>3.5 Treatment Patterns</w:t>
      </w:r>
    </w:p>
    <w:p w14:paraId="78D5B95A" w14:textId="77777777" w:rsidR="00A108C9" w:rsidRPr="00632BFC" w:rsidRDefault="00A108C9" w:rsidP="00632BFC">
      <w:pPr>
        <w:pStyle w:val="PlainText"/>
        <w:jc w:val="both"/>
        <w:rPr>
          <w:rFonts w:ascii="Arial" w:hAnsi="Arial" w:cs="Arial"/>
          <w:sz w:val="20"/>
          <w:szCs w:val="20"/>
        </w:rPr>
      </w:pPr>
    </w:p>
    <w:p w14:paraId="3A34AAA1" w14:textId="77777777" w:rsidR="00A8124F" w:rsidRDefault="009D452D" w:rsidP="009D452D">
      <w:pPr>
        <w:pStyle w:val="PlainText"/>
        <w:jc w:val="center"/>
        <w:rPr>
          <w:rFonts w:ascii="Arial" w:hAnsi="Arial" w:cs="Arial"/>
          <w:b/>
          <w:sz w:val="20"/>
          <w:szCs w:val="20"/>
        </w:rPr>
      </w:pPr>
      <w:r w:rsidRPr="009D452D">
        <w:rPr>
          <w:rFonts w:ascii="Arial" w:hAnsi="Arial" w:cs="Arial"/>
          <w:b/>
          <w:sz w:val="20"/>
          <w:szCs w:val="20"/>
        </w:rPr>
        <w:t>Table 6.</w:t>
      </w:r>
      <w:r w:rsidR="00A108C9" w:rsidRPr="009D452D">
        <w:rPr>
          <w:rFonts w:ascii="Arial" w:hAnsi="Arial" w:cs="Arial"/>
          <w:b/>
          <w:sz w:val="20"/>
          <w:szCs w:val="20"/>
        </w:rPr>
        <w:t>Total Number of Esophageal Cancer Patients Treated, Total Treatment Procedures Performed, and Procedures/Patient Ratio (Treatment at Reporting Institution Only)</w:t>
      </w:r>
    </w:p>
    <w:p w14:paraId="1182C2ED" w14:textId="77777777" w:rsidR="00A8124F" w:rsidRDefault="00A8124F" w:rsidP="009D452D">
      <w:pPr>
        <w:pStyle w:val="PlainText"/>
        <w:jc w:val="center"/>
        <w:rPr>
          <w:rFonts w:ascii="Arial" w:hAnsi="Arial" w:cs="Arial"/>
          <w:b/>
          <w:sz w:val="20"/>
          <w:szCs w:val="20"/>
        </w:rPr>
      </w:pPr>
    </w:p>
    <w:tbl>
      <w:tblPr>
        <w:tblW w:w="7931" w:type="dxa"/>
        <w:jc w:val="center"/>
        <w:tblLook w:val="04A0" w:firstRow="1" w:lastRow="0" w:firstColumn="1" w:lastColumn="0" w:noHBand="0" w:noVBand="1"/>
      </w:tblPr>
      <w:tblGrid>
        <w:gridCol w:w="1915"/>
        <w:gridCol w:w="2049"/>
        <w:gridCol w:w="2552"/>
        <w:gridCol w:w="1415"/>
      </w:tblGrid>
      <w:tr w:rsidR="00A8124F" w:rsidRPr="00A8124F" w14:paraId="4DF0FE89" w14:textId="77777777" w:rsidTr="00A8124F">
        <w:trPr>
          <w:trHeight w:val="740"/>
          <w:jc w:val="center"/>
        </w:trPr>
        <w:tc>
          <w:tcPr>
            <w:tcW w:w="1915" w:type="dxa"/>
            <w:tcBorders>
              <w:top w:val="single" w:sz="4" w:space="0" w:color="auto"/>
              <w:left w:val="single" w:sz="4" w:space="0" w:color="auto"/>
              <w:bottom w:val="single" w:sz="4" w:space="0" w:color="auto"/>
              <w:right w:val="single" w:sz="4" w:space="0" w:color="auto"/>
            </w:tcBorders>
            <w:noWrap/>
            <w:vAlign w:val="center"/>
            <w:hideMark/>
          </w:tcPr>
          <w:p w14:paraId="607CA8CE"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Gender </w:t>
            </w:r>
          </w:p>
        </w:tc>
        <w:tc>
          <w:tcPr>
            <w:tcW w:w="2049" w:type="dxa"/>
            <w:tcBorders>
              <w:top w:val="single" w:sz="4" w:space="0" w:color="auto"/>
              <w:left w:val="nil"/>
              <w:bottom w:val="single" w:sz="4" w:space="0" w:color="auto"/>
              <w:right w:val="single" w:sz="4" w:space="0" w:color="auto"/>
            </w:tcBorders>
            <w:vAlign w:val="center"/>
            <w:hideMark/>
          </w:tcPr>
          <w:p w14:paraId="2964D535"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 Patients (Pts)</w:t>
            </w:r>
          </w:p>
        </w:tc>
        <w:tc>
          <w:tcPr>
            <w:tcW w:w="2552" w:type="dxa"/>
            <w:tcBorders>
              <w:top w:val="single" w:sz="4" w:space="0" w:color="auto"/>
              <w:left w:val="nil"/>
              <w:bottom w:val="single" w:sz="4" w:space="0" w:color="auto"/>
              <w:right w:val="single" w:sz="4" w:space="0" w:color="auto"/>
            </w:tcBorders>
            <w:vAlign w:val="center"/>
            <w:hideMark/>
          </w:tcPr>
          <w:p w14:paraId="1C541B16"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 Procedures (Pros)</w:t>
            </w:r>
          </w:p>
        </w:tc>
        <w:tc>
          <w:tcPr>
            <w:tcW w:w="1415" w:type="dxa"/>
            <w:tcBorders>
              <w:top w:val="single" w:sz="4" w:space="0" w:color="auto"/>
              <w:left w:val="nil"/>
              <w:bottom w:val="single" w:sz="4" w:space="0" w:color="auto"/>
              <w:right w:val="single" w:sz="4" w:space="0" w:color="auto"/>
            </w:tcBorders>
            <w:noWrap/>
            <w:vAlign w:val="center"/>
            <w:hideMark/>
          </w:tcPr>
          <w:p w14:paraId="619FE3BF"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Ratio</w:t>
            </w:r>
          </w:p>
        </w:tc>
      </w:tr>
      <w:tr w:rsidR="00A8124F" w:rsidRPr="00A8124F" w14:paraId="7B8CDDD4" w14:textId="77777777" w:rsidTr="00A8124F">
        <w:trPr>
          <w:trHeight w:val="740"/>
          <w:jc w:val="center"/>
        </w:trPr>
        <w:tc>
          <w:tcPr>
            <w:tcW w:w="1915" w:type="dxa"/>
            <w:tcBorders>
              <w:top w:val="nil"/>
              <w:left w:val="single" w:sz="4" w:space="0" w:color="auto"/>
              <w:bottom w:val="single" w:sz="4" w:space="0" w:color="auto"/>
              <w:right w:val="single" w:sz="4" w:space="0" w:color="auto"/>
            </w:tcBorders>
            <w:noWrap/>
            <w:vAlign w:val="center"/>
            <w:hideMark/>
          </w:tcPr>
          <w:p w14:paraId="3161BA0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Males</w:t>
            </w:r>
          </w:p>
        </w:tc>
        <w:tc>
          <w:tcPr>
            <w:tcW w:w="2049" w:type="dxa"/>
            <w:tcBorders>
              <w:top w:val="nil"/>
              <w:left w:val="nil"/>
              <w:bottom w:val="single" w:sz="4" w:space="0" w:color="auto"/>
              <w:right w:val="single" w:sz="4" w:space="0" w:color="auto"/>
            </w:tcBorders>
            <w:noWrap/>
            <w:vAlign w:val="center"/>
            <w:hideMark/>
          </w:tcPr>
          <w:p w14:paraId="0D2AFD8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596</w:t>
            </w:r>
          </w:p>
        </w:tc>
        <w:tc>
          <w:tcPr>
            <w:tcW w:w="2552" w:type="dxa"/>
            <w:tcBorders>
              <w:top w:val="nil"/>
              <w:left w:val="nil"/>
              <w:bottom w:val="single" w:sz="4" w:space="0" w:color="auto"/>
              <w:right w:val="single" w:sz="4" w:space="0" w:color="auto"/>
            </w:tcBorders>
            <w:noWrap/>
            <w:vAlign w:val="center"/>
            <w:hideMark/>
          </w:tcPr>
          <w:p w14:paraId="454D137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995</w:t>
            </w:r>
          </w:p>
        </w:tc>
        <w:tc>
          <w:tcPr>
            <w:tcW w:w="1415" w:type="dxa"/>
            <w:tcBorders>
              <w:top w:val="nil"/>
              <w:left w:val="nil"/>
              <w:bottom w:val="single" w:sz="4" w:space="0" w:color="auto"/>
              <w:right w:val="single" w:sz="4" w:space="0" w:color="auto"/>
            </w:tcBorders>
            <w:noWrap/>
            <w:vAlign w:val="center"/>
            <w:hideMark/>
          </w:tcPr>
          <w:p w14:paraId="38F07387"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1.7</w:t>
            </w:r>
          </w:p>
        </w:tc>
      </w:tr>
      <w:tr w:rsidR="00A8124F" w:rsidRPr="00A8124F" w14:paraId="603C5469" w14:textId="77777777" w:rsidTr="00A8124F">
        <w:trPr>
          <w:trHeight w:val="740"/>
          <w:jc w:val="center"/>
        </w:trPr>
        <w:tc>
          <w:tcPr>
            <w:tcW w:w="1915" w:type="dxa"/>
            <w:tcBorders>
              <w:top w:val="nil"/>
              <w:left w:val="single" w:sz="4" w:space="0" w:color="auto"/>
              <w:bottom w:val="single" w:sz="4" w:space="0" w:color="auto"/>
              <w:right w:val="single" w:sz="4" w:space="0" w:color="auto"/>
            </w:tcBorders>
            <w:noWrap/>
            <w:vAlign w:val="center"/>
            <w:hideMark/>
          </w:tcPr>
          <w:p w14:paraId="6626FB6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Females</w:t>
            </w:r>
          </w:p>
        </w:tc>
        <w:tc>
          <w:tcPr>
            <w:tcW w:w="2049" w:type="dxa"/>
            <w:tcBorders>
              <w:top w:val="nil"/>
              <w:left w:val="nil"/>
              <w:bottom w:val="single" w:sz="4" w:space="0" w:color="auto"/>
              <w:right w:val="single" w:sz="4" w:space="0" w:color="auto"/>
            </w:tcBorders>
            <w:noWrap/>
            <w:vAlign w:val="center"/>
            <w:hideMark/>
          </w:tcPr>
          <w:p w14:paraId="0087CC7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305</w:t>
            </w:r>
          </w:p>
        </w:tc>
        <w:tc>
          <w:tcPr>
            <w:tcW w:w="2552" w:type="dxa"/>
            <w:tcBorders>
              <w:top w:val="nil"/>
              <w:left w:val="nil"/>
              <w:bottom w:val="single" w:sz="4" w:space="0" w:color="auto"/>
              <w:right w:val="single" w:sz="4" w:space="0" w:color="auto"/>
            </w:tcBorders>
            <w:noWrap/>
            <w:vAlign w:val="center"/>
            <w:hideMark/>
          </w:tcPr>
          <w:p w14:paraId="74BC3C4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494</w:t>
            </w:r>
          </w:p>
        </w:tc>
        <w:tc>
          <w:tcPr>
            <w:tcW w:w="1415" w:type="dxa"/>
            <w:tcBorders>
              <w:top w:val="nil"/>
              <w:left w:val="nil"/>
              <w:bottom w:val="single" w:sz="4" w:space="0" w:color="auto"/>
              <w:right w:val="single" w:sz="4" w:space="0" w:color="auto"/>
            </w:tcBorders>
            <w:noWrap/>
            <w:vAlign w:val="center"/>
            <w:hideMark/>
          </w:tcPr>
          <w:p w14:paraId="74619FCC"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1.6</w:t>
            </w:r>
          </w:p>
        </w:tc>
      </w:tr>
    </w:tbl>
    <w:p w14:paraId="057F315D" w14:textId="77777777" w:rsidR="00A108C9" w:rsidRPr="00632BFC" w:rsidRDefault="00A108C9" w:rsidP="00632BFC">
      <w:pPr>
        <w:pStyle w:val="PlainText"/>
        <w:jc w:val="both"/>
        <w:rPr>
          <w:rFonts w:ascii="Arial" w:hAnsi="Arial" w:cs="Arial"/>
          <w:sz w:val="20"/>
          <w:szCs w:val="20"/>
        </w:rPr>
      </w:pPr>
    </w:p>
    <w:p w14:paraId="7B9581DE" w14:textId="09B8A9F9"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Among patients treated exclusively at the reporting institution, 596 male patients underwent a total of 995 treatment procedures, yielding a procedures-per-patient ratio of 1.7. Similarly, 305 female patients received 494 procedures, with a ratio of 1.6. The closely aligned procedures-per-patient ratios between genders indicate comparable treatment intensity and multimodal therapy delivery across both sexes, suggesting equitable access to comprehensive oncological management. The ratios exceeding 1.5 in both groups reflect substantial treatment complexity and resource utilization, consistent with multimodality therapy paradigms combining chemotherapy, radiotherapy, and potentially surgical interventions.</w:t>
      </w:r>
    </w:p>
    <w:p w14:paraId="07C58990" w14:textId="365D0BEA" w:rsidR="004320A7" w:rsidRDefault="004320A7" w:rsidP="00674AC9">
      <w:pPr>
        <w:pStyle w:val="PlainText"/>
        <w:rPr>
          <w:rFonts w:ascii="Arial" w:hAnsi="Arial" w:cs="Arial"/>
          <w:b/>
          <w:sz w:val="20"/>
          <w:szCs w:val="20"/>
        </w:rPr>
      </w:pPr>
    </w:p>
    <w:p w14:paraId="403B0811" w14:textId="77777777" w:rsidR="004320A7" w:rsidRDefault="004320A7" w:rsidP="00A8124F">
      <w:pPr>
        <w:pStyle w:val="PlainText"/>
        <w:jc w:val="center"/>
        <w:rPr>
          <w:rFonts w:ascii="Arial" w:hAnsi="Arial" w:cs="Arial"/>
          <w:b/>
          <w:sz w:val="20"/>
          <w:szCs w:val="20"/>
        </w:rPr>
      </w:pPr>
    </w:p>
    <w:p w14:paraId="33B15B34" w14:textId="67A070DD" w:rsidR="00A8124F" w:rsidRDefault="00A8124F" w:rsidP="00A8124F">
      <w:pPr>
        <w:pStyle w:val="PlainText"/>
        <w:jc w:val="center"/>
        <w:rPr>
          <w:rFonts w:ascii="Arial" w:hAnsi="Arial" w:cs="Arial"/>
          <w:b/>
          <w:sz w:val="20"/>
          <w:szCs w:val="20"/>
        </w:rPr>
      </w:pPr>
      <w:r w:rsidRPr="00A8124F">
        <w:rPr>
          <w:rFonts w:ascii="Arial" w:hAnsi="Arial" w:cs="Arial"/>
          <w:b/>
          <w:sz w:val="20"/>
          <w:szCs w:val="20"/>
        </w:rPr>
        <w:t xml:space="preserve">Table 7. </w:t>
      </w:r>
      <w:r w:rsidR="00A108C9" w:rsidRPr="00A8124F">
        <w:rPr>
          <w:rFonts w:ascii="Arial" w:hAnsi="Arial" w:cs="Arial"/>
          <w:b/>
          <w:sz w:val="20"/>
          <w:szCs w:val="20"/>
        </w:rPr>
        <w:t>Number (#) and Relative Proport</w:t>
      </w:r>
      <w:r w:rsidR="00AF1C1E">
        <w:rPr>
          <w:rFonts w:ascii="Arial" w:hAnsi="Arial" w:cs="Arial"/>
          <w:b/>
          <w:sz w:val="20"/>
          <w:szCs w:val="20"/>
        </w:rPr>
        <w:t xml:space="preserve">ion (%) of Patients by Treatment Type Given at the Reporting Institution </w:t>
      </w:r>
    </w:p>
    <w:p w14:paraId="3604AA5D" w14:textId="77777777" w:rsidR="00A8124F" w:rsidRDefault="00A8124F" w:rsidP="00A8124F">
      <w:pPr>
        <w:pStyle w:val="PlainText"/>
        <w:jc w:val="center"/>
        <w:rPr>
          <w:rFonts w:ascii="Arial" w:hAnsi="Arial" w:cs="Arial"/>
          <w:b/>
          <w:sz w:val="20"/>
          <w:szCs w:val="20"/>
        </w:rPr>
      </w:pPr>
    </w:p>
    <w:tbl>
      <w:tblPr>
        <w:tblW w:w="9142" w:type="dxa"/>
        <w:jc w:val="center"/>
        <w:tblLook w:val="04A0" w:firstRow="1" w:lastRow="0" w:firstColumn="1" w:lastColumn="0" w:noHBand="0" w:noVBand="1"/>
      </w:tblPr>
      <w:tblGrid>
        <w:gridCol w:w="2758"/>
        <w:gridCol w:w="1272"/>
        <w:gridCol w:w="1861"/>
        <w:gridCol w:w="1319"/>
        <w:gridCol w:w="1932"/>
      </w:tblGrid>
      <w:tr w:rsidR="00F55503" w:rsidRPr="00F55503" w14:paraId="1DDF01D3" w14:textId="77777777" w:rsidTr="00F55503">
        <w:trPr>
          <w:trHeight w:val="401"/>
          <w:jc w:val="center"/>
        </w:trPr>
        <w:tc>
          <w:tcPr>
            <w:tcW w:w="2758" w:type="dxa"/>
            <w:vMerge w:val="restart"/>
            <w:tcBorders>
              <w:top w:val="single" w:sz="4" w:space="0" w:color="auto"/>
              <w:left w:val="single" w:sz="4" w:space="0" w:color="auto"/>
              <w:right w:val="single" w:sz="4" w:space="0" w:color="auto"/>
            </w:tcBorders>
            <w:shd w:val="clear" w:color="000000" w:fill="FFFFFF"/>
            <w:noWrap/>
            <w:vAlign w:val="center"/>
            <w:hideMark/>
          </w:tcPr>
          <w:p w14:paraId="6C088EC5"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 </w:t>
            </w:r>
          </w:p>
          <w:p w14:paraId="1F5A055E"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Total Patients</w:t>
            </w:r>
          </w:p>
        </w:tc>
        <w:tc>
          <w:tcPr>
            <w:tcW w:w="3133" w:type="dxa"/>
            <w:gridSpan w:val="2"/>
            <w:tcBorders>
              <w:top w:val="single" w:sz="4" w:space="0" w:color="auto"/>
              <w:left w:val="nil"/>
              <w:bottom w:val="single" w:sz="4" w:space="0" w:color="auto"/>
              <w:right w:val="single" w:sz="4" w:space="0" w:color="auto"/>
            </w:tcBorders>
            <w:noWrap/>
            <w:vAlign w:val="center"/>
            <w:hideMark/>
          </w:tcPr>
          <w:p w14:paraId="5B8CACE8"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Males</w:t>
            </w:r>
          </w:p>
        </w:tc>
        <w:tc>
          <w:tcPr>
            <w:tcW w:w="3251" w:type="dxa"/>
            <w:gridSpan w:val="2"/>
            <w:tcBorders>
              <w:top w:val="single" w:sz="4" w:space="0" w:color="auto"/>
              <w:left w:val="nil"/>
              <w:bottom w:val="single" w:sz="4" w:space="0" w:color="auto"/>
              <w:right w:val="single" w:sz="4" w:space="0" w:color="000000"/>
            </w:tcBorders>
            <w:noWrap/>
            <w:vAlign w:val="center"/>
            <w:hideMark/>
          </w:tcPr>
          <w:p w14:paraId="3ED21E3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Females</w:t>
            </w:r>
          </w:p>
        </w:tc>
      </w:tr>
      <w:tr w:rsidR="00F55503" w:rsidRPr="00F55503" w14:paraId="7E1A09B7" w14:textId="77777777" w:rsidTr="00F55503">
        <w:trPr>
          <w:trHeight w:val="401"/>
          <w:jc w:val="center"/>
        </w:trPr>
        <w:tc>
          <w:tcPr>
            <w:tcW w:w="2758" w:type="dxa"/>
            <w:vMerge/>
            <w:tcBorders>
              <w:left w:val="single" w:sz="4" w:space="0" w:color="auto"/>
              <w:right w:val="single" w:sz="4" w:space="0" w:color="auto"/>
            </w:tcBorders>
            <w:vAlign w:val="center"/>
            <w:hideMark/>
          </w:tcPr>
          <w:p w14:paraId="0F55B234" w14:textId="77777777" w:rsidR="00F55503" w:rsidRPr="00F55503" w:rsidRDefault="00F55503" w:rsidP="00A8124F">
            <w:pPr>
              <w:jc w:val="center"/>
              <w:rPr>
                <w:rFonts w:ascii="Arial" w:hAnsi="Arial" w:cs="Arial"/>
                <w:color w:val="000000"/>
                <w:sz w:val="20"/>
                <w:szCs w:val="20"/>
              </w:rPr>
            </w:pPr>
          </w:p>
        </w:tc>
        <w:tc>
          <w:tcPr>
            <w:tcW w:w="1272" w:type="dxa"/>
            <w:tcBorders>
              <w:top w:val="nil"/>
              <w:left w:val="nil"/>
              <w:bottom w:val="single" w:sz="4" w:space="0" w:color="auto"/>
              <w:right w:val="single" w:sz="4" w:space="0" w:color="auto"/>
            </w:tcBorders>
            <w:noWrap/>
            <w:vAlign w:val="center"/>
            <w:hideMark/>
          </w:tcPr>
          <w:p w14:paraId="65A2315B"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861" w:type="dxa"/>
            <w:tcBorders>
              <w:top w:val="nil"/>
              <w:left w:val="nil"/>
              <w:bottom w:val="single" w:sz="4" w:space="0" w:color="auto"/>
              <w:right w:val="single" w:sz="4" w:space="0" w:color="auto"/>
            </w:tcBorders>
            <w:noWrap/>
            <w:vAlign w:val="center"/>
            <w:hideMark/>
          </w:tcPr>
          <w:p w14:paraId="1A4C604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319" w:type="dxa"/>
            <w:tcBorders>
              <w:top w:val="nil"/>
              <w:left w:val="nil"/>
              <w:bottom w:val="single" w:sz="4" w:space="0" w:color="auto"/>
              <w:right w:val="single" w:sz="4" w:space="0" w:color="auto"/>
            </w:tcBorders>
            <w:noWrap/>
            <w:vAlign w:val="center"/>
            <w:hideMark/>
          </w:tcPr>
          <w:p w14:paraId="7F17478E"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c>
          <w:tcPr>
            <w:tcW w:w="1932" w:type="dxa"/>
            <w:tcBorders>
              <w:top w:val="nil"/>
              <w:left w:val="nil"/>
              <w:bottom w:val="single" w:sz="4" w:space="0" w:color="auto"/>
              <w:right w:val="single" w:sz="4" w:space="0" w:color="auto"/>
            </w:tcBorders>
            <w:noWrap/>
            <w:vAlign w:val="center"/>
            <w:hideMark/>
          </w:tcPr>
          <w:p w14:paraId="3B210DC5" w14:textId="77777777" w:rsidR="00F55503" w:rsidRPr="00F55503" w:rsidRDefault="00F55503" w:rsidP="00A8124F">
            <w:pPr>
              <w:jc w:val="center"/>
              <w:rPr>
                <w:rFonts w:ascii="Arial" w:hAnsi="Arial" w:cs="Arial"/>
                <w:b/>
                <w:bCs/>
                <w:color w:val="000000"/>
                <w:sz w:val="20"/>
                <w:szCs w:val="20"/>
              </w:rPr>
            </w:pPr>
            <w:r w:rsidRPr="00F55503">
              <w:rPr>
                <w:rFonts w:ascii="Arial" w:hAnsi="Arial" w:cs="Arial"/>
                <w:b/>
                <w:bCs/>
                <w:color w:val="000000"/>
                <w:sz w:val="20"/>
                <w:szCs w:val="20"/>
              </w:rPr>
              <w:t>%</w:t>
            </w:r>
          </w:p>
        </w:tc>
      </w:tr>
      <w:tr w:rsidR="00F55503" w:rsidRPr="00F55503" w14:paraId="6C274EA5" w14:textId="77777777" w:rsidTr="00F55503">
        <w:trPr>
          <w:trHeight w:val="401"/>
          <w:jc w:val="center"/>
        </w:trPr>
        <w:tc>
          <w:tcPr>
            <w:tcW w:w="2758" w:type="dxa"/>
            <w:vMerge/>
            <w:tcBorders>
              <w:left w:val="single" w:sz="4" w:space="0" w:color="auto"/>
              <w:bottom w:val="single" w:sz="4" w:space="0" w:color="auto"/>
              <w:right w:val="single" w:sz="4" w:space="0" w:color="auto"/>
            </w:tcBorders>
            <w:noWrap/>
            <w:vAlign w:val="center"/>
            <w:hideMark/>
          </w:tcPr>
          <w:p w14:paraId="47F3B8CD" w14:textId="77777777" w:rsidR="00F55503" w:rsidRPr="00F55503" w:rsidRDefault="00F55503" w:rsidP="00A8124F">
            <w:pPr>
              <w:jc w:val="center"/>
              <w:rPr>
                <w:rFonts w:ascii="Arial" w:hAnsi="Arial" w:cs="Arial"/>
                <w:color w:val="000000"/>
                <w:sz w:val="20"/>
                <w:szCs w:val="20"/>
              </w:rPr>
            </w:pPr>
          </w:p>
        </w:tc>
        <w:tc>
          <w:tcPr>
            <w:tcW w:w="1272" w:type="dxa"/>
            <w:tcBorders>
              <w:top w:val="nil"/>
              <w:left w:val="nil"/>
              <w:bottom w:val="single" w:sz="4" w:space="0" w:color="auto"/>
              <w:right w:val="single" w:sz="4" w:space="0" w:color="auto"/>
            </w:tcBorders>
            <w:noWrap/>
            <w:vAlign w:val="center"/>
            <w:hideMark/>
          </w:tcPr>
          <w:p w14:paraId="6C056C1C"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596</w:t>
            </w:r>
          </w:p>
        </w:tc>
        <w:tc>
          <w:tcPr>
            <w:tcW w:w="1861" w:type="dxa"/>
            <w:tcBorders>
              <w:top w:val="nil"/>
              <w:left w:val="nil"/>
              <w:bottom w:val="single" w:sz="4" w:space="0" w:color="auto"/>
              <w:right w:val="single" w:sz="4" w:space="0" w:color="auto"/>
            </w:tcBorders>
            <w:noWrap/>
            <w:vAlign w:val="center"/>
            <w:hideMark/>
          </w:tcPr>
          <w:p w14:paraId="27114DA2"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100.0</w:t>
            </w:r>
          </w:p>
        </w:tc>
        <w:tc>
          <w:tcPr>
            <w:tcW w:w="1319" w:type="dxa"/>
            <w:tcBorders>
              <w:top w:val="nil"/>
              <w:left w:val="nil"/>
              <w:bottom w:val="single" w:sz="4" w:space="0" w:color="auto"/>
              <w:right w:val="single" w:sz="4" w:space="0" w:color="auto"/>
            </w:tcBorders>
            <w:noWrap/>
            <w:vAlign w:val="center"/>
            <w:hideMark/>
          </w:tcPr>
          <w:p w14:paraId="5DDC0336"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305</w:t>
            </w:r>
          </w:p>
        </w:tc>
        <w:tc>
          <w:tcPr>
            <w:tcW w:w="1932" w:type="dxa"/>
            <w:tcBorders>
              <w:top w:val="nil"/>
              <w:left w:val="nil"/>
              <w:bottom w:val="single" w:sz="4" w:space="0" w:color="auto"/>
              <w:right w:val="single" w:sz="4" w:space="0" w:color="auto"/>
            </w:tcBorders>
            <w:noWrap/>
            <w:vAlign w:val="center"/>
            <w:hideMark/>
          </w:tcPr>
          <w:p w14:paraId="5C7413C5" w14:textId="77777777" w:rsidR="00F55503" w:rsidRPr="00F55503" w:rsidRDefault="00F55503" w:rsidP="00A8124F">
            <w:pPr>
              <w:jc w:val="center"/>
              <w:rPr>
                <w:rFonts w:ascii="Arial" w:hAnsi="Arial" w:cs="Arial"/>
                <w:color w:val="000000"/>
                <w:sz w:val="20"/>
                <w:szCs w:val="20"/>
              </w:rPr>
            </w:pPr>
            <w:r w:rsidRPr="00F55503">
              <w:rPr>
                <w:rFonts w:ascii="Arial" w:hAnsi="Arial" w:cs="Arial"/>
                <w:color w:val="000000"/>
                <w:sz w:val="20"/>
                <w:szCs w:val="20"/>
              </w:rPr>
              <w:t>100.0</w:t>
            </w:r>
          </w:p>
        </w:tc>
      </w:tr>
      <w:tr w:rsidR="00A8124F" w:rsidRPr="00F55503" w14:paraId="317F1C81" w14:textId="77777777" w:rsidTr="00A8124F">
        <w:trPr>
          <w:trHeight w:val="401"/>
          <w:jc w:val="center"/>
        </w:trPr>
        <w:tc>
          <w:tcPr>
            <w:tcW w:w="9142" w:type="dxa"/>
            <w:gridSpan w:val="5"/>
            <w:tcBorders>
              <w:top w:val="single" w:sz="4" w:space="0" w:color="auto"/>
              <w:left w:val="single" w:sz="4" w:space="0" w:color="auto"/>
              <w:bottom w:val="single" w:sz="4" w:space="0" w:color="auto"/>
              <w:right w:val="single" w:sz="4" w:space="0" w:color="000000"/>
            </w:tcBorders>
            <w:noWrap/>
            <w:vAlign w:val="center"/>
            <w:hideMark/>
          </w:tcPr>
          <w:p w14:paraId="3B01073A" w14:textId="77777777" w:rsidR="00A8124F" w:rsidRPr="00F55503" w:rsidRDefault="00A8124F" w:rsidP="00A8124F">
            <w:pPr>
              <w:jc w:val="center"/>
              <w:rPr>
                <w:rFonts w:ascii="Arial" w:hAnsi="Arial" w:cs="Arial"/>
                <w:b/>
                <w:bCs/>
                <w:color w:val="000000"/>
                <w:sz w:val="20"/>
                <w:szCs w:val="20"/>
              </w:rPr>
            </w:pPr>
            <w:r w:rsidRPr="00F55503">
              <w:rPr>
                <w:rFonts w:ascii="Arial" w:hAnsi="Arial" w:cs="Arial"/>
                <w:b/>
                <w:bCs/>
                <w:color w:val="000000"/>
                <w:sz w:val="20"/>
                <w:szCs w:val="20"/>
              </w:rPr>
              <w:t>Specific(Treatments)</w:t>
            </w:r>
          </w:p>
        </w:tc>
      </w:tr>
      <w:tr w:rsidR="00A8124F" w:rsidRPr="00F55503" w14:paraId="2384D9D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47551E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Surgery (S)</w:t>
            </w:r>
          </w:p>
        </w:tc>
        <w:tc>
          <w:tcPr>
            <w:tcW w:w="1272" w:type="dxa"/>
            <w:tcBorders>
              <w:top w:val="nil"/>
              <w:left w:val="nil"/>
              <w:bottom w:val="single" w:sz="4" w:space="0" w:color="auto"/>
              <w:right w:val="single" w:sz="4" w:space="0" w:color="auto"/>
            </w:tcBorders>
            <w:noWrap/>
            <w:vAlign w:val="center"/>
            <w:hideMark/>
          </w:tcPr>
          <w:p w14:paraId="53D52C3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40</w:t>
            </w:r>
          </w:p>
        </w:tc>
        <w:tc>
          <w:tcPr>
            <w:tcW w:w="1861" w:type="dxa"/>
            <w:tcBorders>
              <w:top w:val="nil"/>
              <w:left w:val="nil"/>
              <w:bottom w:val="single" w:sz="4" w:space="0" w:color="auto"/>
              <w:right w:val="single" w:sz="4" w:space="0" w:color="auto"/>
            </w:tcBorders>
            <w:noWrap/>
            <w:vAlign w:val="center"/>
            <w:hideMark/>
          </w:tcPr>
          <w:p w14:paraId="340D43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6.7</w:t>
            </w:r>
          </w:p>
        </w:tc>
        <w:tc>
          <w:tcPr>
            <w:tcW w:w="1319" w:type="dxa"/>
            <w:tcBorders>
              <w:top w:val="nil"/>
              <w:left w:val="nil"/>
              <w:bottom w:val="single" w:sz="4" w:space="0" w:color="auto"/>
              <w:right w:val="single" w:sz="4" w:space="0" w:color="auto"/>
            </w:tcBorders>
            <w:noWrap/>
            <w:vAlign w:val="center"/>
            <w:hideMark/>
          </w:tcPr>
          <w:p w14:paraId="7BD2D94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18</w:t>
            </w:r>
          </w:p>
        </w:tc>
        <w:tc>
          <w:tcPr>
            <w:tcW w:w="1932" w:type="dxa"/>
            <w:tcBorders>
              <w:top w:val="nil"/>
              <w:left w:val="nil"/>
              <w:bottom w:val="single" w:sz="4" w:space="0" w:color="auto"/>
              <w:right w:val="single" w:sz="4" w:space="0" w:color="auto"/>
            </w:tcBorders>
            <w:noWrap/>
            <w:vAlign w:val="center"/>
            <w:hideMark/>
          </w:tcPr>
          <w:p w14:paraId="62E5C35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5.9</w:t>
            </w:r>
          </w:p>
        </w:tc>
      </w:tr>
      <w:tr w:rsidR="00A8124F" w:rsidRPr="00F55503" w14:paraId="2B562DE1"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3AA708F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Radiotherapy (R)</w:t>
            </w:r>
          </w:p>
        </w:tc>
        <w:tc>
          <w:tcPr>
            <w:tcW w:w="1272" w:type="dxa"/>
            <w:tcBorders>
              <w:top w:val="nil"/>
              <w:left w:val="nil"/>
              <w:bottom w:val="single" w:sz="4" w:space="0" w:color="auto"/>
              <w:right w:val="single" w:sz="4" w:space="0" w:color="auto"/>
            </w:tcBorders>
            <w:noWrap/>
            <w:vAlign w:val="center"/>
            <w:hideMark/>
          </w:tcPr>
          <w:p w14:paraId="3510CEF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151</w:t>
            </w:r>
          </w:p>
        </w:tc>
        <w:tc>
          <w:tcPr>
            <w:tcW w:w="1861" w:type="dxa"/>
            <w:tcBorders>
              <w:top w:val="nil"/>
              <w:left w:val="nil"/>
              <w:bottom w:val="single" w:sz="4" w:space="0" w:color="auto"/>
              <w:right w:val="single" w:sz="4" w:space="0" w:color="auto"/>
            </w:tcBorders>
            <w:noWrap/>
            <w:vAlign w:val="center"/>
            <w:hideMark/>
          </w:tcPr>
          <w:p w14:paraId="60E0B9A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25.3</w:t>
            </w:r>
          </w:p>
        </w:tc>
        <w:tc>
          <w:tcPr>
            <w:tcW w:w="1319" w:type="dxa"/>
            <w:tcBorders>
              <w:top w:val="nil"/>
              <w:left w:val="nil"/>
              <w:bottom w:val="single" w:sz="4" w:space="0" w:color="auto"/>
              <w:right w:val="single" w:sz="4" w:space="0" w:color="auto"/>
            </w:tcBorders>
            <w:noWrap/>
            <w:vAlign w:val="center"/>
            <w:hideMark/>
          </w:tcPr>
          <w:p w14:paraId="283E8F3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89</w:t>
            </w:r>
          </w:p>
        </w:tc>
        <w:tc>
          <w:tcPr>
            <w:tcW w:w="1932" w:type="dxa"/>
            <w:tcBorders>
              <w:top w:val="nil"/>
              <w:left w:val="nil"/>
              <w:bottom w:val="single" w:sz="4" w:space="0" w:color="auto"/>
              <w:right w:val="single" w:sz="4" w:space="0" w:color="auto"/>
            </w:tcBorders>
            <w:noWrap/>
            <w:vAlign w:val="center"/>
            <w:hideMark/>
          </w:tcPr>
          <w:p w14:paraId="0309D5A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29.2</w:t>
            </w:r>
          </w:p>
        </w:tc>
      </w:tr>
      <w:tr w:rsidR="00A8124F" w:rsidRPr="00F55503" w14:paraId="18A8ABC2"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42ACBC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Chemotherapy (C)</w:t>
            </w:r>
          </w:p>
        </w:tc>
        <w:tc>
          <w:tcPr>
            <w:tcW w:w="1272" w:type="dxa"/>
            <w:tcBorders>
              <w:top w:val="nil"/>
              <w:left w:val="nil"/>
              <w:bottom w:val="single" w:sz="4" w:space="0" w:color="auto"/>
              <w:right w:val="single" w:sz="4" w:space="0" w:color="auto"/>
            </w:tcBorders>
            <w:noWrap/>
            <w:vAlign w:val="center"/>
            <w:hideMark/>
          </w:tcPr>
          <w:p w14:paraId="18D8AD9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43</w:t>
            </w:r>
          </w:p>
        </w:tc>
        <w:tc>
          <w:tcPr>
            <w:tcW w:w="1861" w:type="dxa"/>
            <w:tcBorders>
              <w:top w:val="nil"/>
              <w:left w:val="nil"/>
              <w:bottom w:val="single" w:sz="4" w:space="0" w:color="auto"/>
              <w:right w:val="single" w:sz="4" w:space="0" w:color="auto"/>
            </w:tcBorders>
            <w:noWrap/>
            <w:vAlign w:val="center"/>
            <w:hideMark/>
          </w:tcPr>
          <w:p w14:paraId="4B88765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7.2</w:t>
            </w:r>
          </w:p>
        </w:tc>
        <w:tc>
          <w:tcPr>
            <w:tcW w:w="1319" w:type="dxa"/>
            <w:tcBorders>
              <w:top w:val="nil"/>
              <w:left w:val="nil"/>
              <w:bottom w:val="single" w:sz="4" w:space="0" w:color="auto"/>
              <w:right w:val="single" w:sz="4" w:space="0" w:color="auto"/>
            </w:tcBorders>
            <w:noWrap/>
            <w:vAlign w:val="center"/>
            <w:hideMark/>
          </w:tcPr>
          <w:p w14:paraId="4D2FA99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20</w:t>
            </w:r>
          </w:p>
        </w:tc>
        <w:tc>
          <w:tcPr>
            <w:tcW w:w="1932" w:type="dxa"/>
            <w:tcBorders>
              <w:top w:val="nil"/>
              <w:left w:val="nil"/>
              <w:bottom w:val="single" w:sz="4" w:space="0" w:color="auto"/>
              <w:right w:val="single" w:sz="4" w:space="0" w:color="auto"/>
            </w:tcBorders>
            <w:noWrap/>
            <w:vAlign w:val="center"/>
            <w:hideMark/>
          </w:tcPr>
          <w:p w14:paraId="3889C71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6.6</w:t>
            </w:r>
          </w:p>
        </w:tc>
      </w:tr>
      <w:tr w:rsidR="00A8124F" w:rsidRPr="00F55503" w14:paraId="3831E64E"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9D1ED7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w:t>
            </w:r>
          </w:p>
        </w:tc>
        <w:tc>
          <w:tcPr>
            <w:tcW w:w="1272" w:type="dxa"/>
            <w:tcBorders>
              <w:top w:val="nil"/>
              <w:left w:val="nil"/>
              <w:bottom w:val="single" w:sz="4" w:space="0" w:color="auto"/>
              <w:right w:val="single" w:sz="4" w:space="0" w:color="auto"/>
            </w:tcBorders>
            <w:noWrap/>
            <w:vAlign w:val="center"/>
            <w:hideMark/>
          </w:tcPr>
          <w:p w14:paraId="2590E79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14</w:t>
            </w:r>
          </w:p>
        </w:tc>
        <w:tc>
          <w:tcPr>
            <w:tcW w:w="1861" w:type="dxa"/>
            <w:tcBorders>
              <w:top w:val="nil"/>
              <w:left w:val="nil"/>
              <w:bottom w:val="single" w:sz="4" w:space="0" w:color="auto"/>
              <w:right w:val="single" w:sz="4" w:space="0" w:color="auto"/>
            </w:tcBorders>
            <w:noWrap/>
            <w:vAlign w:val="center"/>
            <w:hideMark/>
          </w:tcPr>
          <w:p w14:paraId="43109BF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2.3</w:t>
            </w:r>
          </w:p>
        </w:tc>
        <w:tc>
          <w:tcPr>
            <w:tcW w:w="1319" w:type="dxa"/>
            <w:tcBorders>
              <w:top w:val="nil"/>
              <w:left w:val="nil"/>
              <w:bottom w:val="single" w:sz="4" w:space="0" w:color="auto"/>
              <w:right w:val="single" w:sz="4" w:space="0" w:color="auto"/>
            </w:tcBorders>
            <w:noWrap/>
            <w:vAlign w:val="center"/>
            <w:hideMark/>
          </w:tcPr>
          <w:p w14:paraId="6F3D0B7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14</w:t>
            </w:r>
          </w:p>
        </w:tc>
        <w:tc>
          <w:tcPr>
            <w:tcW w:w="1932" w:type="dxa"/>
            <w:tcBorders>
              <w:top w:val="nil"/>
              <w:left w:val="nil"/>
              <w:bottom w:val="single" w:sz="4" w:space="0" w:color="auto"/>
              <w:right w:val="single" w:sz="4" w:space="0" w:color="auto"/>
            </w:tcBorders>
            <w:noWrap/>
            <w:vAlign w:val="center"/>
            <w:hideMark/>
          </w:tcPr>
          <w:p w14:paraId="13EE4DF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4.6</w:t>
            </w:r>
          </w:p>
        </w:tc>
      </w:tr>
      <w:tr w:rsidR="00A8124F" w:rsidRPr="00F55503" w14:paraId="73338D24"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D5D158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C</w:t>
            </w:r>
          </w:p>
        </w:tc>
        <w:tc>
          <w:tcPr>
            <w:tcW w:w="1272" w:type="dxa"/>
            <w:tcBorders>
              <w:top w:val="nil"/>
              <w:left w:val="nil"/>
              <w:bottom w:val="single" w:sz="4" w:space="0" w:color="auto"/>
              <w:right w:val="single" w:sz="4" w:space="0" w:color="auto"/>
            </w:tcBorders>
            <w:noWrap/>
            <w:vAlign w:val="center"/>
            <w:hideMark/>
          </w:tcPr>
          <w:p w14:paraId="2710AC8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13</w:t>
            </w:r>
          </w:p>
        </w:tc>
        <w:tc>
          <w:tcPr>
            <w:tcW w:w="1861" w:type="dxa"/>
            <w:tcBorders>
              <w:top w:val="nil"/>
              <w:left w:val="nil"/>
              <w:bottom w:val="single" w:sz="4" w:space="0" w:color="auto"/>
              <w:right w:val="single" w:sz="4" w:space="0" w:color="auto"/>
            </w:tcBorders>
            <w:noWrap/>
            <w:vAlign w:val="center"/>
            <w:hideMark/>
          </w:tcPr>
          <w:p w14:paraId="45B8471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2.2</w:t>
            </w:r>
          </w:p>
        </w:tc>
        <w:tc>
          <w:tcPr>
            <w:tcW w:w="1319" w:type="dxa"/>
            <w:tcBorders>
              <w:top w:val="nil"/>
              <w:left w:val="nil"/>
              <w:bottom w:val="single" w:sz="4" w:space="0" w:color="auto"/>
              <w:right w:val="single" w:sz="4" w:space="0" w:color="auto"/>
            </w:tcBorders>
            <w:noWrap/>
            <w:vAlign w:val="center"/>
            <w:hideMark/>
          </w:tcPr>
          <w:p w14:paraId="498CC54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10</w:t>
            </w:r>
          </w:p>
        </w:tc>
        <w:tc>
          <w:tcPr>
            <w:tcW w:w="1932" w:type="dxa"/>
            <w:tcBorders>
              <w:top w:val="nil"/>
              <w:left w:val="nil"/>
              <w:bottom w:val="single" w:sz="4" w:space="0" w:color="auto"/>
              <w:right w:val="single" w:sz="4" w:space="0" w:color="auto"/>
            </w:tcBorders>
            <w:noWrap/>
            <w:vAlign w:val="center"/>
            <w:hideMark/>
          </w:tcPr>
          <w:p w14:paraId="38781E6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3.3</w:t>
            </w:r>
          </w:p>
        </w:tc>
      </w:tr>
      <w:tr w:rsidR="00A8124F" w:rsidRPr="00F55503" w14:paraId="1AB39E99"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BBA869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 + C</w:t>
            </w:r>
          </w:p>
        </w:tc>
        <w:tc>
          <w:tcPr>
            <w:tcW w:w="1272" w:type="dxa"/>
            <w:tcBorders>
              <w:top w:val="nil"/>
              <w:left w:val="nil"/>
              <w:bottom w:val="single" w:sz="4" w:space="0" w:color="auto"/>
              <w:right w:val="single" w:sz="4" w:space="0" w:color="auto"/>
            </w:tcBorders>
            <w:noWrap/>
            <w:vAlign w:val="center"/>
            <w:hideMark/>
          </w:tcPr>
          <w:p w14:paraId="5DCAAAC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277</w:t>
            </w:r>
          </w:p>
        </w:tc>
        <w:tc>
          <w:tcPr>
            <w:tcW w:w="1861" w:type="dxa"/>
            <w:tcBorders>
              <w:top w:val="nil"/>
              <w:left w:val="nil"/>
              <w:bottom w:val="single" w:sz="4" w:space="0" w:color="auto"/>
              <w:right w:val="single" w:sz="4" w:space="0" w:color="auto"/>
            </w:tcBorders>
            <w:noWrap/>
            <w:vAlign w:val="center"/>
            <w:hideMark/>
          </w:tcPr>
          <w:p w14:paraId="430625D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46.5</w:t>
            </w:r>
          </w:p>
        </w:tc>
        <w:tc>
          <w:tcPr>
            <w:tcW w:w="1319" w:type="dxa"/>
            <w:tcBorders>
              <w:top w:val="nil"/>
              <w:left w:val="nil"/>
              <w:bottom w:val="single" w:sz="4" w:space="0" w:color="auto"/>
              <w:right w:val="single" w:sz="4" w:space="0" w:color="auto"/>
            </w:tcBorders>
            <w:noWrap/>
            <w:vAlign w:val="center"/>
            <w:hideMark/>
          </w:tcPr>
          <w:p w14:paraId="5DE5FCD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134</w:t>
            </w:r>
          </w:p>
        </w:tc>
        <w:tc>
          <w:tcPr>
            <w:tcW w:w="1932" w:type="dxa"/>
            <w:tcBorders>
              <w:top w:val="nil"/>
              <w:left w:val="nil"/>
              <w:bottom w:val="single" w:sz="4" w:space="0" w:color="auto"/>
              <w:right w:val="single" w:sz="4" w:space="0" w:color="auto"/>
            </w:tcBorders>
            <w:noWrap/>
            <w:vAlign w:val="center"/>
            <w:hideMark/>
          </w:tcPr>
          <w:p w14:paraId="5B20F71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43.9</w:t>
            </w:r>
          </w:p>
        </w:tc>
      </w:tr>
      <w:tr w:rsidR="00A8124F" w:rsidRPr="00F55503" w14:paraId="785ED4B5"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7D80F5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C</w:t>
            </w:r>
          </w:p>
        </w:tc>
        <w:tc>
          <w:tcPr>
            <w:tcW w:w="1272" w:type="dxa"/>
            <w:tcBorders>
              <w:top w:val="nil"/>
              <w:left w:val="nil"/>
              <w:bottom w:val="single" w:sz="4" w:space="0" w:color="auto"/>
              <w:right w:val="single" w:sz="4" w:space="0" w:color="auto"/>
            </w:tcBorders>
            <w:noWrap/>
            <w:vAlign w:val="center"/>
            <w:hideMark/>
          </w:tcPr>
          <w:p w14:paraId="36D2ADC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51</w:t>
            </w:r>
          </w:p>
        </w:tc>
        <w:tc>
          <w:tcPr>
            <w:tcW w:w="1861" w:type="dxa"/>
            <w:tcBorders>
              <w:top w:val="nil"/>
              <w:left w:val="nil"/>
              <w:bottom w:val="single" w:sz="4" w:space="0" w:color="auto"/>
              <w:right w:val="single" w:sz="4" w:space="0" w:color="auto"/>
            </w:tcBorders>
            <w:noWrap/>
            <w:vAlign w:val="center"/>
            <w:hideMark/>
          </w:tcPr>
          <w:p w14:paraId="4B61149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8.6</w:t>
            </w:r>
          </w:p>
        </w:tc>
        <w:tc>
          <w:tcPr>
            <w:tcW w:w="1319" w:type="dxa"/>
            <w:tcBorders>
              <w:top w:val="nil"/>
              <w:left w:val="nil"/>
              <w:bottom w:val="single" w:sz="4" w:space="0" w:color="auto"/>
              <w:right w:val="single" w:sz="4" w:space="0" w:color="auto"/>
            </w:tcBorders>
            <w:noWrap/>
            <w:vAlign w:val="center"/>
            <w:hideMark/>
          </w:tcPr>
          <w:p w14:paraId="665FBD4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17</w:t>
            </w:r>
          </w:p>
        </w:tc>
        <w:tc>
          <w:tcPr>
            <w:tcW w:w="1932" w:type="dxa"/>
            <w:tcBorders>
              <w:top w:val="nil"/>
              <w:left w:val="nil"/>
              <w:bottom w:val="single" w:sz="4" w:space="0" w:color="auto"/>
              <w:right w:val="single" w:sz="4" w:space="0" w:color="auto"/>
            </w:tcBorders>
            <w:noWrap/>
            <w:vAlign w:val="center"/>
            <w:hideMark/>
          </w:tcPr>
          <w:p w14:paraId="01ECE6C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5.6</w:t>
            </w:r>
          </w:p>
        </w:tc>
      </w:tr>
      <w:tr w:rsidR="00A8124F" w:rsidRPr="00F55503" w14:paraId="17071A7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9131139" w14:textId="77777777" w:rsidR="00A8124F" w:rsidRPr="00F55503" w:rsidRDefault="00A8124F" w:rsidP="00A8124F">
            <w:pPr>
              <w:jc w:val="center"/>
              <w:rPr>
                <w:rFonts w:ascii="Arial" w:hAnsi="Arial" w:cs="Arial"/>
                <w:color w:val="000000"/>
                <w:sz w:val="20"/>
                <w:szCs w:val="20"/>
              </w:rPr>
            </w:pPr>
            <w:proofErr w:type="spellStart"/>
            <w:r w:rsidRPr="00F55503">
              <w:rPr>
                <w:rFonts w:ascii="Arial" w:hAnsi="Arial" w:cs="Arial"/>
                <w:color w:val="000000"/>
                <w:sz w:val="20"/>
                <w:szCs w:val="20"/>
              </w:rPr>
              <w:t>Hormonetherapy</w:t>
            </w:r>
            <w:proofErr w:type="spellEnd"/>
            <w:r w:rsidRPr="00F55503">
              <w:rPr>
                <w:rFonts w:ascii="Arial" w:hAnsi="Arial" w:cs="Arial"/>
                <w:color w:val="000000"/>
                <w:sz w:val="20"/>
                <w:szCs w:val="20"/>
              </w:rPr>
              <w:t xml:space="preserve"> (H)</w:t>
            </w:r>
          </w:p>
        </w:tc>
        <w:tc>
          <w:tcPr>
            <w:tcW w:w="1272" w:type="dxa"/>
            <w:tcBorders>
              <w:top w:val="nil"/>
              <w:left w:val="nil"/>
              <w:bottom w:val="single" w:sz="4" w:space="0" w:color="auto"/>
              <w:right w:val="single" w:sz="4" w:space="0" w:color="auto"/>
            </w:tcBorders>
            <w:noWrap/>
            <w:vAlign w:val="center"/>
            <w:hideMark/>
          </w:tcPr>
          <w:p w14:paraId="1B88B70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66E1B8D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7C7E012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08FE18B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5938B854"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69030D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H</w:t>
            </w:r>
          </w:p>
        </w:tc>
        <w:tc>
          <w:tcPr>
            <w:tcW w:w="1272" w:type="dxa"/>
            <w:tcBorders>
              <w:top w:val="nil"/>
              <w:left w:val="nil"/>
              <w:bottom w:val="single" w:sz="4" w:space="0" w:color="auto"/>
              <w:right w:val="single" w:sz="4" w:space="0" w:color="auto"/>
            </w:tcBorders>
            <w:noWrap/>
            <w:vAlign w:val="center"/>
            <w:hideMark/>
          </w:tcPr>
          <w:p w14:paraId="64AE4C2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0DAC0F7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1CD940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5587E3BD"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72CE64C6"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004533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 + H</w:t>
            </w:r>
          </w:p>
        </w:tc>
        <w:tc>
          <w:tcPr>
            <w:tcW w:w="1272" w:type="dxa"/>
            <w:tcBorders>
              <w:top w:val="nil"/>
              <w:left w:val="nil"/>
              <w:bottom w:val="single" w:sz="4" w:space="0" w:color="auto"/>
              <w:right w:val="single" w:sz="4" w:space="0" w:color="auto"/>
            </w:tcBorders>
            <w:noWrap/>
            <w:vAlign w:val="center"/>
            <w:hideMark/>
          </w:tcPr>
          <w:p w14:paraId="70F969F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2B63858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24070AB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3D33444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158314E0"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72FD071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 + H</w:t>
            </w:r>
          </w:p>
        </w:tc>
        <w:tc>
          <w:tcPr>
            <w:tcW w:w="1272" w:type="dxa"/>
            <w:tcBorders>
              <w:top w:val="nil"/>
              <w:left w:val="nil"/>
              <w:bottom w:val="single" w:sz="4" w:space="0" w:color="auto"/>
              <w:right w:val="single" w:sz="4" w:space="0" w:color="auto"/>
            </w:tcBorders>
            <w:noWrap/>
            <w:vAlign w:val="center"/>
            <w:hideMark/>
          </w:tcPr>
          <w:p w14:paraId="70063DF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A85397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23FACF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67E69F88"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0DF66EB3"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60C4A18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H</w:t>
            </w:r>
          </w:p>
        </w:tc>
        <w:tc>
          <w:tcPr>
            <w:tcW w:w="1272" w:type="dxa"/>
            <w:tcBorders>
              <w:top w:val="nil"/>
              <w:left w:val="nil"/>
              <w:bottom w:val="single" w:sz="4" w:space="0" w:color="auto"/>
              <w:right w:val="single" w:sz="4" w:space="0" w:color="auto"/>
            </w:tcBorders>
            <w:noWrap/>
            <w:vAlign w:val="center"/>
            <w:hideMark/>
          </w:tcPr>
          <w:p w14:paraId="72749A5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7E51081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5AF4AB9"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30D246E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1A02281"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420182A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C + H</w:t>
            </w:r>
          </w:p>
        </w:tc>
        <w:tc>
          <w:tcPr>
            <w:tcW w:w="1272" w:type="dxa"/>
            <w:tcBorders>
              <w:top w:val="nil"/>
              <w:left w:val="nil"/>
              <w:bottom w:val="single" w:sz="4" w:space="0" w:color="auto"/>
              <w:right w:val="single" w:sz="4" w:space="0" w:color="auto"/>
            </w:tcBorders>
            <w:noWrap/>
            <w:vAlign w:val="center"/>
            <w:hideMark/>
          </w:tcPr>
          <w:p w14:paraId="4EFDE7EE"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7DB77631"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23E22C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24C7D76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D937723"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1758784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R + C + H</w:t>
            </w:r>
          </w:p>
        </w:tc>
        <w:tc>
          <w:tcPr>
            <w:tcW w:w="1272" w:type="dxa"/>
            <w:tcBorders>
              <w:top w:val="nil"/>
              <w:left w:val="nil"/>
              <w:bottom w:val="single" w:sz="4" w:space="0" w:color="auto"/>
              <w:right w:val="single" w:sz="4" w:space="0" w:color="auto"/>
            </w:tcBorders>
            <w:noWrap/>
            <w:vAlign w:val="center"/>
            <w:hideMark/>
          </w:tcPr>
          <w:p w14:paraId="380BAF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354302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3FC7EAB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738417D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04E3A3DF"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D4E401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 + R + C + H</w:t>
            </w:r>
          </w:p>
        </w:tc>
        <w:tc>
          <w:tcPr>
            <w:tcW w:w="1272" w:type="dxa"/>
            <w:tcBorders>
              <w:top w:val="nil"/>
              <w:left w:val="nil"/>
              <w:bottom w:val="single" w:sz="4" w:space="0" w:color="auto"/>
              <w:right w:val="single" w:sz="4" w:space="0" w:color="auto"/>
            </w:tcBorders>
            <w:noWrap/>
            <w:vAlign w:val="center"/>
            <w:hideMark/>
          </w:tcPr>
          <w:p w14:paraId="0DFCE1E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397271CB"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768458A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4E49EBB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2D90BA8A"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C1248D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Others</w:t>
            </w:r>
          </w:p>
        </w:tc>
        <w:tc>
          <w:tcPr>
            <w:tcW w:w="1272" w:type="dxa"/>
            <w:tcBorders>
              <w:top w:val="nil"/>
              <w:left w:val="nil"/>
              <w:bottom w:val="single" w:sz="4" w:space="0" w:color="auto"/>
              <w:right w:val="single" w:sz="4" w:space="0" w:color="auto"/>
            </w:tcBorders>
            <w:noWrap/>
            <w:vAlign w:val="center"/>
            <w:hideMark/>
          </w:tcPr>
          <w:p w14:paraId="5480A3F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7</w:t>
            </w:r>
          </w:p>
        </w:tc>
        <w:tc>
          <w:tcPr>
            <w:tcW w:w="1861" w:type="dxa"/>
            <w:tcBorders>
              <w:top w:val="nil"/>
              <w:left w:val="nil"/>
              <w:bottom w:val="single" w:sz="4" w:space="0" w:color="auto"/>
              <w:right w:val="single" w:sz="4" w:space="0" w:color="auto"/>
            </w:tcBorders>
            <w:noWrap/>
            <w:vAlign w:val="center"/>
            <w:hideMark/>
          </w:tcPr>
          <w:p w14:paraId="661E0D7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1.2</w:t>
            </w:r>
          </w:p>
        </w:tc>
        <w:tc>
          <w:tcPr>
            <w:tcW w:w="1319" w:type="dxa"/>
            <w:tcBorders>
              <w:top w:val="nil"/>
              <w:left w:val="nil"/>
              <w:bottom w:val="single" w:sz="4" w:space="0" w:color="auto"/>
              <w:right w:val="single" w:sz="4" w:space="0" w:color="auto"/>
            </w:tcBorders>
            <w:noWrap/>
            <w:vAlign w:val="center"/>
            <w:hideMark/>
          </w:tcPr>
          <w:p w14:paraId="29F89CC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w:t>
            </w:r>
          </w:p>
        </w:tc>
        <w:tc>
          <w:tcPr>
            <w:tcW w:w="1932" w:type="dxa"/>
            <w:tcBorders>
              <w:top w:val="nil"/>
              <w:left w:val="nil"/>
              <w:bottom w:val="single" w:sz="4" w:space="0" w:color="auto"/>
              <w:right w:val="single" w:sz="4" w:space="0" w:color="auto"/>
            </w:tcBorders>
            <w:noWrap/>
            <w:vAlign w:val="center"/>
            <w:hideMark/>
          </w:tcPr>
          <w:p w14:paraId="41A3376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1.0</w:t>
            </w:r>
          </w:p>
        </w:tc>
      </w:tr>
      <w:tr w:rsidR="00A8124F" w:rsidRPr="00F55503" w14:paraId="05C6B6CD"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2451175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Unknown</w:t>
            </w:r>
          </w:p>
        </w:tc>
        <w:tc>
          <w:tcPr>
            <w:tcW w:w="1272" w:type="dxa"/>
            <w:tcBorders>
              <w:top w:val="nil"/>
              <w:left w:val="nil"/>
              <w:bottom w:val="single" w:sz="4" w:space="0" w:color="auto"/>
              <w:right w:val="single" w:sz="4" w:space="0" w:color="auto"/>
            </w:tcBorders>
            <w:noWrap/>
            <w:vAlign w:val="center"/>
            <w:hideMark/>
          </w:tcPr>
          <w:p w14:paraId="55F99BA7"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861" w:type="dxa"/>
            <w:tcBorders>
              <w:top w:val="nil"/>
              <w:left w:val="nil"/>
              <w:bottom w:val="single" w:sz="4" w:space="0" w:color="auto"/>
              <w:right w:val="single" w:sz="4" w:space="0" w:color="auto"/>
            </w:tcBorders>
            <w:noWrap/>
            <w:vAlign w:val="center"/>
            <w:hideMark/>
          </w:tcPr>
          <w:p w14:paraId="63D54C34"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319" w:type="dxa"/>
            <w:tcBorders>
              <w:top w:val="nil"/>
              <w:left w:val="nil"/>
              <w:bottom w:val="single" w:sz="4" w:space="0" w:color="auto"/>
              <w:right w:val="single" w:sz="4" w:space="0" w:color="auto"/>
            </w:tcBorders>
            <w:noWrap/>
            <w:vAlign w:val="center"/>
            <w:hideMark/>
          </w:tcPr>
          <w:p w14:paraId="08D94E5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c>
          <w:tcPr>
            <w:tcW w:w="1932" w:type="dxa"/>
            <w:tcBorders>
              <w:top w:val="nil"/>
              <w:left w:val="nil"/>
              <w:bottom w:val="single" w:sz="4" w:space="0" w:color="auto"/>
              <w:right w:val="single" w:sz="4" w:space="0" w:color="auto"/>
            </w:tcBorders>
            <w:noWrap/>
            <w:vAlign w:val="center"/>
            <w:hideMark/>
          </w:tcPr>
          <w:p w14:paraId="13A0401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0</w:t>
            </w:r>
          </w:p>
        </w:tc>
      </w:tr>
      <w:tr w:rsidR="00A8124F" w:rsidRPr="00F55503" w14:paraId="75F68185" w14:textId="77777777" w:rsidTr="00A8124F">
        <w:trPr>
          <w:trHeight w:val="401"/>
          <w:jc w:val="center"/>
        </w:trPr>
        <w:tc>
          <w:tcPr>
            <w:tcW w:w="9142" w:type="dxa"/>
            <w:gridSpan w:val="5"/>
            <w:tcBorders>
              <w:top w:val="single" w:sz="4" w:space="0" w:color="auto"/>
              <w:left w:val="single" w:sz="4" w:space="0" w:color="auto"/>
              <w:bottom w:val="single" w:sz="4" w:space="0" w:color="auto"/>
              <w:right w:val="single" w:sz="4" w:space="0" w:color="000000"/>
            </w:tcBorders>
            <w:noWrap/>
            <w:vAlign w:val="center"/>
            <w:hideMark/>
          </w:tcPr>
          <w:p w14:paraId="335F9C28" w14:textId="77777777" w:rsidR="00A8124F" w:rsidRPr="00F55503" w:rsidRDefault="00A8124F" w:rsidP="00A8124F">
            <w:pPr>
              <w:jc w:val="center"/>
              <w:rPr>
                <w:rFonts w:ascii="Arial" w:hAnsi="Arial" w:cs="Arial"/>
                <w:b/>
                <w:bCs/>
                <w:color w:val="000000"/>
                <w:sz w:val="20"/>
                <w:szCs w:val="20"/>
              </w:rPr>
            </w:pPr>
            <w:r w:rsidRPr="00F55503">
              <w:rPr>
                <w:rFonts w:ascii="Arial" w:hAnsi="Arial" w:cs="Arial"/>
                <w:b/>
                <w:bCs/>
                <w:color w:val="000000"/>
                <w:sz w:val="20"/>
                <w:szCs w:val="20"/>
              </w:rPr>
              <w:t>Modality of Therapy</w:t>
            </w:r>
          </w:p>
        </w:tc>
      </w:tr>
      <w:tr w:rsidR="00A8124F" w:rsidRPr="00F55503" w14:paraId="30B99FA8"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0CD3C71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Single</w:t>
            </w:r>
          </w:p>
        </w:tc>
        <w:tc>
          <w:tcPr>
            <w:tcW w:w="1272" w:type="dxa"/>
            <w:tcBorders>
              <w:top w:val="nil"/>
              <w:left w:val="nil"/>
              <w:bottom w:val="single" w:sz="4" w:space="0" w:color="auto"/>
              <w:right w:val="single" w:sz="4" w:space="0" w:color="auto"/>
            </w:tcBorders>
            <w:noWrap/>
            <w:vAlign w:val="center"/>
            <w:hideMark/>
          </w:tcPr>
          <w:p w14:paraId="3389E69F"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234</w:t>
            </w:r>
          </w:p>
        </w:tc>
        <w:tc>
          <w:tcPr>
            <w:tcW w:w="1861" w:type="dxa"/>
            <w:tcBorders>
              <w:top w:val="nil"/>
              <w:left w:val="nil"/>
              <w:bottom w:val="single" w:sz="4" w:space="0" w:color="auto"/>
              <w:right w:val="single" w:sz="4" w:space="0" w:color="auto"/>
            </w:tcBorders>
            <w:noWrap/>
            <w:vAlign w:val="center"/>
            <w:hideMark/>
          </w:tcPr>
          <w:p w14:paraId="4C6121C0"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39.3</w:t>
            </w:r>
          </w:p>
        </w:tc>
        <w:tc>
          <w:tcPr>
            <w:tcW w:w="1319" w:type="dxa"/>
            <w:tcBorders>
              <w:top w:val="nil"/>
              <w:left w:val="nil"/>
              <w:bottom w:val="single" w:sz="4" w:space="0" w:color="auto"/>
              <w:right w:val="single" w:sz="4" w:space="0" w:color="auto"/>
            </w:tcBorders>
            <w:noWrap/>
            <w:vAlign w:val="center"/>
            <w:hideMark/>
          </w:tcPr>
          <w:p w14:paraId="4558A13C"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127</w:t>
            </w:r>
          </w:p>
        </w:tc>
        <w:tc>
          <w:tcPr>
            <w:tcW w:w="1932" w:type="dxa"/>
            <w:tcBorders>
              <w:top w:val="nil"/>
              <w:left w:val="nil"/>
              <w:bottom w:val="single" w:sz="4" w:space="0" w:color="auto"/>
              <w:right w:val="single" w:sz="4" w:space="0" w:color="auto"/>
            </w:tcBorders>
            <w:noWrap/>
            <w:vAlign w:val="center"/>
            <w:hideMark/>
          </w:tcPr>
          <w:p w14:paraId="742E568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41.6</w:t>
            </w:r>
          </w:p>
        </w:tc>
      </w:tr>
      <w:tr w:rsidR="00A8124F" w:rsidRPr="00F55503" w14:paraId="374991D6" w14:textId="77777777" w:rsidTr="00F55503">
        <w:trPr>
          <w:trHeight w:val="401"/>
          <w:jc w:val="center"/>
        </w:trPr>
        <w:tc>
          <w:tcPr>
            <w:tcW w:w="2758" w:type="dxa"/>
            <w:tcBorders>
              <w:top w:val="nil"/>
              <w:left w:val="single" w:sz="4" w:space="0" w:color="auto"/>
              <w:bottom w:val="single" w:sz="4" w:space="0" w:color="auto"/>
              <w:right w:val="single" w:sz="4" w:space="0" w:color="auto"/>
            </w:tcBorders>
            <w:noWrap/>
            <w:vAlign w:val="center"/>
            <w:hideMark/>
          </w:tcPr>
          <w:p w14:paraId="5C2EAF32"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Combination</w:t>
            </w:r>
          </w:p>
        </w:tc>
        <w:tc>
          <w:tcPr>
            <w:tcW w:w="1272" w:type="dxa"/>
            <w:tcBorders>
              <w:top w:val="nil"/>
              <w:left w:val="nil"/>
              <w:bottom w:val="single" w:sz="4" w:space="0" w:color="auto"/>
              <w:right w:val="single" w:sz="4" w:space="0" w:color="auto"/>
            </w:tcBorders>
            <w:noWrap/>
            <w:vAlign w:val="center"/>
            <w:hideMark/>
          </w:tcPr>
          <w:p w14:paraId="0603EFBA"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355</w:t>
            </w:r>
          </w:p>
        </w:tc>
        <w:tc>
          <w:tcPr>
            <w:tcW w:w="1861" w:type="dxa"/>
            <w:tcBorders>
              <w:top w:val="nil"/>
              <w:left w:val="nil"/>
              <w:bottom w:val="single" w:sz="4" w:space="0" w:color="auto"/>
              <w:right w:val="single" w:sz="4" w:space="0" w:color="auto"/>
            </w:tcBorders>
            <w:noWrap/>
            <w:vAlign w:val="center"/>
            <w:hideMark/>
          </w:tcPr>
          <w:p w14:paraId="60106EE3"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59.6</w:t>
            </w:r>
          </w:p>
        </w:tc>
        <w:tc>
          <w:tcPr>
            <w:tcW w:w="1319" w:type="dxa"/>
            <w:tcBorders>
              <w:top w:val="nil"/>
              <w:left w:val="nil"/>
              <w:bottom w:val="single" w:sz="4" w:space="0" w:color="auto"/>
              <w:right w:val="single" w:sz="4" w:space="0" w:color="auto"/>
            </w:tcBorders>
            <w:noWrap/>
            <w:vAlign w:val="center"/>
            <w:hideMark/>
          </w:tcPr>
          <w:p w14:paraId="717ADCC5"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175</w:t>
            </w:r>
          </w:p>
        </w:tc>
        <w:tc>
          <w:tcPr>
            <w:tcW w:w="1932" w:type="dxa"/>
            <w:tcBorders>
              <w:top w:val="nil"/>
              <w:left w:val="nil"/>
              <w:bottom w:val="single" w:sz="4" w:space="0" w:color="auto"/>
              <w:right w:val="single" w:sz="4" w:space="0" w:color="auto"/>
            </w:tcBorders>
            <w:noWrap/>
            <w:vAlign w:val="center"/>
            <w:hideMark/>
          </w:tcPr>
          <w:p w14:paraId="11745766" w14:textId="77777777" w:rsidR="00A8124F" w:rsidRPr="00F55503" w:rsidRDefault="00A8124F" w:rsidP="00A8124F">
            <w:pPr>
              <w:jc w:val="center"/>
              <w:rPr>
                <w:rFonts w:ascii="Arial" w:hAnsi="Arial" w:cs="Arial"/>
                <w:color w:val="000000"/>
                <w:sz w:val="20"/>
                <w:szCs w:val="20"/>
              </w:rPr>
            </w:pPr>
            <w:r w:rsidRPr="00F55503">
              <w:rPr>
                <w:rFonts w:ascii="Arial" w:hAnsi="Arial" w:cs="Arial"/>
                <w:color w:val="000000"/>
                <w:sz w:val="20"/>
                <w:szCs w:val="20"/>
              </w:rPr>
              <w:t>57.4</w:t>
            </w:r>
          </w:p>
        </w:tc>
      </w:tr>
    </w:tbl>
    <w:p w14:paraId="1C6C97E9" w14:textId="77777777" w:rsidR="00A108C9" w:rsidRPr="00632BFC" w:rsidRDefault="00A108C9" w:rsidP="00632BFC">
      <w:pPr>
        <w:pStyle w:val="PlainText"/>
        <w:jc w:val="both"/>
        <w:rPr>
          <w:rFonts w:ascii="Arial" w:hAnsi="Arial" w:cs="Arial"/>
          <w:sz w:val="20"/>
          <w:szCs w:val="20"/>
        </w:rPr>
      </w:pPr>
    </w:p>
    <w:p w14:paraId="0D0C7EF8"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 xml:space="preserve">The treatment data demonstrates that combined radiotherapy and chemotherapy (R + C) was the predominant treatment regimen, utilized in 46.5% of males and 43.9% of females. Radiotherapy monotherapy was administered to 25.3% of males and 29.2% of females. Surgery monotherapy was performed in only 6.7% of males and 5.9% of females, reflecting the advanced disease stage of most presenting patients unsuitable for primary surgical resection. Triple-modality therapy (S + R + C) was employed in 8.6% of males and 5.6% of females, targeting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tumors.</w:t>
      </w:r>
    </w:p>
    <w:p w14:paraId="336FA1D9" w14:textId="77777777" w:rsidR="00A108C9" w:rsidRPr="00632BFC" w:rsidRDefault="00A108C9" w:rsidP="00632BFC">
      <w:pPr>
        <w:pStyle w:val="PlainText"/>
        <w:jc w:val="both"/>
        <w:rPr>
          <w:rFonts w:ascii="Arial" w:hAnsi="Arial" w:cs="Arial"/>
          <w:sz w:val="20"/>
          <w:szCs w:val="20"/>
        </w:rPr>
      </w:pPr>
    </w:p>
    <w:p w14:paraId="5CA0CCAF" w14:textId="11C296AD" w:rsidR="00A108C9" w:rsidRPr="002E7ACC" w:rsidRDefault="00A108C9" w:rsidP="00632BFC">
      <w:pPr>
        <w:pStyle w:val="PlainText"/>
        <w:jc w:val="both"/>
        <w:rPr>
          <w:rFonts w:ascii="Arial" w:hAnsi="Arial" w:cs="Arial"/>
          <w:sz w:val="20"/>
          <w:szCs w:val="20"/>
        </w:rPr>
      </w:pPr>
      <w:r w:rsidRPr="00632BFC">
        <w:rPr>
          <w:rFonts w:ascii="Arial" w:hAnsi="Arial" w:cs="Arial"/>
          <w:sz w:val="20"/>
          <w:szCs w:val="20"/>
        </w:rPr>
        <w:t xml:space="preserve">Overall, combination therapies were substantially more prevalent than single-modality approaches, with 59.6% of males and 57.4% of females receiving multimodal treatment. Conversely, 39.3% of males and 41.6% of females underwent single-modality therapy, likely reflecting early-stage disease presentations or patients deemed unsuitable for intensive combined interventions due to comorbidities or poor functional status. The absence of hormonal therapy use reflects its limited therapeutic relevance in esophageal malignancies. These data highlight the reporting institution's adoption of evidence-based, multimodal management strategies aligned with contemporary oncological guidelines </w:t>
      </w:r>
      <w:r w:rsidR="002E7ACC" w:rsidRPr="002E7ACC">
        <w:rPr>
          <w:rFonts w:ascii="Arial" w:hAnsi="Arial" w:cs="Arial"/>
          <w:sz w:val="20"/>
          <w:szCs w:val="20"/>
        </w:rPr>
        <w:t>(</w:t>
      </w:r>
      <w:proofErr w:type="spellStart"/>
      <w:r w:rsidR="002E7ACC" w:rsidRPr="002E7ACC">
        <w:rPr>
          <w:rFonts w:ascii="Arial" w:hAnsi="Arial" w:cs="Arial"/>
          <w:sz w:val="20"/>
          <w:szCs w:val="20"/>
        </w:rPr>
        <w:t>Obermannová</w:t>
      </w:r>
      <w:proofErr w:type="spellEnd"/>
      <w:r w:rsidR="002E7ACC" w:rsidRPr="002E7ACC">
        <w:rPr>
          <w:rFonts w:ascii="Arial" w:hAnsi="Arial" w:cs="Arial"/>
          <w:sz w:val="20"/>
          <w:szCs w:val="20"/>
        </w:rPr>
        <w:t xml:space="preserve"> et al., 2025)</w:t>
      </w:r>
      <w:r w:rsidR="002E7ACC">
        <w:rPr>
          <w:rFonts w:ascii="Arial" w:hAnsi="Arial" w:cs="Arial"/>
          <w:sz w:val="20"/>
          <w:szCs w:val="20"/>
        </w:rPr>
        <w:t>.</w:t>
      </w:r>
    </w:p>
    <w:p w14:paraId="1FD94106" w14:textId="77777777" w:rsidR="00A108C9" w:rsidRPr="00632BFC" w:rsidRDefault="00A108C9" w:rsidP="00632BFC">
      <w:pPr>
        <w:pStyle w:val="PlainText"/>
        <w:jc w:val="both"/>
        <w:rPr>
          <w:rFonts w:ascii="Arial" w:hAnsi="Arial" w:cs="Arial"/>
          <w:sz w:val="20"/>
          <w:szCs w:val="20"/>
        </w:rPr>
      </w:pPr>
    </w:p>
    <w:p w14:paraId="6CA048C9" w14:textId="77777777" w:rsidR="00A8124F" w:rsidRDefault="00A8124F" w:rsidP="00A8124F">
      <w:pPr>
        <w:pStyle w:val="PlainText"/>
        <w:jc w:val="center"/>
        <w:rPr>
          <w:rFonts w:ascii="Arial" w:hAnsi="Arial" w:cs="Arial"/>
          <w:b/>
          <w:sz w:val="20"/>
          <w:szCs w:val="20"/>
        </w:rPr>
      </w:pPr>
      <w:r w:rsidRPr="00A8124F">
        <w:rPr>
          <w:rFonts w:ascii="Arial" w:hAnsi="Arial" w:cs="Arial"/>
          <w:b/>
          <w:sz w:val="20"/>
          <w:szCs w:val="20"/>
        </w:rPr>
        <w:t xml:space="preserve">Table 8. </w:t>
      </w:r>
      <w:r w:rsidR="00A108C9" w:rsidRPr="00A8124F">
        <w:rPr>
          <w:rFonts w:ascii="Arial" w:hAnsi="Arial" w:cs="Arial"/>
          <w:b/>
          <w:sz w:val="20"/>
          <w:szCs w:val="20"/>
        </w:rPr>
        <w:t>Number (#) and Relative Proportion (%) of Patients According to Specific Treatment Relative to All Treatment Procedures (Treatment at Reporting Institution Only)</w:t>
      </w:r>
    </w:p>
    <w:p w14:paraId="5C153D68" w14:textId="77777777" w:rsidR="00A8124F" w:rsidRDefault="00A8124F" w:rsidP="00A8124F">
      <w:pPr>
        <w:pStyle w:val="PlainText"/>
        <w:jc w:val="center"/>
        <w:rPr>
          <w:rFonts w:ascii="Arial" w:hAnsi="Arial" w:cs="Arial"/>
          <w:b/>
          <w:sz w:val="20"/>
          <w:szCs w:val="20"/>
        </w:rPr>
      </w:pPr>
    </w:p>
    <w:tbl>
      <w:tblPr>
        <w:tblW w:w="8266" w:type="dxa"/>
        <w:jc w:val="center"/>
        <w:tblLook w:val="04A0" w:firstRow="1" w:lastRow="0" w:firstColumn="1" w:lastColumn="0" w:noHBand="0" w:noVBand="1"/>
      </w:tblPr>
      <w:tblGrid>
        <w:gridCol w:w="3466"/>
        <w:gridCol w:w="1199"/>
        <w:gridCol w:w="1201"/>
        <w:gridCol w:w="1199"/>
        <w:gridCol w:w="1201"/>
      </w:tblGrid>
      <w:tr w:rsidR="00A8124F" w:rsidRPr="00A8124F" w14:paraId="54AD2DE5" w14:textId="77777777" w:rsidTr="00A8124F">
        <w:trPr>
          <w:trHeight w:val="473"/>
          <w:jc w:val="center"/>
        </w:trPr>
        <w:tc>
          <w:tcPr>
            <w:tcW w:w="3466" w:type="dxa"/>
            <w:vMerge w:val="restart"/>
            <w:tcBorders>
              <w:top w:val="single" w:sz="4" w:space="0" w:color="auto"/>
              <w:left w:val="single" w:sz="4" w:space="0" w:color="auto"/>
              <w:bottom w:val="single" w:sz="4" w:space="0" w:color="auto"/>
              <w:right w:val="single" w:sz="4" w:space="0" w:color="auto"/>
            </w:tcBorders>
            <w:noWrap/>
            <w:vAlign w:val="center"/>
            <w:hideMark/>
          </w:tcPr>
          <w:p w14:paraId="35E1985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Treatments</w:t>
            </w:r>
          </w:p>
        </w:tc>
        <w:tc>
          <w:tcPr>
            <w:tcW w:w="2400" w:type="dxa"/>
            <w:gridSpan w:val="2"/>
            <w:tcBorders>
              <w:top w:val="single" w:sz="4" w:space="0" w:color="auto"/>
              <w:left w:val="nil"/>
              <w:bottom w:val="single" w:sz="4" w:space="0" w:color="auto"/>
              <w:right w:val="single" w:sz="4" w:space="0" w:color="000000"/>
            </w:tcBorders>
            <w:noWrap/>
            <w:vAlign w:val="center"/>
            <w:hideMark/>
          </w:tcPr>
          <w:p w14:paraId="2A9D5DF4"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Males</w:t>
            </w:r>
          </w:p>
        </w:tc>
        <w:tc>
          <w:tcPr>
            <w:tcW w:w="2400" w:type="dxa"/>
            <w:gridSpan w:val="2"/>
            <w:tcBorders>
              <w:top w:val="single" w:sz="4" w:space="0" w:color="auto"/>
              <w:left w:val="nil"/>
              <w:bottom w:val="single" w:sz="4" w:space="0" w:color="auto"/>
              <w:right w:val="single" w:sz="4" w:space="0" w:color="000000"/>
            </w:tcBorders>
            <w:noWrap/>
            <w:vAlign w:val="center"/>
            <w:hideMark/>
          </w:tcPr>
          <w:p w14:paraId="722A1D26"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Females</w:t>
            </w:r>
          </w:p>
        </w:tc>
      </w:tr>
      <w:tr w:rsidR="00A8124F" w:rsidRPr="00A8124F" w14:paraId="4D8A107C" w14:textId="77777777" w:rsidTr="00A8124F">
        <w:trPr>
          <w:trHeight w:val="473"/>
          <w:jc w:val="center"/>
        </w:trPr>
        <w:tc>
          <w:tcPr>
            <w:tcW w:w="3466" w:type="dxa"/>
            <w:vMerge/>
            <w:tcBorders>
              <w:top w:val="single" w:sz="4" w:space="0" w:color="auto"/>
              <w:left w:val="single" w:sz="4" w:space="0" w:color="auto"/>
              <w:bottom w:val="single" w:sz="4" w:space="0" w:color="auto"/>
              <w:right w:val="single" w:sz="4" w:space="0" w:color="auto"/>
            </w:tcBorders>
            <w:vAlign w:val="center"/>
            <w:hideMark/>
          </w:tcPr>
          <w:p w14:paraId="12C68409" w14:textId="77777777" w:rsidR="00A8124F" w:rsidRPr="00A8124F" w:rsidRDefault="00A8124F" w:rsidP="00A8124F">
            <w:pPr>
              <w:rPr>
                <w:rFonts w:ascii="Arial" w:hAnsi="Arial" w:cs="Arial"/>
                <w:b/>
                <w:bCs/>
                <w:color w:val="000000"/>
                <w:sz w:val="20"/>
                <w:szCs w:val="20"/>
              </w:rPr>
            </w:pPr>
          </w:p>
        </w:tc>
        <w:tc>
          <w:tcPr>
            <w:tcW w:w="1199" w:type="dxa"/>
            <w:tcBorders>
              <w:top w:val="nil"/>
              <w:left w:val="nil"/>
              <w:bottom w:val="single" w:sz="4" w:space="0" w:color="auto"/>
              <w:right w:val="single" w:sz="4" w:space="0" w:color="auto"/>
            </w:tcBorders>
            <w:noWrap/>
            <w:vAlign w:val="center"/>
            <w:hideMark/>
          </w:tcPr>
          <w:p w14:paraId="64C3F893"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201" w:type="dxa"/>
            <w:tcBorders>
              <w:top w:val="nil"/>
              <w:left w:val="nil"/>
              <w:bottom w:val="single" w:sz="4" w:space="0" w:color="auto"/>
              <w:right w:val="single" w:sz="4" w:space="0" w:color="auto"/>
            </w:tcBorders>
            <w:noWrap/>
            <w:vAlign w:val="center"/>
            <w:hideMark/>
          </w:tcPr>
          <w:p w14:paraId="4D241F28"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199" w:type="dxa"/>
            <w:tcBorders>
              <w:top w:val="nil"/>
              <w:left w:val="nil"/>
              <w:bottom w:val="single" w:sz="4" w:space="0" w:color="auto"/>
              <w:right w:val="single" w:sz="4" w:space="0" w:color="auto"/>
            </w:tcBorders>
            <w:noWrap/>
            <w:vAlign w:val="center"/>
            <w:hideMark/>
          </w:tcPr>
          <w:p w14:paraId="7DCC0FC1"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c>
          <w:tcPr>
            <w:tcW w:w="1201" w:type="dxa"/>
            <w:tcBorders>
              <w:top w:val="nil"/>
              <w:left w:val="nil"/>
              <w:bottom w:val="single" w:sz="4" w:space="0" w:color="auto"/>
              <w:right w:val="single" w:sz="4" w:space="0" w:color="auto"/>
            </w:tcBorders>
            <w:noWrap/>
            <w:vAlign w:val="center"/>
            <w:hideMark/>
          </w:tcPr>
          <w:p w14:paraId="1885513B"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w:t>
            </w:r>
          </w:p>
        </w:tc>
      </w:tr>
      <w:tr w:rsidR="00A8124F" w:rsidRPr="00A8124F" w14:paraId="025CC0AA"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44A74CE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Surgery</w:t>
            </w:r>
          </w:p>
        </w:tc>
        <w:tc>
          <w:tcPr>
            <w:tcW w:w="1199" w:type="dxa"/>
            <w:tcBorders>
              <w:top w:val="nil"/>
              <w:left w:val="nil"/>
              <w:bottom w:val="single" w:sz="4" w:space="0" w:color="auto"/>
              <w:right w:val="single" w:sz="4" w:space="0" w:color="auto"/>
            </w:tcBorders>
            <w:noWrap/>
            <w:vAlign w:val="center"/>
            <w:hideMark/>
          </w:tcPr>
          <w:p w14:paraId="613DE3F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118</w:t>
            </w:r>
          </w:p>
        </w:tc>
        <w:tc>
          <w:tcPr>
            <w:tcW w:w="1201" w:type="dxa"/>
            <w:tcBorders>
              <w:top w:val="nil"/>
              <w:left w:val="nil"/>
              <w:bottom w:val="single" w:sz="4" w:space="0" w:color="auto"/>
              <w:right w:val="single" w:sz="4" w:space="0" w:color="auto"/>
            </w:tcBorders>
            <w:noWrap/>
            <w:vAlign w:val="center"/>
            <w:hideMark/>
          </w:tcPr>
          <w:p w14:paraId="1E5EDDA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11.8</w:t>
            </w:r>
          </w:p>
        </w:tc>
        <w:tc>
          <w:tcPr>
            <w:tcW w:w="1199" w:type="dxa"/>
            <w:tcBorders>
              <w:top w:val="nil"/>
              <w:left w:val="nil"/>
              <w:bottom w:val="single" w:sz="4" w:space="0" w:color="auto"/>
              <w:right w:val="single" w:sz="4" w:space="0" w:color="auto"/>
            </w:tcBorders>
            <w:noWrap/>
            <w:vAlign w:val="center"/>
            <w:hideMark/>
          </w:tcPr>
          <w:p w14:paraId="386A63F4"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59</w:t>
            </w:r>
          </w:p>
        </w:tc>
        <w:tc>
          <w:tcPr>
            <w:tcW w:w="1201" w:type="dxa"/>
            <w:tcBorders>
              <w:top w:val="nil"/>
              <w:left w:val="nil"/>
              <w:bottom w:val="single" w:sz="4" w:space="0" w:color="auto"/>
              <w:right w:val="single" w:sz="4" w:space="0" w:color="auto"/>
            </w:tcBorders>
            <w:noWrap/>
            <w:vAlign w:val="center"/>
            <w:hideMark/>
          </w:tcPr>
          <w:p w14:paraId="64894D0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11.9</w:t>
            </w:r>
          </w:p>
        </w:tc>
      </w:tr>
      <w:tr w:rsidR="00A8124F" w:rsidRPr="00A8124F" w14:paraId="5796E7BD"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3B57F94C"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Radiotherapy</w:t>
            </w:r>
          </w:p>
        </w:tc>
        <w:tc>
          <w:tcPr>
            <w:tcW w:w="1199" w:type="dxa"/>
            <w:tcBorders>
              <w:top w:val="nil"/>
              <w:left w:val="nil"/>
              <w:bottom w:val="single" w:sz="4" w:space="0" w:color="auto"/>
              <w:right w:val="single" w:sz="4" w:space="0" w:color="auto"/>
            </w:tcBorders>
            <w:noWrap/>
            <w:vAlign w:val="center"/>
            <w:hideMark/>
          </w:tcPr>
          <w:p w14:paraId="3903B3A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493</w:t>
            </w:r>
          </w:p>
        </w:tc>
        <w:tc>
          <w:tcPr>
            <w:tcW w:w="1201" w:type="dxa"/>
            <w:tcBorders>
              <w:top w:val="nil"/>
              <w:left w:val="nil"/>
              <w:bottom w:val="single" w:sz="4" w:space="0" w:color="auto"/>
              <w:right w:val="single" w:sz="4" w:space="0" w:color="auto"/>
            </w:tcBorders>
            <w:noWrap/>
            <w:vAlign w:val="center"/>
            <w:hideMark/>
          </w:tcPr>
          <w:p w14:paraId="5E0FCC62"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49.2</w:t>
            </w:r>
          </w:p>
        </w:tc>
        <w:tc>
          <w:tcPr>
            <w:tcW w:w="1199" w:type="dxa"/>
            <w:tcBorders>
              <w:top w:val="nil"/>
              <w:left w:val="nil"/>
              <w:bottom w:val="single" w:sz="4" w:space="0" w:color="auto"/>
              <w:right w:val="single" w:sz="4" w:space="0" w:color="auto"/>
            </w:tcBorders>
            <w:noWrap/>
            <w:vAlign w:val="center"/>
            <w:hideMark/>
          </w:tcPr>
          <w:p w14:paraId="1F20A6B7"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254</w:t>
            </w:r>
          </w:p>
        </w:tc>
        <w:tc>
          <w:tcPr>
            <w:tcW w:w="1201" w:type="dxa"/>
            <w:tcBorders>
              <w:top w:val="nil"/>
              <w:left w:val="nil"/>
              <w:bottom w:val="single" w:sz="4" w:space="0" w:color="auto"/>
              <w:right w:val="single" w:sz="4" w:space="0" w:color="auto"/>
            </w:tcBorders>
            <w:noWrap/>
            <w:vAlign w:val="center"/>
            <w:hideMark/>
          </w:tcPr>
          <w:p w14:paraId="42A88F86"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51.1</w:t>
            </w:r>
          </w:p>
        </w:tc>
      </w:tr>
      <w:tr w:rsidR="00A8124F" w:rsidRPr="00A8124F" w14:paraId="5E9E6B0D"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53451241"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Chemotherapy</w:t>
            </w:r>
          </w:p>
        </w:tc>
        <w:tc>
          <w:tcPr>
            <w:tcW w:w="1199" w:type="dxa"/>
            <w:tcBorders>
              <w:top w:val="nil"/>
              <w:left w:val="nil"/>
              <w:bottom w:val="single" w:sz="4" w:space="0" w:color="auto"/>
              <w:right w:val="single" w:sz="4" w:space="0" w:color="auto"/>
            </w:tcBorders>
            <w:noWrap/>
            <w:vAlign w:val="center"/>
            <w:hideMark/>
          </w:tcPr>
          <w:p w14:paraId="1BDA243A"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384</w:t>
            </w:r>
          </w:p>
        </w:tc>
        <w:tc>
          <w:tcPr>
            <w:tcW w:w="1201" w:type="dxa"/>
            <w:tcBorders>
              <w:top w:val="nil"/>
              <w:left w:val="nil"/>
              <w:bottom w:val="single" w:sz="4" w:space="0" w:color="auto"/>
              <w:right w:val="single" w:sz="4" w:space="0" w:color="auto"/>
            </w:tcBorders>
            <w:noWrap/>
            <w:vAlign w:val="center"/>
            <w:hideMark/>
          </w:tcPr>
          <w:p w14:paraId="1AAC8C0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38.3</w:t>
            </w:r>
          </w:p>
        </w:tc>
        <w:tc>
          <w:tcPr>
            <w:tcW w:w="1199" w:type="dxa"/>
            <w:tcBorders>
              <w:top w:val="nil"/>
              <w:left w:val="nil"/>
              <w:bottom w:val="single" w:sz="4" w:space="0" w:color="auto"/>
              <w:right w:val="single" w:sz="4" w:space="0" w:color="auto"/>
            </w:tcBorders>
            <w:noWrap/>
            <w:vAlign w:val="center"/>
            <w:hideMark/>
          </w:tcPr>
          <w:p w14:paraId="6884C2E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181</w:t>
            </w:r>
          </w:p>
        </w:tc>
        <w:tc>
          <w:tcPr>
            <w:tcW w:w="1201" w:type="dxa"/>
            <w:tcBorders>
              <w:top w:val="nil"/>
              <w:left w:val="nil"/>
              <w:bottom w:val="single" w:sz="4" w:space="0" w:color="auto"/>
              <w:right w:val="single" w:sz="4" w:space="0" w:color="auto"/>
            </w:tcBorders>
            <w:noWrap/>
            <w:vAlign w:val="center"/>
            <w:hideMark/>
          </w:tcPr>
          <w:p w14:paraId="48361A5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36.4</w:t>
            </w:r>
          </w:p>
        </w:tc>
      </w:tr>
      <w:tr w:rsidR="00A8124F" w:rsidRPr="00A8124F" w14:paraId="50C09D0C"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7E7DC8E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Hormone Therapy</w:t>
            </w:r>
          </w:p>
        </w:tc>
        <w:tc>
          <w:tcPr>
            <w:tcW w:w="1199" w:type="dxa"/>
            <w:tcBorders>
              <w:top w:val="nil"/>
              <w:left w:val="nil"/>
              <w:bottom w:val="single" w:sz="4" w:space="0" w:color="auto"/>
              <w:right w:val="single" w:sz="4" w:space="0" w:color="auto"/>
            </w:tcBorders>
            <w:vAlign w:val="center"/>
            <w:hideMark/>
          </w:tcPr>
          <w:p w14:paraId="3A92524A"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1A6BB63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199" w:type="dxa"/>
            <w:tcBorders>
              <w:top w:val="nil"/>
              <w:left w:val="nil"/>
              <w:bottom w:val="single" w:sz="4" w:space="0" w:color="auto"/>
              <w:right w:val="single" w:sz="4" w:space="0" w:color="auto"/>
            </w:tcBorders>
            <w:vAlign w:val="center"/>
            <w:hideMark/>
          </w:tcPr>
          <w:p w14:paraId="313AA4A4"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31CAEBB0"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r>
      <w:tr w:rsidR="00A8124F" w:rsidRPr="00A8124F" w14:paraId="65C56C7B"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0855B499"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Any Others</w:t>
            </w:r>
          </w:p>
        </w:tc>
        <w:tc>
          <w:tcPr>
            <w:tcW w:w="1199" w:type="dxa"/>
            <w:tcBorders>
              <w:top w:val="nil"/>
              <w:left w:val="nil"/>
              <w:bottom w:val="single" w:sz="4" w:space="0" w:color="auto"/>
              <w:right w:val="single" w:sz="4" w:space="0" w:color="auto"/>
            </w:tcBorders>
            <w:noWrap/>
            <w:vAlign w:val="center"/>
            <w:hideMark/>
          </w:tcPr>
          <w:p w14:paraId="5AFDFFE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7</w:t>
            </w:r>
          </w:p>
        </w:tc>
        <w:tc>
          <w:tcPr>
            <w:tcW w:w="1201" w:type="dxa"/>
            <w:tcBorders>
              <w:top w:val="nil"/>
              <w:left w:val="nil"/>
              <w:bottom w:val="single" w:sz="4" w:space="0" w:color="auto"/>
              <w:right w:val="single" w:sz="4" w:space="0" w:color="auto"/>
            </w:tcBorders>
            <w:noWrap/>
            <w:vAlign w:val="center"/>
            <w:hideMark/>
          </w:tcPr>
          <w:p w14:paraId="5D4E8B0B"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0.7</w:t>
            </w:r>
          </w:p>
        </w:tc>
        <w:tc>
          <w:tcPr>
            <w:tcW w:w="1199" w:type="dxa"/>
            <w:tcBorders>
              <w:top w:val="nil"/>
              <w:left w:val="nil"/>
              <w:bottom w:val="single" w:sz="4" w:space="0" w:color="auto"/>
              <w:right w:val="single" w:sz="4" w:space="0" w:color="auto"/>
            </w:tcBorders>
            <w:noWrap/>
            <w:vAlign w:val="center"/>
            <w:hideMark/>
          </w:tcPr>
          <w:p w14:paraId="29390E32"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3</w:t>
            </w:r>
          </w:p>
        </w:tc>
        <w:tc>
          <w:tcPr>
            <w:tcW w:w="1201" w:type="dxa"/>
            <w:tcBorders>
              <w:top w:val="nil"/>
              <w:left w:val="nil"/>
              <w:bottom w:val="single" w:sz="4" w:space="0" w:color="auto"/>
              <w:right w:val="single" w:sz="4" w:space="0" w:color="auto"/>
            </w:tcBorders>
            <w:noWrap/>
            <w:vAlign w:val="center"/>
            <w:hideMark/>
          </w:tcPr>
          <w:p w14:paraId="0CE26EE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0.6</w:t>
            </w:r>
          </w:p>
        </w:tc>
      </w:tr>
      <w:tr w:rsidR="00A8124F" w:rsidRPr="00A8124F" w14:paraId="76B19DA3"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61DF9F58"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Unknown</w:t>
            </w:r>
          </w:p>
        </w:tc>
        <w:tc>
          <w:tcPr>
            <w:tcW w:w="1199" w:type="dxa"/>
            <w:tcBorders>
              <w:top w:val="nil"/>
              <w:left w:val="nil"/>
              <w:bottom w:val="single" w:sz="4" w:space="0" w:color="auto"/>
              <w:right w:val="single" w:sz="4" w:space="0" w:color="auto"/>
            </w:tcBorders>
            <w:vAlign w:val="center"/>
            <w:hideMark/>
          </w:tcPr>
          <w:p w14:paraId="5AF0EC0D"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679C9CF1"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199" w:type="dxa"/>
            <w:tcBorders>
              <w:top w:val="nil"/>
              <w:left w:val="nil"/>
              <w:bottom w:val="single" w:sz="4" w:space="0" w:color="auto"/>
              <w:right w:val="single" w:sz="4" w:space="0" w:color="auto"/>
            </w:tcBorders>
            <w:vAlign w:val="center"/>
            <w:hideMark/>
          </w:tcPr>
          <w:p w14:paraId="7E3DAACE"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c>
          <w:tcPr>
            <w:tcW w:w="1201" w:type="dxa"/>
            <w:tcBorders>
              <w:top w:val="nil"/>
              <w:left w:val="nil"/>
              <w:bottom w:val="single" w:sz="4" w:space="0" w:color="auto"/>
              <w:right w:val="single" w:sz="4" w:space="0" w:color="auto"/>
            </w:tcBorders>
            <w:vAlign w:val="center"/>
            <w:hideMark/>
          </w:tcPr>
          <w:p w14:paraId="1ECE9833" w14:textId="77777777" w:rsidR="00A8124F" w:rsidRPr="00A8124F" w:rsidRDefault="00A8124F" w:rsidP="00A8124F">
            <w:pPr>
              <w:jc w:val="center"/>
              <w:rPr>
                <w:rFonts w:ascii="Arial" w:hAnsi="Arial" w:cs="Arial"/>
                <w:color w:val="000000"/>
                <w:sz w:val="20"/>
                <w:szCs w:val="20"/>
              </w:rPr>
            </w:pPr>
            <w:r w:rsidRPr="00A8124F">
              <w:rPr>
                <w:rFonts w:ascii="Arial" w:hAnsi="Arial" w:cs="Arial"/>
                <w:color w:val="000000"/>
                <w:sz w:val="20"/>
                <w:szCs w:val="20"/>
              </w:rPr>
              <w:t>0</w:t>
            </w:r>
          </w:p>
        </w:tc>
      </w:tr>
      <w:tr w:rsidR="00A8124F" w:rsidRPr="00A8124F" w14:paraId="0200381C" w14:textId="77777777" w:rsidTr="00A8124F">
        <w:trPr>
          <w:trHeight w:val="473"/>
          <w:jc w:val="center"/>
        </w:trPr>
        <w:tc>
          <w:tcPr>
            <w:tcW w:w="3466" w:type="dxa"/>
            <w:tcBorders>
              <w:top w:val="nil"/>
              <w:left w:val="single" w:sz="4" w:space="0" w:color="auto"/>
              <w:bottom w:val="single" w:sz="4" w:space="0" w:color="auto"/>
              <w:right w:val="single" w:sz="4" w:space="0" w:color="auto"/>
            </w:tcBorders>
            <w:noWrap/>
            <w:vAlign w:val="center"/>
            <w:hideMark/>
          </w:tcPr>
          <w:p w14:paraId="16F97080"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Total</w:t>
            </w:r>
          </w:p>
        </w:tc>
        <w:tc>
          <w:tcPr>
            <w:tcW w:w="1199" w:type="dxa"/>
            <w:tcBorders>
              <w:top w:val="nil"/>
              <w:left w:val="nil"/>
              <w:bottom w:val="single" w:sz="4" w:space="0" w:color="auto"/>
              <w:right w:val="single" w:sz="4" w:space="0" w:color="auto"/>
            </w:tcBorders>
            <w:noWrap/>
            <w:vAlign w:val="center"/>
            <w:hideMark/>
          </w:tcPr>
          <w:p w14:paraId="7A5DA2C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1002</w:t>
            </w:r>
          </w:p>
        </w:tc>
        <w:tc>
          <w:tcPr>
            <w:tcW w:w="1201" w:type="dxa"/>
            <w:tcBorders>
              <w:top w:val="nil"/>
              <w:left w:val="nil"/>
              <w:bottom w:val="single" w:sz="4" w:space="0" w:color="auto"/>
              <w:right w:val="single" w:sz="4" w:space="0" w:color="auto"/>
            </w:tcBorders>
            <w:noWrap/>
            <w:vAlign w:val="center"/>
            <w:hideMark/>
          </w:tcPr>
          <w:p w14:paraId="7539D885"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100.0</w:t>
            </w:r>
          </w:p>
        </w:tc>
        <w:tc>
          <w:tcPr>
            <w:tcW w:w="1199" w:type="dxa"/>
            <w:tcBorders>
              <w:top w:val="nil"/>
              <w:left w:val="nil"/>
              <w:bottom w:val="single" w:sz="4" w:space="0" w:color="auto"/>
              <w:right w:val="single" w:sz="4" w:space="0" w:color="auto"/>
            </w:tcBorders>
            <w:noWrap/>
            <w:vAlign w:val="center"/>
            <w:hideMark/>
          </w:tcPr>
          <w:p w14:paraId="473463D2"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497</w:t>
            </w:r>
          </w:p>
        </w:tc>
        <w:tc>
          <w:tcPr>
            <w:tcW w:w="1201" w:type="dxa"/>
            <w:tcBorders>
              <w:top w:val="nil"/>
              <w:left w:val="nil"/>
              <w:bottom w:val="single" w:sz="4" w:space="0" w:color="auto"/>
              <w:right w:val="single" w:sz="4" w:space="0" w:color="auto"/>
            </w:tcBorders>
            <w:noWrap/>
            <w:vAlign w:val="center"/>
            <w:hideMark/>
          </w:tcPr>
          <w:p w14:paraId="3FE652B8" w14:textId="77777777" w:rsidR="00A8124F" w:rsidRPr="00A8124F" w:rsidRDefault="00A8124F" w:rsidP="00A8124F">
            <w:pPr>
              <w:jc w:val="center"/>
              <w:rPr>
                <w:rFonts w:ascii="Arial" w:hAnsi="Arial" w:cs="Arial"/>
                <w:b/>
                <w:bCs/>
                <w:color w:val="000000"/>
                <w:sz w:val="20"/>
                <w:szCs w:val="20"/>
              </w:rPr>
            </w:pPr>
            <w:r w:rsidRPr="00A8124F">
              <w:rPr>
                <w:rFonts w:ascii="Arial" w:hAnsi="Arial" w:cs="Arial"/>
                <w:b/>
                <w:bCs/>
                <w:color w:val="000000"/>
                <w:sz w:val="20"/>
                <w:szCs w:val="20"/>
              </w:rPr>
              <w:t>100.0</w:t>
            </w:r>
          </w:p>
        </w:tc>
      </w:tr>
    </w:tbl>
    <w:p w14:paraId="5D7546CA" w14:textId="77777777" w:rsidR="00A108C9" w:rsidRPr="00632BFC" w:rsidRDefault="00A108C9" w:rsidP="00632BFC">
      <w:pPr>
        <w:pStyle w:val="PlainText"/>
        <w:jc w:val="both"/>
        <w:rPr>
          <w:rFonts w:ascii="Arial" w:hAnsi="Arial" w:cs="Arial"/>
          <w:sz w:val="20"/>
          <w:szCs w:val="20"/>
        </w:rPr>
      </w:pPr>
    </w:p>
    <w:p w14:paraId="77298B33" w14:textId="77777777" w:rsidR="00F55503" w:rsidRDefault="00F55503" w:rsidP="00632BFC">
      <w:pPr>
        <w:pStyle w:val="PlainText"/>
        <w:jc w:val="both"/>
        <w:rPr>
          <w:rFonts w:ascii="Arial" w:hAnsi="Arial" w:cs="Arial"/>
          <w:sz w:val="20"/>
          <w:szCs w:val="20"/>
        </w:rPr>
      </w:pPr>
    </w:p>
    <w:p w14:paraId="0FCE0FE0" w14:textId="77777777" w:rsidR="00F55503" w:rsidRDefault="00F55503" w:rsidP="00F55503">
      <w:pPr>
        <w:pStyle w:val="PlainText"/>
        <w:jc w:val="center"/>
        <w:rPr>
          <w:rFonts w:ascii="Arial" w:hAnsi="Arial" w:cs="Arial"/>
          <w:sz w:val="20"/>
          <w:szCs w:val="20"/>
        </w:rPr>
      </w:pPr>
      <w:r>
        <w:rPr>
          <w:noProof/>
        </w:rPr>
        <w:lastRenderedPageBreak/>
        <w:drawing>
          <wp:inline distT="0" distB="0" distL="0" distR="0" wp14:anchorId="20E174AD" wp14:editId="0445D1AA">
            <wp:extent cx="5865495" cy="4066453"/>
            <wp:effectExtent l="0" t="0" r="1905"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43D106" w14:textId="6C428574" w:rsidR="00F55503" w:rsidRPr="00F55503" w:rsidRDefault="00F55503" w:rsidP="00F55503">
      <w:pPr>
        <w:spacing w:before="120" w:after="0"/>
        <w:jc w:val="center"/>
        <w:rPr>
          <w:rFonts w:ascii="Arial" w:hAnsi="Arial" w:cs="Arial"/>
          <w:b/>
          <w:bCs/>
          <w:color w:val="000000" w:themeColor="text1"/>
          <w:sz w:val="20"/>
          <w:szCs w:val="20"/>
        </w:rPr>
      </w:pPr>
      <w:r w:rsidRPr="00F55503">
        <w:rPr>
          <w:rFonts w:ascii="Arial" w:hAnsi="Arial" w:cs="Arial"/>
          <w:b/>
          <w:bCs/>
          <w:sz w:val="20"/>
          <w:szCs w:val="20"/>
        </w:rPr>
        <w:t>Figure:</w:t>
      </w:r>
      <w:r w:rsidR="008F545A">
        <w:rPr>
          <w:rFonts w:ascii="Arial" w:hAnsi="Arial" w:cs="Arial"/>
          <w:b/>
          <w:bCs/>
          <w:sz w:val="20"/>
          <w:szCs w:val="20"/>
        </w:rPr>
        <w:t>5</w:t>
      </w:r>
      <w:r>
        <w:rPr>
          <w:rFonts w:ascii="Arial" w:hAnsi="Arial" w:cs="Arial"/>
          <w:b/>
          <w:bCs/>
          <w:sz w:val="20"/>
          <w:szCs w:val="20"/>
        </w:rPr>
        <w:t xml:space="preserve"> </w:t>
      </w:r>
      <w:r w:rsidRPr="00F55503">
        <w:rPr>
          <w:rFonts w:ascii="Arial" w:hAnsi="Arial" w:cs="Arial"/>
          <w:b/>
          <w:bCs/>
          <w:color w:val="000000" w:themeColor="text1"/>
          <w:sz w:val="20"/>
          <w:szCs w:val="20"/>
        </w:rPr>
        <w:t>Any Specific Treatment relative to all Treatment Procedures-Treatment only at RI</w:t>
      </w:r>
    </w:p>
    <w:p w14:paraId="770DB2DE" w14:textId="68AB5B12" w:rsidR="00F55503" w:rsidRDefault="00F55503" w:rsidP="00632BFC">
      <w:pPr>
        <w:pStyle w:val="PlainText"/>
        <w:jc w:val="both"/>
        <w:rPr>
          <w:rFonts w:ascii="Arial" w:hAnsi="Arial" w:cs="Arial"/>
          <w:sz w:val="20"/>
          <w:szCs w:val="20"/>
        </w:rPr>
      </w:pPr>
    </w:p>
    <w:p w14:paraId="6393DF0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Analysis of 1,002 total procedures in males revealed radiotherapy to be the most frequently utilized treatment modality (49.2%), followed by chemotherapy (38.3%) and surgery (11.8%). Among 497 total procedures in females, radiotherapy similarly predominated (51.1%), with chemotherapy at 36.4% and surgery at 11.9%. The minimal differences in proportional treatment distribution across genders indicate standardized care protocols and equitable treatment delivery regardless of sex. The predominance of radiotherapy underscores its critical role in definitive, adjunctive, and palliative esophageal cancer treatment regimens. The substantial utilization of chemotherapy reflects its integration into concurrent multimodal protocols. While fewer in absolute number, surgical procedures remain an essential treatment component for select cases amenable to curative resection, predominantly representing locally advanced but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disease (</w:t>
      </w:r>
      <w:proofErr w:type="spellStart"/>
      <w:r w:rsidRPr="00632BFC">
        <w:rPr>
          <w:rFonts w:ascii="Arial" w:hAnsi="Arial" w:cs="Arial"/>
          <w:sz w:val="20"/>
          <w:szCs w:val="20"/>
        </w:rPr>
        <w:t>Pennathur</w:t>
      </w:r>
      <w:proofErr w:type="spellEnd"/>
      <w:r w:rsidRPr="00632BFC">
        <w:rPr>
          <w:rFonts w:ascii="Arial" w:hAnsi="Arial" w:cs="Arial"/>
          <w:sz w:val="20"/>
          <w:szCs w:val="20"/>
        </w:rPr>
        <w:t xml:space="preserve"> et al., 2013).</w:t>
      </w:r>
    </w:p>
    <w:p w14:paraId="3AE06E28" w14:textId="77777777" w:rsidR="00A8124F" w:rsidRDefault="00A8124F" w:rsidP="00632BFC">
      <w:pPr>
        <w:pStyle w:val="PlainText"/>
        <w:jc w:val="both"/>
        <w:rPr>
          <w:rFonts w:ascii="Arial" w:hAnsi="Arial" w:cs="Arial"/>
          <w:sz w:val="20"/>
          <w:szCs w:val="20"/>
        </w:rPr>
      </w:pPr>
    </w:p>
    <w:p w14:paraId="4EEEC11B" w14:textId="77777777" w:rsidR="00A108C9" w:rsidRPr="00632BFC" w:rsidRDefault="00A108C9" w:rsidP="00632BFC">
      <w:pPr>
        <w:pStyle w:val="PlainText"/>
        <w:jc w:val="both"/>
        <w:rPr>
          <w:rFonts w:ascii="Arial" w:hAnsi="Arial" w:cs="Arial"/>
          <w:sz w:val="20"/>
          <w:szCs w:val="20"/>
        </w:rPr>
      </w:pPr>
    </w:p>
    <w:p w14:paraId="38731B13" w14:textId="77777777" w:rsidR="00A108C9" w:rsidRPr="00A8124F" w:rsidRDefault="00A108C9" w:rsidP="00A8124F">
      <w:pPr>
        <w:pStyle w:val="PlainText"/>
        <w:jc w:val="both"/>
        <w:rPr>
          <w:rFonts w:ascii="Arial" w:hAnsi="Arial" w:cs="Arial"/>
          <w:b/>
          <w:sz w:val="22"/>
          <w:szCs w:val="22"/>
        </w:rPr>
      </w:pPr>
      <w:r w:rsidRPr="00A8124F">
        <w:rPr>
          <w:rFonts w:ascii="Arial" w:hAnsi="Arial" w:cs="Arial"/>
          <w:b/>
          <w:sz w:val="22"/>
          <w:szCs w:val="22"/>
        </w:rPr>
        <w:t>4. DISCUSSION</w:t>
      </w:r>
    </w:p>
    <w:p w14:paraId="32E281D1" w14:textId="77777777" w:rsidR="00A108C9" w:rsidRPr="00632BFC" w:rsidRDefault="00A108C9" w:rsidP="00632BFC">
      <w:pPr>
        <w:pStyle w:val="PlainText"/>
        <w:jc w:val="both"/>
        <w:rPr>
          <w:rFonts w:ascii="Arial" w:hAnsi="Arial" w:cs="Arial"/>
          <w:sz w:val="20"/>
          <w:szCs w:val="20"/>
        </w:rPr>
      </w:pPr>
    </w:p>
    <w:p w14:paraId="369B0791"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4.1 Gender Epidemiology and Male Predominance</w:t>
      </w:r>
    </w:p>
    <w:p w14:paraId="747E1AF1" w14:textId="77777777" w:rsidR="00A108C9" w:rsidRPr="00632BFC" w:rsidRDefault="00A108C9" w:rsidP="00632BFC">
      <w:pPr>
        <w:pStyle w:val="PlainText"/>
        <w:jc w:val="both"/>
        <w:rPr>
          <w:rFonts w:ascii="Arial" w:hAnsi="Arial" w:cs="Arial"/>
          <w:sz w:val="20"/>
          <w:szCs w:val="20"/>
        </w:rPr>
      </w:pPr>
    </w:p>
    <w:p w14:paraId="24DC8484" w14:textId="556752BE"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marked male predominance in this cohort (66.3% males versus 33.7% females) with a male-to-female ratio of 2:1 aligns with published epidemiological literature documenting substantially higher esophageal cancer incidence in males globally (</w:t>
      </w:r>
      <w:proofErr w:type="spellStart"/>
      <w:r w:rsidRPr="00632BFC">
        <w:rPr>
          <w:rFonts w:ascii="Arial" w:hAnsi="Arial" w:cs="Arial"/>
          <w:sz w:val="20"/>
          <w:szCs w:val="20"/>
        </w:rPr>
        <w:t>Stabellini</w:t>
      </w:r>
      <w:proofErr w:type="spellEnd"/>
      <w:r w:rsidRPr="00632BFC">
        <w:rPr>
          <w:rFonts w:ascii="Arial" w:hAnsi="Arial" w:cs="Arial"/>
          <w:sz w:val="20"/>
          <w:szCs w:val="20"/>
        </w:rPr>
        <w:t xml:space="preserve"> et al., 2022). This disparity exceeds that observed for many other malignancies and warrants multifactorial explanation encompassing behavioral, occupational, biological, and social determinants. The primary behavioral risk factor contributing to sex disparities is differential tobacco and alcohol consumption, with males demonstrating substantially higher prevalence and duration of exposure (</w:t>
      </w:r>
      <w:proofErr w:type="spellStart"/>
      <w:r w:rsidRPr="00632BFC">
        <w:rPr>
          <w:rFonts w:ascii="Arial" w:hAnsi="Arial" w:cs="Arial"/>
          <w:sz w:val="20"/>
          <w:szCs w:val="20"/>
        </w:rPr>
        <w:t>Vioque</w:t>
      </w:r>
      <w:proofErr w:type="spellEnd"/>
      <w:r w:rsidRPr="00632BFC">
        <w:rPr>
          <w:rFonts w:ascii="Arial" w:hAnsi="Arial" w:cs="Arial"/>
          <w:sz w:val="20"/>
          <w:szCs w:val="20"/>
        </w:rPr>
        <w:t xml:space="preserve"> et al., 2008). In the North-East Indian context, male-dominant consumption patterns of betel leaf containing tobacco, smoking (cigarettes and bidis), and alcohol represent crit</w:t>
      </w:r>
      <w:r w:rsidR="00F4735C">
        <w:rPr>
          <w:rFonts w:ascii="Arial" w:hAnsi="Arial" w:cs="Arial"/>
          <w:sz w:val="20"/>
          <w:szCs w:val="20"/>
        </w:rPr>
        <w:t xml:space="preserve">ical etiological factors </w:t>
      </w:r>
      <w:r w:rsidR="00F4735C" w:rsidRPr="00F4735C">
        <w:rPr>
          <w:rFonts w:ascii="Arial" w:hAnsi="Arial" w:cs="Arial"/>
          <w:sz w:val="20"/>
          <w:szCs w:val="20"/>
        </w:rPr>
        <w:t>(</w:t>
      </w:r>
      <w:proofErr w:type="spellStart"/>
      <w:r w:rsidR="00F4735C" w:rsidRPr="00F4735C">
        <w:rPr>
          <w:rFonts w:ascii="Arial" w:hAnsi="Arial" w:cs="Arial"/>
          <w:sz w:val="20"/>
          <w:szCs w:val="20"/>
        </w:rPr>
        <w:t>Phukan</w:t>
      </w:r>
      <w:proofErr w:type="spellEnd"/>
      <w:r w:rsidR="00F4735C" w:rsidRPr="00F4735C">
        <w:rPr>
          <w:rFonts w:ascii="Arial" w:hAnsi="Arial" w:cs="Arial"/>
          <w:sz w:val="20"/>
          <w:szCs w:val="20"/>
        </w:rPr>
        <w:t xml:space="preserve"> et al., 2001</w:t>
      </w:r>
      <w:r w:rsidRPr="00F4735C">
        <w:rPr>
          <w:rFonts w:ascii="Arial" w:hAnsi="Arial" w:cs="Arial"/>
          <w:sz w:val="20"/>
          <w:szCs w:val="20"/>
        </w:rPr>
        <w:t>).</w:t>
      </w:r>
    </w:p>
    <w:p w14:paraId="3AD48442" w14:textId="77777777" w:rsidR="00A108C9" w:rsidRPr="00632BFC" w:rsidRDefault="00A108C9" w:rsidP="00632BFC">
      <w:pPr>
        <w:pStyle w:val="PlainText"/>
        <w:jc w:val="both"/>
        <w:rPr>
          <w:rFonts w:ascii="Arial" w:hAnsi="Arial" w:cs="Arial"/>
          <w:sz w:val="20"/>
          <w:szCs w:val="20"/>
        </w:rPr>
      </w:pPr>
    </w:p>
    <w:p w14:paraId="05E2BCAF" w14:textId="4CA0E354"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Biological mechanisms potentially contributing to sex disparities include sex hormone influences on carcinogenesis and differential immune responses to carcinogens. Estrogen may exert protective effects through modulation of carcinogen metabolism and enhance</w:t>
      </w:r>
      <w:r w:rsidR="00E24F43">
        <w:rPr>
          <w:rFonts w:ascii="Arial" w:hAnsi="Arial" w:cs="Arial"/>
          <w:sz w:val="20"/>
          <w:szCs w:val="20"/>
        </w:rPr>
        <w:t>d DNA repair mechanisms (</w:t>
      </w:r>
      <w:r w:rsidR="00E24F43" w:rsidRPr="00E24F43">
        <w:rPr>
          <w:rFonts w:ascii="Arial" w:hAnsi="Arial" w:cs="Arial"/>
          <w:sz w:val="20"/>
          <w:szCs w:val="20"/>
        </w:rPr>
        <w:t>Xiang</w:t>
      </w:r>
      <w:r w:rsidR="00E24F43">
        <w:rPr>
          <w:rFonts w:ascii="Arial" w:hAnsi="Arial" w:cs="Arial"/>
          <w:sz w:val="20"/>
          <w:szCs w:val="20"/>
        </w:rPr>
        <w:t xml:space="preserve"> et al., 202</w:t>
      </w:r>
      <w:r w:rsidRPr="00632BFC">
        <w:rPr>
          <w:rFonts w:ascii="Arial" w:hAnsi="Arial" w:cs="Arial"/>
          <w:sz w:val="20"/>
          <w:szCs w:val="20"/>
        </w:rPr>
        <w:t>2). Some epidemiological evidence suggests sex constitutes an independent prognostic factor in esophageal squamous cell carcinoma, with females experiencing superior survival outcomes, potentially reflecting differential treatmen</w:t>
      </w:r>
      <w:r w:rsidR="00BE4B77">
        <w:rPr>
          <w:rFonts w:ascii="Arial" w:hAnsi="Arial" w:cs="Arial"/>
          <w:sz w:val="20"/>
          <w:szCs w:val="20"/>
        </w:rPr>
        <w:t>t tolerability and outcomes (</w:t>
      </w:r>
      <w:r w:rsidR="00BE4B77" w:rsidRPr="00BE4B77">
        <w:rPr>
          <w:rStyle w:val="citation-18"/>
          <w:rFonts w:ascii="Arial" w:hAnsi="Arial" w:cs="Arial"/>
          <w:bCs/>
          <w:sz w:val="20"/>
          <w:szCs w:val="20"/>
        </w:rPr>
        <w:t>Li</w:t>
      </w:r>
      <w:r w:rsidRPr="00BE4B77">
        <w:rPr>
          <w:rFonts w:ascii="Arial" w:hAnsi="Arial" w:cs="Arial"/>
          <w:sz w:val="20"/>
          <w:szCs w:val="20"/>
        </w:rPr>
        <w:t xml:space="preserve"> </w:t>
      </w:r>
      <w:r w:rsidR="00BE4B77">
        <w:rPr>
          <w:rFonts w:ascii="Arial" w:hAnsi="Arial" w:cs="Arial"/>
          <w:sz w:val="20"/>
          <w:szCs w:val="20"/>
        </w:rPr>
        <w:t>et al., 2021</w:t>
      </w:r>
      <w:r w:rsidRPr="00632BFC">
        <w:rPr>
          <w:rFonts w:ascii="Arial" w:hAnsi="Arial" w:cs="Arial"/>
          <w:sz w:val="20"/>
          <w:szCs w:val="20"/>
        </w:rPr>
        <w:t>).</w:t>
      </w:r>
    </w:p>
    <w:p w14:paraId="666D3DD8" w14:textId="77777777" w:rsidR="00A108C9" w:rsidRPr="00632BFC" w:rsidRDefault="00A108C9" w:rsidP="00632BFC">
      <w:pPr>
        <w:pStyle w:val="PlainText"/>
        <w:jc w:val="both"/>
        <w:rPr>
          <w:rFonts w:ascii="Arial" w:hAnsi="Arial" w:cs="Arial"/>
          <w:sz w:val="20"/>
          <w:szCs w:val="20"/>
        </w:rPr>
      </w:pPr>
    </w:p>
    <w:p w14:paraId="07EA711F"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consistent male predominance across all tumor stages and treatment categories in this study suggests that gender disparities are etiologically fundamental rather than resulting from differential detection or treatment access. These findings support gender-specific prevention strategies with intensive tobacco and alcohol cessation programs particularly targeting high-risk male populations, while simultaneously addressing the rising burden among females in which incidence rates are escalating at potentially greater rates than males.</w:t>
      </w:r>
    </w:p>
    <w:p w14:paraId="48026A15" w14:textId="77777777" w:rsidR="00A108C9" w:rsidRPr="00632BFC" w:rsidRDefault="00A108C9" w:rsidP="00632BFC">
      <w:pPr>
        <w:pStyle w:val="PlainText"/>
        <w:jc w:val="both"/>
        <w:rPr>
          <w:rFonts w:ascii="Arial" w:hAnsi="Arial" w:cs="Arial"/>
          <w:sz w:val="20"/>
          <w:szCs w:val="20"/>
        </w:rPr>
      </w:pPr>
    </w:p>
    <w:p w14:paraId="1FAC8DD5"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4.2 Esophageal Cancer Burden Among All Malignancies</w:t>
      </w:r>
    </w:p>
    <w:p w14:paraId="39C9F4ED" w14:textId="77777777" w:rsidR="00A108C9" w:rsidRPr="00632BFC" w:rsidRDefault="00A108C9" w:rsidP="00632BFC">
      <w:pPr>
        <w:pStyle w:val="PlainText"/>
        <w:jc w:val="both"/>
        <w:rPr>
          <w:rFonts w:ascii="Arial" w:hAnsi="Arial" w:cs="Arial"/>
          <w:sz w:val="20"/>
          <w:szCs w:val="20"/>
        </w:rPr>
      </w:pPr>
    </w:p>
    <w:p w14:paraId="13C60C0E" w14:textId="740BB60D"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Esophageal cancer represented the leading malignancy among males (15.4% of all cancer cases) and the fourth most common among females (8.5% of all female cancer cases) in this study population. This distribution reflects the established high disease burden in North-East India compared to other Indian regions and </w:t>
      </w:r>
      <w:r w:rsidRPr="0053155E">
        <w:rPr>
          <w:rFonts w:ascii="Arial" w:hAnsi="Arial" w:cs="Arial"/>
          <w:sz w:val="20"/>
          <w:szCs w:val="20"/>
        </w:rPr>
        <w:t>gl</w:t>
      </w:r>
      <w:r w:rsidR="0053155E" w:rsidRPr="0053155E">
        <w:rPr>
          <w:rFonts w:ascii="Arial" w:hAnsi="Arial" w:cs="Arial"/>
          <w:sz w:val="20"/>
          <w:szCs w:val="20"/>
        </w:rPr>
        <w:t>obally (National Centre for Disease Informatics and Research, 2024)</w:t>
      </w:r>
      <w:r w:rsidRPr="0053155E">
        <w:rPr>
          <w:rFonts w:ascii="Arial" w:hAnsi="Arial" w:cs="Arial"/>
          <w:sz w:val="20"/>
          <w:szCs w:val="20"/>
        </w:rPr>
        <w:t>.</w:t>
      </w:r>
      <w:r w:rsidRPr="00632BFC">
        <w:rPr>
          <w:rFonts w:ascii="Arial" w:hAnsi="Arial" w:cs="Arial"/>
          <w:sz w:val="20"/>
          <w:szCs w:val="20"/>
        </w:rPr>
        <w:t xml:space="preserve"> The predominance of upper aerodigestive tract malignancies (esophagus, hypopharynx, oral cavity, and larynx) collectively accounting for over 35% of male malignancies highlights a distinctive regional cancer epidemiology substantially influenced by tr</w:t>
      </w:r>
      <w:r w:rsidR="00AB1276">
        <w:rPr>
          <w:rFonts w:ascii="Arial" w:hAnsi="Arial" w:cs="Arial"/>
          <w:sz w:val="20"/>
          <w:szCs w:val="20"/>
        </w:rPr>
        <w:t xml:space="preserve">aditional tobacco practices </w:t>
      </w:r>
      <w:r w:rsidR="00AB1276" w:rsidRPr="00AB1276">
        <w:rPr>
          <w:rFonts w:ascii="Arial" w:hAnsi="Arial" w:cs="Arial"/>
          <w:sz w:val="20"/>
          <w:szCs w:val="20"/>
        </w:rPr>
        <w:t>(</w:t>
      </w:r>
      <w:proofErr w:type="spellStart"/>
      <w:r w:rsidR="00AB1276" w:rsidRPr="00AB1276">
        <w:rPr>
          <w:rFonts w:ascii="Arial" w:hAnsi="Arial" w:cs="Arial"/>
          <w:sz w:val="20"/>
          <w:szCs w:val="20"/>
        </w:rPr>
        <w:t>Shanker</w:t>
      </w:r>
      <w:proofErr w:type="spellEnd"/>
      <w:r w:rsidR="00AB1276" w:rsidRPr="00AB1276">
        <w:rPr>
          <w:rFonts w:ascii="Arial" w:hAnsi="Arial" w:cs="Arial"/>
          <w:sz w:val="20"/>
          <w:szCs w:val="20"/>
        </w:rPr>
        <w:t xml:space="preserve"> </w:t>
      </w:r>
      <w:r w:rsidR="009E4F65">
        <w:rPr>
          <w:rFonts w:ascii="Arial" w:hAnsi="Arial" w:cs="Arial"/>
          <w:sz w:val="20"/>
          <w:szCs w:val="20"/>
        </w:rPr>
        <w:t>et al., 2021</w:t>
      </w:r>
      <w:r w:rsidRPr="00AB1276">
        <w:rPr>
          <w:rFonts w:ascii="Arial" w:hAnsi="Arial" w:cs="Arial"/>
          <w:sz w:val="20"/>
          <w:szCs w:val="20"/>
        </w:rPr>
        <w:t>).</w:t>
      </w:r>
    </w:p>
    <w:p w14:paraId="2FC93467" w14:textId="77777777" w:rsidR="00A108C9" w:rsidRPr="00632BFC" w:rsidRDefault="00A108C9" w:rsidP="00632BFC">
      <w:pPr>
        <w:pStyle w:val="PlainText"/>
        <w:jc w:val="both"/>
        <w:rPr>
          <w:rFonts w:ascii="Arial" w:hAnsi="Arial" w:cs="Arial"/>
          <w:sz w:val="20"/>
          <w:szCs w:val="20"/>
        </w:rPr>
      </w:pPr>
    </w:p>
    <w:p w14:paraId="54EC198D"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Tobacco-related cancers collectively constituted 39.2% of male and 16.2% of female malignancies, with esophageal cancer representing the single largest contributor (10.5% in males, 6.0% in females). This markedly elevated burden of tobacco-attributable malignancies emphasizes the critical public health imperative for tobacco control interventions, including policy initiatives restricting sales of smokeless tobacco products (gutka, pan masala, betel nut preparations), taxation strategies increasing tobacco product costs, mass media awareness campaigns targeting youth, and accessible cessation support services (Reddy &amp; Gupta, 2004).</w:t>
      </w:r>
    </w:p>
    <w:p w14:paraId="009D10AA" w14:textId="77777777" w:rsidR="00A108C9" w:rsidRPr="00632BFC" w:rsidRDefault="00A108C9" w:rsidP="00632BFC">
      <w:pPr>
        <w:pStyle w:val="PlainText"/>
        <w:jc w:val="both"/>
        <w:rPr>
          <w:rFonts w:ascii="Arial" w:hAnsi="Arial" w:cs="Arial"/>
          <w:sz w:val="20"/>
          <w:szCs w:val="20"/>
        </w:rPr>
      </w:pPr>
    </w:p>
    <w:p w14:paraId="2495067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4.3 Clinical Presentation and Disease Stage at Diagnosis</w:t>
      </w:r>
    </w:p>
    <w:p w14:paraId="04254891" w14:textId="77777777" w:rsidR="00A108C9" w:rsidRPr="00632BFC" w:rsidRDefault="00A108C9" w:rsidP="00632BFC">
      <w:pPr>
        <w:pStyle w:val="PlainText"/>
        <w:jc w:val="both"/>
        <w:rPr>
          <w:rFonts w:ascii="Arial" w:hAnsi="Arial" w:cs="Arial"/>
          <w:sz w:val="20"/>
          <w:szCs w:val="20"/>
        </w:rPr>
      </w:pPr>
    </w:p>
    <w:p w14:paraId="361BA342" w14:textId="1A147203" w:rsidR="00C01303" w:rsidRDefault="00A108C9" w:rsidP="00616D15">
      <w:pPr>
        <w:jc w:val="both"/>
      </w:pPr>
      <w:r w:rsidRPr="00632BFC">
        <w:rPr>
          <w:rFonts w:ascii="Arial" w:hAnsi="Arial" w:cs="Arial"/>
          <w:sz w:val="20"/>
          <w:szCs w:val="20"/>
        </w:rPr>
        <w:t xml:space="preserve">The predominance of regional and advanced-stage disease at diagnosis (85.6% of patients presenting with localized or regional disease, with 14.4% distant metastases) is consistent with published literature demonstrating that esophageal cancer typically presents at advanced stages due to the esophagus's extensive lymphatic drainage and lack of early warning symptoms (Short et al., 2017). Most patients presented during the sixth decade of life, consistent with established age-related disease incidence patterns reflecting cumulative tobacco and alcohol </w:t>
      </w:r>
      <w:r w:rsidR="00C01303">
        <w:rPr>
          <w:rFonts w:ascii="Arial" w:hAnsi="Arial" w:cs="Arial"/>
          <w:sz w:val="20"/>
          <w:szCs w:val="20"/>
        </w:rPr>
        <w:t xml:space="preserve">exposure </w:t>
      </w:r>
      <w:r w:rsidR="00C01303" w:rsidRPr="00C01303">
        <w:rPr>
          <w:rFonts w:ascii="Arial" w:hAnsi="Arial" w:cs="Arial"/>
          <w:sz w:val="20"/>
          <w:szCs w:val="20"/>
        </w:rPr>
        <w:t>(Baidya et al., 2024)</w:t>
      </w:r>
    </w:p>
    <w:p w14:paraId="255D990A" w14:textId="648B32ED" w:rsidR="00A108C9" w:rsidRPr="00632BFC" w:rsidRDefault="00A108C9" w:rsidP="00632BFC">
      <w:pPr>
        <w:pStyle w:val="PlainText"/>
        <w:jc w:val="both"/>
        <w:rPr>
          <w:rFonts w:ascii="Arial" w:hAnsi="Arial" w:cs="Arial"/>
          <w:sz w:val="20"/>
          <w:szCs w:val="20"/>
        </w:rPr>
      </w:pPr>
    </w:p>
    <w:p w14:paraId="12C4D2DD" w14:textId="77777777" w:rsidR="00A108C9" w:rsidRPr="00632BFC" w:rsidRDefault="00A108C9" w:rsidP="00632BFC">
      <w:pPr>
        <w:pStyle w:val="PlainText"/>
        <w:jc w:val="both"/>
        <w:rPr>
          <w:rFonts w:ascii="Arial" w:hAnsi="Arial" w:cs="Arial"/>
          <w:sz w:val="20"/>
          <w:szCs w:val="20"/>
        </w:rPr>
      </w:pPr>
    </w:p>
    <w:p w14:paraId="23DA294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Dysphagia representing the most common presenting symptom aligns with the posterior esophageal location and progressive luminal narrowing characteristic of esophageal malignancy. While approximately 32% of patients in this cohort presented with localized disease suitable for potentially curative surgical resection, the majority (53%) presented with regional involvement necessitating aggressive multimodal approaches combining chemotherapy, radiotherapy, and potentially surgery.</w:t>
      </w:r>
    </w:p>
    <w:p w14:paraId="036EB22C" w14:textId="77777777" w:rsidR="00A108C9" w:rsidRPr="00632BFC" w:rsidRDefault="00A108C9" w:rsidP="00632BFC">
      <w:pPr>
        <w:pStyle w:val="PlainText"/>
        <w:jc w:val="both"/>
        <w:rPr>
          <w:rFonts w:ascii="Arial" w:hAnsi="Arial" w:cs="Arial"/>
          <w:sz w:val="20"/>
          <w:szCs w:val="20"/>
        </w:rPr>
      </w:pPr>
    </w:p>
    <w:p w14:paraId="48B5F93E"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4.4 Histopathology and Tumor Location</w:t>
      </w:r>
    </w:p>
    <w:p w14:paraId="0827AB03" w14:textId="77777777" w:rsidR="00A108C9" w:rsidRPr="00632BFC" w:rsidRDefault="00A108C9" w:rsidP="00632BFC">
      <w:pPr>
        <w:pStyle w:val="PlainText"/>
        <w:jc w:val="both"/>
        <w:rPr>
          <w:rFonts w:ascii="Arial" w:hAnsi="Arial" w:cs="Arial"/>
          <w:sz w:val="20"/>
          <w:szCs w:val="20"/>
        </w:rPr>
      </w:pPr>
    </w:p>
    <w:p w14:paraId="74D8480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Squamous cell carcinoma was the predominant histological type (91.6% of cases in available data), consistent with global patterns in high-incidence regions and reflecting the strong etiological link between tobacco/alcohol and ESCC (Wang et al., 2024). The middle third of the esophagus represented the most common tumor location (67.7%), followed by the lower third, reflecting regional lymphatic drainage patterns and the predilection for tobacco carcinogen concentration and prolonged exposure in this region.</w:t>
      </w:r>
    </w:p>
    <w:p w14:paraId="28507915" w14:textId="77777777" w:rsidR="00A108C9" w:rsidRPr="00632BFC" w:rsidRDefault="00A108C9" w:rsidP="00632BFC">
      <w:pPr>
        <w:pStyle w:val="PlainText"/>
        <w:jc w:val="both"/>
        <w:rPr>
          <w:rFonts w:ascii="Arial" w:hAnsi="Arial" w:cs="Arial"/>
          <w:sz w:val="20"/>
          <w:szCs w:val="20"/>
        </w:rPr>
      </w:pPr>
    </w:p>
    <w:p w14:paraId="3241DF3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lastRenderedPageBreak/>
        <w:t>The overwhelming predominance of ESCC rather than adenocarcinoma contrasts sharply with Western populations where adenocarcinoma now exceeds squamous histology. This difference reflects distinct etiological patterns; ESCC being associated with tobacco and alcohol while adenocarcinoma correlates with GERD and obesity (Then et al., 2020). These histopathological patterns have therapeutic implications, as ESCC and adenocarcinoma may demonstrate differential chemotherapy sensitivity and outcomes with various treatment modalities.</w:t>
      </w:r>
    </w:p>
    <w:p w14:paraId="241C15FF" w14:textId="77777777" w:rsidR="00A108C9" w:rsidRPr="00632BFC" w:rsidRDefault="00A108C9" w:rsidP="00632BFC">
      <w:pPr>
        <w:pStyle w:val="PlainText"/>
        <w:jc w:val="both"/>
        <w:rPr>
          <w:rFonts w:ascii="Arial" w:hAnsi="Arial" w:cs="Arial"/>
          <w:sz w:val="20"/>
          <w:szCs w:val="20"/>
        </w:rPr>
      </w:pPr>
    </w:p>
    <w:p w14:paraId="64849E2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4.5 Multimodal Treatment Approaches</w:t>
      </w:r>
    </w:p>
    <w:p w14:paraId="4EB3C85C" w14:textId="77777777" w:rsidR="00A108C9" w:rsidRPr="00632BFC" w:rsidRDefault="00A108C9" w:rsidP="00632BFC">
      <w:pPr>
        <w:pStyle w:val="PlainText"/>
        <w:jc w:val="both"/>
        <w:rPr>
          <w:rFonts w:ascii="Arial" w:hAnsi="Arial" w:cs="Arial"/>
          <w:sz w:val="20"/>
          <w:szCs w:val="20"/>
        </w:rPr>
      </w:pPr>
    </w:p>
    <w:p w14:paraId="621A3FDF" w14:textId="32405863"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The predominant utilization of combined radiotherapy and chemotherapy (R+C) in 46.5% of males and 43.9% of females reflects institutional adoption of evidence-based multimodal treatment paradigms. Combined chemoradiotherapy has demonstrated superior outcomes compared to monotherapy approaches (Neuner et al., 2009), with concurrent delivery of </w:t>
      </w:r>
      <w:proofErr w:type="spellStart"/>
      <w:r w:rsidRPr="00632BFC">
        <w:rPr>
          <w:rFonts w:ascii="Arial" w:hAnsi="Arial" w:cs="Arial"/>
          <w:sz w:val="20"/>
          <w:szCs w:val="20"/>
        </w:rPr>
        <w:t>radiosensitizing</w:t>
      </w:r>
      <w:proofErr w:type="spellEnd"/>
      <w:r w:rsidRPr="00632BFC">
        <w:rPr>
          <w:rFonts w:ascii="Arial" w:hAnsi="Arial" w:cs="Arial"/>
          <w:sz w:val="20"/>
          <w:szCs w:val="20"/>
        </w:rPr>
        <w:t xml:space="preserve"> chemotherapy improving locoregional contr</w:t>
      </w:r>
      <w:r w:rsidR="004057CD">
        <w:rPr>
          <w:rFonts w:ascii="Arial" w:hAnsi="Arial" w:cs="Arial"/>
          <w:sz w:val="20"/>
          <w:szCs w:val="20"/>
        </w:rPr>
        <w:t xml:space="preserve">ol and overall survival </w:t>
      </w:r>
      <w:r w:rsidR="004057CD" w:rsidRPr="004057CD">
        <w:rPr>
          <w:rFonts w:ascii="Arial" w:hAnsi="Arial" w:cs="Arial"/>
          <w:sz w:val="20"/>
          <w:szCs w:val="20"/>
        </w:rPr>
        <w:t>(Xiang</w:t>
      </w:r>
      <w:r w:rsidR="00F94775">
        <w:rPr>
          <w:rFonts w:ascii="Arial" w:hAnsi="Arial" w:cs="Arial"/>
          <w:sz w:val="20"/>
          <w:szCs w:val="20"/>
        </w:rPr>
        <w:t xml:space="preserve"> et al., 202</w:t>
      </w:r>
      <w:r w:rsidRPr="00632BFC">
        <w:rPr>
          <w:rFonts w:ascii="Arial" w:hAnsi="Arial" w:cs="Arial"/>
          <w:sz w:val="20"/>
          <w:szCs w:val="20"/>
        </w:rPr>
        <w:t>2).</w:t>
      </w:r>
    </w:p>
    <w:p w14:paraId="24112EAC" w14:textId="77777777" w:rsidR="00A108C9" w:rsidRPr="00632BFC" w:rsidRDefault="00A108C9" w:rsidP="00632BFC">
      <w:pPr>
        <w:pStyle w:val="PlainText"/>
        <w:jc w:val="both"/>
        <w:rPr>
          <w:rFonts w:ascii="Arial" w:hAnsi="Arial" w:cs="Arial"/>
          <w:sz w:val="20"/>
          <w:szCs w:val="20"/>
        </w:rPr>
      </w:pPr>
    </w:p>
    <w:p w14:paraId="42383C1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relatively lower frequency of surgery (6.7% males, 5.9% females) reflects the advanced disease stage of most patients unsuitable for primary esophagectomy. Surgical resection remains appropriate for carefully selected fit patients with localized or regionally advanced disease suitable for curative intent. The procedures-per-patient ratios exceeding 1.5 indicate substantial treatment complexity with many patients receiving sequential or concurrent multimodal interventions.</w:t>
      </w:r>
    </w:p>
    <w:p w14:paraId="02666D18" w14:textId="77777777" w:rsidR="00A108C9" w:rsidRPr="00632BFC" w:rsidRDefault="00A108C9" w:rsidP="00632BFC">
      <w:pPr>
        <w:pStyle w:val="PlainText"/>
        <w:jc w:val="both"/>
        <w:rPr>
          <w:rFonts w:ascii="Arial" w:hAnsi="Arial" w:cs="Arial"/>
          <w:sz w:val="20"/>
          <w:szCs w:val="20"/>
        </w:rPr>
      </w:pPr>
    </w:p>
    <w:p w14:paraId="2E73D550"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Triple-modality therapy (surgery + radiotherapy + chemotherapy) was administered to 8.6% of males and 5.6% of females, representing treatment of locally advanced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disease. Neoadjuvant chemoradiation followed by esophagectomy (</w:t>
      </w:r>
      <w:proofErr w:type="spellStart"/>
      <w:r w:rsidRPr="00632BFC">
        <w:rPr>
          <w:rFonts w:ascii="Arial" w:hAnsi="Arial" w:cs="Arial"/>
          <w:sz w:val="20"/>
          <w:szCs w:val="20"/>
        </w:rPr>
        <w:t>trimodality</w:t>
      </w:r>
      <w:proofErr w:type="spellEnd"/>
      <w:r w:rsidRPr="00632BFC">
        <w:rPr>
          <w:rFonts w:ascii="Arial" w:hAnsi="Arial" w:cs="Arial"/>
          <w:sz w:val="20"/>
          <w:szCs w:val="20"/>
        </w:rPr>
        <w:t xml:space="preserve"> therapy) has emerged as a standard approach for fit patients with potentially </w:t>
      </w:r>
      <w:proofErr w:type="spellStart"/>
      <w:r w:rsidRPr="00632BFC">
        <w:rPr>
          <w:rFonts w:ascii="Arial" w:hAnsi="Arial" w:cs="Arial"/>
          <w:sz w:val="20"/>
          <w:szCs w:val="20"/>
        </w:rPr>
        <w:t>resectable</w:t>
      </w:r>
      <w:proofErr w:type="spellEnd"/>
      <w:r w:rsidRPr="00632BFC">
        <w:rPr>
          <w:rFonts w:ascii="Arial" w:hAnsi="Arial" w:cs="Arial"/>
          <w:sz w:val="20"/>
          <w:szCs w:val="20"/>
        </w:rPr>
        <w:t xml:space="preserve"> locally advanced esophageal cancer (Shapiro et al., 2015).</w:t>
      </w:r>
    </w:p>
    <w:p w14:paraId="2CCB1C42" w14:textId="77777777" w:rsidR="00A108C9" w:rsidRPr="00632BFC" w:rsidRDefault="00A108C9" w:rsidP="00632BFC">
      <w:pPr>
        <w:pStyle w:val="PlainText"/>
        <w:jc w:val="both"/>
        <w:rPr>
          <w:rFonts w:ascii="Arial" w:hAnsi="Arial" w:cs="Arial"/>
          <w:sz w:val="20"/>
          <w:szCs w:val="20"/>
        </w:rPr>
      </w:pPr>
    </w:p>
    <w:p w14:paraId="0707D151"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near-identical distribution of treatment modalities between males and females indicates standardized care protocols and equitable treatment delivery regardless of gender, reflecting institutional commitment to evidence-based, gender-equitable oncological practice.</w:t>
      </w:r>
    </w:p>
    <w:p w14:paraId="51F5D2E3" w14:textId="77777777" w:rsidR="00A108C9" w:rsidRPr="00632BFC" w:rsidRDefault="00A108C9" w:rsidP="00632BFC">
      <w:pPr>
        <w:pStyle w:val="PlainText"/>
        <w:jc w:val="both"/>
        <w:rPr>
          <w:rFonts w:ascii="Arial" w:hAnsi="Arial" w:cs="Arial"/>
          <w:sz w:val="20"/>
          <w:szCs w:val="20"/>
        </w:rPr>
      </w:pPr>
    </w:p>
    <w:p w14:paraId="5EA82CB9"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4.6 Quality of Life and Survivorship Considerations</w:t>
      </w:r>
    </w:p>
    <w:p w14:paraId="74C8A260" w14:textId="77777777" w:rsidR="00A108C9" w:rsidRPr="00632BFC" w:rsidRDefault="00A108C9" w:rsidP="00632BFC">
      <w:pPr>
        <w:pStyle w:val="PlainText"/>
        <w:jc w:val="both"/>
        <w:rPr>
          <w:rFonts w:ascii="Arial" w:hAnsi="Arial" w:cs="Arial"/>
          <w:sz w:val="20"/>
          <w:szCs w:val="20"/>
        </w:rPr>
      </w:pPr>
    </w:p>
    <w:p w14:paraId="500A2FA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 xml:space="preserve">While not directly measured in this descriptive study, existing literature documents substantial short-term quality of life deterioration following esophageal cancer treatment, particularly with multimodal approaches. Chemoradiotherapy results in up to 37.8% short-term quality of life decline, though recovery trajectories are observable over 2-6 year periods (Chen et al., 2024). Patients surviving beyond 5 years generally achieve quality of life recovery approaching baseline or near-baseline levels. These quality of life considerations must inform treatment decision-making, particularly regarding </w:t>
      </w:r>
      <w:proofErr w:type="spellStart"/>
      <w:r w:rsidRPr="00632BFC">
        <w:rPr>
          <w:rFonts w:ascii="Arial" w:hAnsi="Arial" w:cs="Arial"/>
          <w:sz w:val="20"/>
          <w:szCs w:val="20"/>
        </w:rPr>
        <w:t>trimodality</w:t>
      </w:r>
      <w:proofErr w:type="spellEnd"/>
      <w:r w:rsidRPr="00632BFC">
        <w:rPr>
          <w:rFonts w:ascii="Arial" w:hAnsi="Arial" w:cs="Arial"/>
          <w:sz w:val="20"/>
          <w:szCs w:val="20"/>
        </w:rPr>
        <w:t xml:space="preserve"> versus definitive chemoradiotherapy in fit patients with acceptable performance status.</w:t>
      </w:r>
    </w:p>
    <w:p w14:paraId="31D37117" w14:textId="77777777" w:rsidR="00A108C9" w:rsidRPr="00632BFC" w:rsidRDefault="00A108C9" w:rsidP="00632BFC">
      <w:pPr>
        <w:pStyle w:val="PlainText"/>
        <w:jc w:val="both"/>
        <w:rPr>
          <w:rFonts w:ascii="Arial" w:hAnsi="Arial" w:cs="Arial"/>
          <w:sz w:val="20"/>
          <w:szCs w:val="20"/>
        </w:rPr>
      </w:pPr>
    </w:p>
    <w:p w14:paraId="17A63B27"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4.7 Prevention and Early Detection Imperatives</w:t>
      </w:r>
    </w:p>
    <w:p w14:paraId="5F37F8B2" w14:textId="77777777" w:rsidR="00A108C9" w:rsidRPr="00632BFC" w:rsidRDefault="00A108C9" w:rsidP="00632BFC">
      <w:pPr>
        <w:pStyle w:val="PlainText"/>
        <w:jc w:val="both"/>
        <w:rPr>
          <w:rFonts w:ascii="Arial" w:hAnsi="Arial" w:cs="Arial"/>
          <w:sz w:val="20"/>
          <w:szCs w:val="20"/>
        </w:rPr>
      </w:pPr>
    </w:p>
    <w:p w14:paraId="014CA0FB"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 findings underscore critical gaps in primary and secondary prevention. The extremely high burden of tobacco-related malignancies necessitates comprehensive tobacco control policies incorporating regulatory restrictions on smokeless tobacco products, taxation strategies, mass media campaigns, and accessible cessation services. Given the predominantly advanced stage presentation, enhanced screening and early detection programs targeting high-risk populations represent essential secondary prevention strategies.</w:t>
      </w:r>
    </w:p>
    <w:p w14:paraId="73C86844" w14:textId="77777777" w:rsidR="00A108C9" w:rsidRPr="00632BFC" w:rsidRDefault="00A108C9" w:rsidP="00632BFC">
      <w:pPr>
        <w:pStyle w:val="PlainText"/>
        <w:jc w:val="both"/>
        <w:rPr>
          <w:rFonts w:ascii="Arial" w:hAnsi="Arial" w:cs="Arial"/>
          <w:sz w:val="20"/>
          <w:szCs w:val="20"/>
        </w:rPr>
      </w:pPr>
    </w:p>
    <w:p w14:paraId="6A54E38D" w14:textId="0E29209B"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Endoscopic screening combined with iodine staining or narrow-band imaging has demonstrated efficacy in high-incidence populations in China, reducing esophageal ca</w:t>
      </w:r>
      <w:r w:rsidR="003163E0">
        <w:rPr>
          <w:rFonts w:ascii="Arial" w:hAnsi="Arial" w:cs="Arial"/>
          <w:sz w:val="20"/>
          <w:szCs w:val="20"/>
        </w:rPr>
        <w:t xml:space="preserve">ncer incidence and mortality </w:t>
      </w:r>
      <w:r w:rsidR="003163E0" w:rsidRPr="003163E0">
        <w:rPr>
          <w:rFonts w:ascii="Arial" w:hAnsi="Arial" w:cs="Arial"/>
          <w:sz w:val="20"/>
          <w:szCs w:val="20"/>
        </w:rPr>
        <w:t>(Liu</w:t>
      </w:r>
      <w:r w:rsidR="00536463">
        <w:t xml:space="preserve"> </w:t>
      </w:r>
      <w:r w:rsidRPr="00632BFC">
        <w:rPr>
          <w:rFonts w:ascii="Arial" w:hAnsi="Arial" w:cs="Arial"/>
          <w:sz w:val="20"/>
          <w:szCs w:val="20"/>
        </w:rPr>
        <w:t>et al., 2024). Similar structured screening programs identifying precursor lesions (dysplasia) or early-stage cancers potentially suitable for endoscopic resection could substantially improve outcomes in North-East India. Targeted screening of individuals aged 40-75 years in high-risk areas with multiple risk factors (tobacco use, heavy alcohol consumption) represents a rational screening approach.</w:t>
      </w:r>
    </w:p>
    <w:p w14:paraId="55AA7E59" w14:textId="77777777" w:rsidR="00A108C9" w:rsidRPr="00632BFC" w:rsidRDefault="00A108C9" w:rsidP="00632BFC">
      <w:pPr>
        <w:pStyle w:val="PlainText"/>
        <w:jc w:val="both"/>
        <w:rPr>
          <w:rFonts w:ascii="Arial" w:hAnsi="Arial" w:cs="Arial"/>
          <w:sz w:val="20"/>
          <w:szCs w:val="20"/>
        </w:rPr>
      </w:pPr>
    </w:p>
    <w:p w14:paraId="08BE0C47"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4.8 Limitations and Strengths</w:t>
      </w:r>
    </w:p>
    <w:p w14:paraId="7DE9C180" w14:textId="77777777" w:rsidR="00A108C9" w:rsidRPr="00632BFC" w:rsidRDefault="00A108C9" w:rsidP="00632BFC">
      <w:pPr>
        <w:pStyle w:val="PlainText"/>
        <w:jc w:val="both"/>
        <w:rPr>
          <w:rFonts w:ascii="Arial" w:hAnsi="Arial" w:cs="Arial"/>
          <w:sz w:val="20"/>
          <w:szCs w:val="20"/>
        </w:rPr>
      </w:pPr>
    </w:p>
    <w:p w14:paraId="0BB1572B"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This study represents a hospital-based descriptive analysis and therefore is subject to inherent limitations including patient selection bias (hospital-treated patients may represent more advanced disease or better-resourced populations compared to community-dwelling cases), and potential underrepresentation of early-stage cases treated in non-hospital settings. The cross-sectional design prevents longitudinal outcome assessment and survival analysis. Missing data for certain variables (particularly follow-up outcomes and long-term survival) limited comprehensive outcome analysis.</w:t>
      </w:r>
    </w:p>
    <w:p w14:paraId="2D69D647" w14:textId="77777777" w:rsidR="00A108C9" w:rsidRPr="00632BFC" w:rsidRDefault="00A108C9" w:rsidP="00632BFC">
      <w:pPr>
        <w:pStyle w:val="PlainText"/>
        <w:jc w:val="both"/>
        <w:rPr>
          <w:rFonts w:ascii="Arial" w:hAnsi="Arial" w:cs="Arial"/>
          <w:sz w:val="20"/>
          <w:szCs w:val="20"/>
        </w:rPr>
      </w:pPr>
    </w:p>
    <w:p w14:paraId="504E2A7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Strengths of this study include the large cohort size (n=1,937 cases) providing robust epidemiological data, systematic data collection from institutional records ensuring high data quality, stratified analyses by gender revealing sex-specific patterns, and comprehensive characterization of treatment modalities reflecting contemporary practice patterns. The descriptive methodology provides meaningful epidemiological insights applicable to regional cancer control planning and policy development.</w:t>
      </w:r>
    </w:p>
    <w:p w14:paraId="61C04523" w14:textId="77777777" w:rsidR="00A108C9" w:rsidRPr="00632BFC" w:rsidRDefault="00A108C9" w:rsidP="00632BFC">
      <w:pPr>
        <w:pStyle w:val="PlainText"/>
        <w:jc w:val="both"/>
        <w:rPr>
          <w:rFonts w:ascii="Arial" w:hAnsi="Arial" w:cs="Arial"/>
          <w:sz w:val="20"/>
          <w:szCs w:val="20"/>
        </w:rPr>
      </w:pPr>
    </w:p>
    <w:p w14:paraId="2829401C" w14:textId="77777777" w:rsidR="00A108C9" w:rsidRPr="00632BFC" w:rsidRDefault="00A108C9" w:rsidP="00632BFC">
      <w:pPr>
        <w:pStyle w:val="PlainText"/>
        <w:jc w:val="both"/>
        <w:rPr>
          <w:rFonts w:ascii="Arial" w:hAnsi="Arial" w:cs="Arial"/>
          <w:sz w:val="20"/>
          <w:szCs w:val="20"/>
        </w:rPr>
      </w:pPr>
    </w:p>
    <w:p w14:paraId="518D3754" w14:textId="77777777" w:rsidR="00A108C9" w:rsidRPr="00A8124F" w:rsidRDefault="00A108C9" w:rsidP="00A8124F">
      <w:pPr>
        <w:pStyle w:val="PlainText"/>
        <w:rPr>
          <w:rFonts w:ascii="Arial" w:hAnsi="Arial" w:cs="Arial"/>
          <w:b/>
          <w:sz w:val="22"/>
          <w:szCs w:val="22"/>
        </w:rPr>
      </w:pPr>
      <w:r w:rsidRPr="00A8124F">
        <w:rPr>
          <w:rFonts w:ascii="Arial" w:hAnsi="Arial" w:cs="Arial"/>
          <w:b/>
          <w:sz w:val="22"/>
          <w:szCs w:val="22"/>
        </w:rPr>
        <w:t>5. CONCLUSION</w:t>
      </w:r>
    </w:p>
    <w:p w14:paraId="31908475" w14:textId="77777777" w:rsidR="00A108C9" w:rsidRPr="00632BFC" w:rsidRDefault="00A108C9" w:rsidP="00632BFC">
      <w:pPr>
        <w:pStyle w:val="PlainText"/>
        <w:jc w:val="both"/>
        <w:rPr>
          <w:rFonts w:ascii="Arial" w:hAnsi="Arial" w:cs="Arial"/>
          <w:sz w:val="20"/>
          <w:szCs w:val="20"/>
        </w:rPr>
      </w:pPr>
    </w:p>
    <w:p w14:paraId="1036486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This hospital-based descriptive study documents the substantial burden of esophageal cancer in North-East India, characterized by marked male predominance (2:1 male-to-female ratio), predominance of squamous cell carcinoma histology (91.6%), middle esophageal location predominance (67.7%), and presentation at predominantly advanced stages (85.6% with localized or regional disease, 14.4% with distant metastases). Tobacco and alcohol consumption remain the dominant identified etiological factors, present in 73.5% of cases, correlating with the 39.2% tobacco-related cancer burden among male malignancies.</w:t>
      </w:r>
    </w:p>
    <w:p w14:paraId="0D8497B3" w14:textId="77777777" w:rsidR="00A108C9" w:rsidRPr="00632BFC" w:rsidRDefault="00A108C9" w:rsidP="00632BFC">
      <w:pPr>
        <w:pStyle w:val="PlainText"/>
        <w:jc w:val="both"/>
        <w:rPr>
          <w:rFonts w:ascii="Arial" w:hAnsi="Arial" w:cs="Arial"/>
          <w:sz w:val="20"/>
          <w:szCs w:val="20"/>
        </w:rPr>
      </w:pPr>
    </w:p>
    <w:p w14:paraId="32BC604E"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Contemporary multimodal treatment approaches, predominantly combined radiotherapy and chemotherapy (R+C: 46.5% males, 43.9% females), represent institutional standard-of-care practices reflecting evidence-based guidelines. The comparable treatment intensity between genders and high procedures-per-patient ratios (1.7 males, 1.6 females) underscore institutional commitment to comprehensive oncological management.</w:t>
      </w:r>
    </w:p>
    <w:p w14:paraId="7FC7659A" w14:textId="77777777" w:rsidR="00A108C9" w:rsidRPr="00632BFC" w:rsidRDefault="00A108C9" w:rsidP="00632BFC">
      <w:pPr>
        <w:pStyle w:val="PlainText"/>
        <w:jc w:val="both"/>
        <w:rPr>
          <w:rFonts w:ascii="Arial" w:hAnsi="Arial" w:cs="Arial"/>
          <w:sz w:val="20"/>
          <w:szCs w:val="20"/>
        </w:rPr>
      </w:pPr>
    </w:p>
    <w:p w14:paraId="1F91B9E9"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These epidemiological findings elucidate the persistent need for multi-level interventions addressing esophageal cancer in this high-burden population. Primary prevention strategies must prioritize tobacco control through regulatory policies, taxation, and community awareness targeting smokeless tobacco products (pan masala, betel nut with tobacco), smoking cessation programs, and alcohol harm reduction. Secondary prevention through structured endoscopic screening programs targeting high-risk populations aged 40-75 years in high-incidence areas could facilitate early detection of dysplastic lesions and early-stage malignancies amenable to endoscopic or curative surgical intervention.</w:t>
      </w:r>
    </w:p>
    <w:p w14:paraId="3495E7F4" w14:textId="77777777" w:rsidR="00A108C9" w:rsidRPr="00632BFC" w:rsidRDefault="00A108C9" w:rsidP="00632BFC">
      <w:pPr>
        <w:pStyle w:val="PlainText"/>
        <w:jc w:val="both"/>
        <w:rPr>
          <w:rFonts w:ascii="Arial" w:hAnsi="Arial" w:cs="Arial"/>
          <w:sz w:val="20"/>
          <w:szCs w:val="20"/>
        </w:rPr>
      </w:pPr>
    </w:p>
    <w:p w14:paraId="75F039FA" w14:textId="77777777" w:rsidR="00A108C9" w:rsidRPr="00632BFC" w:rsidRDefault="00A108C9" w:rsidP="00632BFC">
      <w:pPr>
        <w:pStyle w:val="PlainText"/>
        <w:jc w:val="both"/>
        <w:rPr>
          <w:rFonts w:ascii="Arial" w:hAnsi="Arial" w:cs="Arial"/>
          <w:sz w:val="20"/>
          <w:szCs w:val="20"/>
        </w:rPr>
      </w:pPr>
      <w:r w:rsidRPr="00632BFC">
        <w:rPr>
          <w:rFonts w:ascii="Arial" w:hAnsi="Arial" w:cs="Arial"/>
          <w:sz w:val="20"/>
          <w:szCs w:val="20"/>
        </w:rPr>
        <w:t>Enhanced infrastructure and personnel training for advanced endoscopic techniques (endoscopic submucosal dissection, endoscopic mucosal resection) may enable minimally invasive management of early-stage cancers. Strengthened referral systems linking primary and secondary care centers with tertiary cancer centers ensure timely diagnosis and access to evidence-based multimodal treatment. Research initiatives investigating novel systemic therapies, including targeted biologics and immunotherapeutic agents, may further improve treatment outcomes and survival rates in this challenged population.</w:t>
      </w:r>
    </w:p>
    <w:p w14:paraId="1BED30D2" w14:textId="77777777" w:rsidR="00A108C9" w:rsidRPr="00632BFC" w:rsidRDefault="00A108C9" w:rsidP="00632BFC">
      <w:pPr>
        <w:pStyle w:val="PlainText"/>
        <w:jc w:val="both"/>
        <w:rPr>
          <w:rFonts w:ascii="Arial" w:hAnsi="Arial" w:cs="Arial"/>
          <w:sz w:val="20"/>
          <w:szCs w:val="20"/>
        </w:rPr>
      </w:pPr>
    </w:p>
    <w:p w14:paraId="7576ABA6" w14:textId="77777777" w:rsidR="00A8124F" w:rsidRDefault="00A108C9" w:rsidP="00632BFC">
      <w:pPr>
        <w:pStyle w:val="PlainText"/>
        <w:jc w:val="both"/>
        <w:rPr>
          <w:rFonts w:ascii="Arial" w:hAnsi="Arial" w:cs="Arial"/>
          <w:sz w:val="20"/>
          <w:szCs w:val="20"/>
        </w:rPr>
      </w:pPr>
      <w:r w:rsidRPr="00632BFC">
        <w:rPr>
          <w:rFonts w:ascii="Arial" w:hAnsi="Arial" w:cs="Arial"/>
          <w:sz w:val="20"/>
          <w:szCs w:val="20"/>
        </w:rPr>
        <w:t>The institutional achievement of equitable gender-based treatment delivery and comprehensive multimodal care for advanced-stage disease serves as a model for cancer centers across high-incidence regions. However, the substantial disease burden and predominance of advanced-stage presentation underscore the imperative for scaled-up prevention and early detection programs to reduce overall incidence and mortality. Implementation of these recommendations requires coordinated efforts among oncologists, public health professionals, policymakers, and community organizations to address this major public health challenge in North-East India.</w:t>
      </w:r>
    </w:p>
    <w:p w14:paraId="64A3E475" w14:textId="72C5635E" w:rsidR="00EA026D" w:rsidRDefault="00EA026D" w:rsidP="00A8124F">
      <w:pPr>
        <w:pStyle w:val="AcknHead"/>
        <w:spacing w:after="0"/>
        <w:jc w:val="both"/>
        <w:rPr>
          <w:rFonts w:ascii="Arial" w:hAnsi="Arial" w:cs="Arial"/>
        </w:rPr>
      </w:pPr>
    </w:p>
    <w:p w14:paraId="1981FE25" w14:textId="77777777" w:rsidR="00B76829" w:rsidRDefault="00B76829" w:rsidP="00A8124F">
      <w:pPr>
        <w:pStyle w:val="AcknHead"/>
        <w:spacing w:after="0"/>
        <w:jc w:val="both"/>
        <w:rPr>
          <w:rFonts w:ascii="Arial" w:hAnsi="Arial" w:cs="Arial"/>
        </w:rPr>
      </w:pPr>
    </w:p>
    <w:p w14:paraId="7E803EBB" w14:textId="77777777" w:rsidR="00A108C9" w:rsidRDefault="00A108C9" w:rsidP="00632BFC">
      <w:pPr>
        <w:pStyle w:val="PlainText"/>
        <w:jc w:val="both"/>
        <w:rPr>
          <w:rFonts w:ascii="Arial" w:hAnsi="Arial" w:cs="Arial"/>
          <w:sz w:val="20"/>
          <w:szCs w:val="20"/>
        </w:rPr>
      </w:pPr>
    </w:p>
    <w:p w14:paraId="18F39129" w14:textId="77777777" w:rsidR="00EA026D" w:rsidRPr="00786D36" w:rsidRDefault="002E18B3" w:rsidP="00EA026D">
      <w:pPr>
        <w:pStyle w:val="ReferHead"/>
        <w:spacing w:after="0"/>
        <w:jc w:val="both"/>
        <w:rPr>
          <w:rFonts w:ascii="Arial" w:hAnsi="Arial" w:cs="Arial"/>
          <w:bCs/>
        </w:rPr>
      </w:pPr>
      <w:r>
        <w:rPr>
          <w:rFonts w:ascii="Arial" w:hAnsi="Arial" w:cs="Arial"/>
          <w:bCs/>
        </w:rPr>
        <w:lastRenderedPageBreak/>
        <w:t>6</w:t>
      </w:r>
      <w:r w:rsidR="00EA026D">
        <w:rPr>
          <w:rFonts w:ascii="Arial" w:hAnsi="Arial" w:cs="Arial"/>
          <w:bCs/>
        </w:rPr>
        <w:t xml:space="preserve">. </w:t>
      </w:r>
      <w:r w:rsidR="00EA026D" w:rsidRPr="00786D36">
        <w:rPr>
          <w:rFonts w:ascii="Arial" w:hAnsi="Arial" w:cs="Arial"/>
          <w:bCs/>
        </w:rPr>
        <w:t>Competing interests</w:t>
      </w:r>
    </w:p>
    <w:p w14:paraId="531483DF" w14:textId="77777777" w:rsidR="00EA026D" w:rsidRPr="00632BFC" w:rsidRDefault="00EA026D" w:rsidP="00632BFC">
      <w:pPr>
        <w:pStyle w:val="PlainText"/>
        <w:jc w:val="both"/>
        <w:rPr>
          <w:rFonts w:ascii="Arial" w:hAnsi="Arial" w:cs="Arial"/>
          <w:sz w:val="20"/>
          <w:szCs w:val="20"/>
        </w:rPr>
      </w:pPr>
    </w:p>
    <w:p w14:paraId="5513E1C5" w14:textId="77777777" w:rsidR="00EA026D" w:rsidRPr="00EA026D" w:rsidRDefault="00EA026D" w:rsidP="00EA026D">
      <w:pPr>
        <w:pStyle w:val="AcknHead"/>
        <w:spacing w:after="0"/>
        <w:jc w:val="both"/>
        <w:rPr>
          <w:rFonts w:ascii="Arial" w:hAnsi="Arial" w:cs="Arial"/>
          <w:b w:val="0"/>
          <w:sz w:val="20"/>
        </w:rPr>
      </w:pPr>
      <w:r>
        <w:rPr>
          <w:rFonts w:ascii="Arial" w:hAnsi="Arial" w:cs="Arial"/>
          <w:b w:val="0"/>
          <w:caps w:val="0"/>
          <w:sz w:val="20"/>
          <w:shd w:val="clear" w:color="auto" w:fill="FFFFFF"/>
        </w:rPr>
        <w:t>A</w:t>
      </w:r>
      <w:r w:rsidRPr="00EA026D">
        <w:rPr>
          <w:rFonts w:ascii="Arial" w:hAnsi="Arial" w:cs="Arial"/>
          <w:b w:val="0"/>
          <w:caps w:val="0"/>
          <w:sz w:val="20"/>
          <w:shd w:val="clear" w:color="auto" w:fill="FFFFFF"/>
        </w:rPr>
        <w:t>uthors have declared that no competing interests exist</w:t>
      </w:r>
      <w:r>
        <w:rPr>
          <w:rFonts w:ascii="Arial" w:hAnsi="Arial" w:cs="Arial"/>
          <w:b w:val="0"/>
          <w:caps w:val="0"/>
          <w:sz w:val="20"/>
          <w:shd w:val="clear" w:color="auto" w:fill="FFFFFF"/>
        </w:rPr>
        <w:t>.</w:t>
      </w:r>
    </w:p>
    <w:p w14:paraId="76C921A6" w14:textId="39368B64" w:rsidR="00EA026D" w:rsidRDefault="00EA026D" w:rsidP="00632BFC">
      <w:pPr>
        <w:pStyle w:val="PlainText"/>
        <w:jc w:val="both"/>
        <w:rPr>
          <w:rFonts w:ascii="Arial" w:hAnsi="Arial" w:cs="Arial"/>
          <w:sz w:val="20"/>
          <w:szCs w:val="20"/>
        </w:rPr>
      </w:pPr>
    </w:p>
    <w:p w14:paraId="7C8E5ADC" w14:textId="7C409A76" w:rsidR="00960712" w:rsidRDefault="00960712" w:rsidP="00632BFC">
      <w:pPr>
        <w:pStyle w:val="PlainText"/>
        <w:jc w:val="both"/>
        <w:rPr>
          <w:rFonts w:ascii="Arial" w:hAnsi="Arial" w:cs="Arial"/>
          <w:sz w:val="20"/>
          <w:szCs w:val="20"/>
        </w:rPr>
      </w:pPr>
    </w:p>
    <w:p w14:paraId="58714FC2" w14:textId="68F696C6" w:rsidR="00960712" w:rsidRPr="002E752B" w:rsidRDefault="00960712" w:rsidP="00960712">
      <w:pPr>
        <w:pStyle w:val="PlainText"/>
        <w:jc w:val="both"/>
        <w:rPr>
          <w:rFonts w:ascii="Arial" w:hAnsi="Arial" w:cs="Arial"/>
          <w:b/>
          <w:sz w:val="20"/>
          <w:szCs w:val="20"/>
        </w:rPr>
      </w:pPr>
      <w:r w:rsidRPr="002E752B">
        <w:rPr>
          <w:rFonts w:ascii="Arial" w:hAnsi="Arial" w:cs="Arial"/>
          <w:b/>
          <w:sz w:val="20"/>
          <w:szCs w:val="20"/>
        </w:rPr>
        <w:t xml:space="preserve">Ethical </w:t>
      </w:r>
      <w:r w:rsidR="002E752B" w:rsidRPr="002E752B">
        <w:rPr>
          <w:rFonts w:ascii="Arial" w:hAnsi="Arial" w:cs="Arial"/>
          <w:b/>
          <w:sz w:val="20"/>
          <w:szCs w:val="20"/>
        </w:rPr>
        <w:t>Approval:</w:t>
      </w:r>
    </w:p>
    <w:p w14:paraId="0E0DAB9B" w14:textId="77777777" w:rsidR="00960712" w:rsidRPr="00960712" w:rsidRDefault="00960712" w:rsidP="00960712">
      <w:pPr>
        <w:pStyle w:val="PlainText"/>
        <w:jc w:val="both"/>
        <w:rPr>
          <w:rFonts w:ascii="Arial" w:hAnsi="Arial" w:cs="Arial"/>
          <w:sz w:val="20"/>
          <w:szCs w:val="20"/>
        </w:rPr>
      </w:pPr>
    </w:p>
    <w:p w14:paraId="55729A7A" w14:textId="2A38A84A" w:rsidR="00960712" w:rsidRDefault="002E752B" w:rsidP="00960712">
      <w:pPr>
        <w:pStyle w:val="PlainText"/>
        <w:jc w:val="both"/>
        <w:rPr>
          <w:rFonts w:ascii="Arial" w:hAnsi="Arial" w:cs="Arial"/>
          <w:sz w:val="20"/>
          <w:szCs w:val="20"/>
        </w:rPr>
      </w:pPr>
      <w:r w:rsidRPr="002E752B">
        <w:rPr>
          <w:rFonts w:ascii="Arial" w:hAnsi="Arial" w:cs="Arial"/>
          <w:sz w:val="20"/>
          <w:szCs w:val="20"/>
        </w:rPr>
        <w:t>As per international standards or university standards written ethical approval has been collected and preserved by the author(s).</w:t>
      </w:r>
      <w:r>
        <w:rPr>
          <w:rFonts w:ascii="Arial" w:hAnsi="Arial" w:cs="Arial"/>
          <w:sz w:val="20"/>
          <w:szCs w:val="20"/>
        </w:rPr>
        <w:t xml:space="preserve"> </w:t>
      </w:r>
      <w:r w:rsidR="00960712" w:rsidRPr="00960712">
        <w:rPr>
          <w:rFonts w:ascii="Arial" w:hAnsi="Arial" w:cs="Arial"/>
          <w:sz w:val="20"/>
          <w:szCs w:val="20"/>
        </w:rPr>
        <w:t xml:space="preserve">This study utilized de-identified data extracted from the hospital-based cancer registry, State Cancer Institute, </w:t>
      </w:r>
      <w:proofErr w:type="spellStart"/>
      <w:r w:rsidR="00960712" w:rsidRPr="00960712">
        <w:rPr>
          <w:rFonts w:ascii="Arial" w:hAnsi="Arial" w:cs="Arial"/>
          <w:sz w:val="20"/>
          <w:szCs w:val="20"/>
        </w:rPr>
        <w:t>Gauhati</w:t>
      </w:r>
      <w:proofErr w:type="spellEnd"/>
      <w:r w:rsidR="00960712" w:rsidRPr="00960712">
        <w:rPr>
          <w:rFonts w:ascii="Arial" w:hAnsi="Arial" w:cs="Arial"/>
          <w:sz w:val="20"/>
          <w:szCs w:val="20"/>
        </w:rPr>
        <w:t xml:space="preserve"> Medical College. The study was conducted in compliance with institutional protocols for cancer registry data utilization. Patient privacy and confidentiality were maintained throughout the data extraction, analysis, and reporting process.</w:t>
      </w:r>
    </w:p>
    <w:p w14:paraId="5A9CFA85" w14:textId="77777777" w:rsidR="002E752B" w:rsidRDefault="002E752B" w:rsidP="00960712">
      <w:pPr>
        <w:pStyle w:val="PlainText"/>
        <w:jc w:val="both"/>
        <w:rPr>
          <w:rFonts w:ascii="Arial" w:hAnsi="Arial" w:cs="Arial"/>
          <w:sz w:val="20"/>
          <w:szCs w:val="20"/>
        </w:rPr>
      </w:pPr>
    </w:p>
    <w:p w14:paraId="09D92EFF" w14:textId="6BEC9A1E" w:rsidR="001D349F" w:rsidRDefault="001D349F" w:rsidP="00632BFC">
      <w:pPr>
        <w:pStyle w:val="PlainText"/>
        <w:jc w:val="both"/>
        <w:rPr>
          <w:rFonts w:ascii="Arial" w:hAnsi="Arial" w:cs="Arial"/>
          <w:sz w:val="20"/>
          <w:szCs w:val="20"/>
        </w:rPr>
      </w:pPr>
    </w:p>
    <w:p w14:paraId="5575958A" w14:textId="717AAE2C" w:rsidR="001D349F" w:rsidRPr="00AD0194" w:rsidRDefault="00AD0194" w:rsidP="001D349F">
      <w:pPr>
        <w:rPr>
          <w:rFonts w:ascii="Arial" w:eastAsia="Calibri" w:hAnsi="Arial" w:cs="Arial"/>
          <w:b/>
          <w:kern w:val="2"/>
        </w:rPr>
      </w:pPr>
      <w:bookmarkStart w:id="1" w:name="_Hlk197682619"/>
      <w:bookmarkStart w:id="2" w:name="_Hlk180402183"/>
      <w:bookmarkStart w:id="3" w:name="_Hlk183680988"/>
      <w:bookmarkStart w:id="4" w:name="_Hlk197351200"/>
      <w:bookmarkStart w:id="5" w:name="_Hlk213410455"/>
      <w:r w:rsidRPr="00AD0194">
        <w:rPr>
          <w:rFonts w:ascii="Arial" w:eastAsia="Calibri" w:hAnsi="Arial" w:cs="Arial"/>
          <w:b/>
          <w:kern w:val="2"/>
        </w:rPr>
        <w:t>DISCLAIMER (ARTIFICIAL INTELLIGENCE)</w:t>
      </w:r>
    </w:p>
    <w:p w14:paraId="6EE1548D" w14:textId="2D1765F7" w:rsidR="001D349F" w:rsidRPr="00D1687E" w:rsidRDefault="001D349F" w:rsidP="00D1687E">
      <w:pPr>
        <w:jc w:val="both"/>
        <w:rPr>
          <w:rFonts w:ascii="Arial" w:eastAsia="Calibri" w:hAnsi="Arial" w:cs="Arial"/>
          <w:kern w:val="2"/>
          <w:sz w:val="20"/>
          <w:szCs w:val="20"/>
        </w:rPr>
      </w:pPr>
      <w:r w:rsidRPr="00AD0194">
        <w:rPr>
          <w:rFonts w:ascii="Arial" w:eastAsia="Calibri" w:hAnsi="Arial" w:cs="Arial"/>
          <w:kern w:val="2"/>
          <w:sz w:val="20"/>
          <w:szCs w:val="20"/>
        </w:rPr>
        <w:t>Author(s) hereby declare that NO generative AI technologies such as Large Language Models (</w:t>
      </w:r>
      <w:proofErr w:type="spellStart"/>
      <w:r w:rsidRPr="00AD0194">
        <w:rPr>
          <w:rFonts w:ascii="Arial" w:eastAsia="Calibri" w:hAnsi="Arial" w:cs="Arial"/>
          <w:kern w:val="2"/>
          <w:sz w:val="20"/>
          <w:szCs w:val="20"/>
        </w:rPr>
        <w:t>ChatGPT</w:t>
      </w:r>
      <w:proofErr w:type="spellEnd"/>
      <w:r w:rsidRPr="00AD0194">
        <w:rPr>
          <w:rFonts w:ascii="Arial" w:eastAsia="Calibri" w:hAnsi="Arial" w:cs="Arial"/>
          <w:kern w:val="2"/>
          <w:sz w:val="20"/>
          <w:szCs w:val="20"/>
        </w:rPr>
        <w:t xml:space="preserve">, COPILOT, etc.) and text-to-image generators have been used during the writing or editing of this manuscript. </w:t>
      </w:r>
      <w:bookmarkEnd w:id="1"/>
      <w:bookmarkEnd w:id="2"/>
      <w:bookmarkEnd w:id="3"/>
      <w:bookmarkEnd w:id="4"/>
      <w:bookmarkEnd w:id="5"/>
    </w:p>
    <w:p w14:paraId="1D1CCA67" w14:textId="77777777" w:rsidR="00EA026D" w:rsidRPr="00632BFC" w:rsidRDefault="00EA026D" w:rsidP="00632BFC">
      <w:pPr>
        <w:pStyle w:val="PlainText"/>
        <w:jc w:val="both"/>
        <w:rPr>
          <w:rFonts w:ascii="Arial" w:hAnsi="Arial" w:cs="Arial"/>
          <w:sz w:val="20"/>
          <w:szCs w:val="20"/>
        </w:rPr>
      </w:pPr>
    </w:p>
    <w:p w14:paraId="748D96E0" w14:textId="77777777" w:rsidR="00A108C9" w:rsidRPr="00EA026D" w:rsidRDefault="00A108C9" w:rsidP="00632BFC">
      <w:pPr>
        <w:pStyle w:val="PlainText"/>
        <w:jc w:val="both"/>
        <w:rPr>
          <w:rFonts w:ascii="Arial" w:hAnsi="Arial" w:cs="Arial"/>
          <w:b/>
          <w:sz w:val="22"/>
          <w:szCs w:val="22"/>
        </w:rPr>
      </w:pPr>
      <w:r w:rsidRPr="00EA026D">
        <w:rPr>
          <w:rFonts w:ascii="Arial" w:hAnsi="Arial" w:cs="Arial"/>
          <w:b/>
          <w:sz w:val="22"/>
          <w:szCs w:val="22"/>
        </w:rPr>
        <w:t>REFERENCES</w:t>
      </w:r>
    </w:p>
    <w:p w14:paraId="00401AC6" w14:textId="16655C9D" w:rsidR="008D02C9" w:rsidRPr="00113005" w:rsidRDefault="008D02C9" w:rsidP="008D02C9">
      <w:pPr>
        <w:pStyle w:val="NormalWeb"/>
        <w:jc w:val="both"/>
        <w:rPr>
          <w:rFonts w:ascii="Arial" w:hAnsi="Arial" w:cs="Arial"/>
          <w:color w:val="000000" w:themeColor="text1"/>
          <w:sz w:val="20"/>
          <w:szCs w:val="20"/>
        </w:rPr>
      </w:pPr>
      <w:bookmarkStart w:id="6" w:name="_GoBack"/>
      <w:bookmarkEnd w:id="6"/>
      <w:r w:rsidRPr="00113005">
        <w:rPr>
          <w:rFonts w:ascii="Arial" w:hAnsi="Arial" w:cs="Arial"/>
          <w:bCs/>
          <w:color w:val="000000" w:themeColor="text1"/>
          <w:sz w:val="20"/>
          <w:szCs w:val="20"/>
        </w:rPr>
        <w:t>Alsop, B. R., &amp; Sharma, P. (2016).</w:t>
      </w:r>
      <w:r w:rsidRPr="00113005">
        <w:rPr>
          <w:rFonts w:ascii="Arial" w:hAnsi="Arial" w:cs="Arial"/>
          <w:color w:val="000000" w:themeColor="text1"/>
          <w:sz w:val="20"/>
          <w:szCs w:val="20"/>
        </w:rPr>
        <w:t xml:space="preserve"> Esophageal cancer. </w:t>
      </w:r>
      <w:r w:rsidRPr="00113005">
        <w:rPr>
          <w:rFonts w:ascii="Arial" w:hAnsi="Arial" w:cs="Arial"/>
          <w:iCs/>
          <w:color w:val="000000" w:themeColor="text1"/>
          <w:sz w:val="20"/>
          <w:szCs w:val="20"/>
        </w:rPr>
        <w:t>Gastroenterology Clinics of North America, 45</w:t>
      </w:r>
      <w:r w:rsidRPr="00113005">
        <w:rPr>
          <w:rFonts w:ascii="Arial" w:hAnsi="Arial" w:cs="Arial"/>
          <w:color w:val="000000" w:themeColor="text1"/>
          <w:sz w:val="20"/>
          <w:szCs w:val="20"/>
        </w:rPr>
        <w:t xml:space="preserve">(3), 399–412. </w:t>
      </w:r>
      <w:hyperlink r:id="rId11" w:tgtFrame="_blank" w:history="1">
        <w:r w:rsidRPr="00113005">
          <w:rPr>
            <w:rStyle w:val="Hyperlink"/>
            <w:rFonts w:ascii="Arial" w:hAnsi="Arial" w:cs="Arial"/>
            <w:color w:val="000000" w:themeColor="text1"/>
            <w:sz w:val="20"/>
            <w:szCs w:val="20"/>
            <w:u w:val="none"/>
          </w:rPr>
          <w:t>https://doi.org/10.1016/j.gtc.2016.04.001</w:t>
        </w:r>
      </w:hyperlink>
    </w:p>
    <w:p w14:paraId="364FCA37" w14:textId="2322BB59"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Baidya, K., Devi, Y. S., Rai, H. K., Devi, N. D., </w:t>
      </w:r>
      <w:proofErr w:type="spellStart"/>
      <w:r w:rsidRPr="00113005">
        <w:rPr>
          <w:rFonts w:ascii="Arial" w:hAnsi="Arial" w:cs="Arial"/>
          <w:bCs/>
          <w:color w:val="000000" w:themeColor="text1"/>
          <w:sz w:val="20"/>
          <w:szCs w:val="20"/>
        </w:rPr>
        <w:t>Sinam</w:t>
      </w:r>
      <w:proofErr w:type="spellEnd"/>
      <w:r w:rsidRPr="00113005">
        <w:rPr>
          <w:rFonts w:ascii="Arial" w:hAnsi="Arial" w:cs="Arial"/>
          <w:bCs/>
          <w:color w:val="000000" w:themeColor="text1"/>
          <w:sz w:val="20"/>
          <w:szCs w:val="20"/>
        </w:rPr>
        <w:t xml:space="preserve">, N., &amp; </w:t>
      </w:r>
      <w:proofErr w:type="spellStart"/>
      <w:r w:rsidRPr="00113005">
        <w:rPr>
          <w:rFonts w:ascii="Arial" w:hAnsi="Arial" w:cs="Arial"/>
          <w:bCs/>
          <w:color w:val="000000" w:themeColor="text1"/>
          <w:sz w:val="20"/>
          <w:szCs w:val="20"/>
        </w:rPr>
        <w:t>Kilari</w:t>
      </w:r>
      <w:proofErr w:type="spellEnd"/>
      <w:r w:rsidRPr="00113005">
        <w:rPr>
          <w:rFonts w:ascii="Arial" w:hAnsi="Arial" w:cs="Arial"/>
          <w:bCs/>
          <w:color w:val="000000" w:themeColor="text1"/>
          <w:sz w:val="20"/>
          <w:szCs w:val="20"/>
        </w:rPr>
        <w:t>, G. L. T. (2024).</w:t>
      </w:r>
      <w:r w:rsidRPr="00113005">
        <w:rPr>
          <w:rFonts w:ascii="Arial" w:hAnsi="Arial" w:cs="Arial"/>
          <w:color w:val="000000" w:themeColor="text1"/>
          <w:sz w:val="20"/>
          <w:szCs w:val="20"/>
        </w:rPr>
        <w:t xml:space="preserve"> Clinicopathological profile and survival analysis of esophageal carcinoma: A retrospective study in a tertiary care hospital in Northeast India. </w:t>
      </w:r>
      <w:r w:rsidRPr="00113005">
        <w:rPr>
          <w:rFonts w:ascii="Arial" w:hAnsi="Arial" w:cs="Arial"/>
          <w:iCs/>
          <w:color w:val="000000" w:themeColor="text1"/>
          <w:sz w:val="20"/>
          <w:szCs w:val="20"/>
        </w:rPr>
        <w:t>Journal of Cancer Research and Therapeutics, 20</w:t>
      </w:r>
      <w:r w:rsidRPr="00113005">
        <w:rPr>
          <w:rFonts w:ascii="Arial" w:hAnsi="Arial" w:cs="Arial"/>
          <w:color w:val="000000" w:themeColor="text1"/>
          <w:sz w:val="20"/>
          <w:szCs w:val="20"/>
        </w:rPr>
        <w:t xml:space="preserve">(5), 1406–1411. </w:t>
      </w:r>
      <w:hyperlink r:id="rId12" w:tgtFrame="_blank" w:history="1">
        <w:r w:rsidRPr="00113005">
          <w:rPr>
            <w:rStyle w:val="Hyperlink"/>
            <w:rFonts w:ascii="Arial" w:hAnsi="Arial" w:cs="Arial"/>
            <w:color w:val="000000" w:themeColor="text1"/>
            <w:sz w:val="20"/>
            <w:szCs w:val="20"/>
            <w:u w:val="none"/>
          </w:rPr>
          <w:t>https://doi.org/10.4103/jcrt.jcrt_7_23</w:t>
        </w:r>
      </w:hyperlink>
    </w:p>
    <w:p w14:paraId="4E3A758D" w14:textId="5DD2ABD2" w:rsidR="00927E05"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Chen, L., Wang, H., Qi, Z., Liang, L., Guo, C., He, Y., Liu, M., Liu, Z., Pan, Y., Liu, F., Liu, Y., Hu, Z., Chen, H., He, Z., &amp; </w:t>
      </w:r>
      <w:proofErr w:type="spellStart"/>
      <w:r w:rsidRPr="00113005">
        <w:rPr>
          <w:rFonts w:ascii="Arial" w:hAnsi="Arial" w:cs="Arial"/>
          <w:bCs/>
          <w:color w:val="000000" w:themeColor="text1"/>
          <w:sz w:val="20"/>
          <w:szCs w:val="20"/>
        </w:rPr>
        <w:t>Ke</w:t>
      </w:r>
      <w:proofErr w:type="spellEnd"/>
      <w:r w:rsidRPr="00113005">
        <w:rPr>
          <w:rFonts w:ascii="Arial" w:hAnsi="Arial" w:cs="Arial"/>
          <w:bCs/>
          <w:color w:val="000000" w:themeColor="text1"/>
          <w:sz w:val="20"/>
          <w:szCs w:val="20"/>
        </w:rPr>
        <w:t>, Y. (2024).</w:t>
      </w:r>
      <w:r w:rsidRPr="00113005">
        <w:rPr>
          <w:rFonts w:ascii="Arial" w:hAnsi="Arial" w:cs="Arial"/>
          <w:color w:val="000000" w:themeColor="text1"/>
          <w:sz w:val="20"/>
          <w:szCs w:val="20"/>
        </w:rPr>
        <w:t xml:space="preserve"> Dynamics of long-term quality of life after treatment for esophageal cancer: A community-based patient study. </w:t>
      </w:r>
      <w:r w:rsidRPr="00113005">
        <w:rPr>
          <w:rFonts w:ascii="Arial" w:hAnsi="Arial" w:cs="Arial"/>
          <w:iCs/>
          <w:color w:val="000000" w:themeColor="text1"/>
          <w:sz w:val="20"/>
          <w:szCs w:val="20"/>
        </w:rPr>
        <w:t>JCO Global Oncology, 10</w:t>
      </w:r>
      <w:r w:rsidRPr="00113005">
        <w:rPr>
          <w:rFonts w:ascii="Arial" w:hAnsi="Arial" w:cs="Arial"/>
          <w:color w:val="000000" w:themeColor="text1"/>
          <w:sz w:val="20"/>
          <w:szCs w:val="20"/>
        </w:rPr>
        <w:t xml:space="preserve">, Article GO.24.00044. </w:t>
      </w:r>
      <w:hyperlink r:id="rId13" w:tgtFrame="_blank" w:history="1">
        <w:r w:rsidRPr="00113005">
          <w:rPr>
            <w:rStyle w:val="Hyperlink"/>
            <w:rFonts w:ascii="Arial" w:hAnsi="Arial" w:cs="Arial"/>
            <w:color w:val="000000" w:themeColor="text1"/>
            <w:sz w:val="20"/>
            <w:szCs w:val="20"/>
            <w:u w:val="none"/>
          </w:rPr>
          <w:t>https://doi.org/10.1200/GO.24.00044</w:t>
        </w:r>
      </w:hyperlink>
    </w:p>
    <w:p w14:paraId="524A1869" w14:textId="1B6B1406"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Gondhowiardjo</w:t>
      </w:r>
      <w:proofErr w:type="spellEnd"/>
      <w:r w:rsidRPr="00113005">
        <w:rPr>
          <w:rFonts w:ascii="Arial" w:hAnsi="Arial" w:cs="Arial"/>
          <w:bCs/>
          <w:color w:val="000000" w:themeColor="text1"/>
          <w:sz w:val="20"/>
          <w:szCs w:val="20"/>
        </w:rPr>
        <w:t xml:space="preserve">, S., Christina, N., Ganapati, N. P. D., </w:t>
      </w:r>
      <w:proofErr w:type="spellStart"/>
      <w:r w:rsidRPr="00113005">
        <w:rPr>
          <w:rFonts w:ascii="Arial" w:hAnsi="Arial" w:cs="Arial"/>
          <w:bCs/>
          <w:color w:val="000000" w:themeColor="text1"/>
          <w:sz w:val="20"/>
          <w:szCs w:val="20"/>
        </w:rPr>
        <w:t>Hawariy</w:t>
      </w:r>
      <w:proofErr w:type="spellEnd"/>
      <w:r w:rsidRPr="00113005">
        <w:rPr>
          <w:rFonts w:ascii="Arial" w:hAnsi="Arial" w:cs="Arial"/>
          <w:bCs/>
          <w:color w:val="000000" w:themeColor="text1"/>
          <w:sz w:val="20"/>
          <w:szCs w:val="20"/>
        </w:rPr>
        <w:t xml:space="preserve">, S., </w:t>
      </w:r>
      <w:proofErr w:type="spellStart"/>
      <w:r w:rsidRPr="00113005">
        <w:rPr>
          <w:rFonts w:ascii="Arial" w:hAnsi="Arial" w:cs="Arial"/>
          <w:bCs/>
          <w:color w:val="000000" w:themeColor="text1"/>
          <w:sz w:val="20"/>
          <w:szCs w:val="20"/>
        </w:rPr>
        <w:t>Radityamurti</w:t>
      </w:r>
      <w:proofErr w:type="spellEnd"/>
      <w:r w:rsidRPr="00113005">
        <w:rPr>
          <w:rFonts w:ascii="Arial" w:hAnsi="Arial" w:cs="Arial"/>
          <w:bCs/>
          <w:color w:val="000000" w:themeColor="text1"/>
          <w:sz w:val="20"/>
          <w:szCs w:val="20"/>
        </w:rPr>
        <w:t xml:space="preserve">, F., </w:t>
      </w:r>
      <w:proofErr w:type="spellStart"/>
      <w:r w:rsidRPr="00113005">
        <w:rPr>
          <w:rFonts w:ascii="Arial" w:hAnsi="Arial" w:cs="Arial"/>
          <w:bCs/>
          <w:color w:val="000000" w:themeColor="text1"/>
          <w:sz w:val="20"/>
          <w:szCs w:val="20"/>
        </w:rPr>
        <w:t>Jayalie</w:t>
      </w:r>
      <w:proofErr w:type="spellEnd"/>
      <w:r w:rsidRPr="00113005">
        <w:rPr>
          <w:rFonts w:ascii="Arial" w:hAnsi="Arial" w:cs="Arial"/>
          <w:bCs/>
          <w:color w:val="000000" w:themeColor="text1"/>
          <w:sz w:val="20"/>
          <w:szCs w:val="20"/>
        </w:rPr>
        <w:t xml:space="preserve">, V. F., … </w:t>
      </w:r>
      <w:proofErr w:type="spellStart"/>
      <w:r w:rsidRPr="00113005">
        <w:rPr>
          <w:rFonts w:ascii="Arial" w:hAnsi="Arial" w:cs="Arial"/>
          <w:bCs/>
          <w:color w:val="000000" w:themeColor="text1"/>
          <w:sz w:val="20"/>
          <w:szCs w:val="20"/>
        </w:rPr>
        <w:t>Prawira</w:t>
      </w:r>
      <w:proofErr w:type="spellEnd"/>
      <w:r w:rsidRPr="00113005">
        <w:rPr>
          <w:rFonts w:ascii="Arial" w:hAnsi="Arial" w:cs="Arial"/>
          <w:bCs/>
          <w:color w:val="000000" w:themeColor="text1"/>
          <w:sz w:val="20"/>
          <w:szCs w:val="20"/>
        </w:rPr>
        <w:t xml:space="preserve"> Putra, A. (2021).</w:t>
      </w:r>
      <w:r w:rsidRPr="00113005">
        <w:rPr>
          <w:rFonts w:ascii="Arial" w:hAnsi="Arial" w:cs="Arial"/>
          <w:color w:val="000000" w:themeColor="text1"/>
          <w:sz w:val="20"/>
          <w:szCs w:val="20"/>
        </w:rPr>
        <w:t xml:space="preserve"> Five-year cancer epidemiology at the National Referral Hospital: Hospital-based cancer registry data in Indonesia. </w:t>
      </w:r>
      <w:r w:rsidRPr="00113005">
        <w:rPr>
          <w:rFonts w:ascii="Arial" w:hAnsi="Arial" w:cs="Arial"/>
          <w:iCs/>
          <w:color w:val="000000" w:themeColor="text1"/>
          <w:sz w:val="20"/>
          <w:szCs w:val="20"/>
        </w:rPr>
        <w:t>JCO Global Oncology, 7</w:t>
      </w:r>
      <w:r w:rsidRPr="00113005">
        <w:rPr>
          <w:rFonts w:ascii="Arial" w:hAnsi="Arial" w:cs="Arial"/>
          <w:color w:val="000000" w:themeColor="text1"/>
          <w:sz w:val="20"/>
          <w:szCs w:val="20"/>
        </w:rPr>
        <w:t xml:space="preserve">, 190–203. </w:t>
      </w:r>
      <w:hyperlink r:id="rId14" w:tgtFrame="_blank" w:history="1">
        <w:r w:rsidRPr="00113005">
          <w:rPr>
            <w:rStyle w:val="Hyperlink"/>
            <w:rFonts w:ascii="Arial" w:hAnsi="Arial" w:cs="Arial"/>
            <w:color w:val="000000" w:themeColor="text1"/>
            <w:sz w:val="20"/>
            <w:szCs w:val="20"/>
            <w:u w:val="none"/>
          </w:rPr>
          <w:t>https://doi.org/10.1200/GO.20.00155</w:t>
        </w:r>
      </w:hyperlink>
    </w:p>
    <w:p w14:paraId="7F976655" w14:textId="5D28051B"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Ind</w:t>
      </w:r>
      <w:r w:rsidR="002B3B00" w:rsidRPr="00113005">
        <w:rPr>
          <w:rFonts w:ascii="Arial" w:hAnsi="Arial" w:cs="Arial"/>
          <w:bCs/>
          <w:color w:val="000000" w:themeColor="text1"/>
          <w:sz w:val="20"/>
          <w:szCs w:val="20"/>
        </w:rPr>
        <w:t>ian Council of Medical Research</w:t>
      </w:r>
      <w:r w:rsidR="009E4F65" w:rsidRPr="00113005">
        <w:rPr>
          <w:rFonts w:ascii="Arial" w:hAnsi="Arial" w:cs="Arial"/>
          <w:bCs/>
          <w:color w:val="000000" w:themeColor="text1"/>
          <w:sz w:val="20"/>
          <w:szCs w:val="20"/>
        </w:rPr>
        <w:t>.</w:t>
      </w:r>
      <w:r w:rsidRPr="00113005">
        <w:rPr>
          <w:rFonts w:ascii="Arial" w:hAnsi="Arial" w:cs="Arial"/>
          <w:bCs/>
          <w:color w:val="000000" w:themeColor="text1"/>
          <w:sz w:val="20"/>
          <w:szCs w:val="20"/>
        </w:rPr>
        <w:t xml:space="preserve"> (2014).</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Consensus document for management of esophageal cancer</w:t>
      </w:r>
      <w:r w:rsidRPr="00113005">
        <w:rPr>
          <w:rFonts w:ascii="Arial" w:hAnsi="Arial" w:cs="Arial"/>
          <w:color w:val="000000" w:themeColor="text1"/>
          <w:sz w:val="20"/>
          <w:szCs w:val="20"/>
        </w:rPr>
        <w:t xml:space="preserve">. ICMR. Retrieved January 27, 2025, from </w:t>
      </w:r>
      <w:hyperlink r:id="rId15" w:tgtFrame="_blank" w:history="1">
        <w:r w:rsidRPr="00113005">
          <w:rPr>
            <w:rStyle w:val="Hyperlink"/>
            <w:rFonts w:ascii="Arial" w:hAnsi="Arial" w:cs="Arial"/>
            <w:color w:val="000000" w:themeColor="text1"/>
            <w:sz w:val="20"/>
            <w:szCs w:val="20"/>
            <w:u w:val="none"/>
          </w:rPr>
          <w:t>https://www.icmr.gov.in/icmrobject/custom_data/pdf/resource-guidelines/Esophagus%20final%20ICMR2014_0.pdf</w:t>
        </w:r>
      </w:hyperlink>
    </w:p>
    <w:p w14:paraId="6E3DC42F" w14:textId="1FAA5336"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Indian Council of Medical Research – National Centre for Disease Informati</w:t>
      </w:r>
      <w:r w:rsidR="009E4F65" w:rsidRPr="00113005">
        <w:rPr>
          <w:rFonts w:ascii="Arial" w:hAnsi="Arial" w:cs="Arial"/>
          <w:bCs/>
          <w:color w:val="000000" w:themeColor="text1"/>
          <w:sz w:val="20"/>
          <w:szCs w:val="20"/>
        </w:rPr>
        <w:t>cs &amp; Research. (2021</w:t>
      </w:r>
      <w:r w:rsidRPr="00113005">
        <w:rPr>
          <w:rFonts w:ascii="Arial" w:hAnsi="Arial" w:cs="Arial"/>
          <w:bCs/>
          <w:color w:val="000000" w:themeColor="text1"/>
          <w:sz w:val="20"/>
          <w:szCs w:val="20"/>
        </w:rPr>
        <w:t>).</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North Eastern States of India have a high burden of Cancer</w:t>
      </w:r>
      <w:r w:rsidRPr="00113005">
        <w:rPr>
          <w:rFonts w:ascii="Arial" w:hAnsi="Arial" w:cs="Arial"/>
          <w:color w:val="000000" w:themeColor="text1"/>
          <w:sz w:val="20"/>
          <w:szCs w:val="20"/>
        </w:rPr>
        <w:t xml:space="preserve">. Press release. </w:t>
      </w:r>
      <w:hyperlink r:id="rId16" w:tgtFrame="_blank" w:history="1">
        <w:r w:rsidRPr="00113005">
          <w:rPr>
            <w:rStyle w:val="Hyperlink"/>
            <w:rFonts w:ascii="Arial" w:hAnsi="Arial" w:cs="Arial"/>
            <w:color w:val="000000" w:themeColor="text1"/>
            <w:sz w:val="20"/>
            <w:szCs w:val="20"/>
            <w:u w:val="none"/>
          </w:rPr>
          <w:t>https://www.icmr.gov.in/icmrobject/custom_data/1702892908_press_release_cancer_report_ncdir.pdf</w:t>
        </w:r>
      </w:hyperlink>
    </w:p>
    <w:p w14:paraId="529C4246" w14:textId="6077231E"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International Agency for Research on Cancer. (2008).</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Methods for evaluating tobacco control policies</w:t>
      </w:r>
      <w:r w:rsidRPr="00113005">
        <w:rPr>
          <w:rFonts w:ascii="Arial" w:hAnsi="Arial" w:cs="Arial"/>
          <w:color w:val="000000" w:themeColor="text1"/>
          <w:sz w:val="20"/>
          <w:szCs w:val="20"/>
        </w:rPr>
        <w:t xml:space="preserve"> (IARC Handbooks of Cancer Prevention, Vol. 12). World Health Organization. </w:t>
      </w:r>
      <w:hyperlink r:id="rId17" w:tgtFrame="_blank" w:history="1">
        <w:r w:rsidRPr="00113005">
          <w:rPr>
            <w:rStyle w:val="Hyperlink"/>
            <w:rFonts w:ascii="Arial" w:hAnsi="Arial" w:cs="Arial"/>
            <w:color w:val="000000" w:themeColor="text1"/>
            <w:sz w:val="20"/>
            <w:szCs w:val="20"/>
            <w:u w:val="none"/>
          </w:rPr>
          <w:t>https://www.iarc.who.int/wp-content/uploads/2018/07/Tobacco_vol12.pdf</w:t>
        </w:r>
      </w:hyperlink>
    </w:p>
    <w:p w14:paraId="558B1D60" w14:textId="5CE56EBD" w:rsidR="00EF661D" w:rsidRPr="00113005" w:rsidRDefault="00EF661D" w:rsidP="008D02C9">
      <w:pPr>
        <w:pStyle w:val="NormalWeb"/>
        <w:jc w:val="both"/>
        <w:rPr>
          <w:rFonts w:ascii="Arial" w:hAnsi="Arial" w:cs="Arial"/>
          <w:color w:val="000000" w:themeColor="text1"/>
          <w:sz w:val="20"/>
          <w:szCs w:val="20"/>
        </w:rPr>
      </w:pPr>
      <w:proofErr w:type="spellStart"/>
      <w:r w:rsidRPr="00113005">
        <w:rPr>
          <w:rFonts w:ascii="Arial" w:hAnsi="Arial" w:cs="Arial"/>
          <w:color w:val="000000" w:themeColor="text1"/>
          <w:sz w:val="20"/>
          <w:szCs w:val="20"/>
        </w:rPr>
        <w:t>Kamangar</w:t>
      </w:r>
      <w:proofErr w:type="spellEnd"/>
      <w:r w:rsidRPr="00113005">
        <w:rPr>
          <w:rFonts w:ascii="Arial" w:hAnsi="Arial" w:cs="Arial"/>
          <w:color w:val="000000" w:themeColor="text1"/>
          <w:sz w:val="20"/>
          <w:szCs w:val="20"/>
        </w:rPr>
        <w:t xml:space="preserve">, F., </w:t>
      </w:r>
      <w:proofErr w:type="spellStart"/>
      <w:r w:rsidRPr="00113005">
        <w:rPr>
          <w:rFonts w:ascii="Arial" w:hAnsi="Arial" w:cs="Arial"/>
          <w:color w:val="000000" w:themeColor="text1"/>
          <w:sz w:val="20"/>
          <w:szCs w:val="20"/>
        </w:rPr>
        <w:t>Dores</w:t>
      </w:r>
      <w:proofErr w:type="spellEnd"/>
      <w:r w:rsidRPr="00113005">
        <w:rPr>
          <w:rFonts w:ascii="Arial" w:hAnsi="Arial" w:cs="Arial"/>
          <w:color w:val="000000" w:themeColor="text1"/>
          <w:sz w:val="20"/>
          <w:szCs w:val="20"/>
        </w:rPr>
        <w:t xml:space="preserve">, G. M., &amp; Anderson, W. F. (2006). Patterns of cancer incidence, mortality, and prevalence across five continents: Defining priorities to reduce cancer disparities in different geographic </w:t>
      </w:r>
      <w:r w:rsidRPr="00113005">
        <w:rPr>
          <w:rFonts w:ascii="Arial" w:hAnsi="Arial" w:cs="Arial"/>
          <w:color w:val="000000" w:themeColor="text1"/>
          <w:sz w:val="20"/>
          <w:szCs w:val="20"/>
        </w:rPr>
        <w:lastRenderedPageBreak/>
        <w:t>regions of the world.</w:t>
      </w:r>
      <w:r w:rsidRPr="00113005">
        <w:rPr>
          <w:rFonts w:ascii="Arial" w:hAnsi="Arial" w:cs="Arial"/>
          <w:i/>
          <w:color w:val="000000" w:themeColor="text1"/>
          <w:sz w:val="20"/>
          <w:szCs w:val="20"/>
        </w:rPr>
        <w:t xml:space="preserve"> </w:t>
      </w:r>
      <w:r w:rsidRPr="00113005">
        <w:rPr>
          <w:rStyle w:val="Emphasis"/>
          <w:rFonts w:ascii="Arial" w:hAnsi="Arial" w:cs="Arial"/>
          <w:i w:val="0"/>
          <w:color w:val="000000" w:themeColor="text1"/>
          <w:sz w:val="20"/>
          <w:szCs w:val="20"/>
        </w:rPr>
        <w:t>Journal of Clinical Oncology, 24</w:t>
      </w:r>
      <w:r w:rsidRPr="00113005">
        <w:rPr>
          <w:rFonts w:ascii="Arial" w:hAnsi="Arial" w:cs="Arial"/>
          <w:color w:val="000000" w:themeColor="text1"/>
          <w:sz w:val="20"/>
          <w:szCs w:val="20"/>
        </w:rPr>
        <w:t>(14), 2137–2150. https://doi.org/10.1200/JCO.2005.05.2308</w:t>
      </w:r>
    </w:p>
    <w:p w14:paraId="4FA7535E" w14:textId="3667B525"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Lagergren</w:t>
      </w:r>
      <w:proofErr w:type="spellEnd"/>
      <w:r w:rsidRPr="00113005">
        <w:rPr>
          <w:rFonts w:ascii="Arial" w:hAnsi="Arial" w:cs="Arial"/>
          <w:bCs/>
          <w:color w:val="000000" w:themeColor="text1"/>
          <w:sz w:val="20"/>
          <w:szCs w:val="20"/>
        </w:rPr>
        <w:t xml:space="preserve">, J., Smyth, E., Cunningham, D., &amp; </w:t>
      </w:r>
      <w:proofErr w:type="spellStart"/>
      <w:r w:rsidRPr="00113005">
        <w:rPr>
          <w:rFonts w:ascii="Arial" w:hAnsi="Arial" w:cs="Arial"/>
          <w:bCs/>
          <w:color w:val="000000" w:themeColor="text1"/>
          <w:sz w:val="20"/>
          <w:szCs w:val="20"/>
        </w:rPr>
        <w:t>Lagergren</w:t>
      </w:r>
      <w:proofErr w:type="spellEnd"/>
      <w:r w:rsidRPr="00113005">
        <w:rPr>
          <w:rFonts w:ascii="Arial" w:hAnsi="Arial" w:cs="Arial"/>
          <w:bCs/>
          <w:color w:val="000000" w:themeColor="text1"/>
          <w:sz w:val="20"/>
          <w:szCs w:val="20"/>
        </w:rPr>
        <w:t>, P. (2017).</w:t>
      </w:r>
      <w:r w:rsidRPr="00113005">
        <w:rPr>
          <w:rFonts w:ascii="Arial" w:hAnsi="Arial" w:cs="Arial"/>
          <w:color w:val="000000" w:themeColor="text1"/>
          <w:sz w:val="20"/>
          <w:szCs w:val="20"/>
        </w:rPr>
        <w:t xml:space="preserve"> </w:t>
      </w:r>
      <w:proofErr w:type="spellStart"/>
      <w:r w:rsidRPr="00113005">
        <w:rPr>
          <w:rFonts w:ascii="Arial" w:hAnsi="Arial" w:cs="Arial"/>
          <w:color w:val="000000" w:themeColor="text1"/>
          <w:sz w:val="20"/>
          <w:szCs w:val="20"/>
        </w:rPr>
        <w:t>Oesophageal</w:t>
      </w:r>
      <w:proofErr w:type="spellEnd"/>
      <w:r w:rsidRPr="00113005">
        <w:rPr>
          <w:rFonts w:ascii="Arial" w:hAnsi="Arial" w:cs="Arial"/>
          <w:color w:val="000000" w:themeColor="text1"/>
          <w:sz w:val="20"/>
          <w:szCs w:val="20"/>
        </w:rPr>
        <w:t xml:space="preserve"> cancer. </w:t>
      </w:r>
      <w:r w:rsidRPr="00113005">
        <w:rPr>
          <w:rFonts w:ascii="Arial" w:hAnsi="Arial" w:cs="Arial"/>
          <w:iCs/>
          <w:color w:val="000000" w:themeColor="text1"/>
          <w:sz w:val="20"/>
          <w:szCs w:val="20"/>
        </w:rPr>
        <w:t>The Lancet, 390</w:t>
      </w:r>
      <w:r w:rsidRPr="00113005">
        <w:rPr>
          <w:rFonts w:ascii="Arial" w:hAnsi="Arial" w:cs="Arial"/>
          <w:color w:val="000000" w:themeColor="text1"/>
          <w:sz w:val="20"/>
          <w:szCs w:val="20"/>
        </w:rPr>
        <w:t xml:space="preserve">(10110), 2383–2396. </w:t>
      </w:r>
      <w:hyperlink r:id="rId18" w:tgtFrame="_blank" w:history="1">
        <w:r w:rsidRPr="00113005">
          <w:rPr>
            <w:rStyle w:val="Hyperlink"/>
            <w:rFonts w:ascii="Arial" w:hAnsi="Arial" w:cs="Arial"/>
            <w:color w:val="000000" w:themeColor="text1"/>
            <w:sz w:val="20"/>
            <w:szCs w:val="20"/>
            <w:u w:val="none"/>
          </w:rPr>
          <w:t>https://doi.org/10.1016/S0140-6736(17)31462-9</w:t>
        </w:r>
      </w:hyperlink>
    </w:p>
    <w:p w14:paraId="6136121E" w14:textId="006D9193"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Li, Y., Wang, N., Zhao, Z., Wang, J., </w:t>
      </w:r>
      <w:proofErr w:type="spellStart"/>
      <w:r w:rsidRPr="00113005">
        <w:rPr>
          <w:rFonts w:ascii="Arial" w:hAnsi="Arial" w:cs="Arial"/>
          <w:bCs/>
          <w:color w:val="000000" w:themeColor="text1"/>
          <w:sz w:val="20"/>
          <w:szCs w:val="20"/>
        </w:rPr>
        <w:t>Lyu</w:t>
      </w:r>
      <w:proofErr w:type="spellEnd"/>
      <w:r w:rsidRPr="00113005">
        <w:rPr>
          <w:rFonts w:ascii="Arial" w:hAnsi="Arial" w:cs="Arial"/>
          <w:bCs/>
          <w:color w:val="000000" w:themeColor="text1"/>
          <w:sz w:val="20"/>
          <w:szCs w:val="20"/>
        </w:rPr>
        <w:t xml:space="preserve">, J., Wu, Q., </w:t>
      </w:r>
      <w:proofErr w:type="spellStart"/>
      <w:r w:rsidRPr="00113005">
        <w:rPr>
          <w:rFonts w:ascii="Arial" w:hAnsi="Arial" w:cs="Arial"/>
          <w:bCs/>
          <w:color w:val="000000" w:themeColor="text1"/>
          <w:sz w:val="20"/>
          <w:szCs w:val="20"/>
        </w:rPr>
        <w:t>Ke</w:t>
      </w:r>
      <w:proofErr w:type="spellEnd"/>
      <w:r w:rsidRPr="00113005">
        <w:rPr>
          <w:rFonts w:ascii="Arial" w:hAnsi="Arial" w:cs="Arial"/>
          <w:bCs/>
          <w:color w:val="000000" w:themeColor="text1"/>
          <w:sz w:val="20"/>
          <w:szCs w:val="20"/>
        </w:rPr>
        <w:t>, Q., &amp; Yang, Q. (2021).</w:t>
      </w:r>
      <w:r w:rsidRPr="00113005">
        <w:rPr>
          <w:rFonts w:ascii="Arial" w:hAnsi="Arial" w:cs="Arial"/>
          <w:color w:val="000000" w:themeColor="text1"/>
          <w:sz w:val="20"/>
          <w:szCs w:val="20"/>
        </w:rPr>
        <w:t xml:space="preserve"> Sex is related to overall survival in patients with esophageal squamous cell carcinoma: A population-based study. </w:t>
      </w:r>
      <w:r w:rsidRPr="00113005">
        <w:rPr>
          <w:rFonts w:ascii="Arial" w:hAnsi="Arial" w:cs="Arial"/>
          <w:iCs/>
          <w:color w:val="000000" w:themeColor="text1"/>
          <w:sz w:val="20"/>
          <w:szCs w:val="20"/>
        </w:rPr>
        <w:t>American Journal of Biomedical and Life Sciences, 9</w:t>
      </w:r>
      <w:r w:rsidRPr="00113005">
        <w:rPr>
          <w:rFonts w:ascii="Arial" w:hAnsi="Arial" w:cs="Arial"/>
          <w:color w:val="000000" w:themeColor="text1"/>
          <w:sz w:val="20"/>
          <w:szCs w:val="20"/>
        </w:rPr>
        <w:t xml:space="preserve">(1), 43–52. </w:t>
      </w:r>
      <w:hyperlink r:id="rId19" w:tgtFrame="_blank" w:history="1">
        <w:r w:rsidRPr="00113005">
          <w:rPr>
            <w:rStyle w:val="Hyperlink"/>
            <w:rFonts w:ascii="Arial" w:hAnsi="Arial" w:cs="Arial"/>
            <w:color w:val="000000" w:themeColor="text1"/>
            <w:sz w:val="20"/>
            <w:szCs w:val="20"/>
            <w:u w:val="none"/>
          </w:rPr>
          <w:t>https://doi.org/10.11648/j.ajbls.20210901.16</w:t>
        </w:r>
      </w:hyperlink>
    </w:p>
    <w:p w14:paraId="7261E1FC" w14:textId="563643F6"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Liu, M., Yang, W., Guo, C., Liu, Z., Li, F., Liu, A., Yang, H., Shen, L., Wu, Q., </w:t>
      </w:r>
      <w:proofErr w:type="spellStart"/>
      <w:r w:rsidRPr="00113005">
        <w:rPr>
          <w:rFonts w:ascii="Arial" w:hAnsi="Arial" w:cs="Arial"/>
          <w:bCs/>
          <w:color w:val="000000" w:themeColor="text1"/>
          <w:sz w:val="20"/>
          <w:szCs w:val="20"/>
        </w:rPr>
        <w:t>Duan</w:t>
      </w:r>
      <w:proofErr w:type="spellEnd"/>
      <w:r w:rsidRPr="00113005">
        <w:rPr>
          <w:rFonts w:ascii="Arial" w:hAnsi="Arial" w:cs="Arial"/>
          <w:bCs/>
          <w:color w:val="000000" w:themeColor="text1"/>
          <w:sz w:val="20"/>
          <w:szCs w:val="20"/>
        </w:rPr>
        <w:t xml:space="preserve">, L., Wang, H., Tian, H., Shi, C., Pan, Y., Liu, F., Weiss, N. S., Cai, H., He, Z., &amp; </w:t>
      </w:r>
      <w:proofErr w:type="spellStart"/>
      <w:r w:rsidRPr="00113005">
        <w:rPr>
          <w:rFonts w:ascii="Arial" w:hAnsi="Arial" w:cs="Arial"/>
          <w:bCs/>
          <w:color w:val="000000" w:themeColor="text1"/>
          <w:sz w:val="20"/>
          <w:szCs w:val="20"/>
        </w:rPr>
        <w:t>Ke</w:t>
      </w:r>
      <w:proofErr w:type="spellEnd"/>
      <w:r w:rsidRPr="00113005">
        <w:rPr>
          <w:rFonts w:ascii="Arial" w:hAnsi="Arial" w:cs="Arial"/>
          <w:bCs/>
          <w:color w:val="000000" w:themeColor="text1"/>
          <w:sz w:val="20"/>
          <w:szCs w:val="20"/>
        </w:rPr>
        <w:t>, Y. (2024).</w:t>
      </w:r>
      <w:r w:rsidRPr="00113005">
        <w:rPr>
          <w:rFonts w:ascii="Arial" w:hAnsi="Arial" w:cs="Arial"/>
          <w:color w:val="000000" w:themeColor="text1"/>
          <w:sz w:val="20"/>
          <w:szCs w:val="20"/>
        </w:rPr>
        <w:t xml:space="preserve"> Effectiveness of endoscopic screening on esophageal cancer incidence and mortality: A 9-year report of the ESECC randomized trial. </w:t>
      </w:r>
      <w:r w:rsidRPr="00113005">
        <w:rPr>
          <w:rFonts w:ascii="Arial" w:hAnsi="Arial" w:cs="Arial"/>
          <w:iCs/>
          <w:color w:val="000000" w:themeColor="text1"/>
          <w:sz w:val="20"/>
          <w:szCs w:val="20"/>
        </w:rPr>
        <w:t>Journal of Clinical Oncology</w:t>
      </w:r>
      <w:r w:rsidRPr="00113005">
        <w:rPr>
          <w:rFonts w:ascii="Arial" w:hAnsi="Arial" w:cs="Arial"/>
          <w:color w:val="000000" w:themeColor="text1"/>
          <w:sz w:val="20"/>
          <w:szCs w:val="20"/>
        </w:rPr>
        <w:t xml:space="preserve">. </w:t>
      </w:r>
      <w:hyperlink r:id="rId20" w:tgtFrame="_blank" w:history="1">
        <w:r w:rsidRPr="00113005">
          <w:rPr>
            <w:rStyle w:val="Hyperlink"/>
            <w:rFonts w:ascii="Arial" w:hAnsi="Arial" w:cs="Arial"/>
            <w:color w:val="000000" w:themeColor="text1"/>
            <w:sz w:val="20"/>
            <w:szCs w:val="20"/>
            <w:u w:val="none"/>
          </w:rPr>
          <w:t>https://doi.org/10.1200/JCO.23.01284</w:t>
        </w:r>
      </w:hyperlink>
    </w:p>
    <w:p w14:paraId="30277FA0" w14:textId="7012818F"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Mountain, C. F. (1997).</w:t>
      </w:r>
      <w:r w:rsidRPr="00113005">
        <w:rPr>
          <w:rFonts w:ascii="Arial" w:hAnsi="Arial" w:cs="Arial"/>
          <w:color w:val="000000" w:themeColor="text1"/>
          <w:sz w:val="20"/>
          <w:szCs w:val="20"/>
        </w:rPr>
        <w:t xml:space="preserve"> Revisions in the International System for Staging Lung Cancer. </w:t>
      </w:r>
      <w:r w:rsidRPr="00113005">
        <w:rPr>
          <w:rFonts w:ascii="Arial" w:hAnsi="Arial" w:cs="Arial"/>
          <w:iCs/>
          <w:color w:val="000000" w:themeColor="text1"/>
          <w:sz w:val="20"/>
          <w:szCs w:val="20"/>
        </w:rPr>
        <w:t>Chest, 111</w:t>
      </w:r>
      <w:r w:rsidRPr="00113005">
        <w:rPr>
          <w:rFonts w:ascii="Arial" w:hAnsi="Arial" w:cs="Arial"/>
          <w:color w:val="000000" w:themeColor="text1"/>
          <w:sz w:val="20"/>
          <w:szCs w:val="20"/>
        </w:rPr>
        <w:t xml:space="preserve">(6), 1710-1717. </w:t>
      </w:r>
      <w:hyperlink r:id="rId21" w:tgtFrame="_blank" w:history="1">
        <w:r w:rsidRPr="00113005">
          <w:rPr>
            <w:rStyle w:val="Hyperlink"/>
            <w:rFonts w:ascii="Arial" w:hAnsi="Arial" w:cs="Arial"/>
            <w:color w:val="000000" w:themeColor="text1"/>
            <w:sz w:val="20"/>
            <w:szCs w:val="20"/>
            <w:u w:val="none"/>
          </w:rPr>
          <w:t>https://doi.org/10.1378/chest.111.6.1710</w:t>
        </w:r>
      </w:hyperlink>
    </w:p>
    <w:p w14:paraId="7657F95C" w14:textId="2FDC3A55"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National Cancer Institute, Surveillance, Epidemiology, and End Results Program. (2025).</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Cancer stat facts: Esophageal cancer</w:t>
      </w:r>
      <w:r w:rsidRPr="00113005">
        <w:rPr>
          <w:rFonts w:ascii="Arial" w:hAnsi="Arial" w:cs="Arial"/>
          <w:color w:val="000000" w:themeColor="text1"/>
          <w:sz w:val="20"/>
          <w:szCs w:val="20"/>
        </w:rPr>
        <w:t xml:space="preserve">. Retrieved January 25, 2025, from </w:t>
      </w:r>
      <w:hyperlink r:id="rId22" w:tgtFrame="_blank" w:history="1">
        <w:r w:rsidRPr="00113005">
          <w:rPr>
            <w:rStyle w:val="Hyperlink"/>
            <w:rFonts w:ascii="Arial" w:hAnsi="Arial" w:cs="Arial"/>
            <w:color w:val="000000" w:themeColor="text1"/>
            <w:sz w:val="20"/>
            <w:szCs w:val="20"/>
            <w:u w:val="none"/>
          </w:rPr>
          <w:t>https://seer.cancer.gov/statfacts/html/esoph.html</w:t>
        </w:r>
      </w:hyperlink>
    </w:p>
    <w:p w14:paraId="28062F44" w14:textId="14EB2846"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National Centre for Disease Informatics and Research. (2024).</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North-East Report: Cancer burden in the North-Eastern states of India (PBCR data)</w:t>
      </w:r>
      <w:r w:rsidRPr="00113005">
        <w:rPr>
          <w:rFonts w:ascii="Arial" w:hAnsi="Arial" w:cs="Arial"/>
          <w:color w:val="000000" w:themeColor="text1"/>
          <w:sz w:val="20"/>
          <w:szCs w:val="20"/>
        </w:rPr>
        <w:t xml:space="preserve">. ICMR-NCDIR. Retrieved from </w:t>
      </w:r>
      <w:hyperlink r:id="rId23" w:tgtFrame="_blank" w:history="1">
        <w:r w:rsidRPr="00113005">
          <w:rPr>
            <w:rStyle w:val="Hyperlink"/>
            <w:rFonts w:ascii="Arial" w:hAnsi="Arial" w:cs="Arial"/>
            <w:color w:val="000000" w:themeColor="text1"/>
            <w:sz w:val="20"/>
            <w:szCs w:val="20"/>
            <w:u w:val="none"/>
          </w:rPr>
          <w:t>https://ncdirindia.org/NE_Report.aspx</w:t>
        </w:r>
      </w:hyperlink>
    </w:p>
    <w:p w14:paraId="1C74BE61" w14:textId="0A3A8B5E" w:rsidR="0095144D" w:rsidRPr="00113005" w:rsidRDefault="0095144D" w:rsidP="008D02C9">
      <w:pPr>
        <w:pStyle w:val="NormalWeb"/>
        <w:jc w:val="both"/>
        <w:rPr>
          <w:rFonts w:ascii="Arial" w:hAnsi="Arial" w:cs="Arial"/>
          <w:color w:val="000000" w:themeColor="text1"/>
          <w:sz w:val="20"/>
          <w:szCs w:val="20"/>
        </w:rPr>
      </w:pPr>
      <w:r w:rsidRPr="00113005">
        <w:rPr>
          <w:rFonts w:ascii="Arial" w:hAnsi="Arial" w:cs="Arial"/>
          <w:color w:val="000000" w:themeColor="text1"/>
          <w:sz w:val="20"/>
          <w:szCs w:val="20"/>
        </w:rPr>
        <w:t xml:space="preserve">Neuner, G., Patel, A., &amp; </w:t>
      </w:r>
      <w:proofErr w:type="spellStart"/>
      <w:r w:rsidRPr="00113005">
        <w:rPr>
          <w:rFonts w:ascii="Arial" w:hAnsi="Arial" w:cs="Arial"/>
          <w:color w:val="000000" w:themeColor="text1"/>
          <w:sz w:val="20"/>
          <w:szCs w:val="20"/>
        </w:rPr>
        <w:t>Suntharalingam</w:t>
      </w:r>
      <w:proofErr w:type="spellEnd"/>
      <w:r w:rsidRPr="00113005">
        <w:rPr>
          <w:rFonts w:ascii="Arial" w:hAnsi="Arial" w:cs="Arial"/>
          <w:color w:val="000000" w:themeColor="text1"/>
          <w:sz w:val="20"/>
          <w:szCs w:val="20"/>
        </w:rPr>
        <w:t xml:space="preserve">, M. (2009). Chemoradiotherapy for esophageal cancer. </w:t>
      </w:r>
      <w:r w:rsidRPr="00113005">
        <w:rPr>
          <w:rStyle w:val="Emphasis"/>
          <w:rFonts w:ascii="Arial" w:hAnsi="Arial" w:cs="Arial"/>
          <w:i w:val="0"/>
          <w:color w:val="000000" w:themeColor="text1"/>
          <w:sz w:val="20"/>
          <w:szCs w:val="20"/>
        </w:rPr>
        <w:t>Gastrointestinal Cancer Research,</w:t>
      </w:r>
      <w:r w:rsidRPr="00113005">
        <w:rPr>
          <w:rStyle w:val="Emphasis"/>
          <w:rFonts w:ascii="Arial" w:hAnsi="Arial" w:cs="Arial"/>
          <w:color w:val="000000" w:themeColor="text1"/>
          <w:sz w:val="20"/>
          <w:szCs w:val="20"/>
        </w:rPr>
        <w:t xml:space="preserve"> 3</w:t>
      </w:r>
      <w:r w:rsidRPr="00113005">
        <w:rPr>
          <w:rFonts w:ascii="Arial" w:hAnsi="Arial" w:cs="Arial"/>
          <w:color w:val="000000" w:themeColor="text1"/>
          <w:sz w:val="20"/>
          <w:szCs w:val="20"/>
        </w:rPr>
        <w:t xml:space="preserve">(2), 57–65. </w:t>
      </w:r>
      <w:hyperlink r:id="rId24" w:tgtFrame="_new" w:history="1">
        <w:r w:rsidRPr="00113005">
          <w:rPr>
            <w:rStyle w:val="Hyperlink"/>
            <w:rFonts w:ascii="Arial" w:hAnsi="Arial" w:cs="Arial"/>
            <w:color w:val="000000" w:themeColor="text1"/>
            <w:sz w:val="20"/>
            <w:szCs w:val="20"/>
            <w:u w:val="none"/>
          </w:rPr>
          <w:t>https://pmc.ncbi.nlm.nih.gov/articles/PMC2684724/</w:t>
        </w:r>
      </w:hyperlink>
    </w:p>
    <w:p w14:paraId="10500C76" w14:textId="06C8EA80"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Obermannová</w:t>
      </w:r>
      <w:proofErr w:type="spellEnd"/>
      <w:r w:rsidRPr="00113005">
        <w:rPr>
          <w:rFonts w:ascii="Arial" w:hAnsi="Arial" w:cs="Arial"/>
          <w:bCs/>
          <w:color w:val="000000" w:themeColor="text1"/>
          <w:sz w:val="20"/>
          <w:szCs w:val="20"/>
        </w:rPr>
        <w:t>, R. L., Leong, T., &amp; the ESMO Guidelines Committee. (2025).</w:t>
      </w:r>
      <w:r w:rsidRPr="00113005">
        <w:rPr>
          <w:rFonts w:ascii="Arial" w:hAnsi="Arial" w:cs="Arial"/>
          <w:color w:val="000000" w:themeColor="text1"/>
          <w:sz w:val="20"/>
          <w:szCs w:val="20"/>
        </w:rPr>
        <w:t xml:space="preserve"> ESMO clinical practice guideline interim update on the treatment of locally advanced </w:t>
      </w:r>
      <w:proofErr w:type="spellStart"/>
      <w:r w:rsidRPr="00113005">
        <w:rPr>
          <w:rFonts w:ascii="Arial" w:hAnsi="Arial" w:cs="Arial"/>
          <w:color w:val="000000" w:themeColor="text1"/>
          <w:sz w:val="20"/>
          <w:szCs w:val="20"/>
        </w:rPr>
        <w:t>oesophageal</w:t>
      </w:r>
      <w:proofErr w:type="spellEnd"/>
      <w:r w:rsidRPr="00113005">
        <w:rPr>
          <w:rFonts w:ascii="Arial" w:hAnsi="Arial" w:cs="Arial"/>
          <w:color w:val="000000" w:themeColor="text1"/>
          <w:sz w:val="20"/>
          <w:szCs w:val="20"/>
        </w:rPr>
        <w:t xml:space="preserve"> and </w:t>
      </w:r>
      <w:proofErr w:type="spellStart"/>
      <w:r w:rsidRPr="00113005">
        <w:rPr>
          <w:rFonts w:ascii="Arial" w:hAnsi="Arial" w:cs="Arial"/>
          <w:color w:val="000000" w:themeColor="text1"/>
          <w:sz w:val="20"/>
          <w:szCs w:val="20"/>
        </w:rPr>
        <w:t>oesophagogastric</w:t>
      </w:r>
      <w:proofErr w:type="spellEnd"/>
      <w:r w:rsidRPr="00113005">
        <w:rPr>
          <w:rFonts w:ascii="Arial" w:hAnsi="Arial" w:cs="Arial"/>
          <w:color w:val="000000" w:themeColor="text1"/>
          <w:sz w:val="20"/>
          <w:szCs w:val="20"/>
        </w:rPr>
        <w:t xml:space="preserve"> junction adenocarcinoma and metastatic squamous-cell carcinoma. </w:t>
      </w:r>
      <w:r w:rsidRPr="00113005">
        <w:rPr>
          <w:rFonts w:ascii="Arial" w:hAnsi="Arial" w:cs="Arial"/>
          <w:iCs/>
          <w:color w:val="000000" w:themeColor="text1"/>
          <w:sz w:val="20"/>
          <w:szCs w:val="20"/>
        </w:rPr>
        <w:t>ESMO Open, 10</w:t>
      </w:r>
      <w:r w:rsidRPr="00113005">
        <w:rPr>
          <w:rFonts w:ascii="Arial" w:hAnsi="Arial" w:cs="Arial"/>
          <w:color w:val="000000" w:themeColor="text1"/>
          <w:sz w:val="20"/>
          <w:szCs w:val="20"/>
        </w:rPr>
        <w:t xml:space="preserve">(2), Article 104134. </w:t>
      </w:r>
      <w:hyperlink r:id="rId25" w:tgtFrame="_blank" w:history="1">
        <w:r w:rsidRPr="00113005">
          <w:rPr>
            <w:rStyle w:val="Hyperlink"/>
            <w:rFonts w:ascii="Arial" w:hAnsi="Arial" w:cs="Arial"/>
            <w:color w:val="000000" w:themeColor="text1"/>
            <w:sz w:val="20"/>
            <w:szCs w:val="20"/>
            <w:u w:val="none"/>
          </w:rPr>
          <w:t>https://doi.org/10.1016/j.esmoop.2025.104134</w:t>
        </w:r>
      </w:hyperlink>
    </w:p>
    <w:p w14:paraId="69FACCA7" w14:textId="6DC8A21D"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Pennathur</w:t>
      </w:r>
      <w:proofErr w:type="spellEnd"/>
      <w:r w:rsidRPr="00113005">
        <w:rPr>
          <w:rFonts w:ascii="Arial" w:hAnsi="Arial" w:cs="Arial"/>
          <w:bCs/>
          <w:color w:val="000000" w:themeColor="text1"/>
          <w:sz w:val="20"/>
          <w:szCs w:val="20"/>
        </w:rPr>
        <w:t xml:space="preserve">, A., Gibson, M. K., </w:t>
      </w:r>
      <w:proofErr w:type="spellStart"/>
      <w:r w:rsidRPr="00113005">
        <w:rPr>
          <w:rFonts w:ascii="Arial" w:hAnsi="Arial" w:cs="Arial"/>
          <w:bCs/>
          <w:color w:val="000000" w:themeColor="text1"/>
          <w:sz w:val="20"/>
          <w:szCs w:val="20"/>
        </w:rPr>
        <w:t>Jobe</w:t>
      </w:r>
      <w:proofErr w:type="spellEnd"/>
      <w:r w:rsidRPr="00113005">
        <w:rPr>
          <w:rFonts w:ascii="Arial" w:hAnsi="Arial" w:cs="Arial"/>
          <w:bCs/>
          <w:color w:val="000000" w:themeColor="text1"/>
          <w:sz w:val="20"/>
          <w:szCs w:val="20"/>
        </w:rPr>
        <w:t xml:space="preserve">, B. A., &amp; </w:t>
      </w:r>
      <w:proofErr w:type="spellStart"/>
      <w:r w:rsidRPr="00113005">
        <w:rPr>
          <w:rFonts w:ascii="Arial" w:hAnsi="Arial" w:cs="Arial"/>
          <w:bCs/>
          <w:color w:val="000000" w:themeColor="text1"/>
          <w:sz w:val="20"/>
          <w:szCs w:val="20"/>
        </w:rPr>
        <w:t>Luketich</w:t>
      </w:r>
      <w:proofErr w:type="spellEnd"/>
      <w:r w:rsidRPr="00113005">
        <w:rPr>
          <w:rFonts w:ascii="Arial" w:hAnsi="Arial" w:cs="Arial"/>
          <w:bCs/>
          <w:color w:val="000000" w:themeColor="text1"/>
          <w:sz w:val="20"/>
          <w:szCs w:val="20"/>
        </w:rPr>
        <w:t>, J. D. (2013).</w:t>
      </w:r>
      <w:r w:rsidRPr="00113005">
        <w:rPr>
          <w:rFonts w:ascii="Arial" w:hAnsi="Arial" w:cs="Arial"/>
          <w:color w:val="000000" w:themeColor="text1"/>
          <w:sz w:val="20"/>
          <w:szCs w:val="20"/>
        </w:rPr>
        <w:t xml:space="preserve"> </w:t>
      </w:r>
      <w:proofErr w:type="spellStart"/>
      <w:r w:rsidRPr="00113005">
        <w:rPr>
          <w:rFonts w:ascii="Arial" w:hAnsi="Arial" w:cs="Arial"/>
          <w:color w:val="000000" w:themeColor="text1"/>
          <w:sz w:val="20"/>
          <w:szCs w:val="20"/>
        </w:rPr>
        <w:t>Oesophageal</w:t>
      </w:r>
      <w:proofErr w:type="spellEnd"/>
      <w:r w:rsidRPr="00113005">
        <w:rPr>
          <w:rFonts w:ascii="Arial" w:hAnsi="Arial" w:cs="Arial"/>
          <w:color w:val="000000" w:themeColor="text1"/>
          <w:sz w:val="20"/>
          <w:szCs w:val="20"/>
        </w:rPr>
        <w:t xml:space="preserve"> carcinoma. </w:t>
      </w:r>
      <w:r w:rsidRPr="00113005">
        <w:rPr>
          <w:rFonts w:ascii="Arial" w:hAnsi="Arial" w:cs="Arial"/>
          <w:iCs/>
          <w:color w:val="000000" w:themeColor="text1"/>
          <w:sz w:val="20"/>
          <w:szCs w:val="20"/>
        </w:rPr>
        <w:t>Lancet, 381</w:t>
      </w:r>
      <w:r w:rsidRPr="00113005">
        <w:rPr>
          <w:rFonts w:ascii="Arial" w:hAnsi="Arial" w:cs="Arial"/>
          <w:color w:val="000000" w:themeColor="text1"/>
          <w:sz w:val="20"/>
          <w:szCs w:val="20"/>
        </w:rPr>
        <w:t xml:space="preserve">(9864), 400-412. </w:t>
      </w:r>
      <w:hyperlink r:id="rId26" w:tgtFrame="_blank" w:history="1">
        <w:r w:rsidRPr="00113005">
          <w:rPr>
            <w:rStyle w:val="Hyperlink"/>
            <w:rFonts w:ascii="Arial" w:hAnsi="Arial" w:cs="Arial"/>
            <w:color w:val="000000" w:themeColor="text1"/>
            <w:sz w:val="20"/>
            <w:szCs w:val="20"/>
            <w:u w:val="none"/>
          </w:rPr>
          <w:t>https://doi.org/10.1016/S0140-6736(12)60643-6</w:t>
        </w:r>
      </w:hyperlink>
    </w:p>
    <w:p w14:paraId="558A0EF0" w14:textId="237790A1"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Phukan</w:t>
      </w:r>
      <w:proofErr w:type="spellEnd"/>
      <w:r w:rsidRPr="00113005">
        <w:rPr>
          <w:rFonts w:ascii="Arial" w:hAnsi="Arial" w:cs="Arial"/>
          <w:bCs/>
          <w:color w:val="000000" w:themeColor="text1"/>
          <w:sz w:val="20"/>
          <w:szCs w:val="20"/>
        </w:rPr>
        <w:t xml:space="preserve">, R. K., Ali, M. S., </w:t>
      </w:r>
      <w:proofErr w:type="spellStart"/>
      <w:r w:rsidRPr="00113005">
        <w:rPr>
          <w:rFonts w:ascii="Arial" w:hAnsi="Arial" w:cs="Arial"/>
          <w:bCs/>
          <w:color w:val="000000" w:themeColor="text1"/>
          <w:sz w:val="20"/>
          <w:szCs w:val="20"/>
        </w:rPr>
        <w:t>Chetia</w:t>
      </w:r>
      <w:proofErr w:type="spellEnd"/>
      <w:r w:rsidRPr="00113005">
        <w:rPr>
          <w:rFonts w:ascii="Arial" w:hAnsi="Arial" w:cs="Arial"/>
          <w:bCs/>
          <w:color w:val="000000" w:themeColor="text1"/>
          <w:sz w:val="20"/>
          <w:szCs w:val="20"/>
        </w:rPr>
        <w:t>, C. K., &amp; Mahanta, J. (2001).</w:t>
      </w:r>
      <w:r w:rsidRPr="00113005">
        <w:rPr>
          <w:rFonts w:ascii="Arial" w:hAnsi="Arial" w:cs="Arial"/>
          <w:color w:val="000000" w:themeColor="text1"/>
          <w:sz w:val="20"/>
          <w:szCs w:val="20"/>
        </w:rPr>
        <w:t xml:space="preserve"> Betel nut and tobacco chewing; potential risk factors of cancer of </w:t>
      </w:r>
      <w:proofErr w:type="spellStart"/>
      <w:r w:rsidRPr="00113005">
        <w:rPr>
          <w:rFonts w:ascii="Arial" w:hAnsi="Arial" w:cs="Arial"/>
          <w:color w:val="000000" w:themeColor="text1"/>
          <w:sz w:val="20"/>
          <w:szCs w:val="20"/>
        </w:rPr>
        <w:t>oesophagus</w:t>
      </w:r>
      <w:proofErr w:type="spellEnd"/>
      <w:r w:rsidRPr="00113005">
        <w:rPr>
          <w:rFonts w:ascii="Arial" w:hAnsi="Arial" w:cs="Arial"/>
          <w:color w:val="000000" w:themeColor="text1"/>
          <w:sz w:val="20"/>
          <w:szCs w:val="20"/>
        </w:rPr>
        <w:t xml:space="preserve"> in Assam, India. </w:t>
      </w:r>
      <w:r w:rsidRPr="00113005">
        <w:rPr>
          <w:rFonts w:ascii="Arial" w:hAnsi="Arial" w:cs="Arial"/>
          <w:iCs/>
          <w:color w:val="000000" w:themeColor="text1"/>
          <w:sz w:val="20"/>
          <w:szCs w:val="20"/>
        </w:rPr>
        <w:t>British Journal of Cancer, 85</w:t>
      </w:r>
      <w:r w:rsidRPr="00113005">
        <w:rPr>
          <w:rFonts w:ascii="Arial" w:hAnsi="Arial" w:cs="Arial"/>
          <w:color w:val="000000" w:themeColor="text1"/>
          <w:sz w:val="20"/>
          <w:szCs w:val="20"/>
        </w:rPr>
        <w:t xml:space="preserve">(5), 661-667. </w:t>
      </w:r>
      <w:hyperlink r:id="rId27" w:tgtFrame="_blank" w:history="1">
        <w:r w:rsidRPr="00113005">
          <w:rPr>
            <w:rStyle w:val="Hyperlink"/>
            <w:rFonts w:ascii="Arial" w:hAnsi="Arial" w:cs="Arial"/>
            <w:color w:val="000000" w:themeColor="text1"/>
            <w:sz w:val="20"/>
            <w:szCs w:val="20"/>
            <w:u w:val="none"/>
          </w:rPr>
          <w:t>https://doi.org/10.1054/bjoc.2001.1920</w:t>
        </w:r>
      </w:hyperlink>
    </w:p>
    <w:p w14:paraId="2C6BF916" w14:textId="0F7DA458"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Reddy, K. S., &amp; Gupta, P. C. (2004).</w:t>
      </w:r>
      <w:r w:rsidRPr="00113005">
        <w:rPr>
          <w:rFonts w:ascii="Arial" w:hAnsi="Arial" w:cs="Arial"/>
          <w:color w:val="000000" w:themeColor="text1"/>
          <w:sz w:val="20"/>
          <w:szCs w:val="20"/>
        </w:rPr>
        <w:t xml:space="preserve"> </w:t>
      </w:r>
      <w:r w:rsidRPr="00113005">
        <w:rPr>
          <w:rFonts w:ascii="Arial" w:hAnsi="Arial" w:cs="Arial"/>
          <w:iCs/>
          <w:color w:val="000000" w:themeColor="text1"/>
          <w:sz w:val="20"/>
          <w:szCs w:val="20"/>
        </w:rPr>
        <w:t>Report on tobacco control in India</w:t>
      </w:r>
      <w:r w:rsidRPr="00113005">
        <w:rPr>
          <w:rFonts w:ascii="Arial" w:hAnsi="Arial" w:cs="Arial"/>
          <w:color w:val="000000" w:themeColor="text1"/>
          <w:sz w:val="20"/>
          <w:szCs w:val="20"/>
        </w:rPr>
        <w:t xml:space="preserve">. Ministry of Health and Family Welfare, Government of India. </w:t>
      </w:r>
      <w:hyperlink r:id="rId28" w:tgtFrame="_blank" w:history="1">
        <w:r w:rsidRPr="00113005">
          <w:rPr>
            <w:rStyle w:val="Hyperlink"/>
            <w:rFonts w:ascii="Arial" w:hAnsi="Arial" w:cs="Arial"/>
            <w:color w:val="000000" w:themeColor="text1"/>
            <w:sz w:val="20"/>
            <w:szCs w:val="20"/>
            <w:u w:val="none"/>
          </w:rPr>
          <w:t>https://ntcp.mohfw.gov.in/assets/document/surveys-reports-publications/Report-on-Tobacco-Control-in-India.pdf</w:t>
        </w:r>
      </w:hyperlink>
    </w:p>
    <w:p w14:paraId="453F8A0C" w14:textId="4C5D3982"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Rice, T. W., </w:t>
      </w:r>
      <w:proofErr w:type="spellStart"/>
      <w:r w:rsidRPr="00113005">
        <w:rPr>
          <w:rFonts w:ascii="Arial" w:hAnsi="Arial" w:cs="Arial"/>
          <w:bCs/>
          <w:color w:val="000000" w:themeColor="text1"/>
          <w:sz w:val="20"/>
          <w:szCs w:val="20"/>
        </w:rPr>
        <w:t>Ishwaran</w:t>
      </w:r>
      <w:proofErr w:type="spellEnd"/>
      <w:r w:rsidRPr="00113005">
        <w:rPr>
          <w:rFonts w:ascii="Arial" w:hAnsi="Arial" w:cs="Arial"/>
          <w:bCs/>
          <w:color w:val="000000" w:themeColor="text1"/>
          <w:sz w:val="20"/>
          <w:szCs w:val="20"/>
        </w:rPr>
        <w:t xml:space="preserve">, H., Ferguson, M. K., Blackstone, E. H., &amp; </w:t>
      </w:r>
      <w:proofErr w:type="spellStart"/>
      <w:r w:rsidRPr="00113005">
        <w:rPr>
          <w:rFonts w:ascii="Arial" w:hAnsi="Arial" w:cs="Arial"/>
          <w:bCs/>
          <w:color w:val="000000" w:themeColor="text1"/>
          <w:sz w:val="20"/>
          <w:szCs w:val="20"/>
        </w:rPr>
        <w:t>Goldstraw</w:t>
      </w:r>
      <w:proofErr w:type="spellEnd"/>
      <w:r w:rsidRPr="00113005">
        <w:rPr>
          <w:rFonts w:ascii="Arial" w:hAnsi="Arial" w:cs="Arial"/>
          <w:bCs/>
          <w:color w:val="000000" w:themeColor="text1"/>
          <w:sz w:val="20"/>
          <w:szCs w:val="20"/>
        </w:rPr>
        <w:t>, P. (2017).</w:t>
      </w:r>
      <w:r w:rsidRPr="00113005">
        <w:rPr>
          <w:rFonts w:ascii="Arial" w:hAnsi="Arial" w:cs="Arial"/>
          <w:color w:val="000000" w:themeColor="text1"/>
          <w:sz w:val="20"/>
          <w:szCs w:val="20"/>
        </w:rPr>
        <w:t xml:space="preserve"> Cancer of the esophagus and esophagogastric junction: An eighth edition staging primer. </w:t>
      </w:r>
      <w:r w:rsidRPr="00113005">
        <w:rPr>
          <w:rFonts w:ascii="Arial" w:hAnsi="Arial" w:cs="Arial"/>
          <w:iCs/>
          <w:color w:val="000000" w:themeColor="text1"/>
          <w:sz w:val="20"/>
          <w:szCs w:val="20"/>
        </w:rPr>
        <w:t>Journal of Thoracic Oncology, 12</w:t>
      </w:r>
      <w:r w:rsidRPr="00113005">
        <w:rPr>
          <w:rFonts w:ascii="Arial" w:hAnsi="Arial" w:cs="Arial"/>
          <w:color w:val="000000" w:themeColor="text1"/>
          <w:sz w:val="20"/>
          <w:szCs w:val="20"/>
        </w:rPr>
        <w:t xml:space="preserve">(1), 36-42. </w:t>
      </w:r>
      <w:hyperlink r:id="rId29" w:tgtFrame="_blank" w:history="1">
        <w:r w:rsidRPr="00113005">
          <w:rPr>
            <w:rStyle w:val="Hyperlink"/>
            <w:rFonts w:ascii="Arial" w:hAnsi="Arial" w:cs="Arial"/>
            <w:color w:val="000000" w:themeColor="text1"/>
            <w:sz w:val="20"/>
            <w:szCs w:val="20"/>
            <w:u w:val="none"/>
          </w:rPr>
          <w:t>https://doi.org/10.1016/j.jtho.2016.10.016</w:t>
        </w:r>
      </w:hyperlink>
    </w:p>
    <w:p w14:paraId="319FCC05" w14:textId="6995C0FE"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Shanker</w:t>
      </w:r>
      <w:proofErr w:type="spellEnd"/>
      <w:r w:rsidRPr="00113005">
        <w:rPr>
          <w:rFonts w:ascii="Arial" w:hAnsi="Arial" w:cs="Arial"/>
          <w:bCs/>
          <w:color w:val="000000" w:themeColor="text1"/>
          <w:sz w:val="20"/>
          <w:szCs w:val="20"/>
        </w:rPr>
        <w:t xml:space="preserve">, N., Mathur, P., Das, P., </w:t>
      </w:r>
      <w:proofErr w:type="spellStart"/>
      <w:r w:rsidRPr="00113005">
        <w:rPr>
          <w:rFonts w:ascii="Arial" w:hAnsi="Arial" w:cs="Arial"/>
          <w:bCs/>
          <w:color w:val="000000" w:themeColor="text1"/>
          <w:sz w:val="20"/>
          <w:szCs w:val="20"/>
        </w:rPr>
        <w:t>Sathishkumar</w:t>
      </w:r>
      <w:proofErr w:type="spellEnd"/>
      <w:r w:rsidRPr="00113005">
        <w:rPr>
          <w:rFonts w:ascii="Arial" w:hAnsi="Arial" w:cs="Arial"/>
          <w:bCs/>
          <w:color w:val="000000" w:themeColor="text1"/>
          <w:sz w:val="20"/>
          <w:szCs w:val="20"/>
        </w:rPr>
        <w:t>, K., Martina Shalini, A. J., &amp; Chaturvedi, M. (2021).</w:t>
      </w:r>
      <w:r w:rsidRPr="00113005">
        <w:rPr>
          <w:rFonts w:ascii="Arial" w:hAnsi="Arial" w:cs="Arial"/>
          <w:color w:val="000000" w:themeColor="text1"/>
          <w:sz w:val="20"/>
          <w:szCs w:val="20"/>
        </w:rPr>
        <w:t xml:space="preserve"> Cancer scenario in North-East India &amp; need for an appropriate research agenda. </w:t>
      </w:r>
      <w:r w:rsidRPr="00113005">
        <w:rPr>
          <w:rFonts w:ascii="Arial" w:hAnsi="Arial" w:cs="Arial"/>
          <w:iCs/>
          <w:color w:val="000000" w:themeColor="text1"/>
          <w:sz w:val="20"/>
          <w:szCs w:val="20"/>
        </w:rPr>
        <w:t>Indian Journal of Medical Research, 154</w:t>
      </w:r>
      <w:r w:rsidRPr="00113005">
        <w:rPr>
          <w:rFonts w:ascii="Arial" w:hAnsi="Arial" w:cs="Arial"/>
          <w:color w:val="000000" w:themeColor="text1"/>
          <w:sz w:val="20"/>
          <w:szCs w:val="20"/>
        </w:rPr>
        <w:t xml:space="preserve">(1), 27–35. </w:t>
      </w:r>
      <w:hyperlink r:id="rId30" w:tgtFrame="_blank" w:history="1">
        <w:r w:rsidRPr="00113005">
          <w:rPr>
            <w:rStyle w:val="Hyperlink"/>
            <w:rFonts w:ascii="Arial" w:hAnsi="Arial" w:cs="Arial"/>
            <w:color w:val="000000" w:themeColor="text1"/>
            <w:sz w:val="20"/>
            <w:szCs w:val="20"/>
            <w:u w:val="none"/>
          </w:rPr>
          <w:t>https://doi.org/10.4103/ijmr.IJMR_347_20</w:t>
        </w:r>
      </w:hyperlink>
    </w:p>
    <w:p w14:paraId="5A62B79A" w14:textId="4807DAEA"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Shapiro, J., van </w:t>
      </w:r>
      <w:proofErr w:type="spellStart"/>
      <w:r w:rsidRPr="00113005">
        <w:rPr>
          <w:rFonts w:ascii="Arial" w:hAnsi="Arial" w:cs="Arial"/>
          <w:bCs/>
          <w:color w:val="000000" w:themeColor="text1"/>
          <w:sz w:val="20"/>
          <w:szCs w:val="20"/>
        </w:rPr>
        <w:t>Lanschot</w:t>
      </w:r>
      <w:proofErr w:type="spellEnd"/>
      <w:r w:rsidRPr="00113005">
        <w:rPr>
          <w:rFonts w:ascii="Arial" w:hAnsi="Arial" w:cs="Arial"/>
          <w:bCs/>
          <w:color w:val="000000" w:themeColor="text1"/>
          <w:sz w:val="20"/>
          <w:szCs w:val="20"/>
        </w:rPr>
        <w:t xml:space="preserve">, J. J. B., Hulshof, M. C., van Hagen, P., &amp; van Berge </w:t>
      </w:r>
      <w:proofErr w:type="spellStart"/>
      <w:r w:rsidRPr="00113005">
        <w:rPr>
          <w:rFonts w:ascii="Arial" w:hAnsi="Arial" w:cs="Arial"/>
          <w:bCs/>
          <w:color w:val="000000" w:themeColor="text1"/>
          <w:sz w:val="20"/>
          <w:szCs w:val="20"/>
        </w:rPr>
        <w:t>Henegouwen</w:t>
      </w:r>
      <w:proofErr w:type="spellEnd"/>
      <w:r w:rsidRPr="00113005">
        <w:rPr>
          <w:rFonts w:ascii="Arial" w:hAnsi="Arial" w:cs="Arial"/>
          <w:bCs/>
          <w:color w:val="000000" w:themeColor="text1"/>
          <w:sz w:val="20"/>
          <w:szCs w:val="20"/>
        </w:rPr>
        <w:t>, M. I. (2015).</w:t>
      </w:r>
      <w:r w:rsidRPr="00113005">
        <w:rPr>
          <w:rFonts w:ascii="Arial" w:hAnsi="Arial" w:cs="Arial"/>
          <w:color w:val="000000" w:themeColor="text1"/>
          <w:sz w:val="20"/>
          <w:szCs w:val="20"/>
        </w:rPr>
        <w:t xml:space="preserve"> Neoadjuvant chemoradiotherapy plus surgery versus surgery alone for </w:t>
      </w:r>
      <w:proofErr w:type="spellStart"/>
      <w:r w:rsidRPr="00113005">
        <w:rPr>
          <w:rFonts w:ascii="Arial" w:hAnsi="Arial" w:cs="Arial"/>
          <w:color w:val="000000" w:themeColor="text1"/>
          <w:sz w:val="20"/>
          <w:szCs w:val="20"/>
        </w:rPr>
        <w:t>oesophageal</w:t>
      </w:r>
      <w:proofErr w:type="spellEnd"/>
      <w:r w:rsidRPr="00113005">
        <w:rPr>
          <w:rFonts w:ascii="Arial" w:hAnsi="Arial" w:cs="Arial"/>
          <w:color w:val="000000" w:themeColor="text1"/>
          <w:sz w:val="20"/>
          <w:szCs w:val="20"/>
        </w:rPr>
        <w:t xml:space="preserve"> or junctional cancer </w:t>
      </w:r>
      <w:r w:rsidRPr="00113005">
        <w:rPr>
          <w:rFonts w:ascii="Arial" w:hAnsi="Arial" w:cs="Arial"/>
          <w:color w:val="000000" w:themeColor="text1"/>
          <w:sz w:val="20"/>
          <w:szCs w:val="20"/>
        </w:rPr>
        <w:lastRenderedPageBreak/>
        <w:t xml:space="preserve">(CROSS): Long-term results of a randomized controlled trial. </w:t>
      </w:r>
      <w:r w:rsidRPr="00113005">
        <w:rPr>
          <w:rFonts w:ascii="Arial" w:hAnsi="Arial" w:cs="Arial"/>
          <w:iCs/>
          <w:color w:val="000000" w:themeColor="text1"/>
          <w:sz w:val="20"/>
          <w:szCs w:val="20"/>
        </w:rPr>
        <w:t>The Lancet Oncology, 16</w:t>
      </w:r>
      <w:r w:rsidRPr="00113005">
        <w:rPr>
          <w:rFonts w:ascii="Arial" w:hAnsi="Arial" w:cs="Arial"/>
          <w:color w:val="000000" w:themeColor="text1"/>
          <w:sz w:val="20"/>
          <w:szCs w:val="20"/>
        </w:rPr>
        <w:t xml:space="preserve">(9), 1090-1098. </w:t>
      </w:r>
      <w:hyperlink r:id="rId31" w:tgtFrame="_blank" w:history="1">
        <w:r w:rsidRPr="00113005">
          <w:rPr>
            <w:rStyle w:val="Hyperlink"/>
            <w:rFonts w:ascii="Arial" w:hAnsi="Arial" w:cs="Arial"/>
            <w:color w:val="000000" w:themeColor="text1"/>
            <w:sz w:val="20"/>
            <w:szCs w:val="20"/>
            <w:u w:val="none"/>
          </w:rPr>
          <w:t>https://doi.org/10.1016/S1470-2045(15)00040-6</w:t>
        </w:r>
      </w:hyperlink>
    </w:p>
    <w:p w14:paraId="182A7C58" w14:textId="68572D0C"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Short, M. W., Burgers, K. G., &amp; Fry, V. T. (2017).</w:t>
      </w:r>
      <w:r w:rsidRPr="00113005">
        <w:rPr>
          <w:rFonts w:ascii="Arial" w:hAnsi="Arial" w:cs="Arial"/>
          <w:color w:val="000000" w:themeColor="text1"/>
          <w:sz w:val="20"/>
          <w:szCs w:val="20"/>
        </w:rPr>
        <w:t xml:space="preserve"> Esophageal cancer. </w:t>
      </w:r>
      <w:r w:rsidRPr="00113005">
        <w:rPr>
          <w:rFonts w:ascii="Arial" w:hAnsi="Arial" w:cs="Arial"/>
          <w:iCs/>
          <w:color w:val="000000" w:themeColor="text1"/>
          <w:sz w:val="20"/>
          <w:szCs w:val="20"/>
        </w:rPr>
        <w:t>American Family Physician, 95</w:t>
      </w:r>
      <w:r w:rsidRPr="00113005">
        <w:rPr>
          <w:rFonts w:ascii="Arial" w:hAnsi="Arial" w:cs="Arial"/>
          <w:color w:val="000000" w:themeColor="text1"/>
          <w:sz w:val="20"/>
          <w:szCs w:val="20"/>
        </w:rPr>
        <w:t xml:space="preserve">(1), 22–28. Retrieved from </w:t>
      </w:r>
      <w:hyperlink r:id="rId32" w:tgtFrame="_blank" w:history="1">
        <w:r w:rsidRPr="00113005">
          <w:rPr>
            <w:rStyle w:val="Hyperlink"/>
            <w:rFonts w:ascii="Arial" w:hAnsi="Arial" w:cs="Arial"/>
            <w:color w:val="000000" w:themeColor="text1"/>
            <w:sz w:val="20"/>
            <w:szCs w:val="20"/>
            <w:u w:val="none"/>
          </w:rPr>
          <w:t>https://www.aafp.org/pubs/afp/issues/2017/0101/p22.html</w:t>
        </w:r>
      </w:hyperlink>
    </w:p>
    <w:p w14:paraId="30F0F6F0" w14:textId="4E1E9654"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Stabellini</w:t>
      </w:r>
      <w:proofErr w:type="spellEnd"/>
      <w:r w:rsidRPr="00113005">
        <w:rPr>
          <w:rFonts w:ascii="Arial" w:hAnsi="Arial" w:cs="Arial"/>
          <w:bCs/>
          <w:color w:val="000000" w:themeColor="text1"/>
          <w:sz w:val="20"/>
          <w:szCs w:val="20"/>
        </w:rPr>
        <w:t xml:space="preserve">, N., </w:t>
      </w:r>
      <w:proofErr w:type="spellStart"/>
      <w:r w:rsidRPr="00113005">
        <w:rPr>
          <w:rFonts w:ascii="Arial" w:hAnsi="Arial" w:cs="Arial"/>
          <w:bCs/>
          <w:color w:val="000000" w:themeColor="text1"/>
          <w:sz w:val="20"/>
          <w:szCs w:val="20"/>
        </w:rPr>
        <w:t>Chandar</w:t>
      </w:r>
      <w:proofErr w:type="spellEnd"/>
      <w:r w:rsidRPr="00113005">
        <w:rPr>
          <w:rFonts w:ascii="Arial" w:hAnsi="Arial" w:cs="Arial"/>
          <w:bCs/>
          <w:color w:val="000000" w:themeColor="text1"/>
          <w:sz w:val="20"/>
          <w:szCs w:val="20"/>
        </w:rPr>
        <w:t xml:space="preserve">, A. K., </w:t>
      </w:r>
      <w:proofErr w:type="spellStart"/>
      <w:r w:rsidRPr="00113005">
        <w:rPr>
          <w:rFonts w:ascii="Arial" w:hAnsi="Arial" w:cs="Arial"/>
          <w:bCs/>
          <w:color w:val="000000" w:themeColor="text1"/>
          <w:sz w:val="20"/>
          <w:szCs w:val="20"/>
        </w:rPr>
        <w:t>Chak</w:t>
      </w:r>
      <w:proofErr w:type="spellEnd"/>
      <w:r w:rsidRPr="00113005">
        <w:rPr>
          <w:rFonts w:ascii="Arial" w:hAnsi="Arial" w:cs="Arial"/>
          <w:bCs/>
          <w:color w:val="000000" w:themeColor="text1"/>
          <w:sz w:val="20"/>
          <w:szCs w:val="20"/>
        </w:rPr>
        <w:t xml:space="preserve">, A., </w:t>
      </w:r>
      <w:proofErr w:type="spellStart"/>
      <w:r w:rsidRPr="00113005">
        <w:rPr>
          <w:rFonts w:ascii="Arial" w:hAnsi="Arial" w:cs="Arial"/>
          <w:bCs/>
          <w:color w:val="000000" w:themeColor="text1"/>
          <w:sz w:val="20"/>
          <w:szCs w:val="20"/>
        </w:rPr>
        <w:t>Barda</w:t>
      </w:r>
      <w:proofErr w:type="spellEnd"/>
      <w:r w:rsidRPr="00113005">
        <w:rPr>
          <w:rFonts w:ascii="Arial" w:hAnsi="Arial" w:cs="Arial"/>
          <w:bCs/>
          <w:color w:val="000000" w:themeColor="text1"/>
          <w:sz w:val="20"/>
          <w:szCs w:val="20"/>
        </w:rPr>
        <w:t xml:space="preserve">, A. J., </w:t>
      </w:r>
      <w:proofErr w:type="spellStart"/>
      <w:r w:rsidRPr="00113005">
        <w:rPr>
          <w:rFonts w:ascii="Arial" w:hAnsi="Arial" w:cs="Arial"/>
          <w:bCs/>
          <w:color w:val="000000" w:themeColor="text1"/>
          <w:sz w:val="20"/>
          <w:szCs w:val="20"/>
        </w:rPr>
        <w:t>Dmukauskas</w:t>
      </w:r>
      <w:proofErr w:type="spellEnd"/>
      <w:r w:rsidRPr="00113005">
        <w:rPr>
          <w:rFonts w:ascii="Arial" w:hAnsi="Arial" w:cs="Arial"/>
          <w:bCs/>
          <w:color w:val="000000" w:themeColor="text1"/>
          <w:sz w:val="20"/>
          <w:szCs w:val="20"/>
        </w:rPr>
        <w:t xml:space="preserve">, M., … &amp; </w:t>
      </w:r>
      <w:proofErr w:type="spellStart"/>
      <w:r w:rsidRPr="00113005">
        <w:rPr>
          <w:rFonts w:ascii="Arial" w:hAnsi="Arial" w:cs="Arial"/>
          <w:bCs/>
          <w:color w:val="000000" w:themeColor="text1"/>
          <w:sz w:val="20"/>
          <w:szCs w:val="20"/>
        </w:rPr>
        <w:t>Barnholtz</w:t>
      </w:r>
      <w:proofErr w:type="spellEnd"/>
      <w:r w:rsidRPr="00113005">
        <w:rPr>
          <w:rFonts w:ascii="Arial" w:hAnsi="Arial" w:cs="Arial"/>
          <w:bCs/>
          <w:color w:val="000000" w:themeColor="text1"/>
          <w:sz w:val="20"/>
          <w:szCs w:val="20"/>
        </w:rPr>
        <w:t>-Sloan, J. S. (2022).</w:t>
      </w:r>
      <w:r w:rsidRPr="00113005">
        <w:rPr>
          <w:rFonts w:ascii="Arial" w:hAnsi="Arial" w:cs="Arial"/>
          <w:color w:val="000000" w:themeColor="text1"/>
          <w:sz w:val="20"/>
          <w:szCs w:val="20"/>
        </w:rPr>
        <w:t xml:space="preserve"> Sex differences in esophageal cancer overall and by histological subtype. </w:t>
      </w:r>
      <w:r w:rsidRPr="00113005">
        <w:rPr>
          <w:rFonts w:ascii="Arial" w:hAnsi="Arial" w:cs="Arial"/>
          <w:iCs/>
          <w:color w:val="000000" w:themeColor="text1"/>
          <w:sz w:val="20"/>
          <w:szCs w:val="20"/>
        </w:rPr>
        <w:t>Scientific Reports, 12</w:t>
      </w:r>
      <w:r w:rsidRPr="00113005">
        <w:rPr>
          <w:rFonts w:ascii="Arial" w:hAnsi="Arial" w:cs="Arial"/>
          <w:color w:val="000000" w:themeColor="text1"/>
          <w:sz w:val="20"/>
          <w:szCs w:val="20"/>
        </w:rPr>
        <w:t xml:space="preserve">(1), Article 5248. </w:t>
      </w:r>
      <w:hyperlink r:id="rId33" w:tgtFrame="_blank" w:history="1">
        <w:r w:rsidRPr="00113005">
          <w:rPr>
            <w:rStyle w:val="Hyperlink"/>
            <w:rFonts w:ascii="Arial" w:hAnsi="Arial" w:cs="Arial"/>
            <w:color w:val="000000" w:themeColor="text1"/>
            <w:sz w:val="20"/>
            <w:szCs w:val="20"/>
            <w:u w:val="none"/>
          </w:rPr>
          <w:t>https://doi.org/10.1038/s41598-022-09193-x</w:t>
        </w:r>
      </w:hyperlink>
    </w:p>
    <w:p w14:paraId="273E2D28" w14:textId="0CB92125"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Sung, H., </w:t>
      </w:r>
      <w:proofErr w:type="spellStart"/>
      <w:r w:rsidRPr="00113005">
        <w:rPr>
          <w:rFonts w:ascii="Arial" w:hAnsi="Arial" w:cs="Arial"/>
          <w:bCs/>
          <w:color w:val="000000" w:themeColor="text1"/>
          <w:sz w:val="20"/>
          <w:szCs w:val="20"/>
        </w:rPr>
        <w:t>Ferlay</w:t>
      </w:r>
      <w:proofErr w:type="spellEnd"/>
      <w:r w:rsidRPr="00113005">
        <w:rPr>
          <w:rFonts w:ascii="Arial" w:hAnsi="Arial" w:cs="Arial"/>
          <w:bCs/>
          <w:color w:val="000000" w:themeColor="text1"/>
          <w:sz w:val="20"/>
          <w:szCs w:val="20"/>
        </w:rPr>
        <w:t xml:space="preserve">, J., Siegel, R. L., </w:t>
      </w:r>
      <w:proofErr w:type="spellStart"/>
      <w:r w:rsidRPr="00113005">
        <w:rPr>
          <w:rFonts w:ascii="Arial" w:hAnsi="Arial" w:cs="Arial"/>
          <w:bCs/>
          <w:color w:val="000000" w:themeColor="text1"/>
          <w:sz w:val="20"/>
          <w:szCs w:val="20"/>
        </w:rPr>
        <w:t>Laversanne</w:t>
      </w:r>
      <w:proofErr w:type="spellEnd"/>
      <w:r w:rsidRPr="00113005">
        <w:rPr>
          <w:rFonts w:ascii="Arial" w:hAnsi="Arial" w:cs="Arial"/>
          <w:bCs/>
          <w:color w:val="000000" w:themeColor="text1"/>
          <w:sz w:val="20"/>
          <w:szCs w:val="20"/>
        </w:rPr>
        <w:t xml:space="preserve">, M., </w:t>
      </w:r>
      <w:proofErr w:type="spellStart"/>
      <w:r w:rsidRPr="00113005">
        <w:rPr>
          <w:rFonts w:ascii="Arial" w:hAnsi="Arial" w:cs="Arial"/>
          <w:bCs/>
          <w:color w:val="000000" w:themeColor="text1"/>
          <w:sz w:val="20"/>
          <w:szCs w:val="20"/>
        </w:rPr>
        <w:t>Soerjomataram</w:t>
      </w:r>
      <w:proofErr w:type="spellEnd"/>
      <w:r w:rsidRPr="00113005">
        <w:rPr>
          <w:rFonts w:ascii="Arial" w:hAnsi="Arial" w:cs="Arial"/>
          <w:bCs/>
          <w:color w:val="000000" w:themeColor="text1"/>
          <w:sz w:val="20"/>
          <w:szCs w:val="20"/>
        </w:rPr>
        <w:t>, I., Jemal, A., &amp; Bray, F. (2021).</w:t>
      </w:r>
      <w:r w:rsidRPr="00113005">
        <w:rPr>
          <w:rFonts w:ascii="Arial" w:hAnsi="Arial" w:cs="Arial"/>
          <w:color w:val="000000" w:themeColor="text1"/>
          <w:sz w:val="20"/>
          <w:szCs w:val="20"/>
        </w:rPr>
        <w:t xml:space="preserve"> Global cancer statistics 2020: GLOBOCAN estimates of incidence and mortality worldwide for 36 cancers in 185 countries. </w:t>
      </w:r>
      <w:r w:rsidRPr="00113005">
        <w:rPr>
          <w:rFonts w:ascii="Arial" w:hAnsi="Arial" w:cs="Arial"/>
          <w:iCs/>
          <w:color w:val="000000" w:themeColor="text1"/>
          <w:sz w:val="20"/>
          <w:szCs w:val="20"/>
        </w:rPr>
        <w:t>CA: A Cancer Journal for Clinicians, 71</w:t>
      </w:r>
      <w:r w:rsidRPr="00113005">
        <w:rPr>
          <w:rFonts w:ascii="Arial" w:hAnsi="Arial" w:cs="Arial"/>
          <w:color w:val="000000" w:themeColor="text1"/>
          <w:sz w:val="20"/>
          <w:szCs w:val="20"/>
        </w:rPr>
        <w:t xml:space="preserve">(3), 209-249. </w:t>
      </w:r>
      <w:hyperlink r:id="rId34" w:tgtFrame="_blank" w:history="1">
        <w:r w:rsidRPr="00113005">
          <w:rPr>
            <w:rStyle w:val="Hyperlink"/>
            <w:rFonts w:ascii="Arial" w:hAnsi="Arial" w:cs="Arial"/>
            <w:color w:val="000000" w:themeColor="text1"/>
            <w:sz w:val="20"/>
            <w:szCs w:val="20"/>
            <w:u w:val="none"/>
          </w:rPr>
          <w:t>https://doi.org/10.3322/caac.21660</w:t>
        </w:r>
      </w:hyperlink>
    </w:p>
    <w:p w14:paraId="17571473" w14:textId="0A80ECAF"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Then, E. O., Lopez, M., Saleem, S., </w:t>
      </w:r>
      <w:proofErr w:type="spellStart"/>
      <w:r w:rsidRPr="00113005">
        <w:rPr>
          <w:rFonts w:ascii="Arial" w:hAnsi="Arial" w:cs="Arial"/>
          <w:bCs/>
          <w:color w:val="000000" w:themeColor="text1"/>
          <w:sz w:val="20"/>
          <w:szCs w:val="20"/>
        </w:rPr>
        <w:t>Gayam</w:t>
      </w:r>
      <w:proofErr w:type="spellEnd"/>
      <w:r w:rsidRPr="00113005">
        <w:rPr>
          <w:rFonts w:ascii="Arial" w:hAnsi="Arial" w:cs="Arial"/>
          <w:bCs/>
          <w:color w:val="000000" w:themeColor="text1"/>
          <w:sz w:val="20"/>
          <w:szCs w:val="20"/>
        </w:rPr>
        <w:t xml:space="preserve">, V., Sunkara, T., </w:t>
      </w:r>
      <w:proofErr w:type="spellStart"/>
      <w:r w:rsidRPr="00113005">
        <w:rPr>
          <w:rFonts w:ascii="Arial" w:hAnsi="Arial" w:cs="Arial"/>
          <w:bCs/>
          <w:color w:val="000000" w:themeColor="text1"/>
          <w:sz w:val="20"/>
          <w:szCs w:val="20"/>
        </w:rPr>
        <w:t>Culliford</w:t>
      </w:r>
      <w:proofErr w:type="spellEnd"/>
      <w:r w:rsidRPr="00113005">
        <w:rPr>
          <w:rFonts w:ascii="Arial" w:hAnsi="Arial" w:cs="Arial"/>
          <w:bCs/>
          <w:color w:val="000000" w:themeColor="text1"/>
          <w:sz w:val="20"/>
          <w:szCs w:val="20"/>
        </w:rPr>
        <w:t xml:space="preserve">, A., &amp; </w:t>
      </w:r>
      <w:proofErr w:type="spellStart"/>
      <w:r w:rsidRPr="00113005">
        <w:rPr>
          <w:rFonts w:ascii="Arial" w:hAnsi="Arial" w:cs="Arial"/>
          <w:bCs/>
          <w:color w:val="000000" w:themeColor="text1"/>
          <w:sz w:val="20"/>
          <w:szCs w:val="20"/>
        </w:rPr>
        <w:t>Gaduputi</w:t>
      </w:r>
      <w:proofErr w:type="spellEnd"/>
      <w:r w:rsidRPr="00113005">
        <w:rPr>
          <w:rFonts w:ascii="Arial" w:hAnsi="Arial" w:cs="Arial"/>
          <w:bCs/>
          <w:color w:val="000000" w:themeColor="text1"/>
          <w:sz w:val="20"/>
          <w:szCs w:val="20"/>
        </w:rPr>
        <w:t>, V. (2020).</w:t>
      </w:r>
      <w:r w:rsidRPr="00113005">
        <w:rPr>
          <w:rFonts w:ascii="Arial" w:hAnsi="Arial" w:cs="Arial"/>
          <w:color w:val="000000" w:themeColor="text1"/>
          <w:sz w:val="20"/>
          <w:szCs w:val="20"/>
        </w:rPr>
        <w:t xml:space="preserve"> Esophageal cancer: An updated Surveillance, Epidemiology, and End Results database analysis. </w:t>
      </w:r>
      <w:r w:rsidRPr="00113005">
        <w:rPr>
          <w:rFonts w:ascii="Arial" w:hAnsi="Arial" w:cs="Arial"/>
          <w:iCs/>
          <w:color w:val="000000" w:themeColor="text1"/>
          <w:sz w:val="20"/>
          <w:szCs w:val="20"/>
        </w:rPr>
        <w:t>World Journal of Oncology, 11</w:t>
      </w:r>
      <w:r w:rsidRPr="00113005">
        <w:rPr>
          <w:rFonts w:ascii="Arial" w:hAnsi="Arial" w:cs="Arial"/>
          <w:color w:val="000000" w:themeColor="text1"/>
          <w:sz w:val="20"/>
          <w:szCs w:val="20"/>
        </w:rPr>
        <w:t xml:space="preserve">(2), 55–64. </w:t>
      </w:r>
      <w:hyperlink r:id="rId35" w:tgtFrame="_blank" w:history="1">
        <w:r w:rsidRPr="00113005">
          <w:rPr>
            <w:rStyle w:val="Hyperlink"/>
            <w:rFonts w:ascii="Arial" w:hAnsi="Arial" w:cs="Arial"/>
            <w:color w:val="000000" w:themeColor="text1"/>
            <w:sz w:val="20"/>
            <w:szCs w:val="20"/>
            <w:u w:val="none"/>
          </w:rPr>
          <w:t>https://doi.org/10.14740/wjon1254</w:t>
        </w:r>
      </w:hyperlink>
    </w:p>
    <w:p w14:paraId="02B84D1B" w14:textId="78DC7C7B" w:rsidR="008D02C9" w:rsidRPr="00113005" w:rsidRDefault="008D02C9" w:rsidP="008D02C9">
      <w:pPr>
        <w:pStyle w:val="NormalWeb"/>
        <w:jc w:val="both"/>
        <w:rPr>
          <w:rFonts w:ascii="Arial" w:hAnsi="Arial" w:cs="Arial"/>
          <w:color w:val="000000" w:themeColor="text1"/>
          <w:sz w:val="20"/>
          <w:szCs w:val="20"/>
        </w:rPr>
      </w:pPr>
      <w:proofErr w:type="spellStart"/>
      <w:r w:rsidRPr="00113005">
        <w:rPr>
          <w:rFonts w:ascii="Arial" w:hAnsi="Arial" w:cs="Arial"/>
          <w:bCs/>
          <w:color w:val="000000" w:themeColor="text1"/>
          <w:sz w:val="20"/>
          <w:szCs w:val="20"/>
        </w:rPr>
        <w:t>Vioque</w:t>
      </w:r>
      <w:proofErr w:type="spellEnd"/>
      <w:r w:rsidRPr="00113005">
        <w:rPr>
          <w:rFonts w:ascii="Arial" w:hAnsi="Arial" w:cs="Arial"/>
          <w:bCs/>
          <w:color w:val="000000" w:themeColor="text1"/>
          <w:sz w:val="20"/>
          <w:szCs w:val="20"/>
        </w:rPr>
        <w:t xml:space="preserve">, J., Barber, X., </w:t>
      </w:r>
      <w:proofErr w:type="spellStart"/>
      <w:r w:rsidRPr="00113005">
        <w:rPr>
          <w:rFonts w:ascii="Arial" w:hAnsi="Arial" w:cs="Arial"/>
          <w:bCs/>
          <w:color w:val="000000" w:themeColor="text1"/>
          <w:sz w:val="20"/>
          <w:szCs w:val="20"/>
        </w:rPr>
        <w:t>Bolumar</w:t>
      </w:r>
      <w:proofErr w:type="spellEnd"/>
      <w:r w:rsidRPr="00113005">
        <w:rPr>
          <w:rFonts w:ascii="Arial" w:hAnsi="Arial" w:cs="Arial"/>
          <w:bCs/>
          <w:color w:val="000000" w:themeColor="text1"/>
          <w:sz w:val="20"/>
          <w:szCs w:val="20"/>
        </w:rPr>
        <w:t xml:space="preserve">, F., Porta, M., </w:t>
      </w:r>
      <w:proofErr w:type="spellStart"/>
      <w:r w:rsidRPr="00113005">
        <w:rPr>
          <w:rFonts w:ascii="Arial" w:hAnsi="Arial" w:cs="Arial"/>
          <w:bCs/>
          <w:color w:val="000000" w:themeColor="text1"/>
          <w:sz w:val="20"/>
          <w:szCs w:val="20"/>
        </w:rPr>
        <w:t>Santibáñez</w:t>
      </w:r>
      <w:proofErr w:type="spellEnd"/>
      <w:r w:rsidRPr="00113005">
        <w:rPr>
          <w:rFonts w:ascii="Arial" w:hAnsi="Arial" w:cs="Arial"/>
          <w:bCs/>
          <w:color w:val="000000" w:themeColor="text1"/>
          <w:sz w:val="20"/>
          <w:szCs w:val="20"/>
        </w:rPr>
        <w:t>, M., García de la Hera, M., Moreno-</w:t>
      </w:r>
      <w:proofErr w:type="spellStart"/>
      <w:r w:rsidRPr="00113005">
        <w:rPr>
          <w:rFonts w:ascii="Arial" w:hAnsi="Arial" w:cs="Arial"/>
          <w:bCs/>
          <w:color w:val="000000" w:themeColor="text1"/>
          <w:sz w:val="20"/>
          <w:szCs w:val="20"/>
        </w:rPr>
        <w:t>Osset</w:t>
      </w:r>
      <w:proofErr w:type="spellEnd"/>
      <w:r w:rsidRPr="00113005">
        <w:rPr>
          <w:rFonts w:ascii="Arial" w:hAnsi="Arial" w:cs="Arial"/>
          <w:bCs/>
          <w:color w:val="000000" w:themeColor="text1"/>
          <w:sz w:val="20"/>
          <w:szCs w:val="20"/>
        </w:rPr>
        <w:t>, E., &amp; the PANESOES Study Group. (2008).</w:t>
      </w:r>
      <w:r w:rsidRPr="00113005">
        <w:rPr>
          <w:rFonts w:ascii="Arial" w:hAnsi="Arial" w:cs="Arial"/>
          <w:color w:val="000000" w:themeColor="text1"/>
          <w:sz w:val="20"/>
          <w:szCs w:val="20"/>
        </w:rPr>
        <w:t xml:space="preserve"> Esophageal cancer risk by type of alcohol drinking and smoking: A case-control study in Spain. </w:t>
      </w:r>
      <w:r w:rsidRPr="00113005">
        <w:rPr>
          <w:rFonts w:ascii="Arial" w:hAnsi="Arial" w:cs="Arial"/>
          <w:iCs/>
          <w:color w:val="000000" w:themeColor="text1"/>
          <w:sz w:val="20"/>
          <w:szCs w:val="20"/>
        </w:rPr>
        <w:t>BMC Cancer, 8</w:t>
      </w:r>
      <w:r w:rsidRPr="00113005">
        <w:rPr>
          <w:rFonts w:ascii="Arial" w:hAnsi="Arial" w:cs="Arial"/>
          <w:color w:val="000000" w:themeColor="text1"/>
          <w:sz w:val="20"/>
          <w:szCs w:val="20"/>
        </w:rPr>
        <w:t xml:space="preserve">, Article 221. </w:t>
      </w:r>
      <w:hyperlink r:id="rId36" w:tgtFrame="_blank" w:history="1">
        <w:r w:rsidRPr="00113005">
          <w:rPr>
            <w:rStyle w:val="Hyperlink"/>
            <w:rFonts w:ascii="Arial" w:hAnsi="Arial" w:cs="Arial"/>
            <w:color w:val="000000" w:themeColor="text1"/>
            <w:sz w:val="20"/>
            <w:szCs w:val="20"/>
            <w:u w:val="none"/>
          </w:rPr>
          <w:t>https://doi.org/10.1186/1471-2407-8-221</w:t>
        </w:r>
      </w:hyperlink>
    </w:p>
    <w:p w14:paraId="7372C9AA" w14:textId="011DB564"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Wang, Y., </w:t>
      </w:r>
      <w:proofErr w:type="spellStart"/>
      <w:r w:rsidRPr="00113005">
        <w:rPr>
          <w:rFonts w:ascii="Arial" w:hAnsi="Arial" w:cs="Arial"/>
          <w:bCs/>
          <w:color w:val="000000" w:themeColor="text1"/>
          <w:sz w:val="20"/>
          <w:szCs w:val="20"/>
        </w:rPr>
        <w:t>Mukkamalla</w:t>
      </w:r>
      <w:proofErr w:type="spellEnd"/>
      <w:r w:rsidRPr="00113005">
        <w:rPr>
          <w:rFonts w:ascii="Arial" w:hAnsi="Arial" w:cs="Arial"/>
          <w:bCs/>
          <w:color w:val="000000" w:themeColor="text1"/>
          <w:sz w:val="20"/>
          <w:szCs w:val="20"/>
        </w:rPr>
        <w:t>, S. K. R., Singh, R., &amp; Lyons, S. (2024).</w:t>
      </w:r>
      <w:r w:rsidRPr="00113005">
        <w:rPr>
          <w:rFonts w:ascii="Arial" w:hAnsi="Arial" w:cs="Arial"/>
          <w:color w:val="000000" w:themeColor="text1"/>
          <w:sz w:val="20"/>
          <w:szCs w:val="20"/>
        </w:rPr>
        <w:t xml:space="preserve"> Esophageal cancer. In </w:t>
      </w:r>
      <w:proofErr w:type="spellStart"/>
      <w:r w:rsidRPr="00113005">
        <w:rPr>
          <w:rFonts w:ascii="Arial" w:hAnsi="Arial" w:cs="Arial"/>
          <w:iCs/>
          <w:color w:val="000000" w:themeColor="text1"/>
          <w:sz w:val="20"/>
          <w:szCs w:val="20"/>
        </w:rPr>
        <w:t>StatPearls</w:t>
      </w:r>
      <w:proofErr w:type="spellEnd"/>
      <w:r w:rsidRPr="00113005">
        <w:rPr>
          <w:rFonts w:ascii="Arial" w:hAnsi="Arial" w:cs="Arial"/>
          <w:color w:val="000000" w:themeColor="text1"/>
          <w:sz w:val="20"/>
          <w:szCs w:val="20"/>
        </w:rPr>
        <w:t xml:space="preserve">. </w:t>
      </w:r>
      <w:proofErr w:type="spellStart"/>
      <w:r w:rsidRPr="00113005">
        <w:rPr>
          <w:rFonts w:ascii="Arial" w:hAnsi="Arial" w:cs="Arial"/>
          <w:color w:val="000000" w:themeColor="text1"/>
          <w:sz w:val="20"/>
          <w:szCs w:val="20"/>
        </w:rPr>
        <w:t>StatPearls</w:t>
      </w:r>
      <w:proofErr w:type="spellEnd"/>
      <w:r w:rsidRPr="00113005">
        <w:rPr>
          <w:rFonts w:ascii="Arial" w:hAnsi="Arial" w:cs="Arial"/>
          <w:color w:val="000000" w:themeColor="text1"/>
          <w:sz w:val="20"/>
          <w:szCs w:val="20"/>
        </w:rPr>
        <w:t xml:space="preserve"> Publishing. Retrieved January 27, 2025, from </w:t>
      </w:r>
      <w:hyperlink r:id="rId37" w:tgtFrame="_blank" w:history="1">
        <w:r w:rsidRPr="00113005">
          <w:rPr>
            <w:rStyle w:val="Hyperlink"/>
            <w:rFonts w:ascii="Arial" w:hAnsi="Arial" w:cs="Arial"/>
            <w:color w:val="000000" w:themeColor="text1"/>
            <w:sz w:val="20"/>
            <w:szCs w:val="20"/>
            <w:u w:val="none"/>
          </w:rPr>
          <w:t>https://www.ncbi.nlm.nih.gov/books/NBK459267/</w:t>
        </w:r>
      </w:hyperlink>
    </w:p>
    <w:p w14:paraId="15AF7C31" w14:textId="50E163F3"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Xia, X., Gao, Q., Ge, X., Liu, Z., Di, X., Sun, X., &amp; Yang, Y. (2021).</w:t>
      </w:r>
      <w:r w:rsidRPr="00113005">
        <w:rPr>
          <w:rFonts w:ascii="Arial" w:hAnsi="Arial" w:cs="Arial"/>
          <w:color w:val="000000" w:themeColor="text1"/>
          <w:sz w:val="20"/>
          <w:szCs w:val="20"/>
        </w:rPr>
        <w:t xml:space="preserve"> Chemoradiotherapy Is Superior to Radiotherapy Alone in Esophageal Cancer Patients Older Than 65 Years: A Propensity Score-Matched Analysis of the SEER Database. </w:t>
      </w:r>
      <w:r w:rsidRPr="00113005">
        <w:rPr>
          <w:rFonts w:ascii="Arial" w:hAnsi="Arial" w:cs="Arial"/>
          <w:iCs/>
          <w:color w:val="000000" w:themeColor="text1"/>
          <w:sz w:val="20"/>
          <w:szCs w:val="20"/>
        </w:rPr>
        <w:t>Frontiers in Oncology, 11</w:t>
      </w:r>
      <w:r w:rsidRPr="00113005">
        <w:rPr>
          <w:rFonts w:ascii="Arial" w:hAnsi="Arial" w:cs="Arial"/>
          <w:color w:val="000000" w:themeColor="text1"/>
          <w:sz w:val="20"/>
          <w:szCs w:val="20"/>
        </w:rPr>
        <w:t xml:space="preserve">, 736448. </w:t>
      </w:r>
      <w:hyperlink r:id="rId38" w:tgtFrame="_blank" w:history="1">
        <w:r w:rsidRPr="00113005">
          <w:rPr>
            <w:rStyle w:val="Hyperlink"/>
            <w:rFonts w:ascii="Arial" w:hAnsi="Arial" w:cs="Arial"/>
            <w:color w:val="000000" w:themeColor="text1"/>
            <w:sz w:val="20"/>
            <w:szCs w:val="20"/>
            <w:u w:val="none"/>
          </w:rPr>
          <w:t>https://doi.org/10.3389/fonc.2021.736448</w:t>
        </w:r>
      </w:hyperlink>
    </w:p>
    <w:p w14:paraId="083C30E8" w14:textId="491986CC"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Xiang, Z.-F., </w:t>
      </w:r>
      <w:proofErr w:type="spellStart"/>
      <w:r w:rsidRPr="00113005">
        <w:rPr>
          <w:rFonts w:ascii="Arial" w:hAnsi="Arial" w:cs="Arial"/>
          <w:bCs/>
          <w:color w:val="000000" w:themeColor="text1"/>
          <w:sz w:val="20"/>
          <w:szCs w:val="20"/>
        </w:rPr>
        <w:t>Xiong</w:t>
      </w:r>
      <w:proofErr w:type="spellEnd"/>
      <w:r w:rsidRPr="00113005">
        <w:rPr>
          <w:rFonts w:ascii="Arial" w:hAnsi="Arial" w:cs="Arial"/>
          <w:bCs/>
          <w:color w:val="000000" w:themeColor="text1"/>
          <w:sz w:val="20"/>
          <w:szCs w:val="20"/>
        </w:rPr>
        <w:t>, H.-C., Hu, D.-F., Li, M.-Y., Zhang, Z.-C., Mao, Z.-C., &amp; Shen, E.-D. (2022).</w:t>
      </w:r>
      <w:r w:rsidRPr="00113005">
        <w:rPr>
          <w:rFonts w:ascii="Arial" w:hAnsi="Arial" w:cs="Arial"/>
          <w:color w:val="000000" w:themeColor="text1"/>
          <w:sz w:val="20"/>
          <w:szCs w:val="20"/>
        </w:rPr>
        <w:t xml:space="preserve"> Age-related sex disparities in esophageal cancer survival: A population-based study in the United States. </w:t>
      </w:r>
      <w:r w:rsidRPr="00113005">
        <w:rPr>
          <w:rFonts w:ascii="Arial" w:hAnsi="Arial" w:cs="Arial"/>
          <w:iCs/>
          <w:color w:val="000000" w:themeColor="text1"/>
          <w:sz w:val="20"/>
          <w:szCs w:val="20"/>
        </w:rPr>
        <w:t>Frontiers in Public Health, 10</w:t>
      </w:r>
      <w:r w:rsidRPr="00113005">
        <w:rPr>
          <w:rFonts w:ascii="Arial" w:hAnsi="Arial" w:cs="Arial"/>
          <w:color w:val="000000" w:themeColor="text1"/>
          <w:sz w:val="20"/>
          <w:szCs w:val="20"/>
        </w:rPr>
        <w:t xml:space="preserve">, Article 836914. </w:t>
      </w:r>
      <w:hyperlink r:id="rId39" w:tgtFrame="_blank" w:history="1">
        <w:r w:rsidRPr="00113005">
          <w:rPr>
            <w:rStyle w:val="Hyperlink"/>
            <w:rFonts w:ascii="Arial" w:hAnsi="Arial" w:cs="Arial"/>
            <w:color w:val="000000" w:themeColor="text1"/>
            <w:sz w:val="20"/>
            <w:szCs w:val="20"/>
            <w:u w:val="none"/>
          </w:rPr>
          <w:t>https://doi.org/10.3389/fpubh.2022.836914</w:t>
        </w:r>
      </w:hyperlink>
    </w:p>
    <w:p w14:paraId="082CE43D" w14:textId="5918FC74" w:rsidR="008D02C9" w:rsidRPr="00113005" w:rsidRDefault="008D02C9" w:rsidP="008D02C9">
      <w:pPr>
        <w:pStyle w:val="NormalWeb"/>
        <w:jc w:val="both"/>
        <w:rPr>
          <w:rFonts w:ascii="Arial" w:hAnsi="Arial" w:cs="Arial"/>
          <w:color w:val="000000" w:themeColor="text1"/>
          <w:sz w:val="20"/>
          <w:szCs w:val="20"/>
        </w:rPr>
      </w:pPr>
      <w:r w:rsidRPr="00113005">
        <w:rPr>
          <w:rFonts w:ascii="Arial" w:hAnsi="Arial" w:cs="Arial"/>
          <w:bCs/>
          <w:color w:val="000000" w:themeColor="text1"/>
          <w:sz w:val="20"/>
          <w:szCs w:val="20"/>
        </w:rPr>
        <w:t xml:space="preserve">Zhang, M., Cui, M., </w:t>
      </w:r>
      <w:proofErr w:type="spellStart"/>
      <w:r w:rsidRPr="00113005">
        <w:rPr>
          <w:rFonts w:ascii="Arial" w:hAnsi="Arial" w:cs="Arial"/>
          <w:bCs/>
          <w:color w:val="000000" w:themeColor="text1"/>
          <w:sz w:val="20"/>
          <w:szCs w:val="20"/>
        </w:rPr>
        <w:t>Zuo</w:t>
      </w:r>
      <w:proofErr w:type="spellEnd"/>
      <w:r w:rsidRPr="00113005">
        <w:rPr>
          <w:rFonts w:ascii="Arial" w:hAnsi="Arial" w:cs="Arial"/>
          <w:bCs/>
          <w:color w:val="000000" w:themeColor="text1"/>
          <w:sz w:val="20"/>
          <w:szCs w:val="20"/>
        </w:rPr>
        <w:t>, Q., Wang, L., Wang, J., Zhu, L., Yan, R., Lu, N., Yan, H., &amp; Zhang, L. (2021).</w:t>
      </w:r>
      <w:r w:rsidRPr="00113005">
        <w:rPr>
          <w:rFonts w:ascii="Arial" w:hAnsi="Arial" w:cs="Arial"/>
          <w:color w:val="000000" w:themeColor="text1"/>
          <w:sz w:val="20"/>
          <w:szCs w:val="20"/>
        </w:rPr>
        <w:t xml:space="preserve"> Construction and evaluation of prognostic models for esophageal cancer patients with distant and non-distant metastases: Providing a reference process for clinical diagnosis and treatment. </w:t>
      </w:r>
      <w:r w:rsidRPr="00113005">
        <w:rPr>
          <w:rFonts w:ascii="Arial" w:hAnsi="Arial" w:cs="Arial"/>
          <w:iCs/>
          <w:color w:val="000000" w:themeColor="text1"/>
          <w:sz w:val="20"/>
          <w:szCs w:val="20"/>
        </w:rPr>
        <w:t>Journal of Gastrointestinal Oncology, 12</w:t>
      </w:r>
      <w:r w:rsidRPr="00113005">
        <w:rPr>
          <w:rFonts w:ascii="Arial" w:hAnsi="Arial" w:cs="Arial"/>
          <w:color w:val="000000" w:themeColor="text1"/>
          <w:sz w:val="20"/>
          <w:szCs w:val="20"/>
        </w:rPr>
        <w:t xml:space="preserve">(4), 1241–1254. </w:t>
      </w:r>
      <w:hyperlink r:id="rId40" w:tgtFrame="_blank" w:history="1">
        <w:r w:rsidRPr="00113005">
          <w:rPr>
            <w:rStyle w:val="Hyperlink"/>
            <w:rFonts w:ascii="Arial" w:hAnsi="Arial" w:cs="Arial"/>
            <w:color w:val="000000" w:themeColor="text1"/>
            <w:sz w:val="20"/>
            <w:szCs w:val="20"/>
            <w:u w:val="none"/>
          </w:rPr>
          <w:t>https://doi.org/10.21037/jgo-21-429</w:t>
        </w:r>
      </w:hyperlink>
    </w:p>
    <w:p w14:paraId="0325B025" w14:textId="25721547" w:rsidR="00A108C9" w:rsidRPr="003F053A" w:rsidRDefault="00A108C9" w:rsidP="00632BFC">
      <w:pPr>
        <w:pStyle w:val="PlainText"/>
        <w:jc w:val="both"/>
        <w:rPr>
          <w:rFonts w:ascii="Arial" w:hAnsi="Arial" w:cs="Arial"/>
          <w:color w:val="FF0000"/>
          <w:sz w:val="20"/>
          <w:szCs w:val="20"/>
        </w:rPr>
      </w:pPr>
    </w:p>
    <w:sectPr w:rsidR="00A108C9" w:rsidRPr="003F053A" w:rsidSect="00761B8B">
      <w:headerReference w:type="even" r:id="rId41"/>
      <w:headerReference w:type="default" r:id="rId42"/>
      <w:footerReference w:type="even" r:id="rId43"/>
      <w:footerReference w:type="default" r:id="rId44"/>
      <w:headerReference w:type="first" r:id="rId45"/>
      <w:footerReference w:type="first" r:id="rId46"/>
      <w:pgSz w:w="12240" w:h="15840"/>
      <w:pgMar w:top="5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15D9" w14:textId="77777777" w:rsidR="00466F87" w:rsidRDefault="00466F87" w:rsidP="00761B8B">
      <w:pPr>
        <w:spacing w:after="0" w:line="240" w:lineRule="auto"/>
      </w:pPr>
      <w:r>
        <w:separator/>
      </w:r>
    </w:p>
  </w:endnote>
  <w:endnote w:type="continuationSeparator" w:id="0">
    <w:p w14:paraId="429A82A8" w14:textId="77777777" w:rsidR="00466F87" w:rsidRDefault="00466F87" w:rsidP="0076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EA69" w14:textId="77777777" w:rsidR="00875D86" w:rsidRDefault="0087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207001"/>
      <w:docPartObj>
        <w:docPartGallery w:val="Page Numbers (Bottom of Page)"/>
        <w:docPartUnique/>
      </w:docPartObj>
    </w:sdtPr>
    <w:sdtEndPr>
      <w:rPr>
        <w:noProof/>
      </w:rPr>
    </w:sdtEndPr>
    <w:sdtContent>
      <w:p w14:paraId="2DFCAE88" w14:textId="3DB6FE4C" w:rsidR="00875D86" w:rsidRDefault="00875D86">
        <w:pPr>
          <w:pStyle w:val="Footer"/>
          <w:jc w:val="right"/>
        </w:pPr>
        <w:r>
          <w:fldChar w:fldCharType="begin"/>
        </w:r>
        <w:r>
          <w:instrText xml:space="preserve"> PAGE   \* MERGEFORMAT </w:instrText>
        </w:r>
        <w:r>
          <w:fldChar w:fldCharType="separate"/>
        </w:r>
        <w:r w:rsidR="00B76829">
          <w:rPr>
            <w:noProof/>
          </w:rPr>
          <w:t>19</w:t>
        </w:r>
        <w:r>
          <w:rPr>
            <w:noProof/>
          </w:rPr>
          <w:fldChar w:fldCharType="end"/>
        </w:r>
      </w:p>
    </w:sdtContent>
  </w:sdt>
  <w:p w14:paraId="51C05AFE" w14:textId="77777777" w:rsidR="00875D86" w:rsidRDefault="00875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F8A0" w14:textId="77777777" w:rsidR="00875D86" w:rsidRDefault="0087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76E9" w14:textId="77777777" w:rsidR="00466F87" w:rsidRDefault="00466F87" w:rsidP="00761B8B">
      <w:pPr>
        <w:spacing w:after="0" w:line="240" w:lineRule="auto"/>
      </w:pPr>
      <w:r>
        <w:separator/>
      </w:r>
    </w:p>
  </w:footnote>
  <w:footnote w:type="continuationSeparator" w:id="0">
    <w:p w14:paraId="37D5E37E" w14:textId="77777777" w:rsidR="00466F87" w:rsidRDefault="00466F87" w:rsidP="00761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92C3" w14:textId="1A4F03BF" w:rsidR="00875D86" w:rsidRDefault="00B35D3A">
    <w:pPr>
      <w:pStyle w:val="Header"/>
    </w:pPr>
    <w:r>
      <w:rPr>
        <w:noProof/>
      </w:rPr>
      <w:pict w14:anchorId="3C01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1" o:spid="_x0000_s2050" type="#_x0000_t136" style="position:absolute;margin-left:0;margin-top:0;width:547.75pt;height:103.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13E0" w14:textId="1DB43976" w:rsidR="00875D86" w:rsidRDefault="00B35D3A">
    <w:pPr>
      <w:pStyle w:val="Header"/>
    </w:pPr>
    <w:r>
      <w:rPr>
        <w:noProof/>
      </w:rPr>
      <w:pict w14:anchorId="101C0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2" o:spid="_x0000_s2051" type="#_x0000_t136" style="position:absolute;margin-left:0;margin-top:0;width:547.75pt;height:103.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CA88" w14:textId="149706AC" w:rsidR="00875D86" w:rsidRDefault="00B35D3A">
    <w:pPr>
      <w:pStyle w:val="Header"/>
    </w:pPr>
    <w:r>
      <w:rPr>
        <w:noProof/>
      </w:rPr>
      <w:pict w14:anchorId="103D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52250" o:spid="_x0000_s2049" type="#_x0000_t136" style="position:absolute;margin-left:0;margin-top:0;width:547.75pt;height:103.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9D"/>
    <w:rsid w:val="00016914"/>
    <w:rsid w:val="00075209"/>
    <w:rsid w:val="000A5077"/>
    <w:rsid w:val="000C70AE"/>
    <w:rsid w:val="000D0068"/>
    <w:rsid w:val="000F0E9F"/>
    <w:rsid w:val="001020B5"/>
    <w:rsid w:val="00113005"/>
    <w:rsid w:val="001448D7"/>
    <w:rsid w:val="001628C6"/>
    <w:rsid w:val="00173DE0"/>
    <w:rsid w:val="001C115D"/>
    <w:rsid w:val="001D349F"/>
    <w:rsid w:val="001F41FF"/>
    <w:rsid w:val="00205FEB"/>
    <w:rsid w:val="00216BD5"/>
    <w:rsid w:val="00217AA4"/>
    <w:rsid w:val="002324EC"/>
    <w:rsid w:val="00284600"/>
    <w:rsid w:val="002B3B00"/>
    <w:rsid w:val="002C5CB2"/>
    <w:rsid w:val="002E18B3"/>
    <w:rsid w:val="002E752B"/>
    <w:rsid w:val="002E7ACC"/>
    <w:rsid w:val="003163E0"/>
    <w:rsid w:val="00382AA1"/>
    <w:rsid w:val="003F053A"/>
    <w:rsid w:val="004057CD"/>
    <w:rsid w:val="00423ADB"/>
    <w:rsid w:val="004320A7"/>
    <w:rsid w:val="004323BE"/>
    <w:rsid w:val="00466F87"/>
    <w:rsid w:val="004A5CCA"/>
    <w:rsid w:val="004D129E"/>
    <w:rsid w:val="004D4F9D"/>
    <w:rsid w:val="004E77FF"/>
    <w:rsid w:val="004F4737"/>
    <w:rsid w:val="0053155E"/>
    <w:rsid w:val="00536463"/>
    <w:rsid w:val="00542E29"/>
    <w:rsid w:val="00566359"/>
    <w:rsid w:val="0056784A"/>
    <w:rsid w:val="005913ED"/>
    <w:rsid w:val="00616D15"/>
    <w:rsid w:val="00632BFC"/>
    <w:rsid w:val="00654B73"/>
    <w:rsid w:val="00663AF6"/>
    <w:rsid w:val="00674AC9"/>
    <w:rsid w:val="006A3583"/>
    <w:rsid w:val="006B74B8"/>
    <w:rsid w:val="006C01FC"/>
    <w:rsid w:val="006E0C03"/>
    <w:rsid w:val="006E1CDF"/>
    <w:rsid w:val="0074686D"/>
    <w:rsid w:val="00761B8B"/>
    <w:rsid w:val="007C1F1D"/>
    <w:rsid w:val="007D0445"/>
    <w:rsid w:val="00821DF2"/>
    <w:rsid w:val="008603DF"/>
    <w:rsid w:val="00875D86"/>
    <w:rsid w:val="00893103"/>
    <w:rsid w:val="008C1A3E"/>
    <w:rsid w:val="008D02C9"/>
    <w:rsid w:val="008D3C41"/>
    <w:rsid w:val="008F545A"/>
    <w:rsid w:val="0090386A"/>
    <w:rsid w:val="00927E05"/>
    <w:rsid w:val="0095144D"/>
    <w:rsid w:val="009604B3"/>
    <w:rsid w:val="00960712"/>
    <w:rsid w:val="009774E8"/>
    <w:rsid w:val="00992CE4"/>
    <w:rsid w:val="009A6800"/>
    <w:rsid w:val="009D452D"/>
    <w:rsid w:val="009E4F65"/>
    <w:rsid w:val="009E68BB"/>
    <w:rsid w:val="009F7AB0"/>
    <w:rsid w:val="00A108C9"/>
    <w:rsid w:val="00A604F5"/>
    <w:rsid w:val="00A6231C"/>
    <w:rsid w:val="00A8124F"/>
    <w:rsid w:val="00A857A1"/>
    <w:rsid w:val="00AB1276"/>
    <w:rsid w:val="00AD0194"/>
    <w:rsid w:val="00AD0F65"/>
    <w:rsid w:val="00AF1C1E"/>
    <w:rsid w:val="00B0243B"/>
    <w:rsid w:val="00B12ED8"/>
    <w:rsid w:val="00B35D3A"/>
    <w:rsid w:val="00B73E82"/>
    <w:rsid w:val="00B76829"/>
    <w:rsid w:val="00B87B2E"/>
    <w:rsid w:val="00BE3D31"/>
    <w:rsid w:val="00BE4B77"/>
    <w:rsid w:val="00C01303"/>
    <w:rsid w:val="00C02899"/>
    <w:rsid w:val="00C05686"/>
    <w:rsid w:val="00C06074"/>
    <w:rsid w:val="00C27209"/>
    <w:rsid w:val="00C67710"/>
    <w:rsid w:val="00C828C3"/>
    <w:rsid w:val="00C95765"/>
    <w:rsid w:val="00C95C11"/>
    <w:rsid w:val="00CD49DE"/>
    <w:rsid w:val="00CD5E18"/>
    <w:rsid w:val="00D12EDB"/>
    <w:rsid w:val="00D1687E"/>
    <w:rsid w:val="00D17FBE"/>
    <w:rsid w:val="00D43E8E"/>
    <w:rsid w:val="00D63606"/>
    <w:rsid w:val="00DA2939"/>
    <w:rsid w:val="00E24F43"/>
    <w:rsid w:val="00E36CEF"/>
    <w:rsid w:val="00E40C30"/>
    <w:rsid w:val="00EA026D"/>
    <w:rsid w:val="00EF4DFD"/>
    <w:rsid w:val="00EF661D"/>
    <w:rsid w:val="00F107C9"/>
    <w:rsid w:val="00F22A9D"/>
    <w:rsid w:val="00F366F5"/>
    <w:rsid w:val="00F461D2"/>
    <w:rsid w:val="00F4735C"/>
    <w:rsid w:val="00F55503"/>
    <w:rsid w:val="00F62368"/>
    <w:rsid w:val="00F86877"/>
    <w:rsid w:val="00F9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1E16E"/>
  <w15:chartTrackingRefBased/>
  <w15:docId w15:val="{E380A446-84F9-486F-89AA-CC2B0D68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65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6527"/>
    <w:rPr>
      <w:rFonts w:ascii="Consolas" w:hAnsi="Consolas"/>
      <w:sz w:val="21"/>
      <w:szCs w:val="21"/>
    </w:rPr>
  </w:style>
  <w:style w:type="paragraph" w:customStyle="1" w:styleId="AcknHead">
    <w:name w:val="Ackn Head"/>
    <w:basedOn w:val="Normal"/>
    <w:rsid w:val="00A8124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A026D"/>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4A5CCA"/>
    <w:rPr>
      <w:color w:val="0563C1" w:themeColor="hyperlink"/>
      <w:u w:val="single"/>
    </w:rPr>
  </w:style>
  <w:style w:type="paragraph" w:styleId="Header">
    <w:name w:val="header"/>
    <w:basedOn w:val="Normal"/>
    <w:link w:val="HeaderChar"/>
    <w:uiPriority w:val="99"/>
    <w:unhideWhenUsed/>
    <w:rsid w:val="0076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8B"/>
  </w:style>
  <w:style w:type="paragraph" w:styleId="Footer">
    <w:name w:val="footer"/>
    <w:basedOn w:val="Normal"/>
    <w:link w:val="FooterChar"/>
    <w:uiPriority w:val="99"/>
    <w:unhideWhenUsed/>
    <w:rsid w:val="0076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8B"/>
  </w:style>
  <w:style w:type="character" w:customStyle="1" w:styleId="UnresolvedMention1">
    <w:name w:val="Unresolved Mention1"/>
    <w:basedOn w:val="DefaultParagraphFont"/>
    <w:uiPriority w:val="99"/>
    <w:semiHidden/>
    <w:unhideWhenUsed/>
    <w:rsid w:val="00C95765"/>
    <w:rPr>
      <w:color w:val="605E5C"/>
      <w:shd w:val="clear" w:color="auto" w:fill="E1DFDD"/>
    </w:rPr>
  </w:style>
  <w:style w:type="character" w:styleId="Emphasis">
    <w:name w:val="Emphasis"/>
    <w:basedOn w:val="DefaultParagraphFont"/>
    <w:uiPriority w:val="20"/>
    <w:qFormat/>
    <w:rsid w:val="00C01303"/>
    <w:rPr>
      <w:i/>
      <w:iCs/>
    </w:rPr>
  </w:style>
  <w:style w:type="paragraph" w:styleId="NormalWeb">
    <w:name w:val="Normal (Web)"/>
    <w:basedOn w:val="Normal"/>
    <w:uiPriority w:val="99"/>
    <w:semiHidden/>
    <w:unhideWhenUsed/>
    <w:rsid w:val="000C7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8">
    <w:name w:val="citation-18"/>
    <w:basedOn w:val="DefaultParagraphFont"/>
    <w:rsid w:val="00BE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9822">
      <w:bodyDiv w:val="1"/>
      <w:marLeft w:val="0"/>
      <w:marRight w:val="0"/>
      <w:marTop w:val="0"/>
      <w:marBottom w:val="0"/>
      <w:divBdr>
        <w:top w:val="none" w:sz="0" w:space="0" w:color="auto"/>
        <w:left w:val="none" w:sz="0" w:space="0" w:color="auto"/>
        <w:bottom w:val="none" w:sz="0" w:space="0" w:color="auto"/>
        <w:right w:val="none" w:sz="0" w:space="0" w:color="auto"/>
      </w:divBdr>
      <w:divsChild>
        <w:div w:id="212423439">
          <w:marLeft w:val="0"/>
          <w:marRight w:val="0"/>
          <w:marTop w:val="0"/>
          <w:marBottom w:val="0"/>
          <w:divBdr>
            <w:top w:val="none" w:sz="0" w:space="0" w:color="auto"/>
            <w:left w:val="none" w:sz="0" w:space="0" w:color="auto"/>
            <w:bottom w:val="none" w:sz="0" w:space="0" w:color="auto"/>
            <w:right w:val="none" w:sz="0" w:space="0" w:color="auto"/>
          </w:divBdr>
          <w:divsChild>
            <w:div w:id="580260675">
              <w:marLeft w:val="0"/>
              <w:marRight w:val="0"/>
              <w:marTop w:val="0"/>
              <w:marBottom w:val="0"/>
              <w:divBdr>
                <w:top w:val="none" w:sz="0" w:space="0" w:color="auto"/>
                <w:left w:val="none" w:sz="0" w:space="0" w:color="auto"/>
                <w:bottom w:val="none" w:sz="0" w:space="0" w:color="auto"/>
                <w:right w:val="none" w:sz="0" w:space="0" w:color="auto"/>
              </w:divBdr>
              <w:divsChild>
                <w:div w:id="920915286">
                  <w:marLeft w:val="0"/>
                  <w:marRight w:val="0"/>
                  <w:marTop w:val="0"/>
                  <w:marBottom w:val="0"/>
                  <w:divBdr>
                    <w:top w:val="none" w:sz="0" w:space="0" w:color="auto"/>
                    <w:left w:val="none" w:sz="0" w:space="0" w:color="auto"/>
                    <w:bottom w:val="none" w:sz="0" w:space="0" w:color="auto"/>
                    <w:right w:val="none" w:sz="0" w:space="0" w:color="auto"/>
                  </w:divBdr>
                  <w:divsChild>
                    <w:div w:id="1258175357">
                      <w:marLeft w:val="0"/>
                      <w:marRight w:val="0"/>
                      <w:marTop w:val="0"/>
                      <w:marBottom w:val="0"/>
                      <w:divBdr>
                        <w:top w:val="none" w:sz="0" w:space="0" w:color="auto"/>
                        <w:left w:val="none" w:sz="0" w:space="0" w:color="auto"/>
                        <w:bottom w:val="none" w:sz="0" w:space="0" w:color="auto"/>
                        <w:right w:val="none" w:sz="0" w:space="0" w:color="auto"/>
                      </w:divBdr>
                      <w:divsChild>
                        <w:div w:id="1492406606">
                          <w:marLeft w:val="0"/>
                          <w:marRight w:val="0"/>
                          <w:marTop w:val="0"/>
                          <w:marBottom w:val="0"/>
                          <w:divBdr>
                            <w:top w:val="none" w:sz="0" w:space="0" w:color="auto"/>
                            <w:left w:val="none" w:sz="0" w:space="0" w:color="auto"/>
                            <w:bottom w:val="none" w:sz="0" w:space="0" w:color="auto"/>
                            <w:right w:val="none" w:sz="0" w:space="0" w:color="auto"/>
                          </w:divBdr>
                          <w:divsChild>
                            <w:div w:id="1027218683">
                              <w:marLeft w:val="0"/>
                              <w:marRight w:val="0"/>
                              <w:marTop w:val="0"/>
                              <w:marBottom w:val="0"/>
                              <w:divBdr>
                                <w:top w:val="none" w:sz="0" w:space="0" w:color="auto"/>
                                <w:left w:val="none" w:sz="0" w:space="0" w:color="auto"/>
                                <w:bottom w:val="none" w:sz="0" w:space="0" w:color="auto"/>
                                <w:right w:val="none" w:sz="0" w:space="0" w:color="auto"/>
                              </w:divBdr>
                              <w:divsChild>
                                <w:div w:id="1877423967">
                                  <w:marLeft w:val="0"/>
                                  <w:marRight w:val="0"/>
                                  <w:marTop w:val="0"/>
                                  <w:marBottom w:val="0"/>
                                  <w:divBdr>
                                    <w:top w:val="none" w:sz="0" w:space="0" w:color="auto"/>
                                    <w:left w:val="none" w:sz="0" w:space="0" w:color="auto"/>
                                    <w:bottom w:val="none" w:sz="0" w:space="0" w:color="auto"/>
                                    <w:right w:val="none" w:sz="0" w:space="0" w:color="auto"/>
                                  </w:divBdr>
                                  <w:divsChild>
                                    <w:div w:id="1367410164">
                                      <w:marLeft w:val="0"/>
                                      <w:marRight w:val="0"/>
                                      <w:marTop w:val="0"/>
                                      <w:marBottom w:val="0"/>
                                      <w:divBdr>
                                        <w:top w:val="none" w:sz="0" w:space="0" w:color="auto"/>
                                        <w:left w:val="none" w:sz="0" w:space="0" w:color="auto"/>
                                        <w:bottom w:val="none" w:sz="0" w:space="0" w:color="auto"/>
                                        <w:right w:val="none" w:sz="0" w:space="0" w:color="auto"/>
                                      </w:divBdr>
                                      <w:divsChild>
                                        <w:div w:id="824706554">
                                          <w:marLeft w:val="0"/>
                                          <w:marRight w:val="0"/>
                                          <w:marTop w:val="0"/>
                                          <w:marBottom w:val="0"/>
                                          <w:divBdr>
                                            <w:top w:val="none" w:sz="0" w:space="0" w:color="auto"/>
                                            <w:left w:val="none" w:sz="0" w:space="0" w:color="auto"/>
                                            <w:bottom w:val="none" w:sz="0" w:space="0" w:color="auto"/>
                                            <w:right w:val="none" w:sz="0" w:space="0" w:color="auto"/>
                                          </w:divBdr>
                                          <w:divsChild>
                                            <w:div w:id="8830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625213">
      <w:bodyDiv w:val="1"/>
      <w:marLeft w:val="0"/>
      <w:marRight w:val="0"/>
      <w:marTop w:val="0"/>
      <w:marBottom w:val="0"/>
      <w:divBdr>
        <w:top w:val="none" w:sz="0" w:space="0" w:color="auto"/>
        <w:left w:val="none" w:sz="0" w:space="0" w:color="auto"/>
        <w:bottom w:val="none" w:sz="0" w:space="0" w:color="auto"/>
        <w:right w:val="none" w:sz="0" w:space="0" w:color="auto"/>
      </w:divBdr>
    </w:div>
    <w:div w:id="1447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0/GO.24.00044" TargetMode="External"/><Relationship Id="rId18" Type="http://schemas.openxmlformats.org/officeDocument/2006/relationships/hyperlink" Target="https://doi.org/10.1016/S0140-6736(17)31462-9" TargetMode="External"/><Relationship Id="rId26" Type="http://schemas.openxmlformats.org/officeDocument/2006/relationships/hyperlink" Target="https://doi.org/10.1016/S0140-6736(12)60643-6" TargetMode="External"/><Relationship Id="rId39" Type="http://schemas.openxmlformats.org/officeDocument/2006/relationships/hyperlink" Target="https://doi.org/10.3389/fpubh.2022.836914" TargetMode="External"/><Relationship Id="rId21" Type="http://schemas.openxmlformats.org/officeDocument/2006/relationships/hyperlink" Target="https://doi.org/10.1378/chest.111.6.1710" TargetMode="External"/><Relationship Id="rId34" Type="http://schemas.openxmlformats.org/officeDocument/2006/relationships/hyperlink" Target="https://doi.org/10.3322/caac.2166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hyperlink" Target="https://www.icmr.gov.in/icmrobject/custom_data/1702892908_press_release_cancer_report_ncdir.pdf" TargetMode="External"/><Relationship Id="rId29" Type="http://schemas.openxmlformats.org/officeDocument/2006/relationships/hyperlink" Target="https://doi.org/10.1016/j.jtho.2016.10.016"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016/j.gtc.2016.04.001" TargetMode="External"/><Relationship Id="rId24" Type="http://schemas.openxmlformats.org/officeDocument/2006/relationships/hyperlink" Target="https://pmc.ncbi.nlm.nih.gov/articles/PMC2684724/?utm_source=chatgpt.com" TargetMode="External"/><Relationship Id="rId32" Type="http://schemas.openxmlformats.org/officeDocument/2006/relationships/hyperlink" Target="https://www.aafp.org/pubs/afp/issues/2017/0101/p22.html" TargetMode="External"/><Relationship Id="rId37" Type="http://schemas.openxmlformats.org/officeDocument/2006/relationships/hyperlink" Target="https://www.ncbi.nlm.nih.gov/books/NBK459267/" TargetMode="External"/><Relationship Id="rId40" Type="http://schemas.openxmlformats.org/officeDocument/2006/relationships/hyperlink" Target="https://doi.org/10.21037/jgo-21-429"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icmr.gov.in/icmrobject/custom_data/pdf/resource-guidelines/Esophagus%20final%20ICMR2014_0.pdf" TargetMode="External"/><Relationship Id="rId23" Type="http://schemas.openxmlformats.org/officeDocument/2006/relationships/hyperlink" Target="https://ncdirindia.org/NE_Report.aspx" TargetMode="External"/><Relationship Id="rId28" Type="http://schemas.openxmlformats.org/officeDocument/2006/relationships/hyperlink" Target="https://ntcp.mohfw.gov.in/assets/document/surveys-reports-publications/Report-on-Tobacco-Control-in-India.pdf" TargetMode="External"/><Relationship Id="rId36" Type="http://schemas.openxmlformats.org/officeDocument/2006/relationships/hyperlink" Target="https://doi.org/10.1186/1471-2407-8-221" TargetMode="External"/><Relationship Id="rId10" Type="http://schemas.openxmlformats.org/officeDocument/2006/relationships/chart" Target="charts/chart5.xml"/><Relationship Id="rId19" Type="http://schemas.openxmlformats.org/officeDocument/2006/relationships/hyperlink" Target="https://doi.org/10.11648/j.ajbls.20210901.16" TargetMode="External"/><Relationship Id="rId31" Type="http://schemas.openxmlformats.org/officeDocument/2006/relationships/hyperlink" Target="https://doi.org/10.1016/S1470-2045(15)00040-6"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doi.org/10.1200/GO.20.00155" TargetMode="External"/><Relationship Id="rId22" Type="http://schemas.openxmlformats.org/officeDocument/2006/relationships/hyperlink" Target="https://seer.cancer.gov/statfacts/html/esoph.html" TargetMode="External"/><Relationship Id="rId27" Type="http://schemas.openxmlformats.org/officeDocument/2006/relationships/hyperlink" Target="https://doi.org/10.1054/bjoc.2001.1920" TargetMode="External"/><Relationship Id="rId30" Type="http://schemas.openxmlformats.org/officeDocument/2006/relationships/hyperlink" Target="https://doi.org/10.4103/ijmr.IJMR_347_20" TargetMode="External"/><Relationship Id="rId35" Type="http://schemas.openxmlformats.org/officeDocument/2006/relationships/hyperlink" Target="https://doi.org/10.14740/wjon1254"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3.xml"/><Relationship Id="rId3" Type="http://schemas.openxmlformats.org/officeDocument/2006/relationships/webSettings" Target="webSettings.xml"/><Relationship Id="rId12" Type="http://schemas.openxmlformats.org/officeDocument/2006/relationships/hyperlink" Target="https://doi.org/10.4103/jcrt.jcrt_7_23" TargetMode="External"/><Relationship Id="rId17" Type="http://schemas.openxmlformats.org/officeDocument/2006/relationships/hyperlink" Target="https://www.iarc.who.int/wp-content/uploads/2018/07/Tobacco_vol12.pdf" TargetMode="External"/><Relationship Id="rId25" Type="http://schemas.openxmlformats.org/officeDocument/2006/relationships/hyperlink" Target="https://doi.org/10.1016/j.esmoop.2025.104134" TargetMode="External"/><Relationship Id="rId33" Type="http://schemas.openxmlformats.org/officeDocument/2006/relationships/hyperlink" Target="https://doi.org/10.1038/s41598-022-09193-x" TargetMode="External"/><Relationship Id="rId38" Type="http://schemas.openxmlformats.org/officeDocument/2006/relationships/hyperlink" Target="https://doi.org/10.3389/fonc.2021.736448" TargetMode="External"/><Relationship Id="rId46" Type="http://schemas.openxmlformats.org/officeDocument/2006/relationships/footer" Target="footer3.xml"/><Relationship Id="rId20" Type="http://schemas.openxmlformats.org/officeDocument/2006/relationships/hyperlink" Target="https://doi.org/10.1200/JCO.23.01284"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B\Ph.D\DESCRIPTIVE\2018-2022\SUMMARY%20EXCEL\PROCSum1A-Report%20(30%20files%20merg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B\Ph.D\DESCRIPTIVE\2018-2022\SUMMARY%20EXCEL\PROCSum1A-Report%20(30%20files%20merg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B\Ph.D\DESCRIPTIVE\2018-2022\SUMMARY%20EXCEL\PROCSum1A-Report%20(30%20files%20merg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73365829271339"/>
          <c:y val="0.17575659685895906"/>
          <c:w val="0.73345975503062122"/>
          <c:h val="0.70369924347691837"/>
        </c:manualLayout>
      </c:layout>
      <c:barChart>
        <c:barDir val="col"/>
        <c:grouping val="clustered"/>
        <c:varyColors val="1"/>
        <c:ser>
          <c:idx val="0"/>
          <c:order val="0"/>
          <c:spPr>
            <a:solidFill>
              <a:schemeClr val="accent2"/>
            </a:solidFill>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57B2-4412-B8FA-AA85BEB564C1}"/>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3-57B2-4412-B8FA-AA85BEB564C1}"/>
              </c:ext>
            </c:extLst>
          </c:dPt>
          <c:dLbls>
            <c:dLbl>
              <c:idx val="0"/>
              <c:layout>
                <c:manualLayout>
                  <c:x val="-5.5555555555555558E-3"/>
                  <c:y val="-3.24074074074074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B2-4412-B8FA-AA85BEB564C1}"/>
                </c:ext>
              </c:extLst>
            </c:dLbl>
            <c:dLbl>
              <c:idx val="1"/>
              <c:layout>
                <c:manualLayout>
                  <c:x val="2.7777777777777779E-3"/>
                  <c:y val="-2.87856568072264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B2-4412-B8FA-AA85BEB564C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Sheet1!$A$1:$B$1</c:f>
              <c:strCache>
                <c:ptCount val="2"/>
                <c:pt idx="0">
                  <c:v>Males</c:v>
                </c:pt>
                <c:pt idx="1">
                  <c:v>Females</c:v>
                </c:pt>
              </c:strCache>
            </c:strRef>
          </c:cat>
          <c:val>
            <c:numRef>
              <c:f>Sheet1!$A$2:$B$2</c:f>
              <c:numCache>
                <c:formatCode>General</c:formatCode>
                <c:ptCount val="2"/>
                <c:pt idx="0">
                  <c:v>66.3</c:v>
                </c:pt>
                <c:pt idx="1">
                  <c:v>33.700000000000003</c:v>
                </c:pt>
              </c:numCache>
            </c:numRef>
          </c:val>
          <c:extLst>
            <c:ext xmlns:c16="http://schemas.microsoft.com/office/drawing/2014/chart" uri="{C3380CC4-5D6E-409C-BE32-E72D297353CC}">
              <c16:uniqueId val="{00000004-57B2-4412-B8FA-AA85BEB564C1}"/>
            </c:ext>
          </c:extLst>
        </c:ser>
        <c:dLbls>
          <c:dLblPos val="outEnd"/>
          <c:showLegendKey val="0"/>
          <c:showVal val="1"/>
          <c:showCatName val="0"/>
          <c:showSerName val="0"/>
          <c:showPercent val="0"/>
          <c:showBubbleSize val="0"/>
        </c:dLbls>
        <c:gapWidth val="219"/>
        <c:overlap val="-27"/>
        <c:axId val="556069856"/>
        <c:axId val="556075616"/>
      </c:barChart>
      <c:catAx>
        <c:axId val="556069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Sex</a:t>
                </a:r>
              </a:p>
            </c:rich>
          </c:tx>
          <c:layout>
            <c:manualLayout>
              <c:xMode val="edge"/>
              <c:yMode val="edge"/>
              <c:x val="0.46685985680361386"/>
              <c:y val="0.936873520180606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6075616"/>
        <c:crosses val="autoZero"/>
        <c:auto val="1"/>
        <c:lblAlgn val="ctr"/>
        <c:lblOffset val="100"/>
        <c:noMultiLvlLbl val="0"/>
      </c:catAx>
      <c:valAx>
        <c:axId val="556075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Relative Proportion (%)</a:t>
                </a:r>
              </a:p>
            </c:rich>
          </c:tx>
          <c:layout>
            <c:manualLayout>
              <c:xMode val="edge"/>
              <c:yMode val="edge"/>
              <c:x val="1.9444533718999412E-2"/>
              <c:y val="0.289195773605222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6069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10000"/>
        </a:schemeClr>
      </a:solidFill>
      <a:round/>
    </a:ln>
    <a:effectLst/>
  </c:spPr>
  <c:txPr>
    <a:bodyPr/>
    <a:lstStyle/>
    <a:p>
      <a:pPr>
        <a:spcAft>
          <a:spcPts val="0"/>
        </a:spcAft>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Leading Sites of Cancer-Males</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436686886684921"/>
          <c:y val="0.11628303495311169"/>
          <c:w val="0.68993968931920113"/>
          <c:h val="0.60710071087661355"/>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FEFF-4EEC-B2C0-6A38B5090B36}"/>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FEFF-4EEC-B2C0-6A38B5090B36}"/>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FEFF-4EEC-B2C0-6A38B5090B36}"/>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FEFF-4EEC-B2C0-6A38B5090B36}"/>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FEFF-4EEC-B2C0-6A38B5090B36}"/>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FEFF-4EEC-B2C0-6A38B5090B36}"/>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FEFF-4EEC-B2C0-6A38B5090B36}"/>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FEFF-4EEC-B2C0-6A38B5090B36}"/>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FEFF-4EEC-B2C0-6A38B5090B36}"/>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FEFF-4EEC-B2C0-6A38B5090B3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Sheet2!$J$1:$J$10</c:f>
              <c:strCache>
                <c:ptCount val="10"/>
                <c:pt idx="0">
                  <c:v>Esophagus </c:v>
                </c:pt>
                <c:pt idx="1">
                  <c:v>Hypopharynx</c:v>
                </c:pt>
                <c:pt idx="2">
                  <c:v>Mouth </c:v>
                </c:pt>
                <c:pt idx="3">
                  <c:v>Stomach </c:v>
                </c:pt>
                <c:pt idx="4">
                  <c:v>Lung etc. </c:v>
                </c:pt>
                <c:pt idx="5">
                  <c:v>Tongue </c:v>
                </c:pt>
                <c:pt idx="6">
                  <c:v>Gallbladder etc. </c:v>
                </c:pt>
                <c:pt idx="7">
                  <c:v>Rectum </c:v>
                </c:pt>
                <c:pt idx="8">
                  <c:v>Tonsil </c:v>
                </c:pt>
                <c:pt idx="9">
                  <c:v>Colon </c:v>
                </c:pt>
              </c:strCache>
            </c:strRef>
          </c:cat>
          <c:val>
            <c:numRef>
              <c:f>Sheet2!$K$1:$K$10</c:f>
              <c:numCache>
                <c:formatCode>###0.0;###0.0</c:formatCode>
                <c:ptCount val="10"/>
                <c:pt idx="0">
                  <c:v>15.4</c:v>
                </c:pt>
                <c:pt idx="1">
                  <c:v>13.4</c:v>
                </c:pt>
                <c:pt idx="2">
                  <c:v>9.1999999999999993</c:v>
                </c:pt>
                <c:pt idx="3">
                  <c:v>7.1</c:v>
                </c:pt>
                <c:pt idx="4">
                  <c:v>6.5</c:v>
                </c:pt>
                <c:pt idx="5">
                  <c:v>6.5</c:v>
                </c:pt>
                <c:pt idx="6">
                  <c:v>4.8</c:v>
                </c:pt>
                <c:pt idx="7">
                  <c:v>3.6</c:v>
                </c:pt>
                <c:pt idx="8">
                  <c:v>3.3</c:v>
                </c:pt>
                <c:pt idx="9">
                  <c:v>3.2</c:v>
                </c:pt>
              </c:numCache>
            </c:numRef>
          </c:val>
          <c:extLst>
            <c:ext xmlns:c16="http://schemas.microsoft.com/office/drawing/2014/chart" uri="{C3380CC4-5D6E-409C-BE32-E72D297353CC}">
              <c16:uniqueId val="{00000014-FEFF-4EEC-B2C0-6A38B5090B36}"/>
            </c:ext>
          </c:extLst>
        </c:ser>
        <c:dLbls>
          <c:dLblPos val="outEnd"/>
          <c:showLegendKey val="0"/>
          <c:showVal val="1"/>
          <c:showCatName val="0"/>
          <c:showSerName val="0"/>
          <c:showPercent val="0"/>
          <c:showBubbleSize val="0"/>
        </c:dLbls>
        <c:gapWidth val="219"/>
        <c:overlap val="-27"/>
        <c:axId val="1150516927"/>
        <c:axId val="1150517887"/>
      </c:barChart>
      <c:catAx>
        <c:axId val="1150516927"/>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Sites of cancer</a:t>
                </a:r>
              </a:p>
            </c:rich>
          </c:tx>
          <c:layout>
            <c:manualLayout>
              <c:xMode val="edge"/>
              <c:yMode val="edge"/>
              <c:x val="0.37952528812434227"/>
              <c:y val="0.92327365728900257"/>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517887"/>
        <c:crosses val="autoZero"/>
        <c:auto val="1"/>
        <c:lblAlgn val="ctr"/>
        <c:lblOffset val="100"/>
        <c:noMultiLvlLbl val="0"/>
      </c:catAx>
      <c:valAx>
        <c:axId val="1150517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Relative Proportion (%)</a:t>
                </a:r>
              </a:p>
            </c:rich>
          </c:tx>
          <c:layout>
            <c:manualLayout>
              <c:xMode val="edge"/>
              <c:yMode val="edge"/>
              <c:x val="1.552967276760954E-2"/>
              <c:y val="0.206414671311866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0516927"/>
        <c:crosses val="autoZero"/>
        <c:crossBetween val="between"/>
        <c:majorUnit val="5"/>
      </c:valAx>
      <c:spPr>
        <a:noFill/>
        <a:ln>
          <a:noFill/>
        </a:ln>
        <a:effectLst/>
      </c:spPr>
    </c:plotArea>
    <c:legend>
      <c:legendPos val="r"/>
      <c:layout>
        <c:manualLayout>
          <c:xMode val="edge"/>
          <c:yMode val="edge"/>
          <c:x val="0.81983623095365987"/>
          <c:y val="0.15975512012405102"/>
          <c:w val="0.16907114564090472"/>
          <c:h val="0.54101805049304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Leading sites of cancer-Females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E2B-4626-927A-C27F7922FCA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0E2B-4626-927A-C27F7922FCA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E2B-4626-927A-C27F7922FCA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0E2B-4626-927A-C27F7922FCAD}"/>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0E2B-4626-927A-C27F7922FCAD}"/>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0E2B-4626-927A-C27F7922FCAD}"/>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0E2B-4626-927A-C27F7922FCAD}"/>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0E2B-4626-927A-C27F7922FCAD}"/>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0E2B-4626-927A-C27F7922FCAD}"/>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0E2B-4626-927A-C27F7922FCA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Sheet2!$N$1:$N$10</c:f>
              <c:strCache>
                <c:ptCount val="10"/>
                <c:pt idx="0">
                  <c:v>Breast </c:v>
                </c:pt>
                <c:pt idx="1">
                  <c:v>Cervix Uteri </c:v>
                </c:pt>
                <c:pt idx="2">
                  <c:v>Gallbladder etc. </c:v>
                </c:pt>
                <c:pt idx="3">
                  <c:v>Esophagus </c:v>
                </c:pt>
                <c:pt idx="4">
                  <c:v>Mouth </c:v>
                </c:pt>
                <c:pt idx="5">
                  <c:v>Ovary etc. </c:v>
                </c:pt>
                <c:pt idx="6">
                  <c:v>Stomach </c:v>
                </c:pt>
                <c:pt idx="7">
                  <c:v>Lung etc. </c:v>
                </c:pt>
                <c:pt idx="8">
                  <c:v>Rectum </c:v>
                </c:pt>
                <c:pt idx="9">
                  <c:v>Hypopharynx </c:v>
                </c:pt>
              </c:strCache>
            </c:strRef>
          </c:cat>
          <c:val>
            <c:numRef>
              <c:f>Sheet2!$O$1:$O$10</c:f>
              <c:numCache>
                <c:formatCode>###0.0;###0.0</c:formatCode>
                <c:ptCount val="10"/>
                <c:pt idx="0">
                  <c:v>20</c:v>
                </c:pt>
                <c:pt idx="1">
                  <c:v>16.3</c:v>
                </c:pt>
                <c:pt idx="2">
                  <c:v>11</c:v>
                </c:pt>
                <c:pt idx="3">
                  <c:v>8.5</c:v>
                </c:pt>
                <c:pt idx="4">
                  <c:v>5.2</c:v>
                </c:pt>
                <c:pt idx="5">
                  <c:v>4.9000000000000004</c:v>
                </c:pt>
                <c:pt idx="6">
                  <c:v>4.2</c:v>
                </c:pt>
                <c:pt idx="7">
                  <c:v>2.9</c:v>
                </c:pt>
                <c:pt idx="8">
                  <c:v>2.8</c:v>
                </c:pt>
                <c:pt idx="9">
                  <c:v>2.7</c:v>
                </c:pt>
              </c:numCache>
            </c:numRef>
          </c:val>
          <c:extLst>
            <c:ext xmlns:c16="http://schemas.microsoft.com/office/drawing/2014/chart" uri="{C3380CC4-5D6E-409C-BE32-E72D297353CC}">
              <c16:uniqueId val="{00000014-0E2B-4626-927A-C27F7922FCAD}"/>
            </c:ext>
          </c:extLst>
        </c:ser>
        <c:dLbls>
          <c:dLblPos val="outEnd"/>
          <c:showLegendKey val="0"/>
          <c:showVal val="1"/>
          <c:showCatName val="0"/>
          <c:showSerName val="0"/>
          <c:showPercent val="0"/>
          <c:showBubbleSize val="0"/>
        </c:dLbls>
        <c:gapWidth val="219"/>
        <c:axId val="1173069791"/>
        <c:axId val="1173067871"/>
      </c:barChart>
      <c:catAx>
        <c:axId val="1173069791"/>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IN"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Sites of cancer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3067871"/>
        <c:crosses val="autoZero"/>
        <c:auto val="1"/>
        <c:lblAlgn val="ctr"/>
        <c:lblOffset val="100"/>
        <c:noMultiLvlLbl val="0"/>
      </c:catAx>
      <c:valAx>
        <c:axId val="1173067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en-IN" sz="11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Proportion (%)</a:t>
                </a:r>
              </a:p>
            </c:rich>
          </c:tx>
          <c:layout>
            <c:manualLayout>
              <c:xMode val="edge"/>
              <c:yMode val="edge"/>
              <c:x val="1.4298479444903756E-2"/>
              <c:y val="0.21425636660282329"/>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3069791"/>
        <c:crosses val="autoZero"/>
        <c:crossBetween val="between"/>
      </c:valAx>
      <c:spPr>
        <a:noFill/>
        <a:ln>
          <a:noFill/>
        </a:ln>
        <a:effectLst/>
      </c:spPr>
    </c:plotArea>
    <c:legend>
      <c:legendPos val="r"/>
      <c:layout>
        <c:manualLayout>
          <c:xMode val="edge"/>
          <c:yMode val="edge"/>
          <c:x val="0.79932365565208385"/>
          <c:y val="0.14044406611335744"/>
          <c:w val="0.18876094481049635"/>
          <c:h val="0.571724480385897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Tobacco Related Cancers (TRC) Relative to all Sites of Cancer-Males &amp; Females </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114129357437419"/>
          <c:y val="0.22773762130438838"/>
          <c:w val="0.87930060487908768"/>
          <c:h val="0.51547271536754125"/>
        </c:manualLayout>
      </c:layout>
      <c:barChart>
        <c:barDir val="col"/>
        <c:grouping val="clustered"/>
        <c:varyColors val="0"/>
        <c:ser>
          <c:idx val="0"/>
          <c:order val="0"/>
          <c:tx>
            <c:strRef>
              <c:f>Sheet2!$AI$1:$AI$2</c:f>
              <c:strCache>
                <c:ptCount val="2"/>
                <c:pt idx="0">
                  <c:v>Males</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Sheet2!$AH$3:$AH$12</c:f>
              <c:strCache>
                <c:ptCount val="10"/>
                <c:pt idx="0">
                  <c:v>Lip </c:v>
                </c:pt>
                <c:pt idx="1">
                  <c:v>Tongue </c:v>
                </c:pt>
                <c:pt idx="2">
                  <c:v>Mouth </c:v>
                </c:pt>
                <c:pt idx="3">
                  <c:v>Oropharynx </c:v>
                </c:pt>
                <c:pt idx="4">
                  <c:v>Hypopharynx</c:v>
                </c:pt>
                <c:pt idx="5">
                  <c:v>Pharynx </c:v>
                </c:pt>
                <c:pt idx="6">
                  <c:v>Esophagus </c:v>
                </c:pt>
                <c:pt idx="7">
                  <c:v>Larynx </c:v>
                </c:pt>
                <c:pt idx="8">
                  <c:v>Lung </c:v>
                </c:pt>
                <c:pt idx="9">
                  <c:v>Urinary Bladder </c:v>
                </c:pt>
              </c:strCache>
            </c:strRef>
          </c:cat>
          <c:val>
            <c:numRef>
              <c:f>Sheet2!$AI$3:$AI$12</c:f>
              <c:numCache>
                <c:formatCode>###0.0;###0.0</c:formatCode>
                <c:ptCount val="10"/>
                <c:pt idx="0">
                  <c:v>0.3</c:v>
                </c:pt>
                <c:pt idx="1">
                  <c:v>4.4000000000000004</c:v>
                </c:pt>
                <c:pt idx="2">
                  <c:v>6.3</c:v>
                </c:pt>
                <c:pt idx="3">
                  <c:v>1</c:v>
                </c:pt>
                <c:pt idx="4">
                  <c:v>9.1</c:v>
                </c:pt>
                <c:pt idx="5">
                  <c:v>0.8</c:v>
                </c:pt>
                <c:pt idx="6">
                  <c:v>10.5</c:v>
                </c:pt>
                <c:pt idx="7">
                  <c:v>1.8</c:v>
                </c:pt>
                <c:pt idx="8">
                  <c:v>4.4000000000000004</c:v>
                </c:pt>
                <c:pt idx="9">
                  <c:v>0.5</c:v>
                </c:pt>
              </c:numCache>
            </c:numRef>
          </c:val>
          <c:extLst>
            <c:ext xmlns:c16="http://schemas.microsoft.com/office/drawing/2014/chart" uri="{C3380CC4-5D6E-409C-BE32-E72D297353CC}">
              <c16:uniqueId val="{00000000-0CF9-4BE6-BD48-DA7C7B63A61A}"/>
            </c:ext>
          </c:extLst>
        </c:ser>
        <c:ser>
          <c:idx val="1"/>
          <c:order val="1"/>
          <c:tx>
            <c:strRef>
              <c:f>Sheet2!$AJ$1:$AJ$2</c:f>
              <c:strCache>
                <c:ptCount val="2"/>
                <c:pt idx="0">
                  <c:v>Females</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Sheet2!$AH$3:$AH$12</c:f>
              <c:strCache>
                <c:ptCount val="10"/>
                <c:pt idx="0">
                  <c:v>Lip </c:v>
                </c:pt>
                <c:pt idx="1">
                  <c:v>Tongue </c:v>
                </c:pt>
                <c:pt idx="2">
                  <c:v>Mouth </c:v>
                </c:pt>
                <c:pt idx="3">
                  <c:v>Oropharynx </c:v>
                </c:pt>
                <c:pt idx="4">
                  <c:v>Hypopharynx</c:v>
                </c:pt>
                <c:pt idx="5">
                  <c:v>Pharynx </c:v>
                </c:pt>
                <c:pt idx="6">
                  <c:v>Esophagus </c:v>
                </c:pt>
                <c:pt idx="7">
                  <c:v>Larynx </c:v>
                </c:pt>
                <c:pt idx="8">
                  <c:v>Lung </c:v>
                </c:pt>
                <c:pt idx="9">
                  <c:v>Urinary Bladder </c:v>
                </c:pt>
              </c:strCache>
            </c:strRef>
          </c:cat>
          <c:val>
            <c:numRef>
              <c:f>Sheet2!$AJ$3:$AJ$12</c:f>
              <c:numCache>
                <c:formatCode>###0.0;###0.0</c:formatCode>
                <c:ptCount val="10"/>
                <c:pt idx="0">
                  <c:v>0.2</c:v>
                </c:pt>
                <c:pt idx="1">
                  <c:v>1.4</c:v>
                </c:pt>
                <c:pt idx="2">
                  <c:v>3.6</c:v>
                </c:pt>
                <c:pt idx="3">
                  <c:v>0.2</c:v>
                </c:pt>
                <c:pt idx="4">
                  <c:v>1.9</c:v>
                </c:pt>
                <c:pt idx="5">
                  <c:v>0.2</c:v>
                </c:pt>
                <c:pt idx="6">
                  <c:v>6</c:v>
                </c:pt>
                <c:pt idx="7">
                  <c:v>0.5</c:v>
                </c:pt>
                <c:pt idx="8">
                  <c:v>2</c:v>
                </c:pt>
                <c:pt idx="9">
                  <c:v>0.1</c:v>
                </c:pt>
              </c:numCache>
            </c:numRef>
          </c:val>
          <c:extLst>
            <c:ext xmlns:c16="http://schemas.microsoft.com/office/drawing/2014/chart" uri="{C3380CC4-5D6E-409C-BE32-E72D297353CC}">
              <c16:uniqueId val="{00000001-0CF9-4BE6-BD48-DA7C7B63A61A}"/>
            </c:ext>
          </c:extLst>
        </c:ser>
        <c:dLbls>
          <c:showLegendKey val="0"/>
          <c:showVal val="0"/>
          <c:showCatName val="0"/>
          <c:showSerName val="0"/>
          <c:showPercent val="0"/>
          <c:showBubbleSize val="0"/>
        </c:dLbls>
        <c:gapWidth val="219"/>
        <c:overlap val="-27"/>
        <c:axId val="927622847"/>
        <c:axId val="927626175"/>
      </c:barChart>
      <c:catAx>
        <c:axId val="927622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Sites of Cancer</a:t>
                </a:r>
              </a:p>
            </c:rich>
          </c:tx>
          <c:layout>
            <c:manualLayout>
              <c:xMode val="edge"/>
              <c:yMode val="edge"/>
              <c:x val="0.43717003389433934"/>
              <c:y val="0.924490116316916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7626175"/>
        <c:crosses val="autoZero"/>
        <c:auto val="1"/>
        <c:lblAlgn val="ctr"/>
        <c:lblOffset val="100"/>
        <c:noMultiLvlLbl val="0"/>
      </c:catAx>
      <c:valAx>
        <c:axId val="927626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Relative Proportion (%)</a:t>
                </a:r>
              </a:p>
            </c:rich>
          </c:tx>
          <c:layout>
            <c:manualLayout>
              <c:xMode val="edge"/>
              <c:yMode val="edge"/>
              <c:x val="7.8624066455289677E-3"/>
              <c:y val="0.273557150384688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76228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Any Specific Treatment relative to all Treatment Procedures-Treatment only RI</a:t>
            </a:r>
            <a:endParaRPr lang="en-US"/>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Sheet2!$HI$1:$HI$2</c:f>
              <c:strCache>
                <c:ptCount val="2"/>
                <c:pt idx="0">
                  <c:v>Males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Sheet2!$HH$3:$HH$8</c:f>
              <c:strCache>
                <c:ptCount val="6"/>
                <c:pt idx="0">
                  <c:v>Any Surgery</c:v>
                </c:pt>
                <c:pt idx="1">
                  <c:v>Any Radiotherapy</c:v>
                </c:pt>
                <c:pt idx="2">
                  <c:v>Any Chemotherapy</c:v>
                </c:pt>
                <c:pt idx="3">
                  <c:v>Any Hormone Therapy</c:v>
                </c:pt>
                <c:pt idx="4">
                  <c:v>Any Others</c:v>
                </c:pt>
                <c:pt idx="5">
                  <c:v>Unknown</c:v>
                </c:pt>
              </c:strCache>
            </c:strRef>
          </c:cat>
          <c:val>
            <c:numRef>
              <c:f>Sheet2!$HI$3:$HI$8</c:f>
              <c:numCache>
                <c:formatCode>###0.0;###0.0</c:formatCode>
                <c:ptCount val="6"/>
                <c:pt idx="0">
                  <c:v>11.8</c:v>
                </c:pt>
                <c:pt idx="1">
                  <c:v>49.2</c:v>
                </c:pt>
                <c:pt idx="2">
                  <c:v>38.299999999999997</c:v>
                </c:pt>
                <c:pt idx="3" formatCode="General">
                  <c:v>0</c:v>
                </c:pt>
                <c:pt idx="4">
                  <c:v>0.7</c:v>
                </c:pt>
                <c:pt idx="5" formatCode="General">
                  <c:v>0</c:v>
                </c:pt>
              </c:numCache>
            </c:numRef>
          </c:val>
          <c:extLst>
            <c:ext xmlns:c16="http://schemas.microsoft.com/office/drawing/2014/chart" uri="{C3380CC4-5D6E-409C-BE32-E72D297353CC}">
              <c16:uniqueId val="{00000000-81C5-46F0-96E5-5970CB7EE2CE}"/>
            </c:ext>
          </c:extLst>
        </c:ser>
        <c:ser>
          <c:idx val="1"/>
          <c:order val="1"/>
          <c:tx>
            <c:strRef>
              <c:f>Sheet2!$HJ$1:$HJ$2</c:f>
              <c:strCache>
                <c:ptCount val="2"/>
                <c:pt idx="0">
                  <c:v>Females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Sheet2!$HH$3:$HH$8</c:f>
              <c:strCache>
                <c:ptCount val="6"/>
                <c:pt idx="0">
                  <c:v>Any Surgery</c:v>
                </c:pt>
                <c:pt idx="1">
                  <c:v>Any Radiotherapy</c:v>
                </c:pt>
                <c:pt idx="2">
                  <c:v>Any Chemotherapy</c:v>
                </c:pt>
                <c:pt idx="3">
                  <c:v>Any Hormone Therapy</c:v>
                </c:pt>
                <c:pt idx="4">
                  <c:v>Any Others</c:v>
                </c:pt>
                <c:pt idx="5">
                  <c:v>Unknown</c:v>
                </c:pt>
              </c:strCache>
            </c:strRef>
          </c:cat>
          <c:val>
            <c:numRef>
              <c:f>Sheet2!$HJ$3:$HJ$8</c:f>
              <c:numCache>
                <c:formatCode>###0.0;###0.0</c:formatCode>
                <c:ptCount val="6"/>
                <c:pt idx="0">
                  <c:v>11.9</c:v>
                </c:pt>
                <c:pt idx="1">
                  <c:v>51.1</c:v>
                </c:pt>
                <c:pt idx="2">
                  <c:v>36.4</c:v>
                </c:pt>
                <c:pt idx="3" formatCode="General">
                  <c:v>0</c:v>
                </c:pt>
                <c:pt idx="4">
                  <c:v>0.6</c:v>
                </c:pt>
                <c:pt idx="5" formatCode="General">
                  <c:v>0</c:v>
                </c:pt>
              </c:numCache>
            </c:numRef>
          </c:val>
          <c:extLst>
            <c:ext xmlns:c16="http://schemas.microsoft.com/office/drawing/2014/chart" uri="{C3380CC4-5D6E-409C-BE32-E72D297353CC}">
              <c16:uniqueId val="{00000001-81C5-46F0-96E5-5970CB7EE2CE}"/>
            </c:ext>
          </c:extLst>
        </c:ser>
        <c:dLbls>
          <c:dLblPos val="outEnd"/>
          <c:showLegendKey val="0"/>
          <c:showVal val="1"/>
          <c:showCatName val="0"/>
          <c:showSerName val="0"/>
          <c:showPercent val="0"/>
          <c:showBubbleSize val="0"/>
        </c:dLbls>
        <c:gapWidth val="219"/>
        <c:overlap val="-27"/>
        <c:axId val="1656988896"/>
        <c:axId val="1656989312"/>
      </c:barChart>
      <c:catAx>
        <c:axId val="1656988896"/>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Any Specific Treatment</a:t>
                </a:r>
              </a:p>
            </c:rich>
          </c:tx>
          <c:layout>
            <c:manualLayout>
              <c:xMode val="edge"/>
              <c:yMode val="edge"/>
              <c:x val="0.42959437405514656"/>
              <c:y val="0.93601190476190477"/>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6989312"/>
        <c:crosses val="autoZero"/>
        <c:auto val="1"/>
        <c:lblAlgn val="ctr"/>
        <c:lblOffset val="100"/>
        <c:noMultiLvlLbl val="0"/>
      </c:catAx>
      <c:valAx>
        <c:axId val="165698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Relative Proportion (%)</a:t>
                </a:r>
              </a:p>
            </c:rich>
          </c:tx>
          <c:layout>
            <c:manualLayout>
              <c:xMode val="edge"/>
              <c:yMode val="edge"/>
              <c:x val="6.2761506276150627E-3"/>
              <c:y val="0.3820514623172103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6988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19</Pages>
  <Words>7532</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90</cp:revision>
  <dcterms:created xsi:type="dcterms:W3CDTF">2025-11-15T05:56:00Z</dcterms:created>
  <dcterms:modified xsi:type="dcterms:W3CDTF">2025-11-27T05:36:00Z</dcterms:modified>
</cp:coreProperties>
</file>