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E2B4" w14:textId="77777777" w:rsidR="003D423B" w:rsidRDefault="003D423B">
      <w:pPr>
        <w:widowControl/>
        <w:spacing w:after="160" w:line="360" w:lineRule="auto"/>
        <w:ind w:hanging="2"/>
        <w:jc w:val="center"/>
        <w:rPr>
          <w:rFonts w:ascii="Times New Roman" w:eastAsia="Times New Roman" w:hAnsi="Times New Roman" w:cs="Times New Roman"/>
          <w:b/>
        </w:rPr>
      </w:pPr>
      <w:r w:rsidRPr="003D423B">
        <w:rPr>
          <w:rFonts w:ascii="Times New Roman" w:eastAsia="Times New Roman" w:hAnsi="Times New Roman" w:cs="Times New Roman"/>
          <w:b/>
        </w:rPr>
        <w:t xml:space="preserve">Review Article </w:t>
      </w:r>
    </w:p>
    <w:p w14:paraId="56D04A12" w14:textId="77777777" w:rsidR="003D423B" w:rsidRDefault="003D423B">
      <w:pPr>
        <w:widowControl/>
        <w:spacing w:after="160" w:line="360" w:lineRule="auto"/>
        <w:ind w:hanging="2"/>
        <w:jc w:val="center"/>
        <w:rPr>
          <w:rFonts w:ascii="Times New Roman" w:eastAsia="Times New Roman" w:hAnsi="Times New Roman" w:cs="Times New Roman"/>
          <w:b/>
        </w:rPr>
      </w:pPr>
    </w:p>
    <w:p w14:paraId="1956D188" w14:textId="32C1FB3E" w:rsidR="003E729F" w:rsidRDefault="007D06AE">
      <w:pPr>
        <w:widowControl/>
        <w:spacing w:after="160" w:line="360" w:lineRule="auto"/>
        <w:ind w:hanging="2"/>
        <w:jc w:val="center"/>
        <w:rPr>
          <w:rFonts w:ascii="Times New Roman" w:eastAsia="Times New Roman" w:hAnsi="Times New Roman" w:cs="Times New Roman"/>
          <w:b/>
        </w:rPr>
      </w:pPr>
      <w:r>
        <w:rPr>
          <w:rFonts w:ascii="Times New Roman" w:eastAsia="Times New Roman" w:hAnsi="Times New Roman" w:cs="Times New Roman"/>
          <w:b/>
        </w:rPr>
        <w:t>Therapeutic and Diagnostic Potential of HPV16 E6 and E7 Oncoproteins in Cervical and Oropharyngeal Carcinogenesis: A Scoping Review</w:t>
      </w:r>
    </w:p>
    <w:p w14:paraId="32B11B0F" w14:textId="77777777" w:rsidR="003E729F" w:rsidRDefault="003E729F">
      <w:pPr>
        <w:spacing w:line="360" w:lineRule="auto"/>
        <w:ind w:hanging="2"/>
        <w:jc w:val="both"/>
        <w:rPr>
          <w:rFonts w:ascii="Times New Roman" w:eastAsia="Times New Roman" w:hAnsi="Times New Roman" w:cs="Times New Roman"/>
          <w:b/>
        </w:rPr>
      </w:pPr>
    </w:p>
    <w:p w14:paraId="706CC982" w14:textId="77777777" w:rsidR="003E729F" w:rsidRDefault="003E729F">
      <w:pPr>
        <w:widowControl/>
        <w:spacing w:after="160" w:line="240" w:lineRule="auto"/>
        <w:ind w:hanging="2"/>
        <w:jc w:val="both"/>
        <w:rPr>
          <w:rFonts w:ascii="Times New Roman" w:eastAsia="Times New Roman" w:hAnsi="Times New Roman" w:cs="Times New Roman"/>
          <w:sz w:val="20"/>
          <w:szCs w:val="20"/>
        </w:rPr>
      </w:pPr>
    </w:p>
    <w:p w14:paraId="187B7C29" w14:textId="77777777" w:rsidR="003E729F" w:rsidRDefault="007D06AE">
      <w:pPr>
        <w:widowControl/>
        <w:spacing w:after="160" w:line="360" w:lineRule="auto"/>
        <w:ind w:hanging="2"/>
        <w:jc w:val="both"/>
        <w:rPr>
          <w:rFonts w:ascii="Times New Roman" w:eastAsia="Times New Roman" w:hAnsi="Times New Roman" w:cs="Times New Roman"/>
          <w:b/>
        </w:rPr>
      </w:pPr>
      <w:r>
        <w:rPr>
          <w:rFonts w:ascii="Times New Roman" w:eastAsia="Times New Roman" w:hAnsi="Times New Roman" w:cs="Times New Roman"/>
          <w:b/>
        </w:rPr>
        <w:t>Abstract</w:t>
      </w:r>
    </w:p>
    <w:p w14:paraId="5456F527" w14:textId="78767C2C" w:rsidR="003E729F" w:rsidRDefault="007D06AE">
      <w:pPr>
        <w:widowControl/>
        <w:spacing w:after="160" w:line="36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This scoping review aimed to summarize the current evidence on the role of HPV type 16 E6 and E7 oncoproteins in cervical and oropharyngeal carcinogenesis, and their potential applications in the development of therapeutic vaccines and diagnostic tools. The review was conducted in accordance with the Preferred Reporting Items for Systematic Reviews and Meta-Analyses Extension for Scoping Reviews (PRISMA-ScR), and the protocol was registered in the Open Science Framework (OSF). </w:t>
      </w:r>
      <w:r w:rsidR="00FD4578" w:rsidRPr="00FD4578">
        <w:rPr>
          <w:rFonts w:ascii="Times New Roman" w:eastAsia="Times New Roman" w:hAnsi="Times New Roman" w:cs="Times New Roman"/>
        </w:rPr>
        <w:t xml:space="preserve">The viral oncoproteins E6 and E7 are essential in promoting viral replication and are central to the processes of cellular immortalization and malignant transformation. </w:t>
      </w:r>
      <w:r w:rsidR="00D87D7E" w:rsidRPr="00D87D7E">
        <w:rPr>
          <w:rFonts w:ascii="Times New Roman" w:eastAsia="Times New Roman" w:hAnsi="Times New Roman" w:cs="Times New Roman"/>
          <w:highlight w:val="yellow"/>
        </w:rPr>
        <w:t>Genomic instability caused by the expression of the E6 and E7 oncoproteins is a mechanism that leads to the accumulation of multiple mutations in HPV-induced cancers.</w:t>
      </w:r>
      <w:r w:rsidR="00D87D7E">
        <w:rPr>
          <w:rFonts w:ascii="Times New Roman" w:eastAsia="Times New Roman" w:hAnsi="Times New Roman" w:cs="Times New Roman"/>
        </w:rPr>
        <w:t xml:space="preserve"> </w:t>
      </w:r>
      <w:r w:rsidR="00FD4578" w:rsidRPr="00FD4578">
        <w:rPr>
          <w:rFonts w:ascii="Times New Roman" w:eastAsia="Times New Roman" w:hAnsi="Times New Roman" w:cs="Times New Roman"/>
        </w:rPr>
        <w:t>Therapeutic vaccination strategies have shown promising outcomes in managing cervical and oropharyngeal cancers by inducing targeted immune responses against HPV-specific antigens.</w:t>
      </w:r>
      <w:r w:rsidR="002A7C20">
        <w:rPr>
          <w:rFonts w:ascii="Times New Roman" w:eastAsia="Times New Roman" w:hAnsi="Times New Roman" w:cs="Times New Roman"/>
        </w:rPr>
        <w:t xml:space="preserve"> </w:t>
      </w:r>
      <w:r>
        <w:rPr>
          <w:rFonts w:ascii="Times New Roman" w:eastAsia="Times New Roman" w:hAnsi="Times New Roman" w:cs="Times New Roman"/>
        </w:rPr>
        <w:t>Therefore, HPV16 E6 and E7 oncoproteins emerge as compelling therapeutic targets, capable of inducing cellular senescence and apoptosis without off-target effects, and hold strong potential as biomarkers and as the basis for novel therapeutic strategies in cervical and oropharyngeal tumors.</w:t>
      </w:r>
    </w:p>
    <w:p w14:paraId="356D5679" w14:textId="7C2898C1" w:rsidR="008A7FE1" w:rsidRDefault="007D06AE" w:rsidP="005E4A49">
      <w:pPr>
        <w:widowControl/>
        <w:spacing w:after="160" w:line="360" w:lineRule="auto"/>
        <w:ind w:hanging="2"/>
        <w:jc w:val="both"/>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Biomarker; E6/E7 mRNA detection; High-risk HPV genotypes; Prognostic marker; Oncogenes.</w:t>
      </w:r>
    </w:p>
    <w:p w14:paraId="6F5D16DF" w14:textId="77777777" w:rsidR="003E729F" w:rsidRDefault="007D06AE">
      <w:pPr>
        <w:pStyle w:val="Ttulo3"/>
        <w:keepNext w:val="0"/>
        <w:keepLines w:val="0"/>
        <w:widowControl/>
        <w:spacing w:before="280" w:line="360" w:lineRule="auto"/>
        <w:ind w:left="-2" w:firstLine="0"/>
        <w:jc w:val="both"/>
        <w:rPr>
          <w:rFonts w:ascii="Times New Roman" w:eastAsia="Times New Roman" w:hAnsi="Times New Roman" w:cs="Times New Roman"/>
          <w:b/>
          <w:color w:val="000000"/>
          <w:sz w:val="26"/>
          <w:szCs w:val="26"/>
        </w:rPr>
      </w:pPr>
      <w:bookmarkStart w:id="0" w:name="_heading=h.t035uiw2yiun" w:colFirst="0" w:colLast="0"/>
      <w:bookmarkEnd w:id="0"/>
      <w:r>
        <w:rPr>
          <w:rFonts w:ascii="Times New Roman" w:eastAsia="Times New Roman" w:hAnsi="Times New Roman" w:cs="Times New Roman"/>
          <w:b/>
          <w:color w:val="000000"/>
          <w:sz w:val="26"/>
          <w:szCs w:val="26"/>
        </w:rPr>
        <w:t>Introduction</w:t>
      </w:r>
    </w:p>
    <w:p w14:paraId="61436BE9"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The human papillomavirus (HPV) is a small, non-enveloped virus with a strong affinity for the keratinized epithelium of the skin and mucous membranes (Boada et al., 2023; Pratiwi et al., 2024). Belonging to the </w:t>
      </w:r>
      <w:r>
        <w:rPr>
          <w:rFonts w:ascii="Times New Roman" w:eastAsia="Times New Roman" w:hAnsi="Times New Roman" w:cs="Times New Roman"/>
          <w:i/>
        </w:rPr>
        <w:t>Papillomaviridae</w:t>
      </w:r>
      <w:r>
        <w:rPr>
          <w:rFonts w:ascii="Times New Roman" w:eastAsia="Times New Roman" w:hAnsi="Times New Roman" w:cs="Times New Roman"/>
        </w:rPr>
        <w:t xml:space="preserve"> family, more than 200 HPV genotypes are currently known (Tomaic et al., 2016), exhibiting high tissue and species specificity, and characterized by remarkable coevolution with their hosts (Basukala; Banks, 2021).</w:t>
      </w:r>
    </w:p>
    <w:p w14:paraId="728FB012"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From an epidemiological perspective, HPV infection is associated with approximately 700,000 new cancer cases annually, in addition to numerous asymptomatic infections that may progress to benign, premalignant, or malignant lesions (Song et al., 2023). Persistent infections with oncogenic HPV types such as 16, 18, 31, 33, 45, 52, 58, and about 20 other genotypes predispose female patients to the development of cervical and oropharyngeal malignancies (Tang et al., 2022), with HPV16 being the most prevalent genotype in these cancers (Yu; Majerciak; Zheng, 2022).</w:t>
      </w:r>
    </w:p>
    <w:p w14:paraId="725F741C" w14:textId="77777777" w:rsidR="00FD4578" w:rsidRPr="00FD4578" w:rsidRDefault="007D06AE" w:rsidP="00FD4578">
      <w:pPr>
        <w:spacing w:before="240" w:after="240" w:line="360" w:lineRule="auto"/>
        <w:ind w:firstLine="0"/>
        <w:jc w:val="both"/>
        <w:rPr>
          <w:rFonts w:ascii="Times New Roman" w:hAnsi="Times New Roman" w:cs="Times New Roman"/>
        </w:rPr>
      </w:pPr>
      <w:r w:rsidRPr="00FD4578">
        <w:rPr>
          <w:rFonts w:ascii="Times New Roman" w:eastAsia="Times New Roman" w:hAnsi="Times New Roman" w:cs="Times New Roman"/>
        </w:rPr>
        <w:t xml:space="preserve">The regulation of HPV gene expression is complex and mediated by both cellular and viral transcription factors that bind to specific sequences within the LCR, particularly in the central segment known as the enhancer region (Bakker et al., 2021). </w:t>
      </w:r>
      <w:r w:rsidR="00FD4578" w:rsidRPr="00FD4578">
        <w:rPr>
          <w:rFonts w:ascii="Times New Roman" w:hAnsi="Times New Roman" w:cs="Times New Roman"/>
        </w:rPr>
        <w:t>This regulatory pathway governs the transcriptional activity of the E6 and E7 genes (Pesut et al., 2021), promoting their expression in infected cells and thereby enhancing the oncogenic potential of the virus (Song et al., 2023).</w:t>
      </w:r>
    </w:p>
    <w:p w14:paraId="79A1A982" w14:textId="77777777" w:rsidR="00D662D1" w:rsidRDefault="007D06AE" w:rsidP="00D16000">
      <w:pPr>
        <w:widowControl/>
        <w:spacing w:before="240" w:after="240" w:line="360" w:lineRule="auto"/>
        <w:ind w:firstLine="0"/>
        <w:jc w:val="both"/>
        <w:rPr>
          <w:rFonts w:ascii="Times New Roman" w:eastAsia="Times New Roman" w:hAnsi="Times New Roman" w:cs="Times New Roman"/>
          <w:lang w:val="de-DE"/>
        </w:rPr>
      </w:pPr>
      <w:r w:rsidRPr="00FD4578">
        <w:rPr>
          <w:rFonts w:ascii="Times New Roman" w:eastAsia="Times New Roman" w:hAnsi="Times New Roman" w:cs="Times New Roman"/>
          <w:lang w:val="de-DE"/>
        </w:rPr>
        <w:t>The oncoproteins encoded by the E5, E6, and E7 genes enable viral replication, as well as the immortalization</w:t>
      </w:r>
      <w:r w:rsidRPr="00CF2679">
        <w:rPr>
          <w:rFonts w:ascii="Times New Roman" w:eastAsia="Times New Roman" w:hAnsi="Times New Roman" w:cs="Times New Roman"/>
          <w:lang w:val="de-DE"/>
        </w:rPr>
        <w:t xml:space="preserve"> and transformation of host cells (Hallez et al., 2004). </w:t>
      </w:r>
      <w:r w:rsidRPr="00D16000">
        <w:rPr>
          <w:rFonts w:ascii="Times New Roman" w:eastAsia="Times New Roman" w:hAnsi="Times New Roman" w:cs="Times New Roman"/>
          <w:lang w:val="de-DE"/>
        </w:rPr>
        <w:t>The late region of the viral genome, which represents approximately 40% of the total genome, includes the L1 and L2 genes, responsible for encoding the major and minor capsid proteins, respectively (Bruni et al., 2021).</w:t>
      </w:r>
    </w:p>
    <w:p w14:paraId="69591235" w14:textId="1EA34BDA" w:rsidR="00D16000" w:rsidRPr="00D662D1" w:rsidRDefault="007D06AE" w:rsidP="00D16000">
      <w:pPr>
        <w:widowControl/>
        <w:spacing w:before="240" w:after="240" w:line="360" w:lineRule="auto"/>
        <w:ind w:firstLine="0"/>
        <w:jc w:val="both"/>
        <w:rPr>
          <w:rFonts w:ascii="Times New Roman" w:eastAsia="Times New Roman" w:hAnsi="Times New Roman" w:cs="Times New Roman"/>
          <w:lang w:val="de-DE"/>
        </w:rPr>
      </w:pPr>
      <w:r w:rsidRPr="00D16000">
        <w:rPr>
          <w:rFonts w:ascii="Times New Roman" w:eastAsia="Times New Roman" w:hAnsi="Times New Roman" w:cs="Times New Roman"/>
          <w:highlight w:val="yellow"/>
          <w:lang w:val="de-DE"/>
        </w:rPr>
        <w:t>Among the various HPV genotypes, 15 are associated with cervical cancer, and at least one of them is also linked to the development of neoplasms in other anatomical sites, such as the oropharynx (Kalingarine et al., 2023).</w:t>
      </w:r>
      <w:r w:rsidR="00D16000" w:rsidRPr="00D16000">
        <w:rPr>
          <w:rFonts w:ascii="Times New Roman" w:eastAsia="Times New Roman" w:hAnsi="Times New Roman" w:cs="Times New Roman"/>
          <w:highlight w:val="yellow"/>
          <w:lang w:val="de-DE"/>
        </w:rPr>
        <w:t xml:space="preserve"> Its oncogenic potential is primarily mediated by the expression of the viral oncoproteins E6 and E7</w:t>
      </w:r>
      <w:r w:rsidR="008C0C9D">
        <w:rPr>
          <w:rFonts w:ascii="Times New Roman" w:eastAsia="Times New Roman" w:hAnsi="Times New Roman" w:cs="Times New Roman"/>
          <w:highlight w:val="yellow"/>
          <w:lang w:val="de-DE"/>
        </w:rPr>
        <w:t xml:space="preserve"> (</w:t>
      </w:r>
      <w:r w:rsidR="008C0C9D" w:rsidRPr="008C0C9D">
        <w:rPr>
          <w:rFonts w:ascii="Times New Roman" w:eastAsia="Times New Roman" w:hAnsi="Times New Roman" w:cs="Times New Roman"/>
          <w:highlight w:val="yellow"/>
          <w:lang w:val="de-DE"/>
        </w:rPr>
        <w:t>Tang et al., 2022)</w:t>
      </w:r>
      <w:r w:rsidR="00D16000" w:rsidRPr="008C0C9D">
        <w:rPr>
          <w:rFonts w:ascii="Times New Roman" w:eastAsia="Times New Roman" w:hAnsi="Times New Roman" w:cs="Times New Roman"/>
          <w:highlight w:val="yellow"/>
          <w:lang w:val="de-DE"/>
        </w:rPr>
        <w:t xml:space="preserve">, which </w:t>
      </w:r>
      <w:r w:rsidR="00D16000" w:rsidRPr="00D16000">
        <w:rPr>
          <w:rFonts w:ascii="Times New Roman" w:eastAsia="Times New Roman" w:hAnsi="Times New Roman" w:cs="Times New Roman"/>
          <w:highlight w:val="yellow"/>
          <w:lang w:val="de-DE"/>
        </w:rPr>
        <w:t>play pivotal roles in cellular transformation (Pratiwi et al., 2024).</w:t>
      </w:r>
    </w:p>
    <w:p w14:paraId="6854ACF4" w14:textId="47C7C541" w:rsidR="00FD4578" w:rsidRPr="008C0C9D" w:rsidRDefault="00D16000" w:rsidP="008C0C9D">
      <w:pPr>
        <w:widowControl/>
        <w:spacing w:before="240" w:after="240" w:line="360" w:lineRule="auto"/>
        <w:ind w:firstLine="0"/>
        <w:jc w:val="both"/>
        <w:rPr>
          <w:rFonts w:ascii="Times New Roman" w:eastAsia="Times New Roman" w:hAnsi="Times New Roman" w:cs="Times New Roman"/>
          <w:highlight w:val="yellow"/>
          <w:lang w:val="de-DE"/>
        </w:rPr>
      </w:pPr>
      <w:r w:rsidRPr="00D16000">
        <w:rPr>
          <w:rFonts w:ascii="Times New Roman" w:eastAsia="Times New Roman" w:hAnsi="Times New Roman" w:cs="Times New Roman"/>
          <w:highlight w:val="yellow"/>
          <w:lang w:val="de-DE"/>
        </w:rPr>
        <w:t>The E6 protein promotes the proteasomal degradation of the tumor suppressor p53, while E7 binds to and functionally inactivates the retinoblastoma protein (pRb), leading to dysregulation of the cell cycle and uncontrolled proliferation (Bruni et al., 2021).</w:t>
      </w:r>
      <w:r w:rsidR="008C0C9D">
        <w:rPr>
          <w:rFonts w:ascii="Times New Roman" w:eastAsia="Times New Roman" w:hAnsi="Times New Roman" w:cs="Times New Roman"/>
          <w:highlight w:val="yellow"/>
          <w:lang w:val="de-DE"/>
        </w:rPr>
        <w:t xml:space="preserve"> </w:t>
      </w:r>
      <w:r w:rsidR="00FD4578" w:rsidRPr="00D16000">
        <w:rPr>
          <w:rFonts w:ascii="Times New Roman" w:eastAsia="Times New Roman" w:hAnsi="Times New Roman" w:cs="Times New Roman"/>
          <w:highlight w:val="yellow"/>
          <w:lang w:val="en-IN"/>
        </w:rPr>
        <w:t>Therefore, this study aimed to consolidate existing evidence on the involvement of HPV16 E6 and E7 oncoproteins in cervical and oropharyngeal carcinogenesis and to evaluate their potential applications in the development of diagnostic methods and therapeutic vaccines.</w:t>
      </w:r>
    </w:p>
    <w:p w14:paraId="22FA880B" w14:textId="77777777" w:rsidR="003E729F" w:rsidRPr="00D16000" w:rsidRDefault="003E729F">
      <w:pPr>
        <w:widowControl/>
        <w:spacing w:line="256" w:lineRule="auto"/>
        <w:ind w:hanging="2"/>
        <w:rPr>
          <w:rFonts w:ascii="Times New Roman" w:eastAsia="Times New Roman" w:hAnsi="Times New Roman" w:cs="Times New Roman"/>
          <w:lang w:val="en-IN"/>
        </w:rPr>
      </w:pPr>
    </w:p>
    <w:p w14:paraId="0041DB7A" w14:textId="77777777" w:rsidR="003E729F" w:rsidRPr="000F11B4" w:rsidRDefault="007D06AE">
      <w:pPr>
        <w:widowControl/>
        <w:spacing w:line="360" w:lineRule="auto"/>
        <w:ind w:left="-2" w:firstLine="0"/>
        <w:jc w:val="both"/>
        <w:rPr>
          <w:rFonts w:ascii="Times New Roman" w:eastAsia="Times New Roman" w:hAnsi="Times New Roman" w:cs="Times New Roman"/>
          <w:b/>
          <w:lang w:val="en-IN"/>
        </w:rPr>
      </w:pPr>
      <w:r w:rsidRPr="000F11B4">
        <w:rPr>
          <w:rFonts w:ascii="Times New Roman" w:eastAsia="Times New Roman" w:hAnsi="Times New Roman" w:cs="Times New Roman"/>
          <w:b/>
          <w:lang w:val="en-IN"/>
        </w:rPr>
        <w:t>Study Design</w:t>
      </w:r>
    </w:p>
    <w:p w14:paraId="798D83C0" w14:textId="77777777" w:rsidR="003E729F" w:rsidRPr="00CF2679" w:rsidRDefault="007D06AE">
      <w:pPr>
        <w:widowControl/>
        <w:spacing w:line="360" w:lineRule="auto"/>
        <w:ind w:left="-2" w:firstLine="0"/>
        <w:jc w:val="both"/>
        <w:rPr>
          <w:rFonts w:ascii="Times New Roman" w:eastAsia="Times New Roman" w:hAnsi="Times New Roman" w:cs="Times New Roman"/>
          <w:lang w:val="de-DE"/>
        </w:rPr>
      </w:pPr>
      <w:r w:rsidRPr="000F11B4">
        <w:rPr>
          <w:rFonts w:ascii="Times New Roman" w:eastAsia="Times New Roman" w:hAnsi="Times New Roman" w:cs="Times New Roman"/>
          <w:lang w:val="en-IN"/>
        </w:rPr>
        <w:lastRenderedPageBreak/>
        <w:t xml:space="preserve">A scoping review was conducted in accordance with the criteria established by the Preferred Reporting Items for Systematic Reviews and Meta-Analyses extension for Scoping Reviews (PRISMA-ScR) (Peters et al., 2020). </w:t>
      </w:r>
      <w:r w:rsidRPr="00CF2679">
        <w:rPr>
          <w:rFonts w:ascii="Times New Roman" w:eastAsia="Times New Roman" w:hAnsi="Times New Roman" w:cs="Times New Roman"/>
          <w:lang w:val="de-DE"/>
        </w:rPr>
        <w:t>The research protocol was registered in the Open Science Framework (OSF) (https://osf.io/v79cw/).</w:t>
      </w:r>
    </w:p>
    <w:p w14:paraId="450451F0" w14:textId="77777777" w:rsidR="003E729F" w:rsidRPr="00CF2679" w:rsidRDefault="003E729F">
      <w:pPr>
        <w:widowControl/>
        <w:spacing w:line="360" w:lineRule="auto"/>
        <w:ind w:left="-2" w:firstLine="850"/>
        <w:jc w:val="both"/>
        <w:rPr>
          <w:rFonts w:ascii="Times New Roman" w:eastAsia="Times New Roman" w:hAnsi="Times New Roman" w:cs="Times New Roman"/>
          <w:b/>
          <w:lang w:val="de-DE"/>
        </w:rPr>
      </w:pPr>
    </w:p>
    <w:p w14:paraId="51C84FB5" w14:textId="77777777" w:rsidR="003E729F" w:rsidRPr="00CF2679" w:rsidRDefault="007D06AE">
      <w:pPr>
        <w:widowControl/>
        <w:spacing w:line="360" w:lineRule="auto"/>
        <w:ind w:left="-2"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Research Question</w:t>
      </w:r>
    </w:p>
    <w:p w14:paraId="0CA6C5B3" w14:textId="77777777" w:rsidR="003E729F" w:rsidRPr="00CF2679" w:rsidRDefault="003E729F">
      <w:pPr>
        <w:widowControl/>
        <w:spacing w:line="360" w:lineRule="auto"/>
        <w:ind w:left="-2" w:firstLine="850"/>
        <w:jc w:val="both"/>
        <w:rPr>
          <w:rFonts w:ascii="Times New Roman" w:eastAsia="Times New Roman" w:hAnsi="Times New Roman" w:cs="Times New Roman"/>
          <w:b/>
          <w:lang w:val="de-DE"/>
        </w:rPr>
      </w:pPr>
    </w:p>
    <w:p w14:paraId="45FA7280" w14:textId="71C91129" w:rsidR="00FD4578" w:rsidRPr="00FD4578" w:rsidRDefault="00FD4578" w:rsidP="00FD4578">
      <w:pPr>
        <w:widowControl/>
        <w:spacing w:line="360" w:lineRule="auto"/>
        <w:ind w:left="-2" w:firstLine="0"/>
        <w:jc w:val="both"/>
        <w:rPr>
          <w:rFonts w:ascii="Times New Roman" w:eastAsia="Times New Roman" w:hAnsi="Times New Roman" w:cs="Times New Roman"/>
          <w:lang w:val="de-DE"/>
        </w:rPr>
      </w:pPr>
      <w:r w:rsidRPr="00FD4578">
        <w:rPr>
          <w:rFonts w:ascii="Times New Roman" w:eastAsia="Times New Roman" w:hAnsi="Times New Roman" w:cs="Times New Roman"/>
          <w:highlight w:val="yellow"/>
          <w:lang w:val="de-DE"/>
        </w:rPr>
        <w:t>This topic was structured according to the PCC framework (Population, Concept, Context): Population (P): female individuals or biological samples infected with HPV16 or HPV18; Concept (C): modulation of E6 and E7 oncoprotein expression; Context (C): carcinogenic processes affecting the genital and oropharyngeal mucosa, as well as the diagnostic and therapeutic potential of targeting these oncoproteins. Based on this structure, the guiding research question was defined as follows: “What evidence exists regarding the carcinogenic mechanisms linked to the expression of HPV16 E6 and E7 oncoproteins, and how might these mechanisms contribute to the development of diagnostic tools and vaccine strategies for precancerous and malignant lesions of the genital and oropharyngeal mucosa?”</w:t>
      </w:r>
    </w:p>
    <w:p w14:paraId="5DAAD997" w14:textId="77777777" w:rsidR="003E729F" w:rsidRPr="00CF2679" w:rsidRDefault="003E729F">
      <w:pPr>
        <w:widowControl/>
        <w:spacing w:line="360" w:lineRule="auto"/>
        <w:ind w:left="-2" w:firstLine="0"/>
        <w:jc w:val="both"/>
        <w:rPr>
          <w:rFonts w:ascii="Times New Roman" w:eastAsia="Times New Roman" w:hAnsi="Times New Roman" w:cs="Times New Roman"/>
          <w:b/>
          <w:lang w:val="de-DE"/>
        </w:rPr>
      </w:pPr>
    </w:p>
    <w:p w14:paraId="7E6A4E7E" w14:textId="77777777" w:rsidR="003E729F" w:rsidRPr="00CF2679" w:rsidRDefault="007D06AE">
      <w:pPr>
        <w:widowControl/>
        <w:spacing w:line="360" w:lineRule="auto"/>
        <w:ind w:left="-2"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Study Selection Strategy</w:t>
      </w:r>
    </w:p>
    <w:p w14:paraId="1F8AEB88" w14:textId="4C888901" w:rsidR="003E729F" w:rsidRPr="00CF2679" w:rsidRDefault="007D06AE" w:rsidP="00FD4578">
      <w:pPr>
        <w:widowControl/>
        <w:spacing w:before="20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To identify eligible studies for inclusion in this review, comprehensive searches were conducted in the PubMed/MEDLINE, SciVerse Scopus, Web of Science, Embase, and gray literature (Google Scholar) databases between April 10, 2024, and December 30, 2024, with an update performed on May 23, 2025. Appropriate truncations and keyword combinations were selected and adapted for each database using the Boolean operators “AND/OR” (Appendix 1).</w:t>
      </w:r>
    </w:p>
    <w:p w14:paraId="2F7A9693" w14:textId="36D90220" w:rsidR="003E729F" w:rsidRPr="00CF2679" w:rsidRDefault="007D06AE">
      <w:pPr>
        <w:widowControl/>
        <w:spacing w:before="200" w:line="360" w:lineRule="auto"/>
        <w:ind w:left="-2"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Two reviewers (ZSS and MSB) independently (blinded) participated in both phases of the study selection. In Phase 2, a manual search of the references of the included studies</w:t>
      </w:r>
      <w:r w:rsidR="005A1C5E">
        <w:rPr>
          <w:rFonts w:ascii="Times New Roman" w:eastAsia="Times New Roman" w:hAnsi="Times New Roman" w:cs="Times New Roman"/>
          <w:lang w:val="de-DE"/>
        </w:rPr>
        <w:t xml:space="preserve">, </w:t>
      </w:r>
      <w:r w:rsidRPr="00CF2679">
        <w:rPr>
          <w:rFonts w:ascii="Times New Roman" w:eastAsia="Times New Roman" w:hAnsi="Times New Roman" w:cs="Times New Roman"/>
          <w:lang w:val="de-DE"/>
        </w:rPr>
        <w:t>after full-text reading</w:t>
      </w:r>
      <w:r w:rsidR="005A1C5E">
        <w:rPr>
          <w:rFonts w:ascii="Times New Roman" w:eastAsia="Times New Roman" w:hAnsi="Times New Roman" w:cs="Times New Roman"/>
          <w:lang w:val="de-DE"/>
        </w:rPr>
        <w:t xml:space="preserve">, </w:t>
      </w:r>
      <w:r w:rsidRPr="00CF2679">
        <w:rPr>
          <w:rFonts w:ascii="Times New Roman" w:eastAsia="Times New Roman" w:hAnsi="Times New Roman" w:cs="Times New Roman"/>
          <w:lang w:val="de-DE"/>
        </w:rPr>
        <w:t>was also conducted to identify any articles that may have been unintentionally missed during the database searches. In the event of any disagreement between the reviewers in either phase, the article was discussed between the two authors and a third researcher (JRSA) until consensus was reached.</w:t>
      </w:r>
    </w:p>
    <w:p w14:paraId="0CEF5AE6" w14:textId="77777777" w:rsidR="003E729F" w:rsidRPr="00CF2679" w:rsidRDefault="007D06AE">
      <w:pPr>
        <w:pStyle w:val="Ttulo3"/>
        <w:keepNext w:val="0"/>
        <w:keepLines w:val="0"/>
        <w:widowControl/>
        <w:spacing w:before="280" w:line="360" w:lineRule="auto"/>
        <w:ind w:left="-2" w:firstLine="0"/>
        <w:jc w:val="both"/>
        <w:rPr>
          <w:rFonts w:ascii="Times New Roman" w:eastAsia="Times New Roman" w:hAnsi="Times New Roman" w:cs="Times New Roman"/>
          <w:b/>
          <w:color w:val="000000"/>
          <w:sz w:val="26"/>
          <w:szCs w:val="26"/>
          <w:lang w:val="it-IT"/>
        </w:rPr>
      </w:pPr>
      <w:bookmarkStart w:id="1" w:name="_heading=h.olc5eb37cfur" w:colFirst="0" w:colLast="0"/>
      <w:bookmarkEnd w:id="1"/>
      <w:r w:rsidRPr="00CF2679">
        <w:rPr>
          <w:rFonts w:ascii="Times New Roman" w:eastAsia="Times New Roman" w:hAnsi="Times New Roman" w:cs="Times New Roman"/>
          <w:b/>
          <w:color w:val="000000"/>
          <w:sz w:val="26"/>
          <w:szCs w:val="26"/>
          <w:lang w:val="it-IT"/>
        </w:rPr>
        <w:t>Eligibility Criteria</w:t>
      </w:r>
    </w:p>
    <w:p w14:paraId="557EE6B2"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it-IT"/>
        </w:rPr>
      </w:pPr>
      <w:r w:rsidRPr="00CF2679">
        <w:rPr>
          <w:rFonts w:ascii="Times New Roman" w:eastAsia="Times New Roman" w:hAnsi="Times New Roman" w:cs="Times New Roman"/>
          <w:lang w:val="it-IT"/>
        </w:rPr>
        <w:lastRenderedPageBreak/>
        <w:t xml:space="preserve">The inclusion criteria encompassed clinical trials, </w:t>
      </w:r>
      <w:r w:rsidRPr="00CF2679">
        <w:rPr>
          <w:rFonts w:ascii="Times New Roman" w:eastAsia="Times New Roman" w:hAnsi="Times New Roman" w:cs="Times New Roman"/>
          <w:i/>
          <w:lang w:val="it-IT"/>
        </w:rPr>
        <w:t>in vitro</w:t>
      </w:r>
      <w:r w:rsidRPr="00CF2679">
        <w:rPr>
          <w:rFonts w:ascii="Times New Roman" w:eastAsia="Times New Roman" w:hAnsi="Times New Roman" w:cs="Times New Roman"/>
          <w:lang w:val="it-IT"/>
        </w:rPr>
        <w:t xml:space="preserve">, and </w:t>
      </w:r>
      <w:r w:rsidRPr="00CF2679">
        <w:rPr>
          <w:rFonts w:ascii="Times New Roman" w:eastAsia="Times New Roman" w:hAnsi="Times New Roman" w:cs="Times New Roman"/>
          <w:i/>
          <w:lang w:val="it-IT"/>
        </w:rPr>
        <w:t>in vivo</w:t>
      </w:r>
      <w:r w:rsidRPr="00CF2679">
        <w:rPr>
          <w:rFonts w:ascii="Times New Roman" w:eastAsia="Times New Roman" w:hAnsi="Times New Roman" w:cs="Times New Roman"/>
          <w:lang w:val="it-IT"/>
        </w:rPr>
        <w:t xml:space="preserve"> studies, regardless of the country of origin or publication date. Studies were required to report on the carcinogenic effect and/or the diagnostic and therapeutic potential of HPV16 E6/E7 oncoproteins in precancerous and cancerous lesions of the cervix and oropharynx.</w:t>
      </w:r>
    </w:p>
    <w:p w14:paraId="00651CE6" w14:textId="77777777" w:rsidR="003E729F" w:rsidRPr="00CF2679" w:rsidRDefault="007D06AE">
      <w:pPr>
        <w:widowControl/>
        <w:spacing w:before="240" w:after="240" w:line="360" w:lineRule="auto"/>
        <w:ind w:firstLine="0"/>
        <w:jc w:val="both"/>
        <w:rPr>
          <w:rFonts w:ascii="Times New Roman" w:eastAsia="Times New Roman" w:hAnsi="Times New Roman" w:cs="Times New Roman"/>
          <w:i/>
          <w:lang w:val="it-IT"/>
        </w:rPr>
      </w:pPr>
      <w:r w:rsidRPr="00CF2679">
        <w:rPr>
          <w:rFonts w:ascii="Times New Roman" w:eastAsia="Times New Roman" w:hAnsi="Times New Roman" w:cs="Times New Roman"/>
          <w:lang w:val="it-IT"/>
        </w:rPr>
        <w:t>Studies were excluded if they were: clinical trial protocols, pilot studies, oropharyngeal cancers related to tobacco or alcohol use, review articles, abstracts, letters, commentaries, meeting proceedings, case reports or case series, theses, dissertations, editorials, duplicates, unavailable in full text, incomplete, conference proceedings, cross-sectional studies, opinion pieces, or not written in the Latin (Roman) alphabet. In addition, articles focusing on high-grade vulvar intraepithelial neoplasia (VIN) and vaginal intraepithelial neoplasia (VaIN) were also excluded from the final data synthesis.</w:t>
      </w:r>
    </w:p>
    <w:p w14:paraId="42125C0D" w14:textId="77777777" w:rsidR="003E729F" w:rsidRPr="00CF2679" w:rsidRDefault="007D06AE">
      <w:pPr>
        <w:pStyle w:val="Ttulo3"/>
        <w:keepNext w:val="0"/>
        <w:keepLines w:val="0"/>
        <w:widowControl/>
        <w:spacing w:before="280" w:line="360" w:lineRule="auto"/>
        <w:ind w:left="-2" w:firstLine="0"/>
        <w:jc w:val="both"/>
        <w:rPr>
          <w:rFonts w:ascii="Times New Roman" w:eastAsia="Times New Roman" w:hAnsi="Times New Roman" w:cs="Times New Roman"/>
          <w:b/>
          <w:color w:val="000000"/>
          <w:sz w:val="26"/>
          <w:szCs w:val="26"/>
          <w:lang w:val="de-DE"/>
        </w:rPr>
      </w:pPr>
      <w:bookmarkStart w:id="2" w:name="_heading=h.ywbhabutwm" w:colFirst="0" w:colLast="0"/>
      <w:bookmarkEnd w:id="2"/>
      <w:r w:rsidRPr="00CF2679">
        <w:rPr>
          <w:rFonts w:ascii="Times New Roman" w:eastAsia="Times New Roman" w:hAnsi="Times New Roman" w:cs="Times New Roman"/>
          <w:b/>
          <w:color w:val="000000"/>
          <w:sz w:val="26"/>
          <w:szCs w:val="26"/>
          <w:lang w:val="de-DE"/>
        </w:rPr>
        <w:t>Study Selection</w:t>
      </w:r>
    </w:p>
    <w:p w14:paraId="68E12027" w14:textId="79E7408D" w:rsidR="00133C71" w:rsidRPr="00FD4578" w:rsidRDefault="00133C71" w:rsidP="00FD4578">
      <w:pPr>
        <w:widowControl/>
        <w:spacing w:before="240" w:after="240" w:line="360" w:lineRule="auto"/>
        <w:ind w:firstLine="0"/>
        <w:jc w:val="both"/>
        <w:rPr>
          <w:rFonts w:ascii="Times New Roman" w:eastAsia="Times New Roman" w:hAnsi="Times New Roman" w:cs="Times New Roman"/>
          <w:lang w:val="de-DE"/>
        </w:rPr>
      </w:pPr>
      <w:r w:rsidRPr="00133C71">
        <w:rPr>
          <w:rFonts w:ascii="Times New Roman" w:eastAsia="Times New Roman" w:hAnsi="Times New Roman" w:cs="Times New Roman"/>
          <w:highlight w:val="yellow"/>
          <w:lang w:val="de-DE"/>
        </w:rPr>
        <w:t>The study selection process was carried out in two phases. In Phase 1, two independent reviewers (ZSS and MSB) screened the titles and abstracts of all citations retrieved from the electronic databases. Phase 1 was conducted using an online systematic review platform (Rayyan®, Qatar Computing Research Institute, Doha, Qatar). Articles that did not meet the inclusion criteria were manually excluded. In Phase 2, the same reviewers independently applied the inclusion criteria to the full texts of the articles, as well as to the reference lists of the selected studies, in order to identify any additional relevant studies not included in the initial selection.</w:t>
      </w:r>
    </w:p>
    <w:p w14:paraId="577037DB" w14:textId="77777777" w:rsidR="00CF2679" w:rsidRDefault="007D06AE" w:rsidP="00CF2679">
      <w:pPr>
        <w:widowControl/>
        <w:spacing w:before="240" w:after="240" w:line="360" w:lineRule="auto"/>
        <w:ind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Data Collection Process</w:t>
      </w:r>
    </w:p>
    <w:p w14:paraId="33E18F38" w14:textId="071BA581" w:rsidR="003E729F" w:rsidRPr="00CF2679" w:rsidRDefault="007D06AE" w:rsidP="00CF2679">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One author (ZSS) extracted the data from the selected studies. A second author (MSB) verified all the information obtained. Any disagreements between the two authors were discussed until full resolution. A third author (JRSA) made the final decision in cases where the first two authors could not reach a consensus.</w:t>
      </w:r>
    </w:p>
    <w:p w14:paraId="4D308A45" w14:textId="31A3DA34" w:rsidR="00CF2679" w:rsidRDefault="007D06AE" w:rsidP="00CF2679">
      <w:pPr>
        <w:widowControl/>
        <w:spacing w:before="240" w:after="240" w:line="360" w:lineRule="auto"/>
        <w:ind w:firstLine="0"/>
        <w:rPr>
          <w:rFonts w:ascii="Times New Roman" w:eastAsia="Times New Roman" w:hAnsi="Times New Roman" w:cs="Times New Roman"/>
          <w:lang w:val="de-DE"/>
        </w:rPr>
      </w:pPr>
      <w:r w:rsidRPr="00CF2679">
        <w:rPr>
          <w:rFonts w:ascii="Times New Roman" w:eastAsia="Times New Roman" w:hAnsi="Times New Roman" w:cs="Times New Roman"/>
          <w:b/>
          <w:lang w:val="de-DE"/>
        </w:rPr>
        <w:t>Data Items</w:t>
      </w:r>
    </w:p>
    <w:p w14:paraId="08395CF6" w14:textId="55301BB5" w:rsidR="003E729F" w:rsidRPr="00133C71" w:rsidRDefault="007D06AE" w:rsidP="00133C71">
      <w:pPr>
        <w:spacing w:before="240" w:after="240" w:line="360" w:lineRule="auto"/>
        <w:ind w:firstLine="0"/>
        <w:jc w:val="both"/>
        <w:rPr>
          <w:rFonts w:ascii="Times New Roman" w:hAnsi="Times New Roman" w:cs="Times New Roman"/>
          <w:lang w:val="de-DE"/>
        </w:rPr>
      </w:pPr>
      <w:r w:rsidRPr="00133C71">
        <w:rPr>
          <w:rFonts w:ascii="Times New Roman" w:eastAsia="Times New Roman" w:hAnsi="Times New Roman" w:cs="Times New Roman"/>
          <w:lang w:val="de-DE"/>
        </w:rPr>
        <w:t xml:space="preserve">The following information was recorded from the selected studies: author/year, study design/country, study population, anatomical site, expressed oncoproteins, E6/E7 expression, HPV status, clinical implications, trial phase, vaccine and type, context, sample size, </w:t>
      </w:r>
      <w:r w:rsidRPr="00133C71">
        <w:rPr>
          <w:rFonts w:ascii="Times New Roman" w:eastAsia="Times New Roman" w:hAnsi="Times New Roman" w:cs="Times New Roman"/>
          <w:lang w:val="de-DE"/>
        </w:rPr>
        <w:lastRenderedPageBreak/>
        <w:t>administration route, protocol, serious adverse events, follow-up time, and generation of immune response against the antigen.</w:t>
      </w:r>
      <w:r w:rsidR="00133C71" w:rsidRPr="00133C71">
        <w:rPr>
          <w:rFonts w:ascii="Times New Roman" w:hAnsi="Times New Roman" w:cs="Times New Roman"/>
          <w:lang w:val="de-DE"/>
        </w:rPr>
        <w:t xml:space="preserve"> </w:t>
      </w:r>
      <w:r w:rsidR="00133C71" w:rsidRPr="00133C71">
        <w:rPr>
          <w:rFonts w:ascii="Times New Roman" w:hAnsi="Times New Roman" w:cs="Times New Roman"/>
          <w:highlight w:val="yellow"/>
          <w:lang w:val="de-DE"/>
        </w:rPr>
        <w:t>A pilot test of the standardized data extraction form was conducted prior to the full data extraction process to ensure consistency and clarity in the collection of study information among reviewers.</w:t>
      </w:r>
    </w:p>
    <w:p w14:paraId="1BB0113A" w14:textId="3214709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b/>
          <w:lang w:val="de-DE"/>
        </w:rPr>
        <w:t>Result</w:t>
      </w:r>
      <w:r w:rsidR="00133C71">
        <w:rPr>
          <w:rFonts w:ascii="Times New Roman" w:eastAsia="Times New Roman" w:hAnsi="Times New Roman" w:cs="Times New Roman"/>
          <w:b/>
          <w:lang w:val="de-DE"/>
        </w:rPr>
        <w:t>s</w:t>
      </w:r>
      <w:r w:rsidRPr="00CF2679">
        <w:rPr>
          <w:rFonts w:ascii="Times New Roman" w:eastAsia="Times New Roman" w:hAnsi="Times New Roman" w:cs="Times New Roman"/>
          <w:b/>
          <w:lang w:val="de-DE"/>
        </w:rPr>
        <w:br/>
      </w:r>
      <w:r w:rsidRPr="00CF2679">
        <w:rPr>
          <w:rFonts w:ascii="Times New Roman" w:eastAsia="Times New Roman" w:hAnsi="Times New Roman" w:cs="Times New Roman"/>
          <w:lang w:val="de-DE"/>
        </w:rPr>
        <w:t>To summarize the essential elements of each tabulated study, a descriptive analytical framework was employed to examine the content of each article. This involved a comprehensive evaluation of all materials, allowing the identification and creation of categories derived from the in-depth analysis of the publications, which helped to illustrate the topics of interest. The primary outcomes were the clinical implications of HPV16 E6/E7 oncoprotein expression in the carcinogenesis of cervical and oropharyngeal mucosa. Secondary outcomes included the clinical efficacy of therapeutic DNA vaccines as potential treatments.</w:t>
      </w:r>
    </w:p>
    <w:p w14:paraId="02594BCA" w14:textId="77777777" w:rsidR="00D60B22" w:rsidRDefault="007D06AE" w:rsidP="00D60B22">
      <w:pPr>
        <w:widowControl/>
        <w:spacing w:before="240" w:after="240" w:line="360" w:lineRule="auto"/>
        <w:ind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Study Selection</w:t>
      </w:r>
    </w:p>
    <w:p w14:paraId="4C9198F7" w14:textId="7FFC0503" w:rsidR="003E729F" w:rsidRPr="00CF2679" w:rsidRDefault="007D06AE" w:rsidP="00D60B22">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A total of 533 studies were initially retrieved. Subsequently, a detailed review of titles and abstracts was conducted, applying all predefined eligibility criteria, leaving 477 studies. Among these, 9 were excluded due to incomplete or unavailable abstracts. Of the remaining 468 studies, 21 were excluded for focusing on tumors caused by smoking, 42 did not assess HPV infection in the oral/oropharyngeal cavity, and 379 did not report a group with high-grade squamous intraepithelial lesions (HSIL).</w:t>
      </w:r>
    </w:p>
    <w:p w14:paraId="27642659" w14:textId="7B249E6E" w:rsidR="00CF2679" w:rsidRPr="00CF2679" w:rsidRDefault="007D06AE" w:rsidP="000A4464">
      <w:pPr>
        <w:widowControl/>
        <w:spacing w:before="240" w:after="240" w:line="360" w:lineRule="auto"/>
        <w:ind w:firstLine="0"/>
        <w:jc w:val="both"/>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Ultimately, a total of 25 studies meeting all eligibility criteria were included in the final sample for discussion of the results. </w:t>
      </w:r>
      <w:r w:rsidRPr="00CF2679">
        <w:rPr>
          <w:rFonts w:ascii="Times New Roman" w:eastAsia="Times New Roman" w:hAnsi="Times New Roman" w:cs="Times New Roman"/>
          <w:lang w:val="it-IT"/>
        </w:rPr>
        <w:t>Figure 1 was created to illustrate the methodological process during the database search.</w:t>
      </w:r>
    </w:p>
    <w:p w14:paraId="1CAB7C04" w14:textId="77777777" w:rsidR="0008667A" w:rsidRPr="0008667A" w:rsidRDefault="0008667A">
      <w:pPr>
        <w:spacing w:line="360" w:lineRule="auto"/>
        <w:ind w:hanging="2"/>
        <w:jc w:val="center"/>
        <w:rPr>
          <w:rFonts w:ascii="Times New Roman" w:eastAsia="Times New Roman" w:hAnsi="Times New Roman" w:cs="Times New Roman"/>
          <w:b/>
          <w:sz w:val="20"/>
          <w:szCs w:val="20"/>
          <w:lang w:val="it-IT"/>
        </w:rPr>
      </w:pPr>
    </w:p>
    <w:p w14:paraId="0D77065B" w14:textId="77777777" w:rsidR="0008667A" w:rsidRPr="0008667A" w:rsidRDefault="0008667A">
      <w:pPr>
        <w:spacing w:line="360" w:lineRule="auto"/>
        <w:ind w:hanging="2"/>
        <w:jc w:val="center"/>
        <w:rPr>
          <w:rFonts w:ascii="Times New Roman" w:eastAsia="Times New Roman" w:hAnsi="Times New Roman" w:cs="Times New Roman"/>
          <w:b/>
          <w:sz w:val="20"/>
          <w:szCs w:val="20"/>
          <w:lang w:val="it-IT"/>
        </w:rPr>
      </w:pPr>
    </w:p>
    <w:p w14:paraId="481ED007" w14:textId="77777777" w:rsidR="0008667A" w:rsidRPr="0008667A" w:rsidRDefault="0008667A">
      <w:pPr>
        <w:spacing w:line="360" w:lineRule="auto"/>
        <w:ind w:hanging="2"/>
        <w:jc w:val="center"/>
        <w:rPr>
          <w:rFonts w:ascii="Times New Roman" w:eastAsia="Times New Roman" w:hAnsi="Times New Roman" w:cs="Times New Roman"/>
          <w:b/>
          <w:sz w:val="20"/>
          <w:szCs w:val="20"/>
          <w:lang w:val="it-IT"/>
        </w:rPr>
      </w:pPr>
    </w:p>
    <w:p w14:paraId="0FD69639"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61EB09B5"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06FED130"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70566A0F"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489AFB9F"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1D02DC06"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7BC20C56"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2E8E3D3B" w14:textId="77777777" w:rsidR="0008667A" w:rsidRDefault="0008667A">
      <w:pPr>
        <w:spacing w:line="360" w:lineRule="auto"/>
        <w:ind w:hanging="2"/>
        <w:jc w:val="center"/>
        <w:rPr>
          <w:rFonts w:ascii="Times New Roman" w:eastAsia="Times New Roman" w:hAnsi="Times New Roman" w:cs="Times New Roman"/>
          <w:b/>
          <w:sz w:val="20"/>
          <w:szCs w:val="20"/>
          <w:lang w:val="it-IT"/>
        </w:rPr>
      </w:pPr>
    </w:p>
    <w:p w14:paraId="5C6EBF86" w14:textId="5E6046F0" w:rsidR="003E729F" w:rsidRDefault="007D06AE">
      <w:pPr>
        <w:spacing w:line="36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Figure 1 – </w:t>
      </w:r>
      <w:r>
        <w:rPr>
          <w:rFonts w:ascii="Times New Roman" w:eastAsia="Times New Roman" w:hAnsi="Times New Roman" w:cs="Times New Roman"/>
          <w:sz w:val="20"/>
          <w:szCs w:val="20"/>
        </w:rPr>
        <w:t>Flow diagram adapted from PRISMA (2020), illustrating the study selection process</w:t>
      </w:r>
    </w:p>
    <w:p w14:paraId="1FB6635B" w14:textId="77777777" w:rsidR="003E729F" w:rsidRDefault="003E729F">
      <w:pPr>
        <w:ind w:hanging="2"/>
        <w:rPr>
          <w:rFonts w:ascii="Times New Roman" w:eastAsia="Times New Roman" w:hAnsi="Times New Roman" w:cs="Times New Roman"/>
        </w:rPr>
      </w:pPr>
    </w:p>
    <w:p w14:paraId="330E4E36" w14:textId="77777777" w:rsidR="003E729F" w:rsidRDefault="007D06AE">
      <w:pPr>
        <w:ind w:hanging="2"/>
        <w:jc w:val="center"/>
        <w:rPr>
          <w:rFonts w:ascii="Times New Roman" w:eastAsia="Times New Roman" w:hAnsi="Times New Roman" w:cs="Times New Roman"/>
          <w:sz w:val="20"/>
          <w:szCs w:val="20"/>
        </w:rPr>
      </w:pPr>
      <w:r>
        <w:rPr>
          <w:rFonts w:ascii="Times New Roman" w:eastAsia="Times New Roman" w:hAnsi="Times New Roman" w:cs="Times New Roman"/>
          <w:noProof/>
        </w:rPr>
        <w:drawing>
          <wp:inline distT="114300" distB="114300" distL="114300" distR="114300" wp14:anchorId="40E347C7" wp14:editId="6A4567EB">
            <wp:extent cx="3505537" cy="4439077"/>
            <wp:effectExtent l="0" t="0" r="0" b="0"/>
            <wp:docPr id="12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05537" cy="4439077"/>
                    </a:xfrm>
                    <a:prstGeom prst="rect">
                      <a:avLst/>
                    </a:prstGeom>
                    <a:ln/>
                  </pic:spPr>
                </pic:pic>
              </a:graphicData>
            </a:graphic>
          </wp:inline>
        </w:drawing>
      </w:r>
    </w:p>
    <w:p w14:paraId="46DB3147" w14:textId="77777777" w:rsidR="003E729F" w:rsidRPr="00CF2679" w:rsidRDefault="007D06AE">
      <w:pPr>
        <w:spacing w:line="360" w:lineRule="auto"/>
        <w:ind w:hanging="2"/>
        <w:jc w:val="both"/>
        <w:rPr>
          <w:rFonts w:ascii="Times New Roman" w:eastAsia="Times New Roman" w:hAnsi="Times New Roman" w:cs="Times New Roman"/>
          <w:sz w:val="20"/>
          <w:szCs w:val="20"/>
          <w:lang w:val="de-DE"/>
        </w:rPr>
      </w:pPr>
      <w:r w:rsidRPr="00CF2679">
        <w:rPr>
          <w:rFonts w:ascii="Times New Roman" w:eastAsia="Times New Roman" w:hAnsi="Times New Roman" w:cs="Times New Roman"/>
          <w:sz w:val="20"/>
          <w:szCs w:val="20"/>
          <w:lang w:val="de-DE"/>
        </w:rPr>
        <w:t>*Studies unavailable for full-text review</w:t>
      </w:r>
      <w:r w:rsidRPr="00CF2679">
        <w:rPr>
          <w:rFonts w:ascii="Times New Roman" w:eastAsia="Times New Roman" w:hAnsi="Times New Roman" w:cs="Times New Roman"/>
          <w:b/>
          <w:sz w:val="20"/>
          <w:szCs w:val="20"/>
          <w:lang w:val="de-DE"/>
        </w:rPr>
        <w:t>. Source:</w:t>
      </w:r>
      <w:r w:rsidRPr="00CF2679">
        <w:rPr>
          <w:rFonts w:ascii="Times New Roman" w:eastAsia="Times New Roman" w:hAnsi="Times New Roman" w:cs="Times New Roman"/>
          <w:sz w:val="20"/>
          <w:szCs w:val="20"/>
          <w:lang w:val="de-DE"/>
        </w:rPr>
        <w:t xml:space="preserve"> Adapted from PRISMA (2021)</w:t>
      </w:r>
    </w:p>
    <w:p w14:paraId="61FE4B74" w14:textId="77777777" w:rsidR="003E729F" w:rsidRPr="00CF2679" w:rsidRDefault="003E729F">
      <w:pPr>
        <w:spacing w:line="360" w:lineRule="auto"/>
        <w:ind w:hanging="2"/>
        <w:jc w:val="both"/>
        <w:rPr>
          <w:rFonts w:ascii="Times New Roman" w:eastAsia="Times New Roman" w:hAnsi="Times New Roman" w:cs="Times New Roman"/>
          <w:sz w:val="20"/>
          <w:szCs w:val="20"/>
          <w:lang w:val="de-DE"/>
        </w:rPr>
      </w:pPr>
    </w:p>
    <w:p w14:paraId="3F6D25A0" w14:textId="77777777" w:rsidR="00D60B22" w:rsidRDefault="007D06AE" w:rsidP="00D60B22">
      <w:pPr>
        <w:spacing w:before="240" w:after="240" w:line="360" w:lineRule="auto"/>
        <w:ind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Characterization of Included Studies</w:t>
      </w:r>
    </w:p>
    <w:p w14:paraId="73A19919" w14:textId="086C57B3" w:rsidR="003E729F" w:rsidRPr="00D60B22" w:rsidRDefault="007D06AE" w:rsidP="00D60B22">
      <w:pPr>
        <w:spacing w:before="240" w:after="240" w:line="360" w:lineRule="auto"/>
        <w:ind w:firstLine="0"/>
        <w:jc w:val="both"/>
      </w:pPr>
      <w:r w:rsidRPr="00D60B22">
        <w:rPr>
          <w:rFonts w:ascii="Times New Roman" w:eastAsia="Times New Roman" w:hAnsi="Times New Roman" w:cs="Times New Roman"/>
          <w:highlight w:val="yellow"/>
          <w:lang w:val="de-DE"/>
        </w:rPr>
        <w:t xml:space="preserve">Initially, in the experimental studies, a total of 1,589 samples were collected across the six studies included with this design. The research focused on women with cervical lesions at various stages of the disease. </w:t>
      </w:r>
      <w:r w:rsidR="00D60B22" w:rsidRPr="00D60B22">
        <w:rPr>
          <w:rFonts w:ascii="Times New Roman" w:hAnsi="Times New Roman" w:cs="Times New Roman"/>
          <w:highlight w:val="yellow"/>
          <w:lang w:val="de-DE"/>
        </w:rPr>
        <w:t xml:space="preserve">Detection techniques encompassed NucliSens® EasyQ® HPV v1 for identifying HPV and E6/E7 oncoproteins (Bruno et al., 2018; Fontecha et al., 2016; Tezcan et al., 2014), as well as the radioimmunoprecipitation assay (RIPA) for the detection of HPV E7 protein (Chee et al., 1995). </w:t>
      </w:r>
      <w:r w:rsidR="00D60B22" w:rsidRPr="00D60B22">
        <w:rPr>
          <w:rFonts w:ascii="Times New Roman" w:hAnsi="Times New Roman" w:cs="Times New Roman"/>
          <w:highlight w:val="yellow"/>
        </w:rPr>
        <w:t>Furthermore, TLR9 receptor expression was evaluated in cervical tissue samples (Rodrigues et al., 2016; Hao et al., 2014).</w:t>
      </w:r>
    </w:p>
    <w:p w14:paraId="197B4CDE" w14:textId="77777777" w:rsidR="003E729F" w:rsidRPr="00D87D7E" w:rsidRDefault="007D06AE">
      <w:pPr>
        <w:widowControl/>
        <w:spacing w:before="240" w:after="240" w:line="360" w:lineRule="auto"/>
        <w:ind w:firstLine="0"/>
        <w:jc w:val="both"/>
        <w:rPr>
          <w:rFonts w:ascii="Times New Roman" w:eastAsia="Times New Roman" w:hAnsi="Times New Roman" w:cs="Times New Roman"/>
          <w:b/>
        </w:rPr>
      </w:pPr>
      <w:r w:rsidRPr="00D60B22">
        <w:rPr>
          <w:rFonts w:ascii="Times New Roman" w:eastAsia="Times New Roman" w:hAnsi="Times New Roman" w:cs="Times New Roman"/>
        </w:rPr>
        <w:t xml:space="preserve">The expression of E6/E7 oncoproteins has been associated with clinical implications, including their use as biomarkers for effective screening and cervical cancer prognosis (Fontecha et al., 2016; Rodrigues et al., 2016). </w:t>
      </w:r>
      <w:r w:rsidRPr="00D87D7E">
        <w:rPr>
          <w:rFonts w:ascii="Times New Roman" w:eastAsia="Times New Roman" w:hAnsi="Times New Roman" w:cs="Times New Roman"/>
        </w:rPr>
        <w:t xml:space="preserve">Furthermore, a negative interference of E6/E7 oncoproteins on immune function was observed, particularly affecting TLR9 expression, suggesting potential </w:t>
      </w:r>
      <w:r w:rsidRPr="00D87D7E">
        <w:rPr>
          <w:rFonts w:ascii="Times New Roman" w:eastAsia="Times New Roman" w:hAnsi="Times New Roman" w:cs="Times New Roman"/>
        </w:rPr>
        <w:lastRenderedPageBreak/>
        <w:t>immunosuppressive effects in the context of HPV16 infection (Hao et al., 2014). Detection of E6/E7 mRNA and assessment of E6/E7 oncoproteins may be essential for estimating the risk of cervical lesion progression and can serve as effective markers of HPV-associated cervical disease status (Fontecha et al., 2016; Tezcan et al., 2014).</w:t>
      </w:r>
    </w:p>
    <w:p w14:paraId="2A40B2FF" w14:textId="77777777" w:rsidR="003E729F" w:rsidRPr="00D87D7E" w:rsidRDefault="007D06AE">
      <w:pPr>
        <w:widowControl/>
        <w:spacing w:before="240" w:after="240" w:line="360" w:lineRule="auto"/>
        <w:ind w:firstLine="0"/>
        <w:jc w:val="both"/>
        <w:rPr>
          <w:rFonts w:ascii="Times New Roman" w:eastAsia="Times New Roman" w:hAnsi="Times New Roman" w:cs="Times New Roman"/>
        </w:rPr>
        <w:sectPr w:rsidR="003E729F" w:rsidRPr="00D87D7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pgNumType w:start="1"/>
          <w:cols w:space="720"/>
        </w:sectPr>
      </w:pPr>
      <w:r w:rsidRPr="00D87D7E">
        <w:rPr>
          <w:rFonts w:ascii="Times New Roman" w:eastAsia="Times New Roman" w:hAnsi="Times New Roman" w:cs="Times New Roman"/>
        </w:rPr>
        <w:t>These biomarkers may influence therapeutic decisions and the follow-up of women at higher risk, such as those infected with high-risk HPV types or HIV-positive women. A synthesis of the included studies is presented in Table 1.</w:t>
      </w:r>
    </w:p>
    <w:p w14:paraId="0F1FAC05" w14:textId="77777777" w:rsidR="003E729F" w:rsidRPr="00D87D7E" w:rsidRDefault="007D06AE">
      <w:pPr>
        <w:widowControl/>
        <w:spacing w:line="360" w:lineRule="auto"/>
        <w:ind w:right="-1023" w:hanging="2"/>
        <w:jc w:val="center"/>
        <w:rPr>
          <w:rFonts w:ascii="Times New Roman" w:eastAsia="Times New Roman" w:hAnsi="Times New Roman" w:cs="Times New Roman"/>
          <w:sz w:val="20"/>
          <w:szCs w:val="20"/>
        </w:rPr>
      </w:pPr>
      <w:bookmarkStart w:id="3" w:name="_heading=h.ku8o5f1ukjq9" w:colFirst="0" w:colLast="0"/>
      <w:bookmarkEnd w:id="3"/>
      <w:r w:rsidRPr="00D87D7E">
        <w:rPr>
          <w:rFonts w:ascii="Times New Roman" w:eastAsia="Times New Roman" w:hAnsi="Times New Roman" w:cs="Times New Roman"/>
          <w:b/>
          <w:sz w:val="20"/>
          <w:szCs w:val="20"/>
        </w:rPr>
        <w:lastRenderedPageBreak/>
        <w:t xml:space="preserve">Table 1 – </w:t>
      </w:r>
      <w:r w:rsidRPr="00D87D7E">
        <w:rPr>
          <w:rFonts w:ascii="Times New Roman" w:eastAsia="Times New Roman" w:hAnsi="Times New Roman" w:cs="Times New Roman"/>
          <w:sz w:val="20"/>
          <w:szCs w:val="20"/>
        </w:rPr>
        <w:t>Summary of the experimental studies included regarding the role of HPV 16 E6/E7 mRNA and its prognostic value in the female population.</w:t>
      </w:r>
    </w:p>
    <w:p w14:paraId="4D16E4F4" w14:textId="77777777" w:rsidR="003E729F" w:rsidRPr="00D87D7E" w:rsidRDefault="007D06AE">
      <w:pPr>
        <w:widowControl/>
        <w:spacing w:line="360" w:lineRule="auto"/>
        <w:ind w:right="-1023" w:hanging="2"/>
        <w:jc w:val="center"/>
        <w:rPr>
          <w:rFonts w:ascii="Times New Roman" w:eastAsia="Times New Roman" w:hAnsi="Times New Roman" w:cs="Times New Roman"/>
          <w:sz w:val="20"/>
          <w:szCs w:val="20"/>
        </w:rPr>
      </w:pPr>
      <w:bookmarkStart w:id="4" w:name="_heading=h.2xcytpi" w:colFirst="0" w:colLast="0"/>
      <w:bookmarkEnd w:id="4"/>
      <w:r w:rsidRPr="00D87D7E">
        <w:rPr>
          <w:rFonts w:ascii="Times New Roman" w:eastAsia="Times New Roman" w:hAnsi="Times New Roman" w:cs="Times New Roman"/>
          <w:sz w:val="20"/>
          <w:szCs w:val="20"/>
        </w:rPr>
        <w:t>Details such as author, year, study design, country, study population, anatomical site, expressed oncoproteins, test used, other HPV types analyzed, and main findings are highlighted.</w:t>
      </w:r>
    </w:p>
    <w:tbl>
      <w:tblPr>
        <w:tblStyle w:val="a"/>
        <w:tblW w:w="15015" w:type="dxa"/>
        <w:tblInd w:w="-108"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411"/>
        <w:gridCol w:w="1373"/>
        <w:gridCol w:w="1866"/>
        <w:gridCol w:w="1185"/>
        <w:gridCol w:w="1635"/>
        <w:gridCol w:w="1740"/>
        <w:gridCol w:w="2085"/>
        <w:gridCol w:w="3720"/>
      </w:tblGrid>
      <w:tr w:rsidR="003E729F" w14:paraId="6204B6F7" w14:textId="77777777">
        <w:trPr>
          <w:trHeight w:val="568"/>
        </w:trPr>
        <w:tc>
          <w:tcPr>
            <w:tcW w:w="1410" w:type="dxa"/>
            <w:tcBorders>
              <w:top w:val="single" w:sz="4" w:space="0" w:color="7F7F7F"/>
              <w:left w:val="nil"/>
              <w:bottom w:val="single" w:sz="4" w:space="0" w:color="7F7F7F"/>
              <w:right w:val="nil"/>
            </w:tcBorders>
          </w:tcPr>
          <w:p w14:paraId="025A33C5"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Author/Year</w:t>
            </w:r>
          </w:p>
        </w:tc>
        <w:tc>
          <w:tcPr>
            <w:tcW w:w="1373" w:type="dxa"/>
            <w:tcBorders>
              <w:top w:val="single" w:sz="4" w:space="0" w:color="7F7F7F"/>
              <w:left w:val="nil"/>
              <w:bottom w:val="single" w:sz="4" w:space="0" w:color="7F7F7F"/>
              <w:right w:val="nil"/>
            </w:tcBorders>
          </w:tcPr>
          <w:p w14:paraId="5980B8D9" w14:textId="77777777" w:rsidR="003E729F" w:rsidRDefault="007D06AE">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Design/Country</w:t>
            </w:r>
          </w:p>
        </w:tc>
        <w:tc>
          <w:tcPr>
            <w:tcW w:w="1866" w:type="dxa"/>
            <w:tcBorders>
              <w:top w:val="single" w:sz="4" w:space="0" w:color="7F7F7F"/>
              <w:left w:val="nil"/>
              <w:bottom w:val="single" w:sz="4" w:space="0" w:color="7F7F7F"/>
              <w:right w:val="nil"/>
            </w:tcBorders>
          </w:tcPr>
          <w:p w14:paraId="3A404416" w14:textId="77777777" w:rsidR="003E729F" w:rsidRDefault="007D06AE">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Study Population</w:t>
            </w:r>
          </w:p>
        </w:tc>
        <w:tc>
          <w:tcPr>
            <w:tcW w:w="1185" w:type="dxa"/>
            <w:tcBorders>
              <w:top w:val="single" w:sz="4" w:space="0" w:color="7F7F7F"/>
              <w:left w:val="nil"/>
              <w:bottom w:val="single" w:sz="4" w:space="0" w:color="7F7F7F"/>
              <w:right w:val="nil"/>
            </w:tcBorders>
          </w:tcPr>
          <w:p w14:paraId="4E80D602" w14:textId="77777777" w:rsidR="003E729F" w:rsidRDefault="007D06AE">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Anatomical Site</w:t>
            </w:r>
          </w:p>
        </w:tc>
        <w:tc>
          <w:tcPr>
            <w:tcW w:w="1635" w:type="dxa"/>
            <w:tcBorders>
              <w:top w:val="single" w:sz="4" w:space="0" w:color="7F7F7F"/>
              <w:left w:val="nil"/>
              <w:bottom w:val="single" w:sz="4" w:space="0" w:color="7F7F7F"/>
              <w:right w:val="nil"/>
            </w:tcBorders>
          </w:tcPr>
          <w:p w14:paraId="3F9EF8A6"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Expressed Oncoproteins</w:t>
            </w:r>
          </w:p>
        </w:tc>
        <w:tc>
          <w:tcPr>
            <w:tcW w:w="1740" w:type="dxa"/>
            <w:tcBorders>
              <w:top w:val="single" w:sz="4" w:space="0" w:color="7F7F7F"/>
              <w:left w:val="nil"/>
              <w:bottom w:val="single" w:sz="4" w:space="0" w:color="7F7F7F"/>
              <w:right w:val="nil"/>
            </w:tcBorders>
          </w:tcPr>
          <w:p w14:paraId="50B5BDB0" w14:textId="77777777" w:rsidR="003E729F" w:rsidRDefault="007D06AE">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E6/E7 Expression</w:t>
            </w:r>
          </w:p>
        </w:tc>
        <w:tc>
          <w:tcPr>
            <w:tcW w:w="2085" w:type="dxa"/>
            <w:tcBorders>
              <w:top w:val="single" w:sz="4" w:space="0" w:color="7F7F7F"/>
              <w:left w:val="nil"/>
              <w:bottom w:val="single" w:sz="4" w:space="0" w:color="7F7F7F"/>
              <w:right w:val="nil"/>
            </w:tcBorders>
          </w:tcPr>
          <w:p w14:paraId="673AEA6B" w14:textId="77777777" w:rsidR="003E729F" w:rsidRDefault="007D06AE">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HPV</w:t>
            </w:r>
          </w:p>
        </w:tc>
        <w:tc>
          <w:tcPr>
            <w:tcW w:w="3720" w:type="dxa"/>
            <w:tcBorders>
              <w:top w:val="single" w:sz="4" w:space="0" w:color="7F7F7F"/>
              <w:left w:val="nil"/>
              <w:bottom w:val="single" w:sz="4" w:space="0" w:color="7F7F7F"/>
              <w:right w:val="nil"/>
            </w:tcBorders>
          </w:tcPr>
          <w:p w14:paraId="5A3FF0C6"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Clinical Implications</w:t>
            </w:r>
          </w:p>
        </w:tc>
      </w:tr>
      <w:tr w:rsidR="003E729F" w14:paraId="3C4C479B" w14:textId="77777777">
        <w:trPr>
          <w:trHeight w:val="956"/>
        </w:trPr>
        <w:tc>
          <w:tcPr>
            <w:tcW w:w="1410" w:type="dxa"/>
            <w:tcBorders>
              <w:top w:val="single" w:sz="4" w:space="0" w:color="7F7F7F"/>
              <w:left w:val="nil"/>
              <w:bottom w:val="single" w:sz="4" w:space="0" w:color="7F7F7F"/>
              <w:right w:val="nil"/>
            </w:tcBorders>
          </w:tcPr>
          <w:p w14:paraId="69EC162B" w14:textId="77777777" w:rsidR="003E729F" w:rsidRDefault="007D06AE">
            <w:pPr>
              <w:widowControl/>
              <w:ind w:hanging="2"/>
              <w:jc w:val="center"/>
              <w:rPr>
                <w:rFonts w:ascii="Times New Roman" w:eastAsia="Times New Roman" w:hAnsi="Times New Roman" w:cs="Times New Roman"/>
                <w:sz w:val="16"/>
                <w:szCs w:val="16"/>
                <w:vertAlign w:val="superscript"/>
              </w:rPr>
            </w:pPr>
            <w:bookmarkStart w:id="5" w:name="_heading=h.1ci93xb" w:colFirst="0" w:colLast="0"/>
            <w:bookmarkEnd w:id="5"/>
            <w:r>
              <w:rPr>
                <w:rFonts w:ascii="Times New Roman" w:eastAsia="Times New Roman" w:hAnsi="Times New Roman" w:cs="Times New Roman"/>
                <w:sz w:val="16"/>
                <w:szCs w:val="16"/>
              </w:rPr>
              <w:t xml:space="preserve">Bruno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2018</w:t>
            </w:r>
          </w:p>
        </w:tc>
        <w:tc>
          <w:tcPr>
            <w:tcW w:w="1373" w:type="dxa"/>
            <w:tcBorders>
              <w:top w:val="single" w:sz="4" w:space="0" w:color="7F7F7F"/>
              <w:left w:val="nil"/>
              <w:bottom w:val="single" w:sz="4" w:space="0" w:color="7F7F7F"/>
              <w:right w:val="nil"/>
            </w:tcBorders>
          </w:tcPr>
          <w:p w14:paraId="211B53CD"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Observational Retrospective / Italy</w:t>
            </w:r>
          </w:p>
        </w:tc>
        <w:tc>
          <w:tcPr>
            <w:tcW w:w="1866" w:type="dxa"/>
            <w:tcBorders>
              <w:top w:val="single" w:sz="4" w:space="0" w:color="7F7F7F"/>
              <w:left w:val="nil"/>
              <w:bottom w:val="single" w:sz="4" w:space="0" w:color="7F7F7F"/>
              <w:right w:val="nil"/>
            </w:tcBorders>
          </w:tcPr>
          <w:p w14:paraId="306AB3B1"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674 Samples</w:t>
            </w:r>
          </w:p>
          <w:p w14:paraId="087C6D70"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e HSIL)</w:t>
            </w:r>
          </w:p>
        </w:tc>
        <w:tc>
          <w:tcPr>
            <w:tcW w:w="1185" w:type="dxa"/>
            <w:tcBorders>
              <w:top w:val="single" w:sz="4" w:space="0" w:color="7F7F7F"/>
              <w:left w:val="nil"/>
              <w:bottom w:val="single" w:sz="4" w:space="0" w:color="7F7F7F"/>
              <w:right w:val="nil"/>
            </w:tcBorders>
          </w:tcPr>
          <w:p w14:paraId="287F16E3"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single" w:sz="4" w:space="0" w:color="7F7F7F"/>
              <w:left w:val="nil"/>
              <w:bottom w:val="single" w:sz="4" w:space="0" w:color="7F7F7F"/>
              <w:right w:val="nil"/>
            </w:tcBorders>
          </w:tcPr>
          <w:p w14:paraId="2E9DDAF5"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single" w:sz="4" w:space="0" w:color="7F7F7F"/>
              <w:left w:val="nil"/>
              <w:bottom w:val="single" w:sz="4" w:space="0" w:color="7F7F7F"/>
              <w:right w:val="nil"/>
            </w:tcBorders>
          </w:tcPr>
          <w:p w14:paraId="78E5B055"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NucliSens® EasyQ® HPV v1 Test (bioMérieux)</w:t>
            </w:r>
          </w:p>
        </w:tc>
        <w:tc>
          <w:tcPr>
            <w:tcW w:w="2085" w:type="dxa"/>
            <w:tcBorders>
              <w:top w:val="single" w:sz="4" w:space="0" w:color="7F7F7F"/>
              <w:left w:val="nil"/>
              <w:bottom w:val="single" w:sz="4" w:space="0" w:color="7F7F7F"/>
              <w:right w:val="nil"/>
            </w:tcBorders>
          </w:tcPr>
          <w:p w14:paraId="1EAAAA16"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18, 31, 33 e 45</w:t>
            </w:r>
          </w:p>
        </w:tc>
        <w:tc>
          <w:tcPr>
            <w:tcW w:w="3720" w:type="dxa"/>
            <w:tcBorders>
              <w:top w:val="single" w:sz="4" w:space="0" w:color="7F7F7F"/>
              <w:left w:val="nil"/>
              <w:bottom w:val="single" w:sz="4" w:space="0" w:color="7F7F7F"/>
              <w:right w:val="nil"/>
            </w:tcBorders>
          </w:tcPr>
          <w:p w14:paraId="144BD58D"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The determination of HPV genotype and the detection of E6/E7 mRNA could have important applications in the treatment of HPV-positive women.</w:t>
            </w:r>
          </w:p>
        </w:tc>
      </w:tr>
      <w:tr w:rsidR="003E729F" w14:paraId="2FC670DD" w14:textId="77777777">
        <w:trPr>
          <w:trHeight w:val="956"/>
        </w:trPr>
        <w:tc>
          <w:tcPr>
            <w:tcW w:w="1410" w:type="dxa"/>
            <w:tcBorders>
              <w:top w:val="nil"/>
              <w:left w:val="nil"/>
              <w:bottom w:val="nil"/>
              <w:right w:val="nil"/>
            </w:tcBorders>
          </w:tcPr>
          <w:p w14:paraId="5563E6CA"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Fontecha </w:t>
            </w:r>
            <w:r>
              <w:rPr>
                <w:rFonts w:ascii="Times New Roman" w:eastAsia="Times New Roman" w:hAnsi="Times New Roman" w:cs="Times New Roman"/>
                <w:i/>
                <w:sz w:val="16"/>
                <w:szCs w:val="16"/>
              </w:rPr>
              <w:t xml:space="preserve">et al., </w:t>
            </w:r>
            <w:r>
              <w:rPr>
                <w:rFonts w:ascii="Times New Roman" w:eastAsia="Times New Roman" w:hAnsi="Times New Roman" w:cs="Times New Roman"/>
                <w:sz w:val="16"/>
                <w:szCs w:val="16"/>
              </w:rPr>
              <w:t>2016</w:t>
            </w:r>
          </w:p>
        </w:tc>
        <w:tc>
          <w:tcPr>
            <w:tcW w:w="1373" w:type="dxa"/>
            <w:tcBorders>
              <w:top w:val="nil"/>
              <w:left w:val="nil"/>
              <w:bottom w:val="nil"/>
              <w:right w:val="nil"/>
            </w:tcBorders>
          </w:tcPr>
          <w:p w14:paraId="7499B94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In vitro</w:t>
            </w:r>
            <w:r>
              <w:rPr>
                <w:rFonts w:ascii="Times New Roman" w:eastAsia="Times New Roman" w:hAnsi="Times New Roman" w:cs="Times New Roman"/>
                <w:sz w:val="16"/>
                <w:szCs w:val="16"/>
              </w:rPr>
              <w:t>/Spain</w:t>
            </w:r>
          </w:p>
        </w:tc>
        <w:tc>
          <w:tcPr>
            <w:tcW w:w="1866" w:type="dxa"/>
            <w:tcBorders>
              <w:top w:val="nil"/>
              <w:left w:val="nil"/>
              <w:bottom w:val="nil"/>
              <w:right w:val="nil"/>
            </w:tcBorders>
          </w:tcPr>
          <w:p w14:paraId="4866008F"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128 Samples</w:t>
            </w:r>
          </w:p>
          <w:p w14:paraId="0C303C1A"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e HSIL)</w:t>
            </w:r>
          </w:p>
        </w:tc>
        <w:tc>
          <w:tcPr>
            <w:tcW w:w="1185" w:type="dxa"/>
            <w:tcBorders>
              <w:top w:val="nil"/>
              <w:left w:val="nil"/>
              <w:bottom w:val="nil"/>
              <w:right w:val="nil"/>
            </w:tcBorders>
          </w:tcPr>
          <w:p w14:paraId="317E763B"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nil"/>
              <w:left w:val="nil"/>
              <w:bottom w:val="nil"/>
              <w:right w:val="nil"/>
            </w:tcBorders>
          </w:tcPr>
          <w:p w14:paraId="5B8A858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nil"/>
              <w:left w:val="nil"/>
              <w:bottom w:val="nil"/>
              <w:right w:val="nil"/>
            </w:tcBorders>
          </w:tcPr>
          <w:p w14:paraId="6C3192E9"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NucliSens® EasyQ® HPV v1 Test (bioMérieux)</w:t>
            </w:r>
          </w:p>
        </w:tc>
        <w:tc>
          <w:tcPr>
            <w:tcW w:w="2085" w:type="dxa"/>
            <w:tcBorders>
              <w:top w:val="nil"/>
              <w:left w:val="nil"/>
              <w:bottom w:val="nil"/>
              <w:right w:val="nil"/>
            </w:tcBorders>
          </w:tcPr>
          <w:p w14:paraId="44DDF30C"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18, 31, 33 e 45</w:t>
            </w:r>
          </w:p>
          <w:p w14:paraId="11C1FDB0" w14:textId="77777777" w:rsidR="003E729F" w:rsidRDefault="003E729F">
            <w:pPr>
              <w:widowControl/>
              <w:ind w:hanging="2"/>
              <w:jc w:val="both"/>
              <w:rPr>
                <w:rFonts w:ascii="Times New Roman" w:eastAsia="Times New Roman" w:hAnsi="Times New Roman" w:cs="Times New Roman"/>
                <w:sz w:val="16"/>
                <w:szCs w:val="16"/>
              </w:rPr>
            </w:pPr>
          </w:p>
        </w:tc>
        <w:tc>
          <w:tcPr>
            <w:tcW w:w="3720" w:type="dxa"/>
            <w:tcBorders>
              <w:top w:val="nil"/>
              <w:left w:val="nil"/>
              <w:bottom w:val="nil"/>
              <w:right w:val="nil"/>
            </w:tcBorders>
          </w:tcPr>
          <w:p w14:paraId="5A2DF2BF" w14:textId="77777777" w:rsidR="003E729F" w:rsidRDefault="007D06AE">
            <w:pPr>
              <w:widowControl/>
              <w:ind w:hanging="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The detection of HPV E6/E7 mRNA may serve as an effective screening test and biomarker for cervical cancer in women infected with these five genotypes.</w:t>
            </w:r>
          </w:p>
        </w:tc>
      </w:tr>
      <w:tr w:rsidR="003E729F" w14:paraId="4F32FFBE" w14:textId="77777777">
        <w:trPr>
          <w:trHeight w:val="943"/>
        </w:trPr>
        <w:tc>
          <w:tcPr>
            <w:tcW w:w="1410" w:type="dxa"/>
            <w:tcBorders>
              <w:top w:val="single" w:sz="4" w:space="0" w:color="7F7F7F"/>
              <w:left w:val="nil"/>
              <w:bottom w:val="single" w:sz="4" w:space="0" w:color="7F7F7F"/>
              <w:right w:val="nil"/>
            </w:tcBorders>
          </w:tcPr>
          <w:p w14:paraId="6AE4A234"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Rodrigues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2016</w:t>
            </w:r>
          </w:p>
        </w:tc>
        <w:tc>
          <w:tcPr>
            <w:tcW w:w="1373" w:type="dxa"/>
            <w:tcBorders>
              <w:top w:val="single" w:sz="4" w:space="0" w:color="7F7F7F"/>
              <w:left w:val="nil"/>
              <w:bottom w:val="single" w:sz="4" w:space="0" w:color="7F7F7F"/>
              <w:right w:val="nil"/>
            </w:tcBorders>
          </w:tcPr>
          <w:p w14:paraId="602F8F83"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In vitro/</w:t>
            </w:r>
            <w:r>
              <w:rPr>
                <w:rFonts w:ascii="Times New Roman" w:eastAsia="Times New Roman" w:hAnsi="Times New Roman" w:cs="Times New Roman"/>
                <w:sz w:val="16"/>
                <w:szCs w:val="16"/>
              </w:rPr>
              <w:t xml:space="preserve"> Brazil</w:t>
            </w:r>
          </w:p>
        </w:tc>
        <w:tc>
          <w:tcPr>
            <w:tcW w:w="1866" w:type="dxa"/>
            <w:tcBorders>
              <w:top w:val="single" w:sz="4" w:space="0" w:color="7F7F7F"/>
              <w:left w:val="nil"/>
              <w:bottom w:val="single" w:sz="4" w:space="0" w:color="7F7F7F"/>
              <w:right w:val="nil"/>
            </w:tcBorders>
          </w:tcPr>
          <w:p w14:paraId="1BA180B7"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158 Samples</w:t>
            </w:r>
          </w:p>
          <w:p w14:paraId="1DD3A414"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e HSIL)</w:t>
            </w:r>
          </w:p>
        </w:tc>
        <w:tc>
          <w:tcPr>
            <w:tcW w:w="1185" w:type="dxa"/>
            <w:tcBorders>
              <w:top w:val="single" w:sz="4" w:space="0" w:color="7F7F7F"/>
              <w:left w:val="nil"/>
              <w:bottom w:val="single" w:sz="4" w:space="0" w:color="7F7F7F"/>
              <w:right w:val="nil"/>
            </w:tcBorders>
          </w:tcPr>
          <w:p w14:paraId="5B4A6490"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single" w:sz="4" w:space="0" w:color="7F7F7F"/>
              <w:left w:val="nil"/>
              <w:bottom w:val="single" w:sz="4" w:space="0" w:color="7F7F7F"/>
              <w:right w:val="nil"/>
            </w:tcBorders>
          </w:tcPr>
          <w:p w14:paraId="5000C539"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 E7 </w:t>
            </w:r>
          </w:p>
        </w:tc>
        <w:tc>
          <w:tcPr>
            <w:tcW w:w="1740" w:type="dxa"/>
            <w:tcBorders>
              <w:top w:val="single" w:sz="4" w:space="0" w:color="7F7F7F"/>
              <w:left w:val="nil"/>
              <w:bottom w:val="single" w:sz="4" w:space="0" w:color="7F7F7F"/>
              <w:right w:val="nil"/>
            </w:tcBorders>
          </w:tcPr>
          <w:p w14:paraId="489AFE8A"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Immunohistochemistry</w:t>
            </w:r>
          </w:p>
        </w:tc>
        <w:tc>
          <w:tcPr>
            <w:tcW w:w="2085" w:type="dxa"/>
            <w:tcBorders>
              <w:top w:val="single" w:sz="4" w:space="0" w:color="7F7F7F"/>
              <w:left w:val="nil"/>
              <w:bottom w:val="single" w:sz="4" w:space="0" w:color="7F7F7F"/>
              <w:right w:val="nil"/>
            </w:tcBorders>
          </w:tcPr>
          <w:p w14:paraId="7D23BE02"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e 18</w:t>
            </w:r>
          </w:p>
        </w:tc>
        <w:tc>
          <w:tcPr>
            <w:tcW w:w="3720" w:type="dxa"/>
            <w:tcBorders>
              <w:top w:val="single" w:sz="4" w:space="0" w:color="7F7F7F"/>
              <w:left w:val="nil"/>
              <w:bottom w:val="single" w:sz="4" w:space="0" w:color="7F7F7F"/>
              <w:right w:val="nil"/>
            </w:tcBorders>
          </w:tcPr>
          <w:p w14:paraId="5F3D56AC"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The immunoexpression of HPV 16/18 oncoproteins E6 and E7 may have prognostic value regarding lesion persistence in HIV-positive women.</w:t>
            </w:r>
          </w:p>
        </w:tc>
      </w:tr>
      <w:tr w:rsidR="003E729F" w:rsidRPr="0008667A" w14:paraId="4620FC95" w14:textId="77777777">
        <w:trPr>
          <w:trHeight w:val="807"/>
        </w:trPr>
        <w:tc>
          <w:tcPr>
            <w:tcW w:w="1410" w:type="dxa"/>
            <w:tcBorders>
              <w:top w:val="nil"/>
              <w:left w:val="nil"/>
              <w:bottom w:val="nil"/>
              <w:right w:val="nil"/>
            </w:tcBorders>
          </w:tcPr>
          <w:p w14:paraId="7289EE24"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Hao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2014</w:t>
            </w:r>
          </w:p>
        </w:tc>
        <w:tc>
          <w:tcPr>
            <w:tcW w:w="1373" w:type="dxa"/>
            <w:tcBorders>
              <w:top w:val="nil"/>
              <w:left w:val="nil"/>
              <w:bottom w:val="nil"/>
              <w:right w:val="nil"/>
            </w:tcBorders>
          </w:tcPr>
          <w:p w14:paraId="3081DE47"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In vitro/</w:t>
            </w:r>
            <w:r>
              <w:rPr>
                <w:rFonts w:ascii="Times New Roman" w:eastAsia="Times New Roman" w:hAnsi="Times New Roman" w:cs="Times New Roman"/>
                <w:sz w:val="16"/>
                <w:szCs w:val="16"/>
              </w:rPr>
              <w:t xml:space="preserve"> Central Asia</w:t>
            </w:r>
          </w:p>
        </w:tc>
        <w:tc>
          <w:tcPr>
            <w:tcW w:w="1866" w:type="dxa"/>
            <w:tcBorders>
              <w:top w:val="nil"/>
              <w:left w:val="nil"/>
              <w:bottom w:val="nil"/>
              <w:right w:val="nil"/>
            </w:tcBorders>
          </w:tcPr>
          <w:p w14:paraId="013925BC"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 Samples</w:t>
            </w:r>
          </w:p>
          <w:p w14:paraId="08694BE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(Carcinomas, LSIL E HSIL)</w:t>
            </w:r>
          </w:p>
        </w:tc>
        <w:tc>
          <w:tcPr>
            <w:tcW w:w="1185" w:type="dxa"/>
            <w:tcBorders>
              <w:top w:val="nil"/>
              <w:left w:val="nil"/>
              <w:bottom w:val="nil"/>
              <w:right w:val="nil"/>
            </w:tcBorders>
          </w:tcPr>
          <w:p w14:paraId="4A91B602"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nil"/>
              <w:left w:val="nil"/>
              <w:bottom w:val="nil"/>
              <w:right w:val="nil"/>
            </w:tcBorders>
          </w:tcPr>
          <w:p w14:paraId="53004EF1"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nil"/>
              <w:left w:val="nil"/>
              <w:bottom w:val="nil"/>
              <w:right w:val="nil"/>
            </w:tcBorders>
          </w:tcPr>
          <w:p w14:paraId="4DE15E66"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Immunohistochemistry</w:t>
            </w:r>
          </w:p>
        </w:tc>
        <w:tc>
          <w:tcPr>
            <w:tcW w:w="2085" w:type="dxa"/>
            <w:tcBorders>
              <w:top w:val="nil"/>
              <w:left w:val="nil"/>
              <w:bottom w:val="nil"/>
              <w:right w:val="nil"/>
            </w:tcBorders>
          </w:tcPr>
          <w:p w14:paraId="59EF49A4"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3720" w:type="dxa"/>
            <w:tcBorders>
              <w:top w:val="nil"/>
              <w:left w:val="nil"/>
              <w:bottom w:val="nil"/>
              <w:right w:val="nil"/>
            </w:tcBorders>
          </w:tcPr>
          <w:p w14:paraId="4BE90992" w14:textId="77777777" w:rsidR="003E729F" w:rsidRPr="00CF2679" w:rsidRDefault="007D06AE">
            <w:pPr>
              <w:widowControl/>
              <w:spacing w:before="240" w:after="240"/>
              <w:ind w:firstLine="0"/>
              <w:jc w:val="both"/>
              <w:rPr>
                <w:rFonts w:ascii="Times New Roman" w:eastAsia="Times New Roman" w:hAnsi="Times New Roman" w:cs="Times New Roman"/>
                <w:sz w:val="16"/>
                <w:szCs w:val="16"/>
                <w:lang w:val="de-DE"/>
              </w:rPr>
            </w:pPr>
            <w:r w:rsidRPr="00CF2679">
              <w:rPr>
                <w:rFonts w:ascii="Times New Roman" w:eastAsia="Times New Roman" w:hAnsi="Times New Roman" w:cs="Times New Roman"/>
                <w:sz w:val="16"/>
                <w:szCs w:val="16"/>
                <w:lang w:val="de-DE"/>
              </w:rPr>
              <w:t>HPV oncoproteins E6 and E7 negatively affect the expression and function of TLR9.</w:t>
            </w:r>
          </w:p>
        </w:tc>
      </w:tr>
      <w:tr w:rsidR="003E729F" w:rsidRPr="0008667A" w14:paraId="34299BAB" w14:textId="77777777">
        <w:trPr>
          <w:trHeight w:val="1077"/>
        </w:trPr>
        <w:tc>
          <w:tcPr>
            <w:tcW w:w="1410" w:type="dxa"/>
            <w:tcBorders>
              <w:top w:val="single" w:sz="4" w:space="0" w:color="7F7F7F"/>
              <w:left w:val="nil"/>
              <w:bottom w:val="single" w:sz="4" w:space="0" w:color="7F7F7F"/>
              <w:right w:val="nil"/>
            </w:tcBorders>
          </w:tcPr>
          <w:p w14:paraId="7A86B219"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Tezcan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2014</w:t>
            </w:r>
          </w:p>
        </w:tc>
        <w:tc>
          <w:tcPr>
            <w:tcW w:w="1373" w:type="dxa"/>
            <w:tcBorders>
              <w:top w:val="single" w:sz="4" w:space="0" w:color="7F7F7F"/>
              <w:left w:val="nil"/>
              <w:bottom w:val="single" w:sz="4" w:space="0" w:color="7F7F7F"/>
              <w:right w:val="nil"/>
            </w:tcBorders>
          </w:tcPr>
          <w:p w14:paraId="1C6B5E59" w14:textId="77777777" w:rsidR="003E729F" w:rsidRPr="00CF2679" w:rsidRDefault="007D06AE">
            <w:pPr>
              <w:widowControl/>
              <w:ind w:hanging="2"/>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i/>
                <w:sz w:val="16"/>
                <w:szCs w:val="16"/>
                <w:lang w:val="it-IT"/>
              </w:rPr>
              <w:t>In vitro</w:t>
            </w:r>
            <w:r w:rsidRPr="00CF2679">
              <w:rPr>
                <w:rFonts w:ascii="Times New Roman" w:eastAsia="Times New Roman" w:hAnsi="Times New Roman" w:cs="Times New Roman"/>
                <w:sz w:val="16"/>
                <w:szCs w:val="16"/>
                <w:lang w:val="it-IT"/>
              </w:rPr>
              <w:t>/ Sul da Turquia</w:t>
            </w:r>
          </w:p>
        </w:tc>
        <w:tc>
          <w:tcPr>
            <w:tcW w:w="1866" w:type="dxa"/>
            <w:tcBorders>
              <w:top w:val="single" w:sz="4" w:space="0" w:color="7F7F7F"/>
              <w:left w:val="nil"/>
              <w:bottom w:val="single" w:sz="4" w:space="0" w:color="7F7F7F"/>
              <w:right w:val="nil"/>
            </w:tcBorders>
          </w:tcPr>
          <w:p w14:paraId="5E0F3A25"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476 Samples</w:t>
            </w:r>
          </w:p>
          <w:p w14:paraId="09369807"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HSIL e ASC-US)</w:t>
            </w:r>
          </w:p>
        </w:tc>
        <w:tc>
          <w:tcPr>
            <w:tcW w:w="1185" w:type="dxa"/>
            <w:tcBorders>
              <w:top w:val="single" w:sz="4" w:space="0" w:color="7F7F7F"/>
              <w:left w:val="nil"/>
              <w:bottom w:val="single" w:sz="4" w:space="0" w:color="7F7F7F"/>
              <w:right w:val="nil"/>
            </w:tcBorders>
          </w:tcPr>
          <w:p w14:paraId="0E72FE51"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single" w:sz="4" w:space="0" w:color="7F7F7F"/>
              <w:left w:val="nil"/>
              <w:bottom w:val="single" w:sz="4" w:space="0" w:color="7F7F7F"/>
              <w:right w:val="nil"/>
            </w:tcBorders>
          </w:tcPr>
          <w:p w14:paraId="6C931E9F"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single" w:sz="4" w:space="0" w:color="7F7F7F"/>
              <w:left w:val="nil"/>
              <w:bottom w:val="single" w:sz="4" w:space="0" w:color="7F7F7F"/>
              <w:right w:val="nil"/>
            </w:tcBorders>
          </w:tcPr>
          <w:p w14:paraId="630AB89D"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Real-time type-specific NASBA assay (NucliSENS EasyQ® HPV v1.1)</w:t>
            </w:r>
          </w:p>
        </w:tc>
        <w:tc>
          <w:tcPr>
            <w:tcW w:w="2085" w:type="dxa"/>
            <w:tcBorders>
              <w:top w:val="single" w:sz="4" w:space="0" w:color="7F7F7F"/>
              <w:left w:val="nil"/>
              <w:bottom w:val="single" w:sz="4" w:space="0" w:color="7F7F7F"/>
              <w:right w:val="nil"/>
            </w:tcBorders>
          </w:tcPr>
          <w:p w14:paraId="2D594CCE"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18, 31, 33 e 45, 66, 6, 31, 53 e 83 </w:t>
            </w:r>
          </w:p>
        </w:tc>
        <w:tc>
          <w:tcPr>
            <w:tcW w:w="3720" w:type="dxa"/>
            <w:tcBorders>
              <w:top w:val="single" w:sz="4" w:space="0" w:color="7F7F7F"/>
              <w:left w:val="nil"/>
              <w:bottom w:val="single" w:sz="4" w:space="0" w:color="7F7F7F"/>
              <w:right w:val="nil"/>
            </w:tcBorders>
          </w:tcPr>
          <w:p w14:paraId="55E458A5" w14:textId="77777777" w:rsidR="003E729F" w:rsidRPr="00CF2679" w:rsidRDefault="007D06AE">
            <w:pPr>
              <w:widowControl/>
              <w:ind w:hanging="2"/>
              <w:jc w:val="both"/>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These data are important for determining the future impact of vaccination in women infected with HPV.</w:t>
            </w:r>
          </w:p>
        </w:tc>
      </w:tr>
      <w:tr w:rsidR="003E729F" w14:paraId="1EA22D2C" w14:textId="77777777">
        <w:trPr>
          <w:trHeight w:val="1129"/>
        </w:trPr>
        <w:tc>
          <w:tcPr>
            <w:tcW w:w="1410" w:type="dxa"/>
            <w:tcBorders>
              <w:top w:val="nil"/>
              <w:left w:val="nil"/>
              <w:bottom w:val="single" w:sz="4" w:space="0" w:color="7F7F7F"/>
              <w:right w:val="nil"/>
            </w:tcBorders>
          </w:tcPr>
          <w:p w14:paraId="3B45ADE9"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Chee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1995</w:t>
            </w:r>
          </w:p>
        </w:tc>
        <w:tc>
          <w:tcPr>
            <w:tcW w:w="1373" w:type="dxa"/>
            <w:tcBorders>
              <w:top w:val="nil"/>
              <w:left w:val="nil"/>
              <w:bottom w:val="single" w:sz="4" w:space="0" w:color="7F7F7F"/>
              <w:right w:val="nil"/>
            </w:tcBorders>
          </w:tcPr>
          <w:p w14:paraId="7B2DA5B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In vitro</w:t>
            </w:r>
            <w:r>
              <w:rPr>
                <w:rFonts w:ascii="Times New Roman" w:eastAsia="Times New Roman" w:hAnsi="Times New Roman" w:cs="Times New Roman"/>
                <w:color w:val="000000"/>
                <w:sz w:val="16"/>
                <w:szCs w:val="16"/>
              </w:rPr>
              <w:t>/Coreia</w:t>
            </w:r>
          </w:p>
        </w:tc>
        <w:tc>
          <w:tcPr>
            <w:tcW w:w="1866" w:type="dxa"/>
            <w:tcBorders>
              <w:top w:val="nil"/>
              <w:left w:val="nil"/>
              <w:bottom w:val="single" w:sz="4" w:space="0" w:color="7F7F7F"/>
              <w:right w:val="nil"/>
            </w:tcBorders>
          </w:tcPr>
          <w:p w14:paraId="213BA17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60 </w:t>
            </w:r>
            <w:r>
              <w:rPr>
                <w:rFonts w:ascii="Times New Roman" w:eastAsia="Times New Roman" w:hAnsi="Times New Roman" w:cs="Times New Roman"/>
                <w:sz w:val="16"/>
                <w:szCs w:val="16"/>
              </w:rPr>
              <w:t>Samples</w:t>
            </w:r>
          </w:p>
          <w:p w14:paraId="07AF3F3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(LSIL e HSIL)</w:t>
            </w:r>
          </w:p>
        </w:tc>
        <w:tc>
          <w:tcPr>
            <w:tcW w:w="1185" w:type="dxa"/>
            <w:tcBorders>
              <w:top w:val="nil"/>
              <w:left w:val="nil"/>
              <w:bottom w:val="single" w:sz="4" w:space="0" w:color="7F7F7F"/>
              <w:right w:val="nil"/>
            </w:tcBorders>
          </w:tcPr>
          <w:p w14:paraId="6918A55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Cervical</w:t>
            </w:r>
          </w:p>
        </w:tc>
        <w:tc>
          <w:tcPr>
            <w:tcW w:w="1635" w:type="dxa"/>
            <w:tcBorders>
              <w:top w:val="nil"/>
              <w:left w:val="nil"/>
              <w:bottom w:val="single" w:sz="4" w:space="0" w:color="7F7F7F"/>
              <w:right w:val="nil"/>
            </w:tcBorders>
          </w:tcPr>
          <w:p w14:paraId="718B4F8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740" w:type="dxa"/>
            <w:tcBorders>
              <w:top w:val="nil"/>
              <w:left w:val="nil"/>
              <w:bottom w:val="single" w:sz="4" w:space="0" w:color="7F7F7F"/>
              <w:right w:val="nil"/>
            </w:tcBorders>
          </w:tcPr>
          <w:p w14:paraId="08769084" w14:textId="77777777" w:rsidR="003E729F" w:rsidRDefault="007D06AE">
            <w:pPr>
              <w:widowControl/>
              <w:spacing w:before="240" w:after="240"/>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Radioimmunoprecipitation assay (RIPA)</w:t>
            </w:r>
          </w:p>
        </w:tc>
        <w:tc>
          <w:tcPr>
            <w:tcW w:w="2085" w:type="dxa"/>
            <w:tcBorders>
              <w:top w:val="nil"/>
              <w:left w:val="nil"/>
              <w:bottom w:val="single" w:sz="4" w:space="0" w:color="7F7F7F"/>
              <w:right w:val="nil"/>
            </w:tcBorders>
          </w:tcPr>
          <w:p w14:paraId="4792BA5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11, 16, 18, 31, 33, 35, 45, 51 e 52</w:t>
            </w:r>
          </w:p>
        </w:tc>
        <w:tc>
          <w:tcPr>
            <w:tcW w:w="3720" w:type="dxa"/>
            <w:tcBorders>
              <w:top w:val="nil"/>
              <w:left w:val="nil"/>
              <w:bottom w:val="single" w:sz="4" w:space="0" w:color="7F7F7F"/>
              <w:right w:val="nil"/>
            </w:tcBorders>
          </w:tcPr>
          <w:p w14:paraId="6303AA1E"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Antibodies against the HPV16 E6 and E7 proteins may serve as effective virus-specific markers and indicators of disease status in HPV16-associated cervical cancer.</w:t>
            </w:r>
          </w:p>
        </w:tc>
      </w:tr>
    </w:tbl>
    <w:p w14:paraId="4EABB684" w14:textId="77777777" w:rsidR="003E729F" w:rsidRDefault="007D06AE">
      <w:pPr>
        <w:widowControl/>
        <w:spacing w:line="360" w:lineRule="auto"/>
        <w:ind w:hanging="2"/>
        <w:jc w:val="both"/>
        <w:rPr>
          <w:rFonts w:ascii="Times New Roman" w:eastAsia="Times New Roman" w:hAnsi="Times New Roman" w:cs="Times New Roman"/>
          <w:sz w:val="20"/>
          <w:szCs w:val="20"/>
        </w:rPr>
        <w:sectPr w:rsidR="003E729F">
          <w:pgSz w:w="16838" w:h="11906" w:orient="landscape"/>
          <w:pgMar w:top="1701" w:right="1701" w:bottom="1134" w:left="1134" w:header="709" w:footer="709" w:gutter="0"/>
          <w:cols w:space="720"/>
        </w:sectPr>
      </w:pPr>
      <w:r>
        <w:rPr>
          <w:rFonts w:ascii="Times New Roman" w:eastAsia="Times New Roman" w:hAnsi="Times New Roman" w:cs="Times New Roman"/>
          <w:b/>
          <w:sz w:val="20"/>
          <w:szCs w:val="20"/>
        </w:rPr>
        <w:t xml:space="preserve">Legend: </w:t>
      </w:r>
      <w:r>
        <w:rPr>
          <w:rFonts w:ascii="Times New Roman" w:eastAsia="Times New Roman" w:hAnsi="Times New Roman" w:cs="Times New Roman"/>
          <w:sz w:val="20"/>
          <w:szCs w:val="20"/>
        </w:rPr>
        <w:t>LSIL: Low-grade squamous intraepithelial lesion; HSIL: High-grade squamous intraepithelial lesion; ASC-US: Atypical squamous cells of undetermined significance</w:t>
      </w:r>
    </w:p>
    <w:p w14:paraId="2C85D55F" w14:textId="77777777" w:rsidR="003E729F" w:rsidRDefault="003E729F">
      <w:pPr>
        <w:widowControl/>
        <w:spacing w:line="360" w:lineRule="auto"/>
        <w:ind w:hanging="2"/>
        <w:rPr>
          <w:rFonts w:ascii="Times New Roman" w:eastAsia="Times New Roman" w:hAnsi="Times New Roman" w:cs="Times New Roman"/>
        </w:rPr>
      </w:pPr>
    </w:p>
    <w:p w14:paraId="25577B2D" w14:textId="77777777" w:rsidR="003E729F" w:rsidRPr="00CF2679" w:rsidRDefault="007D06AE">
      <w:pPr>
        <w:widowControl/>
        <w:spacing w:line="360" w:lineRule="auto"/>
        <w:ind w:left="-2" w:firstLine="850"/>
        <w:jc w:val="both"/>
        <w:rPr>
          <w:rFonts w:ascii="Times New Roman" w:eastAsia="Times New Roman" w:hAnsi="Times New Roman" w:cs="Times New Roman"/>
          <w:lang w:val="de-DE"/>
        </w:rPr>
        <w:sectPr w:rsidR="003E729F" w:rsidRPr="00CF2679">
          <w:pgSz w:w="11906" w:h="16838"/>
          <w:pgMar w:top="1701" w:right="1134" w:bottom="1134" w:left="1701" w:header="709" w:footer="709" w:gutter="0"/>
          <w:cols w:space="720"/>
        </w:sectPr>
      </w:pPr>
      <w:r>
        <w:rPr>
          <w:rFonts w:ascii="Times New Roman" w:eastAsia="Times New Roman" w:hAnsi="Times New Roman" w:cs="Times New Roman"/>
        </w:rPr>
        <w:t xml:space="preserve">In the eight clinical studies included, therapeutic vaccines expressing the HPV16 E6/E7 oncoproteins in HSIL (Kawana et al., 2023; Simon et al., 2003) for CIN grades 2 and 3 were highlighted. The vaccines were administered orally, subcutaneously, and intramuscularly, with distinct protocols for each route of administration. The evaluation period for clinical response (safety, tolerability, and immunogenicity) in the trials ranged from 9 weeks to 2 years. </w:t>
      </w:r>
      <w:r w:rsidRPr="00CF2679">
        <w:rPr>
          <w:rFonts w:ascii="Times New Roman" w:eastAsia="Times New Roman" w:hAnsi="Times New Roman" w:cs="Times New Roman"/>
          <w:lang w:val="de-DE"/>
        </w:rPr>
        <w:t>All trials reported the generation of an immune response against the antigen, suggesting that the vaccines were effective in eliciting an immune response against HPV16. A synthesis of the included studies is presented in Table 2.</w:t>
      </w:r>
    </w:p>
    <w:p w14:paraId="281D22C6" w14:textId="77777777" w:rsidR="003E729F" w:rsidRPr="00CF2679" w:rsidRDefault="007D06AE">
      <w:pPr>
        <w:widowControl/>
        <w:spacing w:after="160" w:line="360" w:lineRule="auto"/>
        <w:ind w:hanging="2"/>
        <w:jc w:val="center"/>
        <w:rPr>
          <w:rFonts w:ascii="Times New Roman" w:eastAsia="Times New Roman" w:hAnsi="Times New Roman" w:cs="Times New Roman"/>
          <w:sz w:val="20"/>
          <w:szCs w:val="20"/>
          <w:lang w:val="de-DE"/>
        </w:rPr>
      </w:pPr>
      <w:bookmarkStart w:id="6" w:name="_heading=h.3whwml4" w:colFirst="0" w:colLast="0"/>
      <w:bookmarkEnd w:id="6"/>
      <w:r w:rsidRPr="00CF2679">
        <w:rPr>
          <w:rFonts w:ascii="Times New Roman" w:eastAsia="Times New Roman" w:hAnsi="Times New Roman" w:cs="Times New Roman"/>
          <w:b/>
          <w:sz w:val="20"/>
          <w:szCs w:val="20"/>
          <w:lang w:val="de-DE"/>
        </w:rPr>
        <w:lastRenderedPageBreak/>
        <w:t>Table 2</w:t>
      </w:r>
      <w:r w:rsidRPr="00CF2679">
        <w:rPr>
          <w:rFonts w:ascii="Times New Roman" w:eastAsia="Times New Roman" w:hAnsi="Times New Roman" w:cs="Times New Roman"/>
          <w:sz w:val="20"/>
          <w:szCs w:val="20"/>
          <w:lang w:val="de-DE"/>
        </w:rPr>
        <w:t xml:space="preserve"> – Synthesis of clinical studies on therapeutic vaccines expressing HPV 16 E6/E7 oncoproteins in CIN 2/3, highlighting information such as author, year of publication, study design, phase, vaccine, type, expressed oncoproteins, total sample, route of administration, protocol, adverse event, evaluation time, and main results.</w:t>
      </w:r>
    </w:p>
    <w:tbl>
      <w:tblPr>
        <w:tblStyle w:val="a0"/>
        <w:tblW w:w="15000" w:type="dxa"/>
        <w:jc w:val="center"/>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591"/>
        <w:gridCol w:w="1245"/>
        <w:gridCol w:w="1320"/>
        <w:gridCol w:w="1200"/>
        <w:gridCol w:w="1140"/>
        <w:gridCol w:w="1215"/>
        <w:gridCol w:w="1245"/>
        <w:gridCol w:w="2775"/>
        <w:gridCol w:w="833"/>
        <w:gridCol w:w="981"/>
        <w:gridCol w:w="1455"/>
      </w:tblGrid>
      <w:tr w:rsidR="003E729F" w:rsidRPr="0008667A" w14:paraId="2401C928" w14:textId="77777777" w:rsidTr="00495274">
        <w:trPr>
          <w:trHeight w:val="619"/>
          <w:jc w:val="center"/>
        </w:trPr>
        <w:tc>
          <w:tcPr>
            <w:tcW w:w="1591" w:type="dxa"/>
            <w:tcBorders>
              <w:top w:val="single" w:sz="4" w:space="0" w:color="7F7F7F"/>
              <w:left w:val="nil"/>
              <w:bottom w:val="single" w:sz="4" w:space="0" w:color="7F7F7F"/>
              <w:right w:val="nil"/>
            </w:tcBorders>
          </w:tcPr>
          <w:p w14:paraId="00CBCCF7"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Author/Year</w:t>
            </w:r>
          </w:p>
        </w:tc>
        <w:tc>
          <w:tcPr>
            <w:tcW w:w="1245" w:type="dxa"/>
            <w:tcBorders>
              <w:top w:val="single" w:sz="4" w:space="0" w:color="7F7F7F"/>
              <w:left w:val="nil"/>
              <w:bottom w:val="single" w:sz="4" w:space="0" w:color="7F7F7F"/>
              <w:right w:val="nil"/>
            </w:tcBorders>
          </w:tcPr>
          <w:p w14:paraId="2582DAB3"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Design/Phase</w:t>
            </w:r>
          </w:p>
        </w:tc>
        <w:tc>
          <w:tcPr>
            <w:tcW w:w="1320" w:type="dxa"/>
            <w:tcBorders>
              <w:top w:val="single" w:sz="4" w:space="0" w:color="7F7F7F"/>
              <w:left w:val="nil"/>
              <w:bottom w:val="single" w:sz="4" w:space="0" w:color="7F7F7F"/>
              <w:right w:val="nil"/>
            </w:tcBorders>
          </w:tcPr>
          <w:p w14:paraId="280CDCFF"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Vaccine and Type</w:t>
            </w:r>
          </w:p>
        </w:tc>
        <w:tc>
          <w:tcPr>
            <w:tcW w:w="1200" w:type="dxa"/>
            <w:tcBorders>
              <w:top w:val="single" w:sz="4" w:space="0" w:color="7F7F7F"/>
              <w:left w:val="nil"/>
              <w:bottom w:val="single" w:sz="4" w:space="0" w:color="7F7F7F"/>
              <w:right w:val="nil"/>
            </w:tcBorders>
          </w:tcPr>
          <w:p w14:paraId="1086EB0F"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Expressed Oncoprotein</w:t>
            </w:r>
          </w:p>
        </w:tc>
        <w:tc>
          <w:tcPr>
            <w:tcW w:w="1140" w:type="dxa"/>
            <w:tcBorders>
              <w:top w:val="single" w:sz="4" w:space="0" w:color="7F7F7F"/>
              <w:left w:val="nil"/>
              <w:bottom w:val="single" w:sz="4" w:space="0" w:color="7F7F7F"/>
              <w:right w:val="nil"/>
            </w:tcBorders>
          </w:tcPr>
          <w:p w14:paraId="22F45410"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Context</w:t>
            </w:r>
          </w:p>
        </w:tc>
        <w:tc>
          <w:tcPr>
            <w:tcW w:w="1215" w:type="dxa"/>
            <w:tcBorders>
              <w:top w:val="single" w:sz="4" w:space="0" w:color="7F7F7F"/>
              <w:left w:val="nil"/>
              <w:bottom w:val="single" w:sz="4" w:space="0" w:color="7F7F7F"/>
              <w:right w:val="nil"/>
            </w:tcBorders>
          </w:tcPr>
          <w:p w14:paraId="1249AF16"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Sample</w:t>
            </w:r>
          </w:p>
        </w:tc>
        <w:tc>
          <w:tcPr>
            <w:tcW w:w="1245" w:type="dxa"/>
            <w:tcBorders>
              <w:top w:val="single" w:sz="4" w:space="0" w:color="7F7F7F"/>
              <w:left w:val="nil"/>
              <w:bottom w:val="single" w:sz="4" w:space="0" w:color="7F7F7F"/>
              <w:right w:val="nil"/>
            </w:tcBorders>
          </w:tcPr>
          <w:p w14:paraId="2FCEA2D7"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Route of Administration</w:t>
            </w:r>
          </w:p>
        </w:tc>
        <w:tc>
          <w:tcPr>
            <w:tcW w:w="2775" w:type="dxa"/>
            <w:tcBorders>
              <w:top w:val="single" w:sz="4" w:space="0" w:color="7F7F7F"/>
              <w:left w:val="nil"/>
              <w:bottom w:val="single" w:sz="4" w:space="0" w:color="7F7F7F"/>
              <w:right w:val="nil"/>
            </w:tcBorders>
          </w:tcPr>
          <w:p w14:paraId="2549EB03" w14:textId="77777777" w:rsidR="003E729F" w:rsidRPr="00774400" w:rsidRDefault="007D06AE" w:rsidP="00774400">
            <w:pPr>
              <w:widowControl/>
              <w:ind w:hanging="2"/>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Protocol</w:t>
            </w:r>
          </w:p>
        </w:tc>
        <w:tc>
          <w:tcPr>
            <w:tcW w:w="833" w:type="dxa"/>
            <w:tcBorders>
              <w:top w:val="single" w:sz="4" w:space="0" w:color="7F7F7F"/>
              <w:left w:val="nil"/>
              <w:bottom w:val="single" w:sz="4" w:space="0" w:color="7F7F7F"/>
              <w:right w:val="nil"/>
            </w:tcBorders>
          </w:tcPr>
          <w:p w14:paraId="1FC98634" w14:textId="77777777" w:rsidR="003E729F" w:rsidRPr="00774400" w:rsidRDefault="007D06AE" w:rsidP="00774400">
            <w:pPr>
              <w:widowControl/>
              <w:spacing w:before="240" w:after="240"/>
              <w:ind w:firstLine="0"/>
              <w:contextualSpacing/>
              <w:jc w:val="center"/>
              <w:rPr>
                <w:rFonts w:ascii="Times New Roman" w:eastAsia="Times New Roman" w:hAnsi="Times New Roman" w:cs="Times New Roman"/>
                <w:b/>
                <w:sz w:val="16"/>
                <w:szCs w:val="16"/>
                <w:highlight w:val="yellow"/>
              </w:rPr>
            </w:pPr>
            <w:r w:rsidRPr="00774400">
              <w:rPr>
                <w:rFonts w:ascii="Times New Roman" w:eastAsia="Times New Roman" w:hAnsi="Times New Roman" w:cs="Times New Roman"/>
                <w:b/>
                <w:sz w:val="16"/>
                <w:szCs w:val="16"/>
                <w:highlight w:val="yellow"/>
              </w:rPr>
              <w:t>Serious Adverse Events</w:t>
            </w:r>
          </w:p>
        </w:tc>
        <w:tc>
          <w:tcPr>
            <w:tcW w:w="981" w:type="dxa"/>
            <w:tcBorders>
              <w:top w:val="single" w:sz="4" w:space="0" w:color="7F7F7F"/>
              <w:left w:val="nil"/>
              <w:bottom w:val="single" w:sz="4" w:space="0" w:color="7F7F7F"/>
              <w:right w:val="nil"/>
            </w:tcBorders>
          </w:tcPr>
          <w:p w14:paraId="112E4C40" w14:textId="77777777" w:rsidR="003E729F" w:rsidRPr="00774400" w:rsidRDefault="007D06AE" w:rsidP="00774400">
            <w:pPr>
              <w:widowControl/>
              <w:spacing w:before="240" w:after="240"/>
              <w:ind w:firstLine="0"/>
              <w:contextualSpacing/>
              <w:jc w:val="center"/>
              <w:rPr>
                <w:rFonts w:ascii="Times New Roman" w:eastAsia="Times New Roman" w:hAnsi="Times New Roman" w:cs="Times New Roman"/>
                <w:b/>
                <w:color w:val="000000"/>
                <w:sz w:val="16"/>
                <w:szCs w:val="16"/>
                <w:highlight w:val="yellow"/>
              </w:rPr>
            </w:pPr>
            <w:r w:rsidRPr="00774400">
              <w:rPr>
                <w:rFonts w:ascii="Times New Roman" w:eastAsia="Times New Roman" w:hAnsi="Times New Roman" w:cs="Times New Roman"/>
                <w:b/>
                <w:sz w:val="16"/>
                <w:szCs w:val="16"/>
                <w:highlight w:val="yellow"/>
              </w:rPr>
              <w:t>Evaluation period</w:t>
            </w:r>
          </w:p>
        </w:tc>
        <w:tc>
          <w:tcPr>
            <w:tcW w:w="1455" w:type="dxa"/>
            <w:tcBorders>
              <w:top w:val="single" w:sz="4" w:space="0" w:color="7F7F7F"/>
              <w:left w:val="nil"/>
              <w:bottom w:val="single" w:sz="4" w:space="0" w:color="7F7F7F"/>
              <w:right w:val="nil"/>
            </w:tcBorders>
          </w:tcPr>
          <w:p w14:paraId="382FFCCB" w14:textId="77777777" w:rsidR="003E729F" w:rsidRPr="00774400" w:rsidRDefault="007D06AE" w:rsidP="00774400">
            <w:pPr>
              <w:widowControl/>
              <w:spacing w:before="240" w:after="240"/>
              <w:ind w:firstLine="0"/>
              <w:contextualSpacing/>
              <w:jc w:val="center"/>
              <w:rPr>
                <w:rFonts w:ascii="Times New Roman" w:eastAsia="Times New Roman" w:hAnsi="Times New Roman" w:cs="Times New Roman"/>
                <w:b/>
                <w:sz w:val="16"/>
                <w:szCs w:val="16"/>
                <w:highlight w:val="yellow"/>
                <w:lang w:val="it-IT"/>
              </w:rPr>
            </w:pPr>
            <w:r w:rsidRPr="00774400">
              <w:rPr>
                <w:rFonts w:ascii="Times New Roman" w:eastAsia="Times New Roman" w:hAnsi="Times New Roman" w:cs="Times New Roman"/>
                <w:b/>
                <w:sz w:val="16"/>
                <w:szCs w:val="16"/>
                <w:highlight w:val="yellow"/>
                <w:lang w:val="it-IT"/>
              </w:rPr>
              <w:t>Antigen-specific immune response generation</w:t>
            </w:r>
          </w:p>
        </w:tc>
      </w:tr>
      <w:tr w:rsidR="003E729F" w:rsidRPr="00774400" w14:paraId="1E5D97D5" w14:textId="77777777" w:rsidTr="00495274">
        <w:trPr>
          <w:trHeight w:val="203"/>
          <w:jc w:val="center"/>
        </w:trPr>
        <w:tc>
          <w:tcPr>
            <w:tcW w:w="1591" w:type="dxa"/>
            <w:tcBorders>
              <w:top w:val="single" w:sz="4" w:space="0" w:color="7F7F7F"/>
              <w:left w:val="nil"/>
              <w:bottom w:val="single" w:sz="4" w:space="0" w:color="7F7F7F"/>
              <w:right w:val="nil"/>
            </w:tcBorders>
          </w:tcPr>
          <w:p w14:paraId="738ED7BF"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vertAlign w:val="superscript"/>
              </w:rPr>
            </w:pPr>
            <w:bookmarkStart w:id="7" w:name="_heading=h.2bn6wsx" w:colFirst="0" w:colLast="0"/>
            <w:bookmarkEnd w:id="7"/>
            <w:r w:rsidRPr="00774400">
              <w:rPr>
                <w:rFonts w:ascii="Times New Roman" w:eastAsia="Times New Roman" w:hAnsi="Times New Roman" w:cs="Times New Roman"/>
                <w:color w:val="000000"/>
                <w:sz w:val="16"/>
                <w:szCs w:val="16"/>
              </w:rPr>
              <w:t xml:space="preserve">Kawana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2023</w:t>
            </w:r>
          </w:p>
        </w:tc>
        <w:tc>
          <w:tcPr>
            <w:tcW w:w="1245" w:type="dxa"/>
            <w:tcBorders>
              <w:top w:val="single" w:sz="4" w:space="0" w:color="7F7F7F"/>
              <w:left w:val="nil"/>
              <w:bottom w:val="single" w:sz="4" w:space="0" w:color="7F7F7F"/>
              <w:right w:val="nil"/>
            </w:tcBorders>
          </w:tcPr>
          <w:p w14:paraId="49F7C0E2"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Clinical trial | Phase I/II</w:t>
            </w:r>
          </w:p>
        </w:tc>
        <w:tc>
          <w:tcPr>
            <w:tcW w:w="1320" w:type="dxa"/>
            <w:tcBorders>
              <w:top w:val="single" w:sz="4" w:space="0" w:color="7F7F7F"/>
              <w:left w:val="nil"/>
              <w:bottom w:val="single" w:sz="4" w:space="0" w:color="7F7F7F"/>
              <w:right w:val="nil"/>
            </w:tcBorders>
          </w:tcPr>
          <w:p w14:paraId="40AF79BD"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IGMKK16E7</w:t>
            </w:r>
          </w:p>
        </w:tc>
        <w:tc>
          <w:tcPr>
            <w:tcW w:w="1200" w:type="dxa"/>
            <w:tcBorders>
              <w:top w:val="single" w:sz="4" w:space="0" w:color="7F7F7F"/>
              <w:left w:val="nil"/>
              <w:bottom w:val="single" w:sz="4" w:space="0" w:color="7F7F7F"/>
              <w:right w:val="nil"/>
            </w:tcBorders>
          </w:tcPr>
          <w:p w14:paraId="26DE271F"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single" w:sz="4" w:space="0" w:color="7F7F7F"/>
              <w:left w:val="nil"/>
              <w:bottom w:val="single" w:sz="4" w:space="0" w:color="7F7F7F"/>
              <w:right w:val="nil"/>
            </w:tcBorders>
          </w:tcPr>
          <w:p w14:paraId="338F9379"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CIN 2/3 due to HPV 16</w:t>
            </w:r>
          </w:p>
        </w:tc>
        <w:tc>
          <w:tcPr>
            <w:tcW w:w="1215" w:type="dxa"/>
            <w:tcBorders>
              <w:top w:val="single" w:sz="4" w:space="0" w:color="7F7F7F"/>
              <w:left w:val="nil"/>
              <w:bottom w:val="single" w:sz="4" w:space="0" w:color="7F7F7F"/>
              <w:right w:val="nil"/>
            </w:tcBorders>
          </w:tcPr>
          <w:p w14:paraId="2619602D" w14:textId="77777777" w:rsidR="003E729F" w:rsidRPr="00774400" w:rsidRDefault="007D06AE" w:rsidP="00774400">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165 </w:t>
            </w:r>
            <w:r w:rsidRPr="00774400">
              <w:rPr>
                <w:rFonts w:ascii="Times New Roman" w:eastAsia="Times New Roman" w:hAnsi="Times New Roman" w:cs="Times New Roman"/>
                <w:sz w:val="16"/>
                <w:szCs w:val="16"/>
              </w:rPr>
              <w:t>Participants</w:t>
            </w:r>
          </w:p>
          <w:p w14:paraId="368B624F" w14:textId="77777777" w:rsidR="003E729F" w:rsidRPr="00774400" w:rsidRDefault="003E729F" w:rsidP="00774400">
            <w:pPr>
              <w:widowControl/>
              <w:ind w:hanging="2"/>
              <w:contextualSpacing/>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1C4740E0"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Oral</w:t>
            </w:r>
          </w:p>
        </w:tc>
        <w:tc>
          <w:tcPr>
            <w:tcW w:w="2775" w:type="dxa"/>
            <w:tcBorders>
              <w:top w:val="single" w:sz="4" w:space="0" w:color="7F7F7F"/>
              <w:left w:val="nil"/>
              <w:bottom w:val="single" w:sz="4" w:space="0" w:color="7F7F7F"/>
              <w:right w:val="nil"/>
            </w:tcBorders>
          </w:tcPr>
          <w:p w14:paraId="7490927C" w14:textId="1FD8DDEE" w:rsidR="003E729F" w:rsidRPr="00774400" w:rsidRDefault="007D06AE" w:rsidP="00774400">
            <w:pPr>
              <w:widowControl/>
              <w:ind w:hanging="2"/>
              <w:contextualSpacing/>
              <w:jc w:val="both"/>
              <w:rPr>
                <w:rFonts w:ascii="Times New Roman" w:eastAsia="Times New Roman" w:hAnsi="Times New Roman" w:cs="Times New Roman"/>
                <w:color w:val="000000"/>
                <w:sz w:val="16"/>
                <w:szCs w:val="16"/>
                <w:lang w:val="de-DE"/>
              </w:rPr>
            </w:pPr>
            <w:r w:rsidRPr="00774400">
              <w:rPr>
                <w:rFonts w:ascii="Times New Roman" w:eastAsia="Times New Roman" w:hAnsi="Times New Roman" w:cs="Times New Roman"/>
                <w:sz w:val="16"/>
                <w:szCs w:val="16"/>
                <w:lang w:val="de-DE"/>
              </w:rPr>
              <w:t>Four rounds of oral immunization were administered in weeks 1, 2, 4, and 8. Low-dose IGMKK16E7 (0.5 g/day), intermediate dose (1.0 g/day), high dose (1.5 g/day), or placebo were given orally after fasting, once each morning for 5 consecutive days.</w:t>
            </w:r>
          </w:p>
        </w:tc>
        <w:tc>
          <w:tcPr>
            <w:tcW w:w="833" w:type="dxa"/>
            <w:tcBorders>
              <w:top w:val="single" w:sz="4" w:space="0" w:color="7F7F7F"/>
              <w:left w:val="nil"/>
              <w:bottom w:val="single" w:sz="4" w:space="0" w:color="7F7F7F"/>
              <w:right w:val="nil"/>
            </w:tcBorders>
          </w:tcPr>
          <w:p w14:paraId="69509954" w14:textId="59A85B67" w:rsidR="003E729F" w:rsidRPr="00774400" w:rsidRDefault="00495274" w:rsidP="00774400">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54171623" w14:textId="77777777" w:rsidR="003E729F" w:rsidRPr="00774400" w:rsidRDefault="007D06AE" w:rsidP="00774400">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16 </w:t>
            </w:r>
            <w:r w:rsidRPr="00774400">
              <w:rPr>
                <w:rFonts w:ascii="Times New Roman" w:eastAsia="Times New Roman" w:hAnsi="Times New Roman" w:cs="Times New Roman"/>
                <w:sz w:val="16"/>
                <w:szCs w:val="16"/>
              </w:rPr>
              <w:t>weeks</w:t>
            </w:r>
          </w:p>
        </w:tc>
        <w:tc>
          <w:tcPr>
            <w:tcW w:w="1455" w:type="dxa"/>
            <w:tcBorders>
              <w:top w:val="single" w:sz="4" w:space="0" w:color="7F7F7F"/>
              <w:left w:val="nil"/>
              <w:bottom w:val="single" w:sz="4" w:space="0" w:color="7F7F7F"/>
              <w:right w:val="nil"/>
            </w:tcBorders>
          </w:tcPr>
          <w:p w14:paraId="14B928C4" w14:textId="297BCDDF" w:rsidR="003E729F" w:rsidRPr="00774400" w:rsidRDefault="00495274" w:rsidP="00774400">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2D80A6B5" w14:textId="77777777" w:rsidTr="00495274">
        <w:trPr>
          <w:trHeight w:val="203"/>
          <w:jc w:val="center"/>
        </w:trPr>
        <w:tc>
          <w:tcPr>
            <w:tcW w:w="1591" w:type="dxa"/>
            <w:tcBorders>
              <w:top w:val="nil"/>
              <w:left w:val="nil"/>
              <w:bottom w:val="nil"/>
              <w:right w:val="nil"/>
            </w:tcBorders>
          </w:tcPr>
          <w:p w14:paraId="07969BCD"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Ikeda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2021</w:t>
            </w:r>
          </w:p>
        </w:tc>
        <w:tc>
          <w:tcPr>
            <w:tcW w:w="1245" w:type="dxa"/>
            <w:tcBorders>
              <w:top w:val="nil"/>
              <w:left w:val="nil"/>
              <w:bottom w:val="nil"/>
              <w:right w:val="nil"/>
            </w:tcBorders>
          </w:tcPr>
          <w:p w14:paraId="37E3BDA6"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Clinical trial | Phase I/II</w:t>
            </w:r>
          </w:p>
        </w:tc>
        <w:tc>
          <w:tcPr>
            <w:tcW w:w="1320" w:type="dxa"/>
            <w:tcBorders>
              <w:top w:val="nil"/>
              <w:left w:val="nil"/>
              <w:bottom w:val="nil"/>
              <w:right w:val="nil"/>
            </w:tcBorders>
          </w:tcPr>
          <w:p w14:paraId="36EF494B"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GLBL101c</w:t>
            </w:r>
          </w:p>
        </w:tc>
        <w:tc>
          <w:tcPr>
            <w:tcW w:w="1200" w:type="dxa"/>
            <w:tcBorders>
              <w:top w:val="nil"/>
              <w:left w:val="nil"/>
              <w:bottom w:val="nil"/>
              <w:right w:val="nil"/>
            </w:tcBorders>
          </w:tcPr>
          <w:p w14:paraId="14DBA0BC"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48B201A5"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CIN 2</w:t>
            </w:r>
          </w:p>
        </w:tc>
        <w:tc>
          <w:tcPr>
            <w:tcW w:w="1215" w:type="dxa"/>
            <w:tcBorders>
              <w:top w:val="nil"/>
              <w:left w:val="nil"/>
              <w:bottom w:val="nil"/>
              <w:right w:val="nil"/>
            </w:tcBorders>
          </w:tcPr>
          <w:p w14:paraId="6FF5FD5E"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40 </w:t>
            </w:r>
            <w:r w:rsidRPr="00774400">
              <w:rPr>
                <w:rFonts w:ascii="Times New Roman" w:eastAsia="Times New Roman" w:hAnsi="Times New Roman" w:cs="Times New Roman"/>
                <w:sz w:val="16"/>
                <w:szCs w:val="16"/>
              </w:rPr>
              <w:t>Participants</w:t>
            </w:r>
          </w:p>
          <w:p w14:paraId="4B05E49A"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p>
        </w:tc>
        <w:tc>
          <w:tcPr>
            <w:tcW w:w="1245" w:type="dxa"/>
            <w:tcBorders>
              <w:top w:val="nil"/>
              <w:left w:val="nil"/>
              <w:bottom w:val="nil"/>
              <w:right w:val="nil"/>
            </w:tcBorders>
          </w:tcPr>
          <w:p w14:paraId="3C1FBFB0"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Oral</w:t>
            </w:r>
          </w:p>
        </w:tc>
        <w:tc>
          <w:tcPr>
            <w:tcW w:w="2775" w:type="dxa"/>
            <w:tcBorders>
              <w:top w:val="nil"/>
              <w:left w:val="nil"/>
              <w:bottom w:val="nil"/>
              <w:right w:val="nil"/>
            </w:tcBorders>
          </w:tcPr>
          <w:p w14:paraId="29099150" w14:textId="77777777" w:rsidR="00495274" w:rsidRPr="00774400" w:rsidRDefault="00495274" w:rsidP="00495274">
            <w:pPr>
              <w:widowControl/>
              <w:ind w:hanging="2"/>
              <w:contextualSpacing/>
              <w:jc w:val="both"/>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Four daily capsules (250 mg per capsule) were administered. All patients received four rounds of oral vaccination in weeks 1, 2, 4, and 8.</w:t>
            </w:r>
          </w:p>
        </w:tc>
        <w:tc>
          <w:tcPr>
            <w:tcW w:w="833" w:type="dxa"/>
            <w:tcBorders>
              <w:top w:val="nil"/>
              <w:left w:val="nil"/>
              <w:bottom w:val="nil"/>
              <w:right w:val="nil"/>
            </w:tcBorders>
          </w:tcPr>
          <w:p w14:paraId="6F1883C0" w14:textId="09B1B743"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nil"/>
              <w:right w:val="nil"/>
            </w:tcBorders>
          </w:tcPr>
          <w:p w14:paraId="1A8346DA"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2 </w:t>
            </w:r>
            <w:r w:rsidRPr="00774400">
              <w:rPr>
                <w:rFonts w:ascii="Times New Roman" w:eastAsia="Times New Roman" w:hAnsi="Times New Roman" w:cs="Times New Roman"/>
                <w:sz w:val="16"/>
                <w:szCs w:val="16"/>
              </w:rPr>
              <w:t>years</w:t>
            </w:r>
          </w:p>
        </w:tc>
        <w:tc>
          <w:tcPr>
            <w:tcW w:w="1455" w:type="dxa"/>
            <w:tcBorders>
              <w:top w:val="nil"/>
              <w:left w:val="nil"/>
              <w:bottom w:val="nil"/>
              <w:right w:val="nil"/>
            </w:tcBorders>
          </w:tcPr>
          <w:p w14:paraId="3941D477" w14:textId="3C5940CC"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480BB752" w14:textId="77777777" w:rsidTr="00495274">
        <w:trPr>
          <w:trHeight w:val="203"/>
          <w:jc w:val="center"/>
        </w:trPr>
        <w:tc>
          <w:tcPr>
            <w:tcW w:w="1591" w:type="dxa"/>
            <w:tcBorders>
              <w:top w:val="single" w:sz="4" w:space="0" w:color="7F7F7F"/>
              <w:left w:val="nil"/>
              <w:bottom w:val="single" w:sz="4" w:space="0" w:color="7F7F7F"/>
              <w:right w:val="nil"/>
            </w:tcBorders>
          </w:tcPr>
          <w:p w14:paraId="3B88408D"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Trimble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2015</w:t>
            </w:r>
          </w:p>
        </w:tc>
        <w:tc>
          <w:tcPr>
            <w:tcW w:w="1245" w:type="dxa"/>
            <w:tcBorders>
              <w:top w:val="single" w:sz="4" w:space="0" w:color="7F7F7F"/>
              <w:left w:val="nil"/>
              <w:bottom w:val="single" w:sz="4" w:space="0" w:color="7F7F7F"/>
              <w:right w:val="nil"/>
            </w:tcBorders>
          </w:tcPr>
          <w:p w14:paraId="7521300B"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Double-blind clinical trial | Phase I/II</w:t>
            </w:r>
          </w:p>
        </w:tc>
        <w:tc>
          <w:tcPr>
            <w:tcW w:w="1320" w:type="dxa"/>
            <w:tcBorders>
              <w:top w:val="single" w:sz="4" w:space="0" w:color="7F7F7F"/>
              <w:left w:val="nil"/>
              <w:bottom w:val="single" w:sz="4" w:space="0" w:color="7F7F7F"/>
              <w:right w:val="nil"/>
            </w:tcBorders>
          </w:tcPr>
          <w:p w14:paraId="153D1980"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VGX-3100</w:t>
            </w:r>
          </w:p>
          <w:p w14:paraId="6407EE95"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p>
          <w:p w14:paraId="1F58B4FB"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p>
        </w:tc>
        <w:tc>
          <w:tcPr>
            <w:tcW w:w="1200" w:type="dxa"/>
            <w:tcBorders>
              <w:top w:val="single" w:sz="4" w:space="0" w:color="7F7F7F"/>
              <w:left w:val="nil"/>
              <w:bottom w:val="single" w:sz="4" w:space="0" w:color="7F7F7F"/>
              <w:right w:val="nil"/>
            </w:tcBorders>
          </w:tcPr>
          <w:p w14:paraId="2923B569"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59F347C6"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lang w:val="it-IT"/>
              </w:rPr>
            </w:pPr>
            <w:r w:rsidRPr="00774400">
              <w:rPr>
                <w:rFonts w:ascii="Times New Roman" w:eastAsia="Times New Roman" w:hAnsi="Times New Roman" w:cs="Times New Roman"/>
                <w:sz w:val="16"/>
                <w:szCs w:val="16"/>
                <w:lang w:val="it-IT"/>
              </w:rPr>
              <w:t>CIN 2/3 due to HPV 16 or 18</w:t>
            </w:r>
          </w:p>
        </w:tc>
        <w:tc>
          <w:tcPr>
            <w:tcW w:w="1215" w:type="dxa"/>
            <w:tcBorders>
              <w:top w:val="single" w:sz="4" w:space="0" w:color="7F7F7F"/>
              <w:left w:val="nil"/>
              <w:bottom w:val="single" w:sz="4" w:space="0" w:color="7F7F7F"/>
              <w:right w:val="nil"/>
            </w:tcBorders>
          </w:tcPr>
          <w:p w14:paraId="65154D78"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167 </w:t>
            </w:r>
            <w:r w:rsidRPr="00774400">
              <w:rPr>
                <w:rFonts w:ascii="Times New Roman" w:eastAsia="Times New Roman" w:hAnsi="Times New Roman" w:cs="Times New Roman"/>
                <w:sz w:val="16"/>
                <w:szCs w:val="16"/>
              </w:rPr>
              <w:t>Participants</w:t>
            </w:r>
          </w:p>
          <w:p w14:paraId="7D49ECED"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1813355D" w14:textId="77777777" w:rsidR="00495274" w:rsidRPr="00774400" w:rsidRDefault="00495274" w:rsidP="00495274">
            <w:pPr>
              <w:widowControl/>
              <w:ind w:hanging="2"/>
              <w:contextualSpacing/>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Intramuscular</w:t>
            </w:r>
          </w:p>
        </w:tc>
        <w:tc>
          <w:tcPr>
            <w:tcW w:w="2775" w:type="dxa"/>
            <w:tcBorders>
              <w:top w:val="single" w:sz="4" w:space="0" w:color="7F7F7F"/>
              <w:left w:val="nil"/>
              <w:bottom w:val="single" w:sz="4" w:space="0" w:color="7F7F7F"/>
              <w:right w:val="nil"/>
            </w:tcBorders>
          </w:tcPr>
          <w:p w14:paraId="33F2EE9A" w14:textId="77777777" w:rsidR="00495274" w:rsidRPr="00774400" w:rsidRDefault="00495274" w:rsidP="00495274">
            <w:pPr>
              <w:widowControl/>
              <w:spacing w:before="240" w:after="240"/>
              <w:ind w:firstLine="0"/>
              <w:contextualSpacing/>
              <w:jc w:val="both"/>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VGX-3100 (n=125) or placebo (n=42)</w:t>
            </w:r>
            <w:r w:rsidRPr="00774400">
              <w:rPr>
                <w:rFonts w:ascii="Times New Roman" w:eastAsia="Times New Roman" w:hAnsi="Times New Roman" w:cs="Times New Roman"/>
                <w:color w:val="000000"/>
                <w:sz w:val="16"/>
                <w:szCs w:val="16"/>
              </w:rPr>
              <w:t>.</w:t>
            </w:r>
          </w:p>
        </w:tc>
        <w:tc>
          <w:tcPr>
            <w:tcW w:w="833" w:type="dxa"/>
            <w:tcBorders>
              <w:top w:val="single" w:sz="4" w:space="0" w:color="7F7F7F"/>
              <w:left w:val="nil"/>
              <w:bottom w:val="single" w:sz="4" w:space="0" w:color="7F7F7F"/>
              <w:right w:val="nil"/>
            </w:tcBorders>
          </w:tcPr>
          <w:p w14:paraId="09B85E2B" w14:textId="08A78E38"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01015165" w14:textId="77777777" w:rsidR="00495274" w:rsidRPr="00774400" w:rsidRDefault="00495274" w:rsidP="00495274">
            <w:pPr>
              <w:widowControl/>
              <w:ind w:hanging="2"/>
              <w:contextualSpacing/>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36 </w:t>
            </w:r>
            <w:r w:rsidRPr="00774400">
              <w:rPr>
                <w:rFonts w:ascii="Times New Roman" w:eastAsia="Times New Roman" w:hAnsi="Times New Roman" w:cs="Times New Roman"/>
                <w:sz w:val="16"/>
                <w:szCs w:val="16"/>
              </w:rPr>
              <w:t>weeks</w:t>
            </w:r>
          </w:p>
        </w:tc>
        <w:tc>
          <w:tcPr>
            <w:tcW w:w="1455" w:type="dxa"/>
            <w:tcBorders>
              <w:top w:val="single" w:sz="4" w:space="0" w:color="7F7F7F"/>
              <w:left w:val="nil"/>
              <w:bottom w:val="single" w:sz="4" w:space="0" w:color="7F7F7F"/>
              <w:right w:val="nil"/>
            </w:tcBorders>
          </w:tcPr>
          <w:p w14:paraId="2A9C44E4" w14:textId="4717B910"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11959B04" w14:textId="77777777" w:rsidTr="00495274">
        <w:trPr>
          <w:trHeight w:val="1053"/>
          <w:jc w:val="center"/>
        </w:trPr>
        <w:tc>
          <w:tcPr>
            <w:tcW w:w="1591" w:type="dxa"/>
            <w:tcBorders>
              <w:top w:val="nil"/>
              <w:left w:val="nil"/>
              <w:bottom w:val="nil"/>
              <w:right w:val="nil"/>
            </w:tcBorders>
          </w:tcPr>
          <w:p w14:paraId="048497A0"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Kawana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2014</w:t>
            </w:r>
          </w:p>
        </w:tc>
        <w:tc>
          <w:tcPr>
            <w:tcW w:w="1245" w:type="dxa"/>
            <w:tcBorders>
              <w:top w:val="nil"/>
              <w:left w:val="nil"/>
              <w:bottom w:val="nil"/>
              <w:right w:val="nil"/>
            </w:tcBorders>
          </w:tcPr>
          <w:p w14:paraId="6DB99436"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Clinical trial | Phase I/II</w:t>
            </w:r>
          </w:p>
        </w:tc>
        <w:tc>
          <w:tcPr>
            <w:tcW w:w="1320" w:type="dxa"/>
            <w:tcBorders>
              <w:top w:val="nil"/>
              <w:left w:val="nil"/>
              <w:bottom w:val="nil"/>
              <w:right w:val="nil"/>
            </w:tcBorders>
          </w:tcPr>
          <w:p w14:paraId="0377D993"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 xml:space="preserve">Attenuated </w:t>
            </w:r>
            <w:r w:rsidRPr="00774400">
              <w:rPr>
                <w:rFonts w:ascii="Times New Roman" w:eastAsia="Times New Roman" w:hAnsi="Times New Roman" w:cs="Times New Roman"/>
                <w:i/>
                <w:sz w:val="16"/>
                <w:szCs w:val="16"/>
              </w:rPr>
              <w:t>Lactobacillus casei</w:t>
            </w:r>
            <w:r w:rsidRPr="00774400">
              <w:rPr>
                <w:rFonts w:ascii="Times New Roman" w:eastAsia="Times New Roman" w:hAnsi="Times New Roman" w:cs="Times New Roman"/>
                <w:sz w:val="16"/>
                <w:szCs w:val="16"/>
              </w:rPr>
              <w:t xml:space="preserve"> (GLBL101c)</w:t>
            </w:r>
          </w:p>
          <w:p w14:paraId="27E29CEB"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3BAAA5E8"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1CAB9A83"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CIN 3 due to HPV 16</w:t>
            </w:r>
          </w:p>
        </w:tc>
        <w:tc>
          <w:tcPr>
            <w:tcW w:w="1215" w:type="dxa"/>
            <w:tcBorders>
              <w:top w:val="nil"/>
              <w:left w:val="nil"/>
              <w:bottom w:val="nil"/>
              <w:right w:val="nil"/>
            </w:tcBorders>
          </w:tcPr>
          <w:p w14:paraId="7E535646"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10 </w:t>
            </w:r>
            <w:r w:rsidRPr="00774400">
              <w:rPr>
                <w:rFonts w:ascii="Times New Roman" w:eastAsia="Times New Roman" w:hAnsi="Times New Roman" w:cs="Times New Roman"/>
                <w:sz w:val="16"/>
                <w:szCs w:val="16"/>
              </w:rPr>
              <w:t>Participants</w:t>
            </w:r>
          </w:p>
          <w:p w14:paraId="5E21AE98"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w:t>
            </w:r>
          </w:p>
          <w:p w14:paraId="4D33DE1A"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p>
        </w:tc>
        <w:tc>
          <w:tcPr>
            <w:tcW w:w="1245" w:type="dxa"/>
            <w:tcBorders>
              <w:top w:val="nil"/>
              <w:left w:val="nil"/>
              <w:bottom w:val="nil"/>
              <w:right w:val="nil"/>
            </w:tcBorders>
          </w:tcPr>
          <w:p w14:paraId="59DC5FF7"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Oral</w:t>
            </w:r>
          </w:p>
        </w:tc>
        <w:tc>
          <w:tcPr>
            <w:tcW w:w="2775" w:type="dxa"/>
            <w:tcBorders>
              <w:top w:val="nil"/>
              <w:left w:val="nil"/>
              <w:bottom w:val="nil"/>
              <w:right w:val="nil"/>
            </w:tcBorders>
          </w:tcPr>
          <w:p w14:paraId="765A5C5F" w14:textId="77777777" w:rsidR="00495274" w:rsidRPr="00774400" w:rsidRDefault="00495274" w:rsidP="00495274">
            <w:pPr>
              <w:widowControl/>
              <w:ind w:hanging="2"/>
              <w:contextualSpacing/>
              <w:jc w:val="both"/>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lang w:val="de-DE"/>
              </w:rPr>
              <w:t xml:space="preserve">Ten participants received oral vaccination in dose-ranging studies (1–6 capsules/day) during weeks 1, 2, 4, and 8 (Stage 1). </w:t>
            </w:r>
            <w:r w:rsidRPr="00774400">
              <w:rPr>
                <w:rFonts w:ascii="Times New Roman" w:eastAsia="Times New Roman" w:hAnsi="Times New Roman" w:cs="Times New Roman"/>
                <w:sz w:val="16"/>
                <w:szCs w:val="16"/>
              </w:rPr>
              <w:t>An additional seven participants were vaccinated with the optimized formulation.</w:t>
            </w:r>
          </w:p>
        </w:tc>
        <w:tc>
          <w:tcPr>
            <w:tcW w:w="833" w:type="dxa"/>
            <w:tcBorders>
              <w:top w:val="nil"/>
              <w:left w:val="nil"/>
              <w:bottom w:val="nil"/>
              <w:right w:val="nil"/>
            </w:tcBorders>
          </w:tcPr>
          <w:p w14:paraId="039699F5" w14:textId="4D60EE6C"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nil"/>
              <w:right w:val="nil"/>
            </w:tcBorders>
          </w:tcPr>
          <w:p w14:paraId="439CFFC8"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9 </w:t>
            </w:r>
            <w:r w:rsidRPr="00774400">
              <w:rPr>
                <w:rFonts w:ascii="Times New Roman" w:eastAsia="Times New Roman" w:hAnsi="Times New Roman" w:cs="Times New Roman"/>
                <w:sz w:val="16"/>
                <w:szCs w:val="16"/>
              </w:rPr>
              <w:t>weeks</w:t>
            </w:r>
          </w:p>
        </w:tc>
        <w:tc>
          <w:tcPr>
            <w:tcW w:w="1455" w:type="dxa"/>
            <w:tcBorders>
              <w:top w:val="nil"/>
              <w:left w:val="nil"/>
              <w:bottom w:val="nil"/>
              <w:right w:val="nil"/>
            </w:tcBorders>
          </w:tcPr>
          <w:p w14:paraId="790D62D6" w14:textId="74236450"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04E65883" w14:textId="77777777" w:rsidTr="00495274">
        <w:trPr>
          <w:trHeight w:val="778"/>
          <w:jc w:val="center"/>
        </w:trPr>
        <w:tc>
          <w:tcPr>
            <w:tcW w:w="1591" w:type="dxa"/>
            <w:tcBorders>
              <w:top w:val="single" w:sz="4" w:space="0" w:color="7F7F7F"/>
              <w:left w:val="nil"/>
              <w:bottom w:val="single" w:sz="4" w:space="0" w:color="7F7F7F"/>
              <w:right w:val="nil"/>
            </w:tcBorders>
          </w:tcPr>
          <w:p w14:paraId="336891E4"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Roman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2007</w:t>
            </w:r>
          </w:p>
        </w:tc>
        <w:tc>
          <w:tcPr>
            <w:tcW w:w="1245" w:type="dxa"/>
            <w:tcBorders>
              <w:top w:val="single" w:sz="4" w:space="0" w:color="7F7F7F"/>
              <w:left w:val="nil"/>
              <w:bottom w:val="single" w:sz="4" w:space="0" w:color="7F7F7F"/>
              <w:right w:val="nil"/>
            </w:tcBorders>
          </w:tcPr>
          <w:p w14:paraId="4DB19C76"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Clinical trial | Phase II</w:t>
            </w:r>
          </w:p>
        </w:tc>
        <w:tc>
          <w:tcPr>
            <w:tcW w:w="1320" w:type="dxa"/>
            <w:tcBorders>
              <w:top w:val="single" w:sz="4" w:space="0" w:color="7F7F7F"/>
              <w:left w:val="nil"/>
              <w:bottom w:val="single" w:sz="4" w:space="0" w:color="7F7F7F"/>
              <w:right w:val="nil"/>
            </w:tcBorders>
          </w:tcPr>
          <w:p w14:paraId="31CC4365"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Hsp-7 (SGN-00101)</w:t>
            </w:r>
          </w:p>
        </w:tc>
        <w:tc>
          <w:tcPr>
            <w:tcW w:w="1200" w:type="dxa"/>
            <w:tcBorders>
              <w:top w:val="single" w:sz="4" w:space="0" w:color="7F7F7F"/>
              <w:left w:val="nil"/>
              <w:bottom w:val="single" w:sz="4" w:space="0" w:color="7F7F7F"/>
              <w:right w:val="nil"/>
            </w:tcBorders>
          </w:tcPr>
          <w:p w14:paraId="04423C15"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single" w:sz="4" w:space="0" w:color="7F7F7F"/>
              <w:left w:val="nil"/>
              <w:bottom w:val="single" w:sz="4" w:space="0" w:color="7F7F7F"/>
              <w:right w:val="nil"/>
            </w:tcBorders>
          </w:tcPr>
          <w:p w14:paraId="7C07A28E"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CIN 2/3 due to HPV 16</w:t>
            </w:r>
          </w:p>
        </w:tc>
        <w:tc>
          <w:tcPr>
            <w:tcW w:w="1215" w:type="dxa"/>
            <w:tcBorders>
              <w:top w:val="single" w:sz="4" w:space="0" w:color="7F7F7F"/>
              <w:left w:val="nil"/>
              <w:bottom w:val="single" w:sz="4" w:space="0" w:color="7F7F7F"/>
              <w:right w:val="nil"/>
            </w:tcBorders>
          </w:tcPr>
          <w:p w14:paraId="246EE63C" w14:textId="2FE4B2E3"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21</w:t>
            </w:r>
            <w:r>
              <w:rPr>
                <w:rFonts w:ascii="Times New Roman" w:eastAsia="Times New Roman" w:hAnsi="Times New Roman" w:cs="Times New Roman"/>
                <w:color w:val="000000"/>
                <w:sz w:val="16"/>
                <w:szCs w:val="16"/>
              </w:rPr>
              <w:t xml:space="preserve"> </w:t>
            </w:r>
            <w:r w:rsidRPr="00774400">
              <w:rPr>
                <w:rFonts w:ascii="Times New Roman" w:eastAsia="Times New Roman" w:hAnsi="Times New Roman" w:cs="Times New Roman"/>
                <w:sz w:val="16"/>
                <w:szCs w:val="16"/>
              </w:rPr>
              <w:t>Participants</w:t>
            </w:r>
          </w:p>
        </w:tc>
        <w:tc>
          <w:tcPr>
            <w:tcW w:w="1245" w:type="dxa"/>
            <w:tcBorders>
              <w:top w:val="single" w:sz="4" w:space="0" w:color="7F7F7F"/>
              <w:left w:val="nil"/>
              <w:bottom w:val="single" w:sz="4" w:space="0" w:color="7F7F7F"/>
              <w:right w:val="nil"/>
            </w:tcBorders>
          </w:tcPr>
          <w:p w14:paraId="4D835C58" w14:textId="77777777" w:rsidR="00495274" w:rsidRPr="00774400" w:rsidRDefault="00495274" w:rsidP="00495274">
            <w:pPr>
              <w:widowControl/>
              <w:spacing w:before="240" w:after="240"/>
              <w:ind w:firstLine="0"/>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 xml:space="preserve">Subcutaneous </w:t>
            </w:r>
          </w:p>
        </w:tc>
        <w:tc>
          <w:tcPr>
            <w:tcW w:w="2775" w:type="dxa"/>
            <w:tcBorders>
              <w:top w:val="single" w:sz="4" w:space="0" w:color="7F7F7F"/>
              <w:left w:val="nil"/>
              <w:bottom w:val="single" w:sz="4" w:space="0" w:color="7F7F7F"/>
              <w:right w:val="nil"/>
            </w:tcBorders>
          </w:tcPr>
          <w:p w14:paraId="437A7FEC" w14:textId="77777777" w:rsidR="00495274" w:rsidRPr="00774400" w:rsidRDefault="00495274" w:rsidP="00495274">
            <w:pPr>
              <w:widowControl/>
              <w:ind w:hanging="2"/>
              <w:contextualSpacing/>
              <w:jc w:val="both"/>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Four injections at a dose of 500 mg each were administered at three-week intervals.</w:t>
            </w:r>
          </w:p>
        </w:tc>
        <w:tc>
          <w:tcPr>
            <w:tcW w:w="833" w:type="dxa"/>
            <w:tcBorders>
              <w:top w:val="single" w:sz="4" w:space="0" w:color="7F7F7F"/>
              <w:left w:val="nil"/>
              <w:bottom w:val="single" w:sz="4" w:space="0" w:color="7F7F7F"/>
              <w:right w:val="nil"/>
            </w:tcBorders>
          </w:tcPr>
          <w:p w14:paraId="4D8A6669" w14:textId="1AA7776F"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5187B6A4"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1 </w:t>
            </w:r>
            <w:r w:rsidRPr="00774400">
              <w:rPr>
                <w:rFonts w:ascii="Times New Roman" w:eastAsia="Times New Roman" w:hAnsi="Times New Roman" w:cs="Times New Roman"/>
                <w:sz w:val="16"/>
                <w:szCs w:val="16"/>
              </w:rPr>
              <w:t>year</w:t>
            </w:r>
          </w:p>
        </w:tc>
        <w:tc>
          <w:tcPr>
            <w:tcW w:w="1455" w:type="dxa"/>
            <w:tcBorders>
              <w:top w:val="single" w:sz="4" w:space="0" w:color="7F7F7F"/>
              <w:left w:val="nil"/>
              <w:bottom w:val="single" w:sz="4" w:space="0" w:color="7F7F7F"/>
              <w:right w:val="nil"/>
            </w:tcBorders>
          </w:tcPr>
          <w:p w14:paraId="5E768C04" w14:textId="0CCC5889"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16F52405" w14:textId="77777777" w:rsidTr="00495274">
        <w:trPr>
          <w:trHeight w:val="979"/>
          <w:jc w:val="center"/>
        </w:trPr>
        <w:tc>
          <w:tcPr>
            <w:tcW w:w="1591" w:type="dxa"/>
            <w:tcBorders>
              <w:top w:val="nil"/>
              <w:left w:val="nil"/>
              <w:bottom w:val="nil"/>
              <w:right w:val="nil"/>
            </w:tcBorders>
          </w:tcPr>
          <w:p w14:paraId="13DE5204"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Hallez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2004</w:t>
            </w:r>
          </w:p>
        </w:tc>
        <w:tc>
          <w:tcPr>
            <w:tcW w:w="1245" w:type="dxa"/>
            <w:tcBorders>
              <w:top w:val="nil"/>
              <w:left w:val="nil"/>
              <w:bottom w:val="nil"/>
              <w:right w:val="nil"/>
            </w:tcBorders>
          </w:tcPr>
          <w:p w14:paraId="511AE901" w14:textId="4CBFDA02" w:rsidR="00495274" w:rsidRPr="00774400" w:rsidRDefault="00495274" w:rsidP="00495274">
            <w:pPr>
              <w:widowControl/>
              <w:spacing w:before="240" w:after="240"/>
              <w:ind w:firstLine="0"/>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sz w:val="16"/>
                <w:szCs w:val="16"/>
              </w:rPr>
              <w:t>Clinical trial | Phase I/II</w:t>
            </w:r>
          </w:p>
        </w:tc>
        <w:tc>
          <w:tcPr>
            <w:tcW w:w="1320" w:type="dxa"/>
            <w:tcBorders>
              <w:top w:val="nil"/>
              <w:left w:val="nil"/>
              <w:bottom w:val="nil"/>
              <w:right w:val="nil"/>
            </w:tcBorders>
          </w:tcPr>
          <w:p w14:paraId="1069B251"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PD-E7/AS02B</w:t>
            </w:r>
          </w:p>
          <w:p w14:paraId="41EA96EE" w14:textId="77777777" w:rsidR="00495274" w:rsidRPr="00774400" w:rsidRDefault="00495274" w:rsidP="00495274">
            <w:pPr>
              <w:widowControl/>
              <w:ind w:hanging="2"/>
              <w:contextualSpacing/>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5FAD0991"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0C54E91A"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lang w:val="it-IT"/>
              </w:rPr>
            </w:pPr>
            <w:r w:rsidRPr="00774400">
              <w:rPr>
                <w:rFonts w:ascii="Times New Roman" w:eastAsia="Times New Roman" w:hAnsi="Times New Roman" w:cs="Times New Roman"/>
                <w:sz w:val="16"/>
                <w:szCs w:val="16"/>
                <w:lang w:val="it-IT"/>
              </w:rPr>
              <w:t>CIN 1 and 3 due to HPV 16</w:t>
            </w:r>
          </w:p>
        </w:tc>
        <w:tc>
          <w:tcPr>
            <w:tcW w:w="1215" w:type="dxa"/>
            <w:tcBorders>
              <w:top w:val="nil"/>
              <w:left w:val="nil"/>
              <w:bottom w:val="nil"/>
              <w:right w:val="nil"/>
            </w:tcBorders>
          </w:tcPr>
          <w:p w14:paraId="307F53BA"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10 </w:t>
            </w:r>
            <w:r w:rsidRPr="00774400">
              <w:rPr>
                <w:rFonts w:ascii="Times New Roman" w:eastAsia="Times New Roman" w:hAnsi="Times New Roman" w:cs="Times New Roman"/>
                <w:sz w:val="16"/>
                <w:szCs w:val="16"/>
              </w:rPr>
              <w:t>Participants</w:t>
            </w:r>
          </w:p>
          <w:p w14:paraId="1FBBD2C6"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p>
        </w:tc>
        <w:tc>
          <w:tcPr>
            <w:tcW w:w="1245" w:type="dxa"/>
            <w:tcBorders>
              <w:top w:val="nil"/>
              <w:left w:val="nil"/>
              <w:bottom w:val="nil"/>
              <w:right w:val="nil"/>
            </w:tcBorders>
          </w:tcPr>
          <w:p w14:paraId="0391C55C"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Intramuscular</w:t>
            </w:r>
          </w:p>
        </w:tc>
        <w:tc>
          <w:tcPr>
            <w:tcW w:w="2775" w:type="dxa"/>
            <w:tcBorders>
              <w:top w:val="nil"/>
              <w:left w:val="nil"/>
              <w:bottom w:val="nil"/>
              <w:right w:val="nil"/>
            </w:tcBorders>
          </w:tcPr>
          <w:p w14:paraId="0A4CFC38" w14:textId="77777777" w:rsidR="00495274" w:rsidRPr="00774400" w:rsidRDefault="00495274" w:rsidP="00495274">
            <w:pPr>
              <w:widowControl/>
              <w:ind w:hanging="2"/>
              <w:contextualSpacing/>
              <w:jc w:val="both"/>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Three intramuscular injections were administered at two-week intervals. An additional three patients with CIN1 received a placebo.</w:t>
            </w:r>
          </w:p>
        </w:tc>
        <w:tc>
          <w:tcPr>
            <w:tcW w:w="833" w:type="dxa"/>
            <w:tcBorders>
              <w:top w:val="nil"/>
              <w:left w:val="nil"/>
              <w:bottom w:val="nil"/>
              <w:right w:val="nil"/>
            </w:tcBorders>
          </w:tcPr>
          <w:p w14:paraId="4674A0BF" w14:textId="259D9AC4"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nil"/>
              <w:right w:val="nil"/>
            </w:tcBorders>
          </w:tcPr>
          <w:p w14:paraId="0347A644"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8 </w:t>
            </w:r>
            <w:r w:rsidRPr="00774400">
              <w:rPr>
                <w:rFonts w:ascii="Times New Roman" w:eastAsia="Times New Roman" w:hAnsi="Times New Roman" w:cs="Times New Roman"/>
                <w:sz w:val="16"/>
                <w:szCs w:val="16"/>
              </w:rPr>
              <w:t>weeks</w:t>
            </w:r>
          </w:p>
        </w:tc>
        <w:tc>
          <w:tcPr>
            <w:tcW w:w="1455" w:type="dxa"/>
            <w:tcBorders>
              <w:top w:val="nil"/>
              <w:left w:val="nil"/>
              <w:bottom w:val="nil"/>
              <w:right w:val="nil"/>
            </w:tcBorders>
          </w:tcPr>
          <w:p w14:paraId="2D4DA664" w14:textId="166D42D5"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680BFCA8" w14:textId="77777777" w:rsidTr="00495274">
        <w:trPr>
          <w:trHeight w:val="759"/>
          <w:jc w:val="center"/>
        </w:trPr>
        <w:tc>
          <w:tcPr>
            <w:tcW w:w="1591" w:type="dxa"/>
            <w:tcBorders>
              <w:top w:val="single" w:sz="4" w:space="0" w:color="7F7F7F"/>
              <w:left w:val="nil"/>
              <w:bottom w:val="single" w:sz="4" w:space="0" w:color="7F7F7F"/>
              <w:right w:val="nil"/>
            </w:tcBorders>
          </w:tcPr>
          <w:p w14:paraId="5573978D"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Sheets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2003</w:t>
            </w:r>
          </w:p>
        </w:tc>
        <w:tc>
          <w:tcPr>
            <w:tcW w:w="1245" w:type="dxa"/>
            <w:tcBorders>
              <w:top w:val="single" w:sz="4" w:space="0" w:color="7F7F7F"/>
              <w:left w:val="nil"/>
              <w:bottom w:val="single" w:sz="4" w:space="0" w:color="7F7F7F"/>
              <w:right w:val="nil"/>
            </w:tcBorders>
          </w:tcPr>
          <w:p w14:paraId="4E89DDDB"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Clinical trial | Phase I</w:t>
            </w:r>
          </w:p>
        </w:tc>
        <w:tc>
          <w:tcPr>
            <w:tcW w:w="1320" w:type="dxa"/>
            <w:tcBorders>
              <w:top w:val="single" w:sz="4" w:space="0" w:color="7F7F7F"/>
              <w:left w:val="nil"/>
              <w:bottom w:val="single" w:sz="4" w:space="0" w:color="7F7F7F"/>
              <w:right w:val="nil"/>
            </w:tcBorders>
          </w:tcPr>
          <w:p w14:paraId="1A10E809"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ZYC101</w:t>
            </w:r>
          </w:p>
        </w:tc>
        <w:tc>
          <w:tcPr>
            <w:tcW w:w="1200" w:type="dxa"/>
            <w:tcBorders>
              <w:top w:val="single" w:sz="4" w:space="0" w:color="7F7F7F"/>
              <w:left w:val="nil"/>
              <w:bottom w:val="single" w:sz="4" w:space="0" w:color="7F7F7F"/>
              <w:right w:val="nil"/>
            </w:tcBorders>
          </w:tcPr>
          <w:p w14:paraId="15A27411"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single" w:sz="4" w:space="0" w:color="7F7F7F"/>
              <w:left w:val="nil"/>
              <w:bottom w:val="single" w:sz="4" w:space="0" w:color="7F7F7F"/>
              <w:right w:val="nil"/>
            </w:tcBorders>
          </w:tcPr>
          <w:p w14:paraId="144B7F01"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CIN 2/3 due to HPV 16</w:t>
            </w:r>
          </w:p>
        </w:tc>
        <w:tc>
          <w:tcPr>
            <w:tcW w:w="1215" w:type="dxa"/>
            <w:tcBorders>
              <w:top w:val="single" w:sz="4" w:space="0" w:color="7F7F7F"/>
              <w:left w:val="nil"/>
              <w:bottom w:val="single" w:sz="4" w:space="0" w:color="7F7F7F"/>
              <w:right w:val="nil"/>
            </w:tcBorders>
          </w:tcPr>
          <w:p w14:paraId="2F540023"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15 </w:t>
            </w:r>
            <w:r w:rsidRPr="00774400">
              <w:rPr>
                <w:rFonts w:ascii="Times New Roman" w:eastAsia="Times New Roman" w:hAnsi="Times New Roman" w:cs="Times New Roman"/>
                <w:sz w:val="16"/>
                <w:szCs w:val="16"/>
              </w:rPr>
              <w:t>Participants</w:t>
            </w:r>
          </w:p>
          <w:p w14:paraId="44961016"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4BF3FFDF" w14:textId="312B5AC1" w:rsidR="00495274" w:rsidRPr="00774400" w:rsidRDefault="00495274" w:rsidP="00495274">
            <w:pPr>
              <w:widowControl/>
              <w:spacing w:before="240" w:after="240"/>
              <w:ind w:firstLine="0"/>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Subcutaneous or</w:t>
            </w:r>
            <w:r>
              <w:rPr>
                <w:rFonts w:ascii="Times New Roman" w:eastAsia="Times New Roman" w:hAnsi="Times New Roman" w:cs="Times New Roman"/>
                <w:sz w:val="16"/>
                <w:szCs w:val="16"/>
              </w:rPr>
              <w:t xml:space="preserve"> </w:t>
            </w:r>
            <w:r w:rsidRPr="00774400">
              <w:rPr>
                <w:rFonts w:ascii="Times New Roman" w:eastAsia="Times New Roman" w:hAnsi="Times New Roman" w:cs="Times New Roman"/>
                <w:sz w:val="16"/>
                <w:szCs w:val="16"/>
              </w:rPr>
              <w:t>Intramuscular</w:t>
            </w:r>
          </w:p>
        </w:tc>
        <w:tc>
          <w:tcPr>
            <w:tcW w:w="2775" w:type="dxa"/>
            <w:tcBorders>
              <w:top w:val="single" w:sz="4" w:space="0" w:color="7F7F7F"/>
              <w:left w:val="nil"/>
              <w:bottom w:val="single" w:sz="4" w:space="0" w:color="7F7F7F"/>
              <w:right w:val="nil"/>
            </w:tcBorders>
          </w:tcPr>
          <w:p w14:paraId="6AABECB8" w14:textId="77777777" w:rsidR="00495274" w:rsidRPr="00774400" w:rsidRDefault="00495274" w:rsidP="00495274">
            <w:pPr>
              <w:widowControl/>
              <w:spacing w:before="240" w:after="240"/>
              <w:ind w:firstLine="0"/>
              <w:contextualSpacing/>
              <w:jc w:val="both"/>
              <w:rPr>
                <w:rFonts w:ascii="Times New Roman" w:eastAsia="Times New Roman" w:hAnsi="Times New Roman" w:cs="Times New Roman"/>
                <w:color w:val="000000"/>
                <w:sz w:val="16"/>
                <w:szCs w:val="16"/>
                <w:lang w:val="de-DE"/>
              </w:rPr>
            </w:pPr>
            <w:r w:rsidRPr="00774400">
              <w:rPr>
                <w:rFonts w:ascii="Times New Roman" w:eastAsia="Times New Roman" w:hAnsi="Times New Roman" w:cs="Times New Roman"/>
                <w:sz w:val="16"/>
                <w:szCs w:val="16"/>
                <w:lang w:val="de-DE"/>
              </w:rPr>
              <w:t>Doses of 50 µg, 100 µg, and 200 µg of pDNA were administered at alternating sites on the anterior thigh.</w:t>
            </w:r>
          </w:p>
        </w:tc>
        <w:tc>
          <w:tcPr>
            <w:tcW w:w="833" w:type="dxa"/>
            <w:tcBorders>
              <w:top w:val="single" w:sz="4" w:space="0" w:color="7F7F7F"/>
              <w:left w:val="nil"/>
              <w:bottom w:val="single" w:sz="4" w:space="0" w:color="7F7F7F"/>
              <w:right w:val="nil"/>
            </w:tcBorders>
          </w:tcPr>
          <w:p w14:paraId="60A53F76" w14:textId="2A4728F2"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3E806BEE"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4 </w:t>
            </w:r>
            <w:r w:rsidRPr="00774400">
              <w:rPr>
                <w:rFonts w:ascii="Times New Roman" w:eastAsia="Times New Roman" w:hAnsi="Times New Roman" w:cs="Times New Roman"/>
                <w:sz w:val="16"/>
                <w:szCs w:val="16"/>
              </w:rPr>
              <w:t>months</w:t>
            </w:r>
          </w:p>
        </w:tc>
        <w:tc>
          <w:tcPr>
            <w:tcW w:w="1455" w:type="dxa"/>
            <w:tcBorders>
              <w:top w:val="single" w:sz="4" w:space="0" w:color="7F7F7F"/>
              <w:left w:val="nil"/>
              <w:bottom w:val="single" w:sz="4" w:space="0" w:color="7F7F7F"/>
              <w:right w:val="nil"/>
            </w:tcBorders>
          </w:tcPr>
          <w:p w14:paraId="5FB97009" w14:textId="78A9AEA8"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r w:rsidR="00495274" w:rsidRPr="00774400" w14:paraId="05D543D5" w14:textId="77777777" w:rsidTr="00495274">
        <w:trPr>
          <w:trHeight w:val="542"/>
          <w:jc w:val="center"/>
        </w:trPr>
        <w:tc>
          <w:tcPr>
            <w:tcW w:w="1591" w:type="dxa"/>
            <w:tcBorders>
              <w:top w:val="nil"/>
              <w:left w:val="nil"/>
              <w:bottom w:val="single" w:sz="4" w:space="0" w:color="7F7F7F"/>
              <w:right w:val="nil"/>
            </w:tcBorders>
          </w:tcPr>
          <w:p w14:paraId="2EE8AEBF"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vertAlign w:val="superscript"/>
              </w:rPr>
            </w:pPr>
            <w:r w:rsidRPr="00774400">
              <w:rPr>
                <w:rFonts w:ascii="Times New Roman" w:eastAsia="Times New Roman" w:hAnsi="Times New Roman" w:cs="Times New Roman"/>
                <w:color w:val="000000"/>
                <w:sz w:val="16"/>
                <w:szCs w:val="16"/>
              </w:rPr>
              <w:t xml:space="preserve">Simon </w:t>
            </w:r>
            <w:r w:rsidRPr="00774400">
              <w:rPr>
                <w:rFonts w:ascii="Times New Roman" w:eastAsia="Times New Roman" w:hAnsi="Times New Roman" w:cs="Times New Roman"/>
                <w:i/>
                <w:color w:val="000000"/>
                <w:sz w:val="16"/>
                <w:szCs w:val="16"/>
              </w:rPr>
              <w:t>et al.,</w:t>
            </w:r>
            <w:r w:rsidRPr="00774400">
              <w:rPr>
                <w:rFonts w:ascii="Times New Roman" w:eastAsia="Times New Roman" w:hAnsi="Times New Roman" w:cs="Times New Roman"/>
                <w:color w:val="000000"/>
                <w:sz w:val="16"/>
                <w:szCs w:val="16"/>
              </w:rPr>
              <w:t xml:space="preserve"> 2003</w:t>
            </w:r>
          </w:p>
        </w:tc>
        <w:tc>
          <w:tcPr>
            <w:tcW w:w="1245" w:type="dxa"/>
            <w:tcBorders>
              <w:top w:val="nil"/>
              <w:left w:val="nil"/>
              <w:bottom w:val="single" w:sz="4" w:space="0" w:color="7F7F7F"/>
              <w:right w:val="nil"/>
            </w:tcBorders>
          </w:tcPr>
          <w:p w14:paraId="2F849693" w14:textId="77777777" w:rsidR="00495274" w:rsidRPr="00774400" w:rsidRDefault="00495274" w:rsidP="00495274">
            <w:pPr>
              <w:widowControl/>
              <w:spacing w:before="240" w:after="240"/>
              <w:ind w:firstLine="0"/>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Clinical trial | Phase I</w:t>
            </w:r>
          </w:p>
        </w:tc>
        <w:tc>
          <w:tcPr>
            <w:tcW w:w="1320" w:type="dxa"/>
            <w:tcBorders>
              <w:top w:val="nil"/>
              <w:left w:val="nil"/>
              <w:bottom w:val="single" w:sz="4" w:space="0" w:color="7F7F7F"/>
              <w:right w:val="nil"/>
            </w:tcBorders>
          </w:tcPr>
          <w:p w14:paraId="0C91604B"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Prot D HPV16/E7</w:t>
            </w:r>
          </w:p>
          <w:p w14:paraId="4027DD63" w14:textId="77777777" w:rsidR="00495274" w:rsidRPr="00774400" w:rsidRDefault="00495274" w:rsidP="00495274">
            <w:pPr>
              <w:widowControl/>
              <w:ind w:hanging="2"/>
              <w:contextualSpacing/>
              <w:rPr>
                <w:rFonts w:ascii="Times New Roman" w:eastAsia="Times New Roman" w:hAnsi="Times New Roman" w:cs="Times New Roman"/>
                <w:color w:val="000000"/>
                <w:sz w:val="16"/>
                <w:szCs w:val="16"/>
              </w:rPr>
            </w:pPr>
          </w:p>
        </w:tc>
        <w:tc>
          <w:tcPr>
            <w:tcW w:w="1200" w:type="dxa"/>
            <w:tcBorders>
              <w:top w:val="nil"/>
              <w:left w:val="nil"/>
              <w:bottom w:val="single" w:sz="4" w:space="0" w:color="7F7F7F"/>
              <w:right w:val="nil"/>
            </w:tcBorders>
          </w:tcPr>
          <w:p w14:paraId="5464E506"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E7</w:t>
            </w:r>
          </w:p>
        </w:tc>
        <w:tc>
          <w:tcPr>
            <w:tcW w:w="1140" w:type="dxa"/>
            <w:tcBorders>
              <w:top w:val="nil"/>
              <w:left w:val="nil"/>
              <w:bottom w:val="single" w:sz="4" w:space="0" w:color="7F7F7F"/>
              <w:right w:val="nil"/>
            </w:tcBorders>
          </w:tcPr>
          <w:p w14:paraId="3DB2EAA6"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CIN 3 due to HPV 16</w:t>
            </w:r>
          </w:p>
        </w:tc>
        <w:tc>
          <w:tcPr>
            <w:tcW w:w="1215" w:type="dxa"/>
            <w:tcBorders>
              <w:top w:val="nil"/>
              <w:left w:val="nil"/>
              <w:bottom w:val="single" w:sz="4" w:space="0" w:color="7F7F7F"/>
              <w:right w:val="nil"/>
            </w:tcBorders>
          </w:tcPr>
          <w:p w14:paraId="13E0C97C"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r w:rsidRPr="00774400">
              <w:rPr>
                <w:rFonts w:ascii="Times New Roman" w:eastAsia="Times New Roman" w:hAnsi="Times New Roman" w:cs="Times New Roman"/>
                <w:color w:val="000000"/>
                <w:sz w:val="16"/>
                <w:szCs w:val="16"/>
              </w:rPr>
              <w:t xml:space="preserve">05 </w:t>
            </w:r>
            <w:r w:rsidRPr="00774400">
              <w:rPr>
                <w:rFonts w:ascii="Times New Roman" w:eastAsia="Times New Roman" w:hAnsi="Times New Roman" w:cs="Times New Roman"/>
                <w:sz w:val="16"/>
                <w:szCs w:val="16"/>
              </w:rPr>
              <w:t>Participants</w:t>
            </w:r>
          </w:p>
          <w:p w14:paraId="319E5218" w14:textId="77777777" w:rsidR="00495274" w:rsidRPr="00774400" w:rsidRDefault="00495274" w:rsidP="00495274">
            <w:pPr>
              <w:widowControl/>
              <w:ind w:hanging="2"/>
              <w:contextualSpacing/>
              <w:jc w:val="center"/>
              <w:rPr>
                <w:rFonts w:ascii="Times New Roman" w:eastAsia="Times New Roman" w:hAnsi="Times New Roman" w:cs="Times New Roman"/>
                <w:sz w:val="16"/>
                <w:szCs w:val="16"/>
              </w:rPr>
            </w:pPr>
          </w:p>
        </w:tc>
        <w:tc>
          <w:tcPr>
            <w:tcW w:w="1245" w:type="dxa"/>
            <w:tcBorders>
              <w:top w:val="nil"/>
              <w:left w:val="nil"/>
              <w:bottom w:val="single" w:sz="4" w:space="0" w:color="7F7F7F"/>
              <w:right w:val="nil"/>
            </w:tcBorders>
          </w:tcPr>
          <w:p w14:paraId="21C03777"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sz w:val="16"/>
                <w:szCs w:val="16"/>
              </w:rPr>
              <w:t>Intramuscular</w:t>
            </w:r>
          </w:p>
        </w:tc>
        <w:tc>
          <w:tcPr>
            <w:tcW w:w="2775" w:type="dxa"/>
            <w:tcBorders>
              <w:top w:val="nil"/>
              <w:left w:val="nil"/>
              <w:bottom w:val="single" w:sz="4" w:space="0" w:color="7F7F7F"/>
              <w:right w:val="nil"/>
            </w:tcBorders>
          </w:tcPr>
          <w:p w14:paraId="661C946A" w14:textId="77777777" w:rsidR="00495274" w:rsidRPr="00774400" w:rsidRDefault="00495274" w:rsidP="00495274">
            <w:pPr>
              <w:widowControl/>
              <w:spacing w:before="240" w:after="240"/>
              <w:ind w:firstLine="0"/>
              <w:contextualSpacing/>
              <w:jc w:val="both"/>
              <w:rPr>
                <w:rFonts w:ascii="Times New Roman" w:eastAsia="Times New Roman" w:hAnsi="Times New Roman" w:cs="Times New Roman"/>
                <w:color w:val="000000"/>
                <w:sz w:val="16"/>
                <w:szCs w:val="16"/>
                <w:lang w:val="de-DE"/>
              </w:rPr>
            </w:pPr>
            <w:r w:rsidRPr="00774400">
              <w:rPr>
                <w:rFonts w:ascii="Times New Roman" w:eastAsia="Times New Roman" w:hAnsi="Times New Roman" w:cs="Times New Roman"/>
                <w:sz w:val="16"/>
                <w:szCs w:val="16"/>
                <w:lang w:val="de-DE"/>
              </w:rPr>
              <w:t>200 mg in the SB ASO2B adjuvant was administered three times (on days 0, 14, and 28).</w:t>
            </w:r>
          </w:p>
        </w:tc>
        <w:tc>
          <w:tcPr>
            <w:tcW w:w="833" w:type="dxa"/>
            <w:tcBorders>
              <w:top w:val="nil"/>
              <w:left w:val="nil"/>
              <w:bottom w:val="single" w:sz="4" w:space="0" w:color="7F7F7F"/>
              <w:right w:val="nil"/>
            </w:tcBorders>
          </w:tcPr>
          <w:p w14:paraId="71768B95" w14:textId="06FA9A4B"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single" w:sz="4" w:space="0" w:color="7F7F7F"/>
              <w:right w:val="nil"/>
            </w:tcBorders>
          </w:tcPr>
          <w:p w14:paraId="6BD5D49A" w14:textId="77777777"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sidRPr="00774400">
              <w:rPr>
                <w:rFonts w:ascii="Times New Roman" w:eastAsia="Times New Roman" w:hAnsi="Times New Roman" w:cs="Times New Roman"/>
                <w:color w:val="000000"/>
                <w:sz w:val="16"/>
                <w:szCs w:val="16"/>
              </w:rPr>
              <w:t xml:space="preserve">9 </w:t>
            </w:r>
            <w:r w:rsidRPr="00774400">
              <w:rPr>
                <w:rFonts w:ascii="Times New Roman" w:eastAsia="Times New Roman" w:hAnsi="Times New Roman" w:cs="Times New Roman"/>
                <w:sz w:val="16"/>
                <w:szCs w:val="16"/>
              </w:rPr>
              <w:t>months</w:t>
            </w:r>
          </w:p>
        </w:tc>
        <w:tc>
          <w:tcPr>
            <w:tcW w:w="1455" w:type="dxa"/>
            <w:tcBorders>
              <w:top w:val="nil"/>
              <w:left w:val="nil"/>
              <w:bottom w:val="single" w:sz="4" w:space="0" w:color="7F7F7F"/>
              <w:right w:val="nil"/>
            </w:tcBorders>
          </w:tcPr>
          <w:p w14:paraId="054A135B" w14:textId="209E5599" w:rsidR="00495274" w:rsidRPr="00774400" w:rsidRDefault="00495274" w:rsidP="0049527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Yes</w:t>
            </w:r>
          </w:p>
        </w:tc>
      </w:tr>
    </w:tbl>
    <w:p w14:paraId="12B603E7" w14:textId="77777777" w:rsidR="00774400" w:rsidRDefault="00774400">
      <w:pPr>
        <w:widowControl/>
        <w:spacing w:after="160" w:line="360" w:lineRule="auto"/>
        <w:ind w:hanging="2"/>
        <w:jc w:val="center"/>
        <w:rPr>
          <w:rFonts w:ascii="Times New Roman" w:eastAsia="Times New Roman" w:hAnsi="Times New Roman" w:cs="Times New Roman"/>
          <w:sz w:val="16"/>
          <w:szCs w:val="16"/>
        </w:rPr>
      </w:pPr>
    </w:p>
    <w:p w14:paraId="6197F794" w14:textId="3CCD32B4" w:rsidR="003E729F" w:rsidRDefault="007D06AE">
      <w:pPr>
        <w:widowControl/>
        <w:spacing w:after="160" w:line="360" w:lineRule="auto"/>
        <w:ind w:hanging="2"/>
        <w:jc w:val="center"/>
        <w:rPr>
          <w:rFonts w:ascii="Times New Roman" w:eastAsia="Times New Roman" w:hAnsi="Times New Roman" w:cs="Times New Roman"/>
          <w:sz w:val="20"/>
          <w:szCs w:val="20"/>
        </w:rPr>
        <w:sectPr w:rsidR="003E729F" w:rsidSect="00774400">
          <w:pgSz w:w="16838" w:h="11906" w:orient="landscape"/>
          <w:pgMar w:top="567" w:right="1701" w:bottom="1134" w:left="1134" w:header="709" w:footer="709" w:gutter="0"/>
          <w:cols w:space="720"/>
        </w:sectPr>
      </w:pPr>
      <w:r>
        <w:rPr>
          <w:rFonts w:ascii="Times New Roman" w:eastAsia="Times New Roman" w:hAnsi="Times New Roman" w:cs="Times New Roman"/>
          <w:sz w:val="16"/>
          <w:szCs w:val="16"/>
        </w:rPr>
        <w:t>Legenda: Neoplasia intraepitelial cervical (CIN) 3; Neoplasia intraepitelial vulvar (NIV) grau 2 e 3</w:t>
      </w:r>
    </w:p>
    <w:p w14:paraId="1E01C142" w14:textId="452BB9DB"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Regarding the five clinical trials on cervical cancers and the role of DNA therapeutic vaccines (Hasan et al., 2020; Yang et al., 2019; Kenter et al., 2008; Santin et al., 2008; Borysiewicz et al., 1996), a total of 73 participants were included. Intramuscular (n=2) and intradermal (n=2) administration were the most common routes. The vaccines tested included MEDI0457 (INO-3112) (Hasan et al., 2020), a plasmid DNA vaccine (Yang et al., 2019; Santin et al., 2008), and dendritic cell vaccines pulsed with HPV16 or HPV18 E7 oncoproteins (Kenter et al., 2008; Borysiewicz et al., 1996).</w:t>
      </w:r>
    </w:p>
    <w:p w14:paraId="445FC84F" w14:textId="77777777" w:rsidR="003E729F" w:rsidRPr="00D16000"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Regarding vaccination protocols, schedules varied between multiple immunizations with weekly or monthly intervals and single-dose administrations. None of the studies reported serious adverse events, highlighting the safety of the tested vaccines. The evaluation periods ranged from 6 months to 2 years and 6 months, with the longest follow-up in the studies by Wang et al. </w:t>
      </w:r>
      <w:r w:rsidRPr="00D16000">
        <w:rPr>
          <w:rFonts w:ascii="Times New Roman" w:eastAsia="Times New Roman" w:hAnsi="Times New Roman" w:cs="Times New Roman"/>
          <w:lang w:val="de-DE"/>
        </w:rPr>
        <w:t>(2009) and Santin et al. (2008), both lasting 2 years and 6 months.</w:t>
      </w:r>
    </w:p>
    <w:p w14:paraId="2994558B" w14:textId="77777777" w:rsidR="003E729F" w:rsidRPr="00D16000" w:rsidRDefault="007D06AE">
      <w:pPr>
        <w:widowControl/>
        <w:spacing w:before="240" w:after="240" w:line="360" w:lineRule="auto"/>
        <w:ind w:firstLine="0"/>
        <w:jc w:val="both"/>
        <w:rPr>
          <w:rFonts w:ascii="Times New Roman" w:eastAsia="Times New Roman" w:hAnsi="Times New Roman" w:cs="Times New Roman"/>
          <w:lang w:val="de-DE"/>
        </w:rPr>
        <w:sectPr w:rsidR="003E729F" w:rsidRPr="00D16000">
          <w:pgSz w:w="11906" w:h="16838"/>
          <w:pgMar w:top="1701" w:right="1134" w:bottom="1134" w:left="1701" w:header="709" w:footer="709" w:gutter="0"/>
          <w:cols w:space="720"/>
        </w:sectPr>
      </w:pPr>
      <w:r w:rsidRPr="00D16000">
        <w:rPr>
          <w:rFonts w:ascii="Times New Roman" w:eastAsia="Times New Roman" w:hAnsi="Times New Roman" w:cs="Times New Roman"/>
          <w:lang w:val="de-DE"/>
        </w:rPr>
        <w:t>The clinical trials demonstrated the efficacy and safety of the investigated vaccines, with vaccination protocols differing in dose number, route of administration, and duration of follow-up (Hasan et al., 2020; Yang et al., 2019; Kenter et al., 2008; Santin et al., 2008; Borysiewicz et al., 1996). All studies reported the generation of an immune response, reinforcing the therapeutic potential of these vaccines in combating HPV16-associated cervical cancer. A synthesis of studies on therapeutic vaccines expressing HPV16 E6/E7 oncoproteins in advanced cervical cancers is presented in Table 3.</w:t>
      </w:r>
    </w:p>
    <w:p w14:paraId="3AA27CFA" w14:textId="77777777" w:rsidR="003E729F" w:rsidRPr="00D16000" w:rsidRDefault="007D06AE">
      <w:pPr>
        <w:widowControl/>
        <w:spacing w:after="160" w:line="360" w:lineRule="auto"/>
        <w:ind w:hanging="2"/>
        <w:jc w:val="center"/>
        <w:rPr>
          <w:rFonts w:ascii="Times New Roman" w:eastAsia="Times New Roman" w:hAnsi="Times New Roman" w:cs="Times New Roman"/>
          <w:sz w:val="20"/>
          <w:szCs w:val="20"/>
          <w:lang w:val="de-DE"/>
        </w:rPr>
      </w:pPr>
      <w:r w:rsidRPr="00D16000">
        <w:rPr>
          <w:rFonts w:ascii="Times New Roman" w:eastAsia="Times New Roman" w:hAnsi="Times New Roman" w:cs="Times New Roman"/>
          <w:b/>
          <w:sz w:val="20"/>
          <w:szCs w:val="20"/>
          <w:lang w:val="de-DE"/>
        </w:rPr>
        <w:lastRenderedPageBreak/>
        <w:t xml:space="preserve">Table 3 – </w:t>
      </w:r>
      <w:r w:rsidRPr="00D16000">
        <w:rPr>
          <w:rFonts w:ascii="Times New Roman" w:eastAsia="Times New Roman" w:hAnsi="Times New Roman" w:cs="Times New Roman"/>
          <w:sz w:val="20"/>
          <w:szCs w:val="20"/>
          <w:lang w:val="de-DE"/>
        </w:rPr>
        <w:t>Synthesis of studies on therapeutic vaccines expressing HPV 16 E6/E7 oncoproteins in advanced cervical cancers, highlighting information such as the author, year of publication, study design, phase, vaccine, type, expressed oncoproteins, total sample, route of administration, protocol, adverse event, evaluation time, and main results.</w:t>
      </w:r>
    </w:p>
    <w:tbl>
      <w:tblPr>
        <w:tblStyle w:val="a1"/>
        <w:tblW w:w="15000" w:type="dxa"/>
        <w:jc w:val="center"/>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591"/>
        <w:gridCol w:w="1245"/>
        <w:gridCol w:w="1320"/>
        <w:gridCol w:w="1200"/>
        <w:gridCol w:w="1140"/>
        <w:gridCol w:w="1215"/>
        <w:gridCol w:w="1391"/>
        <w:gridCol w:w="2628"/>
        <w:gridCol w:w="750"/>
        <w:gridCol w:w="1065"/>
        <w:gridCol w:w="1455"/>
      </w:tblGrid>
      <w:tr w:rsidR="00495274" w:rsidRPr="0008667A" w14:paraId="5E586C72" w14:textId="77777777" w:rsidTr="00495274">
        <w:trPr>
          <w:trHeight w:val="543"/>
          <w:jc w:val="center"/>
        </w:trPr>
        <w:tc>
          <w:tcPr>
            <w:tcW w:w="1591" w:type="dxa"/>
            <w:tcBorders>
              <w:top w:val="single" w:sz="4" w:space="0" w:color="7F7F7F"/>
              <w:left w:val="nil"/>
              <w:bottom w:val="single" w:sz="4" w:space="0" w:color="7F7F7F"/>
              <w:right w:val="nil"/>
            </w:tcBorders>
          </w:tcPr>
          <w:p w14:paraId="06A1679A" w14:textId="77777777" w:rsidR="00495274" w:rsidRPr="00495274" w:rsidRDefault="00495274" w:rsidP="00495274">
            <w:pPr>
              <w:widowControl/>
              <w:spacing w:before="240" w:after="240"/>
              <w:ind w:firstLine="0"/>
              <w:contextualSpacing/>
              <w:jc w:val="center"/>
              <w:rPr>
                <w:rFonts w:ascii="Times New Roman" w:eastAsia="Times New Roman" w:hAnsi="Times New Roman" w:cs="Times New Roman"/>
                <w:b/>
                <w:sz w:val="16"/>
                <w:szCs w:val="16"/>
                <w:highlight w:val="yellow"/>
              </w:rPr>
            </w:pPr>
            <w:r w:rsidRPr="00495274">
              <w:rPr>
                <w:rFonts w:ascii="Times New Roman" w:eastAsia="Times New Roman" w:hAnsi="Times New Roman" w:cs="Times New Roman"/>
                <w:b/>
                <w:sz w:val="16"/>
                <w:szCs w:val="16"/>
                <w:highlight w:val="yellow"/>
              </w:rPr>
              <w:t>Author/Year</w:t>
            </w:r>
          </w:p>
        </w:tc>
        <w:tc>
          <w:tcPr>
            <w:tcW w:w="1245" w:type="dxa"/>
            <w:tcBorders>
              <w:top w:val="single" w:sz="4" w:space="0" w:color="7F7F7F"/>
              <w:left w:val="nil"/>
              <w:bottom w:val="single" w:sz="4" w:space="0" w:color="7F7F7F"/>
              <w:right w:val="nil"/>
            </w:tcBorders>
          </w:tcPr>
          <w:p w14:paraId="79103E2E" w14:textId="77777777" w:rsidR="00495274" w:rsidRPr="00495274" w:rsidRDefault="00495274" w:rsidP="00495274">
            <w:pPr>
              <w:widowControl/>
              <w:spacing w:before="240" w:after="240"/>
              <w:ind w:firstLine="0"/>
              <w:contextualSpacing/>
              <w:jc w:val="center"/>
              <w:rPr>
                <w:rFonts w:ascii="Times New Roman" w:eastAsia="Times New Roman" w:hAnsi="Times New Roman" w:cs="Times New Roman"/>
                <w:b/>
                <w:sz w:val="16"/>
                <w:szCs w:val="16"/>
                <w:highlight w:val="yellow"/>
              </w:rPr>
            </w:pPr>
            <w:r w:rsidRPr="00495274">
              <w:rPr>
                <w:rFonts w:ascii="Times New Roman" w:eastAsia="Times New Roman" w:hAnsi="Times New Roman" w:cs="Times New Roman"/>
                <w:b/>
                <w:sz w:val="16"/>
                <w:szCs w:val="16"/>
                <w:highlight w:val="yellow"/>
              </w:rPr>
              <w:t>Design/Phase</w:t>
            </w:r>
          </w:p>
        </w:tc>
        <w:tc>
          <w:tcPr>
            <w:tcW w:w="1320" w:type="dxa"/>
            <w:tcBorders>
              <w:top w:val="single" w:sz="4" w:space="0" w:color="7F7F7F"/>
              <w:left w:val="nil"/>
              <w:bottom w:val="single" w:sz="4" w:space="0" w:color="7F7F7F"/>
              <w:right w:val="nil"/>
            </w:tcBorders>
          </w:tcPr>
          <w:p w14:paraId="7F2E7699" w14:textId="77777777" w:rsidR="00495274" w:rsidRPr="00495274" w:rsidRDefault="00495274" w:rsidP="00495274">
            <w:pPr>
              <w:widowControl/>
              <w:ind w:hanging="2"/>
              <w:contextualSpacing/>
              <w:jc w:val="center"/>
              <w:rPr>
                <w:rFonts w:ascii="Times New Roman" w:eastAsia="Times New Roman" w:hAnsi="Times New Roman" w:cs="Times New Roman"/>
                <w:b/>
                <w:sz w:val="16"/>
                <w:szCs w:val="16"/>
                <w:highlight w:val="yellow"/>
              </w:rPr>
            </w:pPr>
          </w:p>
          <w:p w14:paraId="3488D095" w14:textId="77777777" w:rsidR="00495274" w:rsidRPr="00495274" w:rsidRDefault="00495274" w:rsidP="00495274">
            <w:pPr>
              <w:widowControl/>
              <w:ind w:hanging="2"/>
              <w:contextualSpacing/>
              <w:jc w:val="center"/>
              <w:rPr>
                <w:rFonts w:ascii="Times New Roman" w:eastAsia="Times New Roman" w:hAnsi="Times New Roman" w:cs="Times New Roman"/>
                <w:b/>
                <w:color w:val="000000"/>
                <w:sz w:val="16"/>
                <w:szCs w:val="16"/>
                <w:highlight w:val="yellow"/>
              </w:rPr>
            </w:pPr>
            <w:r w:rsidRPr="00495274">
              <w:rPr>
                <w:rFonts w:ascii="Times New Roman" w:eastAsia="Times New Roman" w:hAnsi="Times New Roman" w:cs="Times New Roman"/>
                <w:b/>
                <w:sz w:val="16"/>
                <w:szCs w:val="16"/>
                <w:highlight w:val="yellow"/>
              </w:rPr>
              <w:t>Vaccine</w:t>
            </w:r>
          </w:p>
        </w:tc>
        <w:tc>
          <w:tcPr>
            <w:tcW w:w="1200" w:type="dxa"/>
            <w:tcBorders>
              <w:top w:val="single" w:sz="4" w:space="0" w:color="7F7F7F"/>
              <w:left w:val="nil"/>
              <w:bottom w:val="single" w:sz="4" w:space="0" w:color="7F7F7F"/>
              <w:right w:val="nil"/>
            </w:tcBorders>
          </w:tcPr>
          <w:p w14:paraId="7FB6A77C" w14:textId="77777777" w:rsidR="00495274" w:rsidRPr="00495274" w:rsidRDefault="00495274" w:rsidP="00495274">
            <w:pPr>
              <w:widowControl/>
              <w:spacing w:before="240" w:after="240"/>
              <w:ind w:firstLine="0"/>
              <w:contextualSpacing/>
              <w:jc w:val="center"/>
              <w:rPr>
                <w:rFonts w:ascii="Times New Roman" w:eastAsia="Times New Roman" w:hAnsi="Times New Roman" w:cs="Times New Roman"/>
                <w:b/>
                <w:sz w:val="16"/>
                <w:szCs w:val="16"/>
                <w:highlight w:val="yellow"/>
              </w:rPr>
            </w:pPr>
            <w:r w:rsidRPr="00495274">
              <w:rPr>
                <w:rFonts w:ascii="Times New Roman" w:eastAsia="Times New Roman" w:hAnsi="Times New Roman" w:cs="Times New Roman"/>
                <w:b/>
                <w:sz w:val="16"/>
                <w:szCs w:val="16"/>
                <w:highlight w:val="yellow"/>
              </w:rPr>
              <w:t>Expressed Oncoprotein</w:t>
            </w:r>
          </w:p>
        </w:tc>
        <w:tc>
          <w:tcPr>
            <w:tcW w:w="1140" w:type="dxa"/>
            <w:tcBorders>
              <w:top w:val="single" w:sz="4" w:space="0" w:color="7F7F7F"/>
              <w:left w:val="nil"/>
              <w:bottom w:val="single" w:sz="4" w:space="0" w:color="7F7F7F"/>
              <w:right w:val="nil"/>
            </w:tcBorders>
          </w:tcPr>
          <w:p w14:paraId="1D444B91" w14:textId="77777777" w:rsidR="00495274" w:rsidRPr="00495274" w:rsidRDefault="00495274" w:rsidP="00495274">
            <w:pPr>
              <w:widowControl/>
              <w:spacing w:before="240" w:after="240"/>
              <w:ind w:firstLine="0"/>
              <w:contextualSpacing/>
              <w:jc w:val="center"/>
              <w:rPr>
                <w:rFonts w:ascii="Times New Roman" w:eastAsia="Times New Roman" w:hAnsi="Times New Roman" w:cs="Times New Roman"/>
                <w:b/>
                <w:sz w:val="16"/>
                <w:szCs w:val="16"/>
                <w:highlight w:val="yellow"/>
              </w:rPr>
            </w:pPr>
            <w:r w:rsidRPr="00495274">
              <w:rPr>
                <w:rFonts w:ascii="Times New Roman" w:eastAsia="Times New Roman" w:hAnsi="Times New Roman" w:cs="Times New Roman"/>
                <w:b/>
                <w:sz w:val="16"/>
                <w:szCs w:val="16"/>
                <w:highlight w:val="yellow"/>
              </w:rPr>
              <w:t>Context</w:t>
            </w:r>
          </w:p>
        </w:tc>
        <w:tc>
          <w:tcPr>
            <w:tcW w:w="1215" w:type="dxa"/>
            <w:tcBorders>
              <w:top w:val="single" w:sz="4" w:space="0" w:color="7F7F7F"/>
              <w:left w:val="nil"/>
              <w:bottom w:val="single" w:sz="4" w:space="0" w:color="7F7F7F"/>
              <w:right w:val="nil"/>
            </w:tcBorders>
          </w:tcPr>
          <w:p w14:paraId="6013B58B" w14:textId="77777777" w:rsidR="00495274" w:rsidRPr="00495274" w:rsidRDefault="00495274" w:rsidP="00495274">
            <w:pPr>
              <w:widowControl/>
              <w:ind w:hanging="2"/>
              <w:contextualSpacing/>
              <w:jc w:val="center"/>
              <w:rPr>
                <w:rFonts w:ascii="Times New Roman" w:eastAsia="Times New Roman" w:hAnsi="Times New Roman" w:cs="Times New Roman"/>
                <w:b/>
                <w:color w:val="000000"/>
                <w:sz w:val="16"/>
                <w:szCs w:val="16"/>
                <w:highlight w:val="yellow"/>
              </w:rPr>
            </w:pPr>
            <w:r w:rsidRPr="00495274">
              <w:rPr>
                <w:rFonts w:ascii="Times New Roman" w:eastAsia="Times New Roman" w:hAnsi="Times New Roman" w:cs="Times New Roman"/>
                <w:b/>
                <w:sz w:val="16"/>
                <w:szCs w:val="16"/>
                <w:highlight w:val="yellow"/>
              </w:rPr>
              <w:t>Sample</w:t>
            </w:r>
          </w:p>
        </w:tc>
        <w:tc>
          <w:tcPr>
            <w:tcW w:w="1391" w:type="dxa"/>
            <w:tcBorders>
              <w:top w:val="single" w:sz="4" w:space="0" w:color="7F7F7F"/>
              <w:left w:val="nil"/>
              <w:bottom w:val="single" w:sz="4" w:space="0" w:color="7F7F7F"/>
              <w:right w:val="nil"/>
            </w:tcBorders>
          </w:tcPr>
          <w:p w14:paraId="6F28745A" w14:textId="77777777" w:rsidR="00495274" w:rsidRPr="00495274" w:rsidRDefault="00495274" w:rsidP="00495274">
            <w:pPr>
              <w:widowControl/>
              <w:spacing w:before="240" w:after="240"/>
              <w:ind w:firstLine="0"/>
              <w:contextualSpacing/>
              <w:jc w:val="center"/>
              <w:rPr>
                <w:rFonts w:ascii="Times New Roman" w:eastAsia="Times New Roman" w:hAnsi="Times New Roman" w:cs="Times New Roman"/>
                <w:b/>
                <w:sz w:val="16"/>
                <w:szCs w:val="16"/>
                <w:highlight w:val="yellow"/>
              </w:rPr>
            </w:pPr>
            <w:r w:rsidRPr="00495274">
              <w:rPr>
                <w:rFonts w:ascii="Times New Roman" w:eastAsia="Times New Roman" w:hAnsi="Times New Roman" w:cs="Times New Roman"/>
                <w:b/>
                <w:sz w:val="16"/>
                <w:szCs w:val="16"/>
                <w:highlight w:val="yellow"/>
              </w:rPr>
              <w:t>Route of Administration</w:t>
            </w:r>
          </w:p>
        </w:tc>
        <w:tc>
          <w:tcPr>
            <w:tcW w:w="2628" w:type="dxa"/>
            <w:tcBorders>
              <w:top w:val="single" w:sz="4" w:space="0" w:color="7F7F7F"/>
              <w:left w:val="nil"/>
              <w:bottom w:val="single" w:sz="4" w:space="0" w:color="7F7F7F"/>
              <w:right w:val="nil"/>
            </w:tcBorders>
          </w:tcPr>
          <w:p w14:paraId="7E049F3F" w14:textId="77777777" w:rsidR="00495274" w:rsidRPr="00495274" w:rsidRDefault="00495274" w:rsidP="00495274">
            <w:pPr>
              <w:widowControl/>
              <w:ind w:hanging="2"/>
              <w:contextualSpacing/>
              <w:jc w:val="center"/>
              <w:rPr>
                <w:rFonts w:ascii="Times New Roman" w:eastAsia="Times New Roman" w:hAnsi="Times New Roman" w:cs="Times New Roman"/>
                <w:b/>
                <w:color w:val="000000"/>
                <w:sz w:val="16"/>
                <w:szCs w:val="16"/>
                <w:highlight w:val="yellow"/>
              </w:rPr>
            </w:pPr>
            <w:r w:rsidRPr="00495274">
              <w:rPr>
                <w:rFonts w:ascii="Times New Roman" w:eastAsia="Times New Roman" w:hAnsi="Times New Roman" w:cs="Times New Roman"/>
                <w:b/>
                <w:color w:val="000000"/>
                <w:sz w:val="16"/>
                <w:szCs w:val="16"/>
                <w:highlight w:val="yellow"/>
              </w:rPr>
              <w:t>Protocol</w:t>
            </w:r>
          </w:p>
        </w:tc>
        <w:tc>
          <w:tcPr>
            <w:tcW w:w="750" w:type="dxa"/>
            <w:tcBorders>
              <w:top w:val="single" w:sz="4" w:space="0" w:color="7F7F7F"/>
              <w:left w:val="nil"/>
              <w:bottom w:val="single" w:sz="4" w:space="0" w:color="7F7F7F"/>
              <w:right w:val="nil"/>
            </w:tcBorders>
          </w:tcPr>
          <w:p w14:paraId="125E2C26" w14:textId="3D4247FB" w:rsidR="00495274" w:rsidRPr="00495274" w:rsidRDefault="00495274" w:rsidP="00495274">
            <w:pPr>
              <w:widowControl/>
              <w:ind w:hanging="2"/>
              <w:contextualSpacing/>
              <w:jc w:val="center"/>
              <w:rPr>
                <w:rFonts w:ascii="Times New Roman" w:eastAsia="Times New Roman" w:hAnsi="Times New Roman" w:cs="Times New Roman"/>
                <w:b/>
                <w:color w:val="000000"/>
                <w:sz w:val="16"/>
                <w:szCs w:val="16"/>
                <w:highlight w:val="yellow"/>
              </w:rPr>
            </w:pPr>
            <w:r w:rsidRPr="00495274">
              <w:rPr>
                <w:rFonts w:ascii="Times New Roman" w:eastAsia="Times New Roman" w:hAnsi="Times New Roman" w:cs="Times New Roman"/>
                <w:b/>
                <w:sz w:val="16"/>
                <w:szCs w:val="16"/>
                <w:highlight w:val="yellow"/>
              </w:rPr>
              <w:t>Serious Adverse Events</w:t>
            </w:r>
          </w:p>
        </w:tc>
        <w:tc>
          <w:tcPr>
            <w:tcW w:w="1065" w:type="dxa"/>
            <w:tcBorders>
              <w:top w:val="single" w:sz="4" w:space="0" w:color="7F7F7F"/>
              <w:left w:val="nil"/>
              <w:bottom w:val="single" w:sz="4" w:space="0" w:color="7F7F7F"/>
              <w:right w:val="nil"/>
            </w:tcBorders>
          </w:tcPr>
          <w:p w14:paraId="41D075D0" w14:textId="7C61BC40" w:rsidR="00495274" w:rsidRPr="00495274" w:rsidRDefault="00495274" w:rsidP="00495274">
            <w:pPr>
              <w:widowControl/>
              <w:ind w:hanging="2"/>
              <w:contextualSpacing/>
              <w:jc w:val="center"/>
              <w:rPr>
                <w:rFonts w:ascii="Times New Roman" w:eastAsia="Times New Roman" w:hAnsi="Times New Roman" w:cs="Times New Roman"/>
                <w:b/>
                <w:color w:val="000000"/>
                <w:sz w:val="16"/>
                <w:szCs w:val="16"/>
                <w:highlight w:val="yellow"/>
              </w:rPr>
            </w:pPr>
            <w:r w:rsidRPr="00495274">
              <w:rPr>
                <w:rFonts w:ascii="Times New Roman" w:eastAsia="Times New Roman" w:hAnsi="Times New Roman" w:cs="Times New Roman"/>
                <w:b/>
                <w:sz w:val="16"/>
                <w:szCs w:val="16"/>
                <w:highlight w:val="yellow"/>
              </w:rPr>
              <w:t>Evaluation period</w:t>
            </w:r>
          </w:p>
        </w:tc>
        <w:tc>
          <w:tcPr>
            <w:tcW w:w="1455" w:type="dxa"/>
            <w:tcBorders>
              <w:top w:val="single" w:sz="4" w:space="0" w:color="7F7F7F"/>
              <w:left w:val="nil"/>
              <w:bottom w:val="single" w:sz="4" w:space="0" w:color="7F7F7F"/>
              <w:right w:val="nil"/>
            </w:tcBorders>
          </w:tcPr>
          <w:p w14:paraId="75447564" w14:textId="618D8794" w:rsidR="00495274" w:rsidRPr="00495274" w:rsidRDefault="00495274" w:rsidP="00495274">
            <w:pPr>
              <w:widowControl/>
              <w:ind w:hanging="2"/>
              <w:contextualSpacing/>
              <w:jc w:val="center"/>
              <w:rPr>
                <w:rFonts w:ascii="Times New Roman" w:eastAsia="Times New Roman" w:hAnsi="Times New Roman" w:cs="Times New Roman"/>
                <w:b/>
                <w:color w:val="000000"/>
                <w:sz w:val="16"/>
                <w:szCs w:val="16"/>
                <w:highlight w:val="yellow"/>
                <w:lang w:val="it-IT"/>
              </w:rPr>
            </w:pPr>
            <w:r w:rsidRPr="00495274">
              <w:rPr>
                <w:rFonts w:ascii="Times New Roman" w:eastAsia="Times New Roman" w:hAnsi="Times New Roman" w:cs="Times New Roman"/>
                <w:b/>
                <w:sz w:val="16"/>
                <w:szCs w:val="16"/>
                <w:highlight w:val="yellow"/>
                <w:lang w:val="it-IT"/>
              </w:rPr>
              <w:t>Antigen-specific immune response generation</w:t>
            </w:r>
          </w:p>
        </w:tc>
      </w:tr>
      <w:tr w:rsidR="003E729F" w14:paraId="0E6FDBC3" w14:textId="77777777" w:rsidTr="00495274">
        <w:trPr>
          <w:trHeight w:val="543"/>
          <w:jc w:val="center"/>
        </w:trPr>
        <w:tc>
          <w:tcPr>
            <w:tcW w:w="1591" w:type="dxa"/>
            <w:tcBorders>
              <w:top w:val="single" w:sz="4" w:space="0" w:color="7F7F7F"/>
              <w:left w:val="nil"/>
              <w:bottom w:val="single" w:sz="4" w:space="0" w:color="7F7F7F"/>
              <w:right w:val="nil"/>
            </w:tcBorders>
          </w:tcPr>
          <w:p w14:paraId="014539A5" w14:textId="77777777" w:rsidR="003E729F" w:rsidRDefault="007D06AE">
            <w:pPr>
              <w:widowControl/>
              <w:ind w:hanging="2"/>
              <w:contextualSpacing/>
              <w:jc w:val="center"/>
              <w:rPr>
                <w:rFonts w:ascii="Times New Roman" w:eastAsia="Times New Roman" w:hAnsi="Times New Roman" w:cs="Times New Roman"/>
                <w:color w:val="000000"/>
                <w:sz w:val="16"/>
                <w:szCs w:val="16"/>
                <w:vertAlign w:val="superscript"/>
              </w:rPr>
            </w:pPr>
            <w:bookmarkStart w:id="8" w:name="_heading=h.qsh70q" w:colFirst="0" w:colLast="0"/>
            <w:bookmarkEnd w:id="8"/>
            <w:r>
              <w:rPr>
                <w:rFonts w:ascii="Times New Roman" w:eastAsia="Times New Roman" w:hAnsi="Times New Roman" w:cs="Times New Roman"/>
                <w:color w:val="000000"/>
                <w:sz w:val="16"/>
                <w:szCs w:val="16"/>
              </w:rPr>
              <w:t xml:space="preserve">Hasan </w:t>
            </w:r>
            <w:r>
              <w:rPr>
                <w:rFonts w:ascii="Times New Roman" w:eastAsia="Times New Roman" w:hAnsi="Times New Roman" w:cs="Times New Roman"/>
                <w:i/>
                <w:color w:val="000000"/>
                <w:sz w:val="16"/>
                <w:szCs w:val="16"/>
              </w:rPr>
              <w:t xml:space="preserve">et al., </w:t>
            </w:r>
            <w:r>
              <w:rPr>
                <w:rFonts w:ascii="Times New Roman" w:eastAsia="Times New Roman" w:hAnsi="Times New Roman" w:cs="Times New Roman"/>
                <w:color w:val="000000"/>
                <w:sz w:val="16"/>
                <w:szCs w:val="16"/>
              </w:rPr>
              <w:t>2020</w:t>
            </w:r>
          </w:p>
        </w:tc>
        <w:tc>
          <w:tcPr>
            <w:tcW w:w="1245" w:type="dxa"/>
            <w:tcBorders>
              <w:top w:val="single" w:sz="4" w:space="0" w:color="7F7F7F"/>
              <w:left w:val="nil"/>
              <w:bottom w:val="single" w:sz="4" w:space="0" w:color="7F7F7F"/>
              <w:right w:val="nil"/>
            </w:tcBorders>
          </w:tcPr>
          <w:p w14:paraId="57C11574" w14:textId="77777777" w:rsidR="003E729F" w:rsidRDefault="007D06AE">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I/II</w:t>
            </w:r>
          </w:p>
        </w:tc>
        <w:tc>
          <w:tcPr>
            <w:tcW w:w="1320" w:type="dxa"/>
            <w:tcBorders>
              <w:top w:val="single" w:sz="4" w:space="0" w:color="7F7F7F"/>
              <w:left w:val="nil"/>
              <w:bottom w:val="single" w:sz="4" w:space="0" w:color="7F7F7F"/>
              <w:right w:val="nil"/>
            </w:tcBorders>
          </w:tcPr>
          <w:p w14:paraId="2560EAEB" w14:textId="77777777" w:rsidR="003E729F" w:rsidRDefault="007D06AE">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MEDI0457 (INO-3112)</w:t>
            </w:r>
          </w:p>
        </w:tc>
        <w:tc>
          <w:tcPr>
            <w:tcW w:w="1200" w:type="dxa"/>
            <w:tcBorders>
              <w:top w:val="single" w:sz="4" w:space="0" w:color="7F7F7F"/>
              <w:left w:val="nil"/>
              <w:bottom w:val="single" w:sz="4" w:space="0" w:color="7F7F7F"/>
              <w:right w:val="nil"/>
            </w:tcBorders>
          </w:tcPr>
          <w:p w14:paraId="12210E45" w14:textId="77777777" w:rsidR="003E729F" w:rsidRDefault="007D06AE">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192D18D4" w14:textId="77777777" w:rsidR="003E729F" w:rsidRDefault="007D06AE">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 Cancer</w:t>
            </w:r>
          </w:p>
        </w:tc>
        <w:tc>
          <w:tcPr>
            <w:tcW w:w="1215" w:type="dxa"/>
            <w:tcBorders>
              <w:top w:val="single" w:sz="4" w:space="0" w:color="7F7F7F"/>
              <w:left w:val="nil"/>
              <w:bottom w:val="single" w:sz="4" w:space="0" w:color="7F7F7F"/>
              <w:right w:val="nil"/>
            </w:tcBorders>
          </w:tcPr>
          <w:p w14:paraId="721E337C" w14:textId="77777777" w:rsidR="003E729F" w:rsidRDefault="007D06AE">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0BAA1E47" w14:textId="77777777" w:rsidR="003E729F" w:rsidRDefault="003E729F">
            <w:pPr>
              <w:widowControl/>
              <w:ind w:hanging="2"/>
              <w:contextualSpacing/>
              <w:jc w:val="center"/>
              <w:rPr>
                <w:rFonts w:ascii="Times New Roman" w:eastAsia="Times New Roman" w:hAnsi="Times New Roman" w:cs="Times New Roman"/>
                <w:sz w:val="16"/>
                <w:szCs w:val="16"/>
              </w:rPr>
            </w:pPr>
          </w:p>
        </w:tc>
        <w:tc>
          <w:tcPr>
            <w:tcW w:w="1391" w:type="dxa"/>
            <w:tcBorders>
              <w:top w:val="single" w:sz="4" w:space="0" w:color="7F7F7F"/>
              <w:left w:val="nil"/>
              <w:bottom w:val="single" w:sz="4" w:space="0" w:color="7F7F7F"/>
              <w:right w:val="nil"/>
            </w:tcBorders>
          </w:tcPr>
          <w:p w14:paraId="18583195" w14:textId="77777777" w:rsidR="003E729F" w:rsidRDefault="007D06AE">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Intramuscular</w:t>
            </w:r>
          </w:p>
        </w:tc>
        <w:tc>
          <w:tcPr>
            <w:tcW w:w="2628" w:type="dxa"/>
            <w:tcBorders>
              <w:top w:val="single" w:sz="4" w:space="0" w:color="7F7F7F"/>
              <w:left w:val="nil"/>
              <w:bottom w:val="single" w:sz="4" w:space="0" w:color="7F7F7F"/>
              <w:right w:val="nil"/>
            </w:tcBorders>
          </w:tcPr>
          <w:p w14:paraId="0A72E5EB" w14:textId="77777777" w:rsidR="003E729F" w:rsidRPr="00CF2679" w:rsidRDefault="007D06AE">
            <w:pPr>
              <w:widowControl/>
              <w:spacing w:before="240" w:after="240"/>
              <w:ind w:firstLine="0"/>
              <w:contextualSpacing/>
              <w:jc w:val="both"/>
              <w:rPr>
                <w:rFonts w:ascii="Times New Roman" w:eastAsia="Times New Roman" w:hAnsi="Times New Roman" w:cs="Times New Roman"/>
                <w:sz w:val="16"/>
                <w:szCs w:val="16"/>
                <w:lang w:val="de-DE"/>
              </w:rPr>
            </w:pPr>
            <w:r w:rsidRPr="00CF2679">
              <w:rPr>
                <w:rFonts w:ascii="Times New Roman" w:eastAsia="Times New Roman" w:hAnsi="Times New Roman" w:cs="Times New Roman"/>
                <w:sz w:val="16"/>
                <w:szCs w:val="16"/>
                <w:lang w:val="de-DE"/>
              </w:rPr>
              <w:t>Four MEDI0457 immunizations every 4 weeks.</w:t>
            </w:r>
          </w:p>
          <w:p w14:paraId="74EB121A" w14:textId="77777777" w:rsidR="003E729F" w:rsidRPr="00CF2679" w:rsidRDefault="003E729F">
            <w:pPr>
              <w:widowControl/>
              <w:ind w:hanging="2"/>
              <w:contextualSpacing/>
              <w:jc w:val="both"/>
              <w:rPr>
                <w:rFonts w:ascii="Times New Roman" w:eastAsia="Times New Roman" w:hAnsi="Times New Roman" w:cs="Times New Roman"/>
                <w:sz w:val="16"/>
                <w:szCs w:val="16"/>
                <w:lang w:val="de-DE"/>
              </w:rPr>
            </w:pPr>
          </w:p>
        </w:tc>
        <w:tc>
          <w:tcPr>
            <w:tcW w:w="750" w:type="dxa"/>
            <w:tcBorders>
              <w:top w:val="single" w:sz="4" w:space="0" w:color="7F7F7F"/>
              <w:left w:val="nil"/>
              <w:bottom w:val="single" w:sz="4" w:space="0" w:color="7F7F7F"/>
              <w:right w:val="nil"/>
            </w:tcBorders>
          </w:tcPr>
          <w:p w14:paraId="79227650" w14:textId="77777777" w:rsidR="003E729F" w:rsidRDefault="007D06AE">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single" w:sz="4" w:space="0" w:color="7F7F7F"/>
              <w:left w:val="nil"/>
              <w:bottom w:val="single" w:sz="4" w:space="0" w:color="7F7F7F"/>
              <w:right w:val="nil"/>
            </w:tcBorders>
          </w:tcPr>
          <w:p w14:paraId="3A21D978" w14:textId="77777777" w:rsidR="003E729F" w:rsidRDefault="007D06AE">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w:t>
            </w:r>
            <w:r>
              <w:rPr>
                <w:rFonts w:ascii="Times New Roman" w:eastAsia="Times New Roman" w:hAnsi="Times New Roman" w:cs="Times New Roman"/>
                <w:sz w:val="16"/>
                <w:szCs w:val="16"/>
              </w:rPr>
              <w:t>Months</w:t>
            </w:r>
          </w:p>
        </w:tc>
        <w:tc>
          <w:tcPr>
            <w:tcW w:w="1455" w:type="dxa"/>
            <w:tcBorders>
              <w:top w:val="single" w:sz="4" w:space="0" w:color="7F7F7F"/>
              <w:left w:val="nil"/>
              <w:bottom w:val="single" w:sz="4" w:space="0" w:color="7F7F7F"/>
              <w:right w:val="nil"/>
            </w:tcBorders>
          </w:tcPr>
          <w:p w14:paraId="3FA0948E" w14:textId="3287A39E" w:rsidR="003E729F" w:rsidRDefault="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0F11B4" w14:paraId="7D4A9CF7" w14:textId="77777777" w:rsidTr="00495274">
        <w:trPr>
          <w:trHeight w:val="976"/>
          <w:jc w:val="center"/>
        </w:trPr>
        <w:tc>
          <w:tcPr>
            <w:tcW w:w="1591" w:type="dxa"/>
            <w:tcBorders>
              <w:top w:val="nil"/>
              <w:left w:val="nil"/>
              <w:bottom w:val="nil"/>
              <w:right w:val="nil"/>
            </w:tcBorders>
          </w:tcPr>
          <w:p w14:paraId="744E88F3"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Wang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2009</w:t>
            </w:r>
          </w:p>
        </w:tc>
        <w:tc>
          <w:tcPr>
            <w:tcW w:w="1245" w:type="dxa"/>
            <w:tcBorders>
              <w:top w:val="nil"/>
              <w:left w:val="nil"/>
              <w:bottom w:val="nil"/>
              <w:right w:val="nil"/>
            </w:tcBorders>
          </w:tcPr>
          <w:p w14:paraId="03E8CC90"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w:t>
            </w:r>
          </w:p>
        </w:tc>
        <w:tc>
          <w:tcPr>
            <w:tcW w:w="1320" w:type="dxa"/>
            <w:tcBorders>
              <w:top w:val="nil"/>
              <w:left w:val="nil"/>
              <w:bottom w:val="nil"/>
              <w:right w:val="nil"/>
            </w:tcBorders>
          </w:tcPr>
          <w:p w14:paraId="14FC7493"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E7-Pulsed Dendritic Cell Vaccination</w:t>
            </w:r>
          </w:p>
          <w:p w14:paraId="3410F116"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08FDAFFD"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07552BF8" w14:textId="77777777" w:rsidR="000F11B4" w:rsidRPr="00CF2679" w:rsidRDefault="000F11B4" w:rsidP="000F11B4">
            <w:pPr>
              <w:widowControl/>
              <w:spacing w:before="240" w:after="240"/>
              <w:ind w:firstLine="0"/>
              <w:contextualSpacing/>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Cervical Cancer due to HPV 16 or 18</w:t>
            </w:r>
          </w:p>
        </w:tc>
        <w:tc>
          <w:tcPr>
            <w:tcW w:w="1215" w:type="dxa"/>
            <w:tcBorders>
              <w:top w:val="nil"/>
              <w:left w:val="nil"/>
              <w:bottom w:val="nil"/>
              <w:right w:val="nil"/>
            </w:tcBorders>
          </w:tcPr>
          <w:p w14:paraId="69847F44" w14:textId="77777777" w:rsidR="000F11B4" w:rsidRDefault="000F11B4" w:rsidP="000F11B4">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1B133A0F"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391" w:type="dxa"/>
            <w:tcBorders>
              <w:top w:val="nil"/>
              <w:left w:val="nil"/>
              <w:bottom w:val="nil"/>
              <w:right w:val="nil"/>
            </w:tcBorders>
          </w:tcPr>
          <w:p w14:paraId="4BA70992"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Intradermal</w:t>
            </w:r>
          </w:p>
        </w:tc>
        <w:tc>
          <w:tcPr>
            <w:tcW w:w="2628" w:type="dxa"/>
            <w:tcBorders>
              <w:top w:val="nil"/>
              <w:left w:val="nil"/>
              <w:bottom w:val="nil"/>
              <w:right w:val="nil"/>
            </w:tcBorders>
          </w:tcPr>
          <w:p w14:paraId="622701C0"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Five subcutaneous injections of autologous mature DCs pulsed with recombinant HPV 16 or 18 E7 protein were administered at 21-day intervals.</w:t>
            </w:r>
            <w:r>
              <w:rPr>
                <w:rFonts w:ascii="Times New Roman" w:eastAsia="Times New Roman" w:hAnsi="Times New Roman" w:cs="Times New Roman"/>
                <w:color w:val="000000"/>
                <w:sz w:val="16"/>
                <w:szCs w:val="16"/>
              </w:rPr>
              <w:t> </w:t>
            </w:r>
          </w:p>
        </w:tc>
        <w:tc>
          <w:tcPr>
            <w:tcW w:w="750" w:type="dxa"/>
            <w:tcBorders>
              <w:top w:val="nil"/>
              <w:left w:val="nil"/>
              <w:bottom w:val="nil"/>
              <w:right w:val="nil"/>
            </w:tcBorders>
          </w:tcPr>
          <w:p w14:paraId="0D7B092E"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nil"/>
              <w:left w:val="nil"/>
              <w:bottom w:val="nil"/>
              <w:right w:val="nil"/>
            </w:tcBorders>
          </w:tcPr>
          <w:p w14:paraId="441BE8CD"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years and 6 months</w:t>
            </w:r>
          </w:p>
          <w:p w14:paraId="7DBED80F"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455" w:type="dxa"/>
            <w:tcBorders>
              <w:top w:val="nil"/>
              <w:left w:val="nil"/>
              <w:bottom w:val="nil"/>
              <w:right w:val="nil"/>
            </w:tcBorders>
          </w:tcPr>
          <w:p w14:paraId="1D73C49E" w14:textId="5E4E328B"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1127B8">
              <w:rPr>
                <w:rFonts w:ascii="Times New Roman" w:eastAsia="Times New Roman" w:hAnsi="Times New Roman" w:cs="Times New Roman"/>
                <w:sz w:val="16"/>
                <w:szCs w:val="16"/>
              </w:rPr>
              <w:t>Yes</w:t>
            </w:r>
          </w:p>
        </w:tc>
      </w:tr>
      <w:tr w:rsidR="000F11B4" w14:paraId="3C7995B5" w14:textId="77777777" w:rsidTr="00495274">
        <w:trPr>
          <w:trHeight w:val="1465"/>
          <w:jc w:val="center"/>
        </w:trPr>
        <w:tc>
          <w:tcPr>
            <w:tcW w:w="1591" w:type="dxa"/>
            <w:tcBorders>
              <w:top w:val="single" w:sz="4" w:space="0" w:color="7F7F7F"/>
              <w:left w:val="nil"/>
              <w:bottom w:val="single" w:sz="4" w:space="0" w:color="7F7F7F"/>
              <w:right w:val="nil"/>
            </w:tcBorders>
          </w:tcPr>
          <w:p w14:paraId="32749915"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Kenter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2008</w:t>
            </w:r>
          </w:p>
        </w:tc>
        <w:tc>
          <w:tcPr>
            <w:tcW w:w="1245" w:type="dxa"/>
            <w:tcBorders>
              <w:top w:val="single" w:sz="4" w:space="0" w:color="7F7F7F"/>
              <w:left w:val="nil"/>
              <w:bottom w:val="single" w:sz="4" w:space="0" w:color="7F7F7F"/>
              <w:right w:val="nil"/>
            </w:tcBorders>
          </w:tcPr>
          <w:p w14:paraId="3E217D17"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w:t>
            </w:r>
          </w:p>
        </w:tc>
        <w:tc>
          <w:tcPr>
            <w:tcW w:w="1320" w:type="dxa"/>
            <w:tcBorders>
              <w:top w:val="single" w:sz="4" w:space="0" w:color="7F7F7F"/>
              <w:left w:val="nil"/>
              <w:bottom w:val="single" w:sz="4" w:space="0" w:color="7F7F7F"/>
              <w:right w:val="nil"/>
            </w:tcBorders>
          </w:tcPr>
          <w:p w14:paraId="25C8B99E"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ISA-51</w:t>
            </w:r>
          </w:p>
        </w:tc>
        <w:tc>
          <w:tcPr>
            <w:tcW w:w="1200" w:type="dxa"/>
            <w:tcBorders>
              <w:top w:val="single" w:sz="4" w:space="0" w:color="7F7F7F"/>
              <w:left w:val="nil"/>
              <w:bottom w:val="single" w:sz="4" w:space="0" w:color="7F7F7F"/>
              <w:right w:val="nil"/>
            </w:tcBorders>
          </w:tcPr>
          <w:p w14:paraId="2085A935"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42B922AE" w14:textId="77777777" w:rsidR="000F11B4" w:rsidRPr="00CF2679" w:rsidRDefault="000F11B4" w:rsidP="000F11B4">
            <w:pPr>
              <w:widowControl/>
              <w:spacing w:before="240" w:after="240"/>
              <w:ind w:firstLine="0"/>
              <w:contextualSpacing/>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Cervical Cancer due to HPV 16</w:t>
            </w:r>
          </w:p>
        </w:tc>
        <w:tc>
          <w:tcPr>
            <w:tcW w:w="1215" w:type="dxa"/>
            <w:tcBorders>
              <w:top w:val="single" w:sz="4" w:space="0" w:color="7F7F7F"/>
              <w:left w:val="nil"/>
              <w:bottom w:val="single" w:sz="4" w:space="0" w:color="7F7F7F"/>
              <w:right w:val="nil"/>
            </w:tcBorders>
          </w:tcPr>
          <w:p w14:paraId="5374518A" w14:textId="77777777" w:rsidR="000F11B4" w:rsidRDefault="000F11B4" w:rsidP="000F11B4">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35 </w:t>
            </w:r>
            <w:r>
              <w:rPr>
                <w:rFonts w:ascii="Times New Roman" w:eastAsia="Times New Roman" w:hAnsi="Times New Roman" w:cs="Times New Roman"/>
                <w:sz w:val="16"/>
                <w:szCs w:val="16"/>
              </w:rPr>
              <w:t>Participants</w:t>
            </w:r>
          </w:p>
          <w:p w14:paraId="3068FD4A"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391" w:type="dxa"/>
            <w:tcBorders>
              <w:top w:val="single" w:sz="4" w:space="0" w:color="7F7F7F"/>
              <w:left w:val="nil"/>
              <w:bottom w:val="single" w:sz="4" w:space="0" w:color="7F7F7F"/>
              <w:right w:val="nil"/>
            </w:tcBorders>
          </w:tcPr>
          <w:p w14:paraId="46C9D7C6"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Subcutaneous</w:t>
            </w:r>
          </w:p>
        </w:tc>
        <w:tc>
          <w:tcPr>
            <w:tcW w:w="2628" w:type="dxa"/>
            <w:tcBorders>
              <w:top w:val="single" w:sz="4" w:space="0" w:color="7F7F7F"/>
              <w:left w:val="nil"/>
              <w:bottom w:val="single" w:sz="4" w:space="0" w:color="7F7F7F"/>
              <w:right w:val="nil"/>
            </w:tcBorders>
          </w:tcPr>
          <w:p w14:paraId="4867A33E"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Group 1 received 300 µg/peptide at a single site, and Group 2 received 100 µg/peptide of the E6 peptides in one limb and 300 µg/peptide of the E7 peptides in a second limb. Group 3 received separate injections of E6 and E7 peptides, each at a dose of 50 µg/peptide.</w:t>
            </w:r>
          </w:p>
        </w:tc>
        <w:tc>
          <w:tcPr>
            <w:tcW w:w="750" w:type="dxa"/>
            <w:tcBorders>
              <w:top w:val="single" w:sz="4" w:space="0" w:color="7F7F7F"/>
              <w:left w:val="nil"/>
              <w:bottom w:val="single" w:sz="4" w:space="0" w:color="7F7F7F"/>
              <w:right w:val="nil"/>
            </w:tcBorders>
          </w:tcPr>
          <w:p w14:paraId="4AEE52F8"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single" w:sz="4" w:space="0" w:color="7F7F7F"/>
              <w:left w:val="nil"/>
              <w:bottom w:val="single" w:sz="4" w:space="0" w:color="7F7F7F"/>
              <w:right w:val="nil"/>
            </w:tcBorders>
          </w:tcPr>
          <w:p w14:paraId="33F1DEF1"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 weeks</w:t>
            </w:r>
          </w:p>
        </w:tc>
        <w:tc>
          <w:tcPr>
            <w:tcW w:w="1455" w:type="dxa"/>
            <w:tcBorders>
              <w:top w:val="single" w:sz="4" w:space="0" w:color="7F7F7F"/>
              <w:left w:val="nil"/>
              <w:bottom w:val="single" w:sz="4" w:space="0" w:color="7F7F7F"/>
              <w:right w:val="nil"/>
            </w:tcBorders>
          </w:tcPr>
          <w:p w14:paraId="61029E23" w14:textId="78F5E884"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1127B8">
              <w:rPr>
                <w:rFonts w:ascii="Times New Roman" w:eastAsia="Times New Roman" w:hAnsi="Times New Roman" w:cs="Times New Roman"/>
                <w:sz w:val="16"/>
                <w:szCs w:val="16"/>
              </w:rPr>
              <w:t>Yes</w:t>
            </w:r>
          </w:p>
        </w:tc>
      </w:tr>
      <w:tr w:rsidR="000F11B4" w14:paraId="34D26AC4" w14:textId="77777777" w:rsidTr="00495274">
        <w:trPr>
          <w:trHeight w:val="1212"/>
          <w:jc w:val="center"/>
        </w:trPr>
        <w:tc>
          <w:tcPr>
            <w:tcW w:w="1591" w:type="dxa"/>
            <w:tcBorders>
              <w:top w:val="nil"/>
              <w:left w:val="nil"/>
              <w:bottom w:val="nil"/>
              <w:right w:val="nil"/>
            </w:tcBorders>
          </w:tcPr>
          <w:p w14:paraId="1F71174C"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Santin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2008</w:t>
            </w:r>
          </w:p>
        </w:tc>
        <w:tc>
          <w:tcPr>
            <w:tcW w:w="1245" w:type="dxa"/>
            <w:tcBorders>
              <w:top w:val="nil"/>
              <w:left w:val="nil"/>
              <w:bottom w:val="nil"/>
              <w:right w:val="nil"/>
            </w:tcBorders>
          </w:tcPr>
          <w:p w14:paraId="50979095"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w:t>
            </w:r>
          </w:p>
          <w:p w14:paraId="61927307"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320" w:type="dxa"/>
            <w:tcBorders>
              <w:top w:val="nil"/>
              <w:left w:val="nil"/>
              <w:bottom w:val="nil"/>
              <w:right w:val="nil"/>
            </w:tcBorders>
          </w:tcPr>
          <w:p w14:paraId="4A53B7A6"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E7-Pulsed Dendritic Cell Vaccination</w:t>
            </w:r>
          </w:p>
          <w:p w14:paraId="08B9288F" w14:textId="77777777" w:rsidR="000F11B4" w:rsidRDefault="000F11B4" w:rsidP="000F11B4">
            <w:pPr>
              <w:widowControl/>
              <w:ind w:hanging="2"/>
              <w:contextualSpacing/>
              <w:jc w:val="center"/>
              <w:rPr>
                <w:rFonts w:ascii="Times New Roman" w:eastAsia="Times New Roman" w:hAnsi="Times New Roman" w:cs="Times New Roman"/>
                <w:sz w:val="16"/>
                <w:szCs w:val="16"/>
              </w:rPr>
            </w:pPr>
          </w:p>
          <w:p w14:paraId="4255B3D7"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6CE11A4A"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12BA8B43" w14:textId="77777777" w:rsidR="000F11B4" w:rsidRPr="00CF2679" w:rsidRDefault="000F11B4" w:rsidP="000F11B4">
            <w:pPr>
              <w:widowControl/>
              <w:ind w:hanging="2"/>
              <w:contextualSpacing/>
              <w:jc w:val="center"/>
              <w:rPr>
                <w:rFonts w:ascii="Times New Roman" w:eastAsia="Times New Roman" w:hAnsi="Times New Roman" w:cs="Times New Roman"/>
                <w:color w:val="000000"/>
                <w:sz w:val="16"/>
                <w:szCs w:val="16"/>
                <w:lang w:val="it-IT"/>
              </w:rPr>
            </w:pPr>
            <w:r w:rsidRPr="00CF2679">
              <w:rPr>
                <w:rFonts w:ascii="Times New Roman" w:eastAsia="Times New Roman" w:hAnsi="Times New Roman" w:cs="Times New Roman"/>
                <w:sz w:val="16"/>
                <w:szCs w:val="16"/>
                <w:lang w:val="it-IT"/>
              </w:rPr>
              <w:t>Cervical Cancer due to HPV 16 or 18</w:t>
            </w:r>
          </w:p>
        </w:tc>
        <w:tc>
          <w:tcPr>
            <w:tcW w:w="1215" w:type="dxa"/>
            <w:tcBorders>
              <w:top w:val="nil"/>
              <w:left w:val="nil"/>
              <w:bottom w:val="nil"/>
              <w:right w:val="nil"/>
            </w:tcBorders>
          </w:tcPr>
          <w:p w14:paraId="197D3EEB" w14:textId="77777777" w:rsidR="000F11B4" w:rsidRDefault="000F11B4" w:rsidP="000F11B4">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74E36BF9"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391" w:type="dxa"/>
            <w:tcBorders>
              <w:top w:val="nil"/>
              <w:left w:val="nil"/>
              <w:bottom w:val="nil"/>
              <w:right w:val="nil"/>
            </w:tcBorders>
          </w:tcPr>
          <w:p w14:paraId="53B22EE9"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Intradermal</w:t>
            </w:r>
          </w:p>
        </w:tc>
        <w:tc>
          <w:tcPr>
            <w:tcW w:w="2628" w:type="dxa"/>
            <w:tcBorders>
              <w:top w:val="nil"/>
              <w:left w:val="nil"/>
              <w:bottom w:val="nil"/>
              <w:right w:val="nil"/>
            </w:tcBorders>
          </w:tcPr>
          <w:p w14:paraId="75BE796E" w14:textId="77777777" w:rsidR="000F11B4" w:rsidRDefault="000F11B4" w:rsidP="000F11B4">
            <w:pPr>
              <w:widowControl/>
              <w:spacing w:before="240" w:after="240"/>
              <w:ind w:firstLine="0"/>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Five subcutaneous injections of autologous mature dendritic cells pulsed with recombinant HPV 16 or 18 E7 protein were administered at 21-day intervals.</w:t>
            </w:r>
          </w:p>
        </w:tc>
        <w:tc>
          <w:tcPr>
            <w:tcW w:w="750" w:type="dxa"/>
            <w:tcBorders>
              <w:top w:val="nil"/>
              <w:left w:val="nil"/>
              <w:bottom w:val="nil"/>
              <w:right w:val="nil"/>
            </w:tcBorders>
          </w:tcPr>
          <w:p w14:paraId="27457A88"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nil"/>
              <w:left w:val="nil"/>
              <w:bottom w:val="nil"/>
              <w:right w:val="nil"/>
            </w:tcBorders>
          </w:tcPr>
          <w:p w14:paraId="2F7A79C4"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years and 6 months</w:t>
            </w:r>
          </w:p>
        </w:tc>
        <w:tc>
          <w:tcPr>
            <w:tcW w:w="1455" w:type="dxa"/>
            <w:tcBorders>
              <w:top w:val="nil"/>
              <w:left w:val="nil"/>
              <w:bottom w:val="nil"/>
              <w:right w:val="nil"/>
            </w:tcBorders>
          </w:tcPr>
          <w:p w14:paraId="089E1D30" w14:textId="0CE610FC"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1127B8">
              <w:rPr>
                <w:rFonts w:ascii="Times New Roman" w:eastAsia="Times New Roman" w:hAnsi="Times New Roman" w:cs="Times New Roman"/>
                <w:sz w:val="16"/>
                <w:szCs w:val="16"/>
              </w:rPr>
              <w:t>Yes</w:t>
            </w:r>
          </w:p>
        </w:tc>
      </w:tr>
      <w:tr w:rsidR="000F11B4" w14:paraId="1C6BC401" w14:textId="77777777" w:rsidTr="00495274">
        <w:trPr>
          <w:trHeight w:val="1465"/>
          <w:jc w:val="center"/>
        </w:trPr>
        <w:tc>
          <w:tcPr>
            <w:tcW w:w="1591" w:type="dxa"/>
            <w:tcBorders>
              <w:top w:val="single" w:sz="4" w:space="0" w:color="7F7F7F"/>
              <w:left w:val="nil"/>
              <w:bottom w:val="single" w:sz="4" w:space="0" w:color="7F7F7F"/>
              <w:right w:val="nil"/>
            </w:tcBorders>
          </w:tcPr>
          <w:p w14:paraId="0756C11D"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vertAlign w:val="superscript"/>
              </w:rPr>
            </w:pPr>
            <w:bookmarkStart w:id="9" w:name="_heading=h.3as4poj" w:colFirst="0" w:colLast="0"/>
            <w:bookmarkEnd w:id="9"/>
            <w:r>
              <w:rPr>
                <w:rFonts w:ascii="Times New Roman" w:eastAsia="Times New Roman" w:hAnsi="Times New Roman" w:cs="Times New Roman"/>
                <w:color w:val="000000"/>
                <w:sz w:val="16"/>
                <w:szCs w:val="16"/>
              </w:rPr>
              <w:t xml:space="preserve">Borysiewicz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1996</w:t>
            </w:r>
          </w:p>
        </w:tc>
        <w:tc>
          <w:tcPr>
            <w:tcW w:w="1245" w:type="dxa"/>
            <w:tcBorders>
              <w:top w:val="single" w:sz="4" w:space="0" w:color="7F7F7F"/>
              <w:left w:val="nil"/>
              <w:bottom w:val="single" w:sz="4" w:space="0" w:color="7F7F7F"/>
              <w:right w:val="nil"/>
            </w:tcBorders>
          </w:tcPr>
          <w:p w14:paraId="263B3C32"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I/II</w:t>
            </w:r>
          </w:p>
        </w:tc>
        <w:tc>
          <w:tcPr>
            <w:tcW w:w="1320" w:type="dxa"/>
            <w:tcBorders>
              <w:top w:val="single" w:sz="4" w:space="0" w:color="7F7F7F"/>
              <w:left w:val="nil"/>
              <w:bottom w:val="single" w:sz="4" w:space="0" w:color="7F7F7F"/>
              <w:right w:val="nil"/>
            </w:tcBorders>
          </w:tcPr>
          <w:p w14:paraId="498108A7"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TA-HPV</w:t>
            </w:r>
          </w:p>
          <w:p w14:paraId="7635DB3C"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p>
          <w:p w14:paraId="0B289492"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p>
        </w:tc>
        <w:tc>
          <w:tcPr>
            <w:tcW w:w="1200" w:type="dxa"/>
            <w:tcBorders>
              <w:top w:val="single" w:sz="4" w:space="0" w:color="7F7F7F"/>
              <w:left w:val="nil"/>
              <w:bottom w:val="single" w:sz="4" w:space="0" w:color="7F7F7F"/>
              <w:right w:val="nil"/>
            </w:tcBorders>
          </w:tcPr>
          <w:p w14:paraId="2ED85D9C"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3D8C08D5" w14:textId="77777777" w:rsidR="000F11B4" w:rsidRPr="00CF2679" w:rsidRDefault="000F11B4" w:rsidP="000F11B4">
            <w:pPr>
              <w:widowControl/>
              <w:spacing w:before="240" w:after="240"/>
              <w:ind w:firstLine="0"/>
              <w:contextualSpacing/>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Cervical Cancer due to HPV 16</w:t>
            </w:r>
          </w:p>
        </w:tc>
        <w:tc>
          <w:tcPr>
            <w:tcW w:w="1215" w:type="dxa"/>
            <w:tcBorders>
              <w:top w:val="single" w:sz="4" w:space="0" w:color="7F7F7F"/>
              <w:left w:val="nil"/>
              <w:bottom w:val="single" w:sz="4" w:space="0" w:color="7F7F7F"/>
              <w:right w:val="nil"/>
            </w:tcBorders>
          </w:tcPr>
          <w:p w14:paraId="403BA114" w14:textId="77777777" w:rsidR="000F11B4" w:rsidRDefault="000F11B4" w:rsidP="000F11B4">
            <w:pPr>
              <w:widowControl/>
              <w:ind w:hanging="2"/>
              <w:contextualSpacing/>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08 </w:t>
            </w:r>
            <w:r>
              <w:rPr>
                <w:rFonts w:ascii="Times New Roman" w:eastAsia="Times New Roman" w:hAnsi="Times New Roman" w:cs="Times New Roman"/>
                <w:sz w:val="16"/>
                <w:szCs w:val="16"/>
              </w:rPr>
              <w:t>Participants</w:t>
            </w:r>
          </w:p>
          <w:p w14:paraId="4A9F63F7"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391" w:type="dxa"/>
            <w:tcBorders>
              <w:top w:val="single" w:sz="4" w:space="0" w:color="7F7F7F"/>
              <w:left w:val="nil"/>
              <w:bottom w:val="single" w:sz="4" w:space="0" w:color="7F7F7F"/>
              <w:right w:val="nil"/>
            </w:tcBorders>
          </w:tcPr>
          <w:p w14:paraId="5FCAE38E"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Intramuscular</w:t>
            </w:r>
          </w:p>
        </w:tc>
        <w:tc>
          <w:tcPr>
            <w:tcW w:w="2628" w:type="dxa"/>
            <w:tcBorders>
              <w:top w:val="single" w:sz="4" w:space="0" w:color="7F7F7F"/>
              <w:left w:val="nil"/>
              <w:bottom w:val="single" w:sz="4" w:space="0" w:color="7F7F7F"/>
              <w:right w:val="nil"/>
            </w:tcBorders>
          </w:tcPr>
          <w:p w14:paraId="05889CDA"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Single dose of TA-HPV and kept under strict isolation to monitor local and systemic adverse effects, environmental shedding, and anti-E6/E7 immune responses.</w:t>
            </w:r>
          </w:p>
        </w:tc>
        <w:tc>
          <w:tcPr>
            <w:tcW w:w="750" w:type="dxa"/>
            <w:tcBorders>
              <w:top w:val="single" w:sz="4" w:space="0" w:color="7F7F7F"/>
              <w:left w:val="nil"/>
              <w:bottom w:val="single" w:sz="4" w:space="0" w:color="7F7F7F"/>
              <w:right w:val="nil"/>
            </w:tcBorders>
          </w:tcPr>
          <w:p w14:paraId="64F5F7A3"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single" w:sz="4" w:space="0" w:color="7F7F7F"/>
              <w:left w:val="nil"/>
              <w:bottom w:val="single" w:sz="4" w:space="0" w:color="7F7F7F"/>
              <w:right w:val="nil"/>
            </w:tcBorders>
          </w:tcPr>
          <w:p w14:paraId="4B2A1B01"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to 21 months</w:t>
            </w:r>
          </w:p>
          <w:p w14:paraId="295AD9B2" w14:textId="77777777" w:rsidR="000F11B4" w:rsidRDefault="000F11B4" w:rsidP="000F11B4">
            <w:pPr>
              <w:widowControl/>
              <w:ind w:hanging="2"/>
              <w:contextualSpacing/>
              <w:jc w:val="center"/>
              <w:rPr>
                <w:rFonts w:ascii="Times New Roman" w:eastAsia="Times New Roman" w:hAnsi="Times New Roman" w:cs="Times New Roman"/>
                <w:sz w:val="16"/>
                <w:szCs w:val="16"/>
              </w:rPr>
            </w:pPr>
          </w:p>
        </w:tc>
        <w:tc>
          <w:tcPr>
            <w:tcW w:w="1455" w:type="dxa"/>
            <w:tcBorders>
              <w:top w:val="single" w:sz="4" w:space="0" w:color="7F7F7F"/>
              <w:left w:val="nil"/>
              <w:bottom w:val="single" w:sz="4" w:space="0" w:color="7F7F7F"/>
              <w:right w:val="nil"/>
            </w:tcBorders>
          </w:tcPr>
          <w:p w14:paraId="43688965" w14:textId="71263EED"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1127B8">
              <w:rPr>
                <w:rFonts w:ascii="Times New Roman" w:eastAsia="Times New Roman" w:hAnsi="Times New Roman" w:cs="Times New Roman"/>
                <w:sz w:val="16"/>
                <w:szCs w:val="16"/>
              </w:rPr>
              <w:t>Yes</w:t>
            </w:r>
          </w:p>
        </w:tc>
      </w:tr>
    </w:tbl>
    <w:p w14:paraId="6D4B2BCF" w14:textId="77777777" w:rsidR="003E729F" w:rsidRDefault="003E729F">
      <w:pPr>
        <w:widowControl/>
        <w:spacing w:line="256" w:lineRule="auto"/>
        <w:ind w:hanging="2"/>
        <w:rPr>
          <w:rFonts w:ascii="Times New Roman" w:eastAsia="Times New Roman" w:hAnsi="Times New Roman" w:cs="Times New Roman"/>
          <w:color w:val="000000"/>
          <w:sz w:val="16"/>
          <w:szCs w:val="16"/>
        </w:rPr>
        <w:sectPr w:rsidR="003E729F">
          <w:pgSz w:w="16838" w:h="11906" w:orient="landscape"/>
          <w:pgMar w:top="1701" w:right="1701" w:bottom="1134" w:left="1134" w:header="709" w:footer="709" w:gutter="0"/>
          <w:cols w:space="720"/>
        </w:sectPr>
      </w:pPr>
    </w:p>
    <w:p w14:paraId="77DC8F0B" w14:textId="77777777" w:rsidR="003E729F" w:rsidRDefault="003E729F">
      <w:pPr>
        <w:tabs>
          <w:tab w:val="left" w:pos="2009"/>
        </w:tabs>
        <w:spacing w:line="360" w:lineRule="auto"/>
        <w:ind w:hanging="2"/>
        <w:jc w:val="both"/>
        <w:rPr>
          <w:rFonts w:ascii="Times New Roman" w:eastAsia="Times New Roman" w:hAnsi="Times New Roman" w:cs="Times New Roman"/>
        </w:rPr>
      </w:pPr>
    </w:p>
    <w:p w14:paraId="63689A19" w14:textId="77777777" w:rsidR="003E729F" w:rsidRDefault="007D06AE">
      <w:pPr>
        <w:tabs>
          <w:tab w:val="left" w:pos="2009"/>
        </w:tabs>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Regarding the treatment of oropharyngeal cancers using DNA therapeutic vaccines, six clinical trials (Aggarwal et al., 2023; Chandra et al., 2021; De Sousa et al., 2016; Aggarwal et al., 2019; Zandberg et al., 2015; Voskens et al., 2012), published between 2012 and 2023, involving a total of 132 participants, were identified and included. All studies demonstrated statistically significant clinical efficacy of the vaccines in suppressing oral HPV infection (Aggarwal et al., 2023; Chandra et al., 2021; De Sousa et al., 2016; Aggarwal et al., 2019; Zandberg et al., 2015; Voskens et al., 2012).</w:t>
      </w:r>
    </w:p>
    <w:p w14:paraId="3EEC89B9" w14:textId="77777777" w:rsidR="003E729F" w:rsidRPr="00CF2679" w:rsidRDefault="007D06AE">
      <w:pPr>
        <w:tabs>
          <w:tab w:val="left" w:pos="2009"/>
        </w:tabs>
        <w:spacing w:before="240" w:after="240" w:line="360" w:lineRule="auto"/>
        <w:ind w:firstLine="0"/>
        <w:jc w:val="both"/>
        <w:rPr>
          <w:rFonts w:ascii="Times New Roman" w:eastAsia="Times New Roman" w:hAnsi="Times New Roman" w:cs="Times New Roman"/>
          <w:lang w:val="it-IT"/>
        </w:rPr>
      </w:pPr>
      <w:r>
        <w:rPr>
          <w:rFonts w:ascii="Times New Roman" w:eastAsia="Times New Roman" w:hAnsi="Times New Roman" w:cs="Times New Roman"/>
        </w:rPr>
        <w:t xml:space="preserve">Clinical and histological responses induced by the vaccines were observed over a 2-year period. </w:t>
      </w:r>
      <w:r w:rsidRPr="00CF2679">
        <w:rPr>
          <w:rFonts w:ascii="Times New Roman" w:eastAsia="Times New Roman" w:hAnsi="Times New Roman" w:cs="Times New Roman"/>
          <w:lang w:val="it-IT"/>
        </w:rPr>
        <w:t>Vaccination resulted in increased E6/E7 antibody levels against HPV16 and HPV18 (p = 0.005 to 0.009). Adverse reactions at the injection site were reported, with only local erythema and pain being statistically significant (p = 0.005 to 0.007). A synthesis of studies on therapeutic vaccines expressing HPV16 E6/E7 oncoproteins in advanced oropharyngeal cancers is presented in Table 4.</w:t>
      </w:r>
    </w:p>
    <w:p w14:paraId="136C537A"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3DCB3DEC"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39134EF7"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34C93777"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2661B2FD"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0D1C56D3"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sectPr w:rsidR="003E729F" w:rsidRPr="00CF2679">
          <w:pgSz w:w="11906" w:h="16838"/>
          <w:pgMar w:top="1701" w:right="1134" w:bottom="1134" w:left="1701" w:header="709" w:footer="709" w:gutter="0"/>
          <w:cols w:space="720"/>
        </w:sectPr>
      </w:pPr>
    </w:p>
    <w:p w14:paraId="133B9800" w14:textId="77777777" w:rsidR="003E729F" w:rsidRPr="00CF2679" w:rsidRDefault="007D06AE">
      <w:pPr>
        <w:widowControl/>
        <w:spacing w:after="160" w:line="360" w:lineRule="auto"/>
        <w:ind w:hanging="2"/>
        <w:rPr>
          <w:rFonts w:ascii="Times New Roman" w:eastAsia="Times New Roman" w:hAnsi="Times New Roman" w:cs="Times New Roman"/>
          <w:color w:val="FF0000"/>
          <w:sz w:val="20"/>
          <w:szCs w:val="20"/>
          <w:lang w:val="it-IT"/>
        </w:rPr>
      </w:pPr>
      <w:bookmarkStart w:id="10" w:name="_heading=h.1pxezwc" w:colFirst="0" w:colLast="0"/>
      <w:bookmarkEnd w:id="10"/>
      <w:r w:rsidRPr="00CF2679">
        <w:rPr>
          <w:rFonts w:ascii="Times New Roman" w:eastAsia="Times New Roman" w:hAnsi="Times New Roman" w:cs="Times New Roman"/>
          <w:b/>
          <w:sz w:val="20"/>
          <w:szCs w:val="20"/>
          <w:lang w:val="it-IT"/>
        </w:rPr>
        <w:lastRenderedPageBreak/>
        <w:t xml:space="preserve">Table 4 – </w:t>
      </w:r>
      <w:r w:rsidRPr="00CF2679">
        <w:rPr>
          <w:rFonts w:ascii="Times New Roman" w:eastAsia="Times New Roman" w:hAnsi="Times New Roman" w:cs="Times New Roman"/>
          <w:sz w:val="20"/>
          <w:szCs w:val="20"/>
          <w:lang w:val="it-IT"/>
        </w:rPr>
        <w:t>Synthesis of studies on therapeutic vaccines expressing HPV 16 E6/E7 oncoproteins in advanced oropharyngeal cancers, highlighting information such as author, year of publication, study design, phase, vaccine, type, expressed oncoproteins, total sample, route of administration, protocol, adverse event, evaluation time, and main results.</w:t>
      </w:r>
    </w:p>
    <w:tbl>
      <w:tblPr>
        <w:tblStyle w:val="a2"/>
        <w:tblW w:w="14933" w:type="dxa"/>
        <w:jc w:val="center"/>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590"/>
        <w:gridCol w:w="1245"/>
        <w:gridCol w:w="1320"/>
        <w:gridCol w:w="1200"/>
        <w:gridCol w:w="1230"/>
        <w:gridCol w:w="1125"/>
        <w:gridCol w:w="1440"/>
        <w:gridCol w:w="2580"/>
        <w:gridCol w:w="840"/>
        <w:gridCol w:w="975"/>
        <w:gridCol w:w="1388"/>
      </w:tblGrid>
      <w:tr w:rsidR="003E729F" w:rsidRPr="0008667A" w14:paraId="6EC3E73B" w14:textId="77777777" w:rsidTr="007F662A">
        <w:trPr>
          <w:trHeight w:val="1061"/>
          <w:jc w:val="center"/>
        </w:trPr>
        <w:tc>
          <w:tcPr>
            <w:tcW w:w="1590" w:type="dxa"/>
            <w:tcBorders>
              <w:top w:val="single" w:sz="4" w:space="0" w:color="7F7F7F"/>
              <w:left w:val="nil"/>
              <w:bottom w:val="single" w:sz="4" w:space="0" w:color="7F7F7F"/>
              <w:right w:val="nil"/>
            </w:tcBorders>
          </w:tcPr>
          <w:p w14:paraId="7042E614"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Author/Year</w:t>
            </w:r>
          </w:p>
        </w:tc>
        <w:tc>
          <w:tcPr>
            <w:tcW w:w="1245" w:type="dxa"/>
            <w:tcBorders>
              <w:top w:val="single" w:sz="4" w:space="0" w:color="7F7F7F"/>
              <w:left w:val="nil"/>
              <w:bottom w:val="single" w:sz="4" w:space="0" w:color="7F7F7F"/>
              <w:right w:val="nil"/>
            </w:tcBorders>
          </w:tcPr>
          <w:p w14:paraId="5181824E"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Design/Phase</w:t>
            </w:r>
          </w:p>
        </w:tc>
        <w:tc>
          <w:tcPr>
            <w:tcW w:w="1320" w:type="dxa"/>
            <w:tcBorders>
              <w:top w:val="single" w:sz="4" w:space="0" w:color="7F7F7F"/>
              <w:left w:val="nil"/>
              <w:bottom w:val="single" w:sz="4" w:space="0" w:color="7F7F7F"/>
              <w:right w:val="nil"/>
            </w:tcBorders>
          </w:tcPr>
          <w:p w14:paraId="7070B9AF" w14:textId="77777777" w:rsidR="003E729F" w:rsidRDefault="007D06AE">
            <w:pPr>
              <w:widowControl/>
              <w:ind w:hanging="2"/>
              <w:contextualSpacing/>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Vaccine</w:t>
            </w:r>
          </w:p>
        </w:tc>
        <w:tc>
          <w:tcPr>
            <w:tcW w:w="1200" w:type="dxa"/>
            <w:tcBorders>
              <w:top w:val="single" w:sz="4" w:space="0" w:color="7F7F7F"/>
              <w:left w:val="nil"/>
              <w:bottom w:val="single" w:sz="4" w:space="0" w:color="7F7F7F"/>
              <w:right w:val="nil"/>
            </w:tcBorders>
          </w:tcPr>
          <w:p w14:paraId="2F905620"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Expressed Oncoprotein</w:t>
            </w:r>
          </w:p>
        </w:tc>
        <w:tc>
          <w:tcPr>
            <w:tcW w:w="1230" w:type="dxa"/>
            <w:tcBorders>
              <w:top w:val="single" w:sz="4" w:space="0" w:color="7F7F7F"/>
              <w:left w:val="nil"/>
              <w:bottom w:val="single" w:sz="4" w:space="0" w:color="7F7F7F"/>
              <w:right w:val="nil"/>
            </w:tcBorders>
          </w:tcPr>
          <w:p w14:paraId="4F44E4AA" w14:textId="77777777" w:rsidR="003E729F" w:rsidRDefault="007D06AE">
            <w:pPr>
              <w:widowControl/>
              <w:ind w:hanging="2"/>
              <w:contextualSpacing/>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Context</w:t>
            </w:r>
          </w:p>
        </w:tc>
        <w:tc>
          <w:tcPr>
            <w:tcW w:w="1125" w:type="dxa"/>
            <w:tcBorders>
              <w:top w:val="single" w:sz="4" w:space="0" w:color="7F7F7F"/>
              <w:left w:val="nil"/>
              <w:bottom w:val="single" w:sz="4" w:space="0" w:color="7F7F7F"/>
              <w:right w:val="nil"/>
            </w:tcBorders>
          </w:tcPr>
          <w:p w14:paraId="21051BD6"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Sample</w:t>
            </w:r>
          </w:p>
          <w:p w14:paraId="5C099E8F" w14:textId="77777777" w:rsidR="003E729F" w:rsidRDefault="003E729F">
            <w:pPr>
              <w:widowControl/>
              <w:ind w:hanging="2"/>
              <w:contextualSpacing/>
              <w:jc w:val="center"/>
              <w:rPr>
                <w:rFonts w:ascii="Times New Roman" w:eastAsia="Times New Roman" w:hAnsi="Times New Roman" w:cs="Times New Roman"/>
                <w:b/>
                <w:sz w:val="16"/>
                <w:szCs w:val="16"/>
              </w:rPr>
            </w:pPr>
          </w:p>
        </w:tc>
        <w:tc>
          <w:tcPr>
            <w:tcW w:w="1440" w:type="dxa"/>
            <w:tcBorders>
              <w:top w:val="single" w:sz="4" w:space="0" w:color="7F7F7F"/>
              <w:left w:val="nil"/>
              <w:bottom w:val="single" w:sz="4" w:space="0" w:color="7F7F7F"/>
              <w:right w:val="nil"/>
            </w:tcBorders>
          </w:tcPr>
          <w:p w14:paraId="7814A82A"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Route of Administration</w:t>
            </w:r>
          </w:p>
        </w:tc>
        <w:tc>
          <w:tcPr>
            <w:tcW w:w="2580" w:type="dxa"/>
            <w:tcBorders>
              <w:top w:val="single" w:sz="4" w:space="0" w:color="7F7F7F"/>
              <w:left w:val="nil"/>
              <w:bottom w:val="single" w:sz="4" w:space="0" w:color="7F7F7F"/>
              <w:right w:val="nil"/>
            </w:tcBorders>
          </w:tcPr>
          <w:p w14:paraId="4B8459C1" w14:textId="77777777" w:rsidR="003E729F" w:rsidRDefault="007D06AE">
            <w:pPr>
              <w:widowControl/>
              <w:ind w:hanging="2"/>
              <w:contextualSpacing/>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Protocol</w:t>
            </w:r>
          </w:p>
        </w:tc>
        <w:tc>
          <w:tcPr>
            <w:tcW w:w="840" w:type="dxa"/>
            <w:tcBorders>
              <w:top w:val="single" w:sz="4" w:space="0" w:color="7F7F7F"/>
              <w:left w:val="nil"/>
              <w:bottom w:val="single" w:sz="4" w:space="0" w:color="7F7F7F"/>
              <w:right w:val="nil"/>
            </w:tcBorders>
          </w:tcPr>
          <w:p w14:paraId="2F741CC0" w14:textId="77777777" w:rsidR="003E729F" w:rsidRDefault="007D06AE">
            <w:pPr>
              <w:widowControl/>
              <w:spacing w:before="240" w:after="240"/>
              <w:ind w:firstLine="0"/>
              <w:contextualSpacing/>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Severe Adverse Event</w:t>
            </w:r>
          </w:p>
        </w:tc>
        <w:tc>
          <w:tcPr>
            <w:tcW w:w="975" w:type="dxa"/>
            <w:tcBorders>
              <w:top w:val="single" w:sz="4" w:space="0" w:color="7F7F7F"/>
              <w:left w:val="nil"/>
              <w:bottom w:val="single" w:sz="4" w:space="0" w:color="7F7F7F"/>
              <w:right w:val="nil"/>
            </w:tcBorders>
          </w:tcPr>
          <w:p w14:paraId="147FD136" w14:textId="77777777" w:rsidR="003E729F" w:rsidRDefault="007D06AE">
            <w:pPr>
              <w:widowControl/>
              <w:ind w:hanging="2"/>
              <w:contextualSpacing/>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Evaluation Time</w:t>
            </w:r>
          </w:p>
        </w:tc>
        <w:tc>
          <w:tcPr>
            <w:tcW w:w="1388" w:type="dxa"/>
            <w:tcBorders>
              <w:top w:val="single" w:sz="4" w:space="0" w:color="7F7F7F"/>
              <w:left w:val="nil"/>
              <w:bottom w:val="single" w:sz="4" w:space="0" w:color="7F7F7F"/>
              <w:right w:val="nil"/>
            </w:tcBorders>
          </w:tcPr>
          <w:p w14:paraId="0689C7D5" w14:textId="77777777" w:rsidR="003E729F" w:rsidRPr="00CF2679" w:rsidRDefault="007D06AE" w:rsidP="007F662A">
            <w:pPr>
              <w:widowControl/>
              <w:spacing w:before="240" w:after="240"/>
              <w:ind w:firstLine="0"/>
              <w:contextualSpacing/>
              <w:jc w:val="center"/>
              <w:rPr>
                <w:rFonts w:ascii="Times New Roman" w:eastAsia="Times New Roman" w:hAnsi="Times New Roman" w:cs="Times New Roman"/>
                <w:b/>
                <w:sz w:val="16"/>
                <w:szCs w:val="16"/>
                <w:lang w:val="de-DE"/>
              </w:rPr>
            </w:pPr>
            <w:r w:rsidRPr="00CF2679">
              <w:rPr>
                <w:rFonts w:ascii="Times New Roman" w:eastAsia="Times New Roman" w:hAnsi="Times New Roman" w:cs="Times New Roman"/>
                <w:b/>
                <w:sz w:val="16"/>
                <w:szCs w:val="16"/>
                <w:lang w:val="de-DE"/>
              </w:rPr>
              <w:t>Immune Response Generation against the Antigen</w:t>
            </w:r>
          </w:p>
        </w:tc>
      </w:tr>
      <w:tr w:rsidR="000F11B4" w14:paraId="485B3931" w14:textId="77777777">
        <w:trPr>
          <w:trHeight w:val="543"/>
          <w:jc w:val="center"/>
        </w:trPr>
        <w:tc>
          <w:tcPr>
            <w:tcW w:w="1590" w:type="dxa"/>
            <w:tcBorders>
              <w:top w:val="single" w:sz="4" w:space="0" w:color="7F7F7F"/>
              <w:left w:val="nil"/>
              <w:bottom w:val="single" w:sz="4" w:space="0" w:color="7F7F7F"/>
              <w:right w:val="nil"/>
            </w:tcBorders>
          </w:tcPr>
          <w:p w14:paraId="6C8AACC1"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vertAlign w:val="superscript"/>
              </w:rPr>
            </w:pPr>
            <w:bookmarkStart w:id="11" w:name="_heading=h.49x2ik5" w:colFirst="0" w:colLast="0"/>
            <w:bookmarkEnd w:id="11"/>
            <w:r>
              <w:rPr>
                <w:rFonts w:ascii="Times New Roman" w:eastAsia="Times New Roman" w:hAnsi="Times New Roman" w:cs="Times New Roman"/>
                <w:sz w:val="18"/>
                <w:szCs w:val="18"/>
              </w:rPr>
              <w:t xml:space="preserve">Aggarwal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2023</w:t>
            </w:r>
          </w:p>
        </w:tc>
        <w:tc>
          <w:tcPr>
            <w:tcW w:w="1245" w:type="dxa"/>
            <w:tcBorders>
              <w:top w:val="single" w:sz="4" w:space="0" w:color="7F7F7F"/>
              <w:left w:val="nil"/>
              <w:bottom w:val="single" w:sz="4" w:space="0" w:color="7F7F7F"/>
              <w:right w:val="nil"/>
            </w:tcBorders>
          </w:tcPr>
          <w:p w14:paraId="1F125EBA"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I/II</w:t>
            </w:r>
          </w:p>
        </w:tc>
        <w:tc>
          <w:tcPr>
            <w:tcW w:w="1320" w:type="dxa"/>
            <w:tcBorders>
              <w:top w:val="single" w:sz="4" w:space="0" w:color="7F7F7F"/>
              <w:left w:val="nil"/>
              <w:bottom w:val="single" w:sz="4" w:space="0" w:color="7F7F7F"/>
              <w:right w:val="nil"/>
            </w:tcBorders>
          </w:tcPr>
          <w:p w14:paraId="1EC8CDBB"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MEDI0457</w:t>
            </w:r>
          </w:p>
          <w:p w14:paraId="18892F57"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p>
        </w:tc>
        <w:tc>
          <w:tcPr>
            <w:tcW w:w="1200" w:type="dxa"/>
            <w:tcBorders>
              <w:top w:val="single" w:sz="4" w:space="0" w:color="7F7F7F"/>
              <w:left w:val="nil"/>
              <w:bottom w:val="single" w:sz="4" w:space="0" w:color="7F7F7F"/>
              <w:right w:val="nil"/>
            </w:tcBorders>
          </w:tcPr>
          <w:p w14:paraId="61E9DD1E"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63D4B0CC"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Oropharynx, Hypopharynx, and Oral Cavity (Recurrent)</w:t>
            </w:r>
          </w:p>
        </w:tc>
        <w:tc>
          <w:tcPr>
            <w:tcW w:w="1125" w:type="dxa"/>
            <w:tcBorders>
              <w:top w:val="single" w:sz="4" w:space="0" w:color="7F7F7F"/>
              <w:left w:val="nil"/>
              <w:bottom w:val="single" w:sz="4" w:space="0" w:color="7F7F7F"/>
              <w:right w:val="nil"/>
            </w:tcBorders>
          </w:tcPr>
          <w:p w14:paraId="718F6756"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29 participants</w:t>
            </w:r>
          </w:p>
        </w:tc>
        <w:tc>
          <w:tcPr>
            <w:tcW w:w="1440" w:type="dxa"/>
            <w:tcBorders>
              <w:top w:val="single" w:sz="4" w:space="0" w:color="7F7F7F"/>
              <w:left w:val="nil"/>
              <w:bottom w:val="single" w:sz="4" w:space="0" w:color="7F7F7F"/>
              <w:right w:val="nil"/>
            </w:tcBorders>
          </w:tcPr>
          <w:p w14:paraId="257C374B"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29620533"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MEDI0457 7 mg intramuscularly with electroporation at weeks 1, 3, 7, and 12, followed by durvalumab 1,500 mg intravenously at weeks 4, 8, and 12, and every 4 weeks thereafter until disease progression or unacceptable toxicity.</w:t>
            </w:r>
          </w:p>
        </w:tc>
        <w:tc>
          <w:tcPr>
            <w:tcW w:w="840" w:type="dxa"/>
            <w:tcBorders>
              <w:top w:val="single" w:sz="4" w:space="0" w:color="7F7F7F"/>
              <w:left w:val="nil"/>
              <w:bottom w:val="single" w:sz="4" w:space="0" w:color="7F7F7F"/>
              <w:right w:val="nil"/>
            </w:tcBorders>
          </w:tcPr>
          <w:p w14:paraId="306E3DE9" w14:textId="16367932"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1049D8F5"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16 </w:t>
            </w:r>
            <w:r>
              <w:rPr>
                <w:rFonts w:ascii="Times New Roman" w:eastAsia="Times New Roman" w:hAnsi="Times New Roman" w:cs="Times New Roman"/>
                <w:sz w:val="16"/>
                <w:szCs w:val="16"/>
              </w:rPr>
              <w:t>Weeks</w:t>
            </w:r>
          </w:p>
        </w:tc>
        <w:tc>
          <w:tcPr>
            <w:tcW w:w="1388" w:type="dxa"/>
            <w:tcBorders>
              <w:top w:val="single" w:sz="4" w:space="0" w:color="7F7F7F"/>
              <w:left w:val="nil"/>
              <w:bottom w:val="single" w:sz="4" w:space="0" w:color="7F7F7F"/>
              <w:right w:val="nil"/>
            </w:tcBorders>
          </w:tcPr>
          <w:p w14:paraId="7C14E327" w14:textId="400F01CC"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956E8D">
              <w:rPr>
                <w:rFonts w:ascii="Times New Roman" w:eastAsia="Times New Roman" w:hAnsi="Times New Roman" w:cs="Times New Roman"/>
                <w:sz w:val="16"/>
                <w:szCs w:val="16"/>
              </w:rPr>
              <w:t>Yes</w:t>
            </w:r>
          </w:p>
        </w:tc>
      </w:tr>
      <w:tr w:rsidR="000F11B4" w14:paraId="49AE67F5" w14:textId="77777777">
        <w:trPr>
          <w:trHeight w:val="543"/>
          <w:jc w:val="center"/>
        </w:trPr>
        <w:tc>
          <w:tcPr>
            <w:tcW w:w="1590" w:type="dxa"/>
            <w:tcBorders>
              <w:top w:val="single" w:sz="4" w:space="0" w:color="7F7F7F"/>
              <w:left w:val="nil"/>
              <w:bottom w:val="single" w:sz="4" w:space="0" w:color="7F7F7F"/>
              <w:right w:val="nil"/>
            </w:tcBorders>
          </w:tcPr>
          <w:p w14:paraId="6EADE789" w14:textId="77777777" w:rsidR="000F11B4" w:rsidRDefault="000F11B4" w:rsidP="000F11B4">
            <w:pPr>
              <w:widowControl/>
              <w:ind w:hanging="2"/>
              <w:contextualSpacing/>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Chandra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2021</w:t>
            </w:r>
          </w:p>
        </w:tc>
        <w:tc>
          <w:tcPr>
            <w:tcW w:w="1245" w:type="dxa"/>
            <w:tcBorders>
              <w:top w:val="single" w:sz="4" w:space="0" w:color="7F7F7F"/>
              <w:left w:val="nil"/>
              <w:bottom w:val="single" w:sz="4" w:space="0" w:color="7F7F7F"/>
              <w:right w:val="nil"/>
            </w:tcBorders>
          </w:tcPr>
          <w:p w14:paraId="209871B3"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1320" w:type="dxa"/>
            <w:tcBorders>
              <w:top w:val="single" w:sz="4" w:space="0" w:color="7F7F7F"/>
              <w:left w:val="nil"/>
              <w:bottom w:val="single" w:sz="4" w:space="0" w:color="7F7F7F"/>
              <w:right w:val="nil"/>
            </w:tcBorders>
          </w:tcPr>
          <w:p w14:paraId="134EAE7B"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AMV002 DNA</w:t>
            </w:r>
          </w:p>
        </w:tc>
        <w:tc>
          <w:tcPr>
            <w:tcW w:w="1200" w:type="dxa"/>
            <w:tcBorders>
              <w:top w:val="single" w:sz="4" w:space="0" w:color="7F7F7F"/>
              <w:left w:val="nil"/>
              <w:bottom w:val="single" w:sz="4" w:space="0" w:color="7F7F7F"/>
              <w:right w:val="nil"/>
            </w:tcBorders>
          </w:tcPr>
          <w:p w14:paraId="4C885EFA"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26B082CD"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(Recurrent)</w:t>
            </w:r>
          </w:p>
          <w:p w14:paraId="5C96AE1D" w14:textId="77777777" w:rsidR="000F11B4" w:rsidRDefault="000F11B4" w:rsidP="000F11B4">
            <w:pPr>
              <w:widowControl/>
              <w:ind w:hanging="2"/>
              <w:contextualSpacing/>
              <w:jc w:val="center"/>
              <w:rPr>
                <w:rFonts w:ascii="Times New Roman" w:eastAsia="Times New Roman" w:hAnsi="Times New Roman" w:cs="Times New Roman"/>
                <w:sz w:val="18"/>
                <w:szCs w:val="18"/>
              </w:rPr>
            </w:pPr>
          </w:p>
        </w:tc>
        <w:tc>
          <w:tcPr>
            <w:tcW w:w="1125" w:type="dxa"/>
            <w:tcBorders>
              <w:top w:val="single" w:sz="4" w:space="0" w:color="7F7F7F"/>
              <w:left w:val="nil"/>
              <w:bottom w:val="single" w:sz="4" w:space="0" w:color="7F7F7F"/>
              <w:right w:val="nil"/>
            </w:tcBorders>
          </w:tcPr>
          <w:p w14:paraId="1BA27EDB"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 participants</w:t>
            </w:r>
          </w:p>
        </w:tc>
        <w:tc>
          <w:tcPr>
            <w:tcW w:w="1440" w:type="dxa"/>
            <w:tcBorders>
              <w:top w:val="single" w:sz="4" w:space="0" w:color="7F7F7F"/>
              <w:left w:val="nil"/>
              <w:bottom w:val="single" w:sz="4" w:space="0" w:color="7F7F7F"/>
              <w:right w:val="nil"/>
            </w:tcBorders>
          </w:tcPr>
          <w:p w14:paraId="43E955C0"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Intradermal</w:t>
            </w:r>
          </w:p>
        </w:tc>
        <w:tc>
          <w:tcPr>
            <w:tcW w:w="2580" w:type="dxa"/>
            <w:tcBorders>
              <w:top w:val="single" w:sz="4" w:space="0" w:color="7F7F7F"/>
              <w:left w:val="nil"/>
              <w:bottom w:val="single" w:sz="4" w:space="0" w:color="7F7F7F"/>
              <w:right w:val="nil"/>
            </w:tcBorders>
          </w:tcPr>
          <w:p w14:paraId="698B7772" w14:textId="77777777" w:rsidR="000F11B4" w:rsidRPr="00CF2679" w:rsidRDefault="000F11B4" w:rsidP="000F11B4">
            <w:pPr>
              <w:widowControl/>
              <w:ind w:hanging="2"/>
              <w:contextualSpacing/>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Group 1: 0.25 mg/dose, Group 2: 1 mg/dose, Group 3: 4 mg/dose. AMV002 was administered intradermally on days 0, 28, and 56.</w:t>
            </w:r>
            <w:r w:rsidRPr="00CF2679">
              <w:rPr>
                <w:rFonts w:ascii="Times New Roman" w:eastAsia="Times New Roman" w:hAnsi="Times New Roman" w:cs="Times New Roman"/>
                <w:color w:val="000000"/>
                <w:sz w:val="16"/>
                <w:szCs w:val="16"/>
                <w:lang w:val="de-DE"/>
              </w:rPr>
              <w:t> </w:t>
            </w:r>
          </w:p>
        </w:tc>
        <w:tc>
          <w:tcPr>
            <w:tcW w:w="840" w:type="dxa"/>
            <w:tcBorders>
              <w:top w:val="single" w:sz="4" w:space="0" w:color="7F7F7F"/>
              <w:left w:val="nil"/>
              <w:bottom w:val="single" w:sz="4" w:space="0" w:color="7F7F7F"/>
              <w:right w:val="nil"/>
            </w:tcBorders>
          </w:tcPr>
          <w:p w14:paraId="2672424F" w14:textId="1D67014B"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573BDE">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086687C6"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84 </w:t>
            </w:r>
            <w:r>
              <w:rPr>
                <w:rFonts w:ascii="Times New Roman" w:eastAsia="Times New Roman" w:hAnsi="Times New Roman" w:cs="Times New Roman"/>
                <w:sz w:val="16"/>
                <w:szCs w:val="16"/>
              </w:rPr>
              <w:t>days</w:t>
            </w:r>
          </w:p>
        </w:tc>
        <w:tc>
          <w:tcPr>
            <w:tcW w:w="1388" w:type="dxa"/>
            <w:tcBorders>
              <w:top w:val="single" w:sz="4" w:space="0" w:color="7F7F7F"/>
              <w:left w:val="nil"/>
              <w:bottom w:val="single" w:sz="4" w:space="0" w:color="7F7F7F"/>
              <w:right w:val="nil"/>
            </w:tcBorders>
          </w:tcPr>
          <w:p w14:paraId="60737DCF" w14:textId="0B9CF599"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956E8D">
              <w:rPr>
                <w:rFonts w:ascii="Times New Roman" w:eastAsia="Times New Roman" w:hAnsi="Times New Roman" w:cs="Times New Roman"/>
                <w:sz w:val="16"/>
                <w:szCs w:val="16"/>
              </w:rPr>
              <w:t>Yes</w:t>
            </w:r>
          </w:p>
        </w:tc>
      </w:tr>
      <w:tr w:rsidR="000F11B4" w14:paraId="2F42018A" w14:textId="77777777">
        <w:trPr>
          <w:trHeight w:val="543"/>
          <w:jc w:val="center"/>
        </w:trPr>
        <w:tc>
          <w:tcPr>
            <w:tcW w:w="1590" w:type="dxa"/>
            <w:tcBorders>
              <w:top w:val="single" w:sz="4" w:space="0" w:color="7F7F7F"/>
              <w:left w:val="nil"/>
              <w:bottom w:val="single" w:sz="4" w:space="0" w:color="7F7F7F"/>
              <w:right w:val="nil"/>
            </w:tcBorders>
          </w:tcPr>
          <w:p w14:paraId="42D70236" w14:textId="77777777" w:rsidR="000F11B4" w:rsidRDefault="000F11B4" w:rsidP="000F11B4">
            <w:pPr>
              <w:widowControl/>
              <w:ind w:hanging="2"/>
              <w:contextualSpacing/>
              <w:jc w:val="center"/>
              <w:rPr>
                <w:rFonts w:ascii="Times New Roman" w:eastAsia="Times New Roman" w:hAnsi="Times New Roman" w:cs="Times New Roman"/>
                <w:sz w:val="18"/>
                <w:szCs w:val="18"/>
                <w:vertAlign w:val="superscript"/>
              </w:rPr>
            </w:pPr>
            <w:bookmarkStart w:id="12" w:name="_heading=h.2p2csry" w:colFirst="0" w:colLast="0"/>
            <w:bookmarkEnd w:id="12"/>
            <w:r>
              <w:rPr>
                <w:rFonts w:ascii="Times New Roman" w:eastAsia="Times New Roman" w:hAnsi="Times New Roman" w:cs="Times New Roman"/>
                <w:sz w:val="18"/>
                <w:szCs w:val="18"/>
              </w:rPr>
              <w:t xml:space="preserve">De Sousa </w:t>
            </w:r>
            <w:r>
              <w:rPr>
                <w:rFonts w:ascii="Times New Roman" w:eastAsia="Times New Roman" w:hAnsi="Times New Roman" w:cs="Times New Roman"/>
                <w:i/>
                <w:sz w:val="18"/>
                <w:szCs w:val="18"/>
              </w:rPr>
              <w:t xml:space="preserve">et al., </w:t>
            </w:r>
            <w:r>
              <w:rPr>
                <w:rFonts w:ascii="Times New Roman" w:eastAsia="Times New Roman" w:hAnsi="Times New Roman" w:cs="Times New Roman"/>
                <w:sz w:val="18"/>
                <w:szCs w:val="18"/>
              </w:rPr>
              <w:t>2016</w:t>
            </w:r>
          </w:p>
        </w:tc>
        <w:tc>
          <w:tcPr>
            <w:tcW w:w="1245" w:type="dxa"/>
            <w:tcBorders>
              <w:top w:val="single" w:sz="4" w:space="0" w:color="7F7F7F"/>
              <w:left w:val="nil"/>
              <w:bottom w:val="single" w:sz="4" w:space="0" w:color="7F7F7F"/>
              <w:right w:val="nil"/>
            </w:tcBorders>
          </w:tcPr>
          <w:p w14:paraId="4D7CB426"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
        </w:tc>
        <w:tc>
          <w:tcPr>
            <w:tcW w:w="1320" w:type="dxa"/>
            <w:tcBorders>
              <w:top w:val="single" w:sz="4" w:space="0" w:color="7F7F7F"/>
              <w:left w:val="nil"/>
              <w:bottom w:val="single" w:sz="4" w:space="0" w:color="7F7F7F"/>
              <w:right w:val="nil"/>
            </w:tcBorders>
          </w:tcPr>
          <w:p w14:paraId="4417EA2D"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ISA101</w:t>
            </w:r>
          </w:p>
        </w:tc>
        <w:tc>
          <w:tcPr>
            <w:tcW w:w="1200" w:type="dxa"/>
            <w:tcBorders>
              <w:top w:val="single" w:sz="4" w:space="0" w:color="7F7F7F"/>
              <w:left w:val="nil"/>
              <w:bottom w:val="single" w:sz="4" w:space="0" w:color="7F7F7F"/>
              <w:right w:val="nil"/>
            </w:tcBorders>
          </w:tcPr>
          <w:p w14:paraId="647F880D"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 E7</w:t>
            </w:r>
          </w:p>
        </w:tc>
        <w:tc>
          <w:tcPr>
            <w:tcW w:w="1230" w:type="dxa"/>
            <w:tcBorders>
              <w:top w:val="single" w:sz="4" w:space="0" w:color="7F7F7F"/>
              <w:left w:val="nil"/>
              <w:bottom w:val="single" w:sz="4" w:space="0" w:color="7F7F7F"/>
              <w:right w:val="nil"/>
            </w:tcBorders>
          </w:tcPr>
          <w:p w14:paraId="0B935469"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(Recurrent)</w:t>
            </w:r>
          </w:p>
        </w:tc>
        <w:tc>
          <w:tcPr>
            <w:tcW w:w="1125" w:type="dxa"/>
            <w:tcBorders>
              <w:top w:val="single" w:sz="4" w:space="0" w:color="7F7F7F"/>
              <w:left w:val="nil"/>
              <w:bottom w:val="single" w:sz="4" w:space="0" w:color="7F7F7F"/>
              <w:right w:val="nil"/>
            </w:tcBorders>
          </w:tcPr>
          <w:p w14:paraId="2E19F306"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participants</w:t>
            </w:r>
          </w:p>
        </w:tc>
        <w:tc>
          <w:tcPr>
            <w:tcW w:w="1440" w:type="dxa"/>
            <w:tcBorders>
              <w:top w:val="single" w:sz="4" w:space="0" w:color="7F7F7F"/>
              <w:left w:val="nil"/>
              <w:bottom w:val="single" w:sz="4" w:space="0" w:color="7F7F7F"/>
              <w:right w:val="nil"/>
            </w:tcBorders>
          </w:tcPr>
          <w:p w14:paraId="348CED78" w14:textId="77777777" w:rsidR="000F11B4" w:rsidRDefault="000F11B4" w:rsidP="000F11B4">
            <w:pPr>
              <w:widowControl/>
              <w:spacing w:before="240" w:after="24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Subcutaneous</w:t>
            </w:r>
          </w:p>
        </w:tc>
        <w:tc>
          <w:tcPr>
            <w:tcW w:w="2580" w:type="dxa"/>
            <w:tcBorders>
              <w:top w:val="single" w:sz="4" w:space="0" w:color="7F7F7F"/>
              <w:left w:val="nil"/>
              <w:bottom w:val="single" w:sz="4" w:space="0" w:color="7F7F7F"/>
              <w:right w:val="nil"/>
            </w:tcBorders>
          </w:tcPr>
          <w:p w14:paraId="1D7EE897" w14:textId="77777777" w:rsidR="000F11B4" w:rsidRPr="00CF2679" w:rsidRDefault="000F11B4" w:rsidP="000F11B4">
            <w:pPr>
              <w:widowControl/>
              <w:ind w:hanging="2"/>
              <w:contextualSpacing/>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(100 µg/peptide) on days 1, 22, and 50, and nivolumab 3 mg/kg every 2 weeks starting on day 8.</w:t>
            </w:r>
          </w:p>
        </w:tc>
        <w:tc>
          <w:tcPr>
            <w:tcW w:w="840" w:type="dxa"/>
            <w:tcBorders>
              <w:top w:val="single" w:sz="4" w:space="0" w:color="7F7F7F"/>
              <w:left w:val="nil"/>
              <w:bottom w:val="single" w:sz="4" w:space="0" w:color="7F7F7F"/>
              <w:right w:val="nil"/>
            </w:tcBorders>
          </w:tcPr>
          <w:p w14:paraId="28ADB416" w14:textId="612E82D8"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573BDE">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2AE2718E"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Pr>
                <w:rFonts w:ascii="Times New Roman" w:eastAsia="Times New Roman" w:hAnsi="Times New Roman" w:cs="Times New Roman"/>
                <w:sz w:val="16"/>
                <w:szCs w:val="16"/>
              </w:rPr>
              <w:t>year</w:t>
            </w:r>
          </w:p>
        </w:tc>
        <w:tc>
          <w:tcPr>
            <w:tcW w:w="1388" w:type="dxa"/>
            <w:tcBorders>
              <w:top w:val="single" w:sz="4" w:space="0" w:color="7F7F7F"/>
              <w:left w:val="nil"/>
              <w:bottom w:val="single" w:sz="4" w:space="0" w:color="7F7F7F"/>
              <w:right w:val="nil"/>
            </w:tcBorders>
          </w:tcPr>
          <w:p w14:paraId="4C2B2BF4" w14:textId="0B62C6DB"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956E8D">
              <w:rPr>
                <w:rFonts w:ascii="Times New Roman" w:eastAsia="Times New Roman" w:hAnsi="Times New Roman" w:cs="Times New Roman"/>
                <w:sz w:val="16"/>
                <w:szCs w:val="16"/>
              </w:rPr>
              <w:t>Yes</w:t>
            </w:r>
          </w:p>
        </w:tc>
      </w:tr>
      <w:tr w:rsidR="000F11B4" w14:paraId="3AD0741A" w14:textId="77777777">
        <w:trPr>
          <w:trHeight w:val="1550"/>
          <w:jc w:val="center"/>
        </w:trPr>
        <w:tc>
          <w:tcPr>
            <w:tcW w:w="1590" w:type="dxa"/>
            <w:tcBorders>
              <w:top w:val="single" w:sz="4" w:space="0" w:color="7F7F7F"/>
              <w:left w:val="nil"/>
              <w:bottom w:val="single" w:sz="4" w:space="0" w:color="7F7F7F"/>
              <w:right w:val="nil"/>
            </w:tcBorders>
          </w:tcPr>
          <w:p w14:paraId="1241D311" w14:textId="77777777" w:rsidR="000F11B4" w:rsidRDefault="000F11B4" w:rsidP="000F11B4">
            <w:pPr>
              <w:widowControl/>
              <w:ind w:hanging="2"/>
              <w:contextualSpacing/>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Aggarwal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2019</w:t>
            </w:r>
          </w:p>
        </w:tc>
        <w:tc>
          <w:tcPr>
            <w:tcW w:w="1245" w:type="dxa"/>
            <w:tcBorders>
              <w:top w:val="single" w:sz="4" w:space="0" w:color="7F7F7F"/>
              <w:left w:val="nil"/>
              <w:bottom w:val="single" w:sz="4" w:space="0" w:color="7F7F7F"/>
              <w:right w:val="nil"/>
            </w:tcBorders>
          </w:tcPr>
          <w:p w14:paraId="024AF50B"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
        </w:tc>
        <w:tc>
          <w:tcPr>
            <w:tcW w:w="1320" w:type="dxa"/>
            <w:tcBorders>
              <w:top w:val="single" w:sz="4" w:space="0" w:color="7F7F7F"/>
              <w:left w:val="nil"/>
              <w:bottom w:val="single" w:sz="4" w:space="0" w:color="7F7F7F"/>
              <w:right w:val="nil"/>
            </w:tcBorders>
          </w:tcPr>
          <w:p w14:paraId="10A74D83"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MEDI0457</w:t>
            </w:r>
          </w:p>
          <w:p w14:paraId="7D555C00" w14:textId="77777777" w:rsidR="000F11B4" w:rsidRDefault="000F11B4" w:rsidP="000F11B4">
            <w:pPr>
              <w:ind w:hanging="2"/>
              <w:contextualSpacing/>
              <w:jc w:val="center"/>
              <w:rPr>
                <w:rFonts w:ascii="Times New Roman" w:eastAsia="Times New Roman" w:hAnsi="Times New Roman" w:cs="Times New Roman"/>
                <w:sz w:val="18"/>
                <w:szCs w:val="18"/>
              </w:rPr>
            </w:pPr>
          </w:p>
        </w:tc>
        <w:tc>
          <w:tcPr>
            <w:tcW w:w="1200" w:type="dxa"/>
            <w:tcBorders>
              <w:top w:val="single" w:sz="4" w:space="0" w:color="7F7F7F"/>
              <w:left w:val="nil"/>
              <w:bottom w:val="single" w:sz="4" w:space="0" w:color="7F7F7F"/>
              <w:right w:val="nil"/>
            </w:tcBorders>
          </w:tcPr>
          <w:p w14:paraId="4EB772CC"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6EBBCD41" w14:textId="77777777" w:rsidR="000F11B4" w:rsidRDefault="000F11B4" w:rsidP="000F11B4">
            <w:pPr>
              <w:spacing w:before="240" w:after="24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Hypopharynx, and Oral Cavity (Recurrent)</w:t>
            </w:r>
          </w:p>
          <w:p w14:paraId="35BE2BF4" w14:textId="77777777" w:rsidR="000F11B4" w:rsidRDefault="000F11B4" w:rsidP="000F11B4">
            <w:pPr>
              <w:ind w:hanging="2"/>
              <w:contextualSpacing/>
              <w:jc w:val="center"/>
              <w:rPr>
                <w:rFonts w:ascii="Times New Roman" w:eastAsia="Times New Roman" w:hAnsi="Times New Roman" w:cs="Times New Roman"/>
                <w:sz w:val="18"/>
                <w:szCs w:val="18"/>
              </w:rPr>
            </w:pPr>
          </w:p>
        </w:tc>
        <w:tc>
          <w:tcPr>
            <w:tcW w:w="1125" w:type="dxa"/>
            <w:tcBorders>
              <w:top w:val="single" w:sz="4" w:space="0" w:color="7F7F7F"/>
              <w:left w:val="nil"/>
              <w:bottom w:val="single" w:sz="4" w:space="0" w:color="7F7F7F"/>
              <w:right w:val="nil"/>
            </w:tcBorders>
          </w:tcPr>
          <w:p w14:paraId="5BA8F480"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 participants</w:t>
            </w:r>
          </w:p>
        </w:tc>
        <w:tc>
          <w:tcPr>
            <w:tcW w:w="1440" w:type="dxa"/>
            <w:tcBorders>
              <w:top w:val="single" w:sz="4" w:space="0" w:color="7F7F7F"/>
              <w:left w:val="nil"/>
              <w:bottom w:val="single" w:sz="4" w:space="0" w:color="7F7F7F"/>
              <w:right w:val="nil"/>
            </w:tcBorders>
          </w:tcPr>
          <w:p w14:paraId="7BB8A990"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764DFC0F"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 Cohort I, patients received 1 or 2 doses of immunotherapy prior to surgery and, 4 weeks later, resumed treatment every 3 weeks for up to 4 doses, followed by adjuvant therapy if indicated. In Cohort II, immunotherapy was initiated 2 months after chemoradiation.</w:t>
            </w:r>
          </w:p>
        </w:tc>
        <w:tc>
          <w:tcPr>
            <w:tcW w:w="840" w:type="dxa"/>
            <w:tcBorders>
              <w:top w:val="single" w:sz="4" w:space="0" w:color="7F7F7F"/>
              <w:left w:val="nil"/>
              <w:bottom w:val="single" w:sz="4" w:space="0" w:color="7F7F7F"/>
              <w:right w:val="nil"/>
            </w:tcBorders>
          </w:tcPr>
          <w:p w14:paraId="28CBCA4E" w14:textId="5311C9D6"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573BDE">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2D1CD9BE" w14:textId="3AAB46FF"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w:t>
            </w:r>
            <w:r w:rsidR="0008667A">
              <w:rPr>
                <w:rFonts w:ascii="Times New Roman" w:eastAsia="Times New Roman" w:hAnsi="Times New Roman" w:cs="Times New Roman"/>
                <w:sz w:val="16"/>
                <w:szCs w:val="16"/>
              </w:rPr>
              <w:t>m</w:t>
            </w:r>
            <w:r>
              <w:rPr>
                <w:rFonts w:ascii="Times New Roman" w:eastAsia="Times New Roman" w:hAnsi="Times New Roman" w:cs="Times New Roman"/>
                <w:sz w:val="16"/>
                <w:szCs w:val="16"/>
              </w:rPr>
              <w:t>onths</w:t>
            </w:r>
          </w:p>
        </w:tc>
        <w:tc>
          <w:tcPr>
            <w:tcW w:w="1388" w:type="dxa"/>
            <w:tcBorders>
              <w:top w:val="single" w:sz="4" w:space="0" w:color="7F7F7F"/>
              <w:left w:val="nil"/>
              <w:bottom w:val="single" w:sz="4" w:space="0" w:color="7F7F7F"/>
              <w:right w:val="nil"/>
            </w:tcBorders>
          </w:tcPr>
          <w:p w14:paraId="46DA2BD5" w14:textId="559D7495"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956E8D">
              <w:rPr>
                <w:rFonts w:ascii="Times New Roman" w:eastAsia="Times New Roman" w:hAnsi="Times New Roman" w:cs="Times New Roman"/>
                <w:sz w:val="16"/>
                <w:szCs w:val="16"/>
              </w:rPr>
              <w:t>Yes</w:t>
            </w:r>
          </w:p>
        </w:tc>
      </w:tr>
      <w:tr w:rsidR="000F11B4" w14:paraId="40023ECF" w14:textId="77777777">
        <w:trPr>
          <w:trHeight w:val="543"/>
          <w:jc w:val="center"/>
        </w:trPr>
        <w:tc>
          <w:tcPr>
            <w:tcW w:w="1590" w:type="dxa"/>
            <w:tcBorders>
              <w:top w:val="single" w:sz="4" w:space="0" w:color="7F7F7F"/>
              <w:left w:val="nil"/>
              <w:bottom w:val="single" w:sz="4" w:space="0" w:color="7F7F7F"/>
              <w:right w:val="nil"/>
            </w:tcBorders>
          </w:tcPr>
          <w:p w14:paraId="6A02EE99" w14:textId="77777777" w:rsidR="000F11B4" w:rsidRDefault="000F11B4" w:rsidP="000F11B4">
            <w:pPr>
              <w:widowControl/>
              <w:ind w:hanging="2"/>
              <w:contextualSpacing/>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Zandberg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2015</w:t>
            </w:r>
          </w:p>
        </w:tc>
        <w:tc>
          <w:tcPr>
            <w:tcW w:w="1245" w:type="dxa"/>
            <w:tcBorders>
              <w:top w:val="single" w:sz="4" w:space="0" w:color="7F7F7F"/>
              <w:left w:val="nil"/>
              <w:bottom w:val="single" w:sz="4" w:space="0" w:color="7F7F7F"/>
              <w:right w:val="nil"/>
            </w:tcBorders>
          </w:tcPr>
          <w:p w14:paraId="0D8845AB"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1320" w:type="dxa"/>
            <w:tcBorders>
              <w:top w:val="single" w:sz="4" w:space="0" w:color="7F7F7F"/>
              <w:left w:val="nil"/>
              <w:bottom w:val="single" w:sz="4" w:space="0" w:color="7F7F7F"/>
              <w:right w:val="nil"/>
            </w:tcBorders>
          </w:tcPr>
          <w:p w14:paraId="3FE55BAE"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GL-0810 (HPV16) e GL-0817 (MAGE-A3) </w:t>
            </w:r>
          </w:p>
        </w:tc>
        <w:tc>
          <w:tcPr>
            <w:tcW w:w="1200" w:type="dxa"/>
            <w:tcBorders>
              <w:top w:val="single" w:sz="4" w:space="0" w:color="7F7F7F"/>
              <w:left w:val="nil"/>
              <w:bottom w:val="single" w:sz="4" w:space="0" w:color="7F7F7F"/>
              <w:right w:val="nil"/>
            </w:tcBorders>
          </w:tcPr>
          <w:p w14:paraId="5CFB02A4"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24A14504"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Hypopharynx, and Oral Cavity (Recurrent)</w:t>
            </w:r>
          </w:p>
        </w:tc>
        <w:tc>
          <w:tcPr>
            <w:tcW w:w="1125" w:type="dxa"/>
            <w:tcBorders>
              <w:top w:val="single" w:sz="4" w:space="0" w:color="7F7F7F"/>
              <w:left w:val="nil"/>
              <w:bottom w:val="single" w:sz="4" w:space="0" w:color="7F7F7F"/>
              <w:right w:val="nil"/>
            </w:tcBorders>
          </w:tcPr>
          <w:p w14:paraId="59E17275"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 participants</w:t>
            </w:r>
          </w:p>
        </w:tc>
        <w:tc>
          <w:tcPr>
            <w:tcW w:w="1440" w:type="dxa"/>
            <w:tcBorders>
              <w:top w:val="single" w:sz="4" w:space="0" w:color="7F7F7F"/>
              <w:left w:val="nil"/>
              <w:bottom w:val="single" w:sz="4" w:space="0" w:color="7F7F7F"/>
              <w:right w:val="nil"/>
            </w:tcBorders>
          </w:tcPr>
          <w:p w14:paraId="38F0E1B3"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0C0F58C9"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Three dose levels (500, 1,000, and 1,500 µg) of GL-0810 or GL-0817 with Montanide adjuvants (1.2 ml) and GM-CSF (100 µg/m²).</w:t>
            </w:r>
          </w:p>
        </w:tc>
        <w:tc>
          <w:tcPr>
            <w:tcW w:w="840" w:type="dxa"/>
            <w:tcBorders>
              <w:top w:val="single" w:sz="4" w:space="0" w:color="7F7F7F"/>
              <w:left w:val="nil"/>
              <w:bottom w:val="single" w:sz="4" w:space="0" w:color="7F7F7F"/>
              <w:right w:val="nil"/>
            </w:tcBorders>
          </w:tcPr>
          <w:p w14:paraId="43CDD8CF" w14:textId="761CDC86"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573BDE">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4B03431B" w14:textId="4B1D638E"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10,5 </w:t>
            </w:r>
            <w:r w:rsidR="0008667A">
              <w:rPr>
                <w:rFonts w:ascii="Times New Roman" w:eastAsia="Times New Roman" w:hAnsi="Times New Roman" w:cs="Times New Roman"/>
                <w:sz w:val="16"/>
                <w:szCs w:val="16"/>
              </w:rPr>
              <w:t>m</w:t>
            </w:r>
            <w:r>
              <w:rPr>
                <w:rFonts w:ascii="Times New Roman" w:eastAsia="Times New Roman" w:hAnsi="Times New Roman" w:cs="Times New Roman"/>
                <w:sz w:val="16"/>
                <w:szCs w:val="16"/>
              </w:rPr>
              <w:t>onths</w:t>
            </w:r>
          </w:p>
        </w:tc>
        <w:tc>
          <w:tcPr>
            <w:tcW w:w="1388" w:type="dxa"/>
            <w:tcBorders>
              <w:top w:val="single" w:sz="4" w:space="0" w:color="7F7F7F"/>
              <w:left w:val="nil"/>
              <w:bottom w:val="single" w:sz="4" w:space="0" w:color="7F7F7F"/>
              <w:right w:val="nil"/>
            </w:tcBorders>
          </w:tcPr>
          <w:p w14:paraId="57324EB4" w14:textId="3663A0CE"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956E8D">
              <w:rPr>
                <w:rFonts w:ascii="Times New Roman" w:eastAsia="Times New Roman" w:hAnsi="Times New Roman" w:cs="Times New Roman"/>
                <w:sz w:val="16"/>
                <w:szCs w:val="16"/>
              </w:rPr>
              <w:t>Yes</w:t>
            </w:r>
          </w:p>
        </w:tc>
      </w:tr>
      <w:tr w:rsidR="000F11B4" w14:paraId="32B68734" w14:textId="77777777">
        <w:trPr>
          <w:trHeight w:val="543"/>
          <w:jc w:val="center"/>
        </w:trPr>
        <w:tc>
          <w:tcPr>
            <w:tcW w:w="1590" w:type="dxa"/>
            <w:tcBorders>
              <w:top w:val="single" w:sz="4" w:space="0" w:color="7F7F7F"/>
              <w:left w:val="nil"/>
              <w:bottom w:val="single" w:sz="4" w:space="0" w:color="7F7F7F"/>
              <w:right w:val="nil"/>
            </w:tcBorders>
          </w:tcPr>
          <w:p w14:paraId="313068DC" w14:textId="77777777" w:rsidR="000F11B4" w:rsidRDefault="000F11B4" w:rsidP="000F11B4">
            <w:pPr>
              <w:widowControl/>
              <w:ind w:hanging="2"/>
              <w:contextualSpacing/>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Voskens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2012</w:t>
            </w:r>
          </w:p>
        </w:tc>
        <w:tc>
          <w:tcPr>
            <w:tcW w:w="1245" w:type="dxa"/>
            <w:tcBorders>
              <w:top w:val="single" w:sz="4" w:space="0" w:color="7F7F7F"/>
              <w:left w:val="nil"/>
              <w:bottom w:val="single" w:sz="4" w:space="0" w:color="7F7F7F"/>
              <w:right w:val="nil"/>
            </w:tcBorders>
          </w:tcPr>
          <w:p w14:paraId="29339BB6"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1320" w:type="dxa"/>
            <w:tcBorders>
              <w:top w:val="single" w:sz="4" w:space="0" w:color="7F7F7F"/>
              <w:left w:val="nil"/>
              <w:bottom w:val="single" w:sz="4" w:space="0" w:color="7F7F7F"/>
              <w:right w:val="nil"/>
            </w:tcBorders>
          </w:tcPr>
          <w:p w14:paraId="3BE95C26" w14:textId="77777777" w:rsidR="000F11B4" w:rsidRDefault="000F11B4" w:rsidP="000F11B4">
            <w:pPr>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GM-CSF</w:t>
            </w:r>
          </w:p>
        </w:tc>
        <w:tc>
          <w:tcPr>
            <w:tcW w:w="1200" w:type="dxa"/>
            <w:tcBorders>
              <w:top w:val="single" w:sz="4" w:space="0" w:color="7F7F7F"/>
              <w:left w:val="nil"/>
              <w:bottom w:val="single" w:sz="4" w:space="0" w:color="7F7F7F"/>
              <w:right w:val="nil"/>
            </w:tcBorders>
          </w:tcPr>
          <w:p w14:paraId="0280FF24"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E7</w:t>
            </w:r>
          </w:p>
        </w:tc>
        <w:tc>
          <w:tcPr>
            <w:tcW w:w="1230" w:type="dxa"/>
            <w:tcBorders>
              <w:top w:val="single" w:sz="4" w:space="0" w:color="7F7F7F"/>
              <w:left w:val="nil"/>
              <w:bottom w:val="single" w:sz="4" w:space="0" w:color="7F7F7F"/>
              <w:right w:val="nil"/>
            </w:tcBorders>
          </w:tcPr>
          <w:p w14:paraId="29C8B9AF" w14:textId="77777777" w:rsidR="000F11B4" w:rsidRDefault="000F11B4" w:rsidP="000F11B4">
            <w:pPr>
              <w:spacing w:before="240" w:after="24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Hypopharynx, and Oral Cavity (Recurrent)</w:t>
            </w:r>
          </w:p>
        </w:tc>
        <w:tc>
          <w:tcPr>
            <w:tcW w:w="1125" w:type="dxa"/>
            <w:tcBorders>
              <w:top w:val="single" w:sz="4" w:space="0" w:color="7F7F7F"/>
              <w:left w:val="nil"/>
              <w:bottom w:val="single" w:sz="4" w:space="0" w:color="7F7F7F"/>
              <w:right w:val="nil"/>
            </w:tcBorders>
          </w:tcPr>
          <w:p w14:paraId="14882B7F"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participants</w:t>
            </w:r>
          </w:p>
        </w:tc>
        <w:tc>
          <w:tcPr>
            <w:tcW w:w="1440" w:type="dxa"/>
            <w:tcBorders>
              <w:top w:val="single" w:sz="4" w:space="0" w:color="7F7F7F"/>
              <w:left w:val="nil"/>
              <w:bottom w:val="single" w:sz="4" w:space="0" w:color="7F7F7F"/>
              <w:right w:val="nil"/>
            </w:tcBorders>
          </w:tcPr>
          <w:p w14:paraId="46F9651A" w14:textId="77777777" w:rsidR="000F11B4" w:rsidRDefault="000F11B4" w:rsidP="000F11B4">
            <w:pPr>
              <w:widowControl/>
              <w:ind w:hanging="2"/>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68A87899"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300 μg, administered every 4 weeks, for up to 4 injections.</w:t>
            </w:r>
          </w:p>
          <w:p w14:paraId="222783D7" w14:textId="77777777" w:rsidR="000F11B4" w:rsidRDefault="000F11B4" w:rsidP="000F11B4">
            <w:pPr>
              <w:widowControl/>
              <w:ind w:hanging="2"/>
              <w:contextualSpacing/>
              <w:jc w:val="both"/>
              <w:rPr>
                <w:rFonts w:ascii="Times New Roman" w:eastAsia="Times New Roman" w:hAnsi="Times New Roman" w:cs="Times New Roman"/>
                <w:color w:val="000000"/>
                <w:sz w:val="16"/>
                <w:szCs w:val="16"/>
              </w:rPr>
            </w:pPr>
          </w:p>
        </w:tc>
        <w:tc>
          <w:tcPr>
            <w:tcW w:w="840" w:type="dxa"/>
            <w:tcBorders>
              <w:top w:val="single" w:sz="4" w:space="0" w:color="7F7F7F"/>
              <w:left w:val="nil"/>
              <w:bottom w:val="single" w:sz="4" w:space="0" w:color="7F7F7F"/>
              <w:right w:val="nil"/>
            </w:tcBorders>
          </w:tcPr>
          <w:p w14:paraId="60F9850D" w14:textId="0BD2CBC9"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573BDE">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5F723B88" w14:textId="77777777" w:rsidR="000F11B4" w:rsidRDefault="000F11B4" w:rsidP="000F11B4">
            <w:pPr>
              <w:widowControl/>
              <w:ind w:hanging="2"/>
              <w:contextualSpacing/>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31 </w:t>
            </w:r>
            <w:r>
              <w:rPr>
                <w:rFonts w:ascii="Times New Roman" w:eastAsia="Times New Roman" w:hAnsi="Times New Roman" w:cs="Times New Roman"/>
                <w:sz w:val="16"/>
                <w:szCs w:val="16"/>
              </w:rPr>
              <w:t>months</w:t>
            </w:r>
          </w:p>
        </w:tc>
        <w:tc>
          <w:tcPr>
            <w:tcW w:w="1388" w:type="dxa"/>
            <w:tcBorders>
              <w:top w:val="single" w:sz="4" w:space="0" w:color="7F7F7F"/>
              <w:left w:val="nil"/>
              <w:bottom w:val="single" w:sz="4" w:space="0" w:color="7F7F7F"/>
              <w:right w:val="nil"/>
            </w:tcBorders>
          </w:tcPr>
          <w:p w14:paraId="3C62BB41" w14:textId="1783641A" w:rsidR="000F11B4" w:rsidRDefault="000F11B4" w:rsidP="000F11B4">
            <w:pPr>
              <w:widowControl/>
              <w:ind w:hanging="2"/>
              <w:contextualSpacing/>
              <w:jc w:val="center"/>
              <w:rPr>
                <w:rFonts w:ascii="Times New Roman" w:eastAsia="Times New Roman" w:hAnsi="Times New Roman" w:cs="Times New Roman"/>
                <w:color w:val="000000"/>
                <w:sz w:val="16"/>
                <w:szCs w:val="16"/>
              </w:rPr>
            </w:pPr>
            <w:r w:rsidRPr="00956E8D">
              <w:rPr>
                <w:rFonts w:ascii="Times New Roman" w:eastAsia="Times New Roman" w:hAnsi="Times New Roman" w:cs="Times New Roman"/>
                <w:sz w:val="16"/>
                <w:szCs w:val="16"/>
              </w:rPr>
              <w:t>Yes</w:t>
            </w:r>
          </w:p>
        </w:tc>
      </w:tr>
    </w:tbl>
    <w:p w14:paraId="1F6DA086" w14:textId="77777777" w:rsidR="003E729F" w:rsidRDefault="003E729F">
      <w:pPr>
        <w:tabs>
          <w:tab w:val="left" w:pos="2612"/>
        </w:tabs>
        <w:ind w:firstLine="0"/>
        <w:rPr>
          <w:rFonts w:ascii="Times New Roman" w:eastAsia="Times New Roman" w:hAnsi="Times New Roman" w:cs="Times New Roman"/>
          <w:sz w:val="16"/>
          <w:szCs w:val="16"/>
        </w:rPr>
        <w:sectPr w:rsidR="003E729F">
          <w:pgSz w:w="16838" w:h="11906" w:orient="landscape"/>
          <w:pgMar w:top="1701" w:right="1701" w:bottom="1134" w:left="1134" w:header="709" w:footer="709" w:gutter="0"/>
          <w:cols w:space="720"/>
        </w:sectPr>
      </w:pPr>
    </w:p>
    <w:p w14:paraId="31724B52" w14:textId="77777777" w:rsidR="00D60B22" w:rsidRPr="00D60B22" w:rsidRDefault="007D06AE" w:rsidP="00D60B22">
      <w:pPr>
        <w:spacing w:before="240" w:after="240" w:line="360" w:lineRule="auto"/>
        <w:ind w:firstLine="0"/>
        <w:jc w:val="both"/>
        <w:rPr>
          <w:rFonts w:ascii="Times New Roman" w:hAnsi="Times New Roman" w:cs="Times New Roman"/>
        </w:rPr>
      </w:pPr>
      <w:r>
        <w:rPr>
          <w:rFonts w:ascii="Times New Roman" w:eastAsia="Times New Roman" w:hAnsi="Times New Roman" w:cs="Times New Roman"/>
          <w:b/>
        </w:rPr>
        <w:lastRenderedPageBreak/>
        <w:t>Discussion</w:t>
      </w:r>
      <w:r>
        <w:rPr>
          <w:rFonts w:ascii="Times New Roman" w:eastAsia="Times New Roman" w:hAnsi="Times New Roman" w:cs="Times New Roman"/>
        </w:rPr>
        <w:br/>
      </w:r>
      <w:r w:rsidR="00D60B22" w:rsidRPr="00D60B22">
        <w:rPr>
          <w:rFonts w:ascii="Times New Roman" w:hAnsi="Times New Roman" w:cs="Times New Roman"/>
        </w:rPr>
        <w:t>Evidence from the literature indicates that viral persistence and the onset of neoplasms in the cervix and oropharynx are strongly associated with the integration of viral DNA into the host genome (Menezes et al., 2020; Suk et al., 2018). The genomic instability induced by E6 and E7 oncoprotein expression represents a central mechanism driving the accumulation of mutations in HPV-related cancers (Yang et al., 2019), frequently impacting the PI3KCA, PTEN, HLA-A and HLA-B genes, as well as genes within the NOTCH1 and RAS/EGFR/ERK signaling pathways (Dukic et al., 2020).</w:t>
      </w:r>
    </w:p>
    <w:p w14:paraId="6433F36E" w14:textId="77777777" w:rsidR="00D60B22" w:rsidRDefault="007D06AE">
      <w:pPr>
        <w:widowControl/>
        <w:spacing w:before="240" w:after="240" w:line="360" w:lineRule="auto"/>
        <w:ind w:firstLine="0"/>
        <w:jc w:val="both"/>
        <w:rPr>
          <w:rFonts w:ascii="Times New Roman" w:eastAsia="Times New Roman" w:hAnsi="Times New Roman" w:cs="Times New Roman"/>
        </w:rPr>
      </w:pPr>
      <w:r w:rsidRPr="00D60B22">
        <w:rPr>
          <w:rFonts w:ascii="Times New Roman" w:eastAsia="Times New Roman" w:hAnsi="Times New Roman" w:cs="Times New Roman"/>
          <w:highlight w:val="yellow"/>
        </w:rPr>
        <w:t>Through their multiple interactions with cellular proteins, E6 and E7 initiate pro-proliferative events aimed at facilitating viral amplification, inadvertently orchestrating carcinogenesis in the infected epithelium (Tomaic et al., 2016)</w:t>
      </w:r>
      <w:r w:rsidR="00D60B22" w:rsidRPr="00D60B22">
        <w:rPr>
          <w:rFonts w:ascii="Times New Roman" w:eastAsia="Times New Roman" w:hAnsi="Times New Roman" w:cs="Times New Roman"/>
          <w:highlight w:val="yellow"/>
        </w:rPr>
        <w:t xml:space="preserve">. </w:t>
      </w:r>
      <w:r w:rsidRPr="00D60B22">
        <w:rPr>
          <w:rFonts w:ascii="Times New Roman" w:eastAsia="Times New Roman" w:hAnsi="Times New Roman" w:cs="Times New Roman"/>
          <w:highlight w:val="yellow"/>
        </w:rPr>
        <w:t>During carcinogenesis, the expression of E6 and E7 oncoproteins is essential for the development of cervical neoplasia (Ghittoni et al., 2010).</w:t>
      </w:r>
      <w:r>
        <w:rPr>
          <w:rFonts w:ascii="Times New Roman" w:eastAsia="Times New Roman" w:hAnsi="Times New Roman" w:cs="Times New Roman"/>
        </w:rPr>
        <w:t xml:space="preserve"> </w:t>
      </w:r>
    </w:p>
    <w:p w14:paraId="22392918" w14:textId="6CE9E646"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In persistent infections, E6 and E7 gene expression is unregulated, and the overexpression of these oncoproteins drives the development of cancerous lesions. Similarly, in the oral cavity, HPV tends to induce oropharyngeal cancers, although the exact mechanisms remain incompletely understood (De Sousa et al., 2022). Most HPV-positive head and neck carcinomas are found in the oropharyngeal region (up to 50% of total cases), likely due to the virus's easier access to the basal layer of the tonsillar crypt epithelium (Peng et al., 2021; Hellner et al., 2009).</w:t>
      </w:r>
    </w:p>
    <w:p w14:paraId="75E29BE4" w14:textId="77777777" w:rsidR="009C5D14"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Unlike HPV-negative tumors, which are associated with tobacco and alcohol consumption, HPV-positive head and neck cancers are strongly linked to sexual behavior, consistent with the predominant modes of HPV transmission via sexual contact (Bruno et al., 2018). A key question in the literature regarding oral HPV infection is whether it arises from genital HPV infection via orogenital contact or autoinoculation, or if it can occur as an independent event (Voskens et al., 2012).</w:t>
      </w:r>
    </w:p>
    <w:p w14:paraId="1303C228" w14:textId="42349270"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Unlike the cervix, precancerous lesions in the oropharynx have not been clearly identified, likely due to the difficulty of accessing the deep tonsillar crypts (Zandberg et al., 2015). Although much of the HPV detected in oropharyngeal cancers exists in episomal form, viral DNA integration has been observed in the epithelium of the tonsillar crypts (Zhou et al., 2022).</w:t>
      </w:r>
    </w:p>
    <w:p w14:paraId="29A4D812" w14:textId="77D03FC4" w:rsidR="003E729F" w:rsidRDefault="007D06AE">
      <w:pPr>
        <w:widowControl/>
        <w:spacing w:before="240" w:after="240" w:line="360" w:lineRule="auto"/>
        <w:ind w:firstLine="0"/>
        <w:jc w:val="both"/>
        <w:rPr>
          <w:rFonts w:ascii="Times New Roman" w:eastAsia="Times New Roman" w:hAnsi="Times New Roman" w:cs="Times New Roman"/>
        </w:rPr>
      </w:pPr>
      <w:r w:rsidRPr="00D60B22">
        <w:rPr>
          <w:rFonts w:ascii="Times New Roman" w:eastAsia="Times New Roman" w:hAnsi="Times New Roman" w:cs="Times New Roman"/>
          <w:highlight w:val="yellow"/>
        </w:rPr>
        <w:lastRenderedPageBreak/>
        <w:t>Therapeutic vaccines targeting the E7 protein have been shown to induce systemic, antigen-specific cellular immune responses following subcutaneous or intramuscular administration (Ikeda et al., 2021; Trimble et al., 2015; Kawana et al., 2014; Roman et al., 2007; Hallez et al., 2004; Sheets et al., 2003; Simon et al., 2003). First, E6 and E7 are consistently expressed in HPV-associated malignancies and infected cells but not in healthy cells, providing specificity (Daayana et al., 2010). Second, the oncogenic proteins E6/E7 are typically required for the initiation and maintenance of HPV-associated malignancies, making them essential for cancer growth and preventing immune evasion (Wang et al., 2009).</w:t>
      </w:r>
    </w:p>
    <w:p w14:paraId="3402067A"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These HPV vaccines include viral or bacterial vector-based vaccines, nucleic acid-based vaccines, peptide/protein vaccines, and cell-based vaccines (Termine et al., 2011). Several different immunotherapeutic approaches target E6 or E7 proteins from oncogenic HPV genotypes, and improvements in HPV-related genitourinary dysplasia have been reported in multiple uncontrolled open-label studies (Tsang et al., 2017).</w:t>
      </w:r>
    </w:p>
    <w:p w14:paraId="4CBF4B4A"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 combined actions of high-risk HPV oncoproteins E6 and E7 are essential for maintaining the neoplastic phenotype (Psut et al., 2021). Since E6 and E7 are the only HPV proteins expressed in precursor lesions, they represent reliable antigenic targets for HSIL immunotherapy (Santin et al., 2008). Immunization with HPV16 E6 and/or E7, leading to the generation of antigen-specific cytotoxic T lymphocytes (CTLs) (Sheets et al., 2003; Simons et al., 2003; Hasan et al., 2020; Yang et al., 2019), has been a frequent immunotherapeutic approach for HPV-associated neoplasia, employing a wide range of potential vaccine delivery systems (Kenter et al., 2008).</w:t>
      </w:r>
    </w:p>
    <w:p w14:paraId="61B82EF9"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Previous clinical trials of therapeutic HPV vaccines have successfully elicited systemic type 1 cell-mediated immune responses specific to E7 (systemic E7-CMI) via subcutaneous or intramuscular administration; however, few have investigated mucosal type 1 cell-mediated immune responses specific to E7 (mucosal E7-CMI) (Kawana et al., 2023; Ikeda et al., 2021; Trimble et al., 2015; Hellner et al., 2009; Peng et al., 2021; Zhou et al., 2022). Our analysis highlights that the study of HPV16 E6/E7 oncoproteins demonstrates one of the critical strategies these viruses employ to create an optimal environment for successful replication.</w:t>
      </w:r>
    </w:p>
    <w:p w14:paraId="71EEDF2B" w14:textId="77777777" w:rsidR="003E729F" w:rsidRPr="00FD4578"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lastRenderedPageBreak/>
        <w:t xml:space="preserve">Authors such as Hasan et al. (2020), Wang et al. (2009), Aggarwal et al. (2023), and Chandra et al. (2021) emphasize the importance of these oncoproteins as vaccination targets, reinforcing the notion that immunization against E6/E7 is a promising strategy for HPV-related cancer treatment. </w:t>
      </w:r>
      <w:r w:rsidRPr="00FD4578">
        <w:rPr>
          <w:rFonts w:ascii="Times New Roman" w:eastAsia="Times New Roman" w:hAnsi="Times New Roman" w:cs="Times New Roman"/>
          <w:lang w:val="de-DE"/>
        </w:rPr>
        <w:t>In our review, observational studies indicated the efficacy of E6/E7 mRNA as a biomarker for screening and prognosis, while clinical trials explored diverse vaccine approaches, all demonstrating robust immune responses without serious adverse events.</w:t>
      </w:r>
    </w:p>
    <w:p w14:paraId="73F47738" w14:textId="77777777" w:rsidR="003E729F" w:rsidRDefault="007D06AE">
      <w:pPr>
        <w:widowControl/>
        <w:spacing w:before="240" w:after="240" w:line="360" w:lineRule="auto"/>
        <w:ind w:firstLine="0"/>
        <w:jc w:val="both"/>
        <w:rPr>
          <w:rFonts w:ascii="Times New Roman" w:eastAsia="Times New Roman" w:hAnsi="Times New Roman" w:cs="Times New Roman"/>
        </w:rPr>
      </w:pPr>
      <w:r w:rsidRPr="00FD4578">
        <w:rPr>
          <w:rFonts w:ascii="Times New Roman" w:eastAsia="Times New Roman" w:hAnsi="Times New Roman" w:cs="Times New Roman"/>
          <w:lang w:val="de-DE"/>
        </w:rPr>
        <w:t xml:space="preserve">Most of the clinical studies presented are Phase I or Phase I/II trials, primarily focused on evaluating safety and the induction of immune responses. </w:t>
      </w:r>
      <w:r w:rsidRPr="00CF2679">
        <w:rPr>
          <w:rFonts w:ascii="Times New Roman" w:eastAsia="Times New Roman" w:hAnsi="Times New Roman" w:cs="Times New Roman"/>
          <w:lang w:val="de-DE"/>
        </w:rPr>
        <w:t xml:space="preserve">Although Phase II trials are reported in some studies, such as those by Aggarwal et al. </w:t>
      </w:r>
      <w:r>
        <w:rPr>
          <w:rFonts w:ascii="Times New Roman" w:eastAsia="Times New Roman" w:hAnsi="Times New Roman" w:cs="Times New Roman"/>
        </w:rPr>
        <w:t>(2023) and De Sousa et al. (2016), the primary objective remains the assessment of vaccine safety and preliminary efficacy. The combination of vaccines with other immunotherapeutic approaches, including monoclonal antibodies (Nivolumab and Durvalumab), is more extensively explored in studies like Aggarwal et al. (2023) and De Sousa et al. (2016), reflecting a trend toward enhancing immune responses.</w:t>
      </w:r>
    </w:p>
    <w:p w14:paraId="048E9044"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Unlike viral vector–based constructs, DNA vaccines can be administered repeatedly because the efficacy of plasmid vectors is not affected by pre-existing neutralizing antibodies (Voskens et al., 2012). Additionally, the ability to design precise targeting of multiple antigenic components allows for the inclusion of specific antigens, adjuvants, or targeting sequences. Consequently, DNA vaccination strategies can be seamlessly integrated with chemoradiation approaches for HPV-associated cancers (Tsang et al., 2017).</w:t>
      </w:r>
    </w:p>
    <w:p w14:paraId="2977285E" w14:textId="77777777" w:rsidR="009C5D14" w:rsidRDefault="007D06AE" w:rsidP="009C5D14">
      <w:pPr>
        <w:widowControl/>
        <w:spacing w:before="240" w:after="240" w:line="360" w:lineRule="auto"/>
        <w:ind w:firstLine="0"/>
        <w:rPr>
          <w:rFonts w:ascii="Times New Roman" w:eastAsia="Times New Roman" w:hAnsi="Times New Roman" w:cs="Times New Roman"/>
        </w:rPr>
      </w:pPr>
      <w:r>
        <w:rPr>
          <w:rFonts w:ascii="Times New Roman" w:eastAsia="Times New Roman" w:hAnsi="Times New Roman" w:cs="Times New Roman"/>
          <w:b/>
        </w:rPr>
        <w:t>Contributions and Limitations</w:t>
      </w:r>
      <w:r>
        <w:rPr>
          <w:rFonts w:ascii="Times New Roman" w:eastAsia="Times New Roman" w:hAnsi="Times New Roman" w:cs="Times New Roman"/>
          <w:b/>
        </w:rPr>
        <w:br/>
      </w:r>
    </w:p>
    <w:p w14:paraId="1AF4ABF9" w14:textId="515448BC" w:rsidR="003E729F" w:rsidRDefault="007D06AE" w:rsidP="009C5D14">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 investigation of HPV16 oncoproteins E6 and E7 demonstrates significant potential for the diagnosis and treatment of cervical and oropharyngeal cancers. However, to optimize the efficacy of these diagnostic tests and therapeutic vaccines, it is essential to integrate combined approaches involving other immunotherapeutic modalities, such as monoclonal antibodies and electroporation-based therapies.</w:t>
      </w:r>
    </w:p>
    <w:p w14:paraId="37763A03"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Clinical trials indicate that inducing an immune response against E6/E7 oncoproteins is a critical step toward the elimination of tumor cells. Nonetheless, the long-term safety and </w:t>
      </w:r>
      <w:r>
        <w:rPr>
          <w:rFonts w:ascii="Times New Roman" w:eastAsia="Times New Roman" w:hAnsi="Times New Roman" w:cs="Times New Roman"/>
        </w:rPr>
        <w:lastRenderedPageBreak/>
        <w:t>efficacy of these therapies require careful monitoring in Phase IV studies, which should involve larger sample sizes and extended follow-up periods.</w:t>
      </w:r>
    </w:p>
    <w:p w14:paraId="4D9C54AA" w14:textId="77777777" w:rsidR="003E729F" w:rsidRDefault="007D06AE">
      <w:pPr>
        <w:widowControl/>
        <w:spacing w:before="240" w:after="240" w:line="360" w:lineRule="auto"/>
        <w:ind w:firstLine="0"/>
        <w:jc w:val="both"/>
        <w:rPr>
          <w:rFonts w:ascii="Times New Roman" w:eastAsia="Times New Roman" w:hAnsi="Times New Roman" w:cs="Times New Roman"/>
          <w:b/>
        </w:rPr>
      </w:pPr>
      <w:r>
        <w:rPr>
          <w:rFonts w:ascii="Times New Roman" w:eastAsia="Times New Roman" w:hAnsi="Times New Roman" w:cs="Times New Roman"/>
        </w:rPr>
        <w:t>For future research, exploring a combined treatment model is recommended, in which E6/E7 vaccines are administered alongside other forms of immunotherapy, such as immune checkpoint inhibitors, for both anatomical sites. This strategy may enhance treatment efficacy for HPV-related cancers, particularly in persistent and recurrent tumors, which remain challenging to manage with conventional therapies.</w:t>
      </w:r>
    </w:p>
    <w:p w14:paraId="74382BEB" w14:textId="616EFCFC" w:rsidR="00CF2679" w:rsidRDefault="002200B9" w:rsidP="00CF2679">
      <w:pPr>
        <w:widowControl/>
        <w:spacing w:before="240" w:after="240" w:line="360" w:lineRule="auto"/>
        <w:ind w:firstLine="0"/>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b/>
        </w:rPr>
        <w:br/>
      </w:r>
    </w:p>
    <w:p w14:paraId="3647E827" w14:textId="62EFD2EA" w:rsidR="00270C18" w:rsidRPr="009C5D14" w:rsidRDefault="007D06AE" w:rsidP="009C5D14">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The E6 and E7 proteins represent promising targets for the development of screening, diagnostic, and therapeutic approaches in cervical and oropharyngeal cancers, as silencing either protein induces senescence and apoptosis in the infected cell. Furthermore, E6 and E7 do not share homology with any cellular proteins, minimizing the likelihood of adverse effects in patients. Additionally, therapeutic vaccines expressing E6/E7 have demonstrated the potential to elicit effective immune responses against these antigens, which may contribute to the control and regression of HPV16-associated </w:t>
      </w:r>
      <w:r w:rsidRPr="009C5D14">
        <w:rPr>
          <w:rFonts w:ascii="Times New Roman" w:eastAsia="Times New Roman" w:hAnsi="Times New Roman" w:cs="Times New Roman"/>
        </w:rPr>
        <w:t>precancerous lesions.</w:t>
      </w:r>
    </w:p>
    <w:p w14:paraId="4694AFA9" w14:textId="77777777" w:rsidR="00270C18" w:rsidRPr="009C5D14" w:rsidRDefault="00270C18" w:rsidP="009C5D14">
      <w:pPr>
        <w:spacing w:line="360" w:lineRule="auto"/>
        <w:jc w:val="both"/>
        <w:rPr>
          <w:rFonts w:ascii="Times New Roman" w:eastAsia="Calibri" w:hAnsi="Times New Roman" w:cs="Times New Roman"/>
          <w:b/>
          <w:bCs/>
          <w:kern w:val="2"/>
          <w:lang w:val="en-US"/>
        </w:rPr>
      </w:pPr>
      <w:bookmarkStart w:id="13" w:name="_Hlk197682619"/>
      <w:bookmarkStart w:id="14" w:name="_Hlk180402183"/>
      <w:bookmarkStart w:id="15" w:name="_Hlk183680988"/>
      <w:r w:rsidRPr="009C5D14">
        <w:rPr>
          <w:rFonts w:ascii="Times New Roman" w:eastAsia="Calibri" w:hAnsi="Times New Roman" w:cs="Times New Roman"/>
          <w:b/>
          <w:bCs/>
          <w:kern w:val="2"/>
          <w:lang w:val="en-US"/>
        </w:rPr>
        <w:t>Disclaimer (Artificial intelligence)</w:t>
      </w:r>
    </w:p>
    <w:p w14:paraId="5123C1A8" w14:textId="57E40DBC" w:rsidR="00270C18" w:rsidRPr="009C5D14" w:rsidRDefault="00270C18" w:rsidP="009C5D14">
      <w:pPr>
        <w:spacing w:line="360" w:lineRule="auto"/>
        <w:ind w:firstLine="0"/>
        <w:jc w:val="both"/>
        <w:rPr>
          <w:rFonts w:ascii="Times New Roman" w:eastAsia="Calibri" w:hAnsi="Times New Roman" w:cs="Times New Roman"/>
          <w:kern w:val="2"/>
          <w:lang w:val="en-US"/>
        </w:rPr>
      </w:pPr>
    </w:p>
    <w:p w14:paraId="63C92D02" w14:textId="77777777" w:rsidR="00270C18" w:rsidRPr="009C5D14" w:rsidRDefault="00270C18" w:rsidP="009C5D14">
      <w:pPr>
        <w:spacing w:line="360" w:lineRule="auto"/>
        <w:jc w:val="both"/>
        <w:rPr>
          <w:rFonts w:ascii="Times New Roman" w:eastAsia="Calibri" w:hAnsi="Times New Roman" w:cs="Times New Roman"/>
          <w:kern w:val="2"/>
          <w:lang w:val="en-US"/>
        </w:rPr>
      </w:pPr>
      <w:r w:rsidRPr="009C5D14">
        <w:rPr>
          <w:rFonts w:ascii="Times New Roman" w:eastAsia="Calibri" w:hAnsi="Times New Roman"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14:paraId="565B4BDE" w14:textId="0A303FDB" w:rsidR="00270C18" w:rsidRPr="009C5D14" w:rsidRDefault="00270C18" w:rsidP="009C5D14">
      <w:pPr>
        <w:ind w:firstLine="0"/>
        <w:rPr>
          <w:rFonts w:ascii="Calibri" w:eastAsia="Calibri" w:hAnsi="Calibri" w:cs="Times New Roman"/>
          <w:kern w:val="2"/>
          <w:highlight w:val="red"/>
          <w:lang w:val="en-US"/>
        </w:rPr>
      </w:pPr>
      <w:bookmarkStart w:id="16" w:name="_Hlk197682629"/>
      <w:bookmarkEnd w:id="13"/>
    </w:p>
    <w:bookmarkEnd w:id="14"/>
    <w:bookmarkEnd w:id="15"/>
    <w:bookmarkEnd w:id="16"/>
    <w:p w14:paraId="05206378" w14:textId="77777777" w:rsidR="00270C18" w:rsidRPr="00FD4578" w:rsidRDefault="00270C18" w:rsidP="00CF2679">
      <w:pPr>
        <w:widowControl/>
        <w:spacing w:before="240" w:after="240" w:line="360" w:lineRule="auto"/>
        <w:ind w:firstLine="0"/>
        <w:jc w:val="both"/>
        <w:rPr>
          <w:rFonts w:ascii="Times New Roman" w:eastAsia="Times New Roman" w:hAnsi="Times New Roman" w:cs="Times New Roman"/>
          <w:lang w:val="en-US"/>
        </w:rPr>
      </w:pPr>
    </w:p>
    <w:p w14:paraId="26B81A79" w14:textId="77777777" w:rsidR="003E729F" w:rsidRPr="00FD4578" w:rsidRDefault="003E729F">
      <w:pPr>
        <w:widowControl/>
        <w:spacing w:before="240" w:after="240" w:line="360" w:lineRule="auto"/>
        <w:ind w:firstLine="0"/>
        <w:jc w:val="both"/>
        <w:rPr>
          <w:rFonts w:ascii="Times New Roman" w:eastAsia="Times New Roman" w:hAnsi="Times New Roman" w:cs="Times New Roman"/>
          <w:lang w:val="en-US"/>
        </w:rPr>
      </w:pPr>
    </w:p>
    <w:p w14:paraId="07FD56A9" w14:textId="77777777" w:rsidR="003E729F" w:rsidRPr="00FD4578" w:rsidRDefault="003E729F">
      <w:pPr>
        <w:widowControl/>
        <w:spacing w:before="240" w:after="240" w:line="360" w:lineRule="auto"/>
        <w:ind w:firstLine="0"/>
        <w:jc w:val="both"/>
        <w:rPr>
          <w:rFonts w:ascii="Times New Roman" w:eastAsia="Times New Roman" w:hAnsi="Times New Roman" w:cs="Times New Roman"/>
          <w:lang w:val="en-US"/>
        </w:rPr>
      </w:pPr>
    </w:p>
    <w:p w14:paraId="709E17AA" w14:textId="77777777" w:rsidR="00CF2679" w:rsidRDefault="00CF2679">
      <w:pPr>
        <w:widowControl/>
        <w:spacing w:before="240" w:after="240" w:line="360" w:lineRule="auto"/>
        <w:ind w:firstLine="0"/>
        <w:jc w:val="both"/>
        <w:rPr>
          <w:rFonts w:ascii="Times New Roman" w:eastAsia="Times New Roman" w:hAnsi="Times New Roman" w:cs="Times New Roman"/>
          <w:lang w:val="en-US"/>
        </w:rPr>
      </w:pPr>
    </w:p>
    <w:p w14:paraId="1DA16B3F" w14:textId="77777777" w:rsidR="009C5D14" w:rsidRPr="00FD4578" w:rsidRDefault="009C5D14">
      <w:pPr>
        <w:widowControl/>
        <w:spacing w:before="240" w:after="240" w:line="360" w:lineRule="auto"/>
        <w:ind w:firstLine="0"/>
        <w:jc w:val="both"/>
        <w:rPr>
          <w:rFonts w:ascii="Times New Roman" w:eastAsia="Times New Roman" w:hAnsi="Times New Roman" w:cs="Times New Roman"/>
          <w:lang w:val="en-US"/>
        </w:rPr>
      </w:pPr>
    </w:p>
    <w:p w14:paraId="1CF24566" w14:textId="77777777" w:rsidR="003E729F" w:rsidRPr="00FD4578" w:rsidRDefault="007D06AE">
      <w:pPr>
        <w:widowControl/>
        <w:spacing w:line="256" w:lineRule="auto"/>
        <w:ind w:hanging="2"/>
        <w:jc w:val="both"/>
        <w:rPr>
          <w:rFonts w:ascii="Times New Roman" w:eastAsia="Times New Roman" w:hAnsi="Times New Roman" w:cs="Times New Roman"/>
          <w:lang w:val="en-US"/>
        </w:rPr>
      </w:pPr>
      <w:r w:rsidRPr="00FD4578">
        <w:rPr>
          <w:rFonts w:ascii="Times New Roman" w:eastAsia="Times New Roman" w:hAnsi="Times New Roman" w:cs="Times New Roman"/>
          <w:b/>
          <w:lang w:val="en-US"/>
        </w:rPr>
        <w:lastRenderedPageBreak/>
        <w:t>Reference</w:t>
      </w:r>
    </w:p>
    <w:p w14:paraId="155D0FC8" w14:textId="77777777" w:rsidR="003E729F" w:rsidRPr="00FD4578" w:rsidRDefault="003E729F">
      <w:pPr>
        <w:widowControl/>
        <w:spacing w:line="256" w:lineRule="auto"/>
        <w:ind w:hanging="2"/>
        <w:jc w:val="both"/>
        <w:rPr>
          <w:rFonts w:ascii="Times New Roman" w:eastAsia="Times New Roman" w:hAnsi="Times New Roman" w:cs="Times New Roman"/>
          <w:lang w:val="en-US"/>
        </w:rPr>
      </w:pPr>
    </w:p>
    <w:p w14:paraId="2E332833" w14:textId="77777777" w:rsidR="003E729F" w:rsidRPr="00FD4578" w:rsidRDefault="007D06AE">
      <w:pPr>
        <w:widowControl/>
        <w:spacing w:after="240" w:line="276" w:lineRule="auto"/>
        <w:ind w:hanging="2"/>
        <w:rPr>
          <w:rFonts w:ascii="Times New Roman" w:eastAsia="Times New Roman" w:hAnsi="Times New Roman" w:cs="Times New Roman"/>
          <w:lang w:val="en-US"/>
        </w:rPr>
      </w:pPr>
      <w:r w:rsidRPr="00FD4578">
        <w:rPr>
          <w:rFonts w:ascii="Times New Roman" w:eastAsia="Times New Roman" w:hAnsi="Times New Roman" w:cs="Times New Roman"/>
          <w:lang w:val="en-US"/>
        </w:rPr>
        <w:t xml:space="preserve">AGGARWAL, Charu </w:t>
      </w:r>
      <w:r w:rsidRPr="00FD4578">
        <w:rPr>
          <w:rFonts w:ascii="Times New Roman" w:eastAsia="Times New Roman" w:hAnsi="Times New Roman" w:cs="Times New Roman"/>
          <w:i/>
          <w:lang w:val="en-US"/>
        </w:rPr>
        <w:t>et al.</w:t>
      </w:r>
      <w:r w:rsidRPr="00FD4578">
        <w:rPr>
          <w:rFonts w:ascii="Times New Roman" w:eastAsia="Times New Roman" w:hAnsi="Times New Roman" w:cs="Times New Roman"/>
          <w:lang w:val="en-US"/>
        </w:rPr>
        <w:t xml:space="preserve"> Immunotherapy targeting HPV16/18 generates potent immune responses in HPV-associated head and neck cancer. </w:t>
      </w:r>
      <w:r w:rsidRPr="00FD4578">
        <w:rPr>
          <w:rFonts w:ascii="Times New Roman" w:eastAsia="Times New Roman" w:hAnsi="Times New Roman" w:cs="Times New Roman"/>
          <w:b/>
          <w:lang w:val="en-US"/>
        </w:rPr>
        <w:t>Clinical Cancer Research</w:t>
      </w:r>
      <w:r w:rsidRPr="00FD4578">
        <w:rPr>
          <w:rFonts w:ascii="Times New Roman" w:eastAsia="Times New Roman" w:hAnsi="Times New Roman" w:cs="Times New Roman"/>
          <w:lang w:val="en-US"/>
        </w:rPr>
        <w:t>, v. 25, n. 1, p. 110-124, 2019.</w:t>
      </w:r>
    </w:p>
    <w:p w14:paraId="7B99FD5F" w14:textId="77777777" w:rsidR="003E729F" w:rsidRDefault="007D06AE">
      <w:pPr>
        <w:widowControl/>
        <w:spacing w:after="240" w:line="276" w:lineRule="auto"/>
        <w:ind w:hanging="2"/>
        <w:rPr>
          <w:rFonts w:ascii="Times New Roman" w:eastAsia="Times New Roman" w:hAnsi="Times New Roman" w:cs="Times New Roman"/>
        </w:rPr>
      </w:pPr>
      <w:r w:rsidRPr="00FD4578">
        <w:rPr>
          <w:rFonts w:ascii="Times New Roman" w:eastAsia="Times New Roman" w:hAnsi="Times New Roman" w:cs="Times New Roman"/>
          <w:lang w:val="en-US"/>
        </w:rPr>
        <w:t xml:space="preserve">AGGARWAL, Charu </w:t>
      </w:r>
      <w:r w:rsidRPr="00FD4578">
        <w:rPr>
          <w:rFonts w:ascii="Times New Roman" w:eastAsia="Times New Roman" w:hAnsi="Times New Roman" w:cs="Times New Roman"/>
          <w:i/>
          <w:lang w:val="en-US"/>
        </w:rPr>
        <w:t>et al.</w:t>
      </w:r>
      <w:r w:rsidRPr="00FD4578">
        <w:rPr>
          <w:rFonts w:ascii="Times New Roman" w:eastAsia="Times New Roman" w:hAnsi="Times New Roman" w:cs="Times New Roman"/>
          <w:lang w:val="en-US"/>
        </w:rPr>
        <w:t xml:space="preserve"> Safety and efficacy of MEDI0457 plus durvalumab in patients with human papillomavirus–associated recurrent/metastatic head and neck squamous cell carcinoma. </w:t>
      </w:r>
      <w:r>
        <w:rPr>
          <w:rFonts w:ascii="Times New Roman" w:eastAsia="Times New Roman" w:hAnsi="Times New Roman" w:cs="Times New Roman"/>
          <w:b/>
        </w:rPr>
        <w:t>Clinical Cancer Research</w:t>
      </w:r>
      <w:r>
        <w:rPr>
          <w:rFonts w:ascii="Times New Roman" w:eastAsia="Times New Roman" w:hAnsi="Times New Roman" w:cs="Times New Roman"/>
        </w:rPr>
        <w:t>, v. 29, n. 3, p. 560-570, 2023.</w:t>
      </w:r>
    </w:p>
    <w:p w14:paraId="5D9A2557"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BAKKER, Noor Alida Maria </w:t>
      </w:r>
      <w:r>
        <w:rPr>
          <w:rFonts w:ascii="Times New Roman" w:eastAsia="Times New Roman" w:hAnsi="Times New Roman" w:cs="Times New Roman"/>
          <w:i/>
        </w:rPr>
        <w:t>et al.</w:t>
      </w:r>
      <w:r>
        <w:rPr>
          <w:rFonts w:ascii="Times New Roman" w:eastAsia="Times New Roman" w:hAnsi="Times New Roman" w:cs="Times New Roman"/>
        </w:rPr>
        <w:t xml:space="preserve"> HPV16 E6/E7 DNA tattoo vaccination using genetically optimized vaccines elicit clinical and immunological responses in patients with usual vulvar intraepithelial neoplasia (uVIN): A phase I/II clinical trial. </w:t>
      </w:r>
      <w:r>
        <w:rPr>
          <w:rFonts w:ascii="Times New Roman" w:eastAsia="Times New Roman" w:hAnsi="Times New Roman" w:cs="Times New Roman"/>
          <w:b/>
        </w:rPr>
        <w:t>Journal for Immunotherapy of Cancer</w:t>
      </w:r>
      <w:r>
        <w:rPr>
          <w:rFonts w:ascii="Times New Roman" w:eastAsia="Times New Roman" w:hAnsi="Times New Roman" w:cs="Times New Roman"/>
        </w:rPr>
        <w:t>, v. 9, n. 8, 2021.</w:t>
      </w:r>
    </w:p>
    <w:p w14:paraId="7D974FF2"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BASUKALA, Om; BANKS, Lawrence. The not-so-good, the bad and the ugly: HPV E5, E6 and E7 oncoproteins in the orchestration of carcinogenesis. </w:t>
      </w:r>
      <w:r>
        <w:rPr>
          <w:rFonts w:ascii="Times New Roman" w:eastAsia="Times New Roman" w:hAnsi="Times New Roman" w:cs="Times New Roman"/>
          <w:b/>
        </w:rPr>
        <w:t>Viruses</w:t>
      </w:r>
      <w:r>
        <w:rPr>
          <w:rFonts w:ascii="Times New Roman" w:eastAsia="Times New Roman" w:hAnsi="Times New Roman" w:cs="Times New Roman"/>
        </w:rPr>
        <w:t xml:space="preserve">, v. 13, n. 10, p. 1892, 2021. </w:t>
      </w:r>
    </w:p>
    <w:p w14:paraId="30E2F2D9"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BOADA, Elia Alcaniz </w:t>
      </w:r>
      <w:r>
        <w:rPr>
          <w:rFonts w:ascii="Times New Roman" w:eastAsia="Times New Roman" w:hAnsi="Times New Roman" w:cs="Times New Roman"/>
          <w:i/>
        </w:rPr>
        <w:t>et al.</w:t>
      </w:r>
      <w:r>
        <w:rPr>
          <w:rFonts w:ascii="Times New Roman" w:eastAsia="Times New Roman" w:hAnsi="Times New Roman" w:cs="Times New Roman"/>
        </w:rPr>
        <w:t xml:space="preserve"> Agreement between L1 and E6/E7-based assays for detection of high-risk HPV in cervical, oropharyngeal and penile cancers. </w:t>
      </w:r>
      <w:r w:rsidRPr="00CF2679">
        <w:rPr>
          <w:rFonts w:ascii="Times New Roman" w:eastAsia="Times New Roman" w:hAnsi="Times New Roman" w:cs="Times New Roman"/>
          <w:b/>
          <w:lang w:val="de-DE"/>
        </w:rPr>
        <w:t>Journal of Clinical Pathology</w:t>
      </w:r>
      <w:r w:rsidRPr="00CF2679">
        <w:rPr>
          <w:rFonts w:ascii="Times New Roman" w:eastAsia="Times New Roman" w:hAnsi="Times New Roman" w:cs="Times New Roman"/>
          <w:lang w:val="de-DE"/>
        </w:rPr>
        <w:t>, v. 76, n. 7, p. 467-473, 2023.</w:t>
      </w:r>
    </w:p>
    <w:p w14:paraId="0D8B3318"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 xml:space="preserve">BORYSIEWICZ, L. K.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Pr>
          <w:rFonts w:ascii="Times New Roman" w:eastAsia="Times New Roman" w:hAnsi="Times New Roman" w:cs="Times New Roman"/>
        </w:rPr>
        <w:t xml:space="preserve">A recombinant vaccinia virus encoding human papillomavirus types 16 and 18, E6 and E7 proteins as immunotherapy for cervical cancer. </w:t>
      </w:r>
      <w:r>
        <w:rPr>
          <w:rFonts w:ascii="Times New Roman" w:eastAsia="Times New Roman" w:hAnsi="Times New Roman" w:cs="Times New Roman"/>
          <w:b/>
        </w:rPr>
        <w:t>The Lancet</w:t>
      </w:r>
      <w:r>
        <w:rPr>
          <w:rFonts w:ascii="Times New Roman" w:eastAsia="Times New Roman" w:hAnsi="Times New Roman" w:cs="Times New Roman"/>
        </w:rPr>
        <w:t>, v. 347, n. 9014, p. 1523-1527, 1996.</w:t>
      </w:r>
    </w:p>
    <w:p w14:paraId="3033E567"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BRUNI, Laia </w:t>
      </w:r>
      <w:r>
        <w:rPr>
          <w:rFonts w:ascii="Times New Roman" w:eastAsia="Times New Roman" w:hAnsi="Times New Roman" w:cs="Times New Roman"/>
          <w:i/>
        </w:rPr>
        <w:t>et al</w:t>
      </w:r>
      <w:r>
        <w:rPr>
          <w:rFonts w:ascii="Times New Roman" w:eastAsia="Times New Roman" w:hAnsi="Times New Roman" w:cs="Times New Roman"/>
        </w:rPr>
        <w:t xml:space="preserve">. HPV vaccination introduction worldwide and WHO and UNICEF estimates of national HPV immunization coverage 2010–2019. </w:t>
      </w:r>
      <w:r>
        <w:rPr>
          <w:rFonts w:ascii="Times New Roman" w:eastAsia="Times New Roman" w:hAnsi="Times New Roman" w:cs="Times New Roman"/>
          <w:b/>
        </w:rPr>
        <w:t>Preventive medicine</w:t>
      </w:r>
      <w:r>
        <w:rPr>
          <w:rFonts w:ascii="Times New Roman" w:eastAsia="Times New Roman" w:hAnsi="Times New Roman" w:cs="Times New Roman"/>
        </w:rPr>
        <w:t>, v. 144, p. 106399, 2021.</w:t>
      </w:r>
    </w:p>
    <w:p w14:paraId="51F47769"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BRUNO, Maria Teresa </w:t>
      </w:r>
      <w:r>
        <w:rPr>
          <w:rFonts w:ascii="Times New Roman" w:eastAsia="Times New Roman" w:hAnsi="Times New Roman" w:cs="Times New Roman"/>
          <w:i/>
        </w:rPr>
        <w:t xml:space="preserve">et al. </w:t>
      </w:r>
      <w:r>
        <w:rPr>
          <w:rFonts w:ascii="Times New Roman" w:eastAsia="Times New Roman" w:hAnsi="Times New Roman" w:cs="Times New Roman"/>
        </w:rPr>
        <w:t xml:space="preserve">HPV genotype determination and E6/E7 mRNA detection for management of HPV positive women. </w:t>
      </w:r>
      <w:r>
        <w:rPr>
          <w:rFonts w:ascii="Times New Roman" w:eastAsia="Times New Roman" w:hAnsi="Times New Roman" w:cs="Times New Roman"/>
          <w:b/>
        </w:rPr>
        <w:t>Virology journal</w:t>
      </w:r>
      <w:r>
        <w:rPr>
          <w:rFonts w:ascii="Times New Roman" w:eastAsia="Times New Roman" w:hAnsi="Times New Roman" w:cs="Times New Roman"/>
        </w:rPr>
        <w:t>, v. 15, p. 1-5, 2018.</w:t>
      </w:r>
    </w:p>
    <w:p w14:paraId="2A95CC90"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CHANDRA, J. </w:t>
      </w:r>
      <w:r>
        <w:rPr>
          <w:rFonts w:ascii="Times New Roman" w:eastAsia="Times New Roman" w:hAnsi="Times New Roman" w:cs="Times New Roman"/>
          <w:i/>
        </w:rPr>
        <w:t>et al.</w:t>
      </w:r>
      <w:r>
        <w:rPr>
          <w:rFonts w:ascii="Times New Roman" w:eastAsia="Times New Roman" w:hAnsi="Times New Roman" w:cs="Times New Roman"/>
        </w:rPr>
        <w:t xml:space="preserve"> A phase 1, single centre, open label, escalating dose study to assess the safety, tolerability and immunogenicity of a therapeutic human papillomavirus (HPV) DNA vaccine (AMV002) for HPV-associated head and neck cancer (HNC). </w:t>
      </w:r>
      <w:r w:rsidRPr="00CF2679">
        <w:rPr>
          <w:rFonts w:ascii="Times New Roman" w:eastAsia="Times New Roman" w:hAnsi="Times New Roman" w:cs="Times New Roman"/>
          <w:b/>
          <w:lang w:val="de-DE"/>
        </w:rPr>
        <w:t>Cancer Immunology, Immunotherapy</w:t>
      </w:r>
      <w:r w:rsidRPr="00CF2679">
        <w:rPr>
          <w:rFonts w:ascii="Times New Roman" w:eastAsia="Times New Roman" w:hAnsi="Times New Roman" w:cs="Times New Roman"/>
          <w:lang w:val="de-DE"/>
        </w:rPr>
        <w:t>, v. 70, p. 743-753, 2021.</w:t>
      </w:r>
    </w:p>
    <w:p w14:paraId="4FD58CD9"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CHEE, Yong Hun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sidRPr="00CF2679">
        <w:rPr>
          <w:rFonts w:ascii="Times New Roman" w:eastAsia="Times New Roman" w:hAnsi="Times New Roman" w:cs="Times New Roman"/>
          <w:lang w:val="it-IT"/>
        </w:rPr>
        <w:t xml:space="preserve">Immunologic diagnosis and monitoring of cervical cancers using in vitro translated HPV proteins. </w:t>
      </w:r>
      <w:r w:rsidRPr="00CF2679">
        <w:rPr>
          <w:rFonts w:ascii="Times New Roman" w:eastAsia="Times New Roman" w:hAnsi="Times New Roman" w:cs="Times New Roman"/>
          <w:b/>
          <w:lang w:val="it-IT"/>
        </w:rPr>
        <w:t>Gynecologic oncology</w:t>
      </w:r>
      <w:r w:rsidRPr="00CF2679">
        <w:rPr>
          <w:rFonts w:ascii="Times New Roman" w:eastAsia="Times New Roman" w:hAnsi="Times New Roman" w:cs="Times New Roman"/>
          <w:lang w:val="it-IT"/>
        </w:rPr>
        <w:t>, v. 57, n. 2, p. 226-231, 1995</w:t>
      </w:r>
    </w:p>
    <w:p w14:paraId="4E89472F"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DAAYANA, Sai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Phase II trial of imiquimod and HPV therapeutic vaccination in patients with vulval intraepithelial neoplasia. </w:t>
      </w:r>
      <w:r>
        <w:rPr>
          <w:rFonts w:ascii="Times New Roman" w:eastAsia="Times New Roman" w:hAnsi="Times New Roman" w:cs="Times New Roman"/>
          <w:b/>
        </w:rPr>
        <w:t>British journal of cancer</w:t>
      </w:r>
      <w:r>
        <w:rPr>
          <w:rFonts w:ascii="Times New Roman" w:eastAsia="Times New Roman" w:hAnsi="Times New Roman" w:cs="Times New Roman"/>
        </w:rPr>
        <w:t xml:space="preserve">, v. 102, n. 7, p. 1129-1136, 2010. </w:t>
      </w:r>
    </w:p>
    <w:p w14:paraId="037CB490"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lastRenderedPageBreak/>
        <w:t xml:space="preserve">DE SOUSA, Luana Guimaraes </w:t>
      </w:r>
      <w:r>
        <w:rPr>
          <w:rFonts w:ascii="Times New Roman" w:eastAsia="Times New Roman" w:hAnsi="Times New Roman" w:cs="Times New Roman"/>
          <w:i/>
        </w:rPr>
        <w:t>et al.</w:t>
      </w:r>
      <w:r>
        <w:rPr>
          <w:rFonts w:ascii="Times New Roman" w:eastAsia="Times New Roman" w:hAnsi="Times New Roman" w:cs="Times New Roman"/>
        </w:rPr>
        <w:t xml:space="preserve"> ISA101 and nivolumab for HPV16+ cancer: updated clinical efficacy and immune correlates of response. </w:t>
      </w:r>
      <w:r>
        <w:rPr>
          <w:rFonts w:ascii="Times New Roman" w:eastAsia="Times New Roman" w:hAnsi="Times New Roman" w:cs="Times New Roman"/>
          <w:b/>
        </w:rPr>
        <w:t>Journal for immunotherapy of cancer</w:t>
      </w:r>
      <w:r>
        <w:rPr>
          <w:rFonts w:ascii="Times New Roman" w:eastAsia="Times New Roman" w:hAnsi="Times New Roman" w:cs="Times New Roman"/>
        </w:rPr>
        <w:t>, v. 10, n. 2, 2022.</w:t>
      </w:r>
    </w:p>
    <w:p w14:paraId="6227ADA9" w14:textId="77777777" w:rsidR="003E729F" w:rsidRPr="0008667A"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ĐUKIĆ, Anamaria</w:t>
      </w:r>
      <w:r>
        <w:rPr>
          <w:rFonts w:ascii="Times New Roman" w:eastAsia="Times New Roman" w:hAnsi="Times New Roman" w:cs="Times New Roman"/>
          <w:i/>
        </w:rPr>
        <w:t xml:space="preserve"> et al.</w:t>
      </w:r>
      <w:r>
        <w:rPr>
          <w:rFonts w:ascii="Times New Roman" w:eastAsia="Times New Roman" w:hAnsi="Times New Roman" w:cs="Times New Roman"/>
        </w:rPr>
        <w:t xml:space="preserve"> </w:t>
      </w:r>
      <w:r w:rsidRPr="00D16000">
        <w:rPr>
          <w:rFonts w:ascii="Times New Roman" w:eastAsia="Times New Roman" w:hAnsi="Times New Roman" w:cs="Times New Roman"/>
        </w:rPr>
        <w:t xml:space="preserve">HPV oncoproteins and the ubiquitin proteasome system: a signature of malignancy?. </w:t>
      </w:r>
      <w:r w:rsidRPr="0008667A">
        <w:rPr>
          <w:rFonts w:ascii="Times New Roman" w:eastAsia="Times New Roman" w:hAnsi="Times New Roman" w:cs="Times New Roman"/>
          <w:b/>
        </w:rPr>
        <w:t>Pathogens</w:t>
      </w:r>
      <w:r w:rsidRPr="0008667A">
        <w:rPr>
          <w:rFonts w:ascii="Times New Roman" w:eastAsia="Times New Roman" w:hAnsi="Times New Roman" w:cs="Times New Roman"/>
        </w:rPr>
        <w:t xml:space="preserve">, v. 9, n. 2, p. 133, 2020. </w:t>
      </w:r>
    </w:p>
    <w:p w14:paraId="273E12D3" w14:textId="77777777" w:rsidR="003E729F" w:rsidRPr="00FD4578"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 xml:space="preserve">FISCHER, Martin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Human papilloma virus E7 oncoprotein abrogates the p53-p21-DREAM pathway. </w:t>
      </w:r>
      <w:r w:rsidRPr="00FD4578">
        <w:rPr>
          <w:rFonts w:ascii="Times New Roman" w:eastAsia="Times New Roman" w:hAnsi="Times New Roman" w:cs="Times New Roman"/>
          <w:b/>
        </w:rPr>
        <w:t>Scientific reports</w:t>
      </w:r>
      <w:r w:rsidRPr="00FD4578">
        <w:rPr>
          <w:rFonts w:ascii="Times New Roman" w:eastAsia="Times New Roman" w:hAnsi="Times New Roman" w:cs="Times New Roman"/>
        </w:rPr>
        <w:t xml:space="preserve">, v. 7, n. 1, p. 2603, 2017. </w:t>
      </w:r>
    </w:p>
    <w:p w14:paraId="1364E7BF" w14:textId="77777777" w:rsidR="003E729F" w:rsidRDefault="007D06AE">
      <w:pPr>
        <w:widowControl/>
        <w:spacing w:after="240" w:line="276" w:lineRule="auto"/>
        <w:ind w:hanging="2"/>
        <w:rPr>
          <w:rFonts w:ascii="Times New Roman" w:eastAsia="Times New Roman" w:hAnsi="Times New Roman" w:cs="Times New Roman"/>
        </w:rPr>
      </w:pPr>
      <w:r w:rsidRPr="00FD4578">
        <w:rPr>
          <w:rFonts w:ascii="Times New Roman" w:eastAsia="Times New Roman" w:hAnsi="Times New Roman" w:cs="Times New Roman"/>
        </w:rPr>
        <w:t xml:space="preserve">FONTECHA, Nerea </w:t>
      </w:r>
      <w:r w:rsidRPr="00FD4578">
        <w:rPr>
          <w:rFonts w:ascii="Times New Roman" w:eastAsia="Times New Roman" w:hAnsi="Times New Roman" w:cs="Times New Roman"/>
          <w:i/>
        </w:rPr>
        <w:t>et al.</w:t>
      </w:r>
      <w:r w:rsidRPr="00FD4578">
        <w:rPr>
          <w:rFonts w:ascii="Times New Roman" w:eastAsia="Times New Roman" w:hAnsi="Times New Roman" w:cs="Times New Roman"/>
        </w:rPr>
        <w:t xml:space="preserve"> </w:t>
      </w:r>
      <w:r>
        <w:rPr>
          <w:rFonts w:ascii="Times New Roman" w:eastAsia="Times New Roman" w:hAnsi="Times New Roman" w:cs="Times New Roman"/>
        </w:rPr>
        <w:t xml:space="preserve">Assessment of human papillomavirus E6/E7 oncogene expression as cervical disease biomarker. </w:t>
      </w:r>
      <w:r>
        <w:rPr>
          <w:rFonts w:ascii="Times New Roman" w:eastAsia="Times New Roman" w:hAnsi="Times New Roman" w:cs="Times New Roman"/>
          <w:b/>
        </w:rPr>
        <w:t>BMC cancer</w:t>
      </w:r>
      <w:r>
        <w:rPr>
          <w:rFonts w:ascii="Times New Roman" w:eastAsia="Times New Roman" w:hAnsi="Times New Roman" w:cs="Times New Roman"/>
        </w:rPr>
        <w:t>, v. 16, p. 1-7, 2016.</w:t>
      </w:r>
    </w:p>
    <w:p w14:paraId="211B3B9E"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GHEIT, Tarik. Mucosal and cutaneous human papillomavirus infections and cancer biology. </w:t>
      </w:r>
      <w:r>
        <w:rPr>
          <w:rFonts w:ascii="Times New Roman" w:eastAsia="Times New Roman" w:hAnsi="Times New Roman" w:cs="Times New Roman"/>
          <w:b/>
        </w:rPr>
        <w:t>Frontiers in Oncology</w:t>
      </w:r>
      <w:r>
        <w:rPr>
          <w:rFonts w:ascii="Times New Roman" w:eastAsia="Times New Roman" w:hAnsi="Times New Roman" w:cs="Times New Roman"/>
        </w:rPr>
        <w:t xml:space="preserve">, v. 9, p. 355, 2019. </w:t>
      </w:r>
    </w:p>
    <w:p w14:paraId="2CCADCD7" w14:textId="77777777" w:rsidR="003E729F" w:rsidRPr="00D16000" w:rsidRDefault="007D06AE">
      <w:pPr>
        <w:widowControl/>
        <w:spacing w:after="240" w:line="276" w:lineRule="auto"/>
        <w:ind w:hanging="2"/>
        <w:rPr>
          <w:rFonts w:ascii="Times New Roman" w:eastAsia="Times New Roman" w:hAnsi="Times New Roman" w:cs="Times New Roman"/>
          <w:lang w:val="it-IT"/>
        </w:rPr>
      </w:pPr>
      <w:r w:rsidRPr="00D16000">
        <w:rPr>
          <w:rFonts w:ascii="Times New Roman" w:eastAsia="Times New Roman" w:hAnsi="Times New Roman" w:cs="Times New Roman"/>
          <w:lang w:val="it-IT"/>
        </w:rPr>
        <w:t xml:space="preserve">GHITTONI, Raffaella </w:t>
      </w:r>
      <w:r w:rsidRPr="00D16000">
        <w:rPr>
          <w:rFonts w:ascii="Times New Roman" w:eastAsia="Times New Roman" w:hAnsi="Times New Roman" w:cs="Times New Roman"/>
          <w:i/>
          <w:lang w:val="it-IT"/>
        </w:rPr>
        <w:t>et al.</w:t>
      </w:r>
      <w:r w:rsidRPr="00D16000">
        <w:rPr>
          <w:rFonts w:ascii="Times New Roman" w:eastAsia="Times New Roman" w:hAnsi="Times New Roman" w:cs="Times New Roman"/>
          <w:lang w:val="it-IT"/>
        </w:rPr>
        <w:t xml:space="preserve"> The biological properties of E6 and E7 oncoproteins from human papillomaviruses. </w:t>
      </w:r>
      <w:r w:rsidRPr="00D16000">
        <w:rPr>
          <w:rFonts w:ascii="Times New Roman" w:eastAsia="Times New Roman" w:hAnsi="Times New Roman" w:cs="Times New Roman"/>
          <w:b/>
          <w:lang w:val="it-IT"/>
        </w:rPr>
        <w:t>Virus genes</w:t>
      </w:r>
      <w:r w:rsidRPr="00D16000">
        <w:rPr>
          <w:rFonts w:ascii="Times New Roman" w:eastAsia="Times New Roman" w:hAnsi="Times New Roman" w:cs="Times New Roman"/>
          <w:lang w:val="it-IT"/>
        </w:rPr>
        <w:t>, v. 40, p. 1-13, 2010.</w:t>
      </w:r>
    </w:p>
    <w:p w14:paraId="7D86DFAC" w14:textId="77777777" w:rsidR="003E729F" w:rsidRPr="00D16000" w:rsidRDefault="007D06AE">
      <w:pPr>
        <w:widowControl/>
        <w:spacing w:after="240" w:line="276" w:lineRule="auto"/>
        <w:ind w:hanging="2"/>
        <w:rPr>
          <w:rFonts w:ascii="Times New Roman" w:eastAsia="Times New Roman" w:hAnsi="Times New Roman" w:cs="Times New Roman"/>
          <w:lang w:val="it-IT"/>
        </w:rPr>
      </w:pPr>
      <w:r w:rsidRPr="00D16000">
        <w:rPr>
          <w:rFonts w:ascii="Times New Roman" w:eastAsia="Times New Roman" w:hAnsi="Times New Roman" w:cs="Times New Roman"/>
          <w:lang w:val="it-IT"/>
        </w:rPr>
        <w:t xml:space="preserve">HALLEZ, Sophie </w:t>
      </w:r>
      <w:r w:rsidRPr="00D16000">
        <w:rPr>
          <w:rFonts w:ascii="Times New Roman" w:eastAsia="Times New Roman" w:hAnsi="Times New Roman" w:cs="Times New Roman"/>
          <w:i/>
          <w:lang w:val="it-IT"/>
        </w:rPr>
        <w:t xml:space="preserve">et al. </w:t>
      </w:r>
      <w:r w:rsidRPr="00D16000">
        <w:rPr>
          <w:rFonts w:ascii="Times New Roman" w:eastAsia="Times New Roman" w:hAnsi="Times New Roman" w:cs="Times New Roman"/>
          <w:lang w:val="it-IT"/>
        </w:rPr>
        <w:t xml:space="preserve">Phase I/II trial of immunogenicity of a human papillomavirus (HPV) type 16 E7 protein–based vaccine in women with oncogenic HPV-positive cervical intraepithelial neoplasia. </w:t>
      </w:r>
      <w:r w:rsidRPr="00D16000">
        <w:rPr>
          <w:rFonts w:ascii="Times New Roman" w:eastAsia="Times New Roman" w:hAnsi="Times New Roman" w:cs="Times New Roman"/>
          <w:b/>
          <w:lang w:val="it-IT"/>
        </w:rPr>
        <w:t>Cancer Immunology, Immunotherapy</w:t>
      </w:r>
      <w:r w:rsidRPr="00D16000">
        <w:rPr>
          <w:rFonts w:ascii="Times New Roman" w:eastAsia="Times New Roman" w:hAnsi="Times New Roman" w:cs="Times New Roman"/>
          <w:lang w:val="it-IT"/>
        </w:rPr>
        <w:t>, v. 53, p. 642-650, 2004.</w:t>
      </w:r>
    </w:p>
    <w:p w14:paraId="3A3FB2D6" w14:textId="77777777" w:rsidR="003E729F" w:rsidRPr="00D16000" w:rsidRDefault="007D06AE">
      <w:pPr>
        <w:widowControl/>
        <w:spacing w:after="240" w:line="276" w:lineRule="auto"/>
        <w:ind w:hanging="2"/>
        <w:rPr>
          <w:rFonts w:ascii="Times New Roman" w:eastAsia="Times New Roman" w:hAnsi="Times New Roman" w:cs="Times New Roman"/>
          <w:lang w:val="it-IT"/>
        </w:rPr>
      </w:pPr>
      <w:r w:rsidRPr="00D16000">
        <w:rPr>
          <w:rFonts w:ascii="Times New Roman" w:eastAsia="Times New Roman" w:hAnsi="Times New Roman" w:cs="Times New Roman"/>
          <w:lang w:val="it-IT"/>
        </w:rPr>
        <w:t>HAO, Yi</w:t>
      </w:r>
      <w:r w:rsidRPr="00D16000">
        <w:rPr>
          <w:rFonts w:ascii="Times New Roman" w:eastAsia="Times New Roman" w:hAnsi="Times New Roman" w:cs="Times New Roman"/>
          <w:i/>
          <w:lang w:val="it-IT"/>
        </w:rPr>
        <w:t xml:space="preserve"> et al. </w:t>
      </w:r>
      <w:r w:rsidRPr="00D16000">
        <w:rPr>
          <w:rFonts w:ascii="Times New Roman" w:eastAsia="Times New Roman" w:hAnsi="Times New Roman" w:cs="Times New Roman"/>
          <w:lang w:val="it-IT"/>
        </w:rPr>
        <w:t xml:space="preserve">TLR9 expression in uterine cervical lesions of Uyghur women correlate with cervical cancer progression and selective silencing of human papillomavirus 16 E6 and E7 oncoproteins in vitro. </w:t>
      </w:r>
      <w:r w:rsidRPr="00D16000">
        <w:rPr>
          <w:rFonts w:ascii="Times New Roman" w:eastAsia="Times New Roman" w:hAnsi="Times New Roman" w:cs="Times New Roman"/>
          <w:b/>
          <w:lang w:val="it-IT"/>
        </w:rPr>
        <w:t>Asian Pacific Journal of Cancer Prevention</w:t>
      </w:r>
      <w:r w:rsidRPr="00D16000">
        <w:rPr>
          <w:rFonts w:ascii="Times New Roman" w:eastAsia="Times New Roman" w:hAnsi="Times New Roman" w:cs="Times New Roman"/>
          <w:lang w:val="it-IT"/>
        </w:rPr>
        <w:t>, v. 15, n. 14, p. 5867-5872, 2014.</w:t>
      </w:r>
    </w:p>
    <w:p w14:paraId="38BC7E34"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D16000">
        <w:rPr>
          <w:rFonts w:ascii="Times New Roman" w:eastAsia="Times New Roman" w:hAnsi="Times New Roman" w:cs="Times New Roman"/>
          <w:lang w:val="it-IT"/>
        </w:rPr>
        <w:t xml:space="preserve">HASAN, Yasmin </w:t>
      </w:r>
      <w:r w:rsidRPr="00D16000">
        <w:rPr>
          <w:rFonts w:ascii="Times New Roman" w:eastAsia="Times New Roman" w:hAnsi="Times New Roman" w:cs="Times New Roman"/>
          <w:i/>
          <w:lang w:val="it-IT"/>
        </w:rPr>
        <w:t>et al.</w:t>
      </w:r>
      <w:r w:rsidRPr="00D16000">
        <w:rPr>
          <w:rFonts w:ascii="Times New Roman" w:eastAsia="Times New Roman" w:hAnsi="Times New Roman" w:cs="Times New Roman"/>
          <w:lang w:val="it-IT"/>
        </w:rPr>
        <w:t xml:space="preserve"> A phase 1 trial assessing the safety and tolerability of a therapeutic DNA vaccination against HPV16 and HPV18 E6/E7 oncogenes after chemoradiation for cervical cancer. </w:t>
      </w:r>
      <w:r w:rsidRPr="00CF2679">
        <w:rPr>
          <w:rFonts w:ascii="Times New Roman" w:eastAsia="Times New Roman" w:hAnsi="Times New Roman" w:cs="Times New Roman"/>
          <w:b/>
          <w:lang w:val="de-DE"/>
        </w:rPr>
        <w:t>International Journal of Radiation Oncology, Biology, Physics</w:t>
      </w:r>
      <w:r w:rsidRPr="00CF2679">
        <w:rPr>
          <w:rFonts w:ascii="Times New Roman" w:eastAsia="Times New Roman" w:hAnsi="Times New Roman" w:cs="Times New Roman"/>
          <w:lang w:val="de-DE"/>
        </w:rPr>
        <w:t>, v. 107, n. 3, p. 487-498, 2020.</w:t>
      </w:r>
    </w:p>
    <w:p w14:paraId="32426F27" w14:textId="77777777" w:rsidR="003E729F" w:rsidRPr="00FD4578"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HELLNER, Karin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HPV16 E7 oncogene expression in normal human epithelial cells causes molecular changes indicative of an epithelial to mesenchymal transition. </w:t>
      </w:r>
      <w:r w:rsidRPr="00FD4578">
        <w:rPr>
          <w:rFonts w:ascii="Times New Roman" w:eastAsia="Times New Roman" w:hAnsi="Times New Roman" w:cs="Times New Roman"/>
          <w:b/>
          <w:lang w:val="de-DE"/>
        </w:rPr>
        <w:t>Virology</w:t>
      </w:r>
      <w:r w:rsidRPr="00FD4578">
        <w:rPr>
          <w:rFonts w:ascii="Times New Roman" w:eastAsia="Times New Roman" w:hAnsi="Times New Roman" w:cs="Times New Roman"/>
          <w:lang w:val="de-DE"/>
        </w:rPr>
        <w:t xml:space="preserve">, v. 391, n. 1, p. 57-63, 2009. </w:t>
      </w:r>
    </w:p>
    <w:p w14:paraId="39AEF1FA" w14:textId="77777777" w:rsidR="003E729F" w:rsidRPr="00FD4578" w:rsidRDefault="007D06AE">
      <w:pPr>
        <w:widowControl/>
        <w:spacing w:after="240" w:line="276" w:lineRule="auto"/>
        <w:ind w:hanging="2"/>
        <w:rPr>
          <w:rFonts w:ascii="Times New Roman" w:eastAsia="Times New Roman" w:hAnsi="Times New Roman" w:cs="Times New Roman"/>
          <w:lang w:val="de-DE"/>
        </w:rPr>
      </w:pPr>
      <w:r w:rsidRPr="00FD4578">
        <w:rPr>
          <w:rFonts w:ascii="Times New Roman" w:eastAsia="Times New Roman" w:hAnsi="Times New Roman" w:cs="Times New Roman"/>
          <w:lang w:val="de-DE"/>
        </w:rPr>
        <w:t>IKEDA, Yuji</w:t>
      </w:r>
      <w:r w:rsidRPr="00FD4578">
        <w:rPr>
          <w:rFonts w:ascii="Times New Roman" w:eastAsia="Times New Roman" w:hAnsi="Times New Roman" w:cs="Times New Roman"/>
          <w:i/>
          <w:lang w:val="de-DE"/>
        </w:rPr>
        <w:t xml:space="preserve"> et al. </w:t>
      </w:r>
      <w:r w:rsidRPr="00FD4578">
        <w:rPr>
          <w:rFonts w:ascii="Times New Roman" w:eastAsia="Times New Roman" w:hAnsi="Times New Roman" w:cs="Times New Roman"/>
          <w:lang w:val="de-DE"/>
        </w:rPr>
        <w:t xml:space="preserve">A placebo-controlled, double-blind randomized (phase IIB) trial of oral administration with HPV16 E7-expressing Lactobacillus, GLBL101c, for the treatment of cervical intraepithelial neoplasia grade 2 (CIN2). </w:t>
      </w:r>
      <w:r w:rsidRPr="00FD4578">
        <w:rPr>
          <w:rFonts w:ascii="Times New Roman" w:eastAsia="Times New Roman" w:hAnsi="Times New Roman" w:cs="Times New Roman"/>
          <w:b/>
          <w:lang w:val="de-DE"/>
        </w:rPr>
        <w:t>Vaccines</w:t>
      </w:r>
      <w:r w:rsidRPr="00FD4578">
        <w:rPr>
          <w:rFonts w:ascii="Times New Roman" w:eastAsia="Times New Roman" w:hAnsi="Times New Roman" w:cs="Times New Roman"/>
          <w:lang w:val="de-DE"/>
        </w:rPr>
        <w:t>, v. 9, n. 4, p. 329, 2021.</w:t>
      </w:r>
    </w:p>
    <w:p w14:paraId="0785D040" w14:textId="77777777" w:rsidR="003E729F" w:rsidRPr="00FD4578" w:rsidRDefault="007D06AE">
      <w:pPr>
        <w:widowControl/>
        <w:spacing w:after="240" w:line="276" w:lineRule="auto"/>
        <w:ind w:hanging="2"/>
        <w:rPr>
          <w:rFonts w:ascii="Times New Roman" w:eastAsia="Times New Roman" w:hAnsi="Times New Roman" w:cs="Times New Roman"/>
          <w:lang w:val="de-DE"/>
        </w:rPr>
      </w:pPr>
      <w:r w:rsidRPr="00FD4578">
        <w:rPr>
          <w:rFonts w:ascii="Times New Roman" w:eastAsia="Times New Roman" w:hAnsi="Times New Roman" w:cs="Times New Roman"/>
          <w:lang w:val="de-DE"/>
        </w:rPr>
        <w:t>JANG, Sunphil</w:t>
      </w:r>
      <w:r w:rsidRPr="00FD4578">
        <w:rPr>
          <w:rFonts w:ascii="Times New Roman" w:eastAsia="Times New Roman" w:hAnsi="Times New Roman" w:cs="Times New Roman"/>
          <w:i/>
          <w:lang w:val="de-DE"/>
        </w:rPr>
        <w:t xml:space="preserve"> et al.</w:t>
      </w:r>
      <w:r w:rsidRPr="00FD4578">
        <w:rPr>
          <w:rFonts w:ascii="Times New Roman" w:eastAsia="Times New Roman" w:hAnsi="Times New Roman" w:cs="Times New Roman"/>
          <w:lang w:val="de-DE"/>
        </w:rPr>
        <w:t xml:space="preserve"> Identification of novel immunogenic human leukocyte antigen‐A* 2402‐binding epitopes of human papillomavirus type 16 E7 for immunotherapy against human cervical cancer. </w:t>
      </w:r>
      <w:r w:rsidRPr="00FD4578">
        <w:rPr>
          <w:rFonts w:ascii="Times New Roman" w:eastAsia="Times New Roman" w:hAnsi="Times New Roman" w:cs="Times New Roman"/>
          <w:b/>
          <w:lang w:val="de-DE"/>
        </w:rPr>
        <w:t>Cancer</w:t>
      </w:r>
      <w:r w:rsidRPr="00FD4578">
        <w:rPr>
          <w:rFonts w:ascii="Times New Roman" w:eastAsia="Times New Roman" w:hAnsi="Times New Roman" w:cs="Times New Roman"/>
          <w:lang w:val="de-DE"/>
        </w:rPr>
        <w:t>, v. 118, n. 8, p. 2173-2183, 2012.</w:t>
      </w:r>
    </w:p>
    <w:p w14:paraId="3392E537"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FD4578">
        <w:rPr>
          <w:rFonts w:ascii="Times New Roman" w:eastAsia="Times New Roman" w:hAnsi="Times New Roman" w:cs="Times New Roman"/>
          <w:lang w:val="de-DE"/>
        </w:rPr>
        <w:lastRenderedPageBreak/>
        <w:t xml:space="preserve">KALINGANIRE, Nadia </w:t>
      </w:r>
      <w:r w:rsidRPr="00FD4578">
        <w:rPr>
          <w:rFonts w:ascii="Times New Roman" w:eastAsia="Times New Roman" w:hAnsi="Times New Roman" w:cs="Times New Roman"/>
          <w:i/>
          <w:lang w:val="de-DE"/>
        </w:rPr>
        <w:t>et al.</w:t>
      </w:r>
      <w:r w:rsidRPr="00FD4578">
        <w:rPr>
          <w:rFonts w:ascii="Times New Roman" w:eastAsia="Times New Roman" w:hAnsi="Times New Roman" w:cs="Times New Roman"/>
          <w:lang w:val="de-DE"/>
        </w:rPr>
        <w:t xml:space="preserve"> Oral-genital HPV infection transmission, concordance of HPV genotypes and genital lesions among spouses/partners of patients diagnosed with HPV-related head and neck squamous cell carcinoma (HNSCC): a scoping review. </w:t>
      </w:r>
      <w:r w:rsidRPr="00CF2679">
        <w:rPr>
          <w:rFonts w:ascii="Times New Roman" w:eastAsia="Times New Roman" w:hAnsi="Times New Roman" w:cs="Times New Roman"/>
          <w:b/>
          <w:lang w:val="de-DE"/>
        </w:rPr>
        <w:t>Infectious Agents and Cancer</w:t>
      </w:r>
      <w:r w:rsidRPr="00CF2679">
        <w:rPr>
          <w:rFonts w:ascii="Times New Roman" w:eastAsia="Times New Roman" w:hAnsi="Times New Roman" w:cs="Times New Roman"/>
          <w:lang w:val="de-DE"/>
        </w:rPr>
        <w:t>, v. 18, n. 1, p. 63, 2023.</w:t>
      </w:r>
    </w:p>
    <w:p w14:paraId="25705123"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KAWANA, Kei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Oral vaccination against HPV E7 for treatment of cervical intraepithelial neoplasia grade 3 (CIN3) elicits E7-specific mucosal immunity in the cervix of CIN3 patients. </w:t>
      </w:r>
      <w:r w:rsidRPr="00CF2679">
        <w:rPr>
          <w:rFonts w:ascii="Times New Roman" w:eastAsia="Times New Roman" w:hAnsi="Times New Roman" w:cs="Times New Roman"/>
          <w:b/>
          <w:lang w:val="de-DE"/>
        </w:rPr>
        <w:t>Vaccine</w:t>
      </w:r>
      <w:r w:rsidRPr="00CF2679">
        <w:rPr>
          <w:rFonts w:ascii="Times New Roman" w:eastAsia="Times New Roman" w:hAnsi="Times New Roman" w:cs="Times New Roman"/>
          <w:lang w:val="de-DE"/>
        </w:rPr>
        <w:t>, v. 32, n. 47, p. 6233-6239, 2014.</w:t>
      </w:r>
    </w:p>
    <w:p w14:paraId="60E5839B"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KAWANA, Kei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Phase I and II randomized clinical trial of an oral therapeutic vaccine targeting human papillomavirus for treatment of cervical intraepithelial neoplasia 2 and 3. </w:t>
      </w:r>
      <w:r w:rsidRPr="00CF2679">
        <w:rPr>
          <w:rFonts w:ascii="Times New Roman" w:eastAsia="Times New Roman" w:hAnsi="Times New Roman" w:cs="Times New Roman"/>
          <w:b/>
          <w:lang w:val="it-IT"/>
        </w:rPr>
        <w:t>JNCI Cancer Spectrum</w:t>
      </w:r>
      <w:r w:rsidRPr="00CF2679">
        <w:rPr>
          <w:rFonts w:ascii="Times New Roman" w:eastAsia="Times New Roman" w:hAnsi="Times New Roman" w:cs="Times New Roman"/>
          <w:lang w:val="it-IT"/>
        </w:rPr>
        <w:t>, v. 7, n. 6, p. pkad101, 2023.</w:t>
      </w:r>
    </w:p>
    <w:p w14:paraId="5FF6AD9E"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KENTER, Gemma G.</w:t>
      </w:r>
      <w:r w:rsidRPr="00CF2679">
        <w:rPr>
          <w:rFonts w:ascii="Times New Roman" w:eastAsia="Times New Roman" w:hAnsi="Times New Roman" w:cs="Times New Roman"/>
          <w:i/>
          <w:lang w:val="it-IT"/>
        </w:rPr>
        <w:t xml:space="preserve"> et al.</w:t>
      </w:r>
      <w:r w:rsidRPr="00CF2679">
        <w:rPr>
          <w:rFonts w:ascii="Times New Roman" w:eastAsia="Times New Roman" w:hAnsi="Times New Roman" w:cs="Times New Roman"/>
          <w:lang w:val="it-IT"/>
        </w:rPr>
        <w:t xml:space="preserve"> Phase I immunotherapeutic trial with long peptides spanning the E6 and E7 sequences of high-risk human papillomavirus 16 in end-stage cervical cancer patients shows low toxicity and robust immunogenicity. </w:t>
      </w:r>
      <w:r w:rsidRPr="00CF2679">
        <w:rPr>
          <w:rFonts w:ascii="Times New Roman" w:eastAsia="Times New Roman" w:hAnsi="Times New Roman" w:cs="Times New Roman"/>
          <w:b/>
          <w:lang w:val="it-IT"/>
        </w:rPr>
        <w:t>Clinical cancer research</w:t>
      </w:r>
      <w:r w:rsidRPr="00CF2679">
        <w:rPr>
          <w:rFonts w:ascii="Times New Roman" w:eastAsia="Times New Roman" w:hAnsi="Times New Roman" w:cs="Times New Roman"/>
          <w:lang w:val="it-IT"/>
        </w:rPr>
        <w:t>, v. 14, n. 1, p. 169-177, 2008.</w:t>
      </w:r>
    </w:p>
    <w:p w14:paraId="156F7E36"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KENTER, Gemma G.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w:t>
      </w:r>
      <w:r w:rsidRPr="00362BED">
        <w:rPr>
          <w:rFonts w:ascii="Times New Roman" w:eastAsia="Times New Roman" w:hAnsi="Times New Roman" w:cs="Times New Roman"/>
          <w:lang w:val="it-IT"/>
        </w:rPr>
        <w:t xml:space="preserve">Vaccination against HPV16 oncoproteins for vulvar intraepithelial neoplasia. </w:t>
      </w:r>
      <w:r>
        <w:rPr>
          <w:rFonts w:ascii="Times New Roman" w:eastAsia="Times New Roman" w:hAnsi="Times New Roman" w:cs="Times New Roman"/>
          <w:b/>
        </w:rPr>
        <w:t>New England Journal of Medicine</w:t>
      </w:r>
      <w:r>
        <w:rPr>
          <w:rFonts w:ascii="Times New Roman" w:eastAsia="Times New Roman" w:hAnsi="Times New Roman" w:cs="Times New Roman"/>
        </w:rPr>
        <w:t>, v. 361, n. 19, p. 1838-1847, 2009.</w:t>
      </w:r>
    </w:p>
    <w:p w14:paraId="7149A219"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MALLA, RamaRao; KAMAL, Mohammad A. E6 and E7 oncoproteins: Potential targets of cervical cancer. </w:t>
      </w:r>
      <w:r>
        <w:rPr>
          <w:rFonts w:ascii="Times New Roman" w:eastAsia="Times New Roman" w:hAnsi="Times New Roman" w:cs="Times New Roman"/>
          <w:b/>
        </w:rPr>
        <w:t>Current Medicinal Chemistry</w:t>
      </w:r>
      <w:r>
        <w:rPr>
          <w:rFonts w:ascii="Times New Roman" w:eastAsia="Times New Roman" w:hAnsi="Times New Roman" w:cs="Times New Roman"/>
        </w:rPr>
        <w:t>, v. 28, n. 39, p. 8163-8181, 2021.</w:t>
      </w:r>
    </w:p>
    <w:p w14:paraId="30DC9A09"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Pr>
          <w:rFonts w:ascii="Times New Roman" w:eastAsia="Times New Roman" w:hAnsi="Times New Roman" w:cs="Times New Roman"/>
        </w:rPr>
        <w:t xml:space="preserve">MENEZES, Fabrício dos Santos </w:t>
      </w:r>
      <w:r>
        <w:rPr>
          <w:rFonts w:ascii="Times New Roman" w:eastAsia="Times New Roman" w:hAnsi="Times New Roman" w:cs="Times New Roman"/>
          <w:i/>
        </w:rPr>
        <w:t>et al.</w:t>
      </w:r>
      <w:r>
        <w:rPr>
          <w:rFonts w:ascii="Times New Roman" w:eastAsia="Times New Roman" w:hAnsi="Times New Roman" w:cs="Times New Roman"/>
        </w:rPr>
        <w:t xml:space="preserve"> The emerging risk of oropharyngeal and oral cavity cancer in HPV-related subsites in young people in Brazil. </w:t>
      </w:r>
      <w:r w:rsidRPr="00CF2679">
        <w:rPr>
          <w:rFonts w:ascii="Times New Roman" w:eastAsia="Times New Roman" w:hAnsi="Times New Roman" w:cs="Times New Roman"/>
          <w:b/>
          <w:lang w:val="it-IT"/>
        </w:rPr>
        <w:t>PLoS One</w:t>
      </w:r>
      <w:r w:rsidRPr="00CF2679">
        <w:rPr>
          <w:rFonts w:ascii="Times New Roman" w:eastAsia="Times New Roman" w:hAnsi="Times New Roman" w:cs="Times New Roman"/>
          <w:lang w:val="it-IT"/>
        </w:rPr>
        <w:t>, v. 15, n. 5, p. e0232871, 2020.</w:t>
      </w:r>
    </w:p>
    <w:p w14:paraId="1A0E15FA"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PENG, Shiwen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Development of DNA vaccine targeting E6 and E7 proteins of human papillomavirus 16 (HPV16) and HPV18 for immunotherapy in combination with recombinant vaccinia boost and PD-1 antibody. </w:t>
      </w:r>
      <w:r w:rsidRPr="00CF2679">
        <w:rPr>
          <w:rFonts w:ascii="Times New Roman" w:eastAsia="Times New Roman" w:hAnsi="Times New Roman" w:cs="Times New Roman"/>
          <w:b/>
          <w:lang w:val="it-IT"/>
        </w:rPr>
        <w:t>MBio</w:t>
      </w:r>
      <w:r w:rsidRPr="00CF2679">
        <w:rPr>
          <w:rFonts w:ascii="Times New Roman" w:eastAsia="Times New Roman" w:hAnsi="Times New Roman" w:cs="Times New Roman"/>
          <w:lang w:val="it-IT"/>
        </w:rPr>
        <w:t>, v. 12, n. 1, p. 10.1128/mbio. 03224-20, 2021.</w:t>
      </w:r>
    </w:p>
    <w:p w14:paraId="296DCEF8"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PEŠUT, Ena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Human papillomaviruses-associated cancers: an update of current knowledge. </w:t>
      </w:r>
      <w:r w:rsidRPr="00CF2679">
        <w:rPr>
          <w:rFonts w:ascii="Times New Roman" w:eastAsia="Times New Roman" w:hAnsi="Times New Roman" w:cs="Times New Roman"/>
          <w:b/>
          <w:lang w:val="it-IT"/>
        </w:rPr>
        <w:t>Viruses</w:t>
      </w:r>
      <w:r w:rsidRPr="00CF2679">
        <w:rPr>
          <w:rFonts w:ascii="Times New Roman" w:eastAsia="Times New Roman" w:hAnsi="Times New Roman" w:cs="Times New Roman"/>
          <w:lang w:val="it-IT"/>
        </w:rPr>
        <w:t xml:space="preserve">, v. 13, n. 11, p. 2234, 2021. </w:t>
      </w:r>
    </w:p>
    <w:p w14:paraId="74A9CDF1"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PETERS, Micah DJ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Updated methodological guidance for the conduct of scoping reviews. </w:t>
      </w:r>
      <w:r w:rsidRPr="00CF2679">
        <w:rPr>
          <w:rFonts w:ascii="Times New Roman" w:eastAsia="Times New Roman" w:hAnsi="Times New Roman" w:cs="Times New Roman"/>
          <w:b/>
          <w:lang w:val="it-IT"/>
        </w:rPr>
        <w:t>JBI evidence synthesis</w:t>
      </w:r>
      <w:r w:rsidRPr="00CF2679">
        <w:rPr>
          <w:rFonts w:ascii="Times New Roman" w:eastAsia="Times New Roman" w:hAnsi="Times New Roman" w:cs="Times New Roman"/>
          <w:lang w:val="it-IT"/>
        </w:rPr>
        <w:t>, v. 18, n. 10, p. 2119-2126, 2020.</w:t>
      </w:r>
    </w:p>
    <w:p w14:paraId="314E8C30"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PRATIWI, Sari Eka et al. A novel therapeutic multiepitope vaccine based on oncoprotein E6 and E7 of HPV 16 and 18: An in silico approach. </w:t>
      </w:r>
      <w:r>
        <w:rPr>
          <w:rFonts w:ascii="Times New Roman" w:eastAsia="Times New Roman" w:hAnsi="Times New Roman" w:cs="Times New Roman"/>
          <w:b/>
        </w:rPr>
        <w:t>BioImpacts: BI</w:t>
      </w:r>
      <w:r>
        <w:rPr>
          <w:rFonts w:ascii="Times New Roman" w:eastAsia="Times New Roman" w:hAnsi="Times New Roman" w:cs="Times New Roman"/>
        </w:rPr>
        <w:t>, v. 14, n. 5, p. 27846, 2024.</w:t>
      </w:r>
    </w:p>
    <w:p w14:paraId="2D64EE2C"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lastRenderedPageBreak/>
        <w:t xml:space="preserve">RODRIGUES, L. C. </w:t>
      </w:r>
      <w:r>
        <w:rPr>
          <w:rFonts w:ascii="Times New Roman" w:eastAsia="Times New Roman" w:hAnsi="Times New Roman" w:cs="Times New Roman"/>
          <w:i/>
        </w:rPr>
        <w:t xml:space="preserve">et al. </w:t>
      </w:r>
      <w:r>
        <w:rPr>
          <w:rFonts w:ascii="Times New Roman" w:eastAsia="Times New Roman" w:hAnsi="Times New Roman" w:cs="Times New Roman"/>
        </w:rPr>
        <w:t xml:space="preserve">Immunoexpression of HPV 16/18 E6 and E7 oncoproteins in high-grade cervical squamous intraepithelial lesions in HIV-positive women. </w:t>
      </w:r>
      <w:r w:rsidRPr="00CF2679">
        <w:rPr>
          <w:rFonts w:ascii="Times New Roman" w:eastAsia="Times New Roman" w:hAnsi="Times New Roman" w:cs="Times New Roman"/>
          <w:b/>
          <w:lang w:val="de-DE"/>
        </w:rPr>
        <w:t>Genet Mol Res</w:t>
      </w:r>
      <w:r w:rsidRPr="00CF2679">
        <w:rPr>
          <w:rFonts w:ascii="Times New Roman" w:eastAsia="Times New Roman" w:hAnsi="Times New Roman" w:cs="Times New Roman"/>
          <w:lang w:val="de-DE"/>
        </w:rPr>
        <w:t>, v. 15, n. 1, 2016.</w:t>
      </w:r>
    </w:p>
    <w:p w14:paraId="1411D492"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ROMAN, L. D.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A phase II study of Hsp-7 (SGN-00101) in women with high-grade cervical intraepithelial neoplasia. </w:t>
      </w:r>
      <w:r w:rsidRPr="00CF2679">
        <w:rPr>
          <w:rFonts w:ascii="Times New Roman" w:eastAsia="Times New Roman" w:hAnsi="Times New Roman" w:cs="Times New Roman"/>
          <w:b/>
          <w:lang w:val="de-DE"/>
        </w:rPr>
        <w:t>Gynecologic oncology</w:t>
      </w:r>
      <w:r w:rsidRPr="00CF2679">
        <w:rPr>
          <w:rFonts w:ascii="Times New Roman" w:eastAsia="Times New Roman" w:hAnsi="Times New Roman" w:cs="Times New Roman"/>
          <w:lang w:val="de-DE"/>
        </w:rPr>
        <w:t>, v. 106, n. 3, p. 558-566, 2007.</w:t>
      </w:r>
    </w:p>
    <w:p w14:paraId="0B149C91"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it-IT"/>
        </w:rPr>
        <w:t xml:space="preserve">SANTIN, Alessandro D. </w:t>
      </w:r>
      <w:r w:rsidRPr="00CF2679">
        <w:rPr>
          <w:rFonts w:ascii="Times New Roman" w:eastAsia="Times New Roman" w:hAnsi="Times New Roman" w:cs="Times New Roman"/>
          <w:i/>
          <w:lang w:val="it-IT"/>
        </w:rPr>
        <w:t xml:space="preserve">et al. </w:t>
      </w:r>
      <w:r w:rsidRPr="00CF2679">
        <w:rPr>
          <w:rFonts w:ascii="Times New Roman" w:eastAsia="Times New Roman" w:hAnsi="Times New Roman" w:cs="Times New Roman"/>
          <w:lang w:val="it-IT"/>
        </w:rPr>
        <w:t xml:space="preserve">Human papillomavirus type 16 and 18 E7-pulsed dendritic cell vaccination of stage IB or IIA cervical cancer patients: a phase I escalating-dose trial. </w:t>
      </w:r>
      <w:r w:rsidRPr="00CF2679">
        <w:rPr>
          <w:rFonts w:ascii="Times New Roman" w:eastAsia="Times New Roman" w:hAnsi="Times New Roman" w:cs="Times New Roman"/>
          <w:b/>
          <w:lang w:val="de-DE"/>
        </w:rPr>
        <w:t>Journal of virology</w:t>
      </w:r>
      <w:r w:rsidRPr="00CF2679">
        <w:rPr>
          <w:rFonts w:ascii="Times New Roman" w:eastAsia="Times New Roman" w:hAnsi="Times New Roman" w:cs="Times New Roman"/>
          <w:lang w:val="de-DE"/>
        </w:rPr>
        <w:t>, v. 82, n. 4, p. 1968-1979, 2008.</w:t>
      </w:r>
    </w:p>
    <w:p w14:paraId="30C70AA5"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SHEETS, Ellen E.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Immunotherapy of human cervical high-grade cervical intraepithelial neoplasia with microparticle-delivered human papillomavirus 16 E7 plasmid DNA. </w:t>
      </w:r>
      <w:r w:rsidRPr="00CF2679">
        <w:rPr>
          <w:rFonts w:ascii="Times New Roman" w:eastAsia="Times New Roman" w:hAnsi="Times New Roman" w:cs="Times New Roman"/>
          <w:b/>
          <w:lang w:val="de-DE"/>
        </w:rPr>
        <w:t>American journal of obstetrics and gynecology</w:t>
      </w:r>
      <w:r w:rsidRPr="00CF2679">
        <w:rPr>
          <w:rFonts w:ascii="Times New Roman" w:eastAsia="Times New Roman" w:hAnsi="Times New Roman" w:cs="Times New Roman"/>
          <w:lang w:val="de-DE"/>
        </w:rPr>
        <w:t>, v. 188, n. 4, p. 916-926, 2003.</w:t>
      </w:r>
    </w:p>
    <w:p w14:paraId="5EF0169C"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SIMON, Ph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it-IT"/>
        </w:rPr>
        <w:t xml:space="preserve">Cervical response to vaccination against HPV16 E7 in case of severe dysplasia. </w:t>
      </w:r>
      <w:r w:rsidRPr="00CF2679">
        <w:rPr>
          <w:rFonts w:ascii="Times New Roman" w:eastAsia="Times New Roman" w:hAnsi="Times New Roman" w:cs="Times New Roman"/>
          <w:b/>
          <w:lang w:val="it-IT"/>
        </w:rPr>
        <w:t>European Journal of Obstetrics &amp; Gynecology and Reproductive Biology</w:t>
      </w:r>
      <w:r w:rsidRPr="00CF2679">
        <w:rPr>
          <w:rFonts w:ascii="Times New Roman" w:eastAsia="Times New Roman" w:hAnsi="Times New Roman" w:cs="Times New Roman"/>
          <w:lang w:val="it-IT"/>
        </w:rPr>
        <w:t>, v. 109, n. 2, p. 219-223, 2003.</w:t>
      </w:r>
    </w:p>
    <w:p w14:paraId="3BA04121"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SONG, Cheng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Artificial intelligence for HPV status prediction based on disease‐specific images in head and neck cancer: A systematic review and meta‐analysis. </w:t>
      </w:r>
      <w:r w:rsidRPr="00CF2679">
        <w:rPr>
          <w:rFonts w:ascii="Times New Roman" w:eastAsia="Times New Roman" w:hAnsi="Times New Roman" w:cs="Times New Roman"/>
          <w:b/>
          <w:lang w:val="it-IT"/>
        </w:rPr>
        <w:t>Journal of Medical Virology</w:t>
      </w:r>
      <w:r w:rsidRPr="00CF2679">
        <w:rPr>
          <w:rFonts w:ascii="Times New Roman" w:eastAsia="Times New Roman" w:hAnsi="Times New Roman" w:cs="Times New Roman"/>
          <w:lang w:val="it-IT"/>
        </w:rPr>
        <w:t>, v. 95, n. 9, p. e29080, 2023.</w:t>
      </w:r>
    </w:p>
    <w:p w14:paraId="0DEF5C65"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SUK, Ryan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Risk of second primary HPV-associated cancers after index HPV-associated cancers. 2018.</w:t>
      </w:r>
    </w:p>
    <w:p w14:paraId="32B83428"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TANG, Jianming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Therapeutic DNA vaccines against HPV-related malignancies: promising leads from clinical trials. </w:t>
      </w:r>
      <w:r w:rsidRPr="00CF2679">
        <w:rPr>
          <w:rFonts w:ascii="Times New Roman" w:eastAsia="Times New Roman" w:hAnsi="Times New Roman" w:cs="Times New Roman"/>
          <w:b/>
          <w:lang w:val="it-IT"/>
        </w:rPr>
        <w:t>Viruses</w:t>
      </w:r>
      <w:r w:rsidRPr="00CF2679">
        <w:rPr>
          <w:rFonts w:ascii="Times New Roman" w:eastAsia="Times New Roman" w:hAnsi="Times New Roman" w:cs="Times New Roman"/>
          <w:lang w:val="it-IT"/>
        </w:rPr>
        <w:t>, v. 14, n. 2, p. 239, 2022.</w:t>
      </w:r>
    </w:p>
    <w:p w14:paraId="5FB5B57A"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TERMINE, Nicoletta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Oral human papillomavirus infection in women with cervical HPV infection: new data from an Italian cohort and a metanalysis of the literature. </w:t>
      </w:r>
      <w:r w:rsidRPr="00CF2679">
        <w:rPr>
          <w:rFonts w:ascii="Times New Roman" w:eastAsia="Times New Roman" w:hAnsi="Times New Roman" w:cs="Times New Roman"/>
          <w:b/>
          <w:lang w:val="it-IT"/>
        </w:rPr>
        <w:t>Oral oncology</w:t>
      </w:r>
      <w:r w:rsidRPr="00CF2679">
        <w:rPr>
          <w:rFonts w:ascii="Times New Roman" w:eastAsia="Times New Roman" w:hAnsi="Times New Roman" w:cs="Times New Roman"/>
          <w:lang w:val="it-IT"/>
        </w:rPr>
        <w:t>, v. 47, n. 4, p. 244-250, 2011.</w:t>
      </w:r>
    </w:p>
    <w:p w14:paraId="58FFE615"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TEZCAN, Seda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w:t>
      </w:r>
      <w:r w:rsidRPr="00FD4578">
        <w:rPr>
          <w:rFonts w:ascii="Times New Roman" w:eastAsia="Times New Roman" w:hAnsi="Times New Roman" w:cs="Times New Roman"/>
          <w:lang w:val="it-IT"/>
        </w:rPr>
        <w:t xml:space="preserve">Human papillomavirus genotype distribution and E6/E7 oncogene expression in Turkish women with cervical cytological findings. </w:t>
      </w:r>
      <w:r w:rsidRPr="00CF2679">
        <w:rPr>
          <w:rFonts w:ascii="Times New Roman" w:eastAsia="Times New Roman" w:hAnsi="Times New Roman" w:cs="Times New Roman"/>
          <w:b/>
          <w:lang w:val="it-IT"/>
        </w:rPr>
        <w:t>Asian Pacific Journal of Cancer Prevention</w:t>
      </w:r>
      <w:r w:rsidRPr="00CF2679">
        <w:rPr>
          <w:rFonts w:ascii="Times New Roman" w:eastAsia="Times New Roman" w:hAnsi="Times New Roman" w:cs="Times New Roman"/>
          <w:lang w:val="it-IT"/>
        </w:rPr>
        <w:t>, v. 15, n. 9, p. 3997-4003, 2014.</w:t>
      </w:r>
    </w:p>
    <w:p w14:paraId="6C2A8885"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TOMAIĆ, Vjekoslav. </w:t>
      </w:r>
      <w:r>
        <w:rPr>
          <w:rFonts w:ascii="Times New Roman" w:eastAsia="Times New Roman" w:hAnsi="Times New Roman" w:cs="Times New Roman"/>
        </w:rPr>
        <w:t xml:space="preserve">Functional roles of E6 and E7 oncoproteins in HPV-induced malignancies at diverse anatomical sites. </w:t>
      </w:r>
      <w:r>
        <w:rPr>
          <w:rFonts w:ascii="Times New Roman" w:eastAsia="Times New Roman" w:hAnsi="Times New Roman" w:cs="Times New Roman"/>
          <w:b/>
        </w:rPr>
        <w:t>Cancers</w:t>
      </w:r>
      <w:r>
        <w:rPr>
          <w:rFonts w:ascii="Times New Roman" w:eastAsia="Times New Roman" w:hAnsi="Times New Roman" w:cs="Times New Roman"/>
        </w:rPr>
        <w:t>, v. 8, n. 10, p. 95, 2016.</w:t>
      </w:r>
    </w:p>
    <w:p w14:paraId="36C44ECD"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TRIMBLE, Cornelia L. </w:t>
      </w:r>
      <w:r>
        <w:rPr>
          <w:rFonts w:ascii="Times New Roman" w:eastAsia="Times New Roman" w:hAnsi="Times New Roman" w:cs="Times New Roman"/>
          <w:i/>
        </w:rPr>
        <w:t>et al.</w:t>
      </w:r>
      <w:r>
        <w:rPr>
          <w:rFonts w:ascii="Times New Roman" w:eastAsia="Times New Roman" w:hAnsi="Times New Roman" w:cs="Times New Roman"/>
        </w:rPr>
        <w:t xml:space="preserve"> Safety, efficacy, and immunogenicity of VGX-3100, a therapeutic synthetic DNA vaccine targeting human papillomavirus 16 and 18 E6 and E7 proteins for cervical intraepithelial neoplasia 2/3: a randomised, double-blind, placebo-controlled phase 2b trial. </w:t>
      </w:r>
      <w:r w:rsidRPr="00CF2679">
        <w:rPr>
          <w:rFonts w:ascii="Times New Roman" w:eastAsia="Times New Roman" w:hAnsi="Times New Roman" w:cs="Times New Roman"/>
          <w:b/>
          <w:lang w:val="de-DE"/>
        </w:rPr>
        <w:t>The Lancet</w:t>
      </w:r>
      <w:r w:rsidRPr="00CF2679">
        <w:rPr>
          <w:rFonts w:ascii="Times New Roman" w:eastAsia="Times New Roman" w:hAnsi="Times New Roman" w:cs="Times New Roman"/>
          <w:lang w:val="de-DE"/>
        </w:rPr>
        <w:t>, v. 386, n. 10008, p. 2078-2088, 2015.</w:t>
      </w:r>
    </w:p>
    <w:p w14:paraId="240FEB50"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lastRenderedPageBreak/>
        <w:t>TSANG, Kwong Y.</w:t>
      </w:r>
      <w:r w:rsidRPr="00CF2679">
        <w:rPr>
          <w:rFonts w:ascii="Times New Roman" w:eastAsia="Times New Roman" w:hAnsi="Times New Roman" w:cs="Times New Roman"/>
          <w:i/>
          <w:lang w:val="de-DE"/>
        </w:rPr>
        <w:t xml:space="preserve"> et al.</w:t>
      </w:r>
      <w:r w:rsidRPr="00CF2679">
        <w:rPr>
          <w:rFonts w:ascii="Times New Roman" w:eastAsia="Times New Roman" w:hAnsi="Times New Roman" w:cs="Times New Roman"/>
          <w:lang w:val="de-DE"/>
        </w:rPr>
        <w:t xml:space="preserve"> Identification and characterization of enhancer agonist human cytotoxic T-cell epitopes of the human papillomavirus type 16 (HPV16) E6/E7. </w:t>
      </w:r>
      <w:r w:rsidRPr="00CF2679">
        <w:rPr>
          <w:rFonts w:ascii="Times New Roman" w:eastAsia="Times New Roman" w:hAnsi="Times New Roman" w:cs="Times New Roman"/>
          <w:b/>
          <w:lang w:val="de-DE"/>
        </w:rPr>
        <w:t>Vaccine</w:t>
      </w:r>
      <w:r w:rsidRPr="00CF2679">
        <w:rPr>
          <w:rFonts w:ascii="Times New Roman" w:eastAsia="Times New Roman" w:hAnsi="Times New Roman" w:cs="Times New Roman"/>
          <w:lang w:val="de-DE"/>
        </w:rPr>
        <w:t>, v. 35, n. 19, p. 2605-2611, 2017.</w:t>
      </w:r>
    </w:p>
    <w:p w14:paraId="11C31190"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VACCARELLA, Salvatore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Worldwide trends in cervical cancer incidence: impact of screening against changes in disease risk factors. </w:t>
      </w:r>
      <w:r w:rsidRPr="00CF2679">
        <w:rPr>
          <w:rFonts w:ascii="Times New Roman" w:eastAsia="Times New Roman" w:hAnsi="Times New Roman" w:cs="Times New Roman"/>
          <w:b/>
          <w:lang w:val="de-DE"/>
        </w:rPr>
        <w:t>European journal of cancer</w:t>
      </w:r>
      <w:r w:rsidRPr="00CF2679">
        <w:rPr>
          <w:rFonts w:ascii="Times New Roman" w:eastAsia="Times New Roman" w:hAnsi="Times New Roman" w:cs="Times New Roman"/>
          <w:lang w:val="de-DE"/>
        </w:rPr>
        <w:t>, v. 49, n. 15, p. 3262-3273, 2013.</w:t>
      </w:r>
    </w:p>
    <w:p w14:paraId="03858F51" w14:textId="77777777" w:rsidR="003E729F" w:rsidRPr="00FD4578"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VOSKENS, Caroline J.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Induction of MAGE‐A3 and HPV‐16 immunity by Trojan vaccines in patients with head and neck carcinoma. </w:t>
      </w:r>
      <w:r w:rsidRPr="00FD4578">
        <w:rPr>
          <w:rFonts w:ascii="Times New Roman" w:eastAsia="Times New Roman" w:hAnsi="Times New Roman" w:cs="Times New Roman"/>
          <w:b/>
          <w:lang w:val="de-DE"/>
        </w:rPr>
        <w:t>Head &amp; neck</w:t>
      </w:r>
      <w:r w:rsidRPr="00FD4578">
        <w:rPr>
          <w:rFonts w:ascii="Times New Roman" w:eastAsia="Times New Roman" w:hAnsi="Times New Roman" w:cs="Times New Roman"/>
          <w:lang w:val="de-DE"/>
        </w:rPr>
        <w:t>, v. 34, n. 12, p. 1734-1746, 2012.</w:t>
      </w:r>
    </w:p>
    <w:p w14:paraId="35D7CD46"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FD4578">
        <w:rPr>
          <w:rFonts w:ascii="Times New Roman" w:eastAsia="Times New Roman" w:hAnsi="Times New Roman" w:cs="Times New Roman"/>
          <w:lang w:val="de-DE"/>
        </w:rPr>
        <w:t xml:space="preserve">WANG, Xuelian </w:t>
      </w:r>
      <w:r w:rsidRPr="00FD4578">
        <w:rPr>
          <w:rFonts w:ascii="Times New Roman" w:eastAsia="Times New Roman" w:hAnsi="Times New Roman" w:cs="Times New Roman"/>
          <w:i/>
          <w:lang w:val="de-DE"/>
        </w:rPr>
        <w:t>et al</w:t>
      </w:r>
      <w:r w:rsidRPr="00FD4578">
        <w:rPr>
          <w:rFonts w:ascii="Times New Roman" w:eastAsia="Times New Roman" w:hAnsi="Times New Roman" w:cs="Times New Roman"/>
          <w:lang w:val="de-DE"/>
        </w:rPr>
        <w:t xml:space="preserve">. A novel CD4 T-cell epitope described from one of the cervical cancer patients vaccinated with HPV 16 or 18 E7-pulsed dendritic cells. </w:t>
      </w:r>
      <w:r w:rsidRPr="00CF2679">
        <w:rPr>
          <w:rFonts w:ascii="Times New Roman" w:eastAsia="Times New Roman" w:hAnsi="Times New Roman" w:cs="Times New Roman"/>
          <w:b/>
          <w:lang w:val="de-DE"/>
        </w:rPr>
        <w:t>Cancer immunology, immunotherapy</w:t>
      </w:r>
      <w:r w:rsidRPr="00CF2679">
        <w:rPr>
          <w:rFonts w:ascii="Times New Roman" w:eastAsia="Times New Roman" w:hAnsi="Times New Roman" w:cs="Times New Roman"/>
          <w:lang w:val="de-DE"/>
        </w:rPr>
        <w:t>, v. 58, p. 301-308, 2009.</w:t>
      </w:r>
    </w:p>
    <w:p w14:paraId="32EACEC5"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WELTERS, Marij JP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Induction of tumor-specific CD4+ and CD8+ T-cell immunity in cervical cancer patients by a human papillomavirus type 16 E6 and E7 long peptides vaccine. </w:t>
      </w:r>
      <w:r w:rsidRPr="00CF2679">
        <w:rPr>
          <w:rFonts w:ascii="Times New Roman" w:eastAsia="Times New Roman" w:hAnsi="Times New Roman" w:cs="Times New Roman"/>
          <w:b/>
          <w:lang w:val="it-IT"/>
        </w:rPr>
        <w:t>Clinical Cancer Research</w:t>
      </w:r>
      <w:r w:rsidRPr="00CF2679">
        <w:rPr>
          <w:rFonts w:ascii="Times New Roman" w:eastAsia="Times New Roman" w:hAnsi="Times New Roman" w:cs="Times New Roman"/>
          <w:lang w:val="it-IT"/>
        </w:rPr>
        <w:t>, v. 14, n. 1, p. 178-187, 2008.</w:t>
      </w:r>
    </w:p>
    <w:p w14:paraId="750B3B52"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YANG, Funa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Prevalence of human papillomavirus type-18 in head and neck cancer among the Chinese population: A PRISMA-compliant meta-analysis. </w:t>
      </w:r>
      <w:r w:rsidRPr="00CF2679">
        <w:rPr>
          <w:rFonts w:ascii="Times New Roman" w:eastAsia="Times New Roman" w:hAnsi="Times New Roman" w:cs="Times New Roman"/>
          <w:b/>
          <w:lang w:val="it-IT"/>
        </w:rPr>
        <w:t>Medicine</w:t>
      </w:r>
      <w:r w:rsidRPr="00CF2679">
        <w:rPr>
          <w:rFonts w:ascii="Times New Roman" w:eastAsia="Times New Roman" w:hAnsi="Times New Roman" w:cs="Times New Roman"/>
          <w:lang w:val="it-IT"/>
        </w:rPr>
        <w:t>, v. 98, n. 8, p. e14551, 2019.</w:t>
      </w:r>
    </w:p>
    <w:p w14:paraId="4AEFBE3C"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it-IT"/>
        </w:rPr>
        <w:t xml:space="preserve">YU, Lulu; MAJERCIAK, Vladimir; ZHENG, Zhi-Ming. </w:t>
      </w:r>
      <w:r w:rsidRPr="00CF2679">
        <w:rPr>
          <w:rFonts w:ascii="Times New Roman" w:eastAsia="Times New Roman" w:hAnsi="Times New Roman" w:cs="Times New Roman"/>
          <w:lang w:val="de-DE"/>
        </w:rPr>
        <w:t xml:space="preserve">HPV16 and HPV18 genome structure, expression, and post-transcriptional regulation. </w:t>
      </w:r>
      <w:r w:rsidRPr="00CF2679">
        <w:rPr>
          <w:rFonts w:ascii="Times New Roman" w:eastAsia="Times New Roman" w:hAnsi="Times New Roman" w:cs="Times New Roman"/>
          <w:b/>
          <w:lang w:val="de-DE"/>
        </w:rPr>
        <w:t>International journal of molecular sciences</w:t>
      </w:r>
      <w:r w:rsidRPr="00CF2679">
        <w:rPr>
          <w:rFonts w:ascii="Times New Roman" w:eastAsia="Times New Roman" w:hAnsi="Times New Roman" w:cs="Times New Roman"/>
          <w:lang w:val="de-DE"/>
        </w:rPr>
        <w:t xml:space="preserve">, v. 23, n. 9, p. 4943, 2022. </w:t>
      </w:r>
    </w:p>
    <w:p w14:paraId="6A61F0F7"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ZANDBERG, Dan P.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A phase I dose escalation trial of MAGE-A3-and HPV16-specific peptide immunomodulatory vaccines in patients with recurrent/metastatic (RM) squamous cell carcinoma of the head and neck (SCCHN). </w:t>
      </w:r>
      <w:r w:rsidRPr="00CF2679">
        <w:rPr>
          <w:rFonts w:ascii="Times New Roman" w:eastAsia="Times New Roman" w:hAnsi="Times New Roman" w:cs="Times New Roman"/>
          <w:b/>
          <w:lang w:val="de-DE"/>
        </w:rPr>
        <w:t>Cancer Immunology, Immunotherapy</w:t>
      </w:r>
      <w:r w:rsidRPr="00CF2679">
        <w:rPr>
          <w:rFonts w:ascii="Times New Roman" w:eastAsia="Times New Roman" w:hAnsi="Times New Roman" w:cs="Times New Roman"/>
          <w:lang w:val="de-DE"/>
        </w:rPr>
        <w:t>, v. 64, p. 367-379, 2015.</w:t>
      </w:r>
    </w:p>
    <w:p w14:paraId="4A662685" w14:textId="77777777" w:rsidR="003E729F" w:rsidRPr="00FD4578"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ZHOU, Shu-Guang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sidRPr="00FD4578">
        <w:rPr>
          <w:rFonts w:ascii="Times New Roman" w:eastAsia="Times New Roman" w:hAnsi="Times New Roman" w:cs="Times New Roman"/>
          <w:lang w:val="de-DE"/>
        </w:rPr>
        <w:t xml:space="preserve">REBACIN® inhibits E6/E7 oncogenes in clearance of human papillomavirus infection. </w:t>
      </w:r>
      <w:r w:rsidRPr="00FD4578">
        <w:rPr>
          <w:rFonts w:ascii="Times New Roman" w:eastAsia="Times New Roman" w:hAnsi="Times New Roman" w:cs="Times New Roman"/>
          <w:b/>
          <w:lang w:val="de-DE"/>
        </w:rPr>
        <w:t>Frontiers in oncology</w:t>
      </w:r>
      <w:r w:rsidRPr="00FD4578">
        <w:rPr>
          <w:rFonts w:ascii="Times New Roman" w:eastAsia="Times New Roman" w:hAnsi="Times New Roman" w:cs="Times New Roman"/>
          <w:lang w:val="de-DE"/>
        </w:rPr>
        <w:t>, v. 12, p. 1047222, 2022.</w:t>
      </w:r>
    </w:p>
    <w:p w14:paraId="4BE0A0A5" w14:textId="77777777" w:rsidR="003E729F" w:rsidRPr="00FD4578" w:rsidRDefault="003E729F">
      <w:pPr>
        <w:widowControl/>
        <w:spacing w:line="256" w:lineRule="auto"/>
        <w:ind w:hanging="2"/>
        <w:jc w:val="both"/>
        <w:rPr>
          <w:rFonts w:ascii="Times New Roman" w:eastAsia="Times New Roman" w:hAnsi="Times New Roman" w:cs="Times New Roman"/>
          <w:lang w:val="de-DE"/>
        </w:rPr>
      </w:pPr>
    </w:p>
    <w:p w14:paraId="037FBC1A" w14:textId="3E9B2424" w:rsidR="003E729F" w:rsidRPr="00FD4578" w:rsidRDefault="003E729F">
      <w:pPr>
        <w:widowControl/>
        <w:spacing w:before="240"/>
        <w:ind w:hanging="2"/>
        <w:rPr>
          <w:lang w:val="de-DE"/>
        </w:rPr>
      </w:pPr>
    </w:p>
    <w:p w14:paraId="60C65E28" w14:textId="3516FFA5" w:rsidR="008A7FE1" w:rsidRPr="00FD4578" w:rsidRDefault="008A7FE1">
      <w:pPr>
        <w:widowControl/>
        <w:spacing w:before="240"/>
        <w:ind w:hanging="2"/>
        <w:rPr>
          <w:lang w:val="de-DE"/>
        </w:rPr>
      </w:pPr>
    </w:p>
    <w:p w14:paraId="4E5A31FC" w14:textId="753C709A" w:rsidR="008A7FE1" w:rsidRPr="00FD4578" w:rsidRDefault="008A7FE1">
      <w:pPr>
        <w:widowControl/>
        <w:spacing w:before="240"/>
        <w:ind w:hanging="2"/>
        <w:rPr>
          <w:lang w:val="de-DE"/>
        </w:rPr>
      </w:pPr>
    </w:p>
    <w:p w14:paraId="2AB8BEE7" w14:textId="0C80809C" w:rsidR="008A7FE1" w:rsidRPr="00FD4578" w:rsidRDefault="008A7FE1">
      <w:pPr>
        <w:widowControl/>
        <w:spacing w:before="240"/>
        <w:ind w:hanging="2"/>
        <w:rPr>
          <w:lang w:val="de-DE"/>
        </w:rPr>
      </w:pPr>
    </w:p>
    <w:p w14:paraId="38D2883C" w14:textId="7FC13C09" w:rsidR="008A7FE1" w:rsidRPr="00FD4578" w:rsidRDefault="008A7FE1">
      <w:pPr>
        <w:widowControl/>
        <w:spacing w:before="240"/>
        <w:ind w:hanging="2"/>
        <w:rPr>
          <w:lang w:val="de-DE"/>
        </w:rPr>
      </w:pPr>
    </w:p>
    <w:p w14:paraId="33292818" w14:textId="77777777" w:rsidR="008A7FE1" w:rsidRPr="00FD4578" w:rsidRDefault="008A7FE1">
      <w:pPr>
        <w:widowControl/>
        <w:spacing w:before="240"/>
        <w:ind w:hanging="2"/>
        <w:rPr>
          <w:lang w:val="de-DE"/>
        </w:rPr>
      </w:pPr>
    </w:p>
    <w:p w14:paraId="565FE2F9" w14:textId="54E5F6C5" w:rsidR="003E729F" w:rsidRPr="00FD4578" w:rsidRDefault="00AD1B4A">
      <w:pPr>
        <w:ind w:hanging="2"/>
        <w:rPr>
          <w:lang w:val="de-DE"/>
        </w:rPr>
      </w:pPr>
      <w:r w:rsidRPr="00FD4578">
        <w:rPr>
          <w:lang w:val="de-DE"/>
        </w:rPr>
        <w:t>APPENDIX</w:t>
      </w:r>
      <w:r w:rsidR="00417B28" w:rsidRPr="00FD4578">
        <w:rPr>
          <w:lang w:val="de-DE"/>
        </w:rPr>
        <w:t>-I</w:t>
      </w:r>
    </w:p>
    <w:p w14:paraId="379346C5" w14:textId="77777777" w:rsidR="003E729F" w:rsidRPr="00FD4578" w:rsidRDefault="003E729F">
      <w:pPr>
        <w:ind w:hanging="2"/>
        <w:rPr>
          <w:lang w:val="de-DE"/>
        </w:rPr>
      </w:pPr>
    </w:p>
    <w:p w14:paraId="280EC504" w14:textId="77777777" w:rsidR="003E729F" w:rsidRPr="00FD4578" w:rsidRDefault="003E729F">
      <w:pPr>
        <w:ind w:hanging="2"/>
        <w:rPr>
          <w:lang w:val="de-DE"/>
        </w:rPr>
      </w:pPr>
    </w:p>
    <w:p w14:paraId="62BD83F2" w14:textId="77777777" w:rsidR="00AD1B4A" w:rsidRPr="00FD4578" w:rsidRDefault="00AD1B4A" w:rsidP="00AD1B4A">
      <w:pPr>
        <w:widowControl/>
        <w:spacing w:after="160"/>
        <w:ind w:hanging="2"/>
        <w:jc w:val="center"/>
        <w:rPr>
          <w:rFonts w:ascii="Times New Roman" w:eastAsiaTheme="minorHAnsi" w:hAnsi="Times New Roman" w:cs="Times New Roman"/>
          <w:kern w:val="2"/>
          <w:lang w:val="de-DE" w:eastAsia="en-US"/>
          <w14:ligatures w14:val="standardContextual"/>
        </w:rPr>
      </w:pPr>
      <w:r w:rsidRPr="00FD4578">
        <w:rPr>
          <w:rFonts w:ascii="Times New Roman" w:eastAsiaTheme="minorHAnsi" w:hAnsi="Times New Roman" w:cs="Times New Roman"/>
          <w:b/>
          <w:bCs/>
          <w:kern w:val="2"/>
          <w:lang w:val="de-DE" w:eastAsia="en-US"/>
          <w14:ligatures w14:val="standardContextual"/>
        </w:rPr>
        <w:t>Specific search terms and truncations for each database</w:t>
      </w:r>
    </w:p>
    <w:tbl>
      <w:tblPr>
        <w:tblW w:w="8640" w:type="dxa"/>
        <w:jc w:val="center"/>
        <w:tblLayout w:type="fixed"/>
        <w:tblLook w:val="04A0" w:firstRow="1" w:lastRow="0" w:firstColumn="1" w:lastColumn="0" w:noHBand="0" w:noVBand="1"/>
      </w:tblPr>
      <w:tblGrid>
        <w:gridCol w:w="1660"/>
        <w:gridCol w:w="6158"/>
        <w:gridCol w:w="822"/>
      </w:tblGrid>
      <w:tr w:rsidR="00AD1B4A" w:rsidRPr="00AD1B4A" w14:paraId="0C81C348" w14:textId="77777777" w:rsidTr="00D814E4">
        <w:trPr>
          <w:trHeight w:val="347"/>
          <w:jc w:val="center"/>
        </w:trPr>
        <w:tc>
          <w:tcPr>
            <w:tcW w:w="1661" w:type="dxa"/>
            <w:tcBorders>
              <w:top w:val="single" w:sz="4" w:space="0" w:color="000000"/>
              <w:left w:val="nil"/>
              <w:bottom w:val="single" w:sz="4" w:space="0" w:color="000000"/>
              <w:right w:val="nil"/>
            </w:tcBorders>
            <w:hideMark/>
          </w:tcPr>
          <w:p w14:paraId="1B7BB7AE"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Database</w:t>
            </w:r>
          </w:p>
        </w:tc>
        <w:tc>
          <w:tcPr>
            <w:tcW w:w="6161" w:type="dxa"/>
            <w:tcBorders>
              <w:top w:val="single" w:sz="4" w:space="0" w:color="000000"/>
              <w:left w:val="nil"/>
              <w:bottom w:val="single" w:sz="4" w:space="0" w:color="000000"/>
              <w:right w:val="nil"/>
            </w:tcBorders>
            <w:hideMark/>
          </w:tcPr>
          <w:p w14:paraId="74423CBD" w14:textId="77777777" w:rsidR="00AD1B4A" w:rsidRPr="00AD1B4A" w:rsidRDefault="00AD1B4A" w:rsidP="00AD1B4A">
            <w:pPr>
              <w:widowControl/>
              <w:spacing w:after="160"/>
              <w:ind w:hanging="2"/>
              <w:jc w:val="center"/>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Search strategy</w:t>
            </w:r>
          </w:p>
        </w:tc>
        <w:tc>
          <w:tcPr>
            <w:tcW w:w="822" w:type="dxa"/>
            <w:tcBorders>
              <w:top w:val="single" w:sz="4" w:space="0" w:color="000000"/>
              <w:left w:val="nil"/>
              <w:bottom w:val="single" w:sz="4" w:space="0" w:color="000000"/>
              <w:right w:val="nil"/>
            </w:tcBorders>
            <w:hideMark/>
          </w:tcPr>
          <w:p w14:paraId="2C211725" w14:textId="77777777" w:rsidR="00AD1B4A" w:rsidRPr="00AD1B4A" w:rsidRDefault="00AD1B4A" w:rsidP="00AD1B4A">
            <w:pPr>
              <w:widowControl/>
              <w:spacing w:after="160"/>
              <w:ind w:hanging="2"/>
              <w:rPr>
                <w:rFonts w:ascii="Times New Roman" w:eastAsiaTheme="minorHAnsi" w:hAnsi="Times New Roman" w:cs="Times New Roman"/>
                <w:b/>
                <w:bCs/>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 xml:space="preserve">Total </w:t>
            </w:r>
          </w:p>
        </w:tc>
      </w:tr>
      <w:tr w:rsidR="00AD1B4A" w:rsidRPr="00AD1B4A" w14:paraId="00C0E83E" w14:textId="77777777" w:rsidTr="00D814E4">
        <w:trPr>
          <w:trHeight w:val="426"/>
          <w:jc w:val="center"/>
        </w:trPr>
        <w:tc>
          <w:tcPr>
            <w:tcW w:w="1661" w:type="dxa"/>
            <w:hideMark/>
          </w:tcPr>
          <w:p w14:paraId="692D56A7"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Medline - PubMed</w:t>
            </w:r>
          </w:p>
        </w:tc>
        <w:tc>
          <w:tcPr>
            <w:tcW w:w="6161" w:type="dxa"/>
            <w:hideMark/>
          </w:tcPr>
          <w:p w14:paraId="0B623909"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16"[Mesh] OR "HPV16") OR ("Carcinogenesis"[Mesh] OR "Oncogene Proteins"[Mesh]) AND ("Papillomavirus E7 Proteins"[Mesh] OR "E7 Oncogene Proteins"[Mesh])) AND (("Oropharyngeal Neoplasms"[Mesh] OR "Oropharynx"[Mesh]) OR ("Cervix Uteri"[Mesh] OR "Uterine Cervical Neoplasms"[Mesh]))</w:t>
            </w:r>
          </w:p>
        </w:tc>
        <w:tc>
          <w:tcPr>
            <w:tcW w:w="822" w:type="dxa"/>
            <w:hideMark/>
          </w:tcPr>
          <w:p w14:paraId="5232C51E"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33</w:t>
            </w:r>
          </w:p>
        </w:tc>
      </w:tr>
      <w:tr w:rsidR="00AD1B4A" w:rsidRPr="00AD1B4A" w14:paraId="272667CD" w14:textId="77777777" w:rsidTr="00D814E4">
        <w:trPr>
          <w:trHeight w:val="426"/>
          <w:jc w:val="center"/>
        </w:trPr>
        <w:tc>
          <w:tcPr>
            <w:tcW w:w="1661" w:type="dxa"/>
            <w:hideMark/>
          </w:tcPr>
          <w:p w14:paraId="039A4BEC"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i/>
                <w:kern w:val="2"/>
                <w:lang w:eastAsia="en-US"/>
                <w14:ligatures w14:val="standardContextual"/>
              </w:rPr>
              <w:t>SciVerse Scopus</w:t>
            </w:r>
          </w:p>
        </w:tc>
        <w:tc>
          <w:tcPr>
            <w:tcW w:w="6161" w:type="dxa"/>
            <w:hideMark/>
          </w:tcPr>
          <w:p w14:paraId="515F5575"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 ) AND ( "Carcinogenesis" OR "Oncogene Proteins" ) AND ( "Papillomavirus E7 Proteins" OR "E7 Oncogene Proteins" OR "E6 protein, Human papillomavirus type 16" ) AND ( "Oropharyngeal Neoplasms" OR "Oropharynx" OR "Cervix Uteri" OR "Uterine Cervical Neoplasms" ) AND ( "Clinical Trial" OR “In Vitro Techniques”)</w:t>
            </w:r>
          </w:p>
        </w:tc>
        <w:tc>
          <w:tcPr>
            <w:tcW w:w="822" w:type="dxa"/>
            <w:hideMark/>
          </w:tcPr>
          <w:p w14:paraId="515E3BBB"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35</w:t>
            </w:r>
          </w:p>
        </w:tc>
      </w:tr>
      <w:tr w:rsidR="00AD1B4A" w:rsidRPr="00AD1B4A" w14:paraId="71E54597" w14:textId="77777777" w:rsidTr="00D814E4">
        <w:trPr>
          <w:trHeight w:val="426"/>
          <w:jc w:val="center"/>
        </w:trPr>
        <w:tc>
          <w:tcPr>
            <w:tcW w:w="1661" w:type="dxa"/>
            <w:hideMark/>
          </w:tcPr>
          <w:p w14:paraId="0768E869"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i/>
                <w:kern w:val="2"/>
                <w:lang w:eastAsia="en-US"/>
                <w14:ligatures w14:val="standardContextual"/>
              </w:rPr>
              <w:t>Web of Science</w:t>
            </w:r>
          </w:p>
        </w:tc>
        <w:tc>
          <w:tcPr>
            <w:tcW w:w="6161" w:type="dxa"/>
            <w:hideMark/>
          </w:tcPr>
          <w:p w14:paraId="5EA8BBD1"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 AND ("Carcinogenesis" OR "Oncogene Proteins") AND ("Papillomavirus E7 Proteins" OR "E7 Oncogene Proteins" OR "E6 protein, Human papillomavirus type 16") AND ("Oropharyngeal Neoplasms" OR "Oropharynx" OR "Cervix Uteri" OR "Uterine Cervical Neoplasms")</w:t>
            </w:r>
          </w:p>
        </w:tc>
        <w:tc>
          <w:tcPr>
            <w:tcW w:w="822" w:type="dxa"/>
            <w:hideMark/>
          </w:tcPr>
          <w:p w14:paraId="0A3A1932"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28</w:t>
            </w:r>
          </w:p>
        </w:tc>
      </w:tr>
      <w:tr w:rsidR="00AD1B4A" w:rsidRPr="00AD1B4A" w14:paraId="05A32F6D" w14:textId="77777777" w:rsidTr="00D814E4">
        <w:trPr>
          <w:trHeight w:val="426"/>
          <w:jc w:val="center"/>
        </w:trPr>
        <w:tc>
          <w:tcPr>
            <w:tcW w:w="1661" w:type="dxa"/>
            <w:hideMark/>
          </w:tcPr>
          <w:p w14:paraId="03AB9511"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EMBASE</w:t>
            </w:r>
          </w:p>
        </w:tc>
        <w:tc>
          <w:tcPr>
            <w:tcW w:w="6161" w:type="dxa"/>
            <w:hideMark/>
          </w:tcPr>
          <w:p w14:paraId="68824D2B"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 xml:space="preserve">("Human Papillomavirus 16" OR "HPV16" ) AND ( "Carcinogenesis" OR "Oncogene Proteins" ) AND ( "Papillomavirus E7 Proteins" OR "E7 Oncogene Proteins" OR "E6 protein, Human papillomavirus type 16" ) AND ( "Oropharyngeal Neoplasms" OR "Oropharynx" OR "Cervix Uteri" OR "Uterine Cervical Neoplasms" ) AND ( "Clinical article”) </w:t>
            </w:r>
          </w:p>
        </w:tc>
        <w:tc>
          <w:tcPr>
            <w:tcW w:w="822" w:type="dxa"/>
            <w:hideMark/>
          </w:tcPr>
          <w:p w14:paraId="69D759F6"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90</w:t>
            </w:r>
          </w:p>
        </w:tc>
      </w:tr>
      <w:tr w:rsidR="00AD1B4A" w:rsidRPr="00AD1B4A" w14:paraId="18C60066" w14:textId="77777777" w:rsidTr="00D814E4">
        <w:trPr>
          <w:trHeight w:val="426"/>
          <w:jc w:val="center"/>
        </w:trPr>
        <w:tc>
          <w:tcPr>
            <w:tcW w:w="1661" w:type="dxa"/>
            <w:hideMark/>
          </w:tcPr>
          <w:p w14:paraId="605F2224"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Google Scholar</w:t>
            </w:r>
          </w:p>
        </w:tc>
        <w:tc>
          <w:tcPr>
            <w:tcW w:w="6161" w:type="dxa"/>
            <w:hideMark/>
          </w:tcPr>
          <w:p w14:paraId="3CADAC19"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 AND "Carcinogenesis" OR "Oncogene Proteins" AND "Papillomavirus E7 Proteins" OR "E7 Oncogene Proteins" OR "E6 protein, Human papillomavirus type 16" AND "Oropharyngeal Neoplasms" OR "Oropharynx" OR "Cervix Uteri" OR "Uterine Cervical Neoplasms"</w:t>
            </w:r>
          </w:p>
        </w:tc>
        <w:tc>
          <w:tcPr>
            <w:tcW w:w="822" w:type="dxa"/>
            <w:hideMark/>
          </w:tcPr>
          <w:p w14:paraId="6DB01FEF"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347</w:t>
            </w:r>
          </w:p>
        </w:tc>
      </w:tr>
      <w:tr w:rsidR="00AD1B4A" w:rsidRPr="00AD1B4A" w14:paraId="73295EF0" w14:textId="77777777" w:rsidTr="00D814E4">
        <w:trPr>
          <w:trHeight w:val="426"/>
          <w:jc w:val="center"/>
        </w:trPr>
        <w:tc>
          <w:tcPr>
            <w:tcW w:w="1661" w:type="dxa"/>
            <w:hideMark/>
          </w:tcPr>
          <w:p w14:paraId="7F0A042B"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Filters</w:t>
            </w:r>
          </w:p>
        </w:tc>
        <w:tc>
          <w:tcPr>
            <w:tcW w:w="6161" w:type="dxa"/>
            <w:hideMark/>
          </w:tcPr>
          <w:p w14:paraId="3E4EF1E3"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Clinical Study, Clinical Trial, Clinical Trial, Phase I,II, III, IV; Observational Study; Observational Study, Veterinary; Randomized Controlled Trial; Randomized Controlled Trial, Veterinary</w:t>
            </w:r>
          </w:p>
        </w:tc>
        <w:tc>
          <w:tcPr>
            <w:tcW w:w="822" w:type="dxa"/>
          </w:tcPr>
          <w:p w14:paraId="75A26C80"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p>
        </w:tc>
      </w:tr>
    </w:tbl>
    <w:p w14:paraId="59A8EEF0" w14:textId="77777777" w:rsidR="003E729F" w:rsidRDefault="003E729F" w:rsidP="00A778BE">
      <w:pPr>
        <w:ind w:firstLine="0"/>
      </w:pPr>
    </w:p>
    <w:sectPr w:rsidR="003E729F">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50E0" w14:textId="77777777" w:rsidR="00DE3128" w:rsidRDefault="00DE3128" w:rsidP="008A7FE1">
      <w:pPr>
        <w:spacing w:line="240" w:lineRule="auto"/>
      </w:pPr>
      <w:r>
        <w:separator/>
      </w:r>
    </w:p>
  </w:endnote>
  <w:endnote w:type="continuationSeparator" w:id="0">
    <w:p w14:paraId="6B8EBA66" w14:textId="77777777" w:rsidR="00DE3128" w:rsidRDefault="00DE3128" w:rsidP="008A7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83A6" w14:textId="77777777" w:rsidR="008A7FE1" w:rsidRDefault="008A7F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7E4D" w14:textId="77777777" w:rsidR="008A7FE1" w:rsidRDefault="008A7FE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1C2A" w14:textId="77777777" w:rsidR="008A7FE1" w:rsidRDefault="008A7F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5C31" w14:textId="77777777" w:rsidR="00DE3128" w:rsidRDefault="00DE3128" w:rsidP="008A7FE1">
      <w:pPr>
        <w:spacing w:line="240" w:lineRule="auto"/>
      </w:pPr>
      <w:r>
        <w:separator/>
      </w:r>
    </w:p>
  </w:footnote>
  <w:footnote w:type="continuationSeparator" w:id="0">
    <w:p w14:paraId="2FD8FF36" w14:textId="77777777" w:rsidR="00DE3128" w:rsidRDefault="00DE3128" w:rsidP="008A7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1EBF" w14:textId="46D1BB54" w:rsidR="008A7FE1" w:rsidRDefault="00000000">
    <w:pPr>
      <w:pStyle w:val="Cabealho"/>
    </w:pPr>
    <w:r>
      <w:rPr>
        <w:noProof/>
      </w:rPr>
      <w:pict w14:anchorId="468A6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47485" o:spid="_x0000_s1026"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1682" w14:textId="3E86572B" w:rsidR="008A7FE1" w:rsidRDefault="00000000">
    <w:pPr>
      <w:pStyle w:val="Cabealho"/>
    </w:pPr>
    <w:r>
      <w:rPr>
        <w:noProof/>
      </w:rPr>
      <w:pict w14:anchorId="07A77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47486" o:spid="_x0000_s1027"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553" w14:textId="3F24EDC1" w:rsidR="008A7FE1" w:rsidRDefault="00000000">
    <w:pPr>
      <w:pStyle w:val="Cabealho"/>
    </w:pPr>
    <w:r>
      <w:rPr>
        <w:noProof/>
      </w:rPr>
      <w:pict w14:anchorId="3CC0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47484" o:spid="_x0000_s1025"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9F"/>
    <w:rsid w:val="00022EE2"/>
    <w:rsid w:val="0008667A"/>
    <w:rsid w:val="000A4464"/>
    <w:rsid w:val="000B189E"/>
    <w:rsid w:val="000F11B4"/>
    <w:rsid w:val="00133C71"/>
    <w:rsid w:val="002200B9"/>
    <w:rsid w:val="00223A8E"/>
    <w:rsid w:val="0025446C"/>
    <w:rsid w:val="00270C18"/>
    <w:rsid w:val="002A7001"/>
    <w:rsid w:val="002A7C20"/>
    <w:rsid w:val="00362BED"/>
    <w:rsid w:val="003D423B"/>
    <w:rsid w:val="003E729F"/>
    <w:rsid w:val="00417B28"/>
    <w:rsid w:val="004247A8"/>
    <w:rsid w:val="00495274"/>
    <w:rsid w:val="00514DA4"/>
    <w:rsid w:val="00583203"/>
    <w:rsid w:val="005A1C5E"/>
    <w:rsid w:val="005D2DF1"/>
    <w:rsid w:val="005E4A49"/>
    <w:rsid w:val="0065516B"/>
    <w:rsid w:val="006B0C6C"/>
    <w:rsid w:val="00774400"/>
    <w:rsid w:val="007D06AE"/>
    <w:rsid w:val="007F662A"/>
    <w:rsid w:val="008677D8"/>
    <w:rsid w:val="008A7FE1"/>
    <w:rsid w:val="008C0C9D"/>
    <w:rsid w:val="00982B1E"/>
    <w:rsid w:val="009C5D14"/>
    <w:rsid w:val="00A16503"/>
    <w:rsid w:val="00A73432"/>
    <w:rsid w:val="00A778BE"/>
    <w:rsid w:val="00AD1B4A"/>
    <w:rsid w:val="00B67A3D"/>
    <w:rsid w:val="00B71F5D"/>
    <w:rsid w:val="00CF2679"/>
    <w:rsid w:val="00D16000"/>
    <w:rsid w:val="00D573B8"/>
    <w:rsid w:val="00D60B22"/>
    <w:rsid w:val="00D662D1"/>
    <w:rsid w:val="00D8710E"/>
    <w:rsid w:val="00D87D7E"/>
    <w:rsid w:val="00DE3128"/>
    <w:rsid w:val="00E67429"/>
    <w:rsid w:val="00F6220C"/>
    <w:rsid w:val="00FD4578"/>
    <w:rsid w:val="00FF4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778D"/>
  <w15:docId w15:val="{17296C8B-FDEC-4728-B471-6437CB30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pPr>
        <w:widowControl w:val="0"/>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uiPriority w:val="9"/>
    <w:unhideWhenUsed/>
    <w:qFormat/>
    <w:pPr>
      <w:keepNext/>
      <w:keepLines/>
      <w:spacing w:before="160" w:after="80"/>
      <w:outlineLvl w:val="1"/>
    </w:pPr>
    <w:rPr>
      <w:rFonts w:ascii="Calibri" w:eastAsia="Calibri" w:hAnsi="Calibri" w:cs="Calibri"/>
      <w:color w:val="2F5496"/>
      <w:sz w:val="32"/>
      <w:szCs w:val="32"/>
    </w:rPr>
  </w:style>
  <w:style w:type="paragraph" w:styleId="Ttulo3">
    <w:name w:val="heading 3"/>
    <w:basedOn w:val="Normal"/>
    <w:next w:val="Normal"/>
    <w:uiPriority w:val="9"/>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har"/>
    <w:uiPriority w:val="9"/>
    <w:semiHidden/>
    <w:unhideWhenUsed/>
    <w:qFormat/>
    <w:rsid w:val="005644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644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5644C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Calibri" w:eastAsia="Calibri" w:hAnsi="Calibri" w:cs="Calibri"/>
      <w:sz w:val="56"/>
      <w:szCs w:val="56"/>
    </w:rPr>
  </w:style>
  <w:style w:type="character" w:customStyle="1" w:styleId="Ttulo1Char">
    <w:name w:val="Título 1 Char"/>
    <w:basedOn w:val="Fontepargpadro"/>
    <w:rsid w:val="005644C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rsid w:val="005644C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rsid w:val="005644C5"/>
    <w:rPr>
      <w:rFonts w:eastAsiaTheme="majorEastAsia" w:cstheme="majorBidi"/>
      <w:color w:val="2F5496" w:themeColor="accent1" w:themeShade="BF"/>
      <w:sz w:val="28"/>
      <w:szCs w:val="28"/>
    </w:rPr>
  </w:style>
  <w:style w:type="character" w:customStyle="1" w:styleId="Ttulo4Char">
    <w:name w:val="Título 4 Char"/>
    <w:basedOn w:val="Fontepargpadro"/>
    <w:rsid w:val="005644C5"/>
    <w:rPr>
      <w:rFonts w:eastAsiaTheme="majorEastAsia" w:cstheme="majorBidi"/>
      <w:i/>
      <w:iCs/>
      <w:color w:val="2F5496" w:themeColor="accent1" w:themeShade="BF"/>
    </w:rPr>
  </w:style>
  <w:style w:type="character" w:customStyle="1" w:styleId="Ttulo5Char">
    <w:name w:val="Título 5 Char"/>
    <w:basedOn w:val="Fontepargpadro"/>
    <w:rsid w:val="005644C5"/>
    <w:rPr>
      <w:rFonts w:eastAsiaTheme="majorEastAsia" w:cstheme="majorBidi"/>
      <w:color w:val="2F5496" w:themeColor="accent1" w:themeShade="BF"/>
    </w:rPr>
  </w:style>
  <w:style w:type="character" w:customStyle="1" w:styleId="Ttulo6Char">
    <w:name w:val="Título 6 Char"/>
    <w:basedOn w:val="Fontepargpadro"/>
    <w:uiPriority w:val="9"/>
    <w:semiHidden/>
    <w:rsid w:val="005644C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644C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644C5"/>
    <w:rPr>
      <w:rFonts w:eastAsiaTheme="majorEastAsia" w:cstheme="majorBidi"/>
      <w:i/>
      <w:iCs/>
      <w:color w:val="272727" w:themeColor="text1" w:themeTint="D8"/>
    </w:rPr>
  </w:style>
  <w:style w:type="character" w:customStyle="1" w:styleId="Ttulo9Char">
    <w:name w:val="Título 9 Char"/>
    <w:basedOn w:val="Fontepargpadro"/>
    <w:link w:val="Ttulo9"/>
    <w:rsid w:val="005644C5"/>
    <w:rPr>
      <w:rFonts w:eastAsiaTheme="majorEastAsia" w:cstheme="majorBidi"/>
      <w:color w:val="272727" w:themeColor="text1" w:themeTint="D8"/>
    </w:rPr>
  </w:style>
  <w:style w:type="character" w:customStyle="1" w:styleId="TtuloChar">
    <w:name w:val="Título Char"/>
    <w:basedOn w:val="Fontepargpadro"/>
    <w:uiPriority w:val="10"/>
    <w:rsid w:val="005644C5"/>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rsid w:val="005644C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644C5"/>
    <w:pPr>
      <w:spacing w:before="160"/>
      <w:jc w:val="center"/>
    </w:pPr>
    <w:rPr>
      <w:i/>
      <w:iCs/>
      <w:color w:val="404040" w:themeColor="text1" w:themeTint="BF"/>
    </w:rPr>
  </w:style>
  <w:style w:type="character" w:customStyle="1" w:styleId="CitaoChar">
    <w:name w:val="Citação Char"/>
    <w:basedOn w:val="Fontepargpadro"/>
    <w:link w:val="Citao"/>
    <w:uiPriority w:val="29"/>
    <w:rsid w:val="005644C5"/>
    <w:rPr>
      <w:i/>
      <w:iCs/>
      <w:color w:val="404040" w:themeColor="text1" w:themeTint="BF"/>
    </w:rPr>
  </w:style>
  <w:style w:type="paragraph" w:styleId="PargrafodaLista">
    <w:name w:val="List Paragraph"/>
    <w:basedOn w:val="Normal"/>
    <w:uiPriority w:val="34"/>
    <w:qFormat/>
    <w:rsid w:val="005644C5"/>
    <w:pPr>
      <w:ind w:left="720"/>
      <w:contextualSpacing/>
    </w:pPr>
  </w:style>
  <w:style w:type="character" w:styleId="nfaseIntensa">
    <w:name w:val="Intense Emphasis"/>
    <w:basedOn w:val="Fontepargpadro"/>
    <w:uiPriority w:val="21"/>
    <w:qFormat/>
    <w:rsid w:val="005644C5"/>
    <w:rPr>
      <w:i/>
      <w:iCs/>
      <w:color w:val="2F5496" w:themeColor="accent1" w:themeShade="BF"/>
    </w:rPr>
  </w:style>
  <w:style w:type="paragraph" w:styleId="CitaoIntensa">
    <w:name w:val="Intense Quote"/>
    <w:basedOn w:val="Normal"/>
    <w:next w:val="Normal"/>
    <w:link w:val="CitaoIntensaChar"/>
    <w:uiPriority w:val="30"/>
    <w:qFormat/>
    <w:rsid w:val="00564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644C5"/>
    <w:rPr>
      <w:i/>
      <w:iCs/>
      <w:color w:val="2F5496" w:themeColor="accent1" w:themeShade="BF"/>
    </w:rPr>
  </w:style>
  <w:style w:type="character" w:styleId="RefernciaIntensa">
    <w:name w:val="Intense Reference"/>
    <w:basedOn w:val="Fontepargpadro"/>
    <w:uiPriority w:val="32"/>
    <w:qFormat/>
    <w:rsid w:val="005644C5"/>
    <w:rPr>
      <w:b/>
      <w:bCs/>
      <w:smallCaps/>
      <w:color w:val="2F5496" w:themeColor="accent1" w:themeShade="BF"/>
      <w:spacing w:val="5"/>
    </w:rPr>
  </w:style>
  <w:style w:type="table" w:customStyle="1" w:styleId="TableNormal1">
    <w:name w:val="Table Normal1"/>
    <w:rsid w:val="0091075D"/>
    <w:pPr>
      <w:spacing w:line="240" w:lineRule="auto"/>
    </w:pPr>
    <w:tblPr>
      <w:tblCellMar>
        <w:top w:w="0" w:type="dxa"/>
        <w:left w:w="0" w:type="dxa"/>
        <w:bottom w:w="0" w:type="dxa"/>
        <w:right w:w="0" w:type="dxa"/>
      </w:tblCellMar>
    </w:tblPr>
  </w:style>
  <w:style w:type="character" w:styleId="Hyperlink">
    <w:name w:val="Hyperlink"/>
    <w:rsid w:val="0091075D"/>
    <w:rPr>
      <w:color w:val="0000FF"/>
      <w:w w:val="100"/>
      <w:position w:val="-1"/>
      <w:u w:val="single"/>
      <w:effect w:val="none"/>
      <w:vertAlign w:val="baseline"/>
      <w:cs w:val="0"/>
      <w:em w:val="none"/>
    </w:rPr>
  </w:style>
  <w:style w:type="character" w:styleId="Forte">
    <w:name w:val="Strong"/>
    <w:uiPriority w:val="22"/>
    <w:qFormat/>
    <w:rsid w:val="0091075D"/>
    <w:rPr>
      <w:b/>
      <w:bCs/>
      <w:w w:val="100"/>
      <w:position w:val="-1"/>
      <w:effect w:val="none"/>
      <w:vertAlign w:val="baseline"/>
      <w:cs w:val="0"/>
      <w:em w:val="none"/>
    </w:rPr>
  </w:style>
  <w:style w:type="character" w:customStyle="1" w:styleId="highlight">
    <w:name w:val="highlight"/>
    <w:basedOn w:val="Fontepargpadro"/>
    <w:rsid w:val="0091075D"/>
    <w:rPr>
      <w:w w:val="100"/>
      <w:position w:val="-1"/>
      <w:effect w:val="none"/>
      <w:vertAlign w:val="baseline"/>
      <w:cs w:val="0"/>
      <w:em w:val="none"/>
    </w:rPr>
  </w:style>
  <w:style w:type="character" w:customStyle="1" w:styleId="TextodebaloChar">
    <w:name w:val="Texto de balão Char"/>
    <w:rsid w:val="0091075D"/>
    <w:rPr>
      <w:rFonts w:ascii="Tahoma" w:hAnsi="Tahoma"/>
      <w:w w:val="100"/>
      <w:position w:val="-1"/>
      <w:sz w:val="16"/>
      <w:szCs w:val="14"/>
      <w:effect w:val="none"/>
      <w:vertAlign w:val="baseline"/>
      <w:cs w:val="0"/>
      <w:em w:val="none"/>
    </w:rPr>
  </w:style>
  <w:style w:type="character" w:customStyle="1" w:styleId="RodapChar">
    <w:name w:val="Rodapé Char"/>
    <w:uiPriority w:val="99"/>
    <w:rsid w:val="0091075D"/>
    <w:rPr>
      <w:w w:val="100"/>
      <w:kern w:val="1"/>
      <w:position w:val="-1"/>
      <w:sz w:val="24"/>
      <w:szCs w:val="21"/>
      <w:effect w:val="none"/>
      <w:vertAlign w:val="baseline"/>
      <w:cs w:val="0"/>
      <w:em w:val="none"/>
      <w:lang w:eastAsia="zh-CN" w:bidi="hi-IN"/>
    </w:rPr>
  </w:style>
  <w:style w:type="character" w:customStyle="1" w:styleId="ListLabel1">
    <w:name w:val="ListLabel 1"/>
    <w:rsid w:val="0091075D"/>
    <w:rPr>
      <w:w w:val="100"/>
      <w:position w:val="-1"/>
      <w:effect w:val="none"/>
      <w:vertAlign w:val="baseline"/>
      <w:cs w:val="0"/>
      <w:em w:val="none"/>
    </w:rPr>
  </w:style>
  <w:style w:type="paragraph" w:customStyle="1" w:styleId="Ttulo10">
    <w:name w:val="Título1"/>
    <w:basedOn w:val="Normal"/>
    <w:next w:val="Corpodetexto"/>
    <w:rsid w:val="0091075D"/>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rsid w:val="0091075D"/>
    <w:pPr>
      <w:spacing w:after="140" w:line="288" w:lineRule="auto"/>
    </w:pPr>
  </w:style>
  <w:style w:type="character" w:customStyle="1" w:styleId="CorpodetextoChar">
    <w:name w:val="Corpo de texto Char"/>
    <w:basedOn w:val="Fontepargpadro"/>
    <w:link w:val="Corpodetexto"/>
    <w:rsid w:val="0091075D"/>
    <w:rPr>
      <w:rFonts w:ascii="Liberation Serif" w:eastAsia="Liberation Serif" w:hAnsi="Liberation Serif" w:cs="Mangal"/>
      <w:kern w:val="1"/>
      <w:position w:val="-1"/>
      <w:sz w:val="24"/>
      <w:szCs w:val="24"/>
      <w:lang w:eastAsia="zh-CN" w:bidi="hi-IN"/>
    </w:rPr>
  </w:style>
  <w:style w:type="paragraph" w:styleId="Lista">
    <w:name w:val="List"/>
    <w:basedOn w:val="Corpodetexto"/>
    <w:rsid w:val="0091075D"/>
  </w:style>
  <w:style w:type="paragraph" w:styleId="Legenda">
    <w:name w:val="caption"/>
    <w:basedOn w:val="Normal"/>
    <w:rsid w:val="0091075D"/>
    <w:pPr>
      <w:suppressLineNumbers/>
      <w:spacing w:before="120" w:after="120"/>
    </w:pPr>
    <w:rPr>
      <w:i/>
      <w:iCs/>
    </w:rPr>
  </w:style>
  <w:style w:type="paragraph" w:customStyle="1" w:styleId="ndice">
    <w:name w:val="Índice"/>
    <w:basedOn w:val="Normal"/>
    <w:rsid w:val="0091075D"/>
    <w:pPr>
      <w:suppressLineNumbers/>
    </w:pPr>
  </w:style>
  <w:style w:type="paragraph" w:customStyle="1" w:styleId="Contedodatabela">
    <w:name w:val="Conteúdo da tabela"/>
    <w:basedOn w:val="Normal"/>
    <w:rsid w:val="0091075D"/>
    <w:pPr>
      <w:suppressLineNumbers/>
    </w:pPr>
  </w:style>
  <w:style w:type="paragraph" w:styleId="Cabealho">
    <w:name w:val="header"/>
    <w:basedOn w:val="Normal"/>
    <w:link w:val="CabealhoChar"/>
    <w:uiPriority w:val="99"/>
    <w:rsid w:val="0091075D"/>
    <w:pPr>
      <w:suppressLineNumbers/>
      <w:tabs>
        <w:tab w:val="center" w:pos="4535"/>
        <w:tab w:val="right" w:pos="9071"/>
      </w:tabs>
    </w:pPr>
  </w:style>
  <w:style w:type="character" w:customStyle="1" w:styleId="CabealhoChar">
    <w:name w:val="Cabeçalho Char"/>
    <w:basedOn w:val="Fontepargpadro"/>
    <w:link w:val="Cabealho"/>
    <w:uiPriority w:val="99"/>
    <w:rsid w:val="0091075D"/>
    <w:rPr>
      <w:rFonts w:ascii="Liberation Serif" w:eastAsia="Liberation Serif" w:hAnsi="Liberation Serif" w:cs="Mangal"/>
      <w:kern w:val="1"/>
      <w:position w:val="-1"/>
      <w:sz w:val="24"/>
      <w:szCs w:val="24"/>
      <w:lang w:eastAsia="zh-CN" w:bidi="hi-IN"/>
    </w:rPr>
  </w:style>
  <w:style w:type="paragraph" w:styleId="Textodebalo">
    <w:name w:val="Balloon Text"/>
    <w:basedOn w:val="Normal"/>
    <w:link w:val="TextodebaloChar1"/>
    <w:rsid w:val="0091075D"/>
    <w:rPr>
      <w:rFonts w:ascii="Segoe UI" w:hAnsi="Segoe UI"/>
      <w:sz w:val="18"/>
      <w:szCs w:val="16"/>
    </w:rPr>
  </w:style>
  <w:style w:type="character" w:customStyle="1" w:styleId="TextodebaloChar1">
    <w:name w:val="Texto de balão Char1"/>
    <w:basedOn w:val="Fontepargpadro"/>
    <w:link w:val="Textodebalo"/>
    <w:rsid w:val="0091075D"/>
    <w:rPr>
      <w:rFonts w:ascii="Segoe UI" w:eastAsia="Liberation Serif" w:hAnsi="Segoe UI" w:cs="Mangal"/>
      <w:kern w:val="1"/>
      <w:position w:val="-1"/>
      <w:sz w:val="18"/>
      <w:szCs w:val="16"/>
      <w:lang w:eastAsia="zh-CN" w:bidi="hi-IN"/>
    </w:rPr>
  </w:style>
  <w:style w:type="paragraph" w:styleId="Rodap">
    <w:name w:val="footer"/>
    <w:basedOn w:val="Normal"/>
    <w:link w:val="RodapChar1"/>
    <w:uiPriority w:val="99"/>
    <w:rsid w:val="0091075D"/>
    <w:pPr>
      <w:tabs>
        <w:tab w:val="center" w:pos="4252"/>
        <w:tab w:val="right" w:pos="8504"/>
      </w:tabs>
    </w:pPr>
    <w:rPr>
      <w:szCs w:val="21"/>
    </w:rPr>
  </w:style>
  <w:style w:type="character" w:customStyle="1" w:styleId="RodapChar1">
    <w:name w:val="Rodapé Char1"/>
    <w:basedOn w:val="Fontepargpadro"/>
    <w:link w:val="Rodap"/>
    <w:uiPriority w:val="99"/>
    <w:rsid w:val="0091075D"/>
    <w:rPr>
      <w:rFonts w:ascii="Liberation Serif" w:eastAsia="Liberation Serif" w:hAnsi="Liberation Serif" w:cs="Mangal"/>
      <w:kern w:val="1"/>
      <w:position w:val="-1"/>
      <w:sz w:val="24"/>
      <w:szCs w:val="21"/>
      <w:lang w:eastAsia="zh-CN" w:bidi="hi-IN"/>
    </w:rPr>
  </w:style>
  <w:style w:type="paragraph" w:styleId="NormalWeb">
    <w:name w:val="Normal (Web)"/>
    <w:basedOn w:val="Normal"/>
    <w:uiPriority w:val="99"/>
    <w:rsid w:val="0091075D"/>
    <w:pPr>
      <w:widowControl/>
      <w:suppressAutoHyphens/>
      <w:spacing w:before="280" w:after="280"/>
    </w:pPr>
    <w:rPr>
      <w:rFonts w:ascii="Times New Roman" w:eastAsia="Times New Roman" w:hAnsi="Times New Roman" w:cs="Times New Roman"/>
    </w:rPr>
  </w:style>
  <w:style w:type="character" w:customStyle="1" w:styleId="apple-converted-space">
    <w:name w:val="apple-converted-space"/>
    <w:rsid w:val="0091075D"/>
    <w:rPr>
      <w:w w:val="100"/>
      <w:position w:val="-1"/>
      <w:effect w:val="none"/>
      <w:vertAlign w:val="baseline"/>
      <w:cs w:val="0"/>
      <w:em w:val="none"/>
    </w:rPr>
  </w:style>
  <w:style w:type="character" w:styleId="nfase">
    <w:name w:val="Emphasis"/>
    <w:uiPriority w:val="20"/>
    <w:qFormat/>
    <w:rsid w:val="0091075D"/>
    <w:rPr>
      <w:i/>
      <w:iCs/>
      <w:w w:val="100"/>
      <w:position w:val="-1"/>
      <w:effect w:val="none"/>
      <w:vertAlign w:val="baseline"/>
      <w:cs w:val="0"/>
      <w:em w:val="none"/>
    </w:rPr>
  </w:style>
  <w:style w:type="table" w:styleId="Tabelacomgrade">
    <w:name w:val="Table Grid"/>
    <w:basedOn w:val="Tabelanormal"/>
    <w:rsid w:val="0091075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91075D"/>
    <w:pPr>
      <w:spacing w:after="120" w:line="480" w:lineRule="auto"/>
    </w:pPr>
    <w:rPr>
      <w:szCs w:val="21"/>
    </w:rPr>
  </w:style>
  <w:style w:type="character" w:customStyle="1" w:styleId="Corpodetexto2Char">
    <w:name w:val="Corpo de texto 2 Char"/>
    <w:basedOn w:val="Fontepargpadro"/>
    <w:link w:val="Corpodetexto2"/>
    <w:rsid w:val="0091075D"/>
    <w:rPr>
      <w:rFonts w:ascii="Liberation Serif" w:eastAsia="Liberation Serif" w:hAnsi="Liberation Serif" w:cs="Mangal"/>
      <w:kern w:val="1"/>
      <w:position w:val="-1"/>
      <w:sz w:val="24"/>
      <w:szCs w:val="21"/>
      <w:lang w:eastAsia="zh-CN" w:bidi="hi-IN"/>
    </w:rPr>
  </w:style>
  <w:style w:type="paragraph" w:customStyle="1" w:styleId="Textbody">
    <w:name w:val="Text body"/>
    <w:basedOn w:val="Normal"/>
    <w:rsid w:val="0091075D"/>
    <w:pPr>
      <w:autoSpaceDN w:val="0"/>
      <w:spacing w:after="120"/>
    </w:pPr>
    <w:rPr>
      <w:rFonts w:ascii="Times New Roman" w:hAnsi="Times New Roman"/>
      <w:kern w:val="3"/>
    </w:rPr>
  </w:style>
  <w:style w:type="character" w:styleId="MenoPendente">
    <w:name w:val="Unresolved Mention"/>
    <w:qFormat/>
    <w:rsid w:val="0091075D"/>
    <w:rPr>
      <w:color w:val="605E5C"/>
      <w:w w:val="100"/>
      <w:position w:val="-1"/>
      <w:effect w:val="none"/>
      <w:shd w:val="clear" w:color="auto" w:fill="E1DFDD"/>
      <w:vertAlign w:val="baseline"/>
      <w:cs w:val="0"/>
      <w:em w:val="none"/>
    </w:rPr>
  </w:style>
  <w:style w:type="table" w:styleId="SimplesTabela2">
    <w:name w:val="Plain Table 2"/>
    <w:basedOn w:val="Tabelanormal"/>
    <w:rsid w:val="0091075D"/>
    <w:pPr>
      <w:suppressAutoHyphens/>
      <w:spacing w:line="1" w:lineRule="atLeast"/>
      <w:ind w:leftChars="-1" w:left="-1" w:hangingChars="1"/>
      <w:textDirection w:val="btLr"/>
      <w:textAlignment w:val="top"/>
      <w:outlineLvl w:val="0"/>
    </w:pPr>
    <w:rPr>
      <w:rFonts w:ascii="Calibri" w:eastAsia="Calibri" w:hAnsi="Calibri" w:cs="Times New Roman"/>
      <w:position w:val="-1"/>
    </w:rPr>
    <w:tblPr>
      <w:tblStyleRowBandSize w:val="1"/>
      <w:tblStyleColBandSize w:val="1"/>
      <w:tblBorders>
        <w:top w:val="single" w:sz="4" w:space="0" w:color="7F7F7F"/>
        <w:bottom w:val="single" w:sz="4" w:space="0" w:color="7F7F7F"/>
      </w:tblBorders>
    </w:tblPr>
  </w:style>
  <w:style w:type="paragraph" w:styleId="Textodecomentrio">
    <w:name w:val="annotation text"/>
    <w:basedOn w:val="Normal"/>
    <w:link w:val="TextodecomentrioChar"/>
    <w:qFormat/>
    <w:rsid w:val="0091075D"/>
    <w:pPr>
      <w:widowControl/>
      <w:suppressAutoHyphens/>
      <w:spacing w:after="160"/>
    </w:pPr>
    <w:rPr>
      <w:rFonts w:ascii="Calibri" w:eastAsia="Times New Roman" w:hAnsi="Calibri" w:cs="Times New Roman"/>
      <w:sz w:val="20"/>
      <w:szCs w:val="20"/>
      <w:lang w:val="en-AU"/>
    </w:rPr>
  </w:style>
  <w:style w:type="character" w:customStyle="1" w:styleId="TextodecomentrioChar">
    <w:name w:val="Texto de comentário Char"/>
    <w:basedOn w:val="Fontepargpadro"/>
    <w:link w:val="Textodecomentrio"/>
    <w:rsid w:val="0091075D"/>
    <w:rPr>
      <w:rFonts w:ascii="Calibri" w:eastAsia="Times New Roman" w:hAnsi="Calibri" w:cs="Times New Roman"/>
      <w:kern w:val="0"/>
      <w:position w:val="-1"/>
      <w:sz w:val="20"/>
      <w:szCs w:val="20"/>
      <w:lang w:val="en-AU" w:eastAsia="zh-CN"/>
    </w:rPr>
  </w:style>
  <w:style w:type="paragraph" w:styleId="Recuodecorpodetexto">
    <w:name w:val="Body Text Indent"/>
    <w:basedOn w:val="Normal"/>
    <w:link w:val="RecuodecorpodetextoChar"/>
    <w:rsid w:val="0091075D"/>
    <w:pPr>
      <w:spacing w:after="120"/>
      <w:ind w:left="283"/>
    </w:pPr>
    <w:rPr>
      <w:szCs w:val="21"/>
    </w:rPr>
  </w:style>
  <w:style w:type="character" w:customStyle="1" w:styleId="RecuodecorpodetextoChar">
    <w:name w:val="Recuo de corpo de texto Char"/>
    <w:basedOn w:val="Fontepargpadro"/>
    <w:link w:val="Recuodecorpodetexto"/>
    <w:rsid w:val="0091075D"/>
    <w:rPr>
      <w:rFonts w:ascii="Liberation Serif" w:eastAsia="Liberation Serif" w:hAnsi="Liberation Serif" w:cs="Mangal"/>
      <w:kern w:val="1"/>
      <w:position w:val="-1"/>
      <w:sz w:val="24"/>
      <w:szCs w:val="21"/>
      <w:lang w:eastAsia="zh-CN" w:bidi="hi-IN"/>
    </w:rPr>
  </w:style>
  <w:style w:type="character" w:styleId="Refdecomentrio">
    <w:name w:val="annotation reference"/>
    <w:rsid w:val="0091075D"/>
    <w:rPr>
      <w:w w:val="100"/>
      <w:position w:val="-1"/>
      <w:sz w:val="16"/>
      <w:szCs w:val="16"/>
      <w:effect w:val="none"/>
      <w:vertAlign w:val="baseline"/>
      <w:cs w:val="0"/>
      <w:em w:val="none"/>
    </w:rPr>
  </w:style>
  <w:style w:type="paragraph" w:styleId="Assuntodocomentrio">
    <w:name w:val="annotation subject"/>
    <w:basedOn w:val="Textodecomentrio"/>
    <w:next w:val="Textodecomentrio"/>
    <w:link w:val="AssuntodocomentrioChar"/>
    <w:rsid w:val="0091075D"/>
    <w:pPr>
      <w:widowControl w:val="0"/>
      <w:suppressAutoHyphens w:val="0"/>
      <w:spacing w:after="0"/>
      <w:textAlignment w:val="baseline"/>
    </w:pPr>
    <w:rPr>
      <w:rFonts w:ascii="Liberation Serif" w:eastAsia="SimSun" w:hAnsi="Liberation Serif" w:cs="Mangal"/>
      <w:b/>
      <w:bCs/>
      <w:kern w:val="1"/>
      <w:szCs w:val="18"/>
      <w:lang w:val="pt-BR" w:bidi="hi-IN"/>
    </w:rPr>
  </w:style>
  <w:style w:type="character" w:customStyle="1" w:styleId="AssuntodocomentrioChar">
    <w:name w:val="Assunto do comentário Char"/>
    <w:basedOn w:val="TextodecomentrioChar"/>
    <w:link w:val="Assuntodocomentrio"/>
    <w:rsid w:val="0091075D"/>
    <w:rPr>
      <w:rFonts w:ascii="Liberation Serif" w:eastAsia="SimSun" w:hAnsi="Liberation Serif" w:cs="Mangal"/>
      <w:b/>
      <w:bCs/>
      <w:kern w:val="1"/>
      <w:position w:val="-1"/>
      <w:sz w:val="20"/>
      <w:szCs w:val="18"/>
      <w:lang w:val="en-AU" w:eastAsia="zh-CN" w:bidi="hi-IN"/>
    </w:rPr>
  </w:style>
  <w:style w:type="paragraph" w:styleId="Reviso">
    <w:name w:val="Revision"/>
    <w:rsid w:val="0091075D"/>
    <w:pPr>
      <w:suppressAutoHyphens/>
      <w:spacing w:line="1" w:lineRule="atLeast"/>
      <w:ind w:leftChars="-1" w:left="-1" w:hangingChars="1"/>
      <w:textDirection w:val="btLr"/>
      <w:textAlignment w:val="top"/>
      <w:outlineLvl w:val="0"/>
    </w:pPr>
    <w:rPr>
      <w:rFonts w:cs="Mangal"/>
      <w:kern w:val="1"/>
      <w:position w:val="-1"/>
      <w:szCs w:val="21"/>
      <w:lang w:eastAsia="zh-CN" w:bidi="hi-IN"/>
    </w:rPr>
  </w:style>
  <w:style w:type="numbering" w:customStyle="1" w:styleId="Semlista1">
    <w:name w:val="Sem lista1"/>
    <w:next w:val="Semlista"/>
    <w:qFormat/>
    <w:rsid w:val="0091075D"/>
  </w:style>
  <w:style w:type="character" w:styleId="HiperlinkVisitado">
    <w:name w:val="FollowedHyperlink"/>
    <w:qFormat/>
    <w:rsid w:val="0091075D"/>
    <w:rPr>
      <w:color w:val="954F72"/>
      <w:w w:val="100"/>
      <w:position w:val="-1"/>
      <w:u w:val="single"/>
      <w:effect w:val="none"/>
      <w:vertAlign w:val="baseline"/>
      <w:cs w:val="0"/>
      <w:em w:val="none"/>
    </w:rPr>
  </w:style>
  <w:style w:type="paragraph" w:customStyle="1" w:styleId="msonormal0">
    <w:name w:val="msonormal"/>
    <w:basedOn w:val="Normal"/>
    <w:rsid w:val="0091075D"/>
    <w:pPr>
      <w:widowControl/>
      <w:suppressAutoHyphens/>
      <w:spacing w:after="160" w:line="256" w:lineRule="auto"/>
    </w:pPr>
    <w:rPr>
      <w:rFonts w:ascii="Times New Roman" w:eastAsia="Calibri" w:hAnsi="Times New Roman" w:cs="Times New Roman"/>
      <w:kern w:val="2"/>
    </w:rPr>
  </w:style>
  <w:style w:type="table" w:customStyle="1" w:styleId="Tabelacomgrade1">
    <w:name w:val="Tabela com grade1"/>
    <w:basedOn w:val="Tabelanormal"/>
    <w:next w:val="Tabelacomgrade"/>
    <w:rsid w:val="0091075D"/>
    <w:pPr>
      <w:suppressAutoHyphens/>
      <w:spacing w:line="1" w:lineRule="atLeast"/>
      <w:ind w:leftChars="-1" w:left="-1" w:hangingChars="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sTabela21">
    <w:name w:val="Simples Tabela 21"/>
    <w:basedOn w:val="Tabelanormal"/>
    <w:next w:val="SimplesTabela2"/>
    <w:rsid w:val="0091075D"/>
    <w:pPr>
      <w:suppressAutoHyphens/>
      <w:spacing w:line="1" w:lineRule="atLeast"/>
      <w:ind w:leftChars="-1" w:left="-1" w:hangingChars="1"/>
      <w:textDirection w:val="btLr"/>
      <w:textAlignment w:val="top"/>
      <w:outlineLvl w:val="0"/>
    </w:pPr>
    <w:rPr>
      <w:rFonts w:ascii="Calibri" w:eastAsia="Calibri" w:hAnsi="Calibri"/>
      <w:position w:val="-1"/>
    </w:rPr>
    <w:tblPr>
      <w:tblStyleRowBandSize w:val="1"/>
      <w:tblStyleColBandSize w:val="1"/>
      <w:tblInd w:w="0" w:type="nil"/>
      <w:tblBorders>
        <w:top w:val="single" w:sz="4" w:space="0" w:color="7F7F7F"/>
        <w:bottom w:val="single" w:sz="4" w:space="0" w:color="7F7F7F"/>
      </w:tblBorders>
    </w:tblPr>
  </w:style>
  <w:style w:type="paragraph" w:styleId="Subttulo">
    <w:name w:val="Subtitle"/>
    <w:basedOn w:val="Normal"/>
    <w:next w:val="Normal"/>
    <w:uiPriority w:val="11"/>
    <w:qFormat/>
    <w:rPr>
      <w:color w:val="595959"/>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Gg5EYmg3wuit3dZx8AdbvmXZA==">CgMxLjAyDmgudDAzNXVpdzJ5aXVuMg5oLm9sYzVlYjM3Y2Z1cjIMaC55d2JoYWJ1dHdtMg5oLmt1OG81ZjF1a2pxOTIJaC4yeGN5dHBpMgloLjFjaTkzeGIyCWguM3dod21sNDIJaC4yYm42d3N4MghoLnFzaDcwcTIJaC4zYXM0cG9qMgloLjFweGV6d2MyCWguNDl4MmlrNTIJaC4ycDJjc3J5OAByITFqOGh2a2xtNmRZNUEyVmdxUE1FZjIyREpHeWRwT0VhSg==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7321</Words>
  <Characters>39534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Zildenilson da Silva Sousa</dc:creator>
  <cp:lastModifiedBy>Zildenilson da Silva Sousa</cp:lastModifiedBy>
  <cp:revision>21</cp:revision>
  <dcterms:created xsi:type="dcterms:W3CDTF">2025-10-23T22:41:00Z</dcterms:created>
  <dcterms:modified xsi:type="dcterms:W3CDTF">2025-10-26T01:45:00Z</dcterms:modified>
</cp:coreProperties>
</file>