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6A5C24" w14:textId="558C1CCB" w:rsidR="009E0B4F" w:rsidRPr="00501C31" w:rsidRDefault="00EE26F4">
      <w:pPr>
        <w:widowControl w:val="0"/>
        <w:ind w:left="462" w:right="1279" w:firstLine="2"/>
        <w:jc w:val="right"/>
        <w:rPr>
          <w:rFonts w:ascii="Arial" w:eastAsia="Arial" w:hAnsi="Arial" w:cs="Arial"/>
          <w:b/>
          <w:color w:val="0D0D0D"/>
          <w:sz w:val="36"/>
          <w:szCs w:val="36"/>
        </w:rPr>
      </w:pPr>
      <w:r>
        <w:rPr>
          <w:rFonts w:ascii="Arial" w:eastAsia="Arial" w:hAnsi="Arial" w:cs="Arial"/>
          <w:b/>
          <w:color w:val="0D0D0D"/>
          <w:sz w:val="36"/>
          <w:szCs w:val="36"/>
        </w:rPr>
        <w:t xml:space="preserve">Direct and </w:t>
      </w:r>
      <w:r w:rsidR="0070690F" w:rsidRPr="00501C31">
        <w:rPr>
          <w:rFonts w:ascii="Arial" w:eastAsia="Arial" w:hAnsi="Arial" w:cs="Arial"/>
          <w:b/>
          <w:color w:val="0D0D0D"/>
          <w:sz w:val="36"/>
          <w:szCs w:val="36"/>
        </w:rPr>
        <w:t>Indirect Restorations with Composite Resin: Guidelines for Clinical Practice</w:t>
      </w:r>
    </w:p>
    <w:p w14:paraId="07D95732" w14:textId="7FA51433" w:rsidR="009E0B4F" w:rsidRPr="00501C31" w:rsidRDefault="009E0B4F" w:rsidP="00B17F34">
      <w:pPr>
        <w:widowControl w:val="0"/>
        <w:ind w:right="1279"/>
        <w:rPr>
          <w:rFonts w:ascii="Arial" w:eastAsia="Arial" w:hAnsi="Arial" w:cs="Arial"/>
          <w:b/>
          <w:sz w:val="20"/>
          <w:szCs w:val="20"/>
        </w:rPr>
      </w:pPr>
    </w:p>
    <w:tbl>
      <w:tblPr>
        <w:tblStyle w:val="a5"/>
        <w:tblW w:w="928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87"/>
      </w:tblGrid>
      <w:tr w:rsidR="009E0B4F" w:rsidRPr="00501C31" w14:paraId="42A30EED" w14:textId="77777777">
        <w:tc>
          <w:tcPr>
            <w:tcW w:w="9287" w:type="dxa"/>
            <w:shd w:val="clear" w:color="auto" w:fill="F2F2F2"/>
          </w:tcPr>
          <w:p w14:paraId="37F2BB42" w14:textId="77777777" w:rsidR="009E0B4F" w:rsidRPr="00501C31" w:rsidRDefault="009E0B4F">
            <w:pPr>
              <w:pBdr>
                <w:top w:val="nil"/>
                <w:left w:val="nil"/>
                <w:bottom w:val="nil"/>
                <w:right w:val="nil"/>
                <w:between w:val="nil"/>
              </w:pBdr>
              <w:jc w:val="both"/>
              <w:rPr>
                <w:rFonts w:ascii="Arial" w:eastAsia="Arial" w:hAnsi="Arial" w:cs="Arial"/>
                <w:color w:val="000000"/>
                <w:sz w:val="20"/>
                <w:szCs w:val="20"/>
              </w:rPr>
            </w:pPr>
          </w:p>
          <w:p w14:paraId="76069F40" w14:textId="77777777" w:rsidR="009E0B4F" w:rsidRPr="00501C31" w:rsidRDefault="0070690F">
            <w:pPr>
              <w:pBdr>
                <w:top w:val="nil"/>
                <w:left w:val="nil"/>
                <w:bottom w:val="nil"/>
                <w:right w:val="nil"/>
                <w:between w:val="nil"/>
              </w:pBdr>
              <w:spacing w:after="240"/>
              <w:jc w:val="both"/>
              <w:rPr>
                <w:rFonts w:ascii="Arial" w:eastAsia="Arial" w:hAnsi="Arial" w:cs="Arial"/>
                <w:b/>
                <w:color w:val="000000"/>
                <w:sz w:val="22"/>
                <w:szCs w:val="22"/>
              </w:rPr>
            </w:pPr>
            <w:r w:rsidRPr="00501C31">
              <w:rPr>
                <w:rFonts w:ascii="Arial" w:eastAsia="Arial" w:hAnsi="Arial" w:cs="Arial"/>
                <w:b/>
                <w:color w:val="000000"/>
                <w:sz w:val="22"/>
                <w:szCs w:val="22"/>
              </w:rPr>
              <w:t>ABSTRACT</w:t>
            </w:r>
          </w:p>
          <w:p w14:paraId="77185701" w14:textId="1D041E11" w:rsidR="009E0B4F" w:rsidRPr="00501C31" w:rsidRDefault="0070690F">
            <w:pPr>
              <w:pBdr>
                <w:top w:val="nil"/>
                <w:left w:val="nil"/>
                <w:bottom w:val="nil"/>
                <w:right w:val="nil"/>
                <w:between w:val="nil"/>
              </w:pBdr>
              <w:jc w:val="both"/>
              <w:rPr>
                <w:rFonts w:ascii="Arial" w:eastAsia="Arial" w:hAnsi="Arial" w:cs="Arial"/>
                <w:color w:val="000000"/>
                <w:sz w:val="20"/>
                <w:szCs w:val="20"/>
              </w:rPr>
            </w:pPr>
            <w:r w:rsidRPr="00501C31">
              <w:rPr>
                <w:rFonts w:ascii="Arial" w:eastAsia="Arial" w:hAnsi="Arial" w:cs="Arial"/>
                <w:color w:val="000000"/>
                <w:sz w:val="20"/>
                <w:szCs w:val="20"/>
              </w:rPr>
              <w:t>Restorative dentistry has experienced significant advancements in recent years, particularly in the development and improvement of composite resin materials, widely used for their favorable aesthetic and mechanical properties. Among the most common restorative techniques are the direct and indirect restorations, whose selection depends on clinical factors such as the extent of tooth loss, aesthetic demands, functionality, cost, clinical time available, and the dentist skill. This study aimed to perform a comparative analysis between direct and indirect composite resin restorative techniques, considering their indications, advantages, limitations, and clinical performance based on recent scientific literature. A narrative literature review was made, including a systematic search on PubMed, Scopus, and Web of Science databases, covering publications from 2013 to 202</w:t>
            </w:r>
            <w:r w:rsidR="00EE26F4">
              <w:rPr>
                <w:rFonts w:ascii="Arial" w:eastAsia="Arial" w:hAnsi="Arial" w:cs="Arial"/>
                <w:color w:val="000000"/>
                <w:sz w:val="20"/>
                <w:szCs w:val="20"/>
              </w:rPr>
              <w:t>4</w:t>
            </w:r>
            <w:r w:rsidRPr="00501C31">
              <w:rPr>
                <w:rFonts w:ascii="Arial" w:eastAsia="Arial" w:hAnsi="Arial" w:cs="Arial"/>
                <w:color w:val="000000"/>
                <w:sz w:val="20"/>
                <w:szCs w:val="20"/>
              </w:rPr>
              <w:t xml:space="preserve">. After applying inclusion and exclusion criteria, </w:t>
            </w:r>
            <w:r w:rsidR="00EE26F4">
              <w:rPr>
                <w:rFonts w:ascii="Arial" w:eastAsia="Arial" w:hAnsi="Arial" w:cs="Arial"/>
                <w:color w:val="000000"/>
                <w:sz w:val="20"/>
                <w:szCs w:val="20"/>
              </w:rPr>
              <w:t>16</w:t>
            </w:r>
            <w:r w:rsidRPr="00501C31">
              <w:rPr>
                <w:rFonts w:ascii="Arial" w:eastAsia="Arial" w:hAnsi="Arial" w:cs="Arial"/>
                <w:color w:val="000000"/>
                <w:sz w:val="20"/>
                <w:szCs w:val="20"/>
              </w:rPr>
              <w:t xml:space="preserve"> original articles directly comparing the two techniques were selected. Results showed that both techniques are effective when properly indicated and executed. Direct restorations excelled in fracture resistance, especially when cusp coverage was involved, as well as better anatomical adaptation and greater fatigue resistance in cracked teeth. Indirect restorations showed higher performance in color stability after aging, bacterial adhesion, and marginal quality, with an aesthetic advantage. It is concluded that the choice between techniques should consider not only mechanical aspects but also aesthetic and biological factors, tailored to the clinical case and individual patient needs, aiming to ensure longevity, predictability, and excellence in restorative treatments.</w:t>
            </w:r>
          </w:p>
          <w:p w14:paraId="7BCEABD5" w14:textId="77777777" w:rsidR="009E0B4F" w:rsidRPr="00501C31" w:rsidRDefault="009E0B4F">
            <w:pPr>
              <w:pBdr>
                <w:top w:val="nil"/>
                <w:left w:val="nil"/>
                <w:bottom w:val="nil"/>
                <w:right w:val="nil"/>
                <w:between w:val="nil"/>
              </w:pBdr>
              <w:jc w:val="both"/>
              <w:rPr>
                <w:rFonts w:ascii="Arial" w:eastAsia="Arial" w:hAnsi="Arial" w:cs="Arial"/>
                <w:color w:val="000000"/>
                <w:sz w:val="20"/>
                <w:szCs w:val="20"/>
              </w:rPr>
            </w:pPr>
          </w:p>
        </w:tc>
      </w:tr>
    </w:tbl>
    <w:p w14:paraId="04808061" w14:textId="77777777" w:rsidR="009E0B4F" w:rsidRPr="00501C31" w:rsidRDefault="0070690F">
      <w:pPr>
        <w:spacing w:before="240" w:after="240" w:line="360" w:lineRule="auto"/>
        <w:jc w:val="both"/>
        <w:rPr>
          <w:rFonts w:ascii="Arial" w:eastAsia="Arial" w:hAnsi="Arial" w:cs="Arial"/>
          <w:sz w:val="20"/>
          <w:szCs w:val="20"/>
        </w:rPr>
      </w:pPr>
      <w:r w:rsidRPr="00501C31">
        <w:rPr>
          <w:rFonts w:ascii="Arial" w:eastAsia="Arial" w:hAnsi="Arial" w:cs="Arial"/>
          <w:b/>
          <w:sz w:val="20"/>
          <w:szCs w:val="20"/>
        </w:rPr>
        <w:t>Keywords</w:t>
      </w:r>
      <w:r w:rsidRPr="00501C31">
        <w:rPr>
          <w:rFonts w:ascii="Arial" w:eastAsia="Arial" w:hAnsi="Arial" w:cs="Arial"/>
          <w:sz w:val="20"/>
          <w:szCs w:val="20"/>
        </w:rPr>
        <w:t>: Composite Resin; Direct Restoration; Indirect Restoration; Restorative Dentistry.</w:t>
      </w:r>
    </w:p>
    <w:p w14:paraId="50C9BA64" w14:textId="77777777" w:rsidR="009E0B4F" w:rsidRPr="00501C31" w:rsidRDefault="0070690F">
      <w:pPr>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rFonts w:ascii="Arial" w:eastAsia="Arial" w:hAnsi="Arial" w:cs="Arial"/>
          <w:b/>
          <w:color w:val="0D0D0D"/>
          <w:sz w:val="22"/>
          <w:szCs w:val="22"/>
        </w:rPr>
      </w:pPr>
      <w:r w:rsidRPr="00501C31">
        <w:rPr>
          <w:rFonts w:ascii="Arial" w:eastAsia="Arial" w:hAnsi="Arial" w:cs="Arial"/>
          <w:b/>
          <w:color w:val="0D0D0D"/>
          <w:sz w:val="22"/>
          <w:szCs w:val="22"/>
        </w:rPr>
        <w:t>1. INTRODUCTION</w:t>
      </w:r>
    </w:p>
    <w:p w14:paraId="66006E29" w14:textId="77777777" w:rsidR="009E0B4F" w:rsidRPr="00501C31" w:rsidRDefault="009E0B4F">
      <w:pPr>
        <w:spacing w:after="200"/>
        <w:jc w:val="both"/>
        <w:rPr>
          <w:rFonts w:ascii="Arial" w:eastAsia="Arial" w:hAnsi="Arial" w:cs="Arial"/>
          <w:color w:val="000000"/>
          <w:sz w:val="20"/>
          <w:szCs w:val="20"/>
        </w:rPr>
      </w:pPr>
    </w:p>
    <w:p w14:paraId="398F00F3" w14:textId="7E214564" w:rsidR="009E0B4F" w:rsidRPr="00501C31" w:rsidRDefault="0070690F">
      <w:pPr>
        <w:pBdr>
          <w:top w:val="nil"/>
          <w:left w:val="nil"/>
          <w:bottom w:val="nil"/>
          <w:right w:val="nil"/>
          <w:between w:val="nil"/>
        </w:pBdr>
        <w:ind w:firstLine="720"/>
        <w:jc w:val="both"/>
        <w:rPr>
          <w:rFonts w:ascii="Arial" w:eastAsia="Arial" w:hAnsi="Arial" w:cs="Arial"/>
          <w:color w:val="000000"/>
          <w:sz w:val="20"/>
          <w:szCs w:val="20"/>
        </w:rPr>
      </w:pPr>
      <w:r w:rsidRPr="00501C31">
        <w:rPr>
          <w:rFonts w:ascii="Arial" w:eastAsia="Arial" w:hAnsi="Arial" w:cs="Arial"/>
          <w:color w:val="000000"/>
          <w:sz w:val="20"/>
          <w:szCs w:val="20"/>
        </w:rPr>
        <w:t>Restorative dentistry is constantly evolving, seeking new techniques and materials that provide more effective, long-lasting, and aesthetic treatments. Composite resin is a material that mimics the optical and mechanical properties of dental enamel, allowing for visual harmony between the restored tooth and adjacent natural teeth (Dominguez et al., 2024).</w:t>
      </w:r>
    </w:p>
    <w:p w14:paraId="3E242CE4" w14:textId="0A6096C5" w:rsidR="009E0B4F" w:rsidRPr="00501C31" w:rsidRDefault="0070690F">
      <w:pPr>
        <w:pBdr>
          <w:top w:val="nil"/>
          <w:left w:val="nil"/>
          <w:bottom w:val="nil"/>
          <w:right w:val="nil"/>
          <w:between w:val="nil"/>
        </w:pBdr>
        <w:ind w:firstLine="720"/>
        <w:jc w:val="both"/>
        <w:rPr>
          <w:rFonts w:ascii="Arial" w:eastAsia="Arial" w:hAnsi="Arial" w:cs="Arial"/>
          <w:color w:val="000000"/>
          <w:sz w:val="20"/>
          <w:szCs w:val="20"/>
        </w:rPr>
      </w:pPr>
      <w:r w:rsidRPr="00501C31">
        <w:rPr>
          <w:rFonts w:ascii="Arial" w:eastAsia="Arial" w:hAnsi="Arial" w:cs="Arial"/>
          <w:color w:val="000000"/>
          <w:sz w:val="20"/>
          <w:szCs w:val="20"/>
        </w:rPr>
        <w:t>Composite resins play an important role in aesthetic rehabilitation, mimicking the natural characteristics of teeth, such as color and translucency. However, it is necessary to evaluate the conditions of each case to select the most appropriate restorative technique (</w:t>
      </w:r>
      <w:proofErr w:type="spellStart"/>
      <w:r w:rsidRPr="00501C31">
        <w:rPr>
          <w:rFonts w:ascii="Arial" w:eastAsia="Arial" w:hAnsi="Arial" w:cs="Arial"/>
          <w:color w:val="000000"/>
          <w:sz w:val="20"/>
          <w:szCs w:val="20"/>
        </w:rPr>
        <w:t>Moraes</w:t>
      </w:r>
      <w:proofErr w:type="spellEnd"/>
      <w:r w:rsidRPr="00501C31">
        <w:rPr>
          <w:rFonts w:ascii="Arial" w:eastAsia="Arial" w:hAnsi="Arial" w:cs="Arial"/>
          <w:color w:val="000000"/>
          <w:sz w:val="20"/>
          <w:szCs w:val="20"/>
        </w:rPr>
        <w:t xml:space="preserve"> et al., 2025).</w:t>
      </w:r>
      <w:r w:rsidRPr="00501C31">
        <w:rPr>
          <w:rFonts w:ascii="Arial" w:eastAsia="Arial" w:hAnsi="Arial" w:cs="Arial"/>
          <w:color w:val="FFE599"/>
          <w:sz w:val="20"/>
          <w:szCs w:val="20"/>
        </w:rPr>
        <w:t xml:space="preserve"> </w:t>
      </w:r>
      <w:r w:rsidRPr="00501C31">
        <w:rPr>
          <w:rFonts w:ascii="Arial" w:eastAsia="Arial" w:hAnsi="Arial" w:cs="Arial"/>
          <w:color w:val="000000"/>
          <w:sz w:val="20"/>
          <w:szCs w:val="20"/>
        </w:rPr>
        <w:t>The restorative dentistry concerns the harmonious integration of the smile, design, and material selection to ensure suitable and lasting aesthetics. Furthermore, several factors must be taken into consideration for perfect aesthetics, such as facial aesthetics; tooth morphology; available restoration techniques; and communication skills. All aspects constitute a comprehensive set to be integrated and restored in a complex manner to ensure patient satisfaction and health.</w:t>
      </w:r>
    </w:p>
    <w:p w14:paraId="0CDAECAA" w14:textId="0C154748" w:rsidR="009E0B4F" w:rsidRPr="00501C31" w:rsidRDefault="0070690F">
      <w:pPr>
        <w:pBdr>
          <w:top w:val="nil"/>
          <w:left w:val="nil"/>
          <w:bottom w:val="nil"/>
          <w:right w:val="nil"/>
          <w:between w:val="nil"/>
        </w:pBdr>
        <w:ind w:firstLine="720"/>
        <w:jc w:val="both"/>
        <w:rPr>
          <w:rFonts w:ascii="Arial" w:eastAsia="Arial" w:hAnsi="Arial" w:cs="Arial"/>
          <w:color w:val="000000"/>
          <w:sz w:val="20"/>
          <w:szCs w:val="20"/>
        </w:rPr>
      </w:pPr>
      <w:r w:rsidRPr="00501C31">
        <w:rPr>
          <w:rFonts w:ascii="Arial" w:eastAsia="Arial" w:hAnsi="Arial" w:cs="Arial"/>
          <w:color w:val="000000"/>
          <w:sz w:val="20"/>
          <w:szCs w:val="20"/>
        </w:rPr>
        <w:t>Composite resin restorations offer a variety of techniques, allowing professionals to broaden their options. They can explore them as needed and then choose the one that best suits the aforementioned conditions. Among the techniques there is the indirect technique, in which the restoration is created outside the oral cavity. This technique allows for better marginal adaptation and proximal contacts, facilitating the elaboration of occlusal anatomy (Lira et al., 2021). In contrast, the direct technique presents a more conservative alternative due to its minimal wear, as it involves applying the composite resin directly to the prepared tooth surface. It is generally faster, less expensive, easier to apply, and offers favorable aesthetic results. With the advancement of the technique, composite resin, and other materials used, this option has gained prominence in several aspects, such as greater longevity, ensuring durability and safety for the patient, without any concerns.</w:t>
      </w:r>
    </w:p>
    <w:p w14:paraId="45B5F453" w14:textId="77777777" w:rsidR="009E0B4F" w:rsidRPr="00501C31" w:rsidRDefault="0070690F">
      <w:pPr>
        <w:pBdr>
          <w:top w:val="nil"/>
          <w:left w:val="nil"/>
          <w:bottom w:val="nil"/>
          <w:right w:val="nil"/>
          <w:between w:val="nil"/>
        </w:pBdr>
        <w:ind w:firstLine="720"/>
        <w:jc w:val="both"/>
        <w:rPr>
          <w:rFonts w:ascii="Arial" w:eastAsia="Arial" w:hAnsi="Arial" w:cs="Arial"/>
          <w:color w:val="000000"/>
          <w:sz w:val="20"/>
          <w:szCs w:val="20"/>
        </w:rPr>
      </w:pPr>
      <w:r w:rsidRPr="00501C31">
        <w:rPr>
          <w:rFonts w:ascii="Arial" w:eastAsia="Arial" w:hAnsi="Arial" w:cs="Arial"/>
          <w:color w:val="000000"/>
          <w:sz w:val="20"/>
          <w:szCs w:val="20"/>
        </w:rPr>
        <w:t>Therefore, both techniques have the potential to replicate the aesthetic characteristics of natural teeth, representing restorative alternatives that should be chosen according to the specific conditions of the tooth to be restored (</w:t>
      </w:r>
      <w:proofErr w:type="spellStart"/>
      <w:r w:rsidRPr="00501C31">
        <w:rPr>
          <w:rFonts w:ascii="Arial" w:eastAsia="Arial" w:hAnsi="Arial" w:cs="Arial"/>
          <w:color w:val="000000"/>
          <w:sz w:val="20"/>
          <w:szCs w:val="20"/>
        </w:rPr>
        <w:t>Moraes</w:t>
      </w:r>
      <w:proofErr w:type="spellEnd"/>
      <w:r w:rsidRPr="00501C31">
        <w:rPr>
          <w:rFonts w:ascii="Arial" w:eastAsia="Arial" w:hAnsi="Arial" w:cs="Arial"/>
          <w:color w:val="000000"/>
          <w:sz w:val="20"/>
          <w:szCs w:val="20"/>
        </w:rPr>
        <w:t xml:space="preserve"> et al., 2025). When evaluating the tooth structure and substrate, the surgeon must offer the patient treatment options that are comfortable, less invasive, and that promote </w:t>
      </w:r>
      <w:r w:rsidRPr="00501C31">
        <w:rPr>
          <w:rFonts w:ascii="Arial" w:eastAsia="Arial" w:hAnsi="Arial" w:cs="Arial"/>
          <w:color w:val="000000"/>
          <w:sz w:val="20"/>
          <w:szCs w:val="20"/>
        </w:rPr>
        <w:lastRenderedPageBreak/>
        <w:t>efficient and functional results, according to the needs of each case (</w:t>
      </w:r>
      <w:proofErr w:type="spellStart"/>
      <w:r w:rsidRPr="00501C31">
        <w:rPr>
          <w:rFonts w:ascii="Arial" w:eastAsia="Arial" w:hAnsi="Arial" w:cs="Arial"/>
          <w:color w:val="000000"/>
          <w:sz w:val="20"/>
          <w:szCs w:val="20"/>
        </w:rPr>
        <w:t>Moraes</w:t>
      </w:r>
      <w:proofErr w:type="spellEnd"/>
      <w:r w:rsidRPr="00501C31">
        <w:rPr>
          <w:rFonts w:ascii="Arial" w:eastAsia="Arial" w:hAnsi="Arial" w:cs="Arial"/>
          <w:color w:val="000000"/>
          <w:sz w:val="20"/>
          <w:szCs w:val="20"/>
        </w:rPr>
        <w:t xml:space="preserve"> et al., 2025). Understanding the technical requirements, their differences, and uses requires research and analysis of previous scientific studies, which have addressed aspects such as adhesion, marginal adaptation, longevity, pigmentation, and mechanical resistance.</w:t>
      </w:r>
    </w:p>
    <w:p w14:paraId="706AE153" w14:textId="4F63C659" w:rsidR="009E0B4F" w:rsidRPr="00501C31" w:rsidRDefault="0070690F">
      <w:pPr>
        <w:pBdr>
          <w:top w:val="nil"/>
          <w:left w:val="nil"/>
          <w:bottom w:val="nil"/>
          <w:right w:val="nil"/>
          <w:between w:val="nil"/>
        </w:pBdr>
        <w:ind w:firstLine="720"/>
        <w:jc w:val="both"/>
        <w:rPr>
          <w:rFonts w:ascii="Arial" w:eastAsia="Arial" w:hAnsi="Arial" w:cs="Arial"/>
          <w:color w:val="000000"/>
          <w:sz w:val="20"/>
          <w:szCs w:val="20"/>
        </w:rPr>
      </w:pPr>
      <w:r w:rsidRPr="00501C31">
        <w:rPr>
          <w:rFonts w:ascii="Arial" w:eastAsia="Arial" w:hAnsi="Arial" w:cs="Arial"/>
          <w:color w:val="000000"/>
          <w:sz w:val="20"/>
          <w:szCs w:val="20"/>
        </w:rPr>
        <w:t xml:space="preserve">It is necessary to understand how both techniques will be performed and their long-term impacts, </w:t>
      </w:r>
      <w:proofErr w:type="gramStart"/>
      <w:r w:rsidRPr="00501C31">
        <w:rPr>
          <w:rFonts w:ascii="Arial" w:eastAsia="Arial" w:hAnsi="Arial" w:cs="Arial"/>
          <w:color w:val="000000"/>
          <w:sz w:val="20"/>
          <w:szCs w:val="20"/>
        </w:rPr>
        <w:t>taking into account</w:t>
      </w:r>
      <w:proofErr w:type="gramEnd"/>
      <w:r w:rsidRPr="00501C31">
        <w:rPr>
          <w:rFonts w:ascii="Arial" w:eastAsia="Arial" w:hAnsi="Arial" w:cs="Arial"/>
          <w:color w:val="000000"/>
          <w:sz w:val="20"/>
          <w:szCs w:val="20"/>
        </w:rPr>
        <w:t xml:space="preserve"> different scenarios, the wear to which the preparations will be exposed, and how they will respond according to each case. </w:t>
      </w:r>
      <w:r w:rsidR="00B17F34" w:rsidRPr="00501C31">
        <w:rPr>
          <w:rFonts w:ascii="Arial" w:eastAsia="Arial" w:hAnsi="Arial" w:cs="Arial"/>
          <w:color w:val="000000"/>
          <w:sz w:val="20"/>
          <w:szCs w:val="20"/>
        </w:rPr>
        <w:t>Therefore,</w:t>
      </w:r>
      <w:r w:rsidRPr="00501C31">
        <w:rPr>
          <w:rFonts w:ascii="Arial" w:eastAsia="Arial" w:hAnsi="Arial" w:cs="Arial"/>
          <w:color w:val="000000"/>
          <w:sz w:val="20"/>
          <w:szCs w:val="20"/>
        </w:rPr>
        <w:t xml:space="preserve"> the objective of this study was to comparatively analyze the direct and indirect restorative techniques of composite resin based on recent literature. </w:t>
      </w:r>
    </w:p>
    <w:p w14:paraId="4F5330CD" w14:textId="77777777" w:rsidR="009E0B4F" w:rsidRPr="00501C31" w:rsidRDefault="009E0B4F">
      <w:pPr>
        <w:ind w:firstLine="720"/>
        <w:jc w:val="both"/>
        <w:rPr>
          <w:rFonts w:ascii="Arial" w:eastAsia="Arial" w:hAnsi="Arial" w:cs="Arial"/>
          <w:sz w:val="20"/>
          <w:szCs w:val="20"/>
        </w:rPr>
      </w:pPr>
    </w:p>
    <w:p w14:paraId="458407DB" w14:textId="77777777" w:rsidR="009E0B4F" w:rsidRPr="00501C31" w:rsidRDefault="0070690F">
      <w:pPr>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rFonts w:ascii="Arial" w:eastAsia="Arial" w:hAnsi="Arial" w:cs="Arial"/>
          <w:b/>
          <w:color w:val="0D0D0D"/>
          <w:sz w:val="22"/>
          <w:szCs w:val="22"/>
        </w:rPr>
      </w:pPr>
      <w:r w:rsidRPr="00501C31">
        <w:rPr>
          <w:rFonts w:ascii="Arial" w:eastAsia="Arial" w:hAnsi="Arial" w:cs="Arial"/>
          <w:b/>
          <w:color w:val="0D0D0D"/>
          <w:sz w:val="22"/>
          <w:szCs w:val="22"/>
        </w:rPr>
        <w:t>2. METHODOLOGY</w:t>
      </w:r>
    </w:p>
    <w:p w14:paraId="752E3F29" w14:textId="77777777" w:rsidR="009E0B4F" w:rsidRPr="00501C31" w:rsidRDefault="009E0B4F">
      <w:pPr>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b/>
          <w:color w:val="0D0D0D"/>
        </w:rPr>
      </w:pPr>
    </w:p>
    <w:p w14:paraId="0A3A0999" w14:textId="77777777" w:rsidR="009E0B4F" w:rsidRPr="00501C31" w:rsidRDefault="0070690F">
      <w:pPr>
        <w:pBdr>
          <w:top w:val="nil"/>
          <w:left w:val="nil"/>
          <w:bottom w:val="nil"/>
          <w:right w:val="nil"/>
          <w:between w:val="nil"/>
        </w:pBdr>
        <w:ind w:firstLine="720"/>
        <w:jc w:val="both"/>
        <w:rPr>
          <w:rFonts w:ascii="Arial" w:eastAsia="Arial" w:hAnsi="Arial" w:cs="Arial"/>
          <w:color w:val="000000"/>
          <w:sz w:val="20"/>
          <w:szCs w:val="20"/>
        </w:rPr>
      </w:pPr>
      <w:r w:rsidRPr="00501C31">
        <w:rPr>
          <w:rFonts w:ascii="Arial" w:eastAsia="Arial" w:hAnsi="Arial" w:cs="Arial"/>
          <w:color w:val="000000"/>
          <w:sz w:val="20"/>
          <w:szCs w:val="20"/>
        </w:rPr>
        <w:t>This study is a narrative review of the literature, aiming to comparatively analyze direct and indirect restorative techniques with composite resin, identifying their indications, advantages, and clinical limitations. The research was conducted systematically in the PubMed, Scopus, and Web of Science databases in February, 2025.</w:t>
      </w:r>
    </w:p>
    <w:p w14:paraId="6F8EF63D" w14:textId="35085C51" w:rsidR="009E0B4F" w:rsidRPr="00501C31" w:rsidRDefault="0070690F">
      <w:pPr>
        <w:pBdr>
          <w:top w:val="nil"/>
          <w:left w:val="nil"/>
          <w:bottom w:val="nil"/>
          <w:right w:val="nil"/>
          <w:between w:val="nil"/>
        </w:pBdr>
        <w:ind w:firstLine="720"/>
        <w:jc w:val="both"/>
        <w:rPr>
          <w:rFonts w:ascii="Arial" w:eastAsia="Arial" w:hAnsi="Arial" w:cs="Arial"/>
          <w:color w:val="000000"/>
          <w:sz w:val="20"/>
          <w:szCs w:val="20"/>
        </w:rPr>
      </w:pPr>
      <w:r w:rsidRPr="00501C31">
        <w:rPr>
          <w:rFonts w:ascii="Arial" w:eastAsia="Arial" w:hAnsi="Arial" w:cs="Arial"/>
          <w:color w:val="000000"/>
          <w:sz w:val="20"/>
          <w:szCs w:val="20"/>
        </w:rPr>
        <w:t xml:space="preserve">The following keywords in English were used: </w:t>
      </w:r>
      <w:r w:rsidRPr="00501C31">
        <w:rPr>
          <w:rFonts w:ascii="Arial" w:eastAsia="Arial" w:hAnsi="Arial" w:cs="Arial"/>
          <w:i/>
          <w:color w:val="000000"/>
          <w:sz w:val="20"/>
          <w:szCs w:val="20"/>
        </w:rPr>
        <w:t>indirect restoration</w:t>
      </w:r>
      <w:r w:rsidRPr="00501C31">
        <w:rPr>
          <w:rFonts w:ascii="Arial" w:eastAsia="Arial" w:hAnsi="Arial" w:cs="Arial"/>
          <w:color w:val="000000"/>
          <w:sz w:val="20"/>
          <w:szCs w:val="20"/>
        </w:rPr>
        <w:t xml:space="preserve">, </w:t>
      </w:r>
      <w:r w:rsidRPr="00501C31">
        <w:rPr>
          <w:rFonts w:ascii="Arial" w:eastAsia="Arial" w:hAnsi="Arial" w:cs="Arial"/>
          <w:i/>
          <w:color w:val="000000"/>
          <w:sz w:val="20"/>
          <w:szCs w:val="20"/>
        </w:rPr>
        <w:t>direct restoration</w:t>
      </w:r>
      <w:r w:rsidRPr="00501C31">
        <w:rPr>
          <w:rFonts w:ascii="Arial" w:eastAsia="Arial" w:hAnsi="Arial" w:cs="Arial"/>
          <w:color w:val="000000"/>
          <w:sz w:val="20"/>
          <w:szCs w:val="20"/>
        </w:rPr>
        <w:t xml:space="preserve">, </w:t>
      </w:r>
      <w:r w:rsidRPr="00501C31">
        <w:rPr>
          <w:rFonts w:ascii="Arial" w:eastAsia="Arial" w:hAnsi="Arial" w:cs="Arial"/>
          <w:i/>
          <w:color w:val="000000"/>
          <w:sz w:val="20"/>
          <w:szCs w:val="20"/>
        </w:rPr>
        <w:t>composite resin</w:t>
      </w:r>
      <w:r w:rsidRPr="00501C31">
        <w:rPr>
          <w:rFonts w:ascii="Arial" w:eastAsia="Arial" w:hAnsi="Arial" w:cs="Arial"/>
          <w:color w:val="000000"/>
          <w:sz w:val="20"/>
          <w:szCs w:val="20"/>
        </w:rPr>
        <w:t xml:space="preserve">, and </w:t>
      </w:r>
      <w:r w:rsidRPr="00501C31">
        <w:rPr>
          <w:rFonts w:ascii="Arial" w:eastAsia="Arial" w:hAnsi="Arial" w:cs="Arial"/>
          <w:i/>
          <w:color w:val="000000"/>
          <w:sz w:val="20"/>
          <w:szCs w:val="20"/>
        </w:rPr>
        <w:t>resin composite</w:t>
      </w:r>
      <w:r w:rsidRPr="00501C31">
        <w:rPr>
          <w:rFonts w:ascii="Arial" w:eastAsia="Arial" w:hAnsi="Arial" w:cs="Arial"/>
          <w:color w:val="000000"/>
          <w:sz w:val="20"/>
          <w:szCs w:val="20"/>
        </w:rPr>
        <w:t>. The search strategy applied was: (((composite resin) AND (resin composite)) AND (direct restoration)) AND (indirect restoration). Articles published between 2013 and 202</w:t>
      </w:r>
      <w:r w:rsidR="00EE26F4">
        <w:rPr>
          <w:rFonts w:ascii="Arial" w:eastAsia="Arial" w:hAnsi="Arial" w:cs="Arial"/>
          <w:color w:val="000000"/>
          <w:sz w:val="20"/>
          <w:szCs w:val="20"/>
        </w:rPr>
        <w:t>4</w:t>
      </w:r>
      <w:r w:rsidRPr="00501C31">
        <w:rPr>
          <w:rFonts w:ascii="Arial" w:eastAsia="Arial" w:hAnsi="Arial" w:cs="Arial"/>
          <w:color w:val="000000"/>
          <w:sz w:val="20"/>
          <w:szCs w:val="20"/>
        </w:rPr>
        <w:t xml:space="preserve"> and available in full in English were included.</w:t>
      </w:r>
    </w:p>
    <w:p w14:paraId="5A89832F" w14:textId="77777777" w:rsidR="009E0B4F" w:rsidRDefault="0070690F">
      <w:pPr>
        <w:pBdr>
          <w:top w:val="nil"/>
          <w:left w:val="nil"/>
          <w:bottom w:val="nil"/>
          <w:right w:val="nil"/>
          <w:between w:val="nil"/>
        </w:pBdr>
        <w:ind w:firstLine="720"/>
        <w:jc w:val="both"/>
        <w:rPr>
          <w:rFonts w:ascii="Arial" w:eastAsia="Arial" w:hAnsi="Arial" w:cs="Arial"/>
          <w:color w:val="000000"/>
          <w:sz w:val="20"/>
          <w:szCs w:val="20"/>
        </w:rPr>
      </w:pPr>
      <w:r w:rsidRPr="00501C31">
        <w:rPr>
          <w:rFonts w:ascii="Arial" w:eastAsia="Arial" w:hAnsi="Arial" w:cs="Arial"/>
          <w:color w:val="000000"/>
          <w:sz w:val="20"/>
          <w:szCs w:val="20"/>
        </w:rPr>
        <w:t xml:space="preserve">For the selection, the inclusion criteria were studies that compared direct and indirect restorative techniques using composite resin; experimental studies, clinical trials, clinical follow-ups, </w:t>
      </w:r>
      <w:r w:rsidRPr="00501C31">
        <w:rPr>
          <w:rFonts w:ascii="Arial" w:eastAsia="Arial" w:hAnsi="Arial" w:cs="Arial"/>
          <w:i/>
          <w:color w:val="000000"/>
          <w:sz w:val="20"/>
          <w:szCs w:val="20"/>
        </w:rPr>
        <w:t>in vivo or in vitro</w:t>
      </w:r>
      <w:r w:rsidRPr="00501C31">
        <w:rPr>
          <w:rFonts w:ascii="Arial" w:eastAsia="Arial" w:hAnsi="Arial" w:cs="Arial"/>
          <w:color w:val="000000"/>
          <w:sz w:val="20"/>
          <w:szCs w:val="20"/>
        </w:rPr>
        <w:t>; and publications available in full and written in English, within the established period. The exclusion criteria were literature reviews, meta-analyses, conference abstracts, book chapters, theses, dissertations, and documents other than original scientific articles.</w:t>
      </w:r>
    </w:p>
    <w:p w14:paraId="773CE465" w14:textId="23531984" w:rsidR="00B17F34" w:rsidRPr="00501C31" w:rsidRDefault="00B17F34">
      <w:pPr>
        <w:pBdr>
          <w:top w:val="nil"/>
          <w:left w:val="nil"/>
          <w:bottom w:val="nil"/>
          <w:right w:val="nil"/>
          <w:between w:val="nil"/>
        </w:pBdr>
        <w:ind w:firstLine="720"/>
        <w:jc w:val="both"/>
        <w:rPr>
          <w:rFonts w:ascii="Arial" w:eastAsia="Arial" w:hAnsi="Arial" w:cs="Arial"/>
          <w:color w:val="000000"/>
          <w:sz w:val="20"/>
          <w:szCs w:val="20"/>
        </w:rPr>
      </w:pPr>
      <w:r w:rsidRPr="00B17F34">
        <w:rPr>
          <w:rFonts w:ascii="Arial" w:eastAsia="Arial" w:hAnsi="Arial" w:cs="Arial"/>
          <w:color w:val="000000"/>
          <w:sz w:val="20"/>
          <w:szCs w:val="20"/>
        </w:rPr>
        <w:t>The papers were imported into Rayyan, duplicates were removed, and titles and abstracts were screened by two researchers (MJCP and LRB) according to the eligibility criteria. Once the selection was made, the researchers evaluated the selected studies in full to confirm eligibility. Disagreements were resolved by consensus.</w:t>
      </w:r>
    </w:p>
    <w:p w14:paraId="687A9A2F" w14:textId="77777777" w:rsidR="009E0B4F" w:rsidRPr="00501C31" w:rsidRDefault="009E0B4F">
      <w:pPr>
        <w:pBdr>
          <w:top w:val="nil"/>
          <w:left w:val="nil"/>
          <w:bottom w:val="nil"/>
          <w:right w:val="nil"/>
          <w:between w:val="nil"/>
        </w:pBdr>
        <w:ind w:firstLine="720"/>
        <w:jc w:val="both"/>
        <w:rPr>
          <w:rFonts w:ascii="Arial" w:eastAsia="Arial" w:hAnsi="Arial" w:cs="Arial"/>
          <w:color w:val="000000"/>
          <w:sz w:val="20"/>
          <w:szCs w:val="20"/>
        </w:rPr>
      </w:pPr>
    </w:p>
    <w:p w14:paraId="4279DD6F" w14:textId="77777777" w:rsidR="009E0B4F" w:rsidRPr="00501C31" w:rsidRDefault="0070690F">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rFonts w:ascii="Arial" w:eastAsia="Arial" w:hAnsi="Arial" w:cs="Arial"/>
          <w:b/>
          <w:color w:val="0D0D0D"/>
          <w:sz w:val="22"/>
          <w:szCs w:val="22"/>
        </w:rPr>
      </w:pPr>
      <w:r w:rsidRPr="00501C31">
        <w:rPr>
          <w:rFonts w:ascii="Arial" w:eastAsia="Arial" w:hAnsi="Arial" w:cs="Arial"/>
          <w:b/>
          <w:color w:val="0D0D0D"/>
          <w:sz w:val="22"/>
          <w:szCs w:val="22"/>
        </w:rPr>
        <w:t>3. RESULTS</w:t>
      </w:r>
    </w:p>
    <w:p w14:paraId="5830B56D" w14:textId="77777777" w:rsidR="009E0B4F" w:rsidRPr="00501C31" w:rsidRDefault="009E0B4F">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b/>
          <w:color w:val="0D0D0D"/>
        </w:rPr>
      </w:pPr>
    </w:p>
    <w:p w14:paraId="5FAD0916" w14:textId="77777777" w:rsidR="009E0B4F" w:rsidRPr="00501C31" w:rsidRDefault="0070690F">
      <w:pPr>
        <w:pBdr>
          <w:top w:val="nil"/>
          <w:left w:val="nil"/>
          <w:bottom w:val="nil"/>
          <w:right w:val="nil"/>
          <w:between w:val="nil"/>
        </w:pBdr>
        <w:ind w:firstLine="720"/>
        <w:jc w:val="both"/>
        <w:rPr>
          <w:rFonts w:ascii="Arial" w:eastAsia="Arial" w:hAnsi="Arial" w:cs="Arial"/>
          <w:color w:val="000000"/>
          <w:sz w:val="20"/>
          <w:szCs w:val="20"/>
        </w:rPr>
      </w:pPr>
      <w:r w:rsidRPr="00501C31">
        <w:rPr>
          <w:rFonts w:ascii="Arial" w:eastAsia="Arial" w:hAnsi="Arial" w:cs="Arial"/>
          <w:color w:val="000000"/>
          <w:sz w:val="20"/>
          <w:szCs w:val="20"/>
        </w:rPr>
        <w:t>The search yielded a total of 797 articles. After removing 208 duplicates, 589 studies remained for title reading and abstract analysis. Finally, 65 articles were reviewed for full texts deemed potentially relevant. Inclusion and exclusion criteria were then applied to better select the articles included in this study.</w:t>
      </w:r>
    </w:p>
    <w:p w14:paraId="0C427FD1" w14:textId="77777777" w:rsidR="009E0B4F" w:rsidRPr="00501C31" w:rsidRDefault="0070690F">
      <w:pPr>
        <w:pBdr>
          <w:top w:val="nil"/>
          <w:left w:val="nil"/>
          <w:bottom w:val="nil"/>
          <w:right w:val="nil"/>
          <w:between w:val="nil"/>
        </w:pBdr>
        <w:ind w:firstLine="720"/>
        <w:jc w:val="both"/>
        <w:rPr>
          <w:rFonts w:ascii="Arial" w:eastAsia="Arial" w:hAnsi="Arial" w:cs="Arial"/>
          <w:color w:val="000000"/>
          <w:sz w:val="20"/>
          <w:szCs w:val="20"/>
        </w:rPr>
      </w:pPr>
      <w:r w:rsidRPr="00501C31">
        <w:rPr>
          <w:rFonts w:ascii="Arial" w:eastAsia="Arial" w:hAnsi="Arial" w:cs="Arial"/>
          <w:color w:val="000000"/>
          <w:sz w:val="20"/>
          <w:szCs w:val="20"/>
        </w:rPr>
        <w:t xml:space="preserve">After a thorough reading, 18 articles were selected to comprise the sample. Most of the included studies were </w:t>
      </w:r>
      <w:r w:rsidRPr="00501C31">
        <w:rPr>
          <w:rFonts w:ascii="Arial" w:eastAsia="Arial" w:hAnsi="Arial" w:cs="Arial"/>
          <w:i/>
          <w:color w:val="000000"/>
          <w:sz w:val="20"/>
          <w:szCs w:val="20"/>
        </w:rPr>
        <w:t>in vitro</w:t>
      </w:r>
      <w:r w:rsidRPr="00501C31">
        <w:rPr>
          <w:rFonts w:ascii="Arial" w:eastAsia="Arial" w:hAnsi="Arial" w:cs="Arial"/>
          <w:color w:val="000000"/>
          <w:sz w:val="20"/>
          <w:szCs w:val="20"/>
        </w:rPr>
        <w:t>, which provided greater control over the variables involved. However, randomized clinical trials and retrospective studies were also included, which contributed to expanding the external validity of the findings and enriching the understanding of the clinical performance of both restorative techniques.</w:t>
      </w:r>
    </w:p>
    <w:p w14:paraId="6E2E1AD6" w14:textId="77777777" w:rsidR="009E0B4F" w:rsidRPr="00501C31" w:rsidRDefault="009E0B4F">
      <w:pPr>
        <w:pBdr>
          <w:top w:val="nil"/>
          <w:left w:val="nil"/>
          <w:bottom w:val="nil"/>
          <w:right w:val="nil"/>
          <w:between w:val="nil"/>
        </w:pBdr>
        <w:ind w:firstLine="720"/>
        <w:jc w:val="both"/>
        <w:rPr>
          <w:rFonts w:ascii="Arial" w:eastAsia="Arial" w:hAnsi="Arial" w:cs="Arial"/>
          <w:color w:val="000000"/>
          <w:sz w:val="20"/>
          <w:szCs w:val="20"/>
        </w:rPr>
      </w:pPr>
    </w:p>
    <w:p w14:paraId="79C8807F" w14:textId="77777777" w:rsidR="009E0B4F" w:rsidRPr="00501C31" w:rsidRDefault="0070690F">
      <w:pPr>
        <w:pBdr>
          <w:top w:val="nil"/>
          <w:left w:val="nil"/>
          <w:bottom w:val="nil"/>
          <w:right w:val="nil"/>
          <w:between w:val="nil"/>
        </w:pBdr>
        <w:ind w:firstLine="720"/>
        <w:jc w:val="both"/>
        <w:rPr>
          <w:rFonts w:ascii="Arial" w:eastAsia="Arial" w:hAnsi="Arial" w:cs="Arial"/>
          <w:b/>
          <w:color w:val="000000"/>
          <w:sz w:val="20"/>
          <w:szCs w:val="20"/>
        </w:rPr>
      </w:pPr>
      <w:r w:rsidRPr="00501C31">
        <w:rPr>
          <w:rFonts w:ascii="Arial" w:eastAsia="Arial" w:hAnsi="Arial" w:cs="Arial"/>
          <w:b/>
          <w:color w:val="000000"/>
          <w:sz w:val="20"/>
          <w:szCs w:val="20"/>
        </w:rPr>
        <w:t>Figure 1. Flowchart</w:t>
      </w:r>
    </w:p>
    <w:p w14:paraId="1BF6729D" w14:textId="00ECF9A3" w:rsidR="009E0B4F" w:rsidRPr="00501C31" w:rsidRDefault="00EE26F4">
      <w:pPr>
        <w:spacing w:before="240" w:after="240"/>
        <w:jc w:val="center"/>
        <w:rPr>
          <w:rFonts w:ascii="Arial" w:eastAsia="Arial" w:hAnsi="Arial" w:cs="Arial"/>
          <w:sz w:val="20"/>
          <w:szCs w:val="20"/>
        </w:rPr>
      </w:pPr>
      <w:r w:rsidRPr="00501C31">
        <w:rPr>
          <w:rFonts w:ascii="Arial" w:eastAsia="Arial" w:hAnsi="Arial" w:cs="Arial"/>
          <w:noProof/>
          <w:sz w:val="20"/>
          <w:szCs w:val="20"/>
          <w:lang w:val="pt-BR"/>
        </w:rPr>
        <w:drawing>
          <wp:inline distT="0" distB="0" distL="0" distR="0" wp14:anchorId="1E319D1C" wp14:editId="41BD194D">
            <wp:extent cx="2119357" cy="1945337"/>
            <wp:effectExtent l="0" t="0" r="1905" b="0"/>
            <wp:docPr id="21069481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2147178" cy="1970873"/>
                    </a:xfrm>
                    <a:prstGeom prst="rect">
                      <a:avLst/>
                    </a:prstGeom>
                    <a:ln/>
                  </pic:spPr>
                </pic:pic>
              </a:graphicData>
            </a:graphic>
          </wp:inline>
        </w:drawing>
      </w:r>
    </w:p>
    <w:p w14:paraId="220A6C64" w14:textId="27FB3C40" w:rsidR="00B17F34" w:rsidRPr="00501C31" w:rsidRDefault="00B17F34">
      <w:pPr>
        <w:rPr>
          <w:rFonts w:ascii="Arial" w:eastAsia="Arial" w:hAnsi="Arial" w:cs="Arial"/>
          <w:b/>
          <w:sz w:val="20"/>
          <w:szCs w:val="20"/>
        </w:rPr>
        <w:sectPr w:rsidR="00B17F34" w:rsidRPr="00501C31" w:rsidSect="00E2387E">
          <w:headerReference w:type="even" r:id="rId9"/>
          <w:headerReference w:type="default" r:id="rId10"/>
          <w:footerReference w:type="even" r:id="rId11"/>
          <w:footerReference w:type="default" r:id="rId12"/>
          <w:headerReference w:type="first" r:id="rId13"/>
          <w:footerReference w:type="first" r:id="rId14"/>
          <w:type w:val="continuous"/>
          <w:pgSz w:w="11906" w:h="16838"/>
          <w:pgMar w:top="1701" w:right="1134" w:bottom="1134" w:left="1701" w:header="709" w:footer="709" w:gutter="0"/>
          <w:pgNumType w:start="1"/>
          <w:cols w:space="720"/>
          <w:docGrid w:linePitch="326"/>
        </w:sectPr>
      </w:pPr>
    </w:p>
    <w:p w14:paraId="47ECB324" w14:textId="77777777" w:rsidR="00B17F34" w:rsidRDefault="00B17F34" w:rsidP="00B17F34">
      <w:pPr>
        <w:rPr>
          <w:rFonts w:ascii="Arial" w:eastAsia="Arial" w:hAnsi="Arial" w:cs="Arial"/>
          <w:b/>
          <w:sz w:val="20"/>
          <w:szCs w:val="20"/>
        </w:rPr>
      </w:pPr>
      <w:r w:rsidRPr="00501C31">
        <w:rPr>
          <w:rFonts w:ascii="Arial" w:eastAsia="Arial" w:hAnsi="Arial" w:cs="Arial"/>
          <w:b/>
          <w:sz w:val="20"/>
          <w:szCs w:val="20"/>
        </w:rPr>
        <w:lastRenderedPageBreak/>
        <w:t xml:space="preserve">Table 1 - </w:t>
      </w:r>
      <w:r>
        <w:rPr>
          <w:rFonts w:ascii="Arial" w:eastAsia="Arial" w:hAnsi="Arial" w:cs="Arial"/>
          <w:b/>
          <w:sz w:val="20"/>
          <w:szCs w:val="20"/>
        </w:rPr>
        <w:t>Sixteen</w:t>
      </w:r>
      <w:r w:rsidRPr="00501C31">
        <w:rPr>
          <w:rFonts w:ascii="Arial" w:eastAsia="Arial" w:hAnsi="Arial" w:cs="Arial"/>
          <w:b/>
          <w:sz w:val="20"/>
          <w:szCs w:val="20"/>
        </w:rPr>
        <w:t xml:space="preserve"> articles selected after applying the inclusion and exclusion criteria</w:t>
      </w:r>
    </w:p>
    <w:p w14:paraId="04ECF5EC" w14:textId="77777777" w:rsidR="009E0B4F" w:rsidRPr="00501C31" w:rsidRDefault="009E0B4F">
      <w:pPr>
        <w:widowControl w:val="0"/>
        <w:pBdr>
          <w:top w:val="nil"/>
          <w:left w:val="nil"/>
          <w:bottom w:val="nil"/>
          <w:right w:val="nil"/>
          <w:between w:val="nil"/>
        </w:pBdr>
        <w:spacing w:line="276" w:lineRule="auto"/>
        <w:rPr>
          <w:rFonts w:ascii="Arial" w:eastAsia="Arial" w:hAnsi="Arial" w:cs="Arial"/>
          <w:b/>
          <w:sz w:val="20"/>
          <w:szCs w:val="20"/>
        </w:rPr>
      </w:pPr>
    </w:p>
    <w:tbl>
      <w:tblPr>
        <w:tblStyle w:val="a6"/>
        <w:tblpPr w:leftFromText="141" w:rightFromText="141" w:vertAnchor="text" w:tblpX="-601"/>
        <w:tblW w:w="15126" w:type="dxa"/>
        <w:tblInd w:w="0" w:type="dxa"/>
        <w:tblBorders>
          <w:top w:val="single" w:sz="4" w:space="0" w:color="666666"/>
          <w:bottom w:val="single" w:sz="4" w:space="0" w:color="666666"/>
          <w:insideH w:val="single" w:sz="4" w:space="0" w:color="666666"/>
        </w:tblBorders>
        <w:tblLayout w:type="fixed"/>
        <w:tblLook w:val="0600" w:firstRow="0" w:lastRow="0" w:firstColumn="0" w:lastColumn="0" w:noHBand="1" w:noVBand="1"/>
      </w:tblPr>
      <w:tblGrid>
        <w:gridCol w:w="1620"/>
        <w:gridCol w:w="1633"/>
        <w:gridCol w:w="1469"/>
        <w:gridCol w:w="1814"/>
        <w:gridCol w:w="1664"/>
        <w:gridCol w:w="1681"/>
        <w:gridCol w:w="2268"/>
        <w:gridCol w:w="2977"/>
      </w:tblGrid>
      <w:tr w:rsidR="00EE26F4" w:rsidRPr="00EE26F4" w14:paraId="167527E1" w14:textId="77777777" w:rsidTr="00EE26F4">
        <w:trPr>
          <w:trHeight w:val="416"/>
        </w:trPr>
        <w:tc>
          <w:tcPr>
            <w:tcW w:w="1620" w:type="dxa"/>
            <w:vAlign w:val="center"/>
          </w:tcPr>
          <w:p w14:paraId="7B69091D" w14:textId="081121F1" w:rsidR="00EE26F4" w:rsidRPr="00EE26F4" w:rsidRDefault="00EE26F4" w:rsidP="00EE26F4">
            <w:pPr>
              <w:tabs>
                <w:tab w:val="center" w:pos="729"/>
              </w:tabs>
              <w:ind w:left="140"/>
              <w:jc w:val="center"/>
              <w:rPr>
                <w:rFonts w:ascii="Arial" w:eastAsia="Arial" w:hAnsi="Arial" w:cs="Arial"/>
                <w:b/>
                <w:sz w:val="18"/>
                <w:szCs w:val="18"/>
              </w:rPr>
            </w:pPr>
            <w:r w:rsidRPr="00EE26F4">
              <w:rPr>
                <w:rFonts w:ascii="Arial" w:eastAsia="Arial" w:hAnsi="Arial" w:cs="Arial"/>
                <w:b/>
                <w:sz w:val="18"/>
                <w:szCs w:val="18"/>
              </w:rPr>
              <w:t>Author/Year</w:t>
            </w:r>
          </w:p>
        </w:tc>
        <w:tc>
          <w:tcPr>
            <w:tcW w:w="1633" w:type="dxa"/>
            <w:vAlign w:val="center"/>
          </w:tcPr>
          <w:p w14:paraId="078F8A7C" w14:textId="77777777" w:rsidR="00EE26F4" w:rsidRPr="00EE26F4" w:rsidRDefault="00EE26F4" w:rsidP="00EE26F4">
            <w:pPr>
              <w:ind w:left="140"/>
              <w:jc w:val="center"/>
              <w:rPr>
                <w:rFonts w:ascii="Arial" w:eastAsia="Arial" w:hAnsi="Arial" w:cs="Arial"/>
                <w:b/>
                <w:sz w:val="18"/>
                <w:szCs w:val="18"/>
              </w:rPr>
            </w:pPr>
            <w:r w:rsidRPr="00EE26F4">
              <w:rPr>
                <w:rFonts w:ascii="Arial" w:eastAsia="Arial" w:hAnsi="Arial" w:cs="Arial"/>
                <w:b/>
                <w:sz w:val="18"/>
                <w:szCs w:val="18"/>
              </w:rPr>
              <w:t>Objective</w:t>
            </w:r>
          </w:p>
        </w:tc>
        <w:tc>
          <w:tcPr>
            <w:tcW w:w="1469" w:type="dxa"/>
            <w:vAlign w:val="center"/>
          </w:tcPr>
          <w:p w14:paraId="28C06E92" w14:textId="77777777" w:rsidR="00EE26F4" w:rsidRPr="00EE26F4" w:rsidRDefault="00EE26F4" w:rsidP="00EE26F4">
            <w:pPr>
              <w:ind w:left="140"/>
              <w:jc w:val="center"/>
              <w:rPr>
                <w:rFonts w:ascii="Arial" w:eastAsia="Arial" w:hAnsi="Arial" w:cs="Arial"/>
                <w:b/>
                <w:sz w:val="18"/>
                <w:szCs w:val="18"/>
              </w:rPr>
            </w:pPr>
            <w:r w:rsidRPr="00EE26F4">
              <w:rPr>
                <w:rFonts w:ascii="Arial" w:eastAsia="Arial" w:hAnsi="Arial" w:cs="Arial"/>
                <w:b/>
                <w:sz w:val="18"/>
                <w:szCs w:val="18"/>
              </w:rPr>
              <w:t>Study design</w:t>
            </w:r>
          </w:p>
        </w:tc>
        <w:tc>
          <w:tcPr>
            <w:tcW w:w="1814" w:type="dxa"/>
            <w:vAlign w:val="center"/>
          </w:tcPr>
          <w:p w14:paraId="795EA15D" w14:textId="77777777" w:rsidR="00EE26F4" w:rsidRPr="00EE26F4" w:rsidRDefault="00EE26F4" w:rsidP="00EE26F4">
            <w:pPr>
              <w:ind w:left="140"/>
              <w:jc w:val="center"/>
              <w:rPr>
                <w:rFonts w:ascii="Arial" w:eastAsia="Arial" w:hAnsi="Arial" w:cs="Arial"/>
                <w:b/>
                <w:sz w:val="18"/>
                <w:szCs w:val="18"/>
              </w:rPr>
            </w:pPr>
            <w:r w:rsidRPr="00EE26F4">
              <w:rPr>
                <w:rFonts w:ascii="Arial" w:eastAsia="Arial" w:hAnsi="Arial" w:cs="Arial"/>
                <w:b/>
                <w:sz w:val="18"/>
                <w:szCs w:val="18"/>
              </w:rPr>
              <w:t>Groups studied</w:t>
            </w:r>
          </w:p>
        </w:tc>
        <w:tc>
          <w:tcPr>
            <w:tcW w:w="1664" w:type="dxa"/>
            <w:vAlign w:val="center"/>
          </w:tcPr>
          <w:p w14:paraId="3E61742E" w14:textId="77777777" w:rsidR="00EE26F4" w:rsidRPr="00EE26F4" w:rsidRDefault="00EE26F4" w:rsidP="00EE26F4">
            <w:pPr>
              <w:ind w:left="140"/>
              <w:jc w:val="center"/>
              <w:rPr>
                <w:rFonts w:ascii="Arial" w:eastAsia="Arial" w:hAnsi="Arial" w:cs="Arial"/>
                <w:b/>
                <w:sz w:val="18"/>
                <w:szCs w:val="18"/>
              </w:rPr>
            </w:pPr>
            <w:r w:rsidRPr="00EE26F4">
              <w:rPr>
                <w:rFonts w:ascii="Arial" w:eastAsia="Arial" w:hAnsi="Arial" w:cs="Arial"/>
                <w:b/>
                <w:sz w:val="18"/>
                <w:szCs w:val="18"/>
              </w:rPr>
              <w:t>Sample size</w:t>
            </w:r>
          </w:p>
        </w:tc>
        <w:tc>
          <w:tcPr>
            <w:tcW w:w="1681" w:type="dxa"/>
            <w:vAlign w:val="center"/>
          </w:tcPr>
          <w:p w14:paraId="3BB2EB3E" w14:textId="77777777" w:rsidR="00EE26F4" w:rsidRPr="00EE26F4" w:rsidRDefault="00EE26F4" w:rsidP="00EE26F4">
            <w:pPr>
              <w:ind w:left="140"/>
              <w:jc w:val="center"/>
              <w:rPr>
                <w:rFonts w:ascii="Arial" w:eastAsia="Arial" w:hAnsi="Arial" w:cs="Arial"/>
                <w:b/>
                <w:sz w:val="18"/>
                <w:szCs w:val="18"/>
              </w:rPr>
            </w:pPr>
            <w:r w:rsidRPr="00EE26F4">
              <w:rPr>
                <w:rFonts w:ascii="Arial" w:eastAsia="Arial" w:hAnsi="Arial" w:cs="Arial"/>
                <w:b/>
                <w:sz w:val="18"/>
                <w:szCs w:val="18"/>
              </w:rPr>
              <w:t>Parameters evaluated</w:t>
            </w:r>
          </w:p>
        </w:tc>
        <w:tc>
          <w:tcPr>
            <w:tcW w:w="2268" w:type="dxa"/>
            <w:vAlign w:val="center"/>
          </w:tcPr>
          <w:p w14:paraId="59F77DE4" w14:textId="77777777" w:rsidR="00EE26F4" w:rsidRPr="00EE26F4" w:rsidRDefault="00EE26F4" w:rsidP="00EE26F4">
            <w:pPr>
              <w:ind w:left="140"/>
              <w:jc w:val="center"/>
              <w:rPr>
                <w:rFonts w:ascii="Arial" w:eastAsia="Arial" w:hAnsi="Arial" w:cs="Arial"/>
                <w:b/>
                <w:sz w:val="18"/>
                <w:szCs w:val="18"/>
              </w:rPr>
            </w:pPr>
            <w:r w:rsidRPr="00EE26F4">
              <w:rPr>
                <w:rFonts w:ascii="Arial" w:eastAsia="Arial" w:hAnsi="Arial" w:cs="Arial"/>
                <w:b/>
                <w:sz w:val="18"/>
                <w:szCs w:val="18"/>
              </w:rPr>
              <w:t>Methodology</w:t>
            </w:r>
          </w:p>
        </w:tc>
        <w:tc>
          <w:tcPr>
            <w:tcW w:w="2977" w:type="dxa"/>
            <w:vAlign w:val="center"/>
          </w:tcPr>
          <w:p w14:paraId="06A581E7" w14:textId="77777777" w:rsidR="00EE26F4" w:rsidRPr="00EE26F4" w:rsidRDefault="00EE26F4" w:rsidP="00EE26F4">
            <w:pPr>
              <w:ind w:left="140"/>
              <w:jc w:val="center"/>
              <w:rPr>
                <w:rFonts w:ascii="Arial" w:eastAsia="Arial" w:hAnsi="Arial" w:cs="Arial"/>
                <w:b/>
                <w:sz w:val="18"/>
                <w:szCs w:val="18"/>
              </w:rPr>
            </w:pPr>
            <w:r w:rsidRPr="00EE26F4">
              <w:rPr>
                <w:rFonts w:ascii="Arial" w:eastAsia="Arial" w:hAnsi="Arial" w:cs="Arial"/>
                <w:b/>
                <w:sz w:val="18"/>
                <w:szCs w:val="18"/>
              </w:rPr>
              <w:t>Results</w:t>
            </w:r>
          </w:p>
        </w:tc>
      </w:tr>
      <w:tr w:rsidR="00EE26F4" w:rsidRPr="00EE26F4" w14:paraId="504676A1" w14:textId="77777777" w:rsidTr="00EE26F4">
        <w:trPr>
          <w:trHeight w:val="2682"/>
        </w:trPr>
        <w:tc>
          <w:tcPr>
            <w:tcW w:w="1620" w:type="dxa"/>
            <w:vAlign w:val="center"/>
          </w:tcPr>
          <w:p w14:paraId="2787959E" w14:textId="77777777" w:rsidR="00EE26F4" w:rsidRPr="00EE26F4" w:rsidRDefault="00EE26F4" w:rsidP="00EE26F4">
            <w:pPr>
              <w:ind w:left="140"/>
              <w:jc w:val="center"/>
              <w:rPr>
                <w:rFonts w:ascii="Arial" w:eastAsia="Arial" w:hAnsi="Arial" w:cs="Arial"/>
                <w:b/>
                <w:sz w:val="18"/>
                <w:szCs w:val="18"/>
              </w:rPr>
            </w:pPr>
            <w:proofErr w:type="spellStart"/>
            <w:r w:rsidRPr="00EE26F4">
              <w:rPr>
                <w:rFonts w:ascii="Arial" w:eastAsia="Arial" w:hAnsi="Arial" w:cs="Arial"/>
                <w:b/>
                <w:sz w:val="18"/>
                <w:szCs w:val="18"/>
              </w:rPr>
              <w:t>Torabzadeh</w:t>
            </w:r>
            <w:proofErr w:type="spellEnd"/>
            <w:r w:rsidRPr="00EE26F4">
              <w:rPr>
                <w:rFonts w:ascii="Arial" w:eastAsia="Arial" w:hAnsi="Arial" w:cs="Arial"/>
                <w:b/>
                <w:sz w:val="18"/>
                <w:szCs w:val="18"/>
              </w:rPr>
              <w:t>, H. et al., 2013</w:t>
            </w:r>
          </w:p>
        </w:tc>
        <w:tc>
          <w:tcPr>
            <w:tcW w:w="1633" w:type="dxa"/>
            <w:vAlign w:val="center"/>
          </w:tcPr>
          <w:p w14:paraId="17838EB1" w14:textId="77777777"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sz w:val="18"/>
                <w:szCs w:val="18"/>
              </w:rPr>
              <w:t>To compare the fracture resistance of teeth with direct and indirect composite resin restorations.</w:t>
            </w:r>
          </w:p>
        </w:tc>
        <w:tc>
          <w:tcPr>
            <w:tcW w:w="1469" w:type="dxa"/>
            <w:vAlign w:val="center"/>
          </w:tcPr>
          <w:p w14:paraId="2D05C9EF" w14:textId="77777777"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sz w:val="18"/>
                <w:szCs w:val="18"/>
              </w:rPr>
              <w:t>In vivo</w:t>
            </w:r>
          </w:p>
        </w:tc>
        <w:tc>
          <w:tcPr>
            <w:tcW w:w="1814" w:type="dxa"/>
            <w:vAlign w:val="center"/>
          </w:tcPr>
          <w:p w14:paraId="5220A10D" w14:textId="77777777"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sz w:val="18"/>
                <w:szCs w:val="18"/>
              </w:rPr>
              <w:t>Group 1: Direct Z-250 with cusp coverage</w:t>
            </w:r>
            <w:r w:rsidRPr="00EE26F4">
              <w:rPr>
                <w:rFonts w:ascii="Arial" w:eastAsia="Arial" w:hAnsi="Arial" w:cs="Arial"/>
                <w:sz w:val="18"/>
                <w:szCs w:val="18"/>
              </w:rPr>
              <w:br/>
              <w:t xml:space="preserve"> Group 2: Direct Z-250 without cusp coverage</w:t>
            </w:r>
            <w:r w:rsidRPr="00EE26F4">
              <w:rPr>
                <w:rFonts w:ascii="Arial" w:eastAsia="Arial" w:hAnsi="Arial" w:cs="Arial"/>
                <w:sz w:val="18"/>
                <w:szCs w:val="18"/>
              </w:rPr>
              <w:br/>
              <w:t xml:space="preserve"> Group 3: Direct </w:t>
            </w:r>
            <w:proofErr w:type="spellStart"/>
            <w:r w:rsidRPr="00EE26F4">
              <w:rPr>
                <w:rFonts w:ascii="Arial" w:eastAsia="Arial" w:hAnsi="Arial" w:cs="Arial"/>
                <w:sz w:val="18"/>
                <w:szCs w:val="18"/>
              </w:rPr>
              <w:t>Gradia</w:t>
            </w:r>
            <w:proofErr w:type="spellEnd"/>
            <w:r w:rsidRPr="00EE26F4">
              <w:rPr>
                <w:rFonts w:ascii="Arial" w:eastAsia="Arial" w:hAnsi="Arial" w:cs="Arial"/>
                <w:sz w:val="18"/>
                <w:szCs w:val="18"/>
              </w:rPr>
              <w:t xml:space="preserve"> with cusp coverage</w:t>
            </w:r>
            <w:r w:rsidRPr="00EE26F4">
              <w:rPr>
                <w:rFonts w:ascii="Arial" w:eastAsia="Arial" w:hAnsi="Arial" w:cs="Arial"/>
                <w:sz w:val="18"/>
                <w:szCs w:val="18"/>
              </w:rPr>
              <w:br/>
              <w:t xml:space="preserve"> Group 4: Indirect </w:t>
            </w:r>
            <w:proofErr w:type="spellStart"/>
            <w:r w:rsidRPr="00EE26F4">
              <w:rPr>
                <w:rFonts w:ascii="Arial" w:eastAsia="Arial" w:hAnsi="Arial" w:cs="Arial"/>
                <w:sz w:val="18"/>
                <w:szCs w:val="18"/>
              </w:rPr>
              <w:t>Gradia</w:t>
            </w:r>
            <w:proofErr w:type="spellEnd"/>
            <w:r w:rsidRPr="00EE26F4">
              <w:rPr>
                <w:rFonts w:ascii="Arial" w:eastAsia="Arial" w:hAnsi="Arial" w:cs="Arial"/>
                <w:sz w:val="18"/>
                <w:szCs w:val="18"/>
              </w:rPr>
              <w:t xml:space="preserve"> (</w:t>
            </w:r>
            <w:proofErr w:type="spellStart"/>
            <w:r w:rsidRPr="00EE26F4">
              <w:rPr>
                <w:rFonts w:ascii="Arial" w:eastAsia="Arial" w:hAnsi="Arial" w:cs="Arial"/>
                <w:sz w:val="18"/>
                <w:szCs w:val="18"/>
              </w:rPr>
              <w:t>onlay</w:t>
            </w:r>
            <w:proofErr w:type="spellEnd"/>
            <w:r w:rsidRPr="00EE26F4">
              <w:rPr>
                <w:rFonts w:ascii="Arial" w:eastAsia="Arial" w:hAnsi="Arial" w:cs="Arial"/>
                <w:sz w:val="18"/>
                <w:szCs w:val="18"/>
              </w:rPr>
              <w:t>)</w:t>
            </w:r>
            <w:r w:rsidRPr="00EE26F4">
              <w:rPr>
                <w:rFonts w:ascii="Arial" w:eastAsia="Arial" w:hAnsi="Arial" w:cs="Arial"/>
                <w:sz w:val="18"/>
                <w:szCs w:val="18"/>
              </w:rPr>
              <w:br/>
              <w:t xml:space="preserve"> Group 5: Control (intact tooth)</w:t>
            </w:r>
          </w:p>
        </w:tc>
        <w:tc>
          <w:tcPr>
            <w:tcW w:w="1664" w:type="dxa"/>
            <w:vAlign w:val="center"/>
          </w:tcPr>
          <w:p w14:paraId="48CF57A6" w14:textId="77777777"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sz w:val="18"/>
                <w:szCs w:val="18"/>
              </w:rPr>
              <w:t>N = 65 teeth</w:t>
            </w:r>
            <w:r w:rsidRPr="00EE26F4">
              <w:rPr>
                <w:rFonts w:ascii="Arial" w:eastAsia="Arial" w:hAnsi="Arial" w:cs="Arial"/>
                <w:b/>
                <w:sz w:val="18"/>
                <w:szCs w:val="18"/>
              </w:rPr>
              <w:t xml:space="preserve"> </w:t>
            </w:r>
            <w:r w:rsidRPr="00EE26F4">
              <w:rPr>
                <w:rFonts w:ascii="Arial" w:eastAsia="Arial" w:hAnsi="Arial" w:cs="Arial"/>
                <w:sz w:val="18"/>
                <w:szCs w:val="18"/>
              </w:rPr>
              <w:t>(premolars) divided into 5 groups with 13 teeth each.</w:t>
            </w:r>
          </w:p>
        </w:tc>
        <w:tc>
          <w:tcPr>
            <w:tcW w:w="1681" w:type="dxa"/>
            <w:vAlign w:val="center"/>
          </w:tcPr>
          <w:p w14:paraId="556252AC" w14:textId="77777777"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sz w:val="18"/>
                <w:szCs w:val="18"/>
              </w:rPr>
              <w:t>Fracture resistance</w:t>
            </w:r>
          </w:p>
        </w:tc>
        <w:tc>
          <w:tcPr>
            <w:tcW w:w="2268" w:type="dxa"/>
            <w:vAlign w:val="center"/>
          </w:tcPr>
          <w:p w14:paraId="380A6262" w14:textId="144FD29A"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sz w:val="18"/>
                <w:szCs w:val="18"/>
              </w:rPr>
              <w:t>65 maxillary premolars were divided into 5 groups (13 teeth each). Four groups received MOD (</w:t>
            </w:r>
            <w:proofErr w:type="spellStart"/>
            <w:r w:rsidRPr="00EE26F4">
              <w:rPr>
                <w:rFonts w:ascii="Arial" w:eastAsia="Arial" w:hAnsi="Arial" w:cs="Arial"/>
                <w:sz w:val="18"/>
                <w:szCs w:val="18"/>
              </w:rPr>
              <w:t>mesio-occlusodistal</w:t>
            </w:r>
            <w:proofErr w:type="spellEnd"/>
            <w:r w:rsidRPr="00EE26F4">
              <w:rPr>
                <w:rFonts w:ascii="Arial" w:eastAsia="Arial" w:hAnsi="Arial" w:cs="Arial"/>
                <w:sz w:val="18"/>
                <w:szCs w:val="18"/>
              </w:rPr>
              <w:t xml:space="preserve">) cavities and were restored with Z-250 or </w:t>
            </w:r>
            <w:proofErr w:type="spellStart"/>
            <w:r w:rsidRPr="00EE26F4">
              <w:rPr>
                <w:rFonts w:ascii="Arial" w:eastAsia="Arial" w:hAnsi="Arial" w:cs="Arial"/>
                <w:sz w:val="18"/>
                <w:szCs w:val="18"/>
              </w:rPr>
              <w:t>Gradia</w:t>
            </w:r>
            <w:proofErr w:type="spellEnd"/>
            <w:r w:rsidRPr="00EE26F4">
              <w:rPr>
                <w:rFonts w:ascii="Arial" w:eastAsia="Arial" w:hAnsi="Arial" w:cs="Arial"/>
                <w:sz w:val="18"/>
                <w:szCs w:val="18"/>
              </w:rPr>
              <w:t>, with/without cusp coverage. Group 5 was the control (intact teeth).</w:t>
            </w:r>
          </w:p>
        </w:tc>
        <w:tc>
          <w:tcPr>
            <w:tcW w:w="2977" w:type="dxa"/>
            <w:vAlign w:val="center"/>
          </w:tcPr>
          <w:p w14:paraId="016D1189" w14:textId="77777777"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sz w:val="18"/>
                <w:szCs w:val="18"/>
              </w:rPr>
              <w:t>G1 was superior to the other groups; there were no differences between the others.</w:t>
            </w:r>
          </w:p>
        </w:tc>
      </w:tr>
      <w:tr w:rsidR="00EE26F4" w:rsidRPr="00EE26F4" w14:paraId="47F9C5CD" w14:textId="77777777" w:rsidTr="00EE26F4">
        <w:trPr>
          <w:trHeight w:val="2917"/>
        </w:trPr>
        <w:tc>
          <w:tcPr>
            <w:tcW w:w="1620" w:type="dxa"/>
            <w:vAlign w:val="center"/>
          </w:tcPr>
          <w:p w14:paraId="3A41F1BB" w14:textId="77777777" w:rsidR="00EE26F4" w:rsidRPr="009E0B72" w:rsidRDefault="00EE26F4" w:rsidP="00EE26F4">
            <w:pPr>
              <w:ind w:left="140"/>
              <w:jc w:val="center"/>
              <w:rPr>
                <w:rFonts w:ascii="Arial" w:eastAsia="Arial" w:hAnsi="Arial" w:cs="Arial"/>
                <w:b/>
                <w:sz w:val="18"/>
                <w:szCs w:val="18"/>
                <w:lang w:val="fr-FR"/>
              </w:rPr>
            </w:pPr>
            <w:proofErr w:type="spellStart"/>
            <w:r w:rsidRPr="009E0B72">
              <w:rPr>
                <w:rFonts w:ascii="Arial" w:eastAsia="Arial" w:hAnsi="Arial" w:cs="Arial"/>
                <w:b/>
                <w:sz w:val="18"/>
                <w:szCs w:val="18"/>
                <w:lang w:val="fr-FR"/>
              </w:rPr>
              <w:t>Ozakar-Ilday</w:t>
            </w:r>
            <w:proofErr w:type="spellEnd"/>
            <w:r w:rsidRPr="009E0B72">
              <w:rPr>
                <w:rFonts w:ascii="Arial" w:eastAsia="Arial" w:hAnsi="Arial" w:cs="Arial"/>
                <w:b/>
                <w:sz w:val="18"/>
                <w:szCs w:val="18"/>
                <w:lang w:val="fr-FR"/>
              </w:rPr>
              <w:t>, N. et al., 2013</w:t>
            </w:r>
          </w:p>
        </w:tc>
        <w:tc>
          <w:tcPr>
            <w:tcW w:w="1633" w:type="dxa"/>
            <w:vAlign w:val="center"/>
          </w:tcPr>
          <w:p w14:paraId="0EE35FD0" w14:textId="77777777"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sz w:val="18"/>
                <w:szCs w:val="18"/>
              </w:rPr>
              <w:t>Confirm or deny the hypothesis that the clinical performance of restorations can be affected by different generation and application techniques.</w:t>
            </w:r>
          </w:p>
          <w:p w14:paraId="43DF6FFA" w14:textId="77777777" w:rsidR="00EE26F4" w:rsidRPr="00EE26F4" w:rsidRDefault="00EE26F4" w:rsidP="00EE26F4">
            <w:pPr>
              <w:jc w:val="center"/>
              <w:rPr>
                <w:rFonts w:ascii="Arial" w:eastAsia="Arial" w:hAnsi="Arial" w:cs="Arial"/>
                <w:sz w:val="18"/>
                <w:szCs w:val="18"/>
              </w:rPr>
            </w:pPr>
          </w:p>
        </w:tc>
        <w:tc>
          <w:tcPr>
            <w:tcW w:w="1469" w:type="dxa"/>
            <w:vAlign w:val="center"/>
          </w:tcPr>
          <w:p w14:paraId="6DD7933F" w14:textId="77777777"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sz w:val="18"/>
                <w:szCs w:val="18"/>
              </w:rPr>
              <w:t>Randomized controlled trial</w:t>
            </w:r>
          </w:p>
        </w:tc>
        <w:tc>
          <w:tcPr>
            <w:tcW w:w="1814" w:type="dxa"/>
            <w:vAlign w:val="center"/>
          </w:tcPr>
          <w:p w14:paraId="0238D865" w14:textId="77777777"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sz w:val="18"/>
                <w:szCs w:val="18"/>
              </w:rPr>
              <w:t xml:space="preserve">Three restorations were evaluated: direct composite (direct), DI inlay (indirect), and </w:t>
            </w:r>
            <w:proofErr w:type="spellStart"/>
            <w:r w:rsidRPr="00EE26F4">
              <w:rPr>
                <w:rFonts w:ascii="Arial" w:eastAsia="Arial" w:hAnsi="Arial" w:cs="Arial"/>
                <w:sz w:val="18"/>
                <w:szCs w:val="18"/>
              </w:rPr>
              <w:t>Tescera</w:t>
            </w:r>
            <w:proofErr w:type="spellEnd"/>
            <w:r w:rsidRPr="00EE26F4">
              <w:rPr>
                <w:rFonts w:ascii="Arial" w:eastAsia="Arial" w:hAnsi="Arial" w:cs="Arial"/>
                <w:sz w:val="18"/>
                <w:szCs w:val="18"/>
              </w:rPr>
              <w:t xml:space="preserve"> ATL inlay (indirect). After three years, </w:t>
            </w:r>
            <w:proofErr w:type="spellStart"/>
            <w:r w:rsidRPr="00EE26F4">
              <w:rPr>
                <w:rFonts w:ascii="Arial" w:eastAsia="Arial" w:hAnsi="Arial" w:cs="Arial"/>
                <w:sz w:val="18"/>
                <w:szCs w:val="18"/>
              </w:rPr>
              <w:t>Tescera</w:t>
            </w:r>
            <w:proofErr w:type="spellEnd"/>
            <w:r w:rsidRPr="00EE26F4">
              <w:rPr>
                <w:rFonts w:ascii="Arial" w:eastAsia="Arial" w:hAnsi="Arial" w:cs="Arial"/>
                <w:sz w:val="18"/>
                <w:szCs w:val="18"/>
              </w:rPr>
              <w:t xml:space="preserve"> ATL (Aqua Thermal Light) performed significantly better than the others.</w:t>
            </w:r>
          </w:p>
        </w:tc>
        <w:tc>
          <w:tcPr>
            <w:tcW w:w="1664" w:type="dxa"/>
            <w:vAlign w:val="center"/>
          </w:tcPr>
          <w:p w14:paraId="59D23B95" w14:textId="77777777"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sz w:val="18"/>
                <w:szCs w:val="18"/>
              </w:rPr>
              <w:t>N=</w:t>
            </w:r>
            <w:r w:rsidRPr="00EE26F4">
              <w:rPr>
                <w:rFonts w:ascii="Arial" w:eastAsia="Arial" w:hAnsi="Arial" w:cs="Arial"/>
                <w:b/>
                <w:sz w:val="18"/>
                <w:szCs w:val="18"/>
              </w:rPr>
              <w:t xml:space="preserve"> </w:t>
            </w:r>
            <w:r w:rsidRPr="00EE26F4">
              <w:rPr>
                <w:rFonts w:ascii="Arial" w:eastAsia="Arial" w:hAnsi="Arial" w:cs="Arial"/>
                <w:sz w:val="18"/>
                <w:szCs w:val="18"/>
              </w:rPr>
              <w:t>49 patients, with 60 restorations applied in total.</w:t>
            </w:r>
          </w:p>
        </w:tc>
        <w:tc>
          <w:tcPr>
            <w:tcW w:w="1681" w:type="dxa"/>
            <w:vAlign w:val="center"/>
          </w:tcPr>
          <w:p w14:paraId="7144B95E" w14:textId="77777777"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sz w:val="18"/>
                <w:szCs w:val="18"/>
              </w:rPr>
              <w:t>Clinical performance of restorations.</w:t>
            </w:r>
          </w:p>
        </w:tc>
        <w:tc>
          <w:tcPr>
            <w:tcW w:w="2268" w:type="dxa"/>
            <w:vAlign w:val="center"/>
          </w:tcPr>
          <w:p w14:paraId="74882DC0" w14:textId="554F0C53"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sz w:val="18"/>
                <w:szCs w:val="18"/>
              </w:rPr>
              <w:t>The restorations were clinically evaluated by two examiners.</w:t>
            </w:r>
          </w:p>
        </w:tc>
        <w:tc>
          <w:tcPr>
            <w:tcW w:w="2977" w:type="dxa"/>
            <w:vAlign w:val="center"/>
          </w:tcPr>
          <w:p w14:paraId="27502074" w14:textId="77777777"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sz w:val="18"/>
                <w:szCs w:val="18"/>
              </w:rPr>
              <w:t xml:space="preserve">The </w:t>
            </w:r>
            <w:proofErr w:type="spellStart"/>
            <w:r w:rsidRPr="00EE26F4">
              <w:rPr>
                <w:rFonts w:ascii="Arial" w:eastAsia="Arial" w:hAnsi="Arial" w:cs="Arial"/>
                <w:sz w:val="18"/>
                <w:szCs w:val="18"/>
              </w:rPr>
              <w:t>Tescera</w:t>
            </w:r>
            <w:proofErr w:type="spellEnd"/>
            <w:r w:rsidRPr="00EE26F4">
              <w:rPr>
                <w:rFonts w:ascii="Arial" w:eastAsia="Arial" w:hAnsi="Arial" w:cs="Arial"/>
                <w:sz w:val="18"/>
                <w:szCs w:val="18"/>
              </w:rPr>
              <w:t xml:space="preserve"> ATL (Aqua Thermal Light) system performed significantly better than direct composite resin restorations and the DI system.</w:t>
            </w:r>
          </w:p>
        </w:tc>
      </w:tr>
      <w:tr w:rsidR="00EE26F4" w:rsidRPr="00EE26F4" w14:paraId="0AA05984" w14:textId="77777777" w:rsidTr="00EE26F4">
        <w:trPr>
          <w:trHeight w:val="3400"/>
        </w:trPr>
        <w:tc>
          <w:tcPr>
            <w:tcW w:w="1620" w:type="dxa"/>
            <w:vAlign w:val="center"/>
          </w:tcPr>
          <w:p w14:paraId="54262423" w14:textId="77777777" w:rsidR="00EE26F4" w:rsidRPr="00EE26F4" w:rsidRDefault="00EE26F4" w:rsidP="00EE26F4">
            <w:pPr>
              <w:ind w:left="140"/>
              <w:jc w:val="center"/>
              <w:rPr>
                <w:rFonts w:ascii="Arial" w:eastAsia="Arial" w:hAnsi="Arial" w:cs="Arial"/>
                <w:b/>
                <w:sz w:val="18"/>
                <w:szCs w:val="18"/>
              </w:rPr>
            </w:pPr>
            <w:r w:rsidRPr="00EE26F4">
              <w:rPr>
                <w:rFonts w:ascii="Arial" w:eastAsia="Arial" w:hAnsi="Arial" w:cs="Arial"/>
                <w:b/>
                <w:sz w:val="18"/>
                <w:szCs w:val="18"/>
              </w:rPr>
              <w:lastRenderedPageBreak/>
              <w:t>Yamamoto, T. et al., 2013</w:t>
            </w:r>
          </w:p>
        </w:tc>
        <w:tc>
          <w:tcPr>
            <w:tcW w:w="1633" w:type="dxa"/>
            <w:vAlign w:val="center"/>
          </w:tcPr>
          <w:p w14:paraId="56452450" w14:textId="77777777"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sz w:val="18"/>
                <w:szCs w:val="18"/>
              </w:rPr>
              <w:t>Compare shrinkage stresses in direct and indirect composite restorations using crack analysis.</w:t>
            </w:r>
          </w:p>
        </w:tc>
        <w:tc>
          <w:tcPr>
            <w:tcW w:w="1469" w:type="dxa"/>
            <w:vAlign w:val="center"/>
          </w:tcPr>
          <w:p w14:paraId="358EE37C" w14:textId="5498B6B3"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sz w:val="18"/>
                <w:szCs w:val="18"/>
              </w:rPr>
              <w:t>In vitro</w:t>
            </w:r>
          </w:p>
        </w:tc>
        <w:tc>
          <w:tcPr>
            <w:tcW w:w="1814" w:type="dxa"/>
            <w:vAlign w:val="center"/>
          </w:tcPr>
          <w:p w14:paraId="45B9DE65" w14:textId="77777777"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sz w:val="18"/>
                <w:szCs w:val="18"/>
              </w:rPr>
              <w:t>Teeth were divided into: G1 (direct light-curing), G2 (direct self-curing), G3 (indirect, cement &lt;200 µm) and G4 (indirect, cement &gt;200 µm).</w:t>
            </w:r>
          </w:p>
        </w:tc>
        <w:tc>
          <w:tcPr>
            <w:tcW w:w="1664" w:type="dxa"/>
            <w:vAlign w:val="center"/>
          </w:tcPr>
          <w:p w14:paraId="06959413" w14:textId="75DF29E4"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sz w:val="18"/>
                <w:szCs w:val="18"/>
              </w:rPr>
              <w:t>N=</w:t>
            </w:r>
            <w:r w:rsidRPr="00EE26F4">
              <w:rPr>
                <w:rFonts w:ascii="Arial" w:eastAsia="Arial" w:hAnsi="Arial" w:cs="Arial"/>
                <w:b/>
                <w:sz w:val="18"/>
                <w:szCs w:val="18"/>
              </w:rPr>
              <w:t xml:space="preserve"> </w:t>
            </w:r>
            <w:r w:rsidRPr="00EE26F4">
              <w:rPr>
                <w:rFonts w:ascii="Arial" w:eastAsia="Arial" w:hAnsi="Arial" w:cs="Arial"/>
                <w:sz w:val="18"/>
                <w:szCs w:val="18"/>
              </w:rPr>
              <w:t>25 common glass discs, as experimental substrate</w:t>
            </w:r>
          </w:p>
        </w:tc>
        <w:tc>
          <w:tcPr>
            <w:tcW w:w="1681" w:type="dxa"/>
            <w:vAlign w:val="center"/>
          </w:tcPr>
          <w:p w14:paraId="335E460A" w14:textId="77777777"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sz w:val="18"/>
                <w:szCs w:val="18"/>
              </w:rPr>
              <w:t>Contraction stress</w:t>
            </w:r>
          </w:p>
        </w:tc>
        <w:tc>
          <w:tcPr>
            <w:tcW w:w="2268" w:type="dxa"/>
            <w:vAlign w:val="center"/>
          </w:tcPr>
          <w:p w14:paraId="42B1BCC2" w14:textId="77777777"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sz w:val="18"/>
                <w:szCs w:val="18"/>
              </w:rPr>
              <w:t>Varying cement thicknesses were applied to the indirect restorations. Cracks were measured after 15 and 30 minutes. Shrinkage stresses were calculated based on the cracks and glass toughness. The elastic moduli of the composites (photocured and self-cured) were measured by nanoindentation at the same time.</w:t>
            </w:r>
          </w:p>
        </w:tc>
        <w:tc>
          <w:tcPr>
            <w:tcW w:w="2977" w:type="dxa"/>
            <w:vAlign w:val="center"/>
          </w:tcPr>
          <w:p w14:paraId="37A33120" w14:textId="77777777"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sz w:val="18"/>
                <w:szCs w:val="18"/>
              </w:rPr>
              <w:t>There was no failure in indirect restorations with thin cement or direct self-cured restorations.</w:t>
            </w:r>
          </w:p>
        </w:tc>
      </w:tr>
      <w:tr w:rsidR="00EE26F4" w:rsidRPr="00EE26F4" w14:paraId="442D36AC" w14:textId="77777777" w:rsidTr="00EE26F4">
        <w:trPr>
          <w:trHeight w:val="3967"/>
        </w:trPr>
        <w:tc>
          <w:tcPr>
            <w:tcW w:w="1620" w:type="dxa"/>
            <w:vAlign w:val="center"/>
          </w:tcPr>
          <w:p w14:paraId="4496DBF8" w14:textId="77777777" w:rsidR="00EE26F4" w:rsidRPr="009E0B72" w:rsidRDefault="00EE26F4" w:rsidP="00EE26F4">
            <w:pPr>
              <w:ind w:left="140"/>
              <w:jc w:val="center"/>
              <w:rPr>
                <w:rFonts w:ascii="Arial" w:eastAsia="Arial" w:hAnsi="Arial" w:cs="Arial"/>
                <w:b/>
                <w:sz w:val="18"/>
                <w:szCs w:val="18"/>
                <w:lang w:val="fr-FR"/>
              </w:rPr>
            </w:pPr>
            <w:proofErr w:type="spellStart"/>
            <w:r w:rsidRPr="009E0B72">
              <w:rPr>
                <w:rFonts w:ascii="Arial" w:eastAsia="Arial" w:hAnsi="Arial" w:cs="Arial"/>
                <w:b/>
                <w:sz w:val="18"/>
                <w:szCs w:val="18"/>
                <w:lang w:val="fr-FR"/>
              </w:rPr>
              <w:t>Canepelle</w:t>
            </w:r>
            <w:proofErr w:type="spellEnd"/>
            <w:r w:rsidRPr="009E0B72">
              <w:rPr>
                <w:rFonts w:ascii="Arial" w:eastAsia="Arial" w:hAnsi="Arial" w:cs="Arial"/>
                <w:b/>
                <w:sz w:val="18"/>
                <w:szCs w:val="18"/>
                <w:lang w:val="fr-FR"/>
              </w:rPr>
              <w:t>, T.M.F. et al., 2014</w:t>
            </w:r>
          </w:p>
        </w:tc>
        <w:tc>
          <w:tcPr>
            <w:tcW w:w="1633" w:type="dxa"/>
            <w:vAlign w:val="center"/>
          </w:tcPr>
          <w:p w14:paraId="6A8189B7" w14:textId="77777777"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sz w:val="18"/>
                <w:szCs w:val="18"/>
              </w:rPr>
              <w:t>To evaluate the influence of brushing on the mass loss and roughness of direct Venus (Vs) and indirect Signum (Sg) resin composites, with and without Fortify (F) surface sealant.</w:t>
            </w:r>
          </w:p>
        </w:tc>
        <w:tc>
          <w:tcPr>
            <w:tcW w:w="1469" w:type="dxa"/>
            <w:vAlign w:val="center"/>
          </w:tcPr>
          <w:p w14:paraId="068D1C68" w14:textId="77777777"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sz w:val="18"/>
                <w:szCs w:val="18"/>
              </w:rPr>
              <w:t>In vitro</w:t>
            </w:r>
          </w:p>
        </w:tc>
        <w:tc>
          <w:tcPr>
            <w:tcW w:w="1814" w:type="dxa"/>
            <w:vAlign w:val="center"/>
          </w:tcPr>
          <w:p w14:paraId="6E877CF9" w14:textId="77777777"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sz w:val="18"/>
                <w:szCs w:val="18"/>
              </w:rPr>
              <w:t>The study analyzed four groups: Venus direct without sealant (</w:t>
            </w:r>
            <w:proofErr w:type="spellStart"/>
            <w:r w:rsidRPr="00EE26F4">
              <w:rPr>
                <w:rFonts w:ascii="Arial" w:eastAsia="Arial" w:hAnsi="Arial" w:cs="Arial"/>
                <w:sz w:val="18"/>
                <w:szCs w:val="18"/>
              </w:rPr>
              <w:t>VsC</w:t>
            </w:r>
            <w:proofErr w:type="spellEnd"/>
            <w:r w:rsidRPr="00EE26F4">
              <w:rPr>
                <w:rFonts w:ascii="Arial" w:eastAsia="Arial" w:hAnsi="Arial" w:cs="Arial"/>
                <w:sz w:val="18"/>
                <w:szCs w:val="18"/>
              </w:rPr>
              <w:t>), Venus direct with sealant (</w:t>
            </w:r>
            <w:proofErr w:type="spellStart"/>
            <w:r w:rsidRPr="00EE26F4">
              <w:rPr>
                <w:rFonts w:ascii="Arial" w:eastAsia="Arial" w:hAnsi="Arial" w:cs="Arial"/>
                <w:sz w:val="18"/>
                <w:szCs w:val="18"/>
              </w:rPr>
              <w:t>VsF</w:t>
            </w:r>
            <w:proofErr w:type="spellEnd"/>
            <w:r w:rsidRPr="00EE26F4">
              <w:rPr>
                <w:rFonts w:ascii="Arial" w:eastAsia="Arial" w:hAnsi="Arial" w:cs="Arial"/>
                <w:sz w:val="18"/>
                <w:szCs w:val="18"/>
              </w:rPr>
              <w:t>), Signum indirect without sealant (</w:t>
            </w:r>
            <w:proofErr w:type="spellStart"/>
            <w:r w:rsidRPr="00EE26F4">
              <w:rPr>
                <w:rFonts w:ascii="Arial" w:eastAsia="Arial" w:hAnsi="Arial" w:cs="Arial"/>
                <w:sz w:val="18"/>
                <w:szCs w:val="18"/>
              </w:rPr>
              <w:t>SgC</w:t>
            </w:r>
            <w:proofErr w:type="spellEnd"/>
            <w:r w:rsidRPr="00EE26F4">
              <w:rPr>
                <w:rFonts w:ascii="Arial" w:eastAsia="Arial" w:hAnsi="Arial" w:cs="Arial"/>
                <w:sz w:val="18"/>
                <w:szCs w:val="18"/>
              </w:rPr>
              <w:t>), and Signum indirect with sealant (</w:t>
            </w:r>
            <w:proofErr w:type="spellStart"/>
            <w:r w:rsidRPr="00EE26F4">
              <w:rPr>
                <w:rFonts w:ascii="Arial" w:eastAsia="Arial" w:hAnsi="Arial" w:cs="Arial"/>
                <w:sz w:val="18"/>
                <w:szCs w:val="18"/>
              </w:rPr>
              <w:t>SgF</w:t>
            </w:r>
            <w:proofErr w:type="spellEnd"/>
            <w:r w:rsidRPr="00EE26F4">
              <w:rPr>
                <w:rFonts w:ascii="Arial" w:eastAsia="Arial" w:hAnsi="Arial" w:cs="Arial"/>
                <w:sz w:val="18"/>
                <w:szCs w:val="18"/>
              </w:rPr>
              <w:t>).</w:t>
            </w:r>
          </w:p>
        </w:tc>
        <w:tc>
          <w:tcPr>
            <w:tcW w:w="1664" w:type="dxa"/>
            <w:vAlign w:val="center"/>
          </w:tcPr>
          <w:p w14:paraId="5ED24954" w14:textId="77777777"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sz w:val="18"/>
                <w:szCs w:val="18"/>
              </w:rPr>
              <w:t>The sample had 48 composite resin specimens, 24 direct and 24 indirect, divided into four groups of 12 according to the presence or absence of sealant.</w:t>
            </w:r>
          </w:p>
        </w:tc>
        <w:tc>
          <w:tcPr>
            <w:tcW w:w="1681" w:type="dxa"/>
            <w:vAlign w:val="center"/>
          </w:tcPr>
          <w:p w14:paraId="4453F282" w14:textId="77777777"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sz w:val="18"/>
                <w:szCs w:val="18"/>
              </w:rPr>
              <w:t>Abrasion resistance of resins as a function of a sealing facet</w:t>
            </w:r>
          </w:p>
        </w:tc>
        <w:tc>
          <w:tcPr>
            <w:tcW w:w="2268" w:type="dxa"/>
            <w:vAlign w:val="center"/>
          </w:tcPr>
          <w:p w14:paraId="638B3AA5" w14:textId="77777777"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sz w:val="18"/>
                <w:szCs w:val="18"/>
              </w:rPr>
              <w:t>Specimens were polished and ultrasonically cleaned for 5 minutes in distilled water. Half received Fortify sealant (</w:t>
            </w:r>
            <w:proofErr w:type="spellStart"/>
            <w:r w:rsidRPr="00EE26F4">
              <w:rPr>
                <w:rFonts w:ascii="Arial" w:eastAsia="Arial" w:hAnsi="Arial" w:cs="Arial"/>
                <w:sz w:val="18"/>
                <w:szCs w:val="18"/>
              </w:rPr>
              <w:t>VsF</w:t>
            </w:r>
            <w:proofErr w:type="spellEnd"/>
            <w:r w:rsidRPr="00EE26F4">
              <w:rPr>
                <w:rFonts w:ascii="Arial" w:eastAsia="Arial" w:hAnsi="Arial" w:cs="Arial"/>
                <w:sz w:val="18"/>
                <w:szCs w:val="18"/>
              </w:rPr>
              <w:t xml:space="preserve"> and </w:t>
            </w:r>
            <w:proofErr w:type="spellStart"/>
            <w:r w:rsidRPr="00EE26F4">
              <w:rPr>
                <w:rFonts w:ascii="Arial" w:eastAsia="Arial" w:hAnsi="Arial" w:cs="Arial"/>
                <w:sz w:val="18"/>
                <w:szCs w:val="18"/>
              </w:rPr>
              <w:t>SgF</w:t>
            </w:r>
            <w:proofErr w:type="spellEnd"/>
            <w:r w:rsidRPr="00EE26F4">
              <w:rPr>
                <w:rFonts w:ascii="Arial" w:eastAsia="Arial" w:hAnsi="Arial" w:cs="Arial"/>
                <w:sz w:val="18"/>
                <w:szCs w:val="18"/>
              </w:rPr>
              <w:t>), the other half were controls without sealant (</w:t>
            </w:r>
            <w:proofErr w:type="spellStart"/>
            <w:r w:rsidRPr="00EE26F4">
              <w:rPr>
                <w:rFonts w:ascii="Arial" w:eastAsia="Arial" w:hAnsi="Arial" w:cs="Arial"/>
                <w:sz w:val="18"/>
                <w:szCs w:val="18"/>
              </w:rPr>
              <w:t>VsC</w:t>
            </w:r>
            <w:proofErr w:type="spellEnd"/>
            <w:r w:rsidRPr="00EE26F4">
              <w:rPr>
                <w:rFonts w:ascii="Arial" w:eastAsia="Arial" w:hAnsi="Arial" w:cs="Arial"/>
                <w:sz w:val="18"/>
                <w:szCs w:val="18"/>
              </w:rPr>
              <w:t xml:space="preserve"> and </w:t>
            </w:r>
            <w:proofErr w:type="spellStart"/>
            <w:r w:rsidRPr="00EE26F4">
              <w:rPr>
                <w:rFonts w:ascii="Arial" w:eastAsia="Arial" w:hAnsi="Arial" w:cs="Arial"/>
                <w:sz w:val="18"/>
                <w:szCs w:val="18"/>
              </w:rPr>
              <w:t>SgC</w:t>
            </w:r>
            <w:proofErr w:type="spellEnd"/>
            <w:r w:rsidRPr="00EE26F4">
              <w:rPr>
                <w:rFonts w:ascii="Arial" w:eastAsia="Arial" w:hAnsi="Arial" w:cs="Arial"/>
                <w:sz w:val="18"/>
                <w:szCs w:val="18"/>
              </w:rPr>
              <w:t>). Mass loss (ML) and surface roughness (Ra) were measured before and after 67,000 brushing movements with an abrasive toothpaste. After abrasion, the specimens were washed, dried, and measured again.</w:t>
            </w:r>
          </w:p>
        </w:tc>
        <w:tc>
          <w:tcPr>
            <w:tcW w:w="2977" w:type="dxa"/>
            <w:vAlign w:val="center"/>
          </w:tcPr>
          <w:p w14:paraId="6F55A87A" w14:textId="77777777"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sz w:val="18"/>
                <w:szCs w:val="18"/>
              </w:rPr>
              <w:t xml:space="preserve">The specimens sealed with Fortify had greater mass. The mean surface roughness (Ra) values ​​of the </w:t>
            </w:r>
            <w:proofErr w:type="spellStart"/>
            <w:r w:rsidRPr="00EE26F4">
              <w:rPr>
                <w:rFonts w:ascii="Arial" w:eastAsia="Arial" w:hAnsi="Arial" w:cs="Arial"/>
                <w:sz w:val="18"/>
                <w:szCs w:val="18"/>
              </w:rPr>
              <w:t>VsF</w:t>
            </w:r>
            <w:proofErr w:type="spellEnd"/>
            <w:r w:rsidRPr="00EE26F4">
              <w:rPr>
                <w:rFonts w:ascii="Arial" w:eastAsia="Arial" w:hAnsi="Arial" w:cs="Arial"/>
                <w:sz w:val="18"/>
                <w:szCs w:val="18"/>
              </w:rPr>
              <w:t xml:space="preserve"> and </w:t>
            </w:r>
            <w:proofErr w:type="spellStart"/>
            <w:r w:rsidRPr="00EE26F4">
              <w:rPr>
                <w:rFonts w:ascii="Arial" w:eastAsia="Arial" w:hAnsi="Arial" w:cs="Arial"/>
                <w:sz w:val="18"/>
                <w:szCs w:val="18"/>
              </w:rPr>
              <w:t>SgF</w:t>
            </w:r>
            <w:proofErr w:type="spellEnd"/>
            <w:r w:rsidRPr="00EE26F4">
              <w:rPr>
                <w:rFonts w:ascii="Arial" w:eastAsia="Arial" w:hAnsi="Arial" w:cs="Arial"/>
                <w:sz w:val="18"/>
                <w:szCs w:val="18"/>
              </w:rPr>
              <w:t xml:space="preserve"> groups increased significantly.</w:t>
            </w:r>
          </w:p>
        </w:tc>
      </w:tr>
      <w:tr w:rsidR="00EE26F4" w:rsidRPr="00EE26F4" w14:paraId="2EAC602F" w14:textId="77777777" w:rsidTr="00EE26F4">
        <w:trPr>
          <w:trHeight w:val="1273"/>
        </w:trPr>
        <w:tc>
          <w:tcPr>
            <w:tcW w:w="1620" w:type="dxa"/>
            <w:vAlign w:val="center"/>
          </w:tcPr>
          <w:p w14:paraId="159742F9" w14:textId="77777777" w:rsidR="00EE26F4" w:rsidRPr="009E0B72" w:rsidRDefault="00EE26F4" w:rsidP="00EE26F4">
            <w:pPr>
              <w:ind w:left="140"/>
              <w:jc w:val="center"/>
              <w:rPr>
                <w:rFonts w:ascii="Arial" w:eastAsia="Arial" w:hAnsi="Arial" w:cs="Arial"/>
                <w:b/>
                <w:sz w:val="18"/>
                <w:szCs w:val="18"/>
                <w:lang w:val="fr-FR"/>
              </w:rPr>
            </w:pPr>
            <w:proofErr w:type="spellStart"/>
            <w:r w:rsidRPr="009E0B72">
              <w:rPr>
                <w:rFonts w:ascii="Arial" w:eastAsia="Arial" w:hAnsi="Arial" w:cs="Arial"/>
                <w:b/>
                <w:sz w:val="18"/>
                <w:szCs w:val="18"/>
                <w:lang w:val="fr-FR"/>
              </w:rPr>
              <w:t>Osiewicz</w:t>
            </w:r>
            <w:proofErr w:type="spellEnd"/>
            <w:r w:rsidRPr="009E0B72">
              <w:rPr>
                <w:rFonts w:ascii="Arial" w:eastAsia="Arial" w:hAnsi="Arial" w:cs="Arial"/>
                <w:b/>
                <w:sz w:val="18"/>
                <w:szCs w:val="18"/>
                <w:lang w:val="fr-FR"/>
              </w:rPr>
              <w:t>, M. A. et al., 2015</w:t>
            </w:r>
          </w:p>
        </w:tc>
        <w:tc>
          <w:tcPr>
            <w:tcW w:w="1633" w:type="dxa"/>
            <w:vAlign w:val="center"/>
          </w:tcPr>
          <w:p w14:paraId="66F0FFCE" w14:textId="77777777"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sz w:val="18"/>
                <w:szCs w:val="18"/>
              </w:rPr>
              <w:t xml:space="preserve">The aim of this study was to evaluate two- and three-body wear between frequently used direct and </w:t>
            </w:r>
            <w:r w:rsidRPr="00EE26F4">
              <w:rPr>
                <w:rFonts w:ascii="Arial" w:eastAsia="Arial" w:hAnsi="Arial" w:cs="Arial"/>
                <w:sz w:val="18"/>
                <w:szCs w:val="18"/>
              </w:rPr>
              <w:lastRenderedPageBreak/>
              <w:t>indirect resin composites.</w:t>
            </w:r>
          </w:p>
        </w:tc>
        <w:tc>
          <w:tcPr>
            <w:tcW w:w="1469" w:type="dxa"/>
            <w:vAlign w:val="center"/>
          </w:tcPr>
          <w:p w14:paraId="46926843" w14:textId="77777777"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sz w:val="18"/>
                <w:szCs w:val="18"/>
              </w:rPr>
              <w:lastRenderedPageBreak/>
              <w:t>In vitro</w:t>
            </w:r>
          </w:p>
        </w:tc>
        <w:tc>
          <w:tcPr>
            <w:tcW w:w="1814" w:type="dxa"/>
            <w:vAlign w:val="center"/>
          </w:tcPr>
          <w:p w14:paraId="79B6B7CA" w14:textId="77777777"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sz w:val="18"/>
                <w:szCs w:val="18"/>
              </w:rPr>
              <w:t xml:space="preserve">Three direct resin composites and three indirect resin composites were evaluated, with </w:t>
            </w:r>
            <w:proofErr w:type="spellStart"/>
            <w:r w:rsidRPr="00EE26F4">
              <w:rPr>
                <w:rFonts w:ascii="Arial" w:eastAsia="Arial" w:hAnsi="Arial" w:cs="Arial"/>
                <w:sz w:val="18"/>
                <w:szCs w:val="18"/>
              </w:rPr>
              <w:t>Clearfil</w:t>
            </w:r>
            <w:proofErr w:type="spellEnd"/>
            <w:r w:rsidRPr="00EE26F4">
              <w:rPr>
                <w:rFonts w:ascii="Arial" w:eastAsia="Arial" w:hAnsi="Arial" w:cs="Arial"/>
                <w:sz w:val="18"/>
                <w:szCs w:val="18"/>
              </w:rPr>
              <w:t xml:space="preserve"> AP-X, </w:t>
            </w:r>
            <w:proofErr w:type="spellStart"/>
            <w:r w:rsidRPr="00EE26F4">
              <w:rPr>
                <w:rFonts w:ascii="Arial" w:eastAsia="Arial" w:hAnsi="Arial" w:cs="Arial"/>
                <w:sz w:val="18"/>
                <w:szCs w:val="18"/>
              </w:rPr>
              <w:t>Filtek</w:t>
            </w:r>
            <w:proofErr w:type="spellEnd"/>
            <w:r w:rsidRPr="00EE26F4">
              <w:rPr>
                <w:rFonts w:ascii="Arial" w:eastAsia="Arial" w:hAnsi="Arial" w:cs="Arial"/>
                <w:sz w:val="18"/>
                <w:szCs w:val="18"/>
              </w:rPr>
              <w:t xml:space="preserve"> Z250 and </w:t>
            </w:r>
            <w:proofErr w:type="spellStart"/>
            <w:r w:rsidRPr="00EE26F4">
              <w:rPr>
                <w:rFonts w:ascii="Arial" w:eastAsia="Arial" w:hAnsi="Arial" w:cs="Arial"/>
                <w:sz w:val="18"/>
                <w:szCs w:val="18"/>
              </w:rPr>
              <w:lastRenderedPageBreak/>
              <w:t>Filtek</w:t>
            </w:r>
            <w:proofErr w:type="spellEnd"/>
            <w:r w:rsidRPr="00EE26F4">
              <w:rPr>
                <w:rFonts w:ascii="Arial" w:eastAsia="Arial" w:hAnsi="Arial" w:cs="Arial"/>
                <w:sz w:val="18"/>
                <w:szCs w:val="18"/>
              </w:rPr>
              <w:t xml:space="preserve"> Supreme XT as antagonists</w:t>
            </w:r>
          </w:p>
        </w:tc>
        <w:tc>
          <w:tcPr>
            <w:tcW w:w="1664" w:type="dxa"/>
            <w:vAlign w:val="center"/>
          </w:tcPr>
          <w:p w14:paraId="71B5BE56" w14:textId="77777777"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sz w:val="18"/>
                <w:szCs w:val="18"/>
              </w:rPr>
              <w:lastRenderedPageBreak/>
              <w:t>N</w:t>
            </w:r>
            <w:r w:rsidRPr="00EE26F4">
              <w:rPr>
                <w:rFonts w:ascii="Arial" w:eastAsia="Arial" w:hAnsi="Arial" w:cs="Arial"/>
                <w:b/>
                <w:sz w:val="18"/>
                <w:szCs w:val="18"/>
              </w:rPr>
              <w:t xml:space="preserve"> = </w:t>
            </w:r>
            <w:r w:rsidRPr="00EE26F4">
              <w:rPr>
                <w:rFonts w:ascii="Arial" w:eastAsia="Arial" w:hAnsi="Arial" w:cs="Arial"/>
                <w:sz w:val="18"/>
                <w:szCs w:val="18"/>
              </w:rPr>
              <w:t>6 composite resin specimens, 3 direct and 3 indirect.</w:t>
            </w:r>
          </w:p>
        </w:tc>
        <w:tc>
          <w:tcPr>
            <w:tcW w:w="1681" w:type="dxa"/>
            <w:vAlign w:val="center"/>
          </w:tcPr>
          <w:p w14:paraId="6453D01E" w14:textId="77777777"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sz w:val="18"/>
                <w:szCs w:val="18"/>
              </w:rPr>
              <w:t>Wear resistance</w:t>
            </w:r>
          </w:p>
        </w:tc>
        <w:tc>
          <w:tcPr>
            <w:tcW w:w="2268" w:type="dxa"/>
            <w:vAlign w:val="center"/>
          </w:tcPr>
          <w:p w14:paraId="7E63F7DF" w14:textId="77777777"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sz w:val="18"/>
                <w:szCs w:val="18"/>
              </w:rPr>
              <w:t xml:space="preserve">Two- and three-body wear of three direct resin composites and three indirect resin composites, with </w:t>
            </w:r>
            <w:proofErr w:type="spellStart"/>
            <w:r w:rsidRPr="00EE26F4">
              <w:rPr>
                <w:rFonts w:ascii="Arial" w:eastAsia="Arial" w:hAnsi="Arial" w:cs="Arial"/>
                <w:sz w:val="18"/>
                <w:szCs w:val="18"/>
              </w:rPr>
              <w:t>Clearfil</w:t>
            </w:r>
            <w:proofErr w:type="spellEnd"/>
            <w:r w:rsidRPr="00EE26F4">
              <w:rPr>
                <w:rFonts w:ascii="Arial" w:eastAsia="Arial" w:hAnsi="Arial" w:cs="Arial"/>
                <w:sz w:val="18"/>
                <w:szCs w:val="18"/>
              </w:rPr>
              <w:t xml:space="preserve"> AP-X, </w:t>
            </w:r>
            <w:proofErr w:type="spellStart"/>
            <w:r w:rsidRPr="00EE26F4">
              <w:rPr>
                <w:rFonts w:ascii="Arial" w:eastAsia="Arial" w:hAnsi="Arial" w:cs="Arial"/>
                <w:sz w:val="18"/>
                <w:szCs w:val="18"/>
              </w:rPr>
              <w:t>Filtek</w:t>
            </w:r>
            <w:proofErr w:type="spellEnd"/>
            <w:r w:rsidRPr="00EE26F4">
              <w:rPr>
                <w:rFonts w:ascii="Arial" w:eastAsia="Arial" w:hAnsi="Arial" w:cs="Arial"/>
                <w:sz w:val="18"/>
                <w:szCs w:val="18"/>
              </w:rPr>
              <w:t xml:space="preserve"> Z250, and </w:t>
            </w:r>
            <w:proofErr w:type="spellStart"/>
            <w:r w:rsidRPr="00EE26F4">
              <w:rPr>
                <w:rFonts w:ascii="Arial" w:eastAsia="Arial" w:hAnsi="Arial" w:cs="Arial"/>
                <w:sz w:val="18"/>
                <w:szCs w:val="18"/>
              </w:rPr>
              <w:t>Filtek</w:t>
            </w:r>
            <w:proofErr w:type="spellEnd"/>
            <w:r w:rsidRPr="00EE26F4">
              <w:rPr>
                <w:rFonts w:ascii="Arial" w:eastAsia="Arial" w:hAnsi="Arial" w:cs="Arial"/>
                <w:sz w:val="18"/>
                <w:szCs w:val="18"/>
              </w:rPr>
              <w:t xml:space="preserve"> </w:t>
            </w:r>
            <w:r w:rsidRPr="00EE26F4">
              <w:rPr>
                <w:rFonts w:ascii="Arial" w:eastAsia="Arial" w:hAnsi="Arial" w:cs="Arial"/>
                <w:sz w:val="18"/>
                <w:szCs w:val="18"/>
              </w:rPr>
              <w:lastRenderedPageBreak/>
              <w:t xml:space="preserve">Supreme XT as antagonists, was measured using the ACTA (Acrylic and Dental Abrasion </w:t>
            </w:r>
            <w:proofErr w:type="gramStart"/>
            <w:r w:rsidRPr="00EE26F4">
              <w:rPr>
                <w:rFonts w:ascii="Arial" w:eastAsia="Arial" w:hAnsi="Arial" w:cs="Arial"/>
                <w:sz w:val="18"/>
                <w:szCs w:val="18"/>
              </w:rPr>
              <w:t>Device)  wear</w:t>
            </w:r>
            <w:proofErr w:type="gramEnd"/>
            <w:r w:rsidRPr="00EE26F4">
              <w:rPr>
                <w:rFonts w:ascii="Arial" w:eastAsia="Arial" w:hAnsi="Arial" w:cs="Arial"/>
                <w:sz w:val="18"/>
                <w:szCs w:val="18"/>
              </w:rPr>
              <w:t xml:space="preserve"> device. Wear rates were determined, and surfaces were evaluated with scanning electron microscopy (SEM).</w:t>
            </w:r>
          </w:p>
        </w:tc>
        <w:tc>
          <w:tcPr>
            <w:tcW w:w="2977" w:type="dxa"/>
            <w:vAlign w:val="center"/>
          </w:tcPr>
          <w:p w14:paraId="5C291235" w14:textId="77777777"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sz w:val="18"/>
                <w:szCs w:val="18"/>
              </w:rPr>
              <w:lastRenderedPageBreak/>
              <w:t>It was noted that the three-body wear rate was independent of the antagonist, and in general, was higher than the two-body wear rate.</w:t>
            </w:r>
          </w:p>
        </w:tc>
      </w:tr>
      <w:tr w:rsidR="00EE26F4" w:rsidRPr="00EE26F4" w14:paraId="462AC1A5" w14:textId="77777777" w:rsidTr="00EE26F4">
        <w:trPr>
          <w:trHeight w:val="4192"/>
        </w:trPr>
        <w:tc>
          <w:tcPr>
            <w:tcW w:w="1620" w:type="dxa"/>
            <w:vAlign w:val="center"/>
          </w:tcPr>
          <w:p w14:paraId="25F2B841" w14:textId="77777777" w:rsidR="00EE26F4" w:rsidRPr="00EE26F4" w:rsidRDefault="00EE26F4" w:rsidP="00EE26F4">
            <w:pPr>
              <w:ind w:left="140"/>
              <w:jc w:val="center"/>
              <w:rPr>
                <w:rFonts w:ascii="Arial" w:eastAsia="Arial" w:hAnsi="Arial" w:cs="Arial"/>
                <w:b/>
                <w:sz w:val="18"/>
                <w:szCs w:val="18"/>
              </w:rPr>
            </w:pPr>
            <w:r w:rsidRPr="00EE26F4">
              <w:rPr>
                <w:rFonts w:ascii="Arial" w:eastAsia="Arial" w:hAnsi="Arial" w:cs="Arial"/>
                <w:b/>
                <w:sz w:val="18"/>
                <w:szCs w:val="18"/>
              </w:rPr>
              <w:t>Jain, V. et al., 2015</w:t>
            </w:r>
          </w:p>
        </w:tc>
        <w:tc>
          <w:tcPr>
            <w:tcW w:w="1633" w:type="dxa"/>
            <w:vAlign w:val="center"/>
          </w:tcPr>
          <w:p w14:paraId="6B934C89" w14:textId="77777777"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sz w:val="18"/>
                <w:szCs w:val="18"/>
              </w:rPr>
              <w:t>To determine the effect of bleaching on color change and marginal adaptation of direct and indirect CLVs over time in the oral environment.</w:t>
            </w:r>
          </w:p>
        </w:tc>
        <w:tc>
          <w:tcPr>
            <w:tcW w:w="1469" w:type="dxa"/>
            <w:vAlign w:val="center"/>
          </w:tcPr>
          <w:p w14:paraId="0CEC0315" w14:textId="01A5D61C"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sz w:val="18"/>
                <w:szCs w:val="18"/>
              </w:rPr>
              <w:t>In vivo</w:t>
            </w:r>
          </w:p>
        </w:tc>
        <w:tc>
          <w:tcPr>
            <w:tcW w:w="1814" w:type="dxa"/>
            <w:vAlign w:val="center"/>
          </w:tcPr>
          <w:p w14:paraId="553EF1E7" w14:textId="77777777"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sz w:val="18"/>
                <w:szCs w:val="18"/>
              </w:rPr>
              <w:t>The study analyzed two groups: Group 1 with indirect CLVs cemented in the first quadrant and Group 2 with direct CLVs applied in the second quadrant.</w:t>
            </w:r>
          </w:p>
        </w:tc>
        <w:tc>
          <w:tcPr>
            <w:tcW w:w="1664" w:type="dxa"/>
            <w:vAlign w:val="center"/>
          </w:tcPr>
          <w:p w14:paraId="6AD30A60" w14:textId="77777777"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b/>
                <w:sz w:val="18"/>
                <w:szCs w:val="18"/>
              </w:rPr>
              <w:t xml:space="preserve">N = </w:t>
            </w:r>
            <w:r w:rsidRPr="00EE26F4">
              <w:rPr>
                <w:rFonts w:ascii="Arial" w:eastAsia="Arial" w:hAnsi="Arial" w:cs="Arial"/>
                <w:sz w:val="18"/>
                <w:szCs w:val="18"/>
              </w:rPr>
              <w:t>14 individuals, totaling 28 composite laminate veneers, 14 indirect veneers in the first quadrant and 14 direct veneers in the second quadrant.</w:t>
            </w:r>
          </w:p>
        </w:tc>
        <w:tc>
          <w:tcPr>
            <w:tcW w:w="1681" w:type="dxa"/>
            <w:vAlign w:val="center"/>
          </w:tcPr>
          <w:p w14:paraId="3D41EE73" w14:textId="77777777"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sz w:val="18"/>
                <w:szCs w:val="18"/>
              </w:rPr>
              <w:t>Effects of bleaching on color stability and marginal adaptation of discolored direct and indirect composite laminate veneers</w:t>
            </w:r>
          </w:p>
        </w:tc>
        <w:tc>
          <w:tcPr>
            <w:tcW w:w="2268" w:type="dxa"/>
            <w:vAlign w:val="center"/>
          </w:tcPr>
          <w:p w14:paraId="25658912" w14:textId="77777777"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sz w:val="18"/>
                <w:szCs w:val="18"/>
              </w:rPr>
              <w:t>Color change was assessed with an intraoral digital spectrophotometer, and marginal adaptation was assessed by electron microscopy in epoxy resin replicas of the tooth-restoration interface. After 6 months, participants underwent home bleaching for 14 days with 10% carbamide peroxide. Assessments were made at 180 days (before bleaching), 194 days (immediately after), and 284 days (3 months later).</w:t>
            </w:r>
          </w:p>
        </w:tc>
        <w:tc>
          <w:tcPr>
            <w:tcW w:w="2977" w:type="dxa"/>
            <w:vAlign w:val="center"/>
          </w:tcPr>
          <w:p w14:paraId="43484278" w14:textId="77777777"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sz w:val="18"/>
                <w:szCs w:val="18"/>
              </w:rPr>
              <w:t>In the intragroup comparison, direct CLVs showed significant color change in the CE and IE regions at 180 and 284 days. There was no significant difference for indirect laminates. In the intergroup comparison, marginal adaptation at the CE margin showed significant difference at all time points.</w:t>
            </w:r>
          </w:p>
        </w:tc>
      </w:tr>
      <w:tr w:rsidR="00EE26F4" w:rsidRPr="00EE26F4" w14:paraId="489A9EC2" w14:textId="77777777" w:rsidTr="00EE26F4">
        <w:trPr>
          <w:trHeight w:val="5384"/>
        </w:trPr>
        <w:tc>
          <w:tcPr>
            <w:tcW w:w="1620" w:type="dxa"/>
            <w:vAlign w:val="center"/>
          </w:tcPr>
          <w:p w14:paraId="7153BECA" w14:textId="77777777" w:rsidR="00EE26F4" w:rsidRPr="009E0B72" w:rsidRDefault="00EE26F4" w:rsidP="00EE26F4">
            <w:pPr>
              <w:ind w:left="140"/>
              <w:jc w:val="center"/>
              <w:rPr>
                <w:rFonts w:ascii="Arial" w:eastAsia="Arial" w:hAnsi="Arial" w:cs="Arial"/>
                <w:b/>
                <w:sz w:val="18"/>
                <w:szCs w:val="18"/>
                <w:lang w:val="fr-FR"/>
              </w:rPr>
            </w:pPr>
            <w:proofErr w:type="spellStart"/>
            <w:r w:rsidRPr="009E0B72">
              <w:rPr>
                <w:rFonts w:ascii="Arial" w:eastAsia="Arial" w:hAnsi="Arial" w:cs="Arial"/>
                <w:b/>
                <w:sz w:val="18"/>
                <w:szCs w:val="18"/>
                <w:lang w:val="fr-FR"/>
              </w:rPr>
              <w:lastRenderedPageBreak/>
              <w:t>Hasani</w:t>
            </w:r>
            <w:proofErr w:type="spellEnd"/>
            <w:r w:rsidRPr="009E0B72">
              <w:rPr>
                <w:rFonts w:ascii="Arial" w:eastAsia="Arial" w:hAnsi="Arial" w:cs="Arial"/>
                <w:b/>
                <w:sz w:val="18"/>
                <w:szCs w:val="18"/>
                <w:lang w:val="fr-FR"/>
              </w:rPr>
              <w:t xml:space="preserve"> </w:t>
            </w:r>
            <w:proofErr w:type="spellStart"/>
            <w:r w:rsidRPr="009E0B72">
              <w:rPr>
                <w:rFonts w:ascii="Arial" w:eastAsia="Arial" w:hAnsi="Arial" w:cs="Arial"/>
                <w:b/>
                <w:sz w:val="18"/>
                <w:szCs w:val="18"/>
                <w:lang w:val="fr-FR"/>
              </w:rPr>
              <w:t>Tabatabaei</w:t>
            </w:r>
            <w:proofErr w:type="spellEnd"/>
            <w:r w:rsidRPr="009E0B72">
              <w:rPr>
                <w:rFonts w:ascii="Arial" w:eastAsia="Arial" w:hAnsi="Arial" w:cs="Arial"/>
                <w:b/>
                <w:sz w:val="18"/>
                <w:szCs w:val="18"/>
                <w:lang w:val="fr-FR"/>
              </w:rPr>
              <w:t>, M. et al., 2016</w:t>
            </w:r>
          </w:p>
        </w:tc>
        <w:tc>
          <w:tcPr>
            <w:tcW w:w="1633" w:type="dxa"/>
            <w:vAlign w:val="center"/>
          </w:tcPr>
          <w:p w14:paraId="34CB4225" w14:textId="5213A4EC" w:rsidR="00EE26F4" w:rsidRPr="00EE26F4" w:rsidRDefault="00EE26F4" w:rsidP="00EE26F4">
            <w:pPr>
              <w:ind w:left="140"/>
              <w:jc w:val="center"/>
              <w:rPr>
                <w:rFonts w:ascii="Arial" w:eastAsia="Arial" w:hAnsi="Arial" w:cs="Arial"/>
                <w:b/>
                <w:sz w:val="18"/>
                <w:szCs w:val="18"/>
              </w:rPr>
            </w:pPr>
            <w:r w:rsidRPr="00EE26F4">
              <w:rPr>
                <w:rFonts w:ascii="Arial" w:eastAsia="Arial" w:hAnsi="Arial" w:cs="Arial"/>
                <w:sz w:val="18"/>
                <w:szCs w:val="18"/>
              </w:rPr>
              <w:t>The aim of this study was to evaluate the effect of artificial accelerated aging (AAA) on the color change of direct and indirect fiber-reinforced composite (FRC) restorations.</w:t>
            </w:r>
          </w:p>
        </w:tc>
        <w:tc>
          <w:tcPr>
            <w:tcW w:w="1469" w:type="dxa"/>
            <w:vAlign w:val="center"/>
          </w:tcPr>
          <w:p w14:paraId="74B55B88" w14:textId="77777777"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sz w:val="18"/>
                <w:szCs w:val="18"/>
              </w:rPr>
              <w:t>In vitro</w:t>
            </w:r>
          </w:p>
        </w:tc>
        <w:tc>
          <w:tcPr>
            <w:tcW w:w="1814" w:type="dxa"/>
            <w:vAlign w:val="center"/>
          </w:tcPr>
          <w:p w14:paraId="6C85654B" w14:textId="77777777"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sz w:val="18"/>
                <w:szCs w:val="18"/>
              </w:rPr>
              <w:t xml:space="preserve">G1: Z250 with braided fiber and </w:t>
            </w:r>
            <w:proofErr w:type="spellStart"/>
            <w:r w:rsidRPr="00EE26F4">
              <w:rPr>
                <w:rFonts w:ascii="Arial" w:eastAsia="Arial" w:hAnsi="Arial" w:cs="Arial"/>
                <w:sz w:val="18"/>
                <w:szCs w:val="18"/>
              </w:rPr>
              <w:t>Nulite</w:t>
            </w:r>
            <w:proofErr w:type="spellEnd"/>
            <w:r w:rsidRPr="00EE26F4">
              <w:rPr>
                <w:rFonts w:ascii="Arial" w:eastAsia="Arial" w:hAnsi="Arial" w:cs="Arial"/>
                <w:sz w:val="18"/>
                <w:szCs w:val="18"/>
              </w:rPr>
              <w:t xml:space="preserve"> F</w:t>
            </w:r>
            <w:r w:rsidRPr="00EE26F4">
              <w:rPr>
                <w:rFonts w:ascii="Arial" w:eastAsia="Arial" w:hAnsi="Arial" w:cs="Arial"/>
                <w:sz w:val="18"/>
                <w:szCs w:val="18"/>
              </w:rPr>
              <w:br/>
              <w:t xml:space="preserve">  G2: Z250 with fiber tape and C sticker</w:t>
            </w:r>
            <w:r w:rsidRPr="00EE26F4">
              <w:rPr>
                <w:rFonts w:ascii="Arial" w:eastAsia="Arial" w:hAnsi="Arial" w:cs="Arial"/>
                <w:sz w:val="18"/>
                <w:szCs w:val="18"/>
              </w:rPr>
              <w:br/>
              <w:t xml:space="preserve">  G3: </w:t>
            </w:r>
            <w:proofErr w:type="spellStart"/>
            <w:r w:rsidRPr="00EE26F4">
              <w:rPr>
                <w:rFonts w:ascii="Arial" w:eastAsia="Arial" w:hAnsi="Arial" w:cs="Arial"/>
                <w:sz w:val="18"/>
                <w:szCs w:val="18"/>
              </w:rPr>
              <w:t>Gradia</w:t>
            </w:r>
            <w:proofErr w:type="spellEnd"/>
            <w:r w:rsidRPr="00EE26F4">
              <w:rPr>
                <w:rFonts w:ascii="Arial" w:eastAsia="Arial" w:hAnsi="Arial" w:cs="Arial"/>
                <w:sz w:val="18"/>
                <w:szCs w:val="18"/>
              </w:rPr>
              <w:t xml:space="preserve"> indirect with braided fiber and </w:t>
            </w:r>
            <w:proofErr w:type="spellStart"/>
            <w:r w:rsidRPr="00EE26F4">
              <w:rPr>
                <w:rFonts w:ascii="Arial" w:eastAsia="Arial" w:hAnsi="Arial" w:cs="Arial"/>
                <w:sz w:val="18"/>
                <w:szCs w:val="18"/>
              </w:rPr>
              <w:t>Nulite</w:t>
            </w:r>
            <w:proofErr w:type="spellEnd"/>
            <w:r w:rsidRPr="00EE26F4">
              <w:rPr>
                <w:rFonts w:ascii="Arial" w:eastAsia="Arial" w:hAnsi="Arial" w:cs="Arial"/>
                <w:sz w:val="18"/>
                <w:szCs w:val="18"/>
              </w:rPr>
              <w:t xml:space="preserve"> F</w:t>
            </w:r>
            <w:r w:rsidRPr="00EE26F4">
              <w:rPr>
                <w:rFonts w:ascii="Arial" w:eastAsia="Arial" w:hAnsi="Arial" w:cs="Arial"/>
                <w:sz w:val="18"/>
                <w:szCs w:val="18"/>
              </w:rPr>
              <w:br/>
              <w:t xml:space="preserve">  G4: Indirect </w:t>
            </w:r>
            <w:proofErr w:type="spellStart"/>
            <w:r w:rsidRPr="00EE26F4">
              <w:rPr>
                <w:rFonts w:ascii="Arial" w:eastAsia="Arial" w:hAnsi="Arial" w:cs="Arial"/>
                <w:sz w:val="18"/>
                <w:szCs w:val="18"/>
              </w:rPr>
              <w:t>Gradia</w:t>
            </w:r>
            <w:proofErr w:type="spellEnd"/>
            <w:r w:rsidRPr="00EE26F4">
              <w:rPr>
                <w:rFonts w:ascii="Arial" w:eastAsia="Arial" w:hAnsi="Arial" w:cs="Arial"/>
                <w:sz w:val="18"/>
                <w:szCs w:val="18"/>
              </w:rPr>
              <w:t xml:space="preserve"> with fiber tape and C adhesive</w:t>
            </w:r>
            <w:r w:rsidRPr="00EE26F4">
              <w:rPr>
                <w:rFonts w:ascii="Arial" w:eastAsia="Arial" w:hAnsi="Arial" w:cs="Arial"/>
                <w:sz w:val="18"/>
                <w:szCs w:val="18"/>
              </w:rPr>
              <w:br/>
              <w:t xml:space="preserve">  G5: Z250 without fiber and </w:t>
            </w:r>
            <w:proofErr w:type="spellStart"/>
            <w:r w:rsidRPr="00EE26F4">
              <w:rPr>
                <w:rFonts w:ascii="Arial" w:eastAsia="Arial" w:hAnsi="Arial" w:cs="Arial"/>
                <w:sz w:val="18"/>
                <w:szCs w:val="18"/>
              </w:rPr>
              <w:t>Nulite</w:t>
            </w:r>
            <w:proofErr w:type="spellEnd"/>
            <w:r w:rsidRPr="00EE26F4">
              <w:rPr>
                <w:rFonts w:ascii="Arial" w:eastAsia="Arial" w:hAnsi="Arial" w:cs="Arial"/>
                <w:sz w:val="18"/>
                <w:szCs w:val="18"/>
              </w:rPr>
              <w:t xml:space="preserve"> F</w:t>
            </w:r>
            <w:r w:rsidRPr="00EE26F4">
              <w:rPr>
                <w:rFonts w:ascii="Arial" w:eastAsia="Arial" w:hAnsi="Arial" w:cs="Arial"/>
                <w:sz w:val="18"/>
                <w:szCs w:val="18"/>
              </w:rPr>
              <w:br/>
              <w:t xml:space="preserve">  G6: Z250 without fiber and C sticker</w:t>
            </w:r>
            <w:r w:rsidRPr="00EE26F4">
              <w:rPr>
                <w:rFonts w:ascii="Arial" w:eastAsia="Arial" w:hAnsi="Arial" w:cs="Arial"/>
                <w:sz w:val="18"/>
                <w:szCs w:val="18"/>
              </w:rPr>
              <w:br/>
              <w:t xml:space="preserve">  G7: Indirect </w:t>
            </w:r>
            <w:proofErr w:type="spellStart"/>
            <w:r w:rsidRPr="00EE26F4">
              <w:rPr>
                <w:rFonts w:ascii="Arial" w:eastAsia="Arial" w:hAnsi="Arial" w:cs="Arial"/>
                <w:sz w:val="18"/>
                <w:szCs w:val="18"/>
              </w:rPr>
              <w:t>Gradia</w:t>
            </w:r>
            <w:proofErr w:type="spellEnd"/>
            <w:r w:rsidRPr="00EE26F4">
              <w:rPr>
                <w:rFonts w:ascii="Arial" w:eastAsia="Arial" w:hAnsi="Arial" w:cs="Arial"/>
                <w:sz w:val="18"/>
                <w:szCs w:val="18"/>
              </w:rPr>
              <w:t xml:space="preserve"> without fiber and </w:t>
            </w:r>
            <w:proofErr w:type="spellStart"/>
            <w:r w:rsidRPr="00EE26F4">
              <w:rPr>
                <w:rFonts w:ascii="Arial" w:eastAsia="Arial" w:hAnsi="Arial" w:cs="Arial"/>
                <w:sz w:val="18"/>
                <w:szCs w:val="18"/>
              </w:rPr>
              <w:t>Nulite</w:t>
            </w:r>
            <w:proofErr w:type="spellEnd"/>
            <w:r w:rsidRPr="00EE26F4">
              <w:rPr>
                <w:rFonts w:ascii="Arial" w:eastAsia="Arial" w:hAnsi="Arial" w:cs="Arial"/>
                <w:sz w:val="18"/>
                <w:szCs w:val="18"/>
              </w:rPr>
              <w:t xml:space="preserve"> F</w:t>
            </w:r>
            <w:r w:rsidRPr="00EE26F4">
              <w:rPr>
                <w:rFonts w:ascii="Arial" w:eastAsia="Arial" w:hAnsi="Arial" w:cs="Arial"/>
                <w:sz w:val="18"/>
                <w:szCs w:val="18"/>
              </w:rPr>
              <w:br/>
              <w:t xml:space="preserve">  G8: Indirect </w:t>
            </w:r>
            <w:proofErr w:type="spellStart"/>
            <w:r w:rsidRPr="00EE26F4">
              <w:rPr>
                <w:rFonts w:ascii="Arial" w:eastAsia="Arial" w:hAnsi="Arial" w:cs="Arial"/>
                <w:sz w:val="18"/>
                <w:szCs w:val="18"/>
              </w:rPr>
              <w:t>Gradia</w:t>
            </w:r>
            <w:proofErr w:type="spellEnd"/>
            <w:r w:rsidRPr="00EE26F4">
              <w:rPr>
                <w:rFonts w:ascii="Arial" w:eastAsia="Arial" w:hAnsi="Arial" w:cs="Arial"/>
                <w:sz w:val="18"/>
                <w:szCs w:val="18"/>
              </w:rPr>
              <w:t xml:space="preserve"> without fiber and adhesive C</w:t>
            </w:r>
          </w:p>
        </w:tc>
        <w:tc>
          <w:tcPr>
            <w:tcW w:w="1664" w:type="dxa"/>
            <w:vAlign w:val="center"/>
          </w:tcPr>
          <w:p w14:paraId="548BD5DF" w14:textId="77777777"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sz w:val="18"/>
                <w:szCs w:val="18"/>
              </w:rPr>
              <w:t>N=</w:t>
            </w:r>
            <w:r w:rsidRPr="00EE26F4">
              <w:rPr>
                <w:rFonts w:ascii="Arial" w:eastAsia="Arial" w:hAnsi="Arial" w:cs="Arial"/>
                <w:b/>
                <w:sz w:val="18"/>
                <w:szCs w:val="18"/>
              </w:rPr>
              <w:t xml:space="preserve"> </w:t>
            </w:r>
            <w:r w:rsidRPr="00EE26F4">
              <w:rPr>
                <w:rFonts w:ascii="Arial" w:eastAsia="Arial" w:hAnsi="Arial" w:cs="Arial"/>
                <w:sz w:val="18"/>
                <w:szCs w:val="18"/>
              </w:rPr>
              <w:t>40 divided into 8 groups, with 5 each.</w:t>
            </w:r>
          </w:p>
        </w:tc>
        <w:tc>
          <w:tcPr>
            <w:tcW w:w="1681" w:type="dxa"/>
            <w:vAlign w:val="center"/>
          </w:tcPr>
          <w:p w14:paraId="1398ADF2" w14:textId="77777777"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sz w:val="18"/>
                <w:szCs w:val="18"/>
              </w:rPr>
              <w:t>Effect of accelerated aging on color change.</w:t>
            </w:r>
          </w:p>
        </w:tc>
        <w:tc>
          <w:tcPr>
            <w:tcW w:w="2268" w:type="dxa"/>
            <w:vAlign w:val="center"/>
          </w:tcPr>
          <w:p w14:paraId="6355DFE6" w14:textId="56AAC6C7"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sz w:val="18"/>
                <w:szCs w:val="18"/>
              </w:rPr>
              <w:t>This study evaluated the effect of artificial accelerated aging (AAA) on the color change of fiber-reinforced composite restorations (FRC), direct (Z250) and indirect (</w:t>
            </w:r>
            <w:proofErr w:type="spellStart"/>
            <w:r w:rsidRPr="00EE26F4">
              <w:rPr>
                <w:rFonts w:ascii="Arial" w:eastAsia="Arial" w:hAnsi="Arial" w:cs="Arial"/>
                <w:sz w:val="18"/>
                <w:szCs w:val="18"/>
              </w:rPr>
              <w:t>Gradia</w:t>
            </w:r>
            <w:proofErr w:type="spellEnd"/>
            <w:r w:rsidRPr="00EE26F4">
              <w:rPr>
                <w:rFonts w:ascii="Arial" w:eastAsia="Arial" w:hAnsi="Arial" w:cs="Arial"/>
                <w:sz w:val="18"/>
                <w:szCs w:val="18"/>
              </w:rPr>
              <w:t xml:space="preserve">), with glass fibers (GF) or polyethylene (PF). Forty samples were divided into eight groups (four experimental and four control). Color change (ΔE) and the parameters ΔL*, </w:t>
            </w:r>
            <w:proofErr w:type="spellStart"/>
            <w:r w:rsidRPr="00EE26F4">
              <w:rPr>
                <w:rFonts w:ascii="Arial" w:eastAsia="Arial" w:hAnsi="Arial" w:cs="Arial"/>
                <w:sz w:val="18"/>
                <w:szCs w:val="18"/>
              </w:rPr>
              <w:t>Δa</w:t>
            </w:r>
            <w:proofErr w:type="spellEnd"/>
            <w:r w:rsidRPr="00EE26F4">
              <w:rPr>
                <w:rFonts w:ascii="Arial" w:eastAsia="Arial" w:hAnsi="Arial" w:cs="Arial"/>
                <w:sz w:val="18"/>
                <w:szCs w:val="18"/>
              </w:rPr>
              <w:t xml:space="preserve">*, and </w:t>
            </w:r>
            <w:proofErr w:type="spellStart"/>
            <w:r w:rsidRPr="00EE26F4">
              <w:rPr>
                <w:rFonts w:ascii="Arial" w:eastAsia="Arial" w:hAnsi="Arial" w:cs="Arial"/>
                <w:sz w:val="18"/>
                <w:szCs w:val="18"/>
              </w:rPr>
              <w:t>Δb</w:t>
            </w:r>
            <w:proofErr w:type="spellEnd"/>
            <w:r w:rsidRPr="00EE26F4">
              <w:rPr>
                <w:rFonts w:ascii="Arial" w:eastAsia="Arial" w:hAnsi="Arial" w:cs="Arial"/>
                <w:sz w:val="18"/>
                <w:szCs w:val="18"/>
              </w:rPr>
              <w:t>* were measured before and after AAA using the CIELAB system.</w:t>
            </w:r>
          </w:p>
        </w:tc>
        <w:tc>
          <w:tcPr>
            <w:tcW w:w="2977" w:type="dxa"/>
            <w:vAlign w:val="center"/>
          </w:tcPr>
          <w:p w14:paraId="707B633A" w14:textId="77777777"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sz w:val="18"/>
                <w:szCs w:val="18"/>
              </w:rPr>
              <w:t>Significant differences were found</w:t>
            </w:r>
            <w:r w:rsidRPr="00EE26F4">
              <w:rPr>
                <w:rFonts w:ascii="Arial" w:eastAsia="Arial" w:hAnsi="Arial" w:cs="Arial"/>
                <w:i/>
                <w:sz w:val="18"/>
                <w:szCs w:val="18"/>
              </w:rPr>
              <w:t xml:space="preserve"> </w:t>
            </w:r>
            <w:r w:rsidRPr="00EE26F4">
              <w:rPr>
                <w:rFonts w:ascii="Arial" w:eastAsia="Arial" w:hAnsi="Arial" w:cs="Arial"/>
                <w:sz w:val="18"/>
                <w:szCs w:val="18"/>
              </w:rPr>
              <w:t xml:space="preserve">in ΔE, ΔL, </w:t>
            </w:r>
            <w:proofErr w:type="spellStart"/>
            <w:r w:rsidRPr="00EE26F4">
              <w:rPr>
                <w:rFonts w:ascii="Arial" w:eastAsia="Arial" w:hAnsi="Arial" w:cs="Arial"/>
                <w:sz w:val="18"/>
                <w:szCs w:val="18"/>
              </w:rPr>
              <w:t>Δa</w:t>
            </w:r>
            <w:proofErr w:type="spellEnd"/>
            <w:r w:rsidRPr="00EE26F4">
              <w:rPr>
                <w:rFonts w:ascii="Arial" w:eastAsia="Arial" w:hAnsi="Arial" w:cs="Arial"/>
                <w:sz w:val="18"/>
                <w:szCs w:val="18"/>
              </w:rPr>
              <w:t xml:space="preserve"> and </w:t>
            </w:r>
            <w:proofErr w:type="spellStart"/>
            <w:r w:rsidRPr="00EE26F4">
              <w:rPr>
                <w:rFonts w:ascii="Arial" w:eastAsia="Arial" w:hAnsi="Arial" w:cs="Arial"/>
                <w:sz w:val="18"/>
                <w:szCs w:val="18"/>
              </w:rPr>
              <w:t>Δb</w:t>
            </w:r>
            <w:proofErr w:type="spellEnd"/>
            <w:r w:rsidRPr="00EE26F4">
              <w:rPr>
                <w:rFonts w:ascii="Arial" w:eastAsia="Arial" w:hAnsi="Arial" w:cs="Arial"/>
                <w:sz w:val="18"/>
                <w:szCs w:val="18"/>
              </w:rPr>
              <w:t>* between groups after AAA. Most of the studied samples showed an increase in clarity and a red-yellow shift after AAA.</w:t>
            </w:r>
          </w:p>
        </w:tc>
      </w:tr>
      <w:tr w:rsidR="00EE26F4" w:rsidRPr="00EE26F4" w14:paraId="31039E7B" w14:textId="77777777" w:rsidTr="00EE26F4">
        <w:trPr>
          <w:trHeight w:val="2738"/>
        </w:trPr>
        <w:tc>
          <w:tcPr>
            <w:tcW w:w="1620" w:type="dxa"/>
            <w:vAlign w:val="center"/>
          </w:tcPr>
          <w:p w14:paraId="6EC94786" w14:textId="7098ABD0" w:rsidR="00EE26F4" w:rsidRPr="009E0B72" w:rsidRDefault="00EE26F4" w:rsidP="00EE26F4">
            <w:pPr>
              <w:ind w:left="140"/>
              <w:jc w:val="center"/>
              <w:rPr>
                <w:rFonts w:ascii="Arial" w:eastAsia="Arial" w:hAnsi="Arial" w:cs="Arial"/>
                <w:b/>
                <w:sz w:val="18"/>
                <w:szCs w:val="18"/>
                <w:lang w:val="fr-FR"/>
              </w:rPr>
            </w:pPr>
            <w:proofErr w:type="spellStart"/>
            <w:r w:rsidRPr="009E0B72">
              <w:rPr>
                <w:rFonts w:ascii="Arial" w:eastAsia="Arial" w:hAnsi="Arial" w:cs="Arial"/>
                <w:b/>
                <w:sz w:val="18"/>
                <w:szCs w:val="18"/>
                <w:lang w:val="fr-FR"/>
              </w:rPr>
              <w:t>Tabatabaei</w:t>
            </w:r>
            <w:proofErr w:type="spellEnd"/>
            <w:r w:rsidRPr="009E0B72">
              <w:rPr>
                <w:rFonts w:ascii="Arial" w:eastAsia="Arial" w:hAnsi="Arial" w:cs="Arial"/>
                <w:b/>
                <w:sz w:val="18"/>
                <w:szCs w:val="18"/>
                <w:lang w:val="fr-FR"/>
              </w:rPr>
              <w:t>, M.H. et al., 2016</w:t>
            </w:r>
          </w:p>
        </w:tc>
        <w:tc>
          <w:tcPr>
            <w:tcW w:w="1633" w:type="dxa"/>
            <w:vAlign w:val="center"/>
          </w:tcPr>
          <w:p w14:paraId="3AC9D1B9" w14:textId="77777777"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sz w:val="18"/>
                <w:szCs w:val="18"/>
              </w:rPr>
              <w:t>To evaluate the effect of artificial accelerated aging (AAA) on the color change of direct and indirect fiber-reinforced composite (FRC) restorations.</w:t>
            </w:r>
          </w:p>
        </w:tc>
        <w:tc>
          <w:tcPr>
            <w:tcW w:w="1469" w:type="dxa"/>
            <w:vAlign w:val="center"/>
          </w:tcPr>
          <w:p w14:paraId="6B7F6B37" w14:textId="2C043D81"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sz w:val="18"/>
                <w:szCs w:val="18"/>
              </w:rPr>
              <w:t>In vitro</w:t>
            </w:r>
          </w:p>
        </w:tc>
        <w:tc>
          <w:tcPr>
            <w:tcW w:w="1814" w:type="dxa"/>
            <w:vAlign w:val="center"/>
          </w:tcPr>
          <w:p w14:paraId="124101FD" w14:textId="77777777"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sz w:val="18"/>
                <w:szCs w:val="18"/>
              </w:rPr>
              <w:t>Direct (</w:t>
            </w:r>
            <w:proofErr w:type="spellStart"/>
            <w:r w:rsidRPr="00EE26F4">
              <w:rPr>
                <w:rFonts w:ascii="Arial" w:eastAsia="Arial" w:hAnsi="Arial" w:cs="Arial"/>
                <w:sz w:val="18"/>
                <w:szCs w:val="18"/>
              </w:rPr>
              <w:t>Filtek</w:t>
            </w:r>
            <w:proofErr w:type="spellEnd"/>
            <w:r w:rsidRPr="00EE26F4">
              <w:rPr>
                <w:rFonts w:ascii="Arial" w:eastAsia="Arial" w:hAnsi="Arial" w:cs="Arial"/>
                <w:sz w:val="18"/>
                <w:szCs w:val="18"/>
              </w:rPr>
              <w:t xml:space="preserve"> Z250) and indirect (</w:t>
            </w:r>
            <w:proofErr w:type="spellStart"/>
            <w:r w:rsidRPr="00EE26F4">
              <w:rPr>
                <w:rFonts w:ascii="Arial" w:eastAsia="Arial" w:hAnsi="Arial" w:cs="Arial"/>
                <w:sz w:val="18"/>
                <w:szCs w:val="18"/>
              </w:rPr>
              <w:t>Gradia</w:t>
            </w:r>
            <w:proofErr w:type="spellEnd"/>
            <w:r w:rsidRPr="00EE26F4">
              <w:rPr>
                <w:rFonts w:ascii="Arial" w:eastAsia="Arial" w:hAnsi="Arial" w:cs="Arial"/>
                <w:sz w:val="18"/>
                <w:szCs w:val="18"/>
              </w:rPr>
              <w:t>) composite resins with four types of reinforcement: without fiber, fiberglass, polyethylene fiber and braided fiber, totaling eight groups (n = 5 per group).</w:t>
            </w:r>
          </w:p>
        </w:tc>
        <w:tc>
          <w:tcPr>
            <w:tcW w:w="1664" w:type="dxa"/>
            <w:vAlign w:val="center"/>
          </w:tcPr>
          <w:p w14:paraId="62F5F4B1" w14:textId="77777777"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sz w:val="18"/>
                <w:szCs w:val="18"/>
              </w:rPr>
              <w:t>N</w:t>
            </w:r>
            <w:r w:rsidRPr="00EE26F4">
              <w:rPr>
                <w:rFonts w:ascii="Arial" w:eastAsia="Arial" w:hAnsi="Arial" w:cs="Arial"/>
                <w:b/>
                <w:sz w:val="18"/>
                <w:szCs w:val="18"/>
              </w:rPr>
              <w:t xml:space="preserve"> = </w:t>
            </w:r>
            <w:r w:rsidRPr="00EE26F4">
              <w:rPr>
                <w:rFonts w:ascii="Arial" w:eastAsia="Arial" w:hAnsi="Arial" w:cs="Arial"/>
                <w:sz w:val="18"/>
                <w:szCs w:val="18"/>
              </w:rPr>
              <w:t>40 samples manufactured and divided into eight groups (n = 5).</w:t>
            </w:r>
          </w:p>
        </w:tc>
        <w:tc>
          <w:tcPr>
            <w:tcW w:w="1681" w:type="dxa"/>
            <w:vAlign w:val="center"/>
          </w:tcPr>
          <w:p w14:paraId="10B90378" w14:textId="77777777"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sz w:val="18"/>
                <w:szCs w:val="18"/>
              </w:rPr>
              <w:t>Effect of accelerated aging on the color change of fiber-reinforced composite restorations</w:t>
            </w:r>
          </w:p>
        </w:tc>
        <w:tc>
          <w:tcPr>
            <w:tcW w:w="2268" w:type="dxa"/>
            <w:vAlign w:val="center"/>
          </w:tcPr>
          <w:p w14:paraId="24C6CBEA" w14:textId="77777777"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sz w:val="18"/>
                <w:szCs w:val="18"/>
              </w:rPr>
              <w:t>Four groups served as experimental groups and the remaining four served as controls. Color change and color parameters were read at baseline and after AAA using the CIELAB system.</w:t>
            </w:r>
          </w:p>
        </w:tc>
        <w:tc>
          <w:tcPr>
            <w:tcW w:w="2977" w:type="dxa"/>
            <w:vAlign w:val="center"/>
          </w:tcPr>
          <w:p w14:paraId="7989A81F" w14:textId="77777777"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sz w:val="18"/>
                <w:szCs w:val="18"/>
              </w:rPr>
              <w:t>Significant differences were found between color change and color parameters between groups after EAA. Most of the samples studied demonstrated an increase in lightness and a red-yellow shift after EAA.</w:t>
            </w:r>
          </w:p>
        </w:tc>
      </w:tr>
      <w:tr w:rsidR="00EE26F4" w:rsidRPr="00EE26F4" w14:paraId="6CEAD67F" w14:textId="77777777" w:rsidTr="00EE26F4">
        <w:trPr>
          <w:trHeight w:val="4675"/>
        </w:trPr>
        <w:tc>
          <w:tcPr>
            <w:tcW w:w="1620" w:type="dxa"/>
            <w:vAlign w:val="center"/>
          </w:tcPr>
          <w:p w14:paraId="72E399D7" w14:textId="77777777" w:rsidR="00EE26F4" w:rsidRPr="00EE26F4" w:rsidRDefault="00EE26F4" w:rsidP="00EE26F4">
            <w:pPr>
              <w:ind w:left="140"/>
              <w:jc w:val="center"/>
              <w:rPr>
                <w:rFonts w:ascii="Arial" w:eastAsia="Arial" w:hAnsi="Arial" w:cs="Arial"/>
                <w:b/>
                <w:sz w:val="18"/>
                <w:szCs w:val="18"/>
              </w:rPr>
            </w:pPr>
            <w:proofErr w:type="spellStart"/>
            <w:r w:rsidRPr="00EE26F4">
              <w:rPr>
                <w:rFonts w:ascii="Arial" w:eastAsia="Arial" w:hAnsi="Arial" w:cs="Arial"/>
                <w:b/>
                <w:sz w:val="18"/>
                <w:szCs w:val="18"/>
              </w:rPr>
              <w:lastRenderedPageBreak/>
              <w:t>Derchi</w:t>
            </w:r>
            <w:proofErr w:type="spellEnd"/>
            <w:r w:rsidRPr="00EE26F4">
              <w:rPr>
                <w:rFonts w:ascii="Arial" w:eastAsia="Arial" w:hAnsi="Arial" w:cs="Arial"/>
                <w:b/>
                <w:sz w:val="18"/>
                <w:szCs w:val="18"/>
              </w:rPr>
              <w:t>, G. et al., 2017</w:t>
            </w:r>
          </w:p>
        </w:tc>
        <w:tc>
          <w:tcPr>
            <w:tcW w:w="1633" w:type="dxa"/>
            <w:vAlign w:val="center"/>
          </w:tcPr>
          <w:p w14:paraId="2091C00C" w14:textId="77777777"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sz w:val="18"/>
                <w:szCs w:val="18"/>
              </w:rPr>
              <w:t>The aim of this in vitro study was to determine the affinity of bacterial biofilm for directly and indirectly placed dental restorative composite resins.</w:t>
            </w:r>
          </w:p>
        </w:tc>
        <w:tc>
          <w:tcPr>
            <w:tcW w:w="1469" w:type="dxa"/>
            <w:vAlign w:val="center"/>
          </w:tcPr>
          <w:p w14:paraId="12815844" w14:textId="77777777"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sz w:val="18"/>
                <w:szCs w:val="18"/>
              </w:rPr>
              <w:t>In vitro</w:t>
            </w:r>
          </w:p>
        </w:tc>
        <w:tc>
          <w:tcPr>
            <w:tcW w:w="1814" w:type="dxa"/>
            <w:vAlign w:val="center"/>
          </w:tcPr>
          <w:p w14:paraId="0723DC42" w14:textId="77777777"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sz w:val="18"/>
                <w:szCs w:val="18"/>
              </w:rPr>
              <w:t xml:space="preserve">Five direct composite resins were selected: Venus Diamond (Heraeus </w:t>
            </w:r>
            <w:proofErr w:type="spellStart"/>
            <w:r w:rsidRPr="00EE26F4">
              <w:rPr>
                <w:rFonts w:ascii="Arial" w:eastAsia="Arial" w:hAnsi="Arial" w:cs="Arial"/>
                <w:sz w:val="18"/>
                <w:szCs w:val="18"/>
              </w:rPr>
              <w:t>Kultzer</w:t>
            </w:r>
            <w:proofErr w:type="spellEnd"/>
            <w:r w:rsidRPr="00EE26F4">
              <w:rPr>
                <w:rFonts w:ascii="Arial" w:eastAsia="Arial" w:hAnsi="Arial" w:cs="Arial"/>
                <w:sz w:val="18"/>
                <w:szCs w:val="18"/>
              </w:rPr>
              <w:t xml:space="preserve">), Adonis (Sweden and Martina), </w:t>
            </w:r>
            <w:proofErr w:type="spellStart"/>
            <w:r w:rsidRPr="00EE26F4">
              <w:rPr>
                <w:rFonts w:ascii="Arial" w:eastAsia="Arial" w:hAnsi="Arial" w:cs="Arial"/>
                <w:sz w:val="18"/>
                <w:szCs w:val="18"/>
              </w:rPr>
              <w:t>Optifil</w:t>
            </w:r>
            <w:proofErr w:type="spellEnd"/>
            <w:r w:rsidRPr="00EE26F4">
              <w:rPr>
                <w:rFonts w:ascii="Arial" w:eastAsia="Arial" w:hAnsi="Arial" w:cs="Arial"/>
                <w:sz w:val="18"/>
                <w:szCs w:val="18"/>
              </w:rPr>
              <w:t xml:space="preserve"> (IDS Dental), Enamel Plus </w:t>
            </w:r>
            <w:proofErr w:type="spellStart"/>
            <w:r w:rsidRPr="00EE26F4">
              <w:rPr>
                <w:rFonts w:ascii="Arial" w:eastAsia="Arial" w:hAnsi="Arial" w:cs="Arial"/>
                <w:sz w:val="18"/>
                <w:szCs w:val="18"/>
              </w:rPr>
              <w:t>HRi</w:t>
            </w:r>
            <w:proofErr w:type="spellEnd"/>
            <w:r w:rsidRPr="00EE26F4">
              <w:rPr>
                <w:rFonts w:ascii="Arial" w:eastAsia="Arial" w:hAnsi="Arial" w:cs="Arial"/>
                <w:sz w:val="18"/>
                <w:szCs w:val="18"/>
              </w:rPr>
              <w:t xml:space="preserve"> (</w:t>
            </w:r>
            <w:proofErr w:type="spellStart"/>
            <w:r w:rsidRPr="00EE26F4">
              <w:rPr>
                <w:rFonts w:ascii="Arial" w:eastAsia="Arial" w:hAnsi="Arial" w:cs="Arial"/>
                <w:sz w:val="18"/>
                <w:szCs w:val="18"/>
              </w:rPr>
              <w:t>Micerium</w:t>
            </w:r>
            <w:proofErr w:type="spellEnd"/>
            <w:r w:rsidRPr="00EE26F4">
              <w:rPr>
                <w:rFonts w:ascii="Arial" w:eastAsia="Arial" w:hAnsi="Arial" w:cs="Arial"/>
                <w:sz w:val="18"/>
                <w:szCs w:val="18"/>
              </w:rPr>
              <w:t xml:space="preserve">), and </w:t>
            </w:r>
            <w:proofErr w:type="spellStart"/>
            <w:r w:rsidRPr="00EE26F4">
              <w:rPr>
                <w:rFonts w:ascii="Arial" w:eastAsia="Arial" w:hAnsi="Arial" w:cs="Arial"/>
                <w:sz w:val="18"/>
                <w:szCs w:val="18"/>
              </w:rPr>
              <w:t>Clearfil</w:t>
            </w:r>
            <w:proofErr w:type="spellEnd"/>
            <w:r w:rsidRPr="00EE26F4">
              <w:rPr>
                <w:rFonts w:ascii="Arial" w:eastAsia="Arial" w:hAnsi="Arial" w:cs="Arial"/>
                <w:sz w:val="18"/>
                <w:szCs w:val="18"/>
              </w:rPr>
              <w:t xml:space="preserve"> Majesty Esthetic (Kuraray). In addition, three indirect composite resins were chosen: </w:t>
            </w:r>
            <w:proofErr w:type="spellStart"/>
            <w:r w:rsidRPr="00EE26F4">
              <w:rPr>
                <w:rFonts w:ascii="Arial" w:eastAsia="Arial" w:hAnsi="Arial" w:cs="Arial"/>
                <w:sz w:val="18"/>
                <w:szCs w:val="18"/>
              </w:rPr>
              <w:t>Gradia</w:t>
            </w:r>
            <w:proofErr w:type="spellEnd"/>
            <w:r w:rsidRPr="00EE26F4">
              <w:rPr>
                <w:rFonts w:ascii="Arial" w:eastAsia="Arial" w:hAnsi="Arial" w:cs="Arial"/>
                <w:sz w:val="18"/>
                <w:szCs w:val="18"/>
              </w:rPr>
              <w:t xml:space="preserve"> (GC Corp), </w:t>
            </w:r>
            <w:proofErr w:type="spellStart"/>
            <w:r w:rsidRPr="00EE26F4">
              <w:rPr>
                <w:rFonts w:ascii="Arial" w:eastAsia="Arial" w:hAnsi="Arial" w:cs="Arial"/>
                <w:sz w:val="18"/>
                <w:szCs w:val="18"/>
              </w:rPr>
              <w:t>Estenia</w:t>
            </w:r>
            <w:proofErr w:type="spellEnd"/>
            <w:r w:rsidRPr="00EE26F4">
              <w:rPr>
                <w:rFonts w:ascii="Arial" w:eastAsia="Arial" w:hAnsi="Arial" w:cs="Arial"/>
                <w:sz w:val="18"/>
                <w:szCs w:val="18"/>
              </w:rPr>
              <w:t xml:space="preserve"> (Kuraray), and Signum (Heraeus </w:t>
            </w:r>
            <w:proofErr w:type="spellStart"/>
            <w:r w:rsidRPr="00EE26F4">
              <w:rPr>
                <w:rFonts w:ascii="Arial" w:eastAsia="Arial" w:hAnsi="Arial" w:cs="Arial"/>
                <w:sz w:val="18"/>
                <w:szCs w:val="18"/>
              </w:rPr>
              <w:t>Kultzer</w:t>
            </w:r>
            <w:proofErr w:type="spellEnd"/>
            <w:r w:rsidRPr="00EE26F4">
              <w:rPr>
                <w:rFonts w:ascii="Arial" w:eastAsia="Arial" w:hAnsi="Arial" w:cs="Arial"/>
                <w:sz w:val="18"/>
                <w:szCs w:val="18"/>
              </w:rPr>
              <w:t>).</w:t>
            </w:r>
          </w:p>
        </w:tc>
        <w:tc>
          <w:tcPr>
            <w:tcW w:w="1664" w:type="dxa"/>
            <w:vAlign w:val="center"/>
          </w:tcPr>
          <w:p w14:paraId="05C58242" w14:textId="77777777"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sz w:val="18"/>
                <w:szCs w:val="18"/>
              </w:rPr>
              <w:t>N=</w:t>
            </w:r>
            <w:r w:rsidRPr="00EE26F4">
              <w:rPr>
                <w:rFonts w:ascii="Arial" w:eastAsia="Arial" w:hAnsi="Arial" w:cs="Arial"/>
                <w:b/>
                <w:sz w:val="18"/>
                <w:szCs w:val="18"/>
              </w:rPr>
              <w:t xml:space="preserve"> </w:t>
            </w:r>
            <w:r w:rsidRPr="00EE26F4">
              <w:rPr>
                <w:rFonts w:ascii="Arial" w:eastAsia="Arial" w:hAnsi="Arial" w:cs="Arial"/>
                <w:sz w:val="18"/>
                <w:szCs w:val="18"/>
              </w:rPr>
              <w:t>184 specimens, divided into 7 groups (resin), with 23 each.</w:t>
            </w:r>
          </w:p>
        </w:tc>
        <w:tc>
          <w:tcPr>
            <w:tcW w:w="1681" w:type="dxa"/>
            <w:vAlign w:val="center"/>
          </w:tcPr>
          <w:p w14:paraId="0522CCE3" w14:textId="77777777"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sz w:val="18"/>
                <w:szCs w:val="18"/>
              </w:rPr>
              <w:t>Affinity of bacterial biofilm for resins.</w:t>
            </w:r>
          </w:p>
        </w:tc>
        <w:tc>
          <w:tcPr>
            <w:tcW w:w="2268" w:type="dxa"/>
            <w:vAlign w:val="center"/>
          </w:tcPr>
          <w:p w14:paraId="231AC8B4" w14:textId="39B849C4"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sz w:val="18"/>
                <w:szCs w:val="18"/>
              </w:rPr>
              <w:t xml:space="preserve">Five direct composite resins (Venus Diamond, Adonis, </w:t>
            </w:r>
            <w:proofErr w:type="spellStart"/>
            <w:r w:rsidRPr="00EE26F4">
              <w:rPr>
                <w:rFonts w:ascii="Arial" w:eastAsia="Arial" w:hAnsi="Arial" w:cs="Arial"/>
                <w:sz w:val="18"/>
                <w:szCs w:val="18"/>
              </w:rPr>
              <w:t>Optifil</w:t>
            </w:r>
            <w:proofErr w:type="spellEnd"/>
            <w:r w:rsidRPr="00EE26F4">
              <w:rPr>
                <w:rFonts w:ascii="Arial" w:eastAsia="Arial" w:hAnsi="Arial" w:cs="Arial"/>
                <w:sz w:val="18"/>
                <w:szCs w:val="18"/>
              </w:rPr>
              <w:t xml:space="preserve">, Enamel Plus </w:t>
            </w:r>
            <w:proofErr w:type="spellStart"/>
            <w:r w:rsidRPr="00EE26F4">
              <w:rPr>
                <w:rFonts w:ascii="Arial" w:eastAsia="Arial" w:hAnsi="Arial" w:cs="Arial"/>
                <w:sz w:val="18"/>
                <w:szCs w:val="18"/>
              </w:rPr>
              <w:t>HRi</w:t>
            </w:r>
            <w:proofErr w:type="spellEnd"/>
            <w:r w:rsidRPr="00EE26F4">
              <w:rPr>
                <w:rFonts w:ascii="Arial" w:eastAsia="Arial" w:hAnsi="Arial" w:cs="Arial"/>
                <w:sz w:val="18"/>
                <w:szCs w:val="18"/>
              </w:rPr>
              <w:t xml:space="preserve">, </w:t>
            </w:r>
            <w:proofErr w:type="spellStart"/>
            <w:r w:rsidRPr="00EE26F4">
              <w:rPr>
                <w:rFonts w:ascii="Arial" w:eastAsia="Arial" w:hAnsi="Arial" w:cs="Arial"/>
                <w:sz w:val="18"/>
                <w:szCs w:val="18"/>
              </w:rPr>
              <w:t>Clearfil</w:t>
            </w:r>
            <w:proofErr w:type="spellEnd"/>
            <w:r w:rsidRPr="00EE26F4">
              <w:rPr>
                <w:rFonts w:ascii="Arial" w:eastAsia="Arial" w:hAnsi="Arial" w:cs="Arial"/>
                <w:sz w:val="18"/>
                <w:szCs w:val="18"/>
              </w:rPr>
              <w:t xml:space="preserve"> Majesty Esthetic) and three indirect composite resins (</w:t>
            </w:r>
            <w:proofErr w:type="spellStart"/>
            <w:r w:rsidRPr="00EE26F4">
              <w:rPr>
                <w:rFonts w:ascii="Arial" w:eastAsia="Arial" w:hAnsi="Arial" w:cs="Arial"/>
                <w:sz w:val="18"/>
                <w:szCs w:val="18"/>
              </w:rPr>
              <w:t>Gradia</w:t>
            </w:r>
            <w:proofErr w:type="spellEnd"/>
            <w:r w:rsidRPr="00EE26F4">
              <w:rPr>
                <w:rFonts w:ascii="Arial" w:eastAsia="Arial" w:hAnsi="Arial" w:cs="Arial"/>
                <w:sz w:val="18"/>
                <w:szCs w:val="18"/>
              </w:rPr>
              <w:t xml:space="preserve">, </w:t>
            </w:r>
            <w:proofErr w:type="spellStart"/>
            <w:r w:rsidRPr="00EE26F4">
              <w:rPr>
                <w:rFonts w:ascii="Arial" w:eastAsia="Arial" w:hAnsi="Arial" w:cs="Arial"/>
                <w:sz w:val="18"/>
                <w:szCs w:val="18"/>
              </w:rPr>
              <w:t>Estenia</w:t>
            </w:r>
            <w:proofErr w:type="spellEnd"/>
            <w:r w:rsidRPr="00EE26F4">
              <w:rPr>
                <w:rFonts w:ascii="Arial" w:eastAsia="Arial" w:hAnsi="Arial" w:cs="Arial"/>
                <w:sz w:val="18"/>
                <w:szCs w:val="18"/>
              </w:rPr>
              <w:t>, Signum) were evaluated. The materials were incubated in unstimulated saliva for 1 day for biofilm formation. Bacterial cells were counted and surface morphology analyzed by atomic force microscopy.</w:t>
            </w:r>
          </w:p>
        </w:tc>
        <w:tc>
          <w:tcPr>
            <w:tcW w:w="2977" w:type="dxa"/>
            <w:vAlign w:val="center"/>
          </w:tcPr>
          <w:p w14:paraId="5592699F" w14:textId="77777777"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sz w:val="18"/>
                <w:szCs w:val="18"/>
              </w:rPr>
              <w:t xml:space="preserve">Indirect composite resins showed lower bacterial adhesion than direct composite resins. Among indirect composite resins, </w:t>
            </w:r>
            <w:proofErr w:type="spellStart"/>
            <w:r w:rsidRPr="00EE26F4">
              <w:rPr>
                <w:rFonts w:ascii="Arial" w:eastAsia="Arial" w:hAnsi="Arial" w:cs="Arial"/>
                <w:sz w:val="18"/>
                <w:szCs w:val="18"/>
              </w:rPr>
              <w:t>Gradia</w:t>
            </w:r>
            <w:proofErr w:type="spellEnd"/>
            <w:r w:rsidRPr="00EE26F4">
              <w:rPr>
                <w:rFonts w:ascii="Arial" w:eastAsia="Arial" w:hAnsi="Arial" w:cs="Arial"/>
                <w:sz w:val="18"/>
                <w:szCs w:val="18"/>
              </w:rPr>
              <w:t xml:space="preserve"> had significantly lower adhesion than </w:t>
            </w:r>
            <w:proofErr w:type="spellStart"/>
            <w:r w:rsidRPr="00EE26F4">
              <w:rPr>
                <w:rFonts w:ascii="Arial" w:eastAsia="Arial" w:hAnsi="Arial" w:cs="Arial"/>
                <w:sz w:val="18"/>
                <w:szCs w:val="18"/>
              </w:rPr>
              <w:t>Estenia</w:t>
            </w:r>
            <w:proofErr w:type="spellEnd"/>
            <w:r w:rsidRPr="00EE26F4">
              <w:rPr>
                <w:rFonts w:ascii="Arial" w:eastAsia="Arial" w:hAnsi="Arial" w:cs="Arial"/>
                <w:sz w:val="18"/>
                <w:szCs w:val="18"/>
              </w:rPr>
              <w:t xml:space="preserve"> or Signum. There was a partial correlation between resin roughness and bacterial adhesion, especially considering the second and third order moments of the height distributions.</w:t>
            </w:r>
          </w:p>
        </w:tc>
      </w:tr>
      <w:tr w:rsidR="00EE26F4" w:rsidRPr="00EE26F4" w14:paraId="06BCCE32" w14:textId="77777777" w:rsidTr="00EE26F4">
        <w:trPr>
          <w:trHeight w:val="412"/>
        </w:trPr>
        <w:tc>
          <w:tcPr>
            <w:tcW w:w="1620" w:type="dxa"/>
            <w:vAlign w:val="center"/>
          </w:tcPr>
          <w:p w14:paraId="0833A8E5" w14:textId="77777777" w:rsidR="00EE26F4" w:rsidRPr="00EE26F4" w:rsidRDefault="00EE26F4" w:rsidP="00EE26F4">
            <w:pPr>
              <w:ind w:left="140"/>
              <w:jc w:val="center"/>
              <w:rPr>
                <w:rFonts w:ascii="Arial" w:eastAsia="Arial" w:hAnsi="Arial" w:cs="Arial"/>
                <w:b/>
                <w:sz w:val="18"/>
                <w:szCs w:val="18"/>
              </w:rPr>
            </w:pPr>
            <w:r w:rsidRPr="00EE26F4">
              <w:rPr>
                <w:rFonts w:ascii="Arial" w:eastAsia="Arial" w:hAnsi="Arial" w:cs="Arial"/>
                <w:b/>
                <w:sz w:val="18"/>
                <w:szCs w:val="18"/>
              </w:rPr>
              <w:t>Naka, O. et al., 2018</w:t>
            </w:r>
          </w:p>
        </w:tc>
        <w:tc>
          <w:tcPr>
            <w:tcW w:w="1633" w:type="dxa"/>
            <w:vAlign w:val="center"/>
          </w:tcPr>
          <w:p w14:paraId="40E31C1A" w14:textId="77777777"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sz w:val="18"/>
                <w:szCs w:val="18"/>
              </w:rPr>
              <w:t xml:space="preserve">To evaluate whether adhesive composite resin restorations can effectively mobilize tooth segments in teeth with a fissure under load, exploring the impact of restoration type (direct versus indirect composite resin) and restoration design (inlay versus </w:t>
            </w:r>
            <w:proofErr w:type="spellStart"/>
            <w:r w:rsidRPr="00EE26F4">
              <w:rPr>
                <w:rFonts w:ascii="Arial" w:eastAsia="Arial" w:hAnsi="Arial" w:cs="Arial"/>
                <w:sz w:val="18"/>
                <w:szCs w:val="18"/>
              </w:rPr>
              <w:t>onlay</w:t>
            </w:r>
            <w:proofErr w:type="spellEnd"/>
            <w:r w:rsidRPr="00EE26F4">
              <w:rPr>
                <w:rFonts w:ascii="Arial" w:eastAsia="Arial" w:hAnsi="Arial" w:cs="Arial"/>
                <w:sz w:val="18"/>
                <w:szCs w:val="18"/>
              </w:rPr>
              <w:t xml:space="preserve">) </w:t>
            </w:r>
            <w:r w:rsidRPr="00EE26F4">
              <w:rPr>
                <w:rFonts w:ascii="Arial" w:eastAsia="Arial" w:hAnsi="Arial" w:cs="Arial"/>
                <w:sz w:val="18"/>
                <w:szCs w:val="18"/>
              </w:rPr>
              <w:lastRenderedPageBreak/>
              <w:t>on fatigue resistance.</w:t>
            </w:r>
          </w:p>
        </w:tc>
        <w:tc>
          <w:tcPr>
            <w:tcW w:w="1469" w:type="dxa"/>
            <w:vAlign w:val="center"/>
          </w:tcPr>
          <w:p w14:paraId="63B9F326" w14:textId="77777777"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sz w:val="18"/>
                <w:szCs w:val="18"/>
              </w:rPr>
              <w:lastRenderedPageBreak/>
              <w:t>In vitro</w:t>
            </w:r>
          </w:p>
        </w:tc>
        <w:tc>
          <w:tcPr>
            <w:tcW w:w="1814" w:type="dxa"/>
            <w:vAlign w:val="center"/>
          </w:tcPr>
          <w:p w14:paraId="6FB1F39C" w14:textId="77777777"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sz w:val="18"/>
                <w:szCs w:val="18"/>
              </w:rPr>
              <w:t>DCI Group: Direct Adhesive Composite Resin Inlays</w:t>
            </w:r>
            <w:r w:rsidRPr="00EE26F4">
              <w:rPr>
                <w:rFonts w:ascii="Arial" w:eastAsia="Arial" w:hAnsi="Arial" w:cs="Arial"/>
                <w:sz w:val="18"/>
                <w:szCs w:val="18"/>
              </w:rPr>
              <w:br/>
              <w:t xml:space="preserve">  DCO Group: Direct Adhesive Composite Resin </w:t>
            </w:r>
            <w:proofErr w:type="spellStart"/>
            <w:r w:rsidRPr="00EE26F4">
              <w:rPr>
                <w:rFonts w:ascii="Arial" w:eastAsia="Arial" w:hAnsi="Arial" w:cs="Arial"/>
                <w:sz w:val="18"/>
                <w:szCs w:val="18"/>
              </w:rPr>
              <w:t>Onlays</w:t>
            </w:r>
            <w:proofErr w:type="spellEnd"/>
            <w:r w:rsidRPr="00EE26F4">
              <w:rPr>
                <w:rFonts w:ascii="Arial" w:eastAsia="Arial" w:hAnsi="Arial" w:cs="Arial"/>
                <w:sz w:val="18"/>
                <w:szCs w:val="18"/>
              </w:rPr>
              <w:br/>
              <w:t xml:space="preserve">  ICI Group: Adhesive Indirect Composite Resin Inlays</w:t>
            </w:r>
            <w:r w:rsidRPr="00EE26F4">
              <w:rPr>
                <w:rFonts w:ascii="Arial" w:eastAsia="Arial" w:hAnsi="Arial" w:cs="Arial"/>
                <w:sz w:val="18"/>
                <w:szCs w:val="18"/>
              </w:rPr>
              <w:br/>
              <w:t xml:space="preserve">  ICO Group: Adhesive Indirect Composite Resin </w:t>
            </w:r>
            <w:proofErr w:type="spellStart"/>
            <w:r w:rsidRPr="00EE26F4">
              <w:rPr>
                <w:rFonts w:ascii="Arial" w:eastAsia="Arial" w:hAnsi="Arial" w:cs="Arial"/>
                <w:sz w:val="18"/>
                <w:szCs w:val="18"/>
              </w:rPr>
              <w:t>Onlays</w:t>
            </w:r>
            <w:proofErr w:type="spellEnd"/>
          </w:p>
          <w:p w14:paraId="18DB9CB6" w14:textId="77777777" w:rsidR="00EE26F4" w:rsidRPr="00EE26F4" w:rsidRDefault="00EE26F4" w:rsidP="00EE26F4">
            <w:pPr>
              <w:ind w:left="140"/>
              <w:jc w:val="center"/>
              <w:rPr>
                <w:rFonts w:ascii="Arial" w:eastAsia="Arial" w:hAnsi="Arial" w:cs="Arial"/>
                <w:sz w:val="18"/>
                <w:szCs w:val="18"/>
              </w:rPr>
            </w:pPr>
          </w:p>
        </w:tc>
        <w:tc>
          <w:tcPr>
            <w:tcW w:w="1664" w:type="dxa"/>
            <w:vAlign w:val="center"/>
          </w:tcPr>
          <w:p w14:paraId="3C17C151" w14:textId="6DF2BE1D"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sz w:val="18"/>
                <w:szCs w:val="18"/>
              </w:rPr>
              <w:t>N= 24 teeth were used to test different types of direct and indirect resin composite restorations</w:t>
            </w:r>
          </w:p>
        </w:tc>
        <w:tc>
          <w:tcPr>
            <w:tcW w:w="1681" w:type="dxa"/>
            <w:vAlign w:val="center"/>
          </w:tcPr>
          <w:p w14:paraId="76601A09" w14:textId="77777777"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sz w:val="18"/>
                <w:szCs w:val="18"/>
              </w:rPr>
              <w:t>Fatigue resistance.</w:t>
            </w:r>
          </w:p>
        </w:tc>
        <w:tc>
          <w:tcPr>
            <w:tcW w:w="2268" w:type="dxa"/>
            <w:vAlign w:val="center"/>
          </w:tcPr>
          <w:p w14:paraId="5FD3D4C3" w14:textId="77777777"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sz w:val="18"/>
                <w:szCs w:val="18"/>
              </w:rPr>
              <w:t xml:space="preserve">Healthy human third molars were subjected to large </w:t>
            </w:r>
            <w:proofErr w:type="spellStart"/>
            <w:r w:rsidRPr="00EE26F4">
              <w:rPr>
                <w:rFonts w:ascii="Arial" w:eastAsia="Arial" w:hAnsi="Arial" w:cs="Arial"/>
                <w:sz w:val="18"/>
                <w:szCs w:val="18"/>
              </w:rPr>
              <w:t>mesio-occlusodistal</w:t>
            </w:r>
            <w:proofErr w:type="spellEnd"/>
            <w:r w:rsidRPr="00EE26F4">
              <w:rPr>
                <w:rFonts w:ascii="Arial" w:eastAsia="Arial" w:hAnsi="Arial" w:cs="Arial"/>
                <w:sz w:val="18"/>
                <w:szCs w:val="18"/>
              </w:rPr>
              <w:t xml:space="preserve"> preparations, and a groove was cut to simulate a fissure. Standardized procedures were adopted, and measurements were taken during tooth selection. The teeth were randomly assigned to four groups. The specimens were subjected to cyclic loading and loaded until fracture or a maximum of 185,000 cycles. The </w:t>
            </w:r>
            <w:r w:rsidRPr="00EE26F4">
              <w:rPr>
                <w:rFonts w:ascii="Arial" w:eastAsia="Arial" w:hAnsi="Arial" w:cs="Arial"/>
                <w:sz w:val="18"/>
                <w:szCs w:val="18"/>
              </w:rPr>
              <w:lastRenderedPageBreak/>
              <w:t>failure mode was recorded.</w:t>
            </w:r>
          </w:p>
        </w:tc>
        <w:tc>
          <w:tcPr>
            <w:tcW w:w="2977" w:type="dxa"/>
            <w:vAlign w:val="center"/>
          </w:tcPr>
          <w:p w14:paraId="5C9622AA" w14:textId="77777777"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sz w:val="18"/>
                <w:szCs w:val="18"/>
              </w:rPr>
              <w:lastRenderedPageBreak/>
              <w:t>No failures were observed in the 'direct' groups up to a force of 1000 N. Survival analysis revealed statistically significantly higher survival rates for the 'direct' groups compared to the 'indirect' groups, while there was no significant difference between the 'inlay' and '</w:t>
            </w:r>
            <w:proofErr w:type="spellStart"/>
            <w:r w:rsidRPr="00EE26F4">
              <w:rPr>
                <w:rFonts w:ascii="Arial" w:eastAsia="Arial" w:hAnsi="Arial" w:cs="Arial"/>
                <w:sz w:val="18"/>
                <w:szCs w:val="18"/>
              </w:rPr>
              <w:t>onlay</w:t>
            </w:r>
            <w:proofErr w:type="spellEnd"/>
            <w:r w:rsidRPr="00EE26F4">
              <w:rPr>
                <w:rFonts w:ascii="Arial" w:eastAsia="Arial" w:hAnsi="Arial" w:cs="Arial"/>
                <w:sz w:val="18"/>
                <w:szCs w:val="18"/>
              </w:rPr>
              <w:t>' groups.</w:t>
            </w:r>
          </w:p>
        </w:tc>
      </w:tr>
      <w:tr w:rsidR="00EE26F4" w:rsidRPr="00EE26F4" w14:paraId="27216330" w14:textId="77777777" w:rsidTr="00EE26F4">
        <w:trPr>
          <w:trHeight w:val="3966"/>
        </w:trPr>
        <w:tc>
          <w:tcPr>
            <w:tcW w:w="1620" w:type="dxa"/>
            <w:vAlign w:val="center"/>
          </w:tcPr>
          <w:p w14:paraId="143F0000" w14:textId="77777777" w:rsidR="00EE26F4" w:rsidRPr="00EE26F4" w:rsidRDefault="00EE26F4" w:rsidP="00EE26F4">
            <w:pPr>
              <w:ind w:left="140"/>
              <w:jc w:val="center"/>
              <w:rPr>
                <w:rFonts w:ascii="Arial" w:eastAsia="Arial" w:hAnsi="Arial" w:cs="Arial"/>
                <w:b/>
                <w:sz w:val="18"/>
                <w:szCs w:val="18"/>
              </w:rPr>
            </w:pPr>
            <w:proofErr w:type="spellStart"/>
            <w:r w:rsidRPr="00EE26F4">
              <w:rPr>
                <w:rFonts w:ascii="Arial" w:eastAsia="Arial" w:hAnsi="Arial" w:cs="Arial"/>
                <w:b/>
                <w:sz w:val="18"/>
                <w:szCs w:val="18"/>
              </w:rPr>
              <w:t>Grattarola</w:t>
            </w:r>
            <w:proofErr w:type="spellEnd"/>
            <w:r w:rsidRPr="00EE26F4">
              <w:rPr>
                <w:rFonts w:ascii="Arial" w:eastAsia="Arial" w:hAnsi="Arial" w:cs="Arial"/>
                <w:b/>
                <w:sz w:val="18"/>
                <w:szCs w:val="18"/>
              </w:rPr>
              <w:t xml:space="preserve"> et al. 2018</w:t>
            </w:r>
          </w:p>
        </w:tc>
        <w:tc>
          <w:tcPr>
            <w:tcW w:w="1633" w:type="dxa"/>
            <w:vAlign w:val="center"/>
          </w:tcPr>
          <w:p w14:paraId="4FEFBD71" w14:textId="77777777"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sz w:val="18"/>
                <w:szCs w:val="18"/>
              </w:rPr>
              <w:t>The objective was to compare the storage modulus (stiffness) and viscous response of the materials, focusing on the properties of the interface between the filler and the matrix.</w:t>
            </w:r>
          </w:p>
        </w:tc>
        <w:tc>
          <w:tcPr>
            <w:tcW w:w="1469" w:type="dxa"/>
            <w:vAlign w:val="center"/>
          </w:tcPr>
          <w:p w14:paraId="3B436FCB" w14:textId="77777777"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sz w:val="18"/>
                <w:szCs w:val="18"/>
              </w:rPr>
              <w:t>In vitro</w:t>
            </w:r>
          </w:p>
        </w:tc>
        <w:tc>
          <w:tcPr>
            <w:tcW w:w="1814" w:type="dxa"/>
            <w:vAlign w:val="center"/>
          </w:tcPr>
          <w:p w14:paraId="25248D20" w14:textId="77777777"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sz w:val="18"/>
                <w:szCs w:val="18"/>
              </w:rPr>
              <w:t xml:space="preserve">The study evaluated two groups of resin composites: one for direct restorations, including Venus Diamond, Adonis, </w:t>
            </w:r>
            <w:proofErr w:type="spellStart"/>
            <w:r w:rsidRPr="00EE26F4">
              <w:rPr>
                <w:rFonts w:ascii="Arial" w:eastAsia="Arial" w:hAnsi="Arial" w:cs="Arial"/>
                <w:sz w:val="18"/>
                <w:szCs w:val="18"/>
              </w:rPr>
              <w:t>Optifil</w:t>
            </w:r>
            <w:proofErr w:type="spellEnd"/>
            <w:r w:rsidRPr="00EE26F4">
              <w:rPr>
                <w:rFonts w:ascii="Arial" w:eastAsia="Arial" w:hAnsi="Arial" w:cs="Arial"/>
                <w:sz w:val="18"/>
                <w:szCs w:val="18"/>
              </w:rPr>
              <w:t xml:space="preserve">, Enamel Plus </w:t>
            </w:r>
            <w:proofErr w:type="spellStart"/>
            <w:r w:rsidRPr="00EE26F4">
              <w:rPr>
                <w:rFonts w:ascii="Arial" w:eastAsia="Arial" w:hAnsi="Arial" w:cs="Arial"/>
                <w:sz w:val="18"/>
                <w:szCs w:val="18"/>
              </w:rPr>
              <w:t>HRi</w:t>
            </w:r>
            <w:proofErr w:type="spellEnd"/>
            <w:r w:rsidRPr="00EE26F4">
              <w:rPr>
                <w:rFonts w:ascii="Arial" w:eastAsia="Arial" w:hAnsi="Arial" w:cs="Arial"/>
                <w:sz w:val="18"/>
                <w:szCs w:val="18"/>
              </w:rPr>
              <w:t xml:space="preserve"> and Majesty Esthetic, and another for indirect restorations, composed of </w:t>
            </w:r>
            <w:proofErr w:type="spellStart"/>
            <w:r w:rsidRPr="00EE26F4">
              <w:rPr>
                <w:rFonts w:ascii="Arial" w:eastAsia="Arial" w:hAnsi="Arial" w:cs="Arial"/>
                <w:sz w:val="18"/>
                <w:szCs w:val="18"/>
              </w:rPr>
              <w:t>Gradia</w:t>
            </w:r>
            <w:proofErr w:type="spellEnd"/>
            <w:r w:rsidRPr="00EE26F4">
              <w:rPr>
                <w:rFonts w:ascii="Arial" w:eastAsia="Arial" w:hAnsi="Arial" w:cs="Arial"/>
                <w:sz w:val="18"/>
                <w:szCs w:val="18"/>
              </w:rPr>
              <w:t xml:space="preserve">, </w:t>
            </w:r>
            <w:proofErr w:type="spellStart"/>
            <w:r w:rsidRPr="00EE26F4">
              <w:rPr>
                <w:rFonts w:ascii="Arial" w:eastAsia="Arial" w:hAnsi="Arial" w:cs="Arial"/>
                <w:sz w:val="18"/>
                <w:szCs w:val="18"/>
              </w:rPr>
              <w:t>Estenia</w:t>
            </w:r>
            <w:proofErr w:type="spellEnd"/>
            <w:r w:rsidRPr="00EE26F4">
              <w:rPr>
                <w:rFonts w:ascii="Arial" w:eastAsia="Arial" w:hAnsi="Arial" w:cs="Arial"/>
                <w:sz w:val="18"/>
                <w:szCs w:val="18"/>
              </w:rPr>
              <w:t xml:space="preserve"> and Signum.</w:t>
            </w:r>
          </w:p>
        </w:tc>
        <w:tc>
          <w:tcPr>
            <w:tcW w:w="1664" w:type="dxa"/>
            <w:vAlign w:val="center"/>
          </w:tcPr>
          <w:p w14:paraId="0646B7F4" w14:textId="77777777"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sz w:val="18"/>
                <w:szCs w:val="18"/>
              </w:rPr>
              <w:t>N=</w:t>
            </w:r>
            <w:r w:rsidRPr="00EE26F4">
              <w:rPr>
                <w:rFonts w:ascii="Arial" w:eastAsia="Arial" w:hAnsi="Arial" w:cs="Arial"/>
                <w:b/>
                <w:sz w:val="18"/>
                <w:szCs w:val="18"/>
              </w:rPr>
              <w:t xml:space="preserve"> </w:t>
            </w:r>
            <w:r w:rsidRPr="00EE26F4">
              <w:rPr>
                <w:rFonts w:ascii="Arial" w:eastAsia="Arial" w:hAnsi="Arial" w:cs="Arial"/>
                <w:sz w:val="18"/>
                <w:szCs w:val="18"/>
              </w:rPr>
              <w:t>8 resin composites, 5 direct and 3 indirect.</w:t>
            </w:r>
          </w:p>
        </w:tc>
        <w:tc>
          <w:tcPr>
            <w:tcW w:w="1681" w:type="dxa"/>
            <w:vAlign w:val="center"/>
          </w:tcPr>
          <w:p w14:paraId="620BCF60" w14:textId="77777777"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sz w:val="18"/>
                <w:szCs w:val="18"/>
              </w:rPr>
              <w:t>Viscoelastic response</w:t>
            </w:r>
          </w:p>
        </w:tc>
        <w:tc>
          <w:tcPr>
            <w:tcW w:w="2268" w:type="dxa"/>
            <w:vAlign w:val="center"/>
          </w:tcPr>
          <w:p w14:paraId="7A1F7781" w14:textId="77777777"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sz w:val="18"/>
                <w:szCs w:val="18"/>
              </w:rPr>
              <w:t xml:space="preserve">We investigated the viscoelastic response of direct and indirect dental restorative composites using the innovative AM-FM atomic force microscopy technique. We selected four composites for direct restorations (Adonis, </w:t>
            </w:r>
            <w:proofErr w:type="spellStart"/>
            <w:r w:rsidRPr="00EE26F4">
              <w:rPr>
                <w:rFonts w:ascii="Arial" w:eastAsia="Arial" w:hAnsi="Arial" w:cs="Arial"/>
                <w:sz w:val="18"/>
                <w:szCs w:val="18"/>
              </w:rPr>
              <w:t>Optifil</w:t>
            </w:r>
            <w:proofErr w:type="spellEnd"/>
            <w:r w:rsidRPr="00EE26F4">
              <w:rPr>
                <w:rFonts w:ascii="Arial" w:eastAsia="Arial" w:hAnsi="Arial" w:cs="Arial"/>
                <w:sz w:val="18"/>
                <w:szCs w:val="18"/>
              </w:rPr>
              <w:t>, EPH, CME) and three composites for indirect restorations (</w:t>
            </w:r>
            <w:proofErr w:type="spellStart"/>
            <w:r w:rsidRPr="00EE26F4">
              <w:rPr>
                <w:rFonts w:ascii="Arial" w:eastAsia="Arial" w:hAnsi="Arial" w:cs="Arial"/>
                <w:sz w:val="18"/>
                <w:szCs w:val="18"/>
              </w:rPr>
              <w:t>Gradia</w:t>
            </w:r>
            <w:proofErr w:type="spellEnd"/>
            <w:r w:rsidRPr="00EE26F4">
              <w:rPr>
                <w:rFonts w:ascii="Arial" w:eastAsia="Arial" w:hAnsi="Arial" w:cs="Arial"/>
                <w:sz w:val="18"/>
                <w:szCs w:val="18"/>
              </w:rPr>
              <w:t xml:space="preserve">, </w:t>
            </w:r>
            <w:proofErr w:type="spellStart"/>
            <w:r w:rsidRPr="00EE26F4">
              <w:rPr>
                <w:rFonts w:ascii="Arial" w:eastAsia="Arial" w:hAnsi="Arial" w:cs="Arial"/>
                <w:sz w:val="18"/>
                <w:szCs w:val="18"/>
              </w:rPr>
              <w:t>Estenia</w:t>
            </w:r>
            <w:proofErr w:type="spellEnd"/>
            <w:r w:rsidRPr="00EE26F4">
              <w:rPr>
                <w:rFonts w:ascii="Arial" w:eastAsia="Arial" w:hAnsi="Arial" w:cs="Arial"/>
                <w:sz w:val="18"/>
                <w:szCs w:val="18"/>
              </w:rPr>
              <w:t>, and Signum). Scanning electron microscopy with microanalysis was also used to support the results.</w:t>
            </w:r>
          </w:p>
        </w:tc>
        <w:tc>
          <w:tcPr>
            <w:tcW w:w="2977" w:type="dxa"/>
            <w:vAlign w:val="center"/>
          </w:tcPr>
          <w:p w14:paraId="243883B4" w14:textId="77777777"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sz w:val="18"/>
                <w:szCs w:val="18"/>
              </w:rPr>
              <w:t xml:space="preserve">The storage modulus of the composites ranged from 10.2 to 15.2 </w:t>
            </w:r>
            <w:proofErr w:type="spellStart"/>
            <w:r w:rsidRPr="00EE26F4">
              <w:rPr>
                <w:rFonts w:ascii="Arial" w:eastAsia="Arial" w:hAnsi="Arial" w:cs="Arial"/>
                <w:sz w:val="18"/>
                <w:szCs w:val="18"/>
              </w:rPr>
              <w:t>GPa</w:t>
            </w:r>
            <w:proofErr w:type="spellEnd"/>
            <w:r w:rsidRPr="00EE26F4">
              <w:rPr>
                <w:rFonts w:ascii="Arial" w:eastAsia="Arial" w:hAnsi="Arial" w:cs="Arial"/>
                <w:sz w:val="18"/>
                <w:szCs w:val="18"/>
              </w:rPr>
              <w:t xml:space="preserve">, with EPH being the stiffest. There was no significant difference between the direct and indirect composites. Regarding the loss tangent, </w:t>
            </w:r>
            <w:proofErr w:type="spellStart"/>
            <w:r w:rsidRPr="00EE26F4">
              <w:rPr>
                <w:rFonts w:ascii="Arial" w:eastAsia="Arial" w:hAnsi="Arial" w:cs="Arial"/>
                <w:sz w:val="18"/>
                <w:szCs w:val="18"/>
              </w:rPr>
              <w:t>Gradia</w:t>
            </w:r>
            <w:proofErr w:type="spellEnd"/>
            <w:r w:rsidRPr="00EE26F4">
              <w:rPr>
                <w:rFonts w:ascii="Arial" w:eastAsia="Arial" w:hAnsi="Arial" w:cs="Arial"/>
                <w:sz w:val="18"/>
                <w:szCs w:val="18"/>
              </w:rPr>
              <w:t xml:space="preserve"> had the highest value, and the direct composites had a higher loss tangent than the indirect ones. All composites showed pre-cured filling edges, as confirmed by EDS analysis.</w:t>
            </w:r>
          </w:p>
        </w:tc>
      </w:tr>
      <w:tr w:rsidR="00EE26F4" w:rsidRPr="00EE26F4" w14:paraId="70DF5DB4" w14:textId="77777777" w:rsidTr="00EE26F4">
        <w:trPr>
          <w:trHeight w:val="4291"/>
        </w:trPr>
        <w:tc>
          <w:tcPr>
            <w:tcW w:w="1620" w:type="dxa"/>
            <w:vAlign w:val="center"/>
          </w:tcPr>
          <w:p w14:paraId="46E6F743" w14:textId="77777777" w:rsidR="00EE26F4" w:rsidRPr="00EE26F4" w:rsidRDefault="00EE26F4" w:rsidP="00EE26F4">
            <w:pPr>
              <w:ind w:left="140"/>
              <w:jc w:val="center"/>
              <w:rPr>
                <w:rFonts w:ascii="Arial" w:eastAsia="Arial" w:hAnsi="Arial" w:cs="Arial"/>
                <w:b/>
                <w:sz w:val="18"/>
                <w:szCs w:val="18"/>
              </w:rPr>
            </w:pPr>
            <w:proofErr w:type="spellStart"/>
            <w:r w:rsidRPr="00EE26F4">
              <w:rPr>
                <w:rFonts w:ascii="Arial" w:eastAsia="Arial" w:hAnsi="Arial" w:cs="Arial"/>
                <w:b/>
                <w:sz w:val="18"/>
                <w:szCs w:val="18"/>
              </w:rPr>
              <w:t>Crins</w:t>
            </w:r>
            <w:proofErr w:type="spellEnd"/>
            <w:r w:rsidRPr="00EE26F4">
              <w:rPr>
                <w:rFonts w:ascii="Arial" w:eastAsia="Arial" w:hAnsi="Arial" w:cs="Arial"/>
                <w:b/>
                <w:sz w:val="18"/>
                <w:szCs w:val="18"/>
              </w:rPr>
              <w:t xml:space="preserve"> et al., 2021</w:t>
            </w:r>
          </w:p>
        </w:tc>
        <w:tc>
          <w:tcPr>
            <w:tcW w:w="1633" w:type="dxa"/>
            <w:vAlign w:val="center"/>
          </w:tcPr>
          <w:p w14:paraId="25A8A27A" w14:textId="77777777"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sz w:val="18"/>
                <w:szCs w:val="18"/>
              </w:rPr>
              <w:t>To evaluate the survival and failure behavior of direct composite restorations (DRC) and indirect composite restorations (ICR) in molars and anterior teeth, in a randomized controlled clinical trial (RCT).</w:t>
            </w:r>
          </w:p>
        </w:tc>
        <w:tc>
          <w:tcPr>
            <w:tcW w:w="1469" w:type="dxa"/>
            <w:vAlign w:val="center"/>
          </w:tcPr>
          <w:p w14:paraId="516DF3B1" w14:textId="77777777"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sz w:val="18"/>
                <w:szCs w:val="18"/>
              </w:rPr>
              <w:t>Randomized controlled trial</w:t>
            </w:r>
          </w:p>
        </w:tc>
        <w:tc>
          <w:tcPr>
            <w:tcW w:w="1814" w:type="dxa"/>
            <w:vAlign w:val="center"/>
          </w:tcPr>
          <w:p w14:paraId="022AB12F" w14:textId="77777777"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sz w:val="18"/>
                <w:szCs w:val="18"/>
              </w:rPr>
              <w:t>The study compared two types of restorations in patients with severe tooth wear: in the DCR Group, all restorations were direct; in the ICR Group, molars received indirect "tabletop" restorations and anterior teeth received indirect palatal veneers, with the remaining teeth restored directly.</w:t>
            </w:r>
          </w:p>
        </w:tc>
        <w:tc>
          <w:tcPr>
            <w:tcW w:w="1664" w:type="dxa"/>
            <w:vAlign w:val="center"/>
          </w:tcPr>
          <w:p w14:paraId="3ADC106C" w14:textId="77777777"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sz w:val="18"/>
                <w:szCs w:val="18"/>
              </w:rPr>
              <w:t>N =</w:t>
            </w:r>
            <w:r w:rsidRPr="00EE26F4">
              <w:rPr>
                <w:rFonts w:ascii="Arial" w:eastAsia="Arial" w:hAnsi="Arial" w:cs="Arial"/>
                <w:b/>
                <w:sz w:val="18"/>
                <w:szCs w:val="18"/>
              </w:rPr>
              <w:t xml:space="preserve"> </w:t>
            </w:r>
            <w:r w:rsidRPr="00EE26F4">
              <w:rPr>
                <w:rFonts w:ascii="Arial" w:eastAsia="Arial" w:hAnsi="Arial" w:cs="Arial"/>
                <w:sz w:val="18"/>
                <w:szCs w:val="18"/>
              </w:rPr>
              <w:t>41 patients with a mean age of 36.6 ± 6.6 years, evaluated after 3 years.</w:t>
            </w:r>
          </w:p>
          <w:p w14:paraId="276EC97E" w14:textId="77777777"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sz w:val="18"/>
                <w:szCs w:val="18"/>
              </w:rPr>
              <w:t>In total, 408 restorations were analyzed, 220 from the direct composite restorations (DCR) group and 188 from the indirect composite restorations (ICR) group.</w:t>
            </w:r>
          </w:p>
        </w:tc>
        <w:tc>
          <w:tcPr>
            <w:tcW w:w="1681" w:type="dxa"/>
            <w:vAlign w:val="center"/>
          </w:tcPr>
          <w:p w14:paraId="6034B17A" w14:textId="77777777"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sz w:val="18"/>
                <w:szCs w:val="18"/>
              </w:rPr>
              <w:t>Survival behavior and failure of restorations</w:t>
            </w:r>
          </w:p>
        </w:tc>
        <w:tc>
          <w:tcPr>
            <w:tcW w:w="2268" w:type="dxa"/>
            <w:vAlign w:val="center"/>
          </w:tcPr>
          <w:p w14:paraId="608972D4" w14:textId="77777777"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sz w:val="18"/>
                <w:szCs w:val="18"/>
              </w:rPr>
              <w:t>The restorations were evaluated after 3 years, focusing on clinical acceptability. Statistical analysis was performed using Kaplan Meier curves, annual failure rates (AFRs).</w:t>
            </w:r>
          </w:p>
        </w:tc>
        <w:tc>
          <w:tcPr>
            <w:tcW w:w="2977" w:type="dxa"/>
            <w:vAlign w:val="center"/>
          </w:tcPr>
          <w:p w14:paraId="1407233B" w14:textId="77777777"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sz w:val="18"/>
                <w:szCs w:val="18"/>
              </w:rPr>
              <w:t>No differences in survival were found between treatment modalities for palatal veneers for any failure criteria. Tabletop restorations on first molars showed a considerably higher failure rate for ICR compared with DCR.</w:t>
            </w:r>
          </w:p>
        </w:tc>
      </w:tr>
      <w:tr w:rsidR="00EE26F4" w:rsidRPr="00EE26F4" w14:paraId="4840B41D" w14:textId="77777777" w:rsidTr="00EE26F4">
        <w:trPr>
          <w:trHeight w:val="4976"/>
        </w:trPr>
        <w:tc>
          <w:tcPr>
            <w:tcW w:w="1620" w:type="dxa"/>
            <w:vAlign w:val="center"/>
          </w:tcPr>
          <w:p w14:paraId="441AC956" w14:textId="77777777" w:rsidR="00EE26F4" w:rsidRPr="00EE26F4" w:rsidRDefault="00EE26F4" w:rsidP="00EE26F4">
            <w:pPr>
              <w:ind w:left="140"/>
              <w:jc w:val="center"/>
              <w:rPr>
                <w:rFonts w:ascii="Arial" w:eastAsia="Arial" w:hAnsi="Arial" w:cs="Arial"/>
                <w:b/>
                <w:sz w:val="18"/>
                <w:szCs w:val="18"/>
              </w:rPr>
            </w:pPr>
            <w:r w:rsidRPr="00EE26F4">
              <w:rPr>
                <w:rFonts w:ascii="Arial" w:eastAsia="Arial" w:hAnsi="Arial" w:cs="Arial"/>
                <w:b/>
                <w:sz w:val="18"/>
                <w:szCs w:val="18"/>
              </w:rPr>
              <w:lastRenderedPageBreak/>
              <w:t>Higashi, M. et al., 2021</w:t>
            </w:r>
          </w:p>
        </w:tc>
        <w:tc>
          <w:tcPr>
            <w:tcW w:w="1633" w:type="dxa"/>
            <w:vAlign w:val="center"/>
          </w:tcPr>
          <w:p w14:paraId="52AAC753" w14:textId="77777777"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sz w:val="18"/>
                <w:szCs w:val="18"/>
              </w:rPr>
              <w:t>To evaluate the effects of different materials (composite resin system including a light-curing adhesive (DC) vs resin cement including a self-etching primer (PV) and techniques (direct vs. indirect) for resin core buildup on bonding performance to the dentin of the root canal.</w:t>
            </w:r>
          </w:p>
        </w:tc>
        <w:tc>
          <w:tcPr>
            <w:tcW w:w="1469" w:type="dxa"/>
            <w:vAlign w:val="center"/>
          </w:tcPr>
          <w:p w14:paraId="7CADA83F" w14:textId="14745D8B" w:rsidR="00EE26F4" w:rsidRPr="00EE26F4" w:rsidRDefault="00EE26F4" w:rsidP="00EE26F4">
            <w:pPr>
              <w:jc w:val="center"/>
              <w:rPr>
                <w:rFonts w:ascii="Arial" w:eastAsia="Arial" w:hAnsi="Arial" w:cs="Arial"/>
                <w:sz w:val="18"/>
                <w:szCs w:val="18"/>
              </w:rPr>
            </w:pPr>
            <w:r w:rsidRPr="00EE26F4">
              <w:rPr>
                <w:rFonts w:ascii="Arial" w:eastAsia="Arial" w:hAnsi="Arial" w:cs="Arial"/>
                <w:sz w:val="18"/>
                <w:szCs w:val="18"/>
              </w:rPr>
              <w:t>In vitro</w:t>
            </w:r>
          </w:p>
        </w:tc>
        <w:tc>
          <w:tcPr>
            <w:tcW w:w="1814" w:type="dxa"/>
            <w:vAlign w:val="center"/>
          </w:tcPr>
          <w:p w14:paraId="2D1C64B6" w14:textId="77777777"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sz w:val="18"/>
                <w:szCs w:val="18"/>
              </w:rPr>
              <w:t>The study evaluated four experimental groups with different techniques and materials for core fabrication: Direct/DC (</w:t>
            </w:r>
            <w:proofErr w:type="spellStart"/>
            <w:r w:rsidRPr="00EE26F4">
              <w:rPr>
                <w:rFonts w:ascii="Arial" w:eastAsia="Arial" w:hAnsi="Arial" w:cs="Arial"/>
                <w:sz w:val="18"/>
                <w:szCs w:val="18"/>
              </w:rPr>
              <w:t>Clearfil</w:t>
            </w:r>
            <w:proofErr w:type="spellEnd"/>
            <w:r w:rsidRPr="00EE26F4">
              <w:rPr>
                <w:rFonts w:ascii="Arial" w:eastAsia="Arial" w:hAnsi="Arial" w:cs="Arial"/>
                <w:sz w:val="18"/>
                <w:szCs w:val="18"/>
              </w:rPr>
              <w:t xml:space="preserve"> DC Core resin), Direct/PV (</w:t>
            </w:r>
            <w:proofErr w:type="spellStart"/>
            <w:r w:rsidRPr="00EE26F4">
              <w:rPr>
                <w:rFonts w:ascii="Arial" w:eastAsia="Arial" w:hAnsi="Arial" w:cs="Arial"/>
                <w:sz w:val="18"/>
                <w:szCs w:val="18"/>
              </w:rPr>
              <w:t>Panavia</w:t>
            </w:r>
            <w:proofErr w:type="spellEnd"/>
            <w:r w:rsidRPr="00EE26F4">
              <w:rPr>
                <w:rFonts w:ascii="Arial" w:eastAsia="Arial" w:hAnsi="Arial" w:cs="Arial"/>
                <w:sz w:val="18"/>
                <w:szCs w:val="18"/>
              </w:rPr>
              <w:t xml:space="preserve"> V5 cement), Indirect/DC (cemented </w:t>
            </w:r>
            <w:proofErr w:type="spellStart"/>
            <w:r w:rsidRPr="00EE26F4">
              <w:rPr>
                <w:rFonts w:ascii="Arial" w:eastAsia="Arial" w:hAnsi="Arial" w:cs="Arial"/>
                <w:sz w:val="18"/>
                <w:szCs w:val="18"/>
              </w:rPr>
              <w:t>Clearfil</w:t>
            </w:r>
            <w:proofErr w:type="spellEnd"/>
            <w:r w:rsidRPr="00EE26F4">
              <w:rPr>
                <w:rFonts w:ascii="Arial" w:eastAsia="Arial" w:hAnsi="Arial" w:cs="Arial"/>
                <w:sz w:val="18"/>
                <w:szCs w:val="18"/>
              </w:rPr>
              <w:t xml:space="preserve"> DC Core), and Indirect/PV</w:t>
            </w:r>
            <w:r w:rsidRPr="00EE26F4">
              <w:rPr>
                <w:rFonts w:ascii="Arial" w:eastAsia="Arial" w:hAnsi="Arial" w:cs="Arial"/>
                <w:b/>
                <w:sz w:val="18"/>
                <w:szCs w:val="18"/>
              </w:rPr>
              <w:t xml:space="preserve"> </w:t>
            </w:r>
            <w:r w:rsidRPr="00EE26F4">
              <w:rPr>
                <w:rFonts w:ascii="Arial" w:eastAsia="Arial" w:hAnsi="Arial" w:cs="Arial"/>
                <w:sz w:val="18"/>
                <w:szCs w:val="18"/>
              </w:rPr>
              <w:t xml:space="preserve">(cemented </w:t>
            </w:r>
            <w:proofErr w:type="spellStart"/>
            <w:r w:rsidRPr="00EE26F4">
              <w:rPr>
                <w:rFonts w:ascii="Arial" w:eastAsia="Arial" w:hAnsi="Arial" w:cs="Arial"/>
                <w:sz w:val="18"/>
                <w:szCs w:val="18"/>
              </w:rPr>
              <w:t>Panavia</w:t>
            </w:r>
            <w:proofErr w:type="spellEnd"/>
            <w:r w:rsidRPr="00EE26F4">
              <w:rPr>
                <w:rFonts w:ascii="Arial" w:eastAsia="Arial" w:hAnsi="Arial" w:cs="Arial"/>
                <w:sz w:val="18"/>
                <w:szCs w:val="18"/>
              </w:rPr>
              <w:t xml:space="preserve"> V5). Bond strength, microleakage, and adhesive interface integrity were analyzed.</w:t>
            </w:r>
          </w:p>
        </w:tc>
        <w:tc>
          <w:tcPr>
            <w:tcW w:w="1664" w:type="dxa"/>
            <w:vAlign w:val="center"/>
          </w:tcPr>
          <w:p w14:paraId="35505C48" w14:textId="77777777"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b/>
                <w:sz w:val="18"/>
                <w:szCs w:val="18"/>
              </w:rPr>
              <w:t xml:space="preserve">N = </w:t>
            </w:r>
            <w:r w:rsidRPr="00EE26F4">
              <w:rPr>
                <w:rFonts w:ascii="Arial" w:eastAsia="Arial" w:hAnsi="Arial" w:cs="Arial"/>
                <w:sz w:val="18"/>
                <w:szCs w:val="18"/>
              </w:rPr>
              <w:t>72 extracted human teeth, which were decorated and had their root canals prepared and filled.</w:t>
            </w:r>
          </w:p>
        </w:tc>
        <w:tc>
          <w:tcPr>
            <w:tcW w:w="1681" w:type="dxa"/>
            <w:vAlign w:val="center"/>
          </w:tcPr>
          <w:p w14:paraId="66F0F88A" w14:textId="77777777"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sz w:val="18"/>
                <w:szCs w:val="18"/>
              </w:rPr>
              <w:t>Bond strength (</w:t>
            </w:r>
            <w:proofErr w:type="spellStart"/>
            <w:r w:rsidRPr="00EE26F4">
              <w:rPr>
                <w:rFonts w:ascii="Arial" w:eastAsia="Arial" w:hAnsi="Arial" w:cs="Arial"/>
                <w:sz w:val="18"/>
                <w:szCs w:val="18"/>
              </w:rPr>
              <w:t>microtensile</w:t>
            </w:r>
            <w:proofErr w:type="spellEnd"/>
            <w:r w:rsidRPr="00EE26F4">
              <w:rPr>
                <w:rFonts w:ascii="Arial" w:eastAsia="Arial" w:hAnsi="Arial" w:cs="Arial"/>
                <w:sz w:val="18"/>
                <w:szCs w:val="18"/>
              </w:rPr>
              <w:t xml:space="preserve"> and push-out tests), microleakage (analyzed by microcomputed tomography), adhesive interface (observed by scanning electron microscopy), cementation quality (assessed by optical coherence tomography) and presence of air bubbles</w:t>
            </w:r>
            <w:r w:rsidRPr="00EE26F4">
              <w:rPr>
                <w:rFonts w:ascii="Arial" w:eastAsia="Arial" w:hAnsi="Arial" w:cs="Arial"/>
                <w:b/>
                <w:sz w:val="18"/>
                <w:szCs w:val="18"/>
              </w:rPr>
              <w:t>.</w:t>
            </w:r>
          </w:p>
        </w:tc>
        <w:tc>
          <w:tcPr>
            <w:tcW w:w="2268" w:type="dxa"/>
            <w:vAlign w:val="center"/>
          </w:tcPr>
          <w:p w14:paraId="457BC3CA" w14:textId="77777777"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sz w:val="18"/>
                <w:szCs w:val="18"/>
              </w:rPr>
              <w:t xml:space="preserve">Human teeth were crowned, and root canal preparation was performed. </w:t>
            </w:r>
            <w:proofErr w:type="spellStart"/>
            <w:r w:rsidRPr="00EE26F4">
              <w:rPr>
                <w:rFonts w:ascii="Arial" w:eastAsia="Arial" w:hAnsi="Arial" w:cs="Arial"/>
                <w:sz w:val="18"/>
                <w:szCs w:val="18"/>
              </w:rPr>
              <w:t>Microtensile</w:t>
            </w:r>
            <w:proofErr w:type="spellEnd"/>
            <w:r w:rsidRPr="00EE26F4">
              <w:rPr>
                <w:rFonts w:ascii="Arial" w:eastAsia="Arial" w:hAnsi="Arial" w:cs="Arial"/>
                <w:sz w:val="18"/>
                <w:szCs w:val="18"/>
              </w:rPr>
              <w:t xml:space="preserve"> strength (</w:t>
            </w:r>
            <w:proofErr w:type="spellStart"/>
            <w:r w:rsidRPr="00EE26F4">
              <w:rPr>
                <w:rFonts w:ascii="Arial" w:eastAsia="Arial" w:hAnsi="Arial" w:cs="Arial"/>
                <w:sz w:val="18"/>
                <w:szCs w:val="18"/>
              </w:rPr>
              <w:t>μTBS</w:t>
            </w:r>
            <w:proofErr w:type="spellEnd"/>
            <w:r w:rsidRPr="00EE26F4">
              <w:rPr>
                <w:rFonts w:ascii="Arial" w:eastAsia="Arial" w:hAnsi="Arial" w:cs="Arial"/>
                <w:sz w:val="18"/>
                <w:szCs w:val="18"/>
              </w:rPr>
              <w:t>) and push-out tests were performed. Observations of the interface were also made using a scanning electron microscope, and microcomputed tomography and optical coherence tomography were used to assess sealing capacity.</w:t>
            </w:r>
          </w:p>
        </w:tc>
        <w:tc>
          <w:tcPr>
            <w:tcW w:w="2977" w:type="dxa"/>
            <w:vAlign w:val="center"/>
          </w:tcPr>
          <w:p w14:paraId="3812E750" w14:textId="77777777"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sz w:val="18"/>
                <w:szCs w:val="18"/>
              </w:rPr>
              <w:t xml:space="preserve">Indirect group showed significantly higher </w:t>
            </w:r>
            <w:proofErr w:type="spellStart"/>
            <w:r w:rsidRPr="00EE26F4">
              <w:rPr>
                <w:rFonts w:ascii="Arial" w:eastAsia="Arial" w:hAnsi="Arial" w:cs="Arial"/>
                <w:sz w:val="18"/>
                <w:szCs w:val="18"/>
              </w:rPr>
              <w:t>μTBSs</w:t>
            </w:r>
            <w:proofErr w:type="spellEnd"/>
            <w:r w:rsidRPr="00EE26F4">
              <w:rPr>
                <w:rFonts w:ascii="Arial" w:eastAsia="Arial" w:hAnsi="Arial" w:cs="Arial"/>
                <w:sz w:val="18"/>
                <w:szCs w:val="18"/>
              </w:rPr>
              <w:t xml:space="preserve"> than the Direct group in the DC group. The PV group showed higher bond strengths than the DC in both the Direct and Indirect groups. The Direct/PV group had higher push-out bond strengths than the Direct/DC. In the Direct/PV </w:t>
            </w:r>
            <w:proofErr w:type="gramStart"/>
            <w:r w:rsidRPr="00EE26F4">
              <w:rPr>
                <w:rFonts w:ascii="Arial" w:eastAsia="Arial" w:hAnsi="Arial" w:cs="Arial"/>
                <w:sz w:val="18"/>
                <w:szCs w:val="18"/>
              </w:rPr>
              <w:t>group ,</w:t>
            </w:r>
            <w:proofErr w:type="gramEnd"/>
            <w:r w:rsidRPr="00EE26F4">
              <w:rPr>
                <w:rFonts w:ascii="Arial" w:eastAsia="Arial" w:hAnsi="Arial" w:cs="Arial"/>
                <w:sz w:val="18"/>
                <w:szCs w:val="18"/>
              </w:rPr>
              <w:t xml:space="preserve"> resin markers were observed even at the apical side of the canal. Microleakage was more evident in the DC group than in the PV group.</w:t>
            </w:r>
          </w:p>
        </w:tc>
      </w:tr>
      <w:tr w:rsidR="00EE26F4" w:rsidRPr="00EE26F4" w14:paraId="4F24F326" w14:textId="77777777" w:rsidTr="00EE26F4">
        <w:trPr>
          <w:trHeight w:val="3746"/>
        </w:trPr>
        <w:tc>
          <w:tcPr>
            <w:tcW w:w="1620" w:type="dxa"/>
            <w:vAlign w:val="center"/>
          </w:tcPr>
          <w:p w14:paraId="754AA462" w14:textId="77777777" w:rsidR="00EE26F4" w:rsidRPr="009E0B72" w:rsidRDefault="00EE26F4" w:rsidP="00EE26F4">
            <w:pPr>
              <w:ind w:left="140"/>
              <w:jc w:val="center"/>
              <w:rPr>
                <w:rFonts w:ascii="Arial" w:eastAsia="Arial" w:hAnsi="Arial" w:cs="Arial"/>
                <w:b/>
                <w:sz w:val="18"/>
                <w:szCs w:val="18"/>
                <w:lang w:val="fr-FR"/>
              </w:rPr>
            </w:pPr>
            <w:proofErr w:type="spellStart"/>
            <w:r w:rsidRPr="009E0B72">
              <w:rPr>
                <w:rFonts w:ascii="Arial" w:eastAsia="Arial" w:hAnsi="Arial" w:cs="Arial"/>
                <w:b/>
                <w:sz w:val="18"/>
                <w:szCs w:val="18"/>
                <w:lang w:val="fr-FR"/>
              </w:rPr>
              <w:t>Alsuwaidi</w:t>
            </w:r>
            <w:proofErr w:type="spellEnd"/>
            <w:r w:rsidRPr="009E0B72">
              <w:rPr>
                <w:rFonts w:ascii="Arial" w:eastAsia="Arial" w:hAnsi="Arial" w:cs="Arial"/>
                <w:b/>
                <w:sz w:val="18"/>
                <w:szCs w:val="18"/>
                <w:lang w:val="fr-FR"/>
              </w:rPr>
              <w:t>, G.S. et al. 2022</w:t>
            </w:r>
          </w:p>
        </w:tc>
        <w:tc>
          <w:tcPr>
            <w:tcW w:w="1633" w:type="dxa"/>
            <w:vAlign w:val="center"/>
          </w:tcPr>
          <w:p w14:paraId="4B913A5D" w14:textId="77777777"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sz w:val="18"/>
                <w:szCs w:val="18"/>
              </w:rPr>
              <w:t>To evaluate the surface roughness of two different light-cured resin composites when compared to monolithic zirconia after simulated chewing.</w:t>
            </w:r>
          </w:p>
        </w:tc>
        <w:tc>
          <w:tcPr>
            <w:tcW w:w="1469" w:type="dxa"/>
            <w:vAlign w:val="center"/>
          </w:tcPr>
          <w:p w14:paraId="1D78D7E1" w14:textId="77777777"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sz w:val="18"/>
                <w:szCs w:val="18"/>
              </w:rPr>
              <w:t>In vitro</w:t>
            </w:r>
          </w:p>
        </w:tc>
        <w:tc>
          <w:tcPr>
            <w:tcW w:w="1814" w:type="dxa"/>
            <w:vAlign w:val="center"/>
          </w:tcPr>
          <w:p w14:paraId="3FFEA143" w14:textId="77777777"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sz w:val="18"/>
                <w:szCs w:val="18"/>
              </w:rPr>
              <w:t>Direct nanohybrid resin composite (</w:t>
            </w:r>
            <w:proofErr w:type="spellStart"/>
            <w:r w:rsidRPr="00EE26F4">
              <w:rPr>
                <w:rFonts w:ascii="Arial" w:eastAsia="Arial" w:hAnsi="Arial" w:cs="Arial"/>
                <w:sz w:val="18"/>
                <w:szCs w:val="18"/>
              </w:rPr>
              <w:t>Tetric</w:t>
            </w:r>
            <w:proofErr w:type="spellEnd"/>
            <w:r w:rsidRPr="00EE26F4">
              <w:rPr>
                <w:rFonts w:ascii="Arial" w:eastAsia="Arial" w:hAnsi="Arial" w:cs="Arial"/>
                <w:sz w:val="18"/>
                <w:szCs w:val="18"/>
              </w:rPr>
              <w:t xml:space="preserve"> </w:t>
            </w:r>
            <w:proofErr w:type="spellStart"/>
            <w:r w:rsidRPr="00EE26F4">
              <w:rPr>
                <w:rFonts w:ascii="Arial" w:eastAsia="Arial" w:hAnsi="Arial" w:cs="Arial"/>
                <w:sz w:val="18"/>
                <w:szCs w:val="18"/>
              </w:rPr>
              <w:t>EvoCeram</w:t>
            </w:r>
            <w:proofErr w:type="spellEnd"/>
            <w:r w:rsidRPr="00EE26F4">
              <w:rPr>
                <w:rFonts w:ascii="Arial" w:eastAsia="Arial" w:hAnsi="Arial" w:cs="Arial"/>
                <w:sz w:val="18"/>
                <w:szCs w:val="18"/>
              </w:rPr>
              <w:t xml:space="preserve">): 10 samples. </w:t>
            </w:r>
            <w:r w:rsidRPr="00EE26F4">
              <w:rPr>
                <w:rFonts w:ascii="Arial" w:eastAsia="Arial" w:hAnsi="Arial" w:cs="Arial"/>
                <w:sz w:val="18"/>
                <w:szCs w:val="18"/>
              </w:rPr>
              <w:br/>
              <w:t xml:space="preserve">Indirect </w:t>
            </w:r>
            <w:proofErr w:type="spellStart"/>
            <w:r w:rsidRPr="00EE26F4">
              <w:rPr>
                <w:rFonts w:ascii="Arial" w:eastAsia="Arial" w:hAnsi="Arial" w:cs="Arial"/>
                <w:sz w:val="18"/>
                <w:szCs w:val="18"/>
              </w:rPr>
              <w:t>microhybrid</w:t>
            </w:r>
            <w:proofErr w:type="spellEnd"/>
            <w:r w:rsidRPr="00EE26F4">
              <w:rPr>
                <w:rFonts w:ascii="Arial" w:eastAsia="Arial" w:hAnsi="Arial" w:cs="Arial"/>
                <w:sz w:val="18"/>
                <w:szCs w:val="18"/>
              </w:rPr>
              <w:t xml:space="preserve"> resin composite (</w:t>
            </w:r>
            <w:proofErr w:type="spellStart"/>
            <w:r w:rsidRPr="00EE26F4">
              <w:rPr>
                <w:rFonts w:ascii="Arial" w:eastAsia="Arial" w:hAnsi="Arial" w:cs="Arial"/>
                <w:sz w:val="18"/>
                <w:szCs w:val="18"/>
              </w:rPr>
              <w:t>Sinfony</w:t>
            </w:r>
            <w:proofErr w:type="spellEnd"/>
            <w:r w:rsidRPr="00EE26F4">
              <w:rPr>
                <w:rFonts w:ascii="Arial" w:eastAsia="Arial" w:hAnsi="Arial" w:cs="Arial"/>
                <w:sz w:val="18"/>
                <w:szCs w:val="18"/>
              </w:rPr>
              <w:t>): 10 samples.</w:t>
            </w:r>
          </w:p>
        </w:tc>
        <w:tc>
          <w:tcPr>
            <w:tcW w:w="1664" w:type="dxa"/>
            <w:vAlign w:val="center"/>
          </w:tcPr>
          <w:p w14:paraId="267D6EF8" w14:textId="77777777"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b/>
                <w:sz w:val="18"/>
                <w:szCs w:val="18"/>
              </w:rPr>
              <w:t xml:space="preserve">N = </w:t>
            </w:r>
            <w:r w:rsidRPr="00EE26F4">
              <w:rPr>
                <w:rFonts w:ascii="Arial" w:eastAsia="Arial" w:hAnsi="Arial" w:cs="Arial"/>
                <w:sz w:val="18"/>
                <w:szCs w:val="18"/>
              </w:rPr>
              <w:t>10, being 10 samples of direct nanohybrid resin composite (</w:t>
            </w:r>
            <w:proofErr w:type="spellStart"/>
            <w:r w:rsidRPr="00EE26F4">
              <w:rPr>
                <w:rFonts w:ascii="Arial" w:eastAsia="Arial" w:hAnsi="Arial" w:cs="Arial"/>
                <w:sz w:val="18"/>
                <w:szCs w:val="18"/>
              </w:rPr>
              <w:t>Tetric</w:t>
            </w:r>
            <w:proofErr w:type="spellEnd"/>
            <w:r w:rsidRPr="00EE26F4">
              <w:rPr>
                <w:rFonts w:ascii="Arial" w:eastAsia="Arial" w:hAnsi="Arial" w:cs="Arial"/>
                <w:sz w:val="18"/>
                <w:szCs w:val="18"/>
              </w:rPr>
              <w:t xml:space="preserve"> </w:t>
            </w:r>
            <w:proofErr w:type="spellStart"/>
            <w:r w:rsidRPr="00EE26F4">
              <w:rPr>
                <w:rFonts w:ascii="Arial" w:eastAsia="Arial" w:hAnsi="Arial" w:cs="Arial"/>
                <w:sz w:val="18"/>
                <w:szCs w:val="18"/>
              </w:rPr>
              <w:t>EvoCeram</w:t>
            </w:r>
            <w:proofErr w:type="spellEnd"/>
            <w:r w:rsidRPr="00EE26F4">
              <w:rPr>
                <w:rFonts w:ascii="Arial" w:eastAsia="Arial" w:hAnsi="Arial" w:cs="Arial"/>
                <w:sz w:val="18"/>
                <w:szCs w:val="18"/>
              </w:rPr>
              <w:t xml:space="preserve">) and 10 samples of indirect </w:t>
            </w:r>
            <w:proofErr w:type="spellStart"/>
            <w:r w:rsidRPr="00EE26F4">
              <w:rPr>
                <w:rFonts w:ascii="Arial" w:eastAsia="Arial" w:hAnsi="Arial" w:cs="Arial"/>
                <w:sz w:val="18"/>
                <w:szCs w:val="18"/>
              </w:rPr>
              <w:t>microhybrid</w:t>
            </w:r>
            <w:proofErr w:type="spellEnd"/>
            <w:r w:rsidRPr="00EE26F4">
              <w:rPr>
                <w:rFonts w:ascii="Arial" w:eastAsia="Arial" w:hAnsi="Arial" w:cs="Arial"/>
                <w:sz w:val="18"/>
                <w:szCs w:val="18"/>
              </w:rPr>
              <w:t xml:space="preserve"> resin composite (</w:t>
            </w:r>
            <w:proofErr w:type="spellStart"/>
            <w:r w:rsidRPr="00EE26F4">
              <w:rPr>
                <w:rFonts w:ascii="Arial" w:eastAsia="Arial" w:hAnsi="Arial" w:cs="Arial"/>
                <w:sz w:val="18"/>
                <w:szCs w:val="18"/>
              </w:rPr>
              <w:t>Sinfony</w:t>
            </w:r>
            <w:proofErr w:type="spellEnd"/>
            <w:r w:rsidRPr="00EE26F4">
              <w:rPr>
                <w:rFonts w:ascii="Arial" w:eastAsia="Arial" w:hAnsi="Arial" w:cs="Arial"/>
                <w:sz w:val="18"/>
                <w:szCs w:val="18"/>
              </w:rPr>
              <w:t>).</w:t>
            </w:r>
          </w:p>
        </w:tc>
        <w:tc>
          <w:tcPr>
            <w:tcW w:w="1681" w:type="dxa"/>
            <w:vAlign w:val="center"/>
          </w:tcPr>
          <w:p w14:paraId="3516DB96" w14:textId="77777777"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sz w:val="18"/>
                <w:szCs w:val="18"/>
              </w:rPr>
              <w:t>Surface roughness.</w:t>
            </w:r>
          </w:p>
        </w:tc>
        <w:tc>
          <w:tcPr>
            <w:tcW w:w="2268" w:type="dxa"/>
            <w:vAlign w:val="center"/>
          </w:tcPr>
          <w:p w14:paraId="48F2EBDF" w14:textId="4F354C7A"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sz w:val="18"/>
                <w:szCs w:val="18"/>
              </w:rPr>
              <w:t xml:space="preserve">A direct nanohybrid composite (n=10, </w:t>
            </w:r>
            <w:proofErr w:type="spellStart"/>
            <w:r w:rsidRPr="00EE26F4">
              <w:rPr>
                <w:rFonts w:ascii="Arial" w:eastAsia="Arial" w:hAnsi="Arial" w:cs="Arial"/>
                <w:sz w:val="18"/>
                <w:szCs w:val="18"/>
              </w:rPr>
              <w:t>Tetric</w:t>
            </w:r>
            <w:proofErr w:type="spellEnd"/>
            <w:r w:rsidRPr="00EE26F4">
              <w:rPr>
                <w:rFonts w:ascii="Arial" w:eastAsia="Arial" w:hAnsi="Arial" w:cs="Arial"/>
                <w:sz w:val="18"/>
                <w:szCs w:val="18"/>
              </w:rPr>
              <w:t xml:space="preserve"> </w:t>
            </w:r>
            <w:proofErr w:type="spellStart"/>
            <w:r w:rsidRPr="00EE26F4">
              <w:rPr>
                <w:rFonts w:ascii="Arial" w:eastAsia="Arial" w:hAnsi="Arial" w:cs="Arial"/>
                <w:sz w:val="18"/>
                <w:szCs w:val="18"/>
              </w:rPr>
              <w:t>EvoCeram</w:t>
            </w:r>
            <w:proofErr w:type="spellEnd"/>
            <w:r w:rsidRPr="00EE26F4">
              <w:rPr>
                <w:rFonts w:ascii="Arial" w:eastAsia="Arial" w:hAnsi="Arial" w:cs="Arial"/>
                <w:sz w:val="18"/>
                <w:szCs w:val="18"/>
              </w:rPr>
              <w:t xml:space="preserve">) and an indirect </w:t>
            </w:r>
            <w:proofErr w:type="spellStart"/>
            <w:r w:rsidRPr="00EE26F4">
              <w:rPr>
                <w:rFonts w:ascii="Arial" w:eastAsia="Arial" w:hAnsi="Arial" w:cs="Arial"/>
                <w:sz w:val="18"/>
                <w:szCs w:val="18"/>
              </w:rPr>
              <w:t>microhybrid</w:t>
            </w:r>
            <w:proofErr w:type="spellEnd"/>
            <w:r w:rsidRPr="00EE26F4">
              <w:rPr>
                <w:rFonts w:ascii="Arial" w:eastAsia="Arial" w:hAnsi="Arial" w:cs="Arial"/>
                <w:sz w:val="18"/>
                <w:szCs w:val="18"/>
              </w:rPr>
              <w:t xml:space="preserve"> composite (n=10, </w:t>
            </w:r>
            <w:proofErr w:type="spellStart"/>
            <w:r w:rsidRPr="00EE26F4">
              <w:rPr>
                <w:rFonts w:ascii="Arial" w:eastAsia="Arial" w:hAnsi="Arial" w:cs="Arial"/>
                <w:sz w:val="18"/>
                <w:szCs w:val="18"/>
              </w:rPr>
              <w:t>Sinfony</w:t>
            </w:r>
            <w:proofErr w:type="spellEnd"/>
            <w:r w:rsidRPr="00EE26F4">
              <w:rPr>
                <w:rFonts w:ascii="Arial" w:eastAsia="Arial" w:hAnsi="Arial" w:cs="Arial"/>
                <w:sz w:val="18"/>
                <w:szCs w:val="18"/>
              </w:rPr>
              <w:t>) were tested. The antagonist was polycrystalline zirconia stabilized with 3% yttria. Each material underwent 250,000 cycles in a chewing simulator. Surface roughness was assessed by a 3D profilometer before and after the simulation.</w:t>
            </w:r>
          </w:p>
        </w:tc>
        <w:tc>
          <w:tcPr>
            <w:tcW w:w="2977" w:type="dxa"/>
            <w:vAlign w:val="center"/>
          </w:tcPr>
          <w:p w14:paraId="2A4FB6CF" w14:textId="77777777" w:rsidR="00EE26F4" w:rsidRPr="00EE26F4" w:rsidRDefault="00EE26F4" w:rsidP="00EE26F4">
            <w:pPr>
              <w:ind w:left="140"/>
              <w:jc w:val="center"/>
              <w:rPr>
                <w:rFonts w:ascii="Arial" w:eastAsia="Arial" w:hAnsi="Arial" w:cs="Arial"/>
                <w:sz w:val="18"/>
                <w:szCs w:val="18"/>
              </w:rPr>
            </w:pPr>
            <w:proofErr w:type="spellStart"/>
            <w:r w:rsidRPr="00EE26F4">
              <w:rPr>
                <w:rFonts w:ascii="Arial" w:eastAsia="Arial" w:hAnsi="Arial" w:cs="Arial"/>
                <w:sz w:val="18"/>
                <w:szCs w:val="18"/>
              </w:rPr>
              <w:t>Sinfony</w:t>
            </w:r>
            <w:proofErr w:type="spellEnd"/>
            <w:r w:rsidRPr="00EE26F4">
              <w:rPr>
                <w:rFonts w:ascii="Arial" w:eastAsia="Arial" w:hAnsi="Arial" w:cs="Arial"/>
                <w:sz w:val="18"/>
                <w:szCs w:val="18"/>
              </w:rPr>
              <w:t xml:space="preserve"> had significantly higher roughness than </w:t>
            </w:r>
            <w:proofErr w:type="spellStart"/>
            <w:r w:rsidRPr="00EE26F4">
              <w:rPr>
                <w:rFonts w:ascii="Arial" w:eastAsia="Arial" w:hAnsi="Arial" w:cs="Arial"/>
                <w:sz w:val="18"/>
                <w:szCs w:val="18"/>
              </w:rPr>
              <w:t>Tetric</w:t>
            </w:r>
            <w:proofErr w:type="spellEnd"/>
            <w:r w:rsidRPr="00EE26F4">
              <w:rPr>
                <w:rFonts w:ascii="Arial" w:eastAsia="Arial" w:hAnsi="Arial" w:cs="Arial"/>
                <w:sz w:val="18"/>
                <w:szCs w:val="18"/>
              </w:rPr>
              <w:t xml:space="preserve"> </w:t>
            </w:r>
            <w:proofErr w:type="spellStart"/>
            <w:r w:rsidRPr="00EE26F4">
              <w:rPr>
                <w:rFonts w:ascii="Arial" w:eastAsia="Arial" w:hAnsi="Arial" w:cs="Arial"/>
                <w:sz w:val="18"/>
                <w:szCs w:val="18"/>
              </w:rPr>
              <w:t>EvoCeram</w:t>
            </w:r>
            <w:proofErr w:type="spellEnd"/>
            <w:r w:rsidRPr="00EE26F4">
              <w:rPr>
                <w:rFonts w:ascii="Arial" w:eastAsia="Arial" w:hAnsi="Arial" w:cs="Arial"/>
                <w:sz w:val="18"/>
                <w:szCs w:val="18"/>
              </w:rPr>
              <w:t xml:space="preserve">, except for the Sa and </w:t>
            </w:r>
            <w:proofErr w:type="spellStart"/>
            <w:r w:rsidRPr="00EE26F4">
              <w:rPr>
                <w:rFonts w:ascii="Arial" w:eastAsia="Arial" w:hAnsi="Arial" w:cs="Arial"/>
                <w:sz w:val="18"/>
                <w:szCs w:val="18"/>
              </w:rPr>
              <w:t>Sv</w:t>
            </w:r>
            <w:proofErr w:type="spellEnd"/>
            <w:r w:rsidRPr="00EE26F4">
              <w:rPr>
                <w:rFonts w:ascii="Arial" w:eastAsia="Arial" w:hAnsi="Arial" w:cs="Arial"/>
                <w:sz w:val="18"/>
                <w:szCs w:val="18"/>
              </w:rPr>
              <w:t xml:space="preserve"> parameters after simulated chewing. Both materials showed an increase in roughness, but without a significant difference. However, the Sa and </w:t>
            </w:r>
            <w:proofErr w:type="spellStart"/>
            <w:r w:rsidRPr="00EE26F4">
              <w:rPr>
                <w:rFonts w:ascii="Arial" w:eastAsia="Arial" w:hAnsi="Arial" w:cs="Arial"/>
                <w:sz w:val="18"/>
                <w:szCs w:val="18"/>
              </w:rPr>
              <w:t>Sv</w:t>
            </w:r>
            <w:proofErr w:type="spellEnd"/>
            <w:r w:rsidRPr="00EE26F4">
              <w:rPr>
                <w:rFonts w:ascii="Arial" w:eastAsia="Arial" w:hAnsi="Arial" w:cs="Arial"/>
                <w:sz w:val="18"/>
                <w:szCs w:val="18"/>
              </w:rPr>
              <w:t xml:space="preserve"> (values for </w:t>
            </w:r>
            <w:proofErr w:type="spellStart"/>
            <w:r w:rsidRPr="00EE26F4">
              <w:rPr>
                <w:rFonts w:ascii="Arial" w:eastAsia="Arial" w:hAnsi="Arial" w:cs="Arial"/>
                <w:sz w:val="18"/>
                <w:szCs w:val="18"/>
              </w:rPr>
              <w:t>Tetric</w:t>
            </w:r>
            <w:proofErr w:type="spellEnd"/>
            <w:r w:rsidRPr="00EE26F4">
              <w:rPr>
                <w:rFonts w:ascii="Arial" w:eastAsia="Arial" w:hAnsi="Arial" w:cs="Arial"/>
                <w:sz w:val="18"/>
                <w:szCs w:val="18"/>
              </w:rPr>
              <w:t xml:space="preserve"> </w:t>
            </w:r>
            <w:proofErr w:type="spellStart"/>
            <w:r w:rsidRPr="00EE26F4">
              <w:rPr>
                <w:rFonts w:ascii="Arial" w:eastAsia="Arial" w:hAnsi="Arial" w:cs="Arial"/>
                <w:sz w:val="18"/>
                <w:szCs w:val="18"/>
              </w:rPr>
              <w:t>EvoCeram</w:t>
            </w:r>
            <w:proofErr w:type="spellEnd"/>
            <w:r w:rsidRPr="00EE26F4">
              <w:rPr>
                <w:rFonts w:ascii="Arial" w:eastAsia="Arial" w:hAnsi="Arial" w:cs="Arial"/>
                <w:sz w:val="18"/>
                <w:szCs w:val="18"/>
              </w:rPr>
              <w:t xml:space="preserve"> increased significantly after simulation.</w:t>
            </w:r>
          </w:p>
        </w:tc>
      </w:tr>
      <w:tr w:rsidR="00EE26F4" w:rsidRPr="00EE26F4" w14:paraId="1B4DAD91" w14:textId="77777777" w:rsidTr="00EE26F4">
        <w:trPr>
          <w:trHeight w:val="3672"/>
        </w:trPr>
        <w:tc>
          <w:tcPr>
            <w:tcW w:w="1620" w:type="dxa"/>
            <w:vAlign w:val="center"/>
          </w:tcPr>
          <w:p w14:paraId="5790CB60" w14:textId="77777777" w:rsidR="00EE26F4" w:rsidRPr="009E0B72" w:rsidRDefault="00EE26F4" w:rsidP="00EE26F4">
            <w:pPr>
              <w:ind w:left="140"/>
              <w:jc w:val="center"/>
              <w:rPr>
                <w:rFonts w:ascii="Arial" w:eastAsia="Arial" w:hAnsi="Arial" w:cs="Arial"/>
                <w:b/>
                <w:sz w:val="18"/>
                <w:szCs w:val="18"/>
                <w:lang w:val="fr-FR"/>
              </w:rPr>
            </w:pPr>
            <w:proofErr w:type="spellStart"/>
            <w:r w:rsidRPr="009E0B72">
              <w:rPr>
                <w:rFonts w:ascii="Arial" w:eastAsia="Arial" w:hAnsi="Arial" w:cs="Arial"/>
                <w:b/>
                <w:sz w:val="18"/>
                <w:szCs w:val="18"/>
                <w:lang w:val="fr-FR"/>
              </w:rPr>
              <w:lastRenderedPageBreak/>
              <w:t>Bahadir</w:t>
            </w:r>
            <w:proofErr w:type="spellEnd"/>
            <w:r w:rsidRPr="009E0B72">
              <w:rPr>
                <w:rFonts w:ascii="Arial" w:eastAsia="Arial" w:hAnsi="Arial" w:cs="Arial"/>
                <w:b/>
                <w:sz w:val="18"/>
                <w:szCs w:val="18"/>
                <w:lang w:val="fr-FR"/>
              </w:rPr>
              <w:t>, H. S. et al., 2023</w:t>
            </w:r>
          </w:p>
        </w:tc>
        <w:tc>
          <w:tcPr>
            <w:tcW w:w="1633" w:type="dxa"/>
            <w:vAlign w:val="center"/>
          </w:tcPr>
          <w:p w14:paraId="68D70228" w14:textId="77777777"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sz w:val="18"/>
                <w:szCs w:val="18"/>
              </w:rPr>
              <w:t>The aim of this study was to evaluate the effect of different modes of application of a universal adhesive on the repair capacity of two indirect resin composites and one direct resin composite.</w:t>
            </w:r>
          </w:p>
        </w:tc>
        <w:tc>
          <w:tcPr>
            <w:tcW w:w="1469" w:type="dxa"/>
            <w:vAlign w:val="center"/>
          </w:tcPr>
          <w:p w14:paraId="1B7AA208" w14:textId="77777777"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sz w:val="18"/>
                <w:szCs w:val="18"/>
              </w:rPr>
              <w:t>In vitro</w:t>
            </w:r>
          </w:p>
        </w:tc>
        <w:tc>
          <w:tcPr>
            <w:tcW w:w="1814" w:type="dxa"/>
            <w:vAlign w:val="center"/>
          </w:tcPr>
          <w:p w14:paraId="4AA6DD27" w14:textId="77777777"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sz w:val="18"/>
                <w:szCs w:val="18"/>
              </w:rPr>
              <w:t>Group 1: ER (</w:t>
            </w:r>
            <w:proofErr w:type="spellStart"/>
            <w:r w:rsidRPr="00EE26F4">
              <w:rPr>
                <w:rFonts w:ascii="Arial" w:eastAsia="Arial" w:hAnsi="Arial" w:cs="Arial"/>
                <w:sz w:val="18"/>
                <w:szCs w:val="18"/>
              </w:rPr>
              <w:t>etch&amp;rinse</w:t>
            </w:r>
            <w:proofErr w:type="spellEnd"/>
            <w:r w:rsidRPr="00EE26F4">
              <w:rPr>
                <w:rFonts w:ascii="Arial" w:eastAsia="Arial" w:hAnsi="Arial" w:cs="Arial"/>
                <w:sz w:val="18"/>
                <w:szCs w:val="18"/>
              </w:rPr>
              <w:t xml:space="preserve">) </w:t>
            </w:r>
            <w:r w:rsidRPr="00EE26F4">
              <w:rPr>
                <w:rFonts w:ascii="Arial" w:eastAsia="Arial" w:hAnsi="Arial" w:cs="Arial"/>
                <w:sz w:val="18"/>
                <w:szCs w:val="18"/>
              </w:rPr>
              <w:br/>
              <w:t xml:space="preserve">Group 2: SE (self-etch) </w:t>
            </w:r>
            <w:r w:rsidRPr="00EE26F4">
              <w:rPr>
                <w:rFonts w:ascii="Arial" w:eastAsia="Arial" w:hAnsi="Arial" w:cs="Arial"/>
                <w:sz w:val="18"/>
                <w:szCs w:val="18"/>
              </w:rPr>
              <w:br/>
              <w:t xml:space="preserve">Group 3: Bur + ER (bur + </w:t>
            </w:r>
            <w:proofErr w:type="spellStart"/>
            <w:r w:rsidRPr="00EE26F4">
              <w:rPr>
                <w:rFonts w:ascii="Arial" w:eastAsia="Arial" w:hAnsi="Arial" w:cs="Arial"/>
                <w:sz w:val="18"/>
                <w:szCs w:val="18"/>
              </w:rPr>
              <w:t>etch&amp;rinse</w:t>
            </w:r>
            <w:proofErr w:type="spellEnd"/>
            <w:r w:rsidRPr="00EE26F4">
              <w:rPr>
                <w:rFonts w:ascii="Arial" w:eastAsia="Arial" w:hAnsi="Arial" w:cs="Arial"/>
                <w:sz w:val="18"/>
                <w:szCs w:val="18"/>
              </w:rPr>
              <w:t xml:space="preserve">) </w:t>
            </w:r>
            <w:r w:rsidRPr="00EE26F4">
              <w:rPr>
                <w:rFonts w:ascii="Arial" w:eastAsia="Arial" w:hAnsi="Arial" w:cs="Arial"/>
                <w:sz w:val="18"/>
                <w:szCs w:val="18"/>
              </w:rPr>
              <w:br/>
              <w:t xml:space="preserve">Group 4: Bur + SE (bur + self-etch) </w:t>
            </w:r>
            <w:r w:rsidRPr="00EE26F4">
              <w:rPr>
                <w:rFonts w:ascii="Arial" w:eastAsia="Arial" w:hAnsi="Arial" w:cs="Arial"/>
                <w:sz w:val="18"/>
                <w:szCs w:val="18"/>
              </w:rPr>
              <w:br/>
              <w:t xml:space="preserve">Group 5: Bur + Silane + ER (bur + silane + </w:t>
            </w:r>
            <w:proofErr w:type="spellStart"/>
            <w:r w:rsidRPr="00EE26F4">
              <w:rPr>
                <w:rFonts w:ascii="Arial" w:eastAsia="Arial" w:hAnsi="Arial" w:cs="Arial"/>
                <w:sz w:val="18"/>
                <w:szCs w:val="18"/>
              </w:rPr>
              <w:t>etch&amp;rinse</w:t>
            </w:r>
            <w:proofErr w:type="spellEnd"/>
            <w:r w:rsidRPr="00EE26F4">
              <w:rPr>
                <w:rFonts w:ascii="Arial" w:eastAsia="Arial" w:hAnsi="Arial" w:cs="Arial"/>
                <w:sz w:val="18"/>
                <w:szCs w:val="18"/>
              </w:rPr>
              <w:t xml:space="preserve">) </w:t>
            </w:r>
            <w:r w:rsidRPr="00EE26F4">
              <w:rPr>
                <w:rFonts w:ascii="Arial" w:eastAsia="Arial" w:hAnsi="Arial" w:cs="Arial"/>
                <w:sz w:val="18"/>
                <w:szCs w:val="18"/>
              </w:rPr>
              <w:br/>
              <w:t>Group 6: Bur + Silane + SE (bur + silane + self-etch)</w:t>
            </w:r>
          </w:p>
        </w:tc>
        <w:tc>
          <w:tcPr>
            <w:tcW w:w="1664" w:type="dxa"/>
            <w:vAlign w:val="center"/>
          </w:tcPr>
          <w:p w14:paraId="7E7F0F9C" w14:textId="77777777"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sz w:val="18"/>
                <w:szCs w:val="18"/>
              </w:rPr>
              <w:t>N = 270 specimens, with 90 specimens for each of the three materials used (</w:t>
            </w:r>
            <w:proofErr w:type="spellStart"/>
            <w:r w:rsidRPr="00EE26F4">
              <w:rPr>
                <w:rFonts w:ascii="Arial" w:eastAsia="Arial" w:hAnsi="Arial" w:cs="Arial"/>
                <w:sz w:val="18"/>
                <w:szCs w:val="18"/>
              </w:rPr>
              <w:t>Gradia</w:t>
            </w:r>
            <w:proofErr w:type="spellEnd"/>
            <w:r w:rsidRPr="00EE26F4">
              <w:rPr>
                <w:rFonts w:ascii="Arial" w:eastAsia="Arial" w:hAnsi="Arial" w:cs="Arial"/>
                <w:sz w:val="18"/>
                <w:szCs w:val="18"/>
              </w:rPr>
              <w:t xml:space="preserve">® Plus, </w:t>
            </w:r>
            <w:proofErr w:type="spellStart"/>
            <w:r w:rsidRPr="00EE26F4">
              <w:rPr>
                <w:rFonts w:ascii="Arial" w:eastAsia="Arial" w:hAnsi="Arial" w:cs="Arial"/>
                <w:sz w:val="18"/>
                <w:szCs w:val="18"/>
              </w:rPr>
              <w:t>Ceramage</w:t>
            </w:r>
            <w:proofErr w:type="spellEnd"/>
            <w:r w:rsidRPr="00EE26F4">
              <w:rPr>
                <w:rFonts w:ascii="Arial" w:eastAsia="Arial" w:hAnsi="Arial" w:cs="Arial"/>
                <w:sz w:val="18"/>
                <w:szCs w:val="18"/>
              </w:rPr>
              <w:t xml:space="preserve">, and </w:t>
            </w:r>
            <w:proofErr w:type="spellStart"/>
            <w:r w:rsidRPr="00EE26F4">
              <w:rPr>
                <w:rFonts w:ascii="Arial" w:eastAsia="Arial" w:hAnsi="Arial" w:cs="Arial"/>
                <w:sz w:val="18"/>
                <w:szCs w:val="18"/>
              </w:rPr>
              <w:t>Filtek</w:t>
            </w:r>
            <w:proofErr w:type="spellEnd"/>
            <w:r w:rsidRPr="00EE26F4">
              <w:rPr>
                <w:rFonts w:ascii="Arial" w:eastAsia="Arial" w:hAnsi="Arial" w:cs="Arial"/>
                <w:sz w:val="18"/>
                <w:szCs w:val="18"/>
              </w:rPr>
              <w:t>™ Z250). Each material was divided into 6 subgroups, with 15 specimens per subgroup (n = 15), totaling 90 specimens per material.</w:t>
            </w:r>
          </w:p>
        </w:tc>
        <w:tc>
          <w:tcPr>
            <w:tcW w:w="1681" w:type="dxa"/>
            <w:vAlign w:val="center"/>
          </w:tcPr>
          <w:p w14:paraId="6B86C9D5" w14:textId="77777777"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sz w:val="18"/>
                <w:szCs w:val="18"/>
              </w:rPr>
              <w:t>Bond strength to repair</w:t>
            </w:r>
          </w:p>
        </w:tc>
        <w:tc>
          <w:tcPr>
            <w:tcW w:w="2268" w:type="dxa"/>
            <w:vAlign w:val="center"/>
          </w:tcPr>
          <w:p w14:paraId="2CF9DB74" w14:textId="4AC3B9E3" w:rsidR="00EE26F4" w:rsidRPr="00EE26F4" w:rsidRDefault="00EE26F4" w:rsidP="00EE26F4">
            <w:pPr>
              <w:ind w:left="140"/>
              <w:jc w:val="center"/>
              <w:rPr>
                <w:rFonts w:ascii="Arial" w:eastAsia="Arial" w:hAnsi="Arial" w:cs="Arial"/>
                <w:sz w:val="18"/>
                <w:szCs w:val="18"/>
              </w:rPr>
            </w:pPr>
            <w:bookmarkStart w:id="0" w:name="_heading=h.cxftvouw9fua" w:colFirst="0" w:colLast="0"/>
            <w:bookmarkEnd w:id="0"/>
            <w:r w:rsidRPr="00EE26F4">
              <w:rPr>
                <w:rFonts w:ascii="Arial" w:eastAsia="Arial" w:hAnsi="Arial" w:cs="Arial"/>
                <w:sz w:val="18"/>
                <w:szCs w:val="18"/>
              </w:rPr>
              <w:t>The study evaluated the bond strength of indirect (</w:t>
            </w:r>
            <w:proofErr w:type="spellStart"/>
            <w:r w:rsidRPr="00EE26F4">
              <w:rPr>
                <w:rFonts w:ascii="Arial" w:eastAsia="Arial" w:hAnsi="Arial" w:cs="Arial"/>
                <w:sz w:val="18"/>
                <w:szCs w:val="18"/>
              </w:rPr>
              <w:t>Ceramage</w:t>
            </w:r>
            <w:proofErr w:type="spellEnd"/>
            <w:r w:rsidRPr="00EE26F4">
              <w:rPr>
                <w:rFonts w:ascii="Arial" w:eastAsia="Arial" w:hAnsi="Arial" w:cs="Arial"/>
                <w:sz w:val="18"/>
                <w:szCs w:val="18"/>
              </w:rPr>
              <w:t xml:space="preserve"> and </w:t>
            </w:r>
            <w:proofErr w:type="spellStart"/>
            <w:r w:rsidRPr="00EE26F4">
              <w:rPr>
                <w:rFonts w:ascii="Arial" w:eastAsia="Arial" w:hAnsi="Arial" w:cs="Arial"/>
                <w:sz w:val="18"/>
                <w:szCs w:val="18"/>
              </w:rPr>
              <w:t>Gradia</w:t>
            </w:r>
            <w:proofErr w:type="spellEnd"/>
            <w:r w:rsidRPr="00EE26F4">
              <w:rPr>
                <w:rFonts w:ascii="Arial" w:eastAsia="Arial" w:hAnsi="Arial" w:cs="Arial"/>
                <w:sz w:val="18"/>
                <w:szCs w:val="18"/>
              </w:rPr>
              <w:t xml:space="preserve"> Plus) and direct (</w:t>
            </w:r>
            <w:proofErr w:type="spellStart"/>
            <w:r w:rsidRPr="00EE26F4">
              <w:rPr>
                <w:rFonts w:ascii="Arial" w:eastAsia="Arial" w:hAnsi="Arial" w:cs="Arial"/>
                <w:sz w:val="18"/>
                <w:szCs w:val="18"/>
              </w:rPr>
              <w:t>Filtek</w:t>
            </w:r>
            <w:proofErr w:type="spellEnd"/>
            <w:r w:rsidRPr="00EE26F4">
              <w:rPr>
                <w:rFonts w:ascii="Arial" w:eastAsia="Arial" w:hAnsi="Arial" w:cs="Arial"/>
                <w:sz w:val="18"/>
                <w:szCs w:val="18"/>
              </w:rPr>
              <w:t xml:space="preserve"> Z250) composite resins after six surface treatments: ER (etch &amp; rinse), SE (self-etch), Bur + ER, Bur + SE, Bur + Silane + ER, and Bur + Silane + SE. The blocks were </w:t>
            </w:r>
            <w:proofErr w:type="spellStart"/>
            <w:r w:rsidRPr="00EE26F4">
              <w:rPr>
                <w:rFonts w:ascii="Arial" w:eastAsia="Arial" w:hAnsi="Arial" w:cs="Arial"/>
                <w:sz w:val="18"/>
                <w:szCs w:val="18"/>
              </w:rPr>
              <w:t>thermocycled</w:t>
            </w:r>
            <w:proofErr w:type="spellEnd"/>
            <w:r w:rsidRPr="00EE26F4">
              <w:rPr>
                <w:rFonts w:ascii="Arial" w:eastAsia="Arial" w:hAnsi="Arial" w:cs="Arial"/>
                <w:sz w:val="18"/>
                <w:szCs w:val="18"/>
              </w:rPr>
              <w:t>, adhesive applied, shear tested, and evaluated for failure mode.</w:t>
            </w:r>
          </w:p>
        </w:tc>
        <w:tc>
          <w:tcPr>
            <w:tcW w:w="2977" w:type="dxa"/>
            <w:vAlign w:val="center"/>
          </w:tcPr>
          <w:p w14:paraId="0864BA59" w14:textId="77777777"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sz w:val="18"/>
                <w:szCs w:val="18"/>
              </w:rPr>
              <w:t xml:space="preserve">The highest bond strength values were obtained for the Bur + Silane + SE groups, while the lowest values were obtained for the Bur + Silane + ER groups for all materials. Statistically significant differences were observed between the Bur + Silane + ER group and the ER, Bur + ER, and Bur + Silane + SE groups in </w:t>
            </w:r>
            <w:proofErr w:type="spellStart"/>
            <w:r w:rsidRPr="00EE26F4">
              <w:rPr>
                <w:rFonts w:ascii="Arial" w:eastAsia="Arial" w:hAnsi="Arial" w:cs="Arial"/>
                <w:sz w:val="18"/>
                <w:szCs w:val="18"/>
              </w:rPr>
              <w:t>Gradia</w:t>
            </w:r>
            <w:proofErr w:type="spellEnd"/>
            <w:r w:rsidRPr="00EE26F4">
              <w:rPr>
                <w:rFonts w:ascii="Arial" w:eastAsia="Arial" w:hAnsi="Arial" w:cs="Arial"/>
                <w:sz w:val="18"/>
                <w:szCs w:val="18"/>
              </w:rPr>
              <w:t xml:space="preserve"> Plus.</w:t>
            </w:r>
          </w:p>
        </w:tc>
      </w:tr>
      <w:tr w:rsidR="00EE26F4" w:rsidRPr="00EE26F4" w14:paraId="7BE3D658" w14:textId="77777777" w:rsidTr="00EE26F4">
        <w:trPr>
          <w:trHeight w:val="850"/>
        </w:trPr>
        <w:tc>
          <w:tcPr>
            <w:tcW w:w="1620" w:type="dxa"/>
            <w:vAlign w:val="center"/>
          </w:tcPr>
          <w:p w14:paraId="0E086739" w14:textId="77777777" w:rsidR="00EE26F4" w:rsidRPr="00EE26F4" w:rsidRDefault="00EE26F4" w:rsidP="00EE26F4">
            <w:pPr>
              <w:ind w:left="140"/>
              <w:jc w:val="center"/>
              <w:rPr>
                <w:rFonts w:ascii="Arial" w:eastAsia="Arial" w:hAnsi="Arial" w:cs="Arial"/>
                <w:b/>
                <w:sz w:val="18"/>
                <w:szCs w:val="18"/>
              </w:rPr>
            </w:pPr>
            <w:r w:rsidRPr="00EE26F4">
              <w:rPr>
                <w:rFonts w:ascii="Arial" w:eastAsia="Arial" w:hAnsi="Arial" w:cs="Arial"/>
                <w:b/>
                <w:sz w:val="18"/>
                <w:szCs w:val="18"/>
              </w:rPr>
              <w:t>Shah, S. et al., 2024</w:t>
            </w:r>
          </w:p>
        </w:tc>
        <w:tc>
          <w:tcPr>
            <w:tcW w:w="1633" w:type="dxa"/>
            <w:vAlign w:val="center"/>
          </w:tcPr>
          <w:p w14:paraId="736CBD7C" w14:textId="77777777"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sz w:val="18"/>
                <w:szCs w:val="18"/>
              </w:rPr>
              <w:t>To evaluate the survival and clinical performance of restorative materials used in the rehabilitation of tooth wear.</w:t>
            </w:r>
          </w:p>
          <w:p w14:paraId="2DAE3EB3" w14:textId="77777777" w:rsidR="00EE26F4" w:rsidRPr="00EE26F4" w:rsidRDefault="00EE26F4" w:rsidP="00EE26F4">
            <w:pPr>
              <w:jc w:val="center"/>
              <w:rPr>
                <w:rFonts w:ascii="Arial" w:eastAsia="Arial" w:hAnsi="Arial" w:cs="Arial"/>
                <w:sz w:val="18"/>
                <w:szCs w:val="18"/>
              </w:rPr>
            </w:pPr>
          </w:p>
        </w:tc>
        <w:tc>
          <w:tcPr>
            <w:tcW w:w="1469" w:type="dxa"/>
            <w:vAlign w:val="center"/>
          </w:tcPr>
          <w:p w14:paraId="10A82E39" w14:textId="77777777"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sz w:val="18"/>
                <w:szCs w:val="18"/>
              </w:rPr>
              <w:t>Retrospective clinical</w:t>
            </w:r>
          </w:p>
        </w:tc>
        <w:tc>
          <w:tcPr>
            <w:tcW w:w="1814" w:type="dxa"/>
            <w:vAlign w:val="center"/>
          </w:tcPr>
          <w:p w14:paraId="1F020857" w14:textId="77777777"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sz w:val="18"/>
                <w:szCs w:val="18"/>
              </w:rPr>
              <w:t>The study analyzed four groups of restorations: direct composite resin in anterior teeth, indirect cast restorations in posterior teeth, amalgam restorations, and implant restorations.</w:t>
            </w:r>
          </w:p>
        </w:tc>
        <w:tc>
          <w:tcPr>
            <w:tcW w:w="1664" w:type="dxa"/>
            <w:vAlign w:val="center"/>
          </w:tcPr>
          <w:p w14:paraId="2C06BDF5" w14:textId="77777777"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sz w:val="18"/>
                <w:szCs w:val="18"/>
              </w:rPr>
              <w:t>N =</w:t>
            </w:r>
            <w:r w:rsidRPr="00EE26F4">
              <w:rPr>
                <w:rFonts w:ascii="Arial" w:eastAsia="Arial" w:hAnsi="Arial" w:cs="Arial"/>
                <w:b/>
                <w:sz w:val="18"/>
                <w:szCs w:val="18"/>
              </w:rPr>
              <w:t xml:space="preserve"> </w:t>
            </w:r>
            <w:r w:rsidRPr="00EE26F4">
              <w:rPr>
                <w:rFonts w:ascii="Arial" w:eastAsia="Arial" w:hAnsi="Arial" w:cs="Arial"/>
                <w:sz w:val="18"/>
                <w:szCs w:val="18"/>
              </w:rPr>
              <w:t>20 patients (13 men and 7 women), with a mean age of 51.8 years (ranging from 33 to 73 years).</w:t>
            </w:r>
          </w:p>
        </w:tc>
        <w:tc>
          <w:tcPr>
            <w:tcW w:w="1681" w:type="dxa"/>
            <w:vAlign w:val="center"/>
          </w:tcPr>
          <w:p w14:paraId="19B23D5E" w14:textId="77777777"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sz w:val="18"/>
                <w:szCs w:val="18"/>
              </w:rPr>
              <w:t>Survival and clinical performance of restorations</w:t>
            </w:r>
          </w:p>
        </w:tc>
        <w:tc>
          <w:tcPr>
            <w:tcW w:w="2268" w:type="dxa"/>
            <w:vAlign w:val="center"/>
          </w:tcPr>
          <w:p w14:paraId="65E8FF0F" w14:textId="51BF23F0"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sz w:val="18"/>
                <w:szCs w:val="18"/>
              </w:rPr>
              <w:t>The clinical performance of 527 restorations in 20 patients with severe tooth wear was evaluated after 5 years. Anterior teeth received direct composite resin restorations, and posterior teeth received indirect restorations. The evaluation followed modified United States Public Health Service criteria.</w:t>
            </w:r>
          </w:p>
        </w:tc>
        <w:tc>
          <w:tcPr>
            <w:tcW w:w="2977" w:type="dxa"/>
            <w:vAlign w:val="center"/>
          </w:tcPr>
          <w:p w14:paraId="368DE054" w14:textId="77777777" w:rsidR="00EE26F4" w:rsidRPr="00EE26F4" w:rsidRDefault="00EE26F4" w:rsidP="00EE26F4">
            <w:pPr>
              <w:ind w:left="140"/>
              <w:jc w:val="center"/>
              <w:rPr>
                <w:rFonts w:ascii="Arial" w:eastAsia="Arial" w:hAnsi="Arial" w:cs="Arial"/>
                <w:sz w:val="18"/>
                <w:szCs w:val="18"/>
              </w:rPr>
            </w:pPr>
            <w:r w:rsidRPr="00EE26F4">
              <w:rPr>
                <w:rFonts w:ascii="Arial" w:eastAsia="Arial" w:hAnsi="Arial" w:cs="Arial"/>
                <w:sz w:val="18"/>
                <w:szCs w:val="18"/>
              </w:rPr>
              <w:t>Composite resin restorations commonly failed due to fracture, wear, and marginal discoloration. Factors that significantly influenced restoration survival were the material used, etiology, incisal relationship, and tooth location. Biological complications associated with this treatment regimen were rare. Patient satisfaction remained generally high, with greater dissatisfaction related to treatment time.</w:t>
            </w:r>
          </w:p>
        </w:tc>
      </w:tr>
    </w:tbl>
    <w:p w14:paraId="3FDD4CFC" w14:textId="77777777" w:rsidR="009E0B4F" w:rsidRPr="00501C31" w:rsidRDefault="009E0B4F">
      <w:pPr>
        <w:widowControl w:val="0"/>
        <w:pBdr>
          <w:top w:val="nil"/>
          <w:left w:val="nil"/>
          <w:bottom w:val="nil"/>
          <w:right w:val="nil"/>
          <w:between w:val="nil"/>
        </w:pBdr>
        <w:rPr>
          <w:rFonts w:ascii="Arial" w:eastAsia="Arial" w:hAnsi="Arial" w:cs="Arial"/>
          <w:sz w:val="20"/>
          <w:szCs w:val="20"/>
        </w:rPr>
      </w:pPr>
    </w:p>
    <w:p w14:paraId="27DF2FCC" w14:textId="77777777" w:rsidR="009E0B4F" w:rsidRPr="00501C31" w:rsidRDefault="0070690F">
      <w:pPr>
        <w:spacing w:before="240" w:after="240"/>
        <w:rPr>
          <w:rFonts w:ascii="Arial" w:eastAsia="Arial" w:hAnsi="Arial" w:cs="Arial"/>
          <w:sz w:val="20"/>
          <w:szCs w:val="20"/>
        </w:rPr>
        <w:sectPr w:rsidR="009E0B4F" w:rsidRPr="00501C31" w:rsidSect="00E2387E">
          <w:type w:val="continuous"/>
          <w:pgSz w:w="16838" w:h="11906" w:orient="landscape"/>
          <w:pgMar w:top="1701" w:right="1134" w:bottom="1134" w:left="1701" w:header="709" w:footer="709" w:gutter="0"/>
          <w:cols w:space="720"/>
          <w:docGrid w:linePitch="326"/>
        </w:sectPr>
      </w:pPr>
      <w:r w:rsidRPr="00501C31">
        <w:br w:type="page"/>
      </w:r>
    </w:p>
    <w:p w14:paraId="55B9E891" w14:textId="77777777" w:rsidR="00630353" w:rsidRPr="00630353" w:rsidRDefault="00630353" w:rsidP="00630353">
      <w:pPr>
        <w:pBdr>
          <w:top w:val="nil"/>
          <w:left w:val="nil"/>
          <w:bottom w:val="nil"/>
          <w:right w:val="nil"/>
          <w:between w:val="nil"/>
        </w:pBdr>
        <w:ind w:firstLine="720"/>
        <w:jc w:val="both"/>
        <w:rPr>
          <w:rFonts w:ascii="Arial" w:eastAsia="Arial" w:hAnsi="Arial" w:cs="Arial"/>
          <w:b/>
          <w:bCs/>
          <w:color w:val="000000"/>
          <w:sz w:val="22"/>
          <w:szCs w:val="22"/>
        </w:rPr>
      </w:pPr>
      <w:r w:rsidRPr="00630353">
        <w:rPr>
          <w:rFonts w:ascii="Arial" w:eastAsia="Arial" w:hAnsi="Arial" w:cs="Arial"/>
          <w:b/>
          <w:bCs/>
          <w:color w:val="000000"/>
          <w:sz w:val="22"/>
          <w:szCs w:val="22"/>
        </w:rPr>
        <w:lastRenderedPageBreak/>
        <w:t>4. DISCUSSION</w:t>
      </w:r>
    </w:p>
    <w:p w14:paraId="02BC8091" w14:textId="77777777" w:rsidR="00630353" w:rsidRPr="00630353" w:rsidRDefault="00630353" w:rsidP="00630353">
      <w:pPr>
        <w:pBdr>
          <w:top w:val="nil"/>
          <w:left w:val="nil"/>
          <w:bottom w:val="nil"/>
          <w:right w:val="nil"/>
          <w:between w:val="nil"/>
        </w:pBdr>
        <w:ind w:firstLine="720"/>
        <w:jc w:val="both"/>
        <w:rPr>
          <w:rFonts w:ascii="Arial" w:eastAsia="Arial" w:hAnsi="Arial" w:cs="Arial"/>
          <w:color w:val="000000"/>
          <w:sz w:val="20"/>
          <w:szCs w:val="20"/>
        </w:rPr>
      </w:pPr>
    </w:p>
    <w:p w14:paraId="581BD59F" w14:textId="25BFD519" w:rsidR="00630353" w:rsidRPr="00630353" w:rsidRDefault="00630353" w:rsidP="00630353">
      <w:pPr>
        <w:pBdr>
          <w:top w:val="nil"/>
          <w:left w:val="nil"/>
          <w:bottom w:val="nil"/>
          <w:right w:val="nil"/>
          <w:between w:val="nil"/>
        </w:pBdr>
        <w:ind w:firstLine="720"/>
        <w:jc w:val="both"/>
        <w:rPr>
          <w:rFonts w:ascii="Arial" w:eastAsia="Arial" w:hAnsi="Arial" w:cs="Arial"/>
          <w:color w:val="000000"/>
          <w:sz w:val="20"/>
          <w:szCs w:val="20"/>
        </w:rPr>
      </w:pPr>
      <w:r w:rsidRPr="00630353">
        <w:rPr>
          <w:rFonts w:ascii="Arial" w:eastAsia="Arial" w:hAnsi="Arial" w:cs="Arial"/>
          <w:color w:val="000000"/>
          <w:sz w:val="20"/>
          <w:szCs w:val="20"/>
        </w:rPr>
        <w:t xml:space="preserve">           </w:t>
      </w:r>
      <w:r w:rsidR="00EE26F4">
        <w:rPr>
          <w:rFonts w:ascii="Arial" w:eastAsia="Arial" w:hAnsi="Arial" w:cs="Arial"/>
          <w:color w:val="000000"/>
          <w:sz w:val="20"/>
          <w:szCs w:val="20"/>
        </w:rPr>
        <w:t xml:space="preserve">Sixteen </w:t>
      </w:r>
      <w:r w:rsidRPr="00630353">
        <w:rPr>
          <w:rFonts w:ascii="Arial" w:eastAsia="Arial" w:hAnsi="Arial" w:cs="Arial"/>
          <w:color w:val="000000"/>
          <w:sz w:val="20"/>
          <w:szCs w:val="20"/>
        </w:rPr>
        <w:t>articles were selected. They presented a variety of applied methodologies, demonstrating the comparison between the use of direct and indirect composite resin. The studies selected were mostly in vitro studies, which have more rigorous control of the variables involved, although there were other studies, such as randomized clinical trials and retrospective analyses.</w:t>
      </w:r>
    </w:p>
    <w:p w14:paraId="3EDF1186" w14:textId="77777777" w:rsidR="00630353" w:rsidRPr="00630353" w:rsidRDefault="00630353" w:rsidP="00630353">
      <w:pPr>
        <w:pBdr>
          <w:top w:val="nil"/>
          <w:left w:val="nil"/>
          <w:bottom w:val="nil"/>
          <w:right w:val="nil"/>
          <w:between w:val="nil"/>
        </w:pBdr>
        <w:ind w:firstLine="720"/>
        <w:jc w:val="both"/>
        <w:rPr>
          <w:rFonts w:ascii="Arial" w:eastAsia="Arial" w:hAnsi="Arial" w:cs="Arial"/>
          <w:color w:val="000000"/>
          <w:sz w:val="20"/>
          <w:szCs w:val="20"/>
        </w:rPr>
      </w:pPr>
      <w:r w:rsidRPr="00630353">
        <w:rPr>
          <w:rFonts w:ascii="Arial" w:eastAsia="Arial" w:hAnsi="Arial" w:cs="Arial"/>
          <w:color w:val="000000"/>
          <w:sz w:val="20"/>
          <w:szCs w:val="20"/>
        </w:rPr>
        <w:t>Among the selected articles, molars and premolars were the most frequently used teeth, reflecting greater mechanical demands and assessment of fracture resistance in this region. While anterior teeth were less frequently used, focusing mainly on parameters such as marginal adaptation and color stability. Therefore, it was noted that posterior teeth were preferentially chosen in the studies because they presented a greater number of studies focused on mechanical parameters. Anterior teeth, on the other hand, were more explored when the focus was on evaluating aesthetic standards.</w:t>
      </w:r>
    </w:p>
    <w:p w14:paraId="0EB01694" w14:textId="122BCFBA" w:rsidR="00630353" w:rsidRPr="00630353" w:rsidRDefault="00630353" w:rsidP="00630353">
      <w:pPr>
        <w:pBdr>
          <w:top w:val="nil"/>
          <w:left w:val="nil"/>
          <w:bottom w:val="nil"/>
          <w:right w:val="nil"/>
          <w:between w:val="nil"/>
        </w:pBdr>
        <w:ind w:firstLine="720"/>
        <w:jc w:val="both"/>
        <w:rPr>
          <w:rFonts w:ascii="Arial" w:eastAsia="Arial" w:hAnsi="Arial" w:cs="Arial"/>
          <w:color w:val="000000"/>
          <w:sz w:val="20"/>
          <w:szCs w:val="20"/>
        </w:rPr>
      </w:pPr>
      <w:r w:rsidRPr="00630353">
        <w:rPr>
          <w:rFonts w:ascii="Arial" w:eastAsia="Arial" w:hAnsi="Arial" w:cs="Arial"/>
          <w:color w:val="000000"/>
          <w:sz w:val="20"/>
          <w:szCs w:val="20"/>
        </w:rPr>
        <w:t xml:space="preserve">Among the studies included in this review, </w:t>
      </w:r>
      <w:proofErr w:type="spellStart"/>
      <w:r w:rsidRPr="00630353">
        <w:rPr>
          <w:rFonts w:ascii="Arial" w:eastAsia="Arial" w:hAnsi="Arial" w:cs="Arial"/>
          <w:color w:val="000000"/>
          <w:sz w:val="20"/>
          <w:szCs w:val="20"/>
        </w:rPr>
        <w:t>Filtek</w:t>
      </w:r>
      <w:proofErr w:type="spellEnd"/>
      <w:r w:rsidRPr="00630353">
        <w:rPr>
          <w:rFonts w:ascii="Arial" w:eastAsia="Arial" w:hAnsi="Arial" w:cs="Arial"/>
          <w:color w:val="000000"/>
          <w:sz w:val="20"/>
          <w:szCs w:val="20"/>
        </w:rPr>
        <w:t xml:space="preserve"> Z250 (3M ESPE®) and </w:t>
      </w:r>
      <w:proofErr w:type="spellStart"/>
      <w:r w:rsidRPr="00630353">
        <w:rPr>
          <w:rFonts w:ascii="Arial" w:eastAsia="Arial" w:hAnsi="Arial" w:cs="Arial"/>
          <w:color w:val="000000"/>
          <w:sz w:val="20"/>
          <w:szCs w:val="20"/>
        </w:rPr>
        <w:t>Gradia</w:t>
      </w:r>
      <w:proofErr w:type="spellEnd"/>
      <w:r w:rsidRPr="00630353">
        <w:rPr>
          <w:rFonts w:ascii="Arial" w:eastAsia="Arial" w:hAnsi="Arial" w:cs="Arial"/>
          <w:color w:val="000000"/>
          <w:sz w:val="20"/>
          <w:szCs w:val="20"/>
        </w:rPr>
        <w:t xml:space="preserve"> (GC®) resins were the most frequently used, representing direct and indirect materials, respectively. They have wide clinical use and are consolidated in the market, which facilitates the standardization of experimental protocols and ensures the comparability of results. This finding was observed in studies such as those by </w:t>
      </w:r>
      <w:proofErr w:type="spellStart"/>
      <w:r w:rsidRPr="00630353">
        <w:rPr>
          <w:rFonts w:ascii="Arial" w:eastAsia="Arial" w:hAnsi="Arial" w:cs="Arial"/>
          <w:color w:val="000000"/>
          <w:sz w:val="20"/>
          <w:szCs w:val="20"/>
        </w:rPr>
        <w:t>Torabzadeh</w:t>
      </w:r>
      <w:proofErr w:type="spellEnd"/>
      <w:r w:rsidRPr="00630353">
        <w:rPr>
          <w:rFonts w:ascii="Arial" w:eastAsia="Arial" w:hAnsi="Arial" w:cs="Arial"/>
          <w:color w:val="000000"/>
          <w:sz w:val="20"/>
          <w:szCs w:val="20"/>
        </w:rPr>
        <w:t xml:space="preserve"> et al. (2013), </w:t>
      </w:r>
      <w:proofErr w:type="spellStart"/>
      <w:r w:rsidRPr="00630353">
        <w:rPr>
          <w:rFonts w:ascii="Arial" w:eastAsia="Arial" w:hAnsi="Arial" w:cs="Arial"/>
          <w:color w:val="000000"/>
          <w:sz w:val="20"/>
          <w:szCs w:val="20"/>
        </w:rPr>
        <w:t>Hasani</w:t>
      </w:r>
      <w:proofErr w:type="spellEnd"/>
      <w:r w:rsidRPr="00630353">
        <w:rPr>
          <w:rFonts w:ascii="Arial" w:eastAsia="Arial" w:hAnsi="Arial" w:cs="Arial"/>
          <w:color w:val="000000"/>
          <w:sz w:val="20"/>
          <w:szCs w:val="20"/>
        </w:rPr>
        <w:t xml:space="preserve"> </w:t>
      </w:r>
      <w:proofErr w:type="spellStart"/>
      <w:r w:rsidRPr="00630353">
        <w:rPr>
          <w:rFonts w:ascii="Arial" w:eastAsia="Arial" w:hAnsi="Arial" w:cs="Arial"/>
          <w:color w:val="000000"/>
          <w:sz w:val="20"/>
          <w:szCs w:val="20"/>
        </w:rPr>
        <w:t>Tabatabaei</w:t>
      </w:r>
      <w:proofErr w:type="spellEnd"/>
      <w:r w:rsidRPr="00630353">
        <w:rPr>
          <w:rFonts w:ascii="Arial" w:eastAsia="Arial" w:hAnsi="Arial" w:cs="Arial"/>
          <w:color w:val="000000"/>
          <w:sz w:val="20"/>
          <w:szCs w:val="20"/>
        </w:rPr>
        <w:t xml:space="preserve"> et al. (2016), and </w:t>
      </w:r>
      <w:proofErr w:type="spellStart"/>
      <w:r w:rsidRPr="00630353">
        <w:rPr>
          <w:rFonts w:ascii="Arial" w:eastAsia="Arial" w:hAnsi="Arial" w:cs="Arial"/>
          <w:color w:val="000000"/>
          <w:sz w:val="20"/>
          <w:szCs w:val="20"/>
        </w:rPr>
        <w:t>Bahadir</w:t>
      </w:r>
      <w:proofErr w:type="spellEnd"/>
      <w:r w:rsidRPr="00630353">
        <w:rPr>
          <w:rFonts w:ascii="Arial" w:eastAsia="Arial" w:hAnsi="Arial" w:cs="Arial"/>
          <w:color w:val="000000"/>
          <w:sz w:val="20"/>
          <w:szCs w:val="20"/>
        </w:rPr>
        <w:t xml:space="preserve"> et al. (2023).</w:t>
      </w:r>
    </w:p>
    <w:p w14:paraId="145ED787" w14:textId="0C00662A" w:rsidR="00630353" w:rsidRPr="00630353" w:rsidRDefault="00630353" w:rsidP="00630353">
      <w:pPr>
        <w:pBdr>
          <w:top w:val="nil"/>
          <w:left w:val="nil"/>
          <w:bottom w:val="nil"/>
          <w:right w:val="nil"/>
          <w:between w:val="nil"/>
        </w:pBdr>
        <w:ind w:firstLine="720"/>
        <w:jc w:val="both"/>
        <w:rPr>
          <w:rFonts w:ascii="Arial" w:eastAsia="Arial" w:hAnsi="Arial" w:cs="Arial"/>
          <w:color w:val="000000"/>
          <w:sz w:val="20"/>
          <w:szCs w:val="20"/>
        </w:rPr>
      </w:pPr>
      <w:r w:rsidRPr="00630353">
        <w:rPr>
          <w:rFonts w:ascii="Arial" w:eastAsia="Arial" w:hAnsi="Arial" w:cs="Arial"/>
          <w:color w:val="000000"/>
          <w:sz w:val="20"/>
          <w:szCs w:val="20"/>
        </w:rPr>
        <w:t>It was also observed that direct resin restorations presented similar or even higher performance to indirect ones when it came to mechanical strength, especially associated with cusp coverage (</w:t>
      </w:r>
      <w:proofErr w:type="spellStart"/>
      <w:r w:rsidRPr="00630353">
        <w:rPr>
          <w:rFonts w:ascii="Arial" w:eastAsia="Arial" w:hAnsi="Arial" w:cs="Arial"/>
          <w:color w:val="000000"/>
          <w:sz w:val="20"/>
          <w:szCs w:val="20"/>
        </w:rPr>
        <w:t>Torabzadeh</w:t>
      </w:r>
      <w:proofErr w:type="spellEnd"/>
      <w:r w:rsidRPr="00630353">
        <w:rPr>
          <w:rFonts w:ascii="Arial" w:eastAsia="Arial" w:hAnsi="Arial" w:cs="Arial"/>
          <w:color w:val="000000"/>
          <w:sz w:val="20"/>
          <w:szCs w:val="20"/>
        </w:rPr>
        <w:t xml:space="preserve"> et al., 2013; Yamamoto et al., 2013). The presence of cusp coverage in restorations provides greater fracture resistance, as demonstrated in studies by </w:t>
      </w:r>
      <w:proofErr w:type="spellStart"/>
      <w:r w:rsidRPr="00630353">
        <w:rPr>
          <w:rFonts w:ascii="Arial" w:eastAsia="Arial" w:hAnsi="Arial" w:cs="Arial"/>
          <w:color w:val="000000"/>
          <w:sz w:val="20"/>
          <w:szCs w:val="20"/>
        </w:rPr>
        <w:t>Torabzadeh</w:t>
      </w:r>
      <w:proofErr w:type="spellEnd"/>
      <w:r w:rsidRPr="00630353">
        <w:rPr>
          <w:rFonts w:ascii="Arial" w:eastAsia="Arial" w:hAnsi="Arial" w:cs="Arial"/>
          <w:color w:val="000000"/>
          <w:sz w:val="20"/>
          <w:szCs w:val="20"/>
        </w:rPr>
        <w:t xml:space="preserve"> et al. (2013). Cusp coverage redistributes masticatory forces, increasing the durability of the restoration, whereas, without the coverage, the strength of the restored tooth is significantly reduced, which increases the risk of failure, especially in weakened teeth (</w:t>
      </w:r>
      <w:proofErr w:type="spellStart"/>
      <w:r w:rsidRPr="00630353">
        <w:rPr>
          <w:rFonts w:ascii="Arial" w:eastAsia="Arial" w:hAnsi="Arial" w:cs="Arial"/>
          <w:color w:val="000000"/>
          <w:sz w:val="20"/>
          <w:szCs w:val="20"/>
        </w:rPr>
        <w:t>Torabzadeh</w:t>
      </w:r>
      <w:proofErr w:type="spellEnd"/>
      <w:r w:rsidRPr="00630353">
        <w:rPr>
          <w:rFonts w:ascii="Arial" w:eastAsia="Arial" w:hAnsi="Arial" w:cs="Arial"/>
          <w:color w:val="000000"/>
          <w:sz w:val="20"/>
          <w:szCs w:val="20"/>
        </w:rPr>
        <w:t xml:space="preserve"> et al., 2013). Indirect restorations showed better performance against bacterial adhesion (</w:t>
      </w:r>
      <w:proofErr w:type="spellStart"/>
      <w:r w:rsidRPr="00630353">
        <w:rPr>
          <w:rFonts w:ascii="Arial" w:eastAsia="Arial" w:hAnsi="Arial" w:cs="Arial"/>
          <w:color w:val="000000"/>
          <w:sz w:val="20"/>
          <w:szCs w:val="20"/>
        </w:rPr>
        <w:t>Derchi</w:t>
      </w:r>
      <w:proofErr w:type="spellEnd"/>
      <w:r w:rsidRPr="00630353">
        <w:rPr>
          <w:rFonts w:ascii="Arial" w:eastAsia="Arial" w:hAnsi="Arial" w:cs="Arial"/>
          <w:color w:val="000000"/>
          <w:sz w:val="20"/>
          <w:szCs w:val="20"/>
        </w:rPr>
        <w:t xml:space="preserve"> et al., 2017) and color stability, especially after accelerated aging (</w:t>
      </w:r>
      <w:proofErr w:type="spellStart"/>
      <w:r w:rsidRPr="00630353">
        <w:rPr>
          <w:rFonts w:ascii="Arial" w:eastAsia="Arial" w:hAnsi="Arial" w:cs="Arial"/>
          <w:color w:val="000000"/>
          <w:sz w:val="20"/>
          <w:szCs w:val="20"/>
        </w:rPr>
        <w:t>Hasani</w:t>
      </w:r>
      <w:proofErr w:type="spellEnd"/>
      <w:r w:rsidRPr="00630353">
        <w:rPr>
          <w:rFonts w:ascii="Arial" w:eastAsia="Arial" w:hAnsi="Arial" w:cs="Arial"/>
          <w:color w:val="000000"/>
          <w:sz w:val="20"/>
          <w:szCs w:val="20"/>
        </w:rPr>
        <w:t xml:space="preserve"> </w:t>
      </w:r>
      <w:proofErr w:type="spellStart"/>
      <w:r w:rsidRPr="00630353">
        <w:rPr>
          <w:rFonts w:ascii="Arial" w:eastAsia="Arial" w:hAnsi="Arial" w:cs="Arial"/>
          <w:color w:val="000000"/>
          <w:sz w:val="20"/>
          <w:szCs w:val="20"/>
        </w:rPr>
        <w:t>Tabatabaei</w:t>
      </w:r>
      <w:proofErr w:type="spellEnd"/>
      <w:r w:rsidRPr="00630353">
        <w:rPr>
          <w:rFonts w:ascii="Arial" w:eastAsia="Arial" w:hAnsi="Arial" w:cs="Arial"/>
          <w:color w:val="000000"/>
          <w:sz w:val="20"/>
          <w:szCs w:val="20"/>
        </w:rPr>
        <w:t xml:space="preserve"> et al., 2016). Among the most frequently evaluated parameters were: fracture resistance, bond strength, bacterial adhesion, surface roughness, marginal adaptation, and color stability (</w:t>
      </w:r>
      <w:proofErr w:type="spellStart"/>
      <w:r w:rsidRPr="00630353">
        <w:rPr>
          <w:rFonts w:ascii="Arial" w:eastAsia="Arial" w:hAnsi="Arial" w:cs="Arial"/>
          <w:color w:val="000000"/>
          <w:sz w:val="20"/>
          <w:szCs w:val="20"/>
        </w:rPr>
        <w:t>Bahadir</w:t>
      </w:r>
      <w:proofErr w:type="spellEnd"/>
      <w:r w:rsidRPr="00630353">
        <w:rPr>
          <w:rFonts w:ascii="Arial" w:eastAsia="Arial" w:hAnsi="Arial" w:cs="Arial"/>
          <w:color w:val="000000"/>
          <w:sz w:val="20"/>
          <w:szCs w:val="20"/>
        </w:rPr>
        <w:t xml:space="preserve"> et al., 2023; </w:t>
      </w:r>
      <w:proofErr w:type="spellStart"/>
      <w:r w:rsidRPr="00630353">
        <w:rPr>
          <w:rFonts w:ascii="Arial" w:eastAsia="Arial" w:hAnsi="Arial" w:cs="Arial"/>
          <w:color w:val="000000"/>
          <w:sz w:val="20"/>
          <w:szCs w:val="20"/>
        </w:rPr>
        <w:t>Osiewicz</w:t>
      </w:r>
      <w:proofErr w:type="spellEnd"/>
      <w:r w:rsidRPr="00630353">
        <w:rPr>
          <w:rFonts w:ascii="Arial" w:eastAsia="Arial" w:hAnsi="Arial" w:cs="Arial"/>
          <w:color w:val="000000"/>
          <w:sz w:val="20"/>
          <w:szCs w:val="20"/>
        </w:rPr>
        <w:t xml:space="preserve"> et al., 2015; Jain et al., 2015; Higashi et al., 2021). This variety of parameters reinforces the importance of considering not only mechanical properties but also biological and esthetic factors when choosing the restorative technique. In long-term clinical studies, both restorations—direct and indirect—when properly indicated and executed, can present a good clinical success rate, as long as the specific indications for each technique are respected (</w:t>
      </w:r>
      <w:proofErr w:type="spellStart"/>
      <w:r w:rsidRPr="00630353">
        <w:rPr>
          <w:rFonts w:ascii="Arial" w:eastAsia="Arial" w:hAnsi="Arial" w:cs="Arial"/>
          <w:color w:val="000000"/>
          <w:sz w:val="20"/>
          <w:szCs w:val="20"/>
        </w:rPr>
        <w:t>Crins</w:t>
      </w:r>
      <w:proofErr w:type="spellEnd"/>
      <w:r w:rsidRPr="00630353">
        <w:rPr>
          <w:rFonts w:ascii="Arial" w:eastAsia="Arial" w:hAnsi="Arial" w:cs="Arial"/>
          <w:color w:val="000000"/>
          <w:sz w:val="20"/>
          <w:szCs w:val="20"/>
        </w:rPr>
        <w:t xml:space="preserve"> et al., 2021; Shah et al., 2024). The direct composite resin technique is indicated for small to moderate restorations, provided they have good isolation and access, and is fast, economical, and conservative. The indirect technique is recommended for cases of greater destruction, when better resistance, aesthetics, and adaptation are required, even if it requires more time and cost (</w:t>
      </w:r>
      <w:proofErr w:type="spellStart"/>
      <w:r w:rsidR="00EE26F4">
        <w:rPr>
          <w:rFonts w:ascii="Arial" w:eastAsia="Arial" w:hAnsi="Arial" w:cs="Arial"/>
          <w:color w:val="000000"/>
          <w:sz w:val="20"/>
          <w:szCs w:val="20"/>
        </w:rPr>
        <w:t>Domingues</w:t>
      </w:r>
      <w:proofErr w:type="spellEnd"/>
      <w:r w:rsidR="00EE26F4">
        <w:rPr>
          <w:rFonts w:ascii="Arial" w:eastAsia="Arial" w:hAnsi="Arial" w:cs="Arial"/>
          <w:color w:val="000000"/>
          <w:sz w:val="20"/>
          <w:szCs w:val="20"/>
        </w:rPr>
        <w:t xml:space="preserve"> et al.,2024</w:t>
      </w:r>
      <w:r w:rsidRPr="00630353">
        <w:rPr>
          <w:rFonts w:ascii="Arial" w:eastAsia="Arial" w:hAnsi="Arial" w:cs="Arial"/>
          <w:color w:val="000000"/>
          <w:sz w:val="20"/>
          <w:szCs w:val="20"/>
        </w:rPr>
        <w:t xml:space="preserve">; </w:t>
      </w:r>
      <w:proofErr w:type="spellStart"/>
      <w:r w:rsidRPr="00630353">
        <w:rPr>
          <w:rFonts w:ascii="Arial" w:eastAsia="Arial" w:hAnsi="Arial" w:cs="Arial"/>
          <w:color w:val="000000"/>
          <w:sz w:val="20"/>
          <w:szCs w:val="20"/>
        </w:rPr>
        <w:t>Baratieri</w:t>
      </w:r>
      <w:proofErr w:type="spellEnd"/>
      <w:r w:rsidRPr="00630353">
        <w:rPr>
          <w:rFonts w:ascii="Arial" w:eastAsia="Arial" w:hAnsi="Arial" w:cs="Arial"/>
          <w:color w:val="000000"/>
          <w:sz w:val="20"/>
          <w:szCs w:val="20"/>
        </w:rPr>
        <w:t xml:space="preserve"> et al., 2015).</w:t>
      </w:r>
    </w:p>
    <w:p w14:paraId="157F0C85" w14:textId="16558378" w:rsidR="00630353" w:rsidRPr="00630353" w:rsidRDefault="00630353" w:rsidP="00630353">
      <w:pPr>
        <w:pBdr>
          <w:top w:val="nil"/>
          <w:left w:val="nil"/>
          <w:bottom w:val="nil"/>
          <w:right w:val="nil"/>
          <w:between w:val="nil"/>
        </w:pBdr>
        <w:ind w:firstLine="720"/>
        <w:jc w:val="both"/>
        <w:rPr>
          <w:rFonts w:ascii="Arial" w:eastAsia="Arial" w:hAnsi="Arial" w:cs="Arial"/>
          <w:color w:val="000000"/>
          <w:sz w:val="20"/>
          <w:szCs w:val="20"/>
        </w:rPr>
      </w:pPr>
      <w:r w:rsidRPr="00630353">
        <w:rPr>
          <w:rFonts w:ascii="Arial" w:eastAsia="Arial" w:hAnsi="Arial" w:cs="Arial"/>
          <w:color w:val="000000"/>
          <w:sz w:val="20"/>
          <w:szCs w:val="20"/>
        </w:rPr>
        <w:t>Based on eight studies analyzed—</w:t>
      </w:r>
      <w:proofErr w:type="spellStart"/>
      <w:r w:rsidRPr="00630353">
        <w:rPr>
          <w:rFonts w:ascii="Arial" w:eastAsia="Arial" w:hAnsi="Arial" w:cs="Arial"/>
          <w:color w:val="000000"/>
          <w:sz w:val="20"/>
          <w:szCs w:val="20"/>
        </w:rPr>
        <w:t>Torabzadeh</w:t>
      </w:r>
      <w:proofErr w:type="spellEnd"/>
      <w:r w:rsidRPr="00630353">
        <w:rPr>
          <w:rFonts w:ascii="Arial" w:eastAsia="Arial" w:hAnsi="Arial" w:cs="Arial"/>
          <w:color w:val="000000"/>
          <w:sz w:val="20"/>
          <w:szCs w:val="20"/>
        </w:rPr>
        <w:t xml:space="preserve"> et al. </w:t>
      </w:r>
      <w:r w:rsidRPr="009E0B72">
        <w:rPr>
          <w:rFonts w:ascii="Arial" w:eastAsia="Arial" w:hAnsi="Arial" w:cs="Arial"/>
          <w:color w:val="000000"/>
          <w:sz w:val="20"/>
          <w:szCs w:val="20"/>
          <w:lang w:val="fr-FR"/>
        </w:rPr>
        <w:t xml:space="preserve">(2013), </w:t>
      </w:r>
      <w:proofErr w:type="spellStart"/>
      <w:r w:rsidRPr="009E0B72">
        <w:rPr>
          <w:rFonts w:ascii="Arial" w:eastAsia="Arial" w:hAnsi="Arial" w:cs="Arial"/>
          <w:color w:val="000000"/>
          <w:sz w:val="20"/>
          <w:szCs w:val="20"/>
          <w:lang w:val="fr-FR"/>
        </w:rPr>
        <w:t>Hasani</w:t>
      </w:r>
      <w:proofErr w:type="spellEnd"/>
      <w:r w:rsidRPr="009E0B72">
        <w:rPr>
          <w:rFonts w:ascii="Arial" w:eastAsia="Arial" w:hAnsi="Arial" w:cs="Arial"/>
          <w:color w:val="000000"/>
          <w:sz w:val="20"/>
          <w:szCs w:val="20"/>
          <w:lang w:val="fr-FR"/>
        </w:rPr>
        <w:t xml:space="preserve"> </w:t>
      </w:r>
      <w:proofErr w:type="spellStart"/>
      <w:r w:rsidRPr="009E0B72">
        <w:rPr>
          <w:rFonts w:ascii="Arial" w:eastAsia="Arial" w:hAnsi="Arial" w:cs="Arial"/>
          <w:color w:val="000000"/>
          <w:sz w:val="20"/>
          <w:szCs w:val="20"/>
          <w:lang w:val="fr-FR"/>
        </w:rPr>
        <w:t>Tabatabaei</w:t>
      </w:r>
      <w:proofErr w:type="spellEnd"/>
      <w:r w:rsidRPr="009E0B72">
        <w:rPr>
          <w:rFonts w:ascii="Arial" w:eastAsia="Arial" w:hAnsi="Arial" w:cs="Arial"/>
          <w:color w:val="000000"/>
          <w:sz w:val="20"/>
          <w:szCs w:val="20"/>
          <w:lang w:val="fr-FR"/>
        </w:rPr>
        <w:t xml:space="preserve"> et al. (2016), </w:t>
      </w:r>
      <w:proofErr w:type="spellStart"/>
      <w:r w:rsidRPr="009E0B72">
        <w:rPr>
          <w:rFonts w:ascii="Arial" w:eastAsia="Arial" w:hAnsi="Arial" w:cs="Arial"/>
          <w:color w:val="000000"/>
          <w:sz w:val="20"/>
          <w:szCs w:val="20"/>
          <w:lang w:val="fr-FR"/>
        </w:rPr>
        <w:t>Bahadir</w:t>
      </w:r>
      <w:proofErr w:type="spellEnd"/>
      <w:r w:rsidRPr="009E0B72">
        <w:rPr>
          <w:rFonts w:ascii="Arial" w:eastAsia="Arial" w:hAnsi="Arial" w:cs="Arial"/>
          <w:color w:val="000000"/>
          <w:sz w:val="20"/>
          <w:szCs w:val="20"/>
          <w:lang w:val="fr-FR"/>
        </w:rPr>
        <w:t xml:space="preserve"> et al. (2023), Jain et al. (2015), Crins et al. (2021), Shah et al. (2024), and </w:t>
      </w:r>
      <w:proofErr w:type="spellStart"/>
      <w:r w:rsidRPr="009E0B72">
        <w:rPr>
          <w:rFonts w:ascii="Arial" w:eastAsia="Arial" w:hAnsi="Arial" w:cs="Arial"/>
          <w:color w:val="000000"/>
          <w:sz w:val="20"/>
          <w:szCs w:val="20"/>
          <w:lang w:val="fr-FR"/>
        </w:rPr>
        <w:t>Naka</w:t>
      </w:r>
      <w:proofErr w:type="spellEnd"/>
      <w:r w:rsidRPr="009E0B72">
        <w:rPr>
          <w:rFonts w:ascii="Arial" w:eastAsia="Arial" w:hAnsi="Arial" w:cs="Arial"/>
          <w:color w:val="000000"/>
          <w:sz w:val="20"/>
          <w:szCs w:val="20"/>
          <w:lang w:val="fr-FR"/>
        </w:rPr>
        <w:t xml:space="preserve"> et al. </w:t>
      </w:r>
      <w:r w:rsidRPr="00630353">
        <w:rPr>
          <w:rFonts w:ascii="Arial" w:eastAsia="Arial" w:hAnsi="Arial" w:cs="Arial"/>
          <w:color w:val="000000"/>
          <w:sz w:val="20"/>
          <w:szCs w:val="20"/>
        </w:rPr>
        <w:t xml:space="preserve">(2018)—composite resins, when used by the direct or indirect methods, present distinct mechanical properties that directly influence the clinical performance of the restorations. The direct-used composite resin </w:t>
      </w:r>
      <w:proofErr w:type="spellStart"/>
      <w:r w:rsidRPr="00630353">
        <w:rPr>
          <w:rFonts w:ascii="Arial" w:eastAsia="Arial" w:hAnsi="Arial" w:cs="Arial"/>
          <w:color w:val="000000"/>
          <w:sz w:val="20"/>
          <w:szCs w:val="20"/>
        </w:rPr>
        <w:t>Filtek</w:t>
      </w:r>
      <w:proofErr w:type="spellEnd"/>
      <w:r w:rsidRPr="00630353">
        <w:rPr>
          <w:rFonts w:ascii="Arial" w:eastAsia="Arial" w:hAnsi="Arial" w:cs="Arial"/>
          <w:color w:val="000000"/>
          <w:sz w:val="20"/>
          <w:szCs w:val="20"/>
        </w:rPr>
        <w:t xml:space="preserve"> Z-250® with cusp coverage demonstrated better fracture resistance when compared to intact teeth, outperforming indirect restorations (</w:t>
      </w:r>
      <w:proofErr w:type="spellStart"/>
      <w:r w:rsidRPr="00630353">
        <w:rPr>
          <w:rFonts w:ascii="Arial" w:eastAsia="Arial" w:hAnsi="Arial" w:cs="Arial"/>
          <w:color w:val="000000"/>
          <w:sz w:val="20"/>
          <w:szCs w:val="20"/>
        </w:rPr>
        <w:t>Torabzadeh</w:t>
      </w:r>
      <w:proofErr w:type="spellEnd"/>
      <w:r w:rsidRPr="00630353">
        <w:rPr>
          <w:rFonts w:ascii="Arial" w:eastAsia="Arial" w:hAnsi="Arial" w:cs="Arial"/>
          <w:color w:val="000000"/>
          <w:sz w:val="20"/>
          <w:szCs w:val="20"/>
        </w:rPr>
        <w:t xml:space="preserve"> et al., 2013). This raises questions due to the need for grinding to achieve cusp coverage, with different points to be evaluated. However, the study provided the answer that even with the need for wear, cusp coverage is still more advantageous, in order to enhance mechanical characteristics, ensuring greater resistance and durability.</w:t>
      </w:r>
    </w:p>
    <w:p w14:paraId="460FFFD1" w14:textId="77777777" w:rsidR="00630353" w:rsidRPr="00630353" w:rsidRDefault="00630353" w:rsidP="00630353">
      <w:pPr>
        <w:pBdr>
          <w:top w:val="nil"/>
          <w:left w:val="nil"/>
          <w:bottom w:val="nil"/>
          <w:right w:val="nil"/>
          <w:between w:val="nil"/>
        </w:pBdr>
        <w:ind w:firstLine="720"/>
        <w:jc w:val="both"/>
        <w:rPr>
          <w:rFonts w:ascii="Arial" w:eastAsia="Arial" w:hAnsi="Arial" w:cs="Arial"/>
          <w:color w:val="000000"/>
          <w:sz w:val="20"/>
          <w:szCs w:val="20"/>
        </w:rPr>
      </w:pPr>
      <w:r w:rsidRPr="00630353">
        <w:rPr>
          <w:rFonts w:ascii="Arial" w:eastAsia="Arial" w:hAnsi="Arial" w:cs="Arial"/>
          <w:color w:val="000000"/>
          <w:sz w:val="20"/>
          <w:szCs w:val="20"/>
        </w:rPr>
        <w:t>Furthermore, the article included in this study (Naka et al., 2018) indicates that direct restorations provide greater fatigue resistance in fissured teeth, ensuring greater durability under cyclical loading conditions. This is expected, since direct restorations are made in a manner more adapted to the tooth, according to its structure and surface, unlike indirect restorations made from a structure to be produced separately and adapted to the tooth (</w:t>
      </w:r>
      <w:proofErr w:type="spellStart"/>
      <w:r w:rsidRPr="00630353">
        <w:rPr>
          <w:rFonts w:ascii="Arial" w:eastAsia="Arial" w:hAnsi="Arial" w:cs="Arial"/>
          <w:color w:val="000000"/>
          <w:sz w:val="20"/>
          <w:szCs w:val="20"/>
        </w:rPr>
        <w:t>Baratieri</w:t>
      </w:r>
      <w:proofErr w:type="spellEnd"/>
      <w:r w:rsidRPr="00630353">
        <w:rPr>
          <w:rFonts w:ascii="Arial" w:eastAsia="Arial" w:hAnsi="Arial" w:cs="Arial"/>
          <w:color w:val="000000"/>
          <w:sz w:val="20"/>
          <w:szCs w:val="20"/>
        </w:rPr>
        <w:t xml:space="preserve"> et al., 2001) (Moussa et al., 2024).</w:t>
      </w:r>
    </w:p>
    <w:p w14:paraId="6ED5C2EC" w14:textId="77777777" w:rsidR="00630353" w:rsidRPr="00630353" w:rsidRDefault="00630353" w:rsidP="00630353">
      <w:pPr>
        <w:pBdr>
          <w:top w:val="nil"/>
          <w:left w:val="nil"/>
          <w:bottom w:val="nil"/>
          <w:right w:val="nil"/>
          <w:between w:val="nil"/>
        </w:pBdr>
        <w:ind w:firstLine="720"/>
        <w:jc w:val="both"/>
        <w:rPr>
          <w:rFonts w:ascii="Arial" w:eastAsia="Arial" w:hAnsi="Arial" w:cs="Arial"/>
          <w:color w:val="000000"/>
          <w:sz w:val="20"/>
          <w:szCs w:val="20"/>
        </w:rPr>
      </w:pPr>
      <w:r w:rsidRPr="00630353">
        <w:rPr>
          <w:rFonts w:ascii="Arial" w:eastAsia="Arial" w:hAnsi="Arial" w:cs="Arial"/>
          <w:color w:val="000000"/>
          <w:sz w:val="20"/>
          <w:szCs w:val="20"/>
        </w:rPr>
        <w:t>On the other hand, Yamamoto et al. (2013) showed that indirect restorations, especially those cemented with thinner dual-layer resin cement, which generates lower shrinkage stress, can favor the integrity of the adhesive interface in the long term, without excessive stress and reducing the risk of microcracks. These characteristics are important and anticipated in the articles, as it is a structure produced and placed on the tooth, causing greater mechanical forces, which exposes the need for additional mechanisms, such as ideal cementation, to meet necessary and difficult-to-achieve aspects in its production process (Moussa et al., 2024).</w:t>
      </w:r>
    </w:p>
    <w:p w14:paraId="19A3DB50" w14:textId="77777777" w:rsidR="00630353" w:rsidRPr="00630353" w:rsidRDefault="00630353" w:rsidP="00630353">
      <w:pPr>
        <w:pBdr>
          <w:top w:val="nil"/>
          <w:left w:val="nil"/>
          <w:bottom w:val="nil"/>
          <w:right w:val="nil"/>
          <w:between w:val="nil"/>
        </w:pBdr>
        <w:ind w:firstLine="720"/>
        <w:jc w:val="both"/>
        <w:rPr>
          <w:rFonts w:ascii="Arial" w:eastAsia="Arial" w:hAnsi="Arial" w:cs="Arial"/>
          <w:color w:val="000000"/>
          <w:sz w:val="20"/>
          <w:szCs w:val="20"/>
        </w:rPr>
      </w:pPr>
      <w:r w:rsidRPr="00630353">
        <w:rPr>
          <w:rFonts w:ascii="Arial" w:eastAsia="Arial" w:hAnsi="Arial" w:cs="Arial"/>
          <w:color w:val="000000"/>
          <w:sz w:val="20"/>
          <w:szCs w:val="20"/>
        </w:rPr>
        <w:t xml:space="preserve">Regarding wear and abrasion resistance, </w:t>
      </w:r>
      <w:proofErr w:type="spellStart"/>
      <w:r w:rsidRPr="00630353">
        <w:rPr>
          <w:rFonts w:ascii="Arial" w:eastAsia="Arial" w:hAnsi="Arial" w:cs="Arial"/>
          <w:color w:val="000000"/>
          <w:sz w:val="20"/>
          <w:szCs w:val="20"/>
        </w:rPr>
        <w:t>Osiewicz</w:t>
      </w:r>
      <w:proofErr w:type="spellEnd"/>
      <w:r w:rsidRPr="00630353">
        <w:rPr>
          <w:rFonts w:ascii="Arial" w:eastAsia="Arial" w:hAnsi="Arial" w:cs="Arial"/>
          <w:color w:val="000000"/>
          <w:sz w:val="20"/>
          <w:szCs w:val="20"/>
        </w:rPr>
        <w:t xml:space="preserve"> et al. (2015) and </w:t>
      </w:r>
      <w:proofErr w:type="spellStart"/>
      <w:r w:rsidRPr="00630353">
        <w:rPr>
          <w:rFonts w:ascii="Arial" w:eastAsia="Arial" w:hAnsi="Arial" w:cs="Arial"/>
          <w:color w:val="000000"/>
          <w:sz w:val="20"/>
          <w:szCs w:val="20"/>
        </w:rPr>
        <w:t>Caneppele</w:t>
      </w:r>
      <w:proofErr w:type="spellEnd"/>
      <w:r w:rsidRPr="00630353">
        <w:rPr>
          <w:rFonts w:ascii="Arial" w:eastAsia="Arial" w:hAnsi="Arial" w:cs="Arial"/>
          <w:color w:val="000000"/>
          <w:sz w:val="20"/>
          <w:szCs w:val="20"/>
        </w:rPr>
        <w:t xml:space="preserve"> et al. (2014) identified that both direct and indirect restorations can present similar performance, as long as the filler </w:t>
      </w:r>
      <w:r w:rsidRPr="00630353">
        <w:rPr>
          <w:rFonts w:ascii="Arial" w:eastAsia="Arial" w:hAnsi="Arial" w:cs="Arial"/>
          <w:color w:val="000000"/>
          <w:sz w:val="20"/>
          <w:szCs w:val="20"/>
        </w:rPr>
        <w:lastRenderedPageBreak/>
        <w:t>composition and the use of sealants are considered as determining factors. This highlights an important point: regardless of the technique used, the process of preparing the surface to receive the composite resin and the material to be placed in the structure is important, since direct or indirect material alone often lacks the ability to adhere spontaneously. The ability of some self-adhesive resin cements to adhere to tooth structure has favored simpler and safer clinical protocols, especially in indirect techniques. This allows the practitioner to reduce critical steps in the adhesive protocol, minimizing operative failures and increasing clinical predictability, as evidenced by Higashi et al. (2021).</w:t>
      </w:r>
    </w:p>
    <w:p w14:paraId="5BB8E0FB" w14:textId="77777777" w:rsidR="00630353" w:rsidRPr="00630353" w:rsidRDefault="00630353" w:rsidP="00630353">
      <w:pPr>
        <w:pBdr>
          <w:top w:val="nil"/>
          <w:left w:val="nil"/>
          <w:bottom w:val="nil"/>
          <w:right w:val="nil"/>
          <w:between w:val="nil"/>
        </w:pBdr>
        <w:ind w:firstLine="720"/>
        <w:jc w:val="both"/>
        <w:rPr>
          <w:rFonts w:ascii="Arial" w:eastAsia="Arial" w:hAnsi="Arial" w:cs="Arial"/>
          <w:color w:val="000000"/>
          <w:sz w:val="20"/>
          <w:szCs w:val="20"/>
        </w:rPr>
      </w:pPr>
      <w:proofErr w:type="spellStart"/>
      <w:r w:rsidRPr="00630353">
        <w:rPr>
          <w:rFonts w:ascii="Arial" w:eastAsia="Arial" w:hAnsi="Arial" w:cs="Arial"/>
          <w:color w:val="000000"/>
          <w:sz w:val="20"/>
          <w:szCs w:val="20"/>
        </w:rPr>
        <w:t>Bahadir</w:t>
      </w:r>
      <w:proofErr w:type="spellEnd"/>
      <w:r w:rsidRPr="00630353">
        <w:rPr>
          <w:rFonts w:ascii="Arial" w:eastAsia="Arial" w:hAnsi="Arial" w:cs="Arial"/>
          <w:color w:val="000000"/>
          <w:sz w:val="20"/>
          <w:szCs w:val="20"/>
        </w:rPr>
        <w:t xml:space="preserve"> et al. (2023) observed that the use of a universal adhesive in self-etch mode associated with silane significantly increased bond strength, especially in indirect resins. This is justified by the fact that the use of the universal adhesive in self-etch mode, which dispenses with prior conditioning with phosphoric acid, associated with the prior application of silane, resulted in greater bond strength. This effect was more evident in indirect restorations, since certain composite resins, with more quantity in ceramic particles, present better interaction with silane, favoring the chemical bond between the restorative material and the repair.</w:t>
      </w:r>
    </w:p>
    <w:p w14:paraId="370C7744" w14:textId="77777777" w:rsidR="00630353" w:rsidRPr="00630353" w:rsidRDefault="00630353" w:rsidP="00630353">
      <w:pPr>
        <w:pBdr>
          <w:top w:val="nil"/>
          <w:left w:val="nil"/>
          <w:bottom w:val="nil"/>
          <w:right w:val="nil"/>
          <w:between w:val="nil"/>
        </w:pBdr>
        <w:ind w:firstLine="720"/>
        <w:jc w:val="both"/>
        <w:rPr>
          <w:rFonts w:ascii="Arial" w:eastAsia="Arial" w:hAnsi="Arial" w:cs="Arial"/>
          <w:color w:val="000000"/>
          <w:sz w:val="20"/>
          <w:szCs w:val="20"/>
        </w:rPr>
      </w:pPr>
      <w:r w:rsidRPr="00630353">
        <w:rPr>
          <w:rFonts w:ascii="Arial" w:eastAsia="Arial" w:hAnsi="Arial" w:cs="Arial"/>
          <w:color w:val="000000"/>
          <w:sz w:val="20"/>
          <w:szCs w:val="20"/>
        </w:rPr>
        <w:t xml:space="preserve">Regarding color stability, Jain et al. (2015) found that although both techniques may undergo chromatic changes over time and after bleaching, indirect laminate veneers fabricated with SR </w:t>
      </w:r>
      <w:proofErr w:type="spellStart"/>
      <w:r w:rsidRPr="00630353">
        <w:rPr>
          <w:rFonts w:ascii="Arial" w:eastAsia="Arial" w:hAnsi="Arial" w:cs="Arial"/>
          <w:color w:val="000000"/>
          <w:sz w:val="20"/>
          <w:szCs w:val="20"/>
        </w:rPr>
        <w:t>Adoro</w:t>
      </w:r>
      <w:proofErr w:type="spellEnd"/>
      <w:r w:rsidRPr="00630353">
        <w:rPr>
          <w:rFonts w:ascii="Arial" w:eastAsia="Arial" w:hAnsi="Arial" w:cs="Arial"/>
          <w:color w:val="000000"/>
          <w:sz w:val="20"/>
          <w:szCs w:val="20"/>
        </w:rPr>
        <w:t xml:space="preserve"> (</w:t>
      </w:r>
      <w:proofErr w:type="spellStart"/>
      <w:r w:rsidRPr="00630353">
        <w:rPr>
          <w:rFonts w:ascii="Arial" w:eastAsia="Arial" w:hAnsi="Arial" w:cs="Arial"/>
          <w:color w:val="000000"/>
          <w:sz w:val="20"/>
          <w:szCs w:val="20"/>
        </w:rPr>
        <w:t>Ivoclar</w:t>
      </w:r>
      <w:proofErr w:type="spellEnd"/>
      <w:r w:rsidRPr="00630353">
        <w:rPr>
          <w:rFonts w:ascii="Arial" w:eastAsia="Arial" w:hAnsi="Arial" w:cs="Arial"/>
          <w:color w:val="000000"/>
          <w:sz w:val="20"/>
          <w:szCs w:val="20"/>
        </w:rPr>
        <w:t xml:space="preserve"> </w:t>
      </w:r>
      <w:proofErr w:type="spellStart"/>
      <w:r w:rsidRPr="00630353">
        <w:rPr>
          <w:rFonts w:ascii="Arial" w:eastAsia="Arial" w:hAnsi="Arial" w:cs="Arial"/>
          <w:color w:val="000000"/>
          <w:sz w:val="20"/>
          <w:szCs w:val="20"/>
        </w:rPr>
        <w:t>Vivadent</w:t>
      </w:r>
      <w:proofErr w:type="spellEnd"/>
      <w:r w:rsidRPr="00630353">
        <w:rPr>
          <w:rFonts w:ascii="Arial" w:eastAsia="Arial" w:hAnsi="Arial" w:cs="Arial"/>
          <w:color w:val="000000"/>
          <w:sz w:val="20"/>
          <w:szCs w:val="20"/>
        </w:rPr>
        <w:t xml:space="preserve">) exhibited greater color stability and better marginal adaptation, particularly in the cervical region, throughout the entire evaluation period (0, 180, 194, and 284 days). Corroborating with these findings, </w:t>
      </w:r>
      <w:proofErr w:type="spellStart"/>
      <w:r w:rsidRPr="00630353">
        <w:rPr>
          <w:rFonts w:ascii="Arial" w:eastAsia="Arial" w:hAnsi="Arial" w:cs="Arial"/>
          <w:color w:val="000000"/>
          <w:sz w:val="20"/>
          <w:szCs w:val="20"/>
        </w:rPr>
        <w:t>Hasani</w:t>
      </w:r>
      <w:proofErr w:type="spellEnd"/>
      <w:r w:rsidRPr="00630353">
        <w:rPr>
          <w:rFonts w:ascii="Arial" w:eastAsia="Arial" w:hAnsi="Arial" w:cs="Arial"/>
          <w:color w:val="000000"/>
          <w:sz w:val="20"/>
          <w:szCs w:val="20"/>
        </w:rPr>
        <w:t xml:space="preserve"> </w:t>
      </w:r>
      <w:proofErr w:type="spellStart"/>
      <w:r w:rsidRPr="00630353">
        <w:rPr>
          <w:rFonts w:ascii="Arial" w:eastAsia="Arial" w:hAnsi="Arial" w:cs="Arial"/>
          <w:color w:val="000000"/>
          <w:sz w:val="20"/>
          <w:szCs w:val="20"/>
        </w:rPr>
        <w:t>Tabatabaei</w:t>
      </w:r>
      <w:proofErr w:type="spellEnd"/>
      <w:r w:rsidRPr="00630353">
        <w:rPr>
          <w:rFonts w:ascii="Arial" w:eastAsia="Arial" w:hAnsi="Arial" w:cs="Arial"/>
          <w:color w:val="000000"/>
          <w:sz w:val="20"/>
          <w:szCs w:val="20"/>
        </w:rPr>
        <w:t xml:space="preserve"> et al. (2016) found that, after artificial accelerated aging, indirect restorations with </w:t>
      </w:r>
      <w:proofErr w:type="spellStart"/>
      <w:r w:rsidRPr="00630353">
        <w:rPr>
          <w:rFonts w:ascii="Arial" w:eastAsia="Arial" w:hAnsi="Arial" w:cs="Arial"/>
          <w:color w:val="000000"/>
          <w:sz w:val="20"/>
          <w:szCs w:val="20"/>
        </w:rPr>
        <w:t>Gradia</w:t>
      </w:r>
      <w:proofErr w:type="spellEnd"/>
      <w:r w:rsidRPr="00630353">
        <w:rPr>
          <w:rFonts w:ascii="Arial" w:eastAsia="Arial" w:hAnsi="Arial" w:cs="Arial"/>
          <w:color w:val="000000"/>
          <w:sz w:val="20"/>
          <w:szCs w:val="20"/>
        </w:rPr>
        <w:t xml:space="preserve"> (GC) showed less variation in luminosity parameters, color tendency towards red or green and yellow or blue, compared to direct restorations with </w:t>
      </w:r>
      <w:proofErr w:type="spellStart"/>
      <w:r w:rsidRPr="00630353">
        <w:rPr>
          <w:rFonts w:ascii="Arial" w:eastAsia="Arial" w:hAnsi="Arial" w:cs="Arial"/>
          <w:color w:val="000000"/>
          <w:sz w:val="20"/>
          <w:szCs w:val="20"/>
        </w:rPr>
        <w:t>Filtek</w:t>
      </w:r>
      <w:proofErr w:type="spellEnd"/>
      <w:r w:rsidRPr="00630353">
        <w:rPr>
          <w:rFonts w:ascii="Arial" w:eastAsia="Arial" w:hAnsi="Arial" w:cs="Arial"/>
          <w:color w:val="000000"/>
          <w:sz w:val="20"/>
          <w:szCs w:val="20"/>
        </w:rPr>
        <w:t xml:space="preserve"> Z250 (3M ESPE), reinforcing the aesthetic stability of pre-polymerized composites.</w:t>
      </w:r>
    </w:p>
    <w:p w14:paraId="74483641" w14:textId="77777777" w:rsidR="00630353" w:rsidRPr="00630353" w:rsidRDefault="00630353" w:rsidP="00630353">
      <w:pPr>
        <w:pBdr>
          <w:top w:val="nil"/>
          <w:left w:val="nil"/>
          <w:bottom w:val="nil"/>
          <w:right w:val="nil"/>
          <w:between w:val="nil"/>
        </w:pBdr>
        <w:ind w:firstLine="720"/>
        <w:jc w:val="both"/>
        <w:rPr>
          <w:rFonts w:ascii="Arial" w:eastAsia="Arial" w:hAnsi="Arial" w:cs="Arial"/>
          <w:color w:val="000000"/>
          <w:sz w:val="20"/>
          <w:szCs w:val="20"/>
        </w:rPr>
      </w:pPr>
      <w:r w:rsidRPr="00630353">
        <w:rPr>
          <w:rFonts w:ascii="Arial" w:eastAsia="Arial" w:hAnsi="Arial" w:cs="Arial"/>
          <w:color w:val="000000"/>
          <w:sz w:val="20"/>
          <w:szCs w:val="20"/>
        </w:rPr>
        <w:t>However, even with a greater variation in color of Z250, Shah et al. (2024) highlight that patient acceptance remains high, considering the possibility of quick repairs and the conservative nature of the preparation, characteristics that favor its clinical longevity even in demanding aesthetic contexts.</w:t>
      </w:r>
    </w:p>
    <w:p w14:paraId="1156518E" w14:textId="733748D8" w:rsidR="00630353" w:rsidRPr="00630353" w:rsidRDefault="00630353" w:rsidP="00630353">
      <w:pPr>
        <w:pBdr>
          <w:top w:val="nil"/>
          <w:left w:val="nil"/>
          <w:bottom w:val="nil"/>
          <w:right w:val="nil"/>
          <w:between w:val="nil"/>
        </w:pBdr>
        <w:ind w:firstLine="720"/>
        <w:jc w:val="both"/>
        <w:rPr>
          <w:rFonts w:ascii="Arial" w:eastAsia="Arial" w:hAnsi="Arial" w:cs="Arial"/>
          <w:color w:val="000000"/>
          <w:sz w:val="20"/>
          <w:szCs w:val="20"/>
        </w:rPr>
      </w:pPr>
      <w:r w:rsidRPr="00630353">
        <w:rPr>
          <w:rFonts w:ascii="Arial" w:eastAsia="Arial" w:hAnsi="Arial" w:cs="Arial"/>
          <w:color w:val="000000"/>
          <w:sz w:val="20"/>
          <w:szCs w:val="20"/>
        </w:rPr>
        <w:t xml:space="preserve">Considering longevity parameters, although the studies present limited time parameters, </w:t>
      </w:r>
      <w:proofErr w:type="spellStart"/>
      <w:r w:rsidRPr="00630353">
        <w:rPr>
          <w:rFonts w:ascii="Arial" w:eastAsia="Arial" w:hAnsi="Arial" w:cs="Arial"/>
          <w:color w:val="000000"/>
          <w:sz w:val="20"/>
          <w:szCs w:val="20"/>
        </w:rPr>
        <w:t>Ozakar-Ilday</w:t>
      </w:r>
      <w:proofErr w:type="spellEnd"/>
      <w:r w:rsidRPr="00630353">
        <w:rPr>
          <w:rFonts w:ascii="Arial" w:eastAsia="Arial" w:hAnsi="Arial" w:cs="Arial"/>
          <w:color w:val="000000"/>
          <w:sz w:val="20"/>
          <w:szCs w:val="20"/>
        </w:rPr>
        <w:t xml:space="preserve"> et al. (2013) reported in a randomized clinical trial with a 3-year follow-up that, regarding clinical longevity, indirect composite (</w:t>
      </w:r>
      <w:proofErr w:type="spellStart"/>
      <w:r w:rsidRPr="00630353">
        <w:rPr>
          <w:rFonts w:ascii="Arial" w:eastAsia="Arial" w:hAnsi="Arial" w:cs="Arial"/>
          <w:color w:val="000000"/>
          <w:sz w:val="20"/>
          <w:szCs w:val="20"/>
        </w:rPr>
        <w:t>Tescera</w:t>
      </w:r>
      <w:proofErr w:type="spellEnd"/>
      <w:r w:rsidRPr="00630353">
        <w:rPr>
          <w:rFonts w:ascii="Arial" w:eastAsia="Arial" w:hAnsi="Arial" w:cs="Arial"/>
          <w:color w:val="000000"/>
          <w:sz w:val="20"/>
          <w:szCs w:val="20"/>
        </w:rPr>
        <w:t xml:space="preserve"> ATL) inlays (within tooth cavities) outperformed both the direct-indirect and direct techniques in terms of retention and marginal integrity. In agreement, </w:t>
      </w:r>
      <w:proofErr w:type="spellStart"/>
      <w:r w:rsidRPr="00630353">
        <w:rPr>
          <w:rFonts w:ascii="Arial" w:eastAsia="Arial" w:hAnsi="Arial" w:cs="Arial"/>
          <w:color w:val="000000"/>
          <w:sz w:val="20"/>
          <w:szCs w:val="20"/>
        </w:rPr>
        <w:t>Crins</w:t>
      </w:r>
      <w:proofErr w:type="spellEnd"/>
      <w:r w:rsidRPr="00630353">
        <w:rPr>
          <w:rFonts w:ascii="Arial" w:eastAsia="Arial" w:hAnsi="Arial" w:cs="Arial"/>
          <w:color w:val="000000"/>
          <w:sz w:val="20"/>
          <w:szCs w:val="20"/>
        </w:rPr>
        <w:t xml:space="preserve"> et al. (2021) reported that in patients with severe tooth wear, direct restorations had a higher survival rate in molars (3 years), while indirect restorations showed a higher failure rate in first molars. Shah et al. (2024), in turn, confirmed that despite complications such as fracture and discoloration, the pattern of indirect anterior and direct posterior restorations maintained high satisfaction and low biological complications after 5 years, highlighting the viability of mixed approaches to maximize restorative longevity.</w:t>
      </w:r>
    </w:p>
    <w:p w14:paraId="76F4591A" w14:textId="77777777" w:rsidR="00B17F34" w:rsidRDefault="00B17F34">
      <w:pPr>
        <w:pBdr>
          <w:top w:val="nil"/>
          <w:left w:val="nil"/>
          <w:bottom w:val="nil"/>
          <w:right w:val="nil"/>
          <w:between w:val="nil"/>
        </w:pBdr>
        <w:ind w:firstLine="720"/>
        <w:jc w:val="both"/>
        <w:rPr>
          <w:rFonts w:ascii="Arial" w:eastAsia="Arial" w:hAnsi="Arial" w:cs="Arial"/>
          <w:color w:val="000000"/>
          <w:sz w:val="20"/>
          <w:szCs w:val="20"/>
        </w:rPr>
      </w:pPr>
    </w:p>
    <w:p w14:paraId="5816E0BA" w14:textId="77777777" w:rsidR="00B17F34" w:rsidRDefault="00B17F34" w:rsidP="00B17F34">
      <w:pPr>
        <w:pBdr>
          <w:top w:val="nil"/>
          <w:left w:val="nil"/>
          <w:bottom w:val="nil"/>
          <w:right w:val="nil"/>
          <w:between w:val="nil"/>
        </w:pBdr>
        <w:ind w:firstLine="720"/>
        <w:jc w:val="both"/>
        <w:rPr>
          <w:rFonts w:ascii="Arial" w:eastAsia="Arial" w:hAnsi="Arial" w:cs="Arial"/>
          <w:b/>
          <w:bCs/>
          <w:color w:val="000000"/>
          <w:sz w:val="22"/>
          <w:szCs w:val="22"/>
        </w:rPr>
      </w:pPr>
      <w:r w:rsidRPr="00E8356F">
        <w:rPr>
          <w:rFonts w:ascii="Arial" w:eastAsia="Arial" w:hAnsi="Arial" w:cs="Arial"/>
          <w:b/>
          <w:bCs/>
          <w:color w:val="000000"/>
          <w:sz w:val="22"/>
          <w:szCs w:val="22"/>
        </w:rPr>
        <w:t>4.1 Clinical Implications</w:t>
      </w:r>
    </w:p>
    <w:p w14:paraId="256B3D54" w14:textId="77777777" w:rsidR="00B17F34" w:rsidRDefault="00B17F34">
      <w:pPr>
        <w:pBdr>
          <w:top w:val="nil"/>
          <w:left w:val="nil"/>
          <w:bottom w:val="nil"/>
          <w:right w:val="nil"/>
          <w:between w:val="nil"/>
        </w:pBdr>
        <w:ind w:firstLine="720"/>
        <w:jc w:val="both"/>
        <w:rPr>
          <w:rFonts w:ascii="Arial" w:eastAsia="Arial" w:hAnsi="Arial" w:cs="Arial"/>
          <w:color w:val="000000"/>
          <w:sz w:val="20"/>
          <w:szCs w:val="20"/>
        </w:rPr>
      </w:pPr>
    </w:p>
    <w:p w14:paraId="519736FC" w14:textId="77777777" w:rsidR="00B17F34" w:rsidRPr="00B17F34" w:rsidRDefault="00B17F34" w:rsidP="00B17F34">
      <w:pPr>
        <w:pBdr>
          <w:top w:val="nil"/>
          <w:left w:val="nil"/>
          <w:bottom w:val="nil"/>
          <w:right w:val="nil"/>
          <w:between w:val="nil"/>
        </w:pBdr>
        <w:ind w:firstLine="720"/>
        <w:jc w:val="both"/>
        <w:rPr>
          <w:rFonts w:ascii="Arial" w:eastAsia="Arial" w:hAnsi="Arial" w:cs="Arial"/>
          <w:color w:val="000000" w:themeColor="text1"/>
          <w:sz w:val="20"/>
          <w:szCs w:val="20"/>
        </w:rPr>
      </w:pPr>
      <w:r w:rsidRPr="00B17F34">
        <w:rPr>
          <w:rFonts w:ascii="Arial" w:eastAsia="Arial" w:hAnsi="Arial" w:cs="Arial"/>
          <w:color w:val="000000" w:themeColor="text1"/>
          <w:sz w:val="20"/>
          <w:szCs w:val="20"/>
        </w:rPr>
        <w:t>Regarding factors related to restoration execution, Higashi et al. (2021) demonstrated that the indirect technique can provide greater bond strength to root dentin. These findings indicate that the choice between direct or indirect techniques should consider not only the intrinsic mechanical properties of the materials, but also the clinical context and the adopted restorative protocol and its steps.</w:t>
      </w:r>
    </w:p>
    <w:p w14:paraId="31253EFC" w14:textId="77777777" w:rsidR="00B17F34" w:rsidRPr="00B17F34" w:rsidRDefault="00B17F34" w:rsidP="00B17F34">
      <w:pPr>
        <w:pBdr>
          <w:top w:val="nil"/>
          <w:left w:val="nil"/>
          <w:bottom w:val="nil"/>
          <w:right w:val="nil"/>
          <w:between w:val="nil"/>
        </w:pBdr>
        <w:ind w:firstLine="720"/>
        <w:jc w:val="both"/>
        <w:rPr>
          <w:rFonts w:ascii="Arial" w:eastAsia="Arial" w:hAnsi="Arial" w:cs="Arial"/>
          <w:color w:val="000000" w:themeColor="text1"/>
          <w:sz w:val="20"/>
          <w:szCs w:val="20"/>
        </w:rPr>
      </w:pPr>
      <w:proofErr w:type="spellStart"/>
      <w:r w:rsidRPr="00B17F34">
        <w:rPr>
          <w:rFonts w:ascii="Arial" w:eastAsia="Arial" w:hAnsi="Arial" w:cs="Arial"/>
          <w:color w:val="000000" w:themeColor="text1"/>
          <w:sz w:val="20"/>
          <w:szCs w:val="20"/>
        </w:rPr>
        <w:t>Derchi</w:t>
      </w:r>
      <w:proofErr w:type="spellEnd"/>
      <w:r w:rsidRPr="00B17F34">
        <w:rPr>
          <w:rFonts w:ascii="Arial" w:eastAsia="Arial" w:hAnsi="Arial" w:cs="Arial"/>
          <w:color w:val="000000" w:themeColor="text1"/>
          <w:sz w:val="20"/>
          <w:szCs w:val="20"/>
        </w:rPr>
        <w:t xml:space="preserve"> et al. (2017) demonstrated that indirect resins have lower bacterial adhesion compared to direct resins, possibly due to their lower surface roughness and better finish. This is due to the fact that they are produced outside the oral cavity, in a controlled environment, which allows for better polishing and finishing conditions. In contrast, direct resins are applied directly to the oral cavity, in contact with oral fluids and anatomical structures, which can hinder access and compromise the result.</w:t>
      </w:r>
    </w:p>
    <w:p w14:paraId="7CEE106D" w14:textId="77777777" w:rsidR="00B17F34" w:rsidRPr="00B17F34" w:rsidRDefault="00B17F34" w:rsidP="00B17F34">
      <w:pPr>
        <w:pBdr>
          <w:top w:val="nil"/>
          <w:left w:val="nil"/>
          <w:bottom w:val="nil"/>
          <w:right w:val="nil"/>
          <w:between w:val="nil"/>
        </w:pBdr>
        <w:ind w:firstLine="720"/>
        <w:jc w:val="both"/>
        <w:rPr>
          <w:rFonts w:ascii="Arial" w:eastAsia="Arial" w:hAnsi="Arial" w:cs="Arial"/>
          <w:color w:val="000000" w:themeColor="text1"/>
          <w:sz w:val="20"/>
          <w:szCs w:val="20"/>
        </w:rPr>
      </w:pPr>
      <w:r w:rsidRPr="00B17F34">
        <w:rPr>
          <w:rFonts w:ascii="Arial" w:eastAsia="Arial" w:hAnsi="Arial" w:cs="Arial"/>
          <w:color w:val="000000" w:themeColor="text1"/>
          <w:sz w:val="20"/>
          <w:szCs w:val="20"/>
        </w:rPr>
        <w:t xml:space="preserve">The analysis of three studies (Higashi et al. 2021; </w:t>
      </w:r>
      <w:proofErr w:type="spellStart"/>
      <w:r w:rsidRPr="00B17F34">
        <w:rPr>
          <w:rFonts w:ascii="Arial" w:eastAsia="Arial" w:hAnsi="Arial" w:cs="Arial"/>
          <w:color w:val="000000" w:themeColor="text1"/>
          <w:sz w:val="20"/>
          <w:szCs w:val="20"/>
        </w:rPr>
        <w:t>Bahadir</w:t>
      </w:r>
      <w:proofErr w:type="spellEnd"/>
      <w:r w:rsidRPr="00B17F34">
        <w:rPr>
          <w:rFonts w:ascii="Arial" w:eastAsia="Arial" w:hAnsi="Arial" w:cs="Arial"/>
          <w:color w:val="000000" w:themeColor="text1"/>
          <w:sz w:val="20"/>
          <w:szCs w:val="20"/>
        </w:rPr>
        <w:t xml:space="preserve"> et al. 2023; Yamamoto et al. 2013) on bond strength in direct and indirect composite resins reveals that multiple factors influence their clinical and laboratory performance, such as the type of restorative material, adhesive protocol used, thickness and type of resin cement, application technique, location of the restored tooth, surface roughness and finish, in addition to clinical conditions.</w:t>
      </w:r>
    </w:p>
    <w:p w14:paraId="53F91F5B" w14:textId="77777777" w:rsidR="00B17F34" w:rsidRPr="00B17F34" w:rsidRDefault="00B17F34" w:rsidP="00B17F34">
      <w:pPr>
        <w:pBdr>
          <w:top w:val="nil"/>
          <w:left w:val="nil"/>
          <w:bottom w:val="nil"/>
          <w:right w:val="nil"/>
          <w:between w:val="nil"/>
        </w:pBdr>
        <w:ind w:firstLine="720"/>
        <w:jc w:val="both"/>
        <w:rPr>
          <w:rFonts w:ascii="Arial" w:eastAsia="Arial" w:hAnsi="Arial" w:cs="Arial"/>
          <w:color w:val="000000" w:themeColor="text1"/>
          <w:sz w:val="20"/>
          <w:szCs w:val="20"/>
        </w:rPr>
      </w:pPr>
      <w:r w:rsidRPr="00B17F34">
        <w:rPr>
          <w:rFonts w:ascii="Arial" w:eastAsia="Arial" w:hAnsi="Arial" w:cs="Arial"/>
          <w:color w:val="000000" w:themeColor="text1"/>
          <w:sz w:val="20"/>
          <w:szCs w:val="20"/>
        </w:rPr>
        <w:t>Although the focus of the study by Higashi et al. (2021) was bond strength in the cementation of resin cores, the authors emphasize that the use of self-adhesive resin cements, by reducing failures at the adhesive interface, also contributes to the long-term clinical and aesthetic success of indirect restorations, especially by minimizing microleakage and marginal discoloration. On the other hand, the adhesion of direct restorations maintains satisfactory clinical performance, especially in anterior teeth, where this type of treatment is more conservative, accessible, and rapid, in addition to allowing for easy repairs. In this region, the lower functional demands also contribute to good adhesive performance over time (Shah et al. 2024).</w:t>
      </w:r>
    </w:p>
    <w:p w14:paraId="362D990F" w14:textId="77777777" w:rsidR="00B17F34" w:rsidRPr="00B17F34" w:rsidRDefault="00B17F34" w:rsidP="00B17F34">
      <w:pPr>
        <w:pBdr>
          <w:top w:val="nil"/>
          <w:left w:val="nil"/>
          <w:bottom w:val="nil"/>
          <w:right w:val="nil"/>
          <w:between w:val="nil"/>
        </w:pBdr>
        <w:ind w:firstLine="720"/>
        <w:jc w:val="both"/>
        <w:rPr>
          <w:rFonts w:ascii="Arial" w:eastAsia="Arial" w:hAnsi="Arial" w:cs="Arial"/>
          <w:color w:val="000000" w:themeColor="text1"/>
          <w:sz w:val="20"/>
          <w:szCs w:val="20"/>
        </w:rPr>
      </w:pPr>
      <w:r w:rsidRPr="00B17F34">
        <w:rPr>
          <w:rFonts w:ascii="Arial" w:eastAsia="Arial" w:hAnsi="Arial" w:cs="Arial"/>
          <w:color w:val="000000" w:themeColor="text1"/>
          <w:sz w:val="20"/>
          <w:szCs w:val="20"/>
        </w:rPr>
        <w:lastRenderedPageBreak/>
        <w:t xml:space="preserve">Shah et al. (2024) emphasized that, despite flaws such as discoloration and wear in direct restorations, their clinical acceptance remains high. This is due to the fact that, even with these flaws, biological complications were rare and patient satisfaction remained high, especially in anterior teeth restored with direct composite resin. These factors contributed to good clinical acceptance, despite technical limitations observed over time, especially in anterior teeth, that is, even with flaws such as discoloration (color change) and wear. This finding is also supported by </w:t>
      </w:r>
      <w:proofErr w:type="spellStart"/>
      <w:r w:rsidRPr="00B17F34">
        <w:rPr>
          <w:rFonts w:ascii="Arial" w:eastAsia="Arial" w:hAnsi="Arial" w:cs="Arial"/>
          <w:color w:val="000000" w:themeColor="text1"/>
          <w:sz w:val="20"/>
          <w:szCs w:val="20"/>
        </w:rPr>
        <w:t>Crins</w:t>
      </w:r>
      <w:proofErr w:type="spellEnd"/>
      <w:r w:rsidRPr="00B17F34">
        <w:rPr>
          <w:rFonts w:ascii="Arial" w:eastAsia="Arial" w:hAnsi="Arial" w:cs="Arial"/>
          <w:color w:val="000000" w:themeColor="text1"/>
          <w:sz w:val="20"/>
          <w:szCs w:val="20"/>
        </w:rPr>
        <w:t xml:space="preserve"> et al. (2021), who, when evaluating direct and indirect composite restorations in anterior and posterior teeth, observed similar clinical survival between the groups, highlighting that, even with flaws such as marginal wear, direct restorations remained functionally and aesthetically acceptable. Studies such as those by Jain et al. (2015) and </w:t>
      </w:r>
      <w:proofErr w:type="spellStart"/>
      <w:r w:rsidRPr="00B17F34">
        <w:rPr>
          <w:rFonts w:ascii="Arial" w:eastAsia="Arial" w:hAnsi="Arial" w:cs="Arial"/>
          <w:color w:val="000000" w:themeColor="text1"/>
          <w:sz w:val="20"/>
          <w:szCs w:val="20"/>
        </w:rPr>
        <w:t>Tabatabaei</w:t>
      </w:r>
      <w:proofErr w:type="spellEnd"/>
      <w:r w:rsidRPr="00B17F34">
        <w:rPr>
          <w:rFonts w:ascii="Arial" w:eastAsia="Arial" w:hAnsi="Arial" w:cs="Arial"/>
          <w:color w:val="000000" w:themeColor="text1"/>
          <w:sz w:val="20"/>
          <w:szCs w:val="20"/>
        </w:rPr>
        <w:t xml:space="preserve"> et al. (2016) also demonstrated that direct restorations may present more pronounced color changes over time, but they remain viable alternatives, especially due to their practicality and lower cost. These findings demonstrate that the choice of restoration type must consider the balance between adhesion, clinical performance, surgical technique, and individual patient needs.</w:t>
      </w:r>
    </w:p>
    <w:p w14:paraId="0E559C89" w14:textId="0F5D7666" w:rsidR="00B17F34" w:rsidRPr="00B17F34" w:rsidRDefault="00B17F34" w:rsidP="00B17F34">
      <w:pPr>
        <w:pBdr>
          <w:top w:val="nil"/>
          <w:left w:val="nil"/>
          <w:bottom w:val="nil"/>
          <w:right w:val="nil"/>
          <w:between w:val="nil"/>
        </w:pBdr>
        <w:ind w:firstLine="720"/>
        <w:jc w:val="both"/>
        <w:rPr>
          <w:rFonts w:ascii="Arial" w:eastAsia="Arial" w:hAnsi="Arial" w:cs="Arial"/>
          <w:color w:val="000000" w:themeColor="text1"/>
          <w:sz w:val="20"/>
          <w:szCs w:val="20"/>
        </w:rPr>
      </w:pPr>
      <w:r w:rsidRPr="00B17F34">
        <w:rPr>
          <w:rFonts w:ascii="Arial" w:eastAsia="Arial" w:hAnsi="Arial" w:cs="Arial"/>
          <w:color w:val="000000" w:themeColor="text1"/>
          <w:sz w:val="20"/>
          <w:szCs w:val="20"/>
        </w:rPr>
        <w:t>In this review, the study by Jain et al. (2015) stands out for evaluating the marginal adaptation of direct and indirect composite restorations subjected to dental bleaching. The authors observed that, even after 284 days, indirect veneers showed superior marginal adaptation compared to direct ones. Good adaptation is essential to prevent microleakage, contributing to the long-term preservation of the esthetics and color of restorations. The study highlights that, beyond the immediate esthetic outcome, it is crucial to consider the performance of marginal adaptation when selecting the restorative technique, especially for patients undergoing tooth bleaching. Proper adaptation minimizes the risk of marginal staining and improves color stability, providing a significant clinical advantage.</w:t>
      </w:r>
    </w:p>
    <w:p w14:paraId="5B23880F" w14:textId="77777777" w:rsidR="00B17F34" w:rsidRPr="00B17F34" w:rsidRDefault="00B17F34" w:rsidP="00B17F34">
      <w:pPr>
        <w:pBdr>
          <w:top w:val="nil"/>
          <w:left w:val="nil"/>
          <w:bottom w:val="nil"/>
          <w:right w:val="nil"/>
          <w:between w:val="nil"/>
        </w:pBdr>
        <w:ind w:firstLine="720"/>
        <w:jc w:val="both"/>
        <w:rPr>
          <w:rFonts w:ascii="Arial" w:eastAsia="Arial" w:hAnsi="Arial" w:cs="Arial"/>
          <w:color w:val="000000" w:themeColor="text1"/>
          <w:sz w:val="20"/>
          <w:szCs w:val="20"/>
        </w:rPr>
      </w:pPr>
      <w:r w:rsidRPr="00B17F34">
        <w:rPr>
          <w:rFonts w:ascii="Arial" w:eastAsia="Arial" w:hAnsi="Arial" w:cs="Arial"/>
          <w:color w:val="000000" w:themeColor="text1"/>
          <w:sz w:val="20"/>
          <w:szCs w:val="20"/>
        </w:rPr>
        <w:t xml:space="preserve">Individually, direct techniques stand out due to their practicality, lower cost, repairability, and reduced clinical time, making them ideal for cases requiring more conservative and accessible interventions. Indirect techniques, while </w:t>
      </w:r>
      <w:proofErr w:type="gramStart"/>
      <w:r w:rsidRPr="00B17F34">
        <w:rPr>
          <w:rFonts w:ascii="Arial" w:eastAsia="Arial" w:hAnsi="Arial" w:cs="Arial"/>
          <w:color w:val="000000" w:themeColor="text1"/>
          <w:sz w:val="20"/>
          <w:szCs w:val="20"/>
        </w:rPr>
        <w:t>more complex and costly</w:t>
      </w:r>
      <w:proofErr w:type="gramEnd"/>
      <w:r w:rsidRPr="00B17F34">
        <w:rPr>
          <w:rFonts w:ascii="Arial" w:eastAsia="Arial" w:hAnsi="Arial" w:cs="Arial"/>
          <w:color w:val="000000" w:themeColor="text1"/>
          <w:sz w:val="20"/>
          <w:szCs w:val="20"/>
        </w:rPr>
        <w:t xml:space="preserve">, have demonstrated superiority in aspects such as color stability, marginal adaptation, and reduced bacterial adhesion, resulting in good long-term aesthetic and biological performance. </w:t>
      </w:r>
    </w:p>
    <w:p w14:paraId="7D279045" w14:textId="77777777" w:rsidR="00B17F34" w:rsidRPr="00B17F34" w:rsidRDefault="00B17F34" w:rsidP="00B17F34">
      <w:pPr>
        <w:pBdr>
          <w:top w:val="nil"/>
          <w:left w:val="nil"/>
          <w:bottom w:val="nil"/>
          <w:right w:val="nil"/>
          <w:between w:val="nil"/>
        </w:pBdr>
        <w:ind w:firstLine="720"/>
        <w:jc w:val="both"/>
        <w:rPr>
          <w:rFonts w:ascii="Arial" w:eastAsia="Arial" w:hAnsi="Arial" w:cs="Arial"/>
          <w:color w:val="000000" w:themeColor="text1"/>
          <w:sz w:val="20"/>
          <w:szCs w:val="20"/>
        </w:rPr>
      </w:pPr>
      <w:r w:rsidRPr="00B17F34">
        <w:rPr>
          <w:rFonts w:ascii="Arial" w:eastAsia="Arial" w:hAnsi="Arial" w:cs="Arial"/>
          <w:color w:val="000000" w:themeColor="text1"/>
          <w:sz w:val="20"/>
          <w:szCs w:val="20"/>
        </w:rPr>
        <w:t>When analyzing mechanical aspects, studies have shown that direct restorations with cusp coverage can present fracture resistance comparable to, or even higher to, indirect restorations. However, factors such as adhesive protocol, cement type, cement film thickness, and finish quality significantly influence the clinical outcome, especially in indirect restorations, which are crucial for a successful outcome.</w:t>
      </w:r>
    </w:p>
    <w:p w14:paraId="71D6ABB0" w14:textId="77777777" w:rsidR="00B17F34" w:rsidRPr="00B17F34" w:rsidRDefault="00B17F34" w:rsidP="00B17F34">
      <w:pPr>
        <w:pBdr>
          <w:top w:val="nil"/>
          <w:left w:val="nil"/>
          <w:bottom w:val="nil"/>
          <w:right w:val="nil"/>
          <w:between w:val="nil"/>
        </w:pBdr>
        <w:ind w:firstLine="720"/>
        <w:jc w:val="both"/>
        <w:rPr>
          <w:rFonts w:ascii="Arial" w:eastAsia="Arial" w:hAnsi="Arial" w:cs="Arial"/>
          <w:color w:val="000000" w:themeColor="text1"/>
          <w:sz w:val="20"/>
          <w:szCs w:val="20"/>
        </w:rPr>
      </w:pPr>
      <w:r w:rsidRPr="00B17F34">
        <w:rPr>
          <w:rFonts w:ascii="Arial" w:eastAsia="Arial" w:hAnsi="Arial" w:cs="Arial"/>
          <w:color w:val="000000" w:themeColor="text1"/>
          <w:sz w:val="20"/>
          <w:szCs w:val="20"/>
        </w:rPr>
        <w:t>This work, being a narrative review, has some limitations that are worth highlighting. The main one is related to the lack of methodological rigor characteristic of systematic reviews, such as standardized critical analysis of the included studies. The studies analyzed included clinical and laboratory research comparing direct and indirect restorative techniques using composite resin, aiming to provide results that address frequently asked clinical questions.</w:t>
      </w:r>
    </w:p>
    <w:p w14:paraId="0105D6C9" w14:textId="77777777" w:rsidR="00B17F34" w:rsidRDefault="00B17F34">
      <w:pPr>
        <w:pBdr>
          <w:top w:val="nil"/>
          <w:left w:val="nil"/>
          <w:bottom w:val="nil"/>
          <w:right w:val="nil"/>
          <w:between w:val="nil"/>
        </w:pBdr>
        <w:ind w:firstLine="720"/>
        <w:jc w:val="both"/>
        <w:rPr>
          <w:rFonts w:ascii="Arial" w:eastAsia="Arial" w:hAnsi="Arial" w:cs="Arial"/>
          <w:color w:val="000000"/>
          <w:sz w:val="20"/>
          <w:szCs w:val="20"/>
        </w:rPr>
      </w:pPr>
    </w:p>
    <w:p w14:paraId="3752D825" w14:textId="77777777" w:rsidR="00B17F34" w:rsidRPr="00501C31" w:rsidRDefault="00B17F34">
      <w:pPr>
        <w:pBdr>
          <w:top w:val="nil"/>
          <w:left w:val="nil"/>
          <w:bottom w:val="nil"/>
          <w:right w:val="nil"/>
          <w:between w:val="nil"/>
        </w:pBdr>
        <w:ind w:firstLine="720"/>
        <w:jc w:val="both"/>
        <w:rPr>
          <w:rFonts w:ascii="Arial" w:eastAsia="Arial" w:hAnsi="Arial" w:cs="Arial"/>
          <w:color w:val="000000"/>
          <w:sz w:val="20"/>
          <w:szCs w:val="20"/>
        </w:rPr>
      </w:pPr>
    </w:p>
    <w:p w14:paraId="736429CE" w14:textId="77777777" w:rsidR="009E0B4F" w:rsidRPr="00501C31" w:rsidRDefault="0070690F">
      <w:pPr>
        <w:widowControl w:val="0"/>
        <w:jc w:val="both"/>
        <w:rPr>
          <w:rFonts w:ascii="Arial" w:eastAsia="Arial" w:hAnsi="Arial" w:cs="Arial"/>
          <w:b/>
          <w:color w:val="0D0D0D"/>
          <w:sz w:val="22"/>
          <w:szCs w:val="22"/>
        </w:rPr>
      </w:pPr>
      <w:r w:rsidRPr="00501C31">
        <w:rPr>
          <w:rFonts w:ascii="Arial" w:eastAsia="Arial" w:hAnsi="Arial" w:cs="Arial"/>
          <w:b/>
          <w:color w:val="0D0D0D"/>
          <w:sz w:val="22"/>
          <w:szCs w:val="22"/>
        </w:rPr>
        <w:t>5. CONCLUSION</w:t>
      </w:r>
    </w:p>
    <w:p w14:paraId="64A4B520" w14:textId="77777777" w:rsidR="009E0B4F" w:rsidRPr="00501C31" w:rsidRDefault="009E0B4F">
      <w:pPr>
        <w:spacing w:after="200"/>
        <w:jc w:val="both"/>
        <w:rPr>
          <w:rFonts w:ascii="Arial" w:eastAsia="Arial" w:hAnsi="Arial" w:cs="Arial"/>
          <w:b/>
          <w:sz w:val="20"/>
          <w:szCs w:val="20"/>
        </w:rPr>
      </w:pPr>
    </w:p>
    <w:p w14:paraId="1DC57F0B" w14:textId="77777777" w:rsidR="009E0B4F" w:rsidRPr="00501C31" w:rsidRDefault="0070690F">
      <w:pPr>
        <w:spacing w:after="200"/>
        <w:ind w:firstLine="720"/>
        <w:jc w:val="both"/>
        <w:rPr>
          <w:rFonts w:ascii="Arial" w:eastAsia="Arial" w:hAnsi="Arial" w:cs="Arial"/>
          <w:sz w:val="20"/>
          <w:szCs w:val="20"/>
        </w:rPr>
      </w:pPr>
      <w:r w:rsidRPr="00501C31">
        <w:rPr>
          <w:rFonts w:ascii="Arial" w:eastAsia="Arial" w:hAnsi="Arial" w:cs="Arial"/>
          <w:sz w:val="20"/>
          <w:szCs w:val="20"/>
        </w:rPr>
        <w:t>From the studies analyzed in this review, it is concluded that both direct and indirect composite resin restorations present satisfactory clinical performance when well indicated and executed. The choice between techniques should be guided by a careful evaluation of each clinical case, considering variables such as tooth location, aesthetic requirements, function, structural conditions, and access to treatment. Current literature emphasizes that there is no single, ideal approach, but rather the need for individualized treatment to ensure longevity, aesthetics, and functionality of the restoration. It is the dentist's responsibility to align their scientific knowledge with clinical practice, always aiming for the best prognosis for the patient.</w:t>
      </w:r>
    </w:p>
    <w:p w14:paraId="3CA78A7C" w14:textId="77777777" w:rsidR="009E0B4F" w:rsidRPr="00501C31" w:rsidRDefault="009E0B4F">
      <w:pPr>
        <w:spacing w:after="200"/>
        <w:ind w:firstLine="720"/>
        <w:jc w:val="both"/>
        <w:rPr>
          <w:rFonts w:ascii="Arial" w:eastAsia="Arial" w:hAnsi="Arial" w:cs="Arial"/>
          <w:sz w:val="20"/>
          <w:szCs w:val="20"/>
        </w:rPr>
      </w:pPr>
    </w:p>
    <w:p w14:paraId="332AB6D7" w14:textId="77777777" w:rsidR="009E0B4F" w:rsidRPr="001F508B" w:rsidRDefault="009E0B4F">
      <w:pPr>
        <w:ind w:firstLine="720"/>
        <w:jc w:val="both"/>
        <w:rPr>
          <w:rFonts w:ascii="Arial" w:eastAsia="Arial" w:hAnsi="Arial" w:cs="Arial"/>
          <w:b/>
          <w:sz w:val="20"/>
          <w:szCs w:val="20"/>
        </w:rPr>
      </w:pPr>
    </w:p>
    <w:p w14:paraId="3ADCD17E" w14:textId="77777777" w:rsidR="0001765A" w:rsidRPr="00B17F34" w:rsidRDefault="0001765A" w:rsidP="0001765A">
      <w:pPr>
        <w:rPr>
          <w:rFonts w:ascii="Calibri" w:eastAsia="Calibri" w:hAnsi="Calibri"/>
          <w:kern w:val="2"/>
          <w:lang w:val="en-US"/>
        </w:rPr>
      </w:pPr>
      <w:bookmarkStart w:id="1" w:name="_Hlk197682619"/>
      <w:bookmarkStart w:id="2" w:name="_Hlk180402183"/>
      <w:bookmarkStart w:id="3" w:name="_Hlk183680988"/>
      <w:bookmarkStart w:id="4" w:name="_Hlk197351200"/>
      <w:r w:rsidRPr="00B17F34">
        <w:rPr>
          <w:rFonts w:ascii="Calibri" w:eastAsia="Calibri" w:hAnsi="Calibri"/>
          <w:kern w:val="2"/>
          <w:lang w:val="en-US"/>
        </w:rPr>
        <w:t>Disclaimer (Artificial intelligence)</w:t>
      </w:r>
    </w:p>
    <w:p w14:paraId="445DAC5C" w14:textId="77777777" w:rsidR="0001765A" w:rsidRPr="00B17F34" w:rsidRDefault="0001765A" w:rsidP="0001765A">
      <w:pPr>
        <w:rPr>
          <w:rFonts w:ascii="Calibri" w:eastAsia="Calibri" w:hAnsi="Calibri"/>
          <w:kern w:val="2"/>
          <w:lang w:val="en-US"/>
        </w:rPr>
      </w:pPr>
      <w:r w:rsidRPr="00B17F34">
        <w:rPr>
          <w:rFonts w:ascii="Calibri" w:eastAsia="Calibri" w:hAnsi="Calibri"/>
          <w:kern w:val="2"/>
          <w:lang w:val="en-US"/>
        </w:rPr>
        <w:t xml:space="preserve">Option 1: </w:t>
      </w:r>
    </w:p>
    <w:p w14:paraId="58AA1A3D" w14:textId="77777777" w:rsidR="0001765A" w:rsidRPr="00B17F34" w:rsidRDefault="0001765A" w:rsidP="0001765A">
      <w:pPr>
        <w:rPr>
          <w:rFonts w:ascii="Calibri" w:eastAsia="Calibri" w:hAnsi="Calibri"/>
          <w:kern w:val="2"/>
          <w:lang w:val="en-US"/>
        </w:rPr>
      </w:pPr>
      <w:r w:rsidRPr="00B17F34">
        <w:rPr>
          <w:rFonts w:ascii="Calibri" w:eastAsia="Calibri" w:hAnsi="Calibri"/>
          <w:kern w:val="2"/>
          <w:lang w:val="en-US"/>
        </w:rPr>
        <w:t>Author(s) hereby declare that NO generative AI technologies such as Large Language Models (</w:t>
      </w:r>
      <w:proofErr w:type="spellStart"/>
      <w:r w:rsidRPr="00B17F34">
        <w:rPr>
          <w:rFonts w:ascii="Calibri" w:eastAsia="Calibri" w:hAnsi="Calibri"/>
          <w:kern w:val="2"/>
          <w:lang w:val="en-US"/>
        </w:rPr>
        <w:t>ChatGPT</w:t>
      </w:r>
      <w:proofErr w:type="spellEnd"/>
      <w:r w:rsidRPr="00B17F34">
        <w:rPr>
          <w:rFonts w:ascii="Calibri" w:eastAsia="Calibri" w:hAnsi="Calibri"/>
          <w:kern w:val="2"/>
          <w:lang w:val="en-US"/>
        </w:rPr>
        <w:t xml:space="preserve">, COPILOT, etc.) and text-to-image generators have been used during the writing or editing of this manuscript. </w:t>
      </w:r>
    </w:p>
    <w:p w14:paraId="79373B70" w14:textId="6BA389E6" w:rsidR="0001765A" w:rsidRPr="009C5487" w:rsidRDefault="0001765A" w:rsidP="0001765A">
      <w:pPr>
        <w:rPr>
          <w:rFonts w:ascii="Calibri" w:eastAsia="Calibri" w:hAnsi="Calibri"/>
          <w:kern w:val="2"/>
          <w:lang w:val="en-US"/>
        </w:rPr>
      </w:pPr>
      <w:bookmarkStart w:id="5" w:name="_Hlk197682629"/>
      <w:bookmarkEnd w:id="1"/>
    </w:p>
    <w:p w14:paraId="577D4B68" w14:textId="77777777" w:rsidR="009E0B4F" w:rsidRPr="009E0B72" w:rsidRDefault="0070690F">
      <w:pPr>
        <w:widowControl w:val="0"/>
        <w:spacing w:before="240" w:after="240"/>
        <w:jc w:val="both"/>
        <w:rPr>
          <w:rFonts w:ascii="Arial" w:eastAsia="Arial" w:hAnsi="Arial" w:cs="Arial"/>
          <w:b/>
          <w:color w:val="0D0D0D"/>
          <w:sz w:val="22"/>
          <w:szCs w:val="22"/>
          <w:lang w:val="fr-FR"/>
        </w:rPr>
      </w:pPr>
      <w:bookmarkStart w:id="6" w:name="_heading=h.jvgd56c4tw01" w:colFirst="0" w:colLast="0"/>
      <w:bookmarkEnd w:id="2"/>
      <w:bookmarkEnd w:id="3"/>
      <w:bookmarkEnd w:id="4"/>
      <w:bookmarkEnd w:id="5"/>
      <w:bookmarkEnd w:id="6"/>
      <w:r w:rsidRPr="009E0B72">
        <w:rPr>
          <w:rFonts w:ascii="Arial" w:eastAsia="Arial" w:hAnsi="Arial" w:cs="Arial"/>
          <w:b/>
          <w:color w:val="0D0D0D"/>
          <w:sz w:val="22"/>
          <w:szCs w:val="22"/>
          <w:lang w:val="fr-FR"/>
        </w:rPr>
        <w:lastRenderedPageBreak/>
        <w:t>6. REFERENCES</w:t>
      </w:r>
    </w:p>
    <w:p w14:paraId="7CC2BE6D" w14:textId="77777777" w:rsidR="009E0B4F" w:rsidRPr="001F508B" w:rsidRDefault="0070690F">
      <w:pPr>
        <w:spacing w:before="240" w:after="240"/>
        <w:jc w:val="both"/>
        <w:rPr>
          <w:rFonts w:ascii="Arial" w:eastAsia="Arial" w:hAnsi="Arial" w:cs="Arial"/>
          <w:sz w:val="20"/>
          <w:szCs w:val="20"/>
        </w:rPr>
      </w:pPr>
      <w:proofErr w:type="spellStart"/>
      <w:r w:rsidRPr="009E0B72">
        <w:rPr>
          <w:rFonts w:ascii="Arial" w:eastAsia="Arial" w:hAnsi="Arial" w:cs="Arial"/>
          <w:sz w:val="20"/>
          <w:szCs w:val="20"/>
          <w:lang w:val="fr-FR"/>
        </w:rPr>
        <w:t>Alsuwaidi</w:t>
      </w:r>
      <w:proofErr w:type="spellEnd"/>
      <w:r w:rsidRPr="009E0B72">
        <w:rPr>
          <w:rFonts w:ascii="Arial" w:eastAsia="Arial" w:hAnsi="Arial" w:cs="Arial"/>
          <w:sz w:val="20"/>
          <w:szCs w:val="20"/>
          <w:lang w:val="fr-FR"/>
        </w:rPr>
        <w:t xml:space="preserve">, G. S. et al. </w:t>
      </w:r>
      <w:r w:rsidRPr="001F508B">
        <w:rPr>
          <w:rFonts w:ascii="Arial" w:eastAsia="Arial" w:hAnsi="Arial" w:cs="Arial"/>
          <w:sz w:val="20"/>
          <w:szCs w:val="20"/>
        </w:rPr>
        <w:t>(2022). The effect of simulated chewing on the surface roughness of direct and indirect resin-composites opposed by zirconia: an in vitro study. BioMed Research International, 2022, DOI: 10.1155/2022/8686540</w:t>
      </w:r>
    </w:p>
    <w:p w14:paraId="4D4551B8" w14:textId="606E74F2" w:rsidR="009E0B4F" w:rsidRPr="001F508B" w:rsidRDefault="0070690F">
      <w:pPr>
        <w:spacing w:before="240" w:after="240"/>
        <w:jc w:val="both"/>
        <w:rPr>
          <w:rFonts w:ascii="Arial" w:eastAsia="Arial" w:hAnsi="Arial" w:cs="Arial"/>
          <w:sz w:val="20"/>
          <w:szCs w:val="20"/>
        </w:rPr>
      </w:pPr>
      <w:r w:rsidRPr="0032510B">
        <w:rPr>
          <w:rFonts w:ascii="Arial" w:eastAsia="Arial" w:hAnsi="Arial" w:cs="Arial"/>
          <w:sz w:val="20"/>
          <w:szCs w:val="20"/>
          <w:highlight w:val="yellow"/>
          <w:lang w:val="pt-BR"/>
        </w:rPr>
        <w:t>Bahadir, E. B., Gül, P., Turgut, S. (202</w:t>
      </w:r>
      <w:r w:rsidR="002C65FD" w:rsidRPr="0032510B">
        <w:rPr>
          <w:rFonts w:ascii="Arial" w:eastAsia="Arial" w:hAnsi="Arial" w:cs="Arial"/>
          <w:sz w:val="20"/>
          <w:szCs w:val="20"/>
          <w:highlight w:val="yellow"/>
          <w:lang w:val="pt-BR"/>
        </w:rPr>
        <w:t>2</w:t>
      </w:r>
      <w:r w:rsidRPr="0032510B">
        <w:rPr>
          <w:rFonts w:ascii="Arial" w:eastAsia="Arial" w:hAnsi="Arial" w:cs="Arial"/>
          <w:sz w:val="20"/>
          <w:szCs w:val="20"/>
          <w:highlight w:val="yellow"/>
          <w:lang w:val="pt-BR"/>
        </w:rPr>
        <w:t xml:space="preserve">). </w:t>
      </w:r>
      <w:r w:rsidRPr="0032510B">
        <w:rPr>
          <w:rFonts w:ascii="Arial" w:eastAsia="Arial" w:hAnsi="Arial" w:cs="Arial"/>
          <w:sz w:val="20"/>
          <w:szCs w:val="20"/>
          <w:highlight w:val="yellow"/>
        </w:rPr>
        <w:t>The effect of surface sealants on discoloration of resin composites. Journal of Dental Research, Dental Clinics, Dental Prospects, 17(2), 101–108. DOI: 10.34172/joddd.2023.35422</w:t>
      </w:r>
    </w:p>
    <w:p w14:paraId="775CD75B" w14:textId="364B0B92" w:rsidR="009E0B4F" w:rsidRPr="009E0B72" w:rsidRDefault="0070690F">
      <w:pPr>
        <w:spacing w:before="240" w:after="240"/>
        <w:jc w:val="both"/>
        <w:rPr>
          <w:rFonts w:ascii="Arial" w:eastAsia="Arial" w:hAnsi="Arial" w:cs="Arial"/>
          <w:sz w:val="20"/>
          <w:szCs w:val="20"/>
          <w:lang w:val="pt-BR"/>
        </w:rPr>
      </w:pPr>
      <w:r w:rsidRPr="009E0B72">
        <w:rPr>
          <w:rFonts w:ascii="Arial" w:eastAsia="Arial" w:hAnsi="Arial" w:cs="Arial"/>
          <w:sz w:val="20"/>
          <w:szCs w:val="20"/>
          <w:lang w:val="fr-FR"/>
        </w:rPr>
        <w:t xml:space="preserve">Baratieri, L. N. et al. </w:t>
      </w:r>
      <w:r w:rsidR="00501C31" w:rsidRPr="009E0B72">
        <w:rPr>
          <w:rFonts w:ascii="Arial" w:eastAsia="Arial" w:hAnsi="Arial" w:cs="Arial"/>
          <w:sz w:val="20"/>
          <w:szCs w:val="20"/>
          <w:lang w:val="pt-BR"/>
        </w:rPr>
        <w:t xml:space="preserve">(2001). </w:t>
      </w:r>
      <w:r w:rsidRPr="009E0B72">
        <w:rPr>
          <w:rFonts w:ascii="Arial" w:eastAsia="Arial" w:hAnsi="Arial" w:cs="Arial"/>
          <w:sz w:val="20"/>
          <w:szCs w:val="20"/>
          <w:lang w:val="pt-BR"/>
        </w:rPr>
        <w:t>Odontologia restauradora: fundamentos e possibilidades. São Paulo: Santos, 739 p. ISBN 85-7288-264-2.</w:t>
      </w:r>
    </w:p>
    <w:p w14:paraId="3FBEC441" w14:textId="70E79C07" w:rsidR="009E0B4F" w:rsidRPr="009E0B72" w:rsidRDefault="0070690F">
      <w:pPr>
        <w:spacing w:before="240" w:after="240"/>
        <w:jc w:val="both"/>
        <w:rPr>
          <w:rFonts w:ascii="Arial" w:eastAsia="Arial" w:hAnsi="Arial" w:cs="Arial"/>
          <w:sz w:val="20"/>
          <w:szCs w:val="20"/>
          <w:lang w:val="pt-BR"/>
        </w:rPr>
      </w:pPr>
      <w:bookmarkStart w:id="7" w:name="_heading=h.qiuqzv5752fu" w:colFirst="0" w:colLast="0"/>
      <w:bookmarkEnd w:id="7"/>
      <w:r w:rsidRPr="009E0B72">
        <w:rPr>
          <w:rFonts w:ascii="Arial" w:eastAsia="Arial" w:hAnsi="Arial" w:cs="Arial"/>
          <w:sz w:val="20"/>
          <w:szCs w:val="20"/>
          <w:lang w:val="pt-BR"/>
        </w:rPr>
        <w:t>Baratieri, L. N</w:t>
      </w:r>
      <w:r w:rsidR="00501C31" w:rsidRPr="009E0B72">
        <w:rPr>
          <w:rFonts w:ascii="Arial" w:eastAsia="Arial" w:hAnsi="Arial" w:cs="Arial"/>
          <w:sz w:val="20"/>
          <w:szCs w:val="20"/>
          <w:lang w:val="pt-BR"/>
        </w:rPr>
        <w:t xml:space="preserve">. et al. </w:t>
      </w:r>
      <w:r w:rsidR="00501C31" w:rsidRPr="00B17F34">
        <w:rPr>
          <w:rFonts w:ascii="Arial" w:eastAsia="Arial" w:hAnsi="Arial" w:cs="Arial"/>
          <w:sz w:val="20"/>
          <w:szCs w:val="20"/>
        </w:rPr>
        <w:t>(2015).</w:t>
      </w:r>
      <w:r w:rsidRPr="00B17F34">
        <w:rPr>
          <w:rFonts w:ascii="Arial" w:eastAsia="Arial" w:hAnsi="Arial" w:cs="Arial"/>
          <w:sz w:val="20"/>
          <w:szCs w:val="20"/>
        </w:rPr>
        <w:t xml:space="preserve"> Indirect composite restorations </w:t>
      </w:r>
      <w:proofErr w:type="spellStart"/>
      <w:r w:rsidRPr="00B17F34">
        <w:rPr>
          <w:rFonts w:ascii="Arial" w:eastAsia="Arial" w:hAnsi="Arial" w:cs="Arial"/>
          <w:sz w:val="20"/>
          <w:szCs w:val="20"/>
        </w:rPr>
        <w:t>luted</w:t>
      </w:r>
      <w:proofErr w:type="spellEnd"/>
      <w:r w:rsidRPr="00B17F34">
        <w:rPr>
          <w:rFonts w:ascii="Arial" w:eastAsia="Arial" w:hAnsi="Arial" w:cs="Arial"/>
          <w:sz w:val="20"/>
          <w:szCs w:val="20"/>
        </w:rPr>
        <w:t xml:space="preserve"> with two different procedures: A ten years follow up clinical trial. </w:t>
      </w:r>
      <w:r w:rsidRPr="009E0B72">
        <w:rPr>
          <w:rFonts w:ascii="Arial" w:eastAsia="Arial" w:hAnsi="Arial" w:cs="Arial"/>
          <w:sz w:val="20"/>
          <w:szCs w:val="20"/>
          <w:lang w:val="pt-BR"/>
        </w:rPr>
        <w:t>Journal of Clinical and Experimental Dentistry, 7</w:t>
      </w:r>
      <w:r w:rsidR="00501C31" w:rsidRPr="009E0B72">
        <w:rPr>
          <w:rFonts w:ascii="Arial" w:eastAsia="Arial" w:hAnsi="Arial" w:cs="Arial"/>
          <w:sz w:val="20"/>
          <w:szCs w:val="20"/>
          <w:lang w:val="pt-BR"/>
        </w:rPr>
        <w:t>(</w:t>
      </w:r>
      <w:r w:rsidRPr="009E0B72">
        <w:rPr>
          <w:rFonts w:ascii="Arial" w:eastAsia="Arial" w:hAnsi="Arial" w:cs="Arial"/>
          <w:sz w:val="20"/>
          <w:szCs w:val="20"/>
          <w:lang w:val="pt-BR"/>
        </w:rPr>
        <w:t>1</w:t>
      </w:r>
      <w:r w:rsidR="00501C31" w:rsidRPr="009E0B72">
        <w:rPr>
          <w:rFonts w:ascii="Arial" w:eastAsia="Arial" w:hAnsi="Arial" w:cs="Arial"/>
          <w:sz w:val="20"/>
          <w:szCs w:val="20"/>
          <w:lang w:val="pt-BR"/>
        </w:rPr>
        <w:t>)</w:t>
      </w:r>
      <w:r w:rsidRPr="009E0B72">
        <w:rPr>
          <w:rFonts w:ascii="Arial" w:eastAsia="Arial" w:hAnsi="Arial" w:cs="Arial"/>
          <w:sz w:val="20"/>
          <w:szCs w:val="20"/>
          <w:lang w:val="pt-BR"/>
        </w:rPr>
        <w:t>, e54–e59. DOI: 10.4317/jced.51604</w:t>
      </w:r>
    </w:p>
    <w:p w14:paraId="147BD7BE" w14:textId="77777777" w:rsidR="009E0B4F" w:rsidRPr="001F508B" w:rsidRDefault="0070690F">
      <w:pPr>
        <w:spacing w:before="240" w:after="240"/>
        <w:jc w:val="both"/>
        <w:rPr>
          <w:rFonts w:ascii="Arial" w:eastAsia="Arial" w:hAnsi="Arial" w:cs="Arial"/>
          <w:sz w:val="20"/>
          <w:szCs w:val="20"/>
        </w:rPr>
      </w:pPr>
      <w:r w:rsidRPr="009E0B72">
        <w:rPr>
          <w:rFonts w:ascii="Arial" w:eastAsia="Arial" w:hAnsi="Arial" w:cs="Arial"/>
          <w:sz w:val="20"/>
          <w:szCs w:val="20"/>
          <w:lang w:val="pt-BR"/>
        </w:rPr>
        <w:t xml:space="preserve">Canepele, T. M. F., Rocha, D. M., Araujo, M. A. M., Valera, M. C., Salazar Marocho, S. M. (2014). </w:t>
      </w:r>
      <w:r w:rsidRPr="001F508B">
        <w:rPr>
          <w:rFonts w:ascii="Arial" w:eastAsia="Arial" w:hAnsi="Arial" w:cs="Arial"/>
          <w:sz w:val="20"/>
          <w:szCs w:val="20"/>
        </w:rPr>
        <w:t>Abrasion resistance of direct and indirect resins as a function of a sealant veneer. Indian Journal of Dental Research, 25(3), 381–385. DOI: 10.4103/0970</w:t>
      </w:r>
      <w:r w:rsidRPr="00B17F34">
        <w:rPr>
          <w:rFonts w:ascii="Cambria Math" w:eastAsia="Arial" w:hAnsi="Cambria Math" w:cs="Cambria Math"/>
          <w:sz w:val="20"/>
          <w:szCs w:val="20"/>
        </w:rPr>
        <w:t>‑</w:t>
      </w:r>
      <w:r w:rsidRPr="001F508B">
        <w:rPr>
          <w:rFonts w:ascii="Arial" w:eastAsia="Arial" w:hAnsi="Arial" w:cs="Arial"/>
          <w:sz w:val="20"/>
          <w:szCs w:val="20"/>
        </w:rPr>
        <w:t>9290.138345</w:t>
      </w:r>
    </w:p>
    <w:p w14:paraId="2227B57B" w14:textId="77777777" w:rsidR="00EF3CF6" w:rsidRPr="009E0B72" w:rsidRDefault="00EF3CF6" w:rsidP="00EF3CF6">
      <w:pPr>
        <w:spacing w:before="240" w:after="240"/>
        <w:jc w:val="both"/>
        <w:rPr>
          <w:rFonts w:ascii="Arial" w:eastAsia="Arial" w:hAnsi="Arial" w:cs="Arial"/>
          <w:sz w:val="20"/>
          <w:szCs w:val="20"/>
          <w:lang w:val="pt-BR"/>
        </w:rPr>
      </w:pPr>
      <w:proofErr w:type="spellStart"/>
      <w:r w:rsidRPr="002C65FD">
        <w:rPr>
          <w:rFonts w:ascii="Arial" w:eastAsia="Arial" w:hAnsi="Arial" w:cs="Arial"/>
          <w:sz w:val="20"/>
          <w:szCs w:val="20"/>
        </w:rPr>
        <w:t>Crins</w:t>
      </w:r>
      <w:proofErr w:type="spellEnd"/>
      <w:r w:rsidRPr="002C65FD">
        <w:rPr>
          <w:rFonts w:ascii="Arial" w:eastAsia="Arial" w:hAnsi="Arial" w:cs="Arial"/>
          <w:sz w:val="20"/>
          <w:szCs w:val="20"/>
        </w:rPr>
        <w:t xml:space="preserve">, L. A. M. J. et al. Randomized controlled trial on the performance of direct and indirect composite restorations in patients with severe tooth wear. </w:t>
      </w:r>
      <w:r w:rsidRPr="009E0B72">
        <w:rPr>
          <w:rFonts w:ascii="Arial" w:eastAsia="Arial" w:hAnsi="Arial" w:cs="Arial"/>
          <w:sz w:val="20"/>
          <w:szCs w:val="20"/>
          <w:lang w:val="pt-BR"/>
        </w:rPr>
        <w:t>Dental Materials, v. 37, n. 11, p. 1645–1654, nov. 2021. DOI: 10.1016/j.dental.2021.08.018.</w:t>
      </w:r>
    </w:p>
    <w:p w14:paraId="6FCDECC9" w14:textId="77777777" w:rsidR="009E0B4F" w:rsidRPr="00B17F34" w:rsidRDefault="0070690F">
      <w:pPr>
        <w:spacing w:before="240" w:after="240"/>
        <w:jc w:val="both"/>
        <w:rPr>
          <w:rFonts w:ascii="Arial" w:eastAsia="Arial" w:hAnsi="Arial" w:cs="Arial"/>
          <w:sz w:val="20"/>
          <w:szCs w:val="20"/>
        </w:rPr>
      </w:pPr>
      <w:r w:rsidRPr="009E0B72">
        <w:rPr>
          <w:rFonts w:ascii="Arial" w:eastAsia="Arial" w:hAnsi="Arial" w:cs="Arial"/>
          <w:sz w:val="20"/>
          <w:szCs w:val="20"/>
          <w:lang w:val="pt-BR"/>
        </w:rPr>
        <w:t xml:space="preserve">Derchi, G., Vano, M., Barone, A., Covani, U., Diaspro, A., Salerno, M. (2017). </w:t>
      </w:r>
      <w:r w:rsidRPr="00B17F34">
        <w:rPr>
          <w:rFonts w:ascii="Arial" w:eastAsia="Arial" w:hAnsi="Arial" w:cs="Arial"/>
          <w:sz w:val="20"/>
          <w:szCs w:val="20"/>
        </w:rPr>
        <w:t>Bacterial adhesion on direct and indirect dental restorative composite resins: an in vitro study on a natural biofilm. Journal of Prosthetic Dentistry, 117(5), 669–676. DOI: 10.1016/j.prosdent.2016.08.022</w:t>
      </w:r>
    </w:p>
    <w:p w14:paraId="4A01C5F1" w14:textId="77777777" w:rsidR="009E0B4F" w:rsidRPr="00B17F34" w:rsidRDefault="0070690F">
      <w:pPr>
        <w:spacing w:before="240" w:after="240"/>
        <w:jc w:val="both"/>
        <w:rPr>
          <w:rFonts w:ascii="Arial" w:eastAsia="Arial" w:hAnsi="Arial" w:cs="Arial"/>
          <w:sz w:val="20"/>
          <w:szCs w:val="20"/>
        </w:rPr>
      </w:pPr>
      <w:r w:rsidRPr="001F508B">
        <w:rPr>
          <w:rFonts w:ascii="Arial" w:eastAsia="Arial" w:hAnsi="Arial" w:cs="Arial"/>
          <w:sz w:val="20"/>
          <w:szCs w:val="20"/>
        </w:rPr>
        <w:t xml:space="preserve">Dominguez, G. P., Lozano, D. H., Santos, A. C., Vera, J. M. A., Vera, S. A. A. (2024). Direct resin composite veneers: An extensive review. Research, Society and Development, 13(7), e12213746470. </w:t>
      </w:r>
      <w:r w:rsidRPr="00B17F34">
        <w:rPr>
          <w:rFonts w:ascii="Arial" w:eastAsia="Arial" w:hAnsi="Arial" w:cs="Arial"/>
          <w:sz w:val="20"/>
          <w:szCs w:val="20"/>
        </w:rPr>
        <w:t>DOI: 10.33448/rsd-v13i7.46470</w:t>
      </w:r>
    </w:p>
    <w:p w14:paraId="1D014005" w14:textId="77777777" w:rsidR="002C65FD" w:rsidRPr="00B17F34" w:rsidRDefault="002C65FD">
      <w:pPr>
        <w:spacing w:before="240" w:after="240"/>
        <w:jc w:val="both"/>
        <w:rPr>
          <w:rFonts w:ascii="Arial" w:eastAsia="Arial" w:hAnsi="Arial" w:cs="Arial"/>
          <w:sz w:val="20"/>
          <w:szCs w:val="20"/>
        </w:rPr>
      </w:pPr>
      <w:proofErr w:type="spellStart"/>
      <w:r w:rsidRPr="00B17F34">
        <w:rPr>
          <w:rFonts w:ascii="Arial" w:eastAsia="Arial" w:hAnsi="Arial" w:cs="Arial"/>
          <w:sz w:val="20"/>
          <w:szCs w:val="20"/>
        </w:rPr>
        <w:t>Grattarola</w:t>
      </w:r>
      <w:proofErr w:type="spellEnd"/>
      <w:r w:rsidRPr="00B17F34">
        <w:rPr>
          <w:rFonts w:ascii="Arial" w:eastAsia="Arial" w:hAnsi="Arial" w:cs="Arial"/>
          <w:sz w:val="20"/>
          <w:szCs w:val="20"/>
        </w:rPr>
        <w:t>, L. et al. (2018). Local viscoelastic response of direct and indirect dental restorative composites measured by AFM. Dental Materials Journal, v. 37, n. 3, p. 365-373. DOI: 10.4012/dmj.2017-048</w:t>
      </w:r>
    </w:p>
    <w:p w14:paraId="268F288D" w14:textId="66B3DBB9" w:rsidR="009E0B4F" w:rsidRPr="001F508B" w:rsidRDefault="0070690F">
      <w:pPr>
        <w:spacing w:before="240" w:after="240"/>
        <w:jc w:val="both"/>
        <w:rPr>
          <w:rFonts w:ascii="Arial" w:eastAsia="Arial" w:hAnsi="Arial" w:cs="Arial"/>
          <w:sz w:val="20"/>
          <w:szCs w:val="20"/>
        </w:rPr>
      </w:pPr>
      <w:proofErr w:type="spellStart"/>
      <w:r w:rsidRPr="00B17F34">
        <w:rPr>
          <w:rFonts w:ascii="Arial" w:eastAsia="Arial" w:hAnsi="Arial" w:cs="Arial"/>
          <w:sz w:val="20"/>
          <w:szCs w:val="20"/>
        </w:rPr>
        <w:t>Hasani</w:t>
      </w:r>
      <w:proofErr w:type="spellEnd"/>
      <w:r w:rsidRPr="00B17F34">
        <w:rPr>
          <w:rFonts w:ascii="Arial" w:eastAsia="Arial" w:hAnsi="Arial" w:cs="Arial"/>
          <w:sz w:val="20"/>
          <w:szCs w:val="20"/>
        </w:rPr>
        <w:t xml:space="preserve"> </w:t>
      </w:r>
      <w:proofErr w:type="spellStart"/>
      <w:r w:rsidRPr="00B17F34">
        <w:rPr>
          <w:rFonts w:ascii="Arial" w:eastAsia="Arial" w:hAnsi="Arial" w:cs="Arial"/>
          <w:sz w:val="20"/>
          <w:szCs w:val="20"/>
        </w:rPr>
        <w:t>Tabatabaei</w:t>
      </w:r>
      <w:proofErr w:type="spellEnd"/>
      <w:r w:rsidRPr="00B17F34">
        <w:rPr>
          <w:rFonts w:ascii="Arial" w:eastAsia="Arial" w:hAnsi="Arial" w:cs="Arial"/>
          <w:sz w:val="20"/>
          <w:szCs w:val="20"/>
        </w:rPr>
        <w:t xml:space="preserve">, M., </w:t>
      </w:r>
      <w:proofErr w:type="spellStart"/>
      <w:r w:rsidRPr="00B17F34">
        <w:rPr>
          <w:rFonts w:ascii="Arial" w:eastAsia="Arial" w:hAnsi="Arial" w:cs="Arial"/>
          <w:sz w:val="20"/>
          <w:szCs w:val="20"/>
        </w:rPr>
        <w:t>Farahat</w:t>
      </w:r>
      <w:proofErr w:type="spellEnd"/>
      <w:r w:rsidRPr="00B17F34">
        <w:rPr>
          <w:rFonts w:ascii="Arial" w:eastAsia="Arial" w:hAnsi="Arial" w:cs="Arial"/>
          <w:sz w:val="20"/>
          <w:szCs w:val="20"/>
        </w:rPr>
        <w:t xml:space="preserve">, F., Ahmadi, E., </w:t>
      </w:r>
      <w:proofErr w:type="spellStart"/>
      <w:r w:rsidRPr="00B17F34">
        <w:rPr>
          <w:rFonts w:ascii="Arial" w:eastAsia="Arial" w:hAnsi="Arial" w:cs="Arial"/>
          <w:sz w:val="20"/>
          <w:szCs w:val="20"/>
        </w:rPr>
        <w:t>Hassani</w:t>
      </w:r>
      <w:proofErr w:type="spellEnd"/>
      <w:r w:rsidRPr="00B17F34">
        <w:rPr>
          <w:rFonts w:ascii="Arial" w:eastAsia="Arial" w:hAnsi="Arial" w:cs="Arial"/>
          <w:sz w:val="20"/>
          <w:szCs w:val="20"/>
        </w:rPr>
        <w:t xml:space="preserve">, Z. (2016). </w:t>
      </w:r>
      <w:r w:rsidRPr="001F508B">
        <w:rPr>
          <w:rFonts w:ascii="Arial" w:eastAsia="Arial" w:hAnsi="Arial" w:cs="Arial"/>
          <w:sz w:val="20"/>
          <w:szCs w:val="20"/>
        </w:rPr>
        <w:t>Effect of accelerated aging on color change of direct and indirect fiber-reinforced composite restorations. Journal of Dentistry (Tehran), 13(3), 168–175.</w:t>
      </w:r>
      <w:r w:rsidRPr="00B17F34">
        <w:rPr>
          <w:rFonts w:ascii="Arial" w:eastAsia="Arial" w:hAnsi="Arial" w:cs="Arial"/>
          <w:sz w:val="20"/>
          <w:szCs w:val="20"/>
        </w:rPr>
        <w:t xml:space="preserve"> </w:t>
      </w:r>
      <w:r w:rsidRPr="001F508B">
        <w:rPr>
          <w:rFonts w:ascii="Arial" w:eastAsia="Arial" w:hAnsi="Arial" w:cs="Arial"/>
          <w:sz w:val="20"/>
          <w:szCs w:val="20"/>
        </w:rPr>
        <w:t>PMID: 28392813</w:t>
      </w:r>
    </w:p>
    <w:p w14:paraId="5D137C04" w14:textId="77777777" w:rsidR="009E0B4F" w:rsidRPr="00B17F34" w:rsidRDefault="0070690F">
      <w:pPr>
        <w:spacing w:before="240" w:after="240"/>
        <w:jc w:val="both"/>
        <w:rPr>
          <w:rFonts w:ascii="Arial" w:eastAsia="Arial" w:hAnsi="Arial" w:cs="Arial"/>
          <w:sz w:val="20"/>
          <w:szCs w:val="20"/>
        </w:rPr>
      </w:pPr>
      <w:r w:rsidRPr="00B17F34">
        <w:rPr>
          <w:rFonts w:ascii="Arial" w:eastAsia="Arial" w:hAnsi="Arial" w:cs="Arial"/>
          <w:sz w:val="20"/>
          <w:szCs w:val="20"/>
        </w:rPr>
        <w:t>Higashi, M et al. (2021). Do resin core build-ups obtain the benefits of higher bonding ability from direct or indirect technique? Journal of Prosthodontic Research, 65(4), 565–572. DOI: 10.1016/j.jpor.2021.03.012.</w:t>
      </w:r>
    </w:p>
    <w:p w14:paraId="6CFE62B6" w14:textId="38F326A8" w:rsidR="009E0B4F" w:rsidRPr="009E0B72" w:rsidRDefault="001F508B">
      <w:pPr>
        <w:spacing w:before="240" w:after="240"/>
        <w:jc w:val="both"/>
        <w:rPr>
          <w:rFonts w:ascii="Arial" w:eastAsia="Arial" w:hAnsi="Arial" w:cs="Arial"/>
          <w:sz w:val="20"/>
          <w:szCs w:val="20"/>
          <w:lang w:val="fr-FR"/>
        </w:rPr>
      </w:pPr>
      <w:r w:rsidRPr="001F508B">
        <w:rPr>
          <w:rFonts w:ascii="Arial" w:eastAsia="Arial" w:hAnsi="Arial" w:cs="Arial"/>
          <w:sz w:val="20"/>
          <w:szCs w:val="20"/>
        </w:rPr>
        <w:t xml:space="preserve">Jain, V., Das T.K., </w:t>
      </w:r>
      <w:proofErr w:type="spellStart"/>
      <w:r w:rsidRPr="001F508B">
        <w:rPr>
          <w:rFonts w:ascii="Arial" w:eastAsia="Arial" w:hAnsi="Arial" w:cs="Arial"/>
          <w:sz w:val="20"/>
          <w:szCs w:val="20"/>
        </w:rPr>
        <w:t>Pruthi</w:t>
      </w:r>
      <w:proofErr w:type="spellEnd"/>
      <w:r w:rsidRPr="001F508B">
        <w:rPr>
          <w:rFonts w:ascii="Arial" w:eastAsia="Arial" w:hAnsi="Arial" w:cs="Arial"/>
          <w:sz w:val="20"/>
          <w:szCs w:val="20"/>
        </w:rPr>
        <w:t xml:space="preserve">, G., Shah, N., </w:t>
      </w:r>
      <w:proofErr w:type="spellStart"/>
      <w:r w:rsidRPr="001F508B">
        <w:rPr>
          <w:rFonts w:ascii="Arial" w:eastAsia="Arial" w:hAnsi="Arial" w:cs="Arial"/>
          <w:sz w:val="20"/>
          <w:szCs w:val="20"/>
        </w:rPr>
        <w:t>Rajendiran</w:t>
      </w:r>
      <w:proofErr w:type="spellEnd"/>
      <w:r w:rsidRPr="001F508B">
        <w:rPr>
          <w:rFonts w:ascii="Arial" w:eastAsia="Arial" w:hAnsi="Arial" w:cs="Arial"/>
          <w:sz w:val="20"/>
          <w:szCs w:val="20"/>
        </w:rPr>
        <w:t xml:space="preserve">, S. </w:t>
      </w:r>
      <w:r w:rsidRPr="00B17F34">
        <w:rPr>
          <w:rFonts w:ascii="Arial" w:eastAsia="Arial" w:hAnsi="Arial" w:cs="Arial"/>
          <w:sz w:val="20"/>
          <w:szCs w:val="20"/>
        </w:rPr>
        <w:t xml:space="preserve">(2015). </w:t>
      </w:r>
      <w:r w:rsidRPr="001F508B">
        <w:rPr>
          <w:rFonts w:ascii="Arial" w:eastAsia="Arial" w:hAnsi="Arial" w:cs="Arial"/>
          <w:sz w:val="20"/>
          <w:szCs w:val="20"/>
        </w:rPr>
        <w:t xml:space="preserve">Comparative evaluation of effects of bleaching on color stability and marginal adaptation of discolored direct and indirect composite laminate veneers under in vivo conditions. </w:t>
      </w:r>
      <w:r w:rsidRPr="009E0B72">
        <w:rPr>
          <w:rFonts w:ascii="Arial" w:eastAsia="Arial" w:hAnsi="Arial" w:cs="Arial"/>
          <w:sz w:val="20"/>
          <w:szCs w:val="20"/>
          <w:lang w:val="fr-FR"/>
        </w:rPr>
        <w:t xml:space="preserve">J </w:t>
      </w:r>
      <w:proofErr w:type="spellStart"/>
      <w:r w:rsidRPr="009E0B72">
        <w:rPr>
          <w:rFonts w:ascii="Arial" w:eastAsia="Arial" w:hAnsi="Arial" w:cs="Arial"/>
          <w:sz w:val="20"/>
          <w:szCs w:val="20"/>
          <w:lang w:val="fr-FR"/>
        </w:rPr>
        <w:t>Indian</w:t>
      </w:r>
      <w:proofErr w:type="spellEnd"/>
      <w:r w:rsidRPr="009E0B72">
        <w:rPr>
          <w:rFonts w:ascii="Arial" w:eastAsia="Arial" w:hAnsi="Arial" w:cs="Arial"/>
          <w:sz w:val="20"/>
          <w:szCs w:val="20"/>
          <w:lang w:val="fr-FR"/>
        </w:rPr>
        <w:t xml:space="preserve"> </w:t>
      </w:r>
      <w:proofErr w:type="spellStart"/>
      <w:r w:rsidRPr="009E0B72">
        <w:rPr>
          <w:rFonts w:ascii="Arial" w:eastAsia="Arial" w:hAnsi="Arial" w:cs="Arial"/>
          <w:sz w:val="20"/>
          <w:szCs w:val="20"/>
          <w:lang w:val="fr-FR"/>
        </w:rPr>
        <w:t>Prosthodont</w:t>
      </w:r>
      <w:proofErr w:type="spellEnd"/>
      <w:r w:rsidRPr="009E0B72">
        <w:rPr>
          <w:rFonts w:ascii="Arial" w:eastAsia="Arial" w:hAnsi="Arial" w:cs="Arial"/>
          <w:sz w:val="20"/>
          <w:szCs w:val="20"/>
          <w:lang w:val="fr-FR"/>
        </w:rPr>
        <w:t xml:space="preserve"> Soc., 15(1</w:t>
      </w:r>
      <w:proofErr w:type="gramStart"/>
      <w:r w:rsidRPr="009E0B72">
        <w:rPr>
          <w:rFonts w:ascii="Arial" w:eastAsia="Arial" w:hAnsi="Arial" w:cs="Arial"/>
          <w:sz w:val="20"/>
          <w:szCs w:val="20"/>
          <w:lang w:val="fr-FR"/>
        </w:rPr>
        <w:t>):</w:t>
      </w:r>
      <w:proofErr w:type="gramEnd"/>
      <w:r w:rsidRPr="009E0B72">
        <w:rPr>
          <w:rFonts w:ascii="Arial" w:eastAsia="Arial" w:hAnsi="Arial" w:cs="Arial"/>
          <w:sz w:val="20"/>
          <w:szCs w:val="20"/>
          <w:lang w:val="fr-FR"/>
        </w:rPr>
        <w:t xml:space="preserve">46-52. </w:t>
      </w:r>
      <w:proofErr w:type="gramStart"/>
      <w:r w:rsidRPr="009E0B72">
        <w:rPr>
          <w:rFonts w:ascii="Arial" w:eastAsia="Arial" w:hAnsi="Arial" w:cs="Arial"/>
          <w:sz w:val="20"/>
          <w:szCs w:val="20"/>
          <w:lang w:val="fr-FR"/>
        </w:rPr>
        <w:t>DOI:</w:t>
      </w:r>
      <w:proofErr w:type="gramEnd"/>
      <w:r w:rsidRPr="009E0B72">
        <w:rPr>
          <w:rFonts w:ascii="Arial" w:eastAsia="Arial" w:hAnsi="Arial" w:cs="Arial"/>
          <w:sz w:val="20"/>
          <w:szCs w:val="20"/>
          <w:lang w:val="fr-FR"/>
        </w:rPr>
        <w:t xml:space="preserve"> 10.4103/0972-4052.155038</w:t>
      </w:r>
    </w:p>
    <w:p w14:paraId="761DD7DA" w14:textId="77777777" w:rsidR="009E0B4F" w:rsidRPr="001F508B" w:rsidRDefault="0070690F">
      <w:pPr>
        <w:spacing w:before="240" w:after="240"/>
        <w:jc w:val="both"/>
        <w:rPr>
          <w:rFonts w:ascii="Arial" w:eastAsia="Arial" w:hAnsi="Arial" w:cs="Arial"/>
          <w:sz w:val="20"/>
          <w:szCs w:val="20"/>
        </w:rPr>
      </w:pPr>
      <w:r w:rsidRPr="009E0B72">
        <w:rPr>
          <w:rFonts w:ascii="Arial" w:eastAsia="Arial" w:hAnsi="Arial" w:cs="Arial"/>
          <w:sz w:val="20"/>
          <w:szCs w:val="20"/>
          <w:lang w:val="fr-FR"/>
        </w:rPr>
        <w:t xml:space="preserve">Lira, J. L. F. et al. </w:t>
      </w:r>
      <w:r w:rsidRPr="001F508B">
        <w:rPr>
          <w:rFonts w:ascii="Arial" w:eastAsia="Arial" w:hAnsi="Arial" w:cs="Arial"/>
          <w:sz w:val="20"/>
          <w:szCs w:val="20"/>
        </w:rPr>
        <w:t>(2021). Indirect restorations in composite resin in cavities with different depths: case report. Research, Society and Development, 10(4), e58810414439. DOI: 10.33448/rsd-v10i4.14439</w:t>
      </w:r>
    </w:p>
    <w:p w14:paraId="71EEAA39" w14:textId="2C541C5D" w:rsidR="009E0B4F" w:rsidRPr="001F508B" w:rsidRDefault="0070690F">
      <w:pPr>
        <w:spacing w:before="240" w:after="240"/>
        <w:jc w:val="both"/>
        <w:rPr>
          <w:rFonts w:ascii="Arial" w:eastAsia="Arial" w:hAnsi="Arial" w:cs="Arial"/>
          <w:sz w:val="20"/>
          <w:szCs w:val="20"/>
        </w:rPr>
      </w:pPr>
      <w:r w:rsidRPr="001F508B">
        <w:rPr>
          <w:rFonts w:ascii="Arial" w:eastAsia="Arial" w:hAnsi="Arial" w:cs="Arial"/>
          <w:sz w:val="20"/>
          <w:szCs w:val="20"/>
        </w:rPr>
        <w:t xml:space="preserve">Moussa, C. et al. </w:t>
      </w:r>
      <w:r w:rsidR="001F508B" w:rsidRPr="001F508B">
        <w:rPr>
          <w:rFonts w:ascii="Arial" w:eastAsia="Arial" w:hAnsi="Arial" w:cs="Arial"/>
          <w:sz w:val="20"/>
          <w:szCs w:val="20"/>
        </w:rPr>
        <w:t xml:space="preserve">(2024). </w:t>
      </w:r>
      <w:r w:rsidRPr="001F508B">
        <w:rPr>
          <w:rFonts w:ascii="Arial" w:eastAsia="Arial" w:hAnsi="Arial" w:cs="Arial"/>
          <w:sz w:val="20"/>
          <w:szCs w:val="20"/>
        </w:rPr>
        <w:t>Fracture Resistance of Direct versus Indirect Restorations on Posterior Teeth: A Systematic Review and Meta-Analysis. Bioengineering, 11</w:t>
      </w:r>
      <w:r w:rsidR="001F508B" w:rsidRPr="001F508B">
        <w:rPr>
          <w:rFonts w:ascii="Arial" w:eastAsia="Arial" w:hAnsi="Arial" w:cs="Arial"/>
          <w:sz w:val="20"/>
          <w:szCs w:val="20"/>
        </w:rPr>
        <w:t>(</w:t>
      </w:r>
      <w:r w:rsidRPr="001F508B">
        <w:rPr>
          <w:rFonts w:ascii="Arial" w:eastAsia="Arial" w:hAnsi="Arial" w:cs="Arial"/>
          <w:sz w:val="20"/>
          <w:szCs w:val="20"/>
        </w:rPr>
        <w:t>6</w:t>
      </w:r>
      <w:r w:rsidR="001F508B" w:rsidRPr="001F508B">
        <w:rPr>
          <w:rFonts w:ascii="Arial" w:eastAsia="Arial" w:hAnsi="Arial" w:cs="Arial"/>
          <w:sz w:val="20"/>
          <w:szCs w:val="20"/>
        </w:rPr>
        <w:t>)</w:t>
      </w:r>
      <w:r w:rsidRPr="001F508B">
        <w:rPr>
          <w:rFonts w:ascii="Arial" w:eastAsia="Arial" w:hAnsi="Arial" w:cs="Arial"/>
          <w:sz w:val="20"/>
          <w:szCs w:val="20"/>
        </w:rPr>
        <w:t>, 536, DOI: 10.3390/bioengineering11060536</w:t>
      </w:r>
      <w:r w:rsidRPr="00B17F34">
        <w:rPr>
          <w:rFonts w:ascii="Arial" w:eastAsia="Arial" w:hAnsi="Arial" w:cs="Arial"/>
          <w:sz w:val="20"/>
          <w:szCs w:val="20"/>
        </w:rPr>
        <w:t>.</w:t>
      </w:r>
    </w:p>
    <w:p w14:paraId="6C05396D" w14:textId="77777777" w:rsidR="009E0B4F" w:rsidRPr="001F508B" w:rsidRDefault="0070690F">
      <w:pPr>
        <w:spacing w:before="240" w:after="240"/>
        <w:jc w:val="both"/>
        <w:rPr>
          <w:rFonts w:ascii="Arial" w:eastAsia="Arial" w:hAnsi="Arial" w:cs="Arial"/>
          <w:sz w:val="20"/>
          <w:szCs w:val="20"/>
        </w:rPr>
      </w:pPr>
      <w:proofErr w:type="spellStart"/>
      <w:r w:rsidRPr="001F508B">
        <w:rPr>
          <w:rFonts w:ascii="Arial" w:eastAsia="Arial" w:hAnsi="Arial" w:cs="Arial"/>
          <w:sz w:val="20"/>
          <w:szCs w:val="20"/>
        </w:rPr>
        <w:t>Moraes</w:t>
      </w:r>
      <w:proofErr w:type="spellEnd"/>
      <w:r w:rsidRPr="001F508B">
        <w:rPr>
          <w:rFonts w:ascii="Arial" w:eastAsia="Arial" w:hAnsi="Arial" w:cs="Arial"/>
          <w:sz w:val="20"/>
          <w:szCs w:val="20"/>
        </w:rPr>
        <w:t>, S. H. et al. (2025). Use of composite resin in aesthetic rehabilitation of anterior teeth: literature review. Brazilian Journal of Implantology and Health Sciences, 7(4), 354–367. DOI: 10.36557/2674-8169.2025v7n4p354-367</w:t>
      </w:r>
    </w:p>
    <w:p w14:paraId="1F78FA05" w14:textId="77777777" w:rsidR="009E0B4F" w:rsidRPr="001F508B" w:rsidRDefault="0070690F">
      <w:pPr>
        <w:spacing w:before="240" w:after="240"/>
        <w:jc w:val="both"/>
        <w:rPr>
          <w:rFonts w:ascii="Arial" w:eastAsia="Arial" w:hAnsi="Arial" w:cs="Arial"/>
          <w:sz w:val="20"/>
          <w:szCs w:val="20"/>
        </w:rPr>
      </w:pPr>
      <w:r w:rsidRPr="001F508B">
        <w:rPr>
          <w:rFonts w:ascii="Arial" w:eastAsia="Arial" w:hAnsi="Arial" w:cs="Arial"/>
          <w:sz w:val="20"/>
          <w:szCs w:val="20"/>
        </w:rPr>
        <w:lastRenderedPageBreak/>
        <w:t>Naka, O. et al. (2018). Do composite resin restorations protect cracked teeth? An in-vitro study. British Dental Journal, 225(3), 239–243. DOI: 10.1038/sj.bdj.2018.539</w:t>
      </w:r>
    </w:p>
    <w:p w14:paraId="7F1C492F" w14:textId="77777777" w:rsidR="009E0B4F" w:rsidRPr="001F508B" w:rsidRDefault="0070690F">
      <w:pPr>
        <w:spacing w:before="240" w:after="240"/>
        <w:jc w:val="both"/>
        <w:rPr>
          <w:rFonts w:ascii="Arial" w:eastAsia="Arial" w:hAnsi="Arial" w:cs="Arial"/>
          <w:sz w:val="20"/>
          <w:szCs w:val="20"/>
        </w:rPr>
      </w:pPr>
      <w:proofErr w:type="spellStart"/>
      <w:r w:rsidRPr="001F508B">
        <w:rPr>
          <w:rFonts w:ascii="Arial" w:eastAsia="Arial" w:hAnsi="Arial" w:cs="Arial"/>
          <w:sz w:val="20"/>
          <w:szCs w:val="20"/>
        </w:rPr>
        <w:t>Osiewicz</w:t>
      </w:r>
      <w:proofErr w:type="spellEnd"/>
      <w:r w:rsidRPr="001F508B">
        <w:rPr>
          <w:rFonts w:ascii="Arial" w:eastAsia="Arial" w:hAnsi="Arial" w:cs="Arial"/>
          <w:sz w:val="20"/>
          <w:szCs w:val="20"/>
        </w:rPr>
        <w:t>, M. et al. (2015). Contact- and contact-free wear between various resin composites. Dental Materials, 31(2), 197–205. DOI: 10.1016/j.dental.2014.11.007</w:t>
      </w:r>
    </w:p>
    <w:p w14:paraId="7B309931" w14:textId="77777777" w:rsidR="009E0B4F" w:rsidRPr="009E0B72" w:rsidRDefault="0070690F">
      <w:pPr>
        <w:spacing w:before="240" w:after="240"/>
        <w:jc w:val="both"/>
        <w:rPr>
          <w:rFonts w:ascii="Arial" w:eastAsia="Arial" w:hAnsi="Arial" w:cs="Arial"/>
          <w:sz w:val="20"/>
          <w:szCs w:val="20"/>
          <w:lang w:val="pt-BR"/>
        </w:rPr>
      </w:pPr>
      <w:proofErr w:type="spellStart"/>
      <w:r w:rsidRPr="001F508B">
        <w:rPr>
          <w:rFonts w:ascii="Arial" w:eastAsia="Arial" w:hAnsi="Arial" w:cs="Arial"/>
          <w:sz w:val="20"/>
          <w:szCs w:val="20"/>
        </w:rPr>
        <w:t>Ozakar</w:t>
      </w:r>
      <w:r w:rsidRPr="00B17F34">
        <w:rPr>
          <w:rFonts w:ascii="Cambria Math" w:eastAsia="Arial" w:hAnsi="Cambria Math" w:cs="Cambria Math"/>
          <w:sz w:val="20"/>
          <w:szCs w:val="20"/>
        </w:rPr>
        <w:t>‑</w:t>
      </w:r>
      <w:r w:rsidRPr="001F508B">
        <w:rPr>
          <w:rFonts w:ascii="Arial" w:eastAsia="Arial" w:hAnsi="Arial" w:cs="Arial"/>
          <w:sz w:val="20"/>
          <w:szCs w:val="20"/>
        </w:rPr>
        <w:t>Ilday</w:t>
      </w:r>
      <w:proofErr w:type="spellEnd"/>
      <w:r w:rsidRPr="001F508B">
        <w:rPr>
          <w:rFonts w:ascii="Arial" w:eastAsia="Arial" w:hAnsi="Arial" w:cs="Arial"/>
          <w:sz w:val="20"/>
          <w:szCs w:val="20"/>
        </w:rPr>
        <w:t xml:space="preserve">, N., Zorba, Y. O., </w:t>
      </w:r>
      <w:proofErr w:type="spellStart"/>
      <w:r w:rsidRPr="001F508B">
        <w:rPr>
          <w:rFonts w:ascii="Arial" w:eastAsia="Arial" w:hAnsi="Arial" w:cs="Arial"/>
          <w:sz w:val="20"/>
          <w:szCs w:val="20"/>
        </w:rPr>
        <w:t>Yildiz</w:t>
      </w:r>
      <w:proofErr w:type="spellEnd"/>
      <w:r w:rsidRPr="001F508B">
        <w:rPr>
          <w:rFonts w:ascii="Arial" w:eastAsia="Arial" w:hAnsi="Arial" w:cs="Arial"/>
          <w:sz w:val="20"/>
          <w:szCs w:val="20"/>
        </w:rPr>
        <w:t xml:space="preserve">, M., </w:t>
      </w:r>
      <w:proofErr w:type="spellStart"/>
      <w:r w:rsidRPr="001F508B">
        <w:rPr>
          <w:rFonts w:ascii="Arial" w:eastAsia="Arial" w:hAnsi="Arial" w:cs="Arial"/>
          <w:sz w:val="20"/>
          <w:szCs w:val="20"/>
        </w:rPr>
        <w:t>Erdem</w:t>
      </w:r>
      <w:proofErr w:type="spellEnd"/>
      <w:r w:rsidRPr="001F508B">
        <w:rPr>
          <w:rFonts w:ascii="Arial" w:eastAsia="Arial" w:hAnsi="Arial" w:cs="Arial"/>
          <w:sz w:val="20"/>
          <w:szCs w:val="20"/>
        </w:rPr>
        <w:t xml:space="preserve">, V., Seven, N., </w:t>
      </w:r>
      <w:proofErr w:type="spellStart"/>
      <w:r w:rsidRPr="001F508B">
        <w:rPr>
          <w:rFonts w:ascii="Arial" w:eastAsia="Arial" w:hAnsi="Arial" w:cs="Arial"/>
          <w:sz w:val="20"/>
          <w:szCs w:val="20"/>
        </w:rPr>
        <w:t>Demirbuga</w:t>
      </w:r>
      <w:proofErr w:type="spellEnd"/>
      <w:r w:rsidRPr="001F508B">
        <w:rPr>
          <w:rFonts w:ascii="Arial" w:eastAsia="Arial" w:hAnsi="Arial" w:cs="Arial"/>
          <w:sz w:val="20"/>
          <w:szCs w:val="20"/>
        </w:rPr>
        <w:t>, S. (2013). Three</w:t>
      </w:r>
      <w:r w:rsidRPr="00B17F34">
        <w:rPr>
          <w:rFonts w:ascii="Cambria Math" w:eastAsia="Arial" w:hAnsi="Cambria Math" w:cs="Cambria Math"/>
          <w:sz w:val="20"/>
          <w:szCs w:val="20"/>
        </w:rPr>
        <w:t>‑</w:t>
      </w:r>
      <w:r w:rsidRPr="001F508B">
        <w:rPr>
          <w:rFonts w:ascii="Arial" w:eastAsia="Arial" w:hAnsi="Arial" w:cs="Arial"/>
          <w:sz w:val="20"/>
          <w:szCs w:val="20"/>
        </w:rPr>
        <w:t xml:space="preserve">year clinical performance of two indirect composite inlays compared to direct composite restorations. </w:t>
      </w:r>
      <w:r w:rsidRPr="009E0B72">
        <w:rPr>
          <w:rFonts w:ascii="Arial" w:eastAsia="Arial" w:hAnsi="Arial" w:cs="Arial"/>
          <w:sz w:val="20"/>
          <w:szCs w:val="20"/>
          <w:lang w:val="pt-BR"/>
        </w:rPr>
        <w:t xml:space="preserve">Medicina Oral, Patologia Oral y Cirugía Bucal, 18(3), e521–e528. </w:t>
      </w:r>
      <w:hyperlink r:id="rId15">
        <w:r w:rsidR="009E0B4F" w:rsidRPr="009E0B72">
          <w:rPr>
            <w:rFonts w:ascii="Arial" w:eastAsia="Arial" w:hAnsi="Arial" w:cs="Arial"/>
            <w:sz w:val="20"/>
            <w:szCs w:val="20"/>
            <w:lang w:val="pt-BR"/>
          </w:rPr>
          <w:t xml:space="preserve">https://doi.org/10.4317/medoral.18491 </w:t>
        </w:r>
      </w:hyperlink>
    </w:p>
    <w:p w14:paraId="1271D63A" w14:textId="77777777" w:rsidR="009E0B4F" w:rsidRPr="001F508B" w:rsidRDefault="0070690F">
      <w:pPr>
        <w:spacing w:before="240" w:after="240"/>
        <w:jc w:val="both"/>
        <w:rPr>
          <w:rFonts w:ascii="Arial" w:eastAsia="Arial" w:hAnsi="Arial" w:cs="Arial"/>
          <w:sz w:val="20"/>
          <w:szCs w:val="20"/>
        </w:rPr>
      </w:pPr>
      <w:r w:rsidRPr="00B17F34">
        <w:rPr>
          <w:rFonts w:ascii="Arial" w:eastAsia="Arial" w:hAnsi="Arial" w:cs="Arial"/>
          <w:sz w:val="20"/>
          <w:szCs w:val="20"/>
        </w:rPr>
        <w:t xml:space="preserve">Shah, S., Hemmings, K, </w:t>
      </w:r>
      <w:proofErr w:type="spellStart"/>
      <w:r w:rsidRPr="00B17F34">
        <w:rPr>
          <w:rFonts w:ascii="Arial" w:eastAsia="Arial" w:hAnsi="Arial" w:cs="Arial"/>
          <w:sz w:val="20"/>
          <w:szCs w:val="20"/>
        </w:rPr>
        <w:t>Gulamali</w:t>
      </w:r>
      <w:proofErr w:type="spellEnd"/>
      <w:r w:rsidRPr="00B17F34">
        <w:rPr>
          <w:rFonts w:ascii="Arial" w:eastAsia="Arial" w:hAnsi="Arial" w:cs="Arial"/>
          <w:sz w:val="20"/>
          <w:szCs w:val="20"/>
        </w:rPr>
        <w:t>, A., Petrie, A., Malik, J. S. (2024). The survival and clinical performance of anterior composite resin restorations and posterior indirect and cast restorations used to treat generalized tooth wear. British Dental Journal, 237(3), 203–211. DOI:</w:t>
      </w:r>
      <w:hyperlink r:id="rId16">
        <w:r w:rsidR="009E0B4F" w:rsidRPr="00B17F34">
          <w:rPr>
            <w:rFonts w:ascii="Arial" w:eastAsia="Arial" w:hAnsi="Arial" w:cs="Arial"/>
            <w:sz w:val="20"/>
            <w:szCs w:val="20"/>
          </w:rPr>
          <w:t xml:space="preserve"> </w:t>
        </w:r>
      </w:hyperlink>
      <w:hyperlink r:id="rId17">
        <w:r w:rsidR="009E0B4F" w:rsidRPr="001F508B">
          <w:rPr>
            <w:rFonts w:ascii="Arial" w:eastAsia="Arial" w:hAnsi="Arial" w:cs="Arial"/>
            <w:sz w:val="20"/>
            <w:szCs w:val="20"/>
          </w:rPr>
          <w:t xml:space="preserve">10.1038/s41415-024-7617-z </w:t>
        </w:r>
      </w:hyperlink>
    </w:p>
    <w:p w14:paraId="3D308931" w14:textId="77777777" w:rsidR="002C65FD" w:rsidRPr="00B17F34" w:rsidRDefault="002C65FD" w:rsidP="002C65FD">
      <w:pPr>
        <w:spacing w:before="240" w:after="240"/>
        <w:jc w:val="both"/>
        <w:rPr>
          <w:rFonts w:ascii="Arial" w:eastAsia="Arial" w:hAnsi="Arial" w:cs="Arial"/>
          <w:sz w:val="20"/>
          <w:szCs w:val="20"/>
        </w:rPr>
      </w:pPr>
      <w:proofErr w:type="spellStart"/>
      <w:r w:rsidRPr="00B17F34">
        <w:rPr>
          <w:rFonts w:ascii="Arial" w:eastAsia="Arial" w:hAnsi="Arial" w:cs="Arial"/>
          <w:sz w:val="20"/>
          <w:szCs w:val="20"/>
        </w:rPr>
        <w:t>Tabatabaei</w:t>
      </w:r>
      <w:proofErr w:type="spellEnd"/>
      <w:r w:rsidRPr="00B17F34">
        <w:rPr>
          <w:rFonts w:ascii="Arial" w:eastAsia="Arial" w:hAnsi="Arial" w:cs="Arial"/>
          <w:sz w:val="20"/>
          <w:szCs w:val="20"/>
        </w:rPr>
        <w:t xml:space="preserve">, M. H. et al. Effect of accelerated aging on color change of direct and indirect fiber-reinforced composite restorations. Journal of Dentistry (Tehran), v. 13, n. 3, p. 168–175, jun. 2016. </w:t>
      </w:r>
      <w:proofErr w:type="spellStart"/>
      <w:r w:rsidRPr="00B17F34">
        <w:rPr>
          <w:rFonts w:ascii="Arial" w:eastAsia="Arial" w:hAnsi="Arial" w:cs="Arial"/>
          <w:sz w:val="20"/>
          <w:szCs w:val="20"/>
        </w:rPr>
        <w:t>Disponível</w:t>
      </w:r>
      <w:proofErr w:type="spellEnd"/>
      <w:r w:rsidRPr="00B17F34">
        <w:rPr>
          <w:rFonts w:ascii="Arial" w:eastAsia="Arial" w:hAnsi="Arial" w:cs="Arial"/>
          <w:sz w:val="20"/>
          <w:szCs w:val="20"/>
        </w:rPr>
        <w:t xml:space="preserve"> </w:t>
      </w:r>
      <w:proofErr w:type="spellStart"/>
      <w:r w:rsidRPr="00B17F34">
        <w:rPr>
          <w:rFonts w:ascii="Arial" w:eastAsia="Arial" w:hAnsi="Arial" w:cs="Arial"/>
          <w:sz w:val="20"/>
          <w:szCs w:val="20"/>
        </w:rPr>
        <w:t>em</w:t>
      </w:r>
      <w:proofErr w:type="spellEnd"/>
      <w:r w:rsidRPr="00B17F34">
        <w:rPr>
          <w:rFonts w:ascii="Arial" w:eastAsia="Arial" w:hAnsi="Arial" w:cs="Arial"/>
          <w:sz w:val="20"/>
          <w:szCs w:val="20"/>
        </w:rPr>
        <w:t xml:space="preserve">: </w:t>
      </w:r>
      <w:hyperlink r:id="rId18" w:tgtFrame="_new" w:history="1">
        <w:r w:rsidRPr="00B17F34">
          <w:rPr>
            <w:rFonts w:ascii="Arial" w:eastAsia="Arial" w:hAnsi="Arial" w:cs="Arial"/>
            <w:sz w:val="20"/>
            <w:szCs w:val="20"/>
          </w:rPr>
          <w:t>https://pmc.ncbi.nlm.nih.gov/articles/PMC5376543</w:t>
        </w:r>
      </w:hyperlink>
      <w:r w:rsidRPr="00B17F34">
        <w:rPr>
          <w:rFonts w:ascii="Arial" w:eastAsia="Arial" w:hAnsi="Arial" w:cs="Arial"/>
          <w:sz w:val="20"/>
          <w:szCs w:val="20"/>
        </w:rPr>
        <w:t>.</w:t>
      </w:r>
    </w:p>
    <w:p w14:paraId="526580C4" w14:textId="77777777" w:rsidR="009E0B4F" w:rsidRPr="00B17F34" w:rsidRDefault="0070690F">
      <w:pPr>
        <w:spacing w:before="240" w:after="240"/>
        <w:jc w:val="both"/>
        <w:rPr>
          <w:rFonts w:ascii="Arial" w:eastAsia="Arial" w:hAnsi="Arial" w:cs="Arial"/>
          <w:sz w:val="20"/>
          <w:szCs w:val="20"/>
        </w:rPr>
      </w:pPr>
      <w:r w:rsidRPr="009E0B72">
        <w:rPr>
          <w:rFonts w:ascii="Arial" w:eastAsia="Arial" w:hAnsi="Arial" w:cs="Arial"/>
          <w:sz w:val="20"/>
          <w:szCs w:val="20"/>
          <w:lang w:val="pt-BR"/>
        </w:rPr>
        <w:t xml:space="preserve">Torabzadeh, H., Ghasemi, A., Dabestani, A., Razmavar, S. (2013). </w:t>
      </w:r>
      <w:r w:rsidRPr="00B17F34">
        <w:rPr>
          <w:rFonts w:ascii="Arial" w:eastAsia="Arial" w:hAnsi="Arial" w:cs="Arial"/>
          <w:sz w:val="20"/>
          <w:szCs w:val="20"/>
        </w:rPr>
        <w:t>Fracture resistance of teeth restored with direct and indirect composite restorations. Journal of Dentistry (Tehran), 10(5), 417–425, DOI: 10.18869/acadpub.jdt.10.5.417</w:t>
      </w:r>
    </w:p>
    <w:p w14:paraId="7FC07EBD" w14:textId="1E432878" w:rsidR="009E0B4F" w:rsidRPr="00B17F34" w:rsidRDefault="0070690F" w:rsidP="001F508B">
      <w:pPr>
        <w:spacing w:before="240" w:after="240"/>
        <w:jc w:val="both"/>
        <w:rPr>
          <w:rFonts w:ascii="Arial" w:eastAsia="Arial" w:hAnsi="Arial" w:cs="Arial"/>
          <w:sz w:val="20"/>
          <w:szCs w:val="20"/>
        </w:rPr>
      </w:pPr>
      <w:bookmarkStart w:id="8" w:name="_GoBack"/>
      <w:bookmarkEnd w:id="8"/>
      <w:r w:rsidRPr="009E0B72">
        <w:rPr>
          <w:rFonts w:ascii="Arial" w:eastAsia="Arial" w:hAnsi="Arial" w:cs="Arial"/>
          <w:sz w:val="20"/>
          <w:szCs w:val="20"/>
          <w:lang w:val="pt-BR"/>
        </w:rPr>
        <w:t xml:space="preserve">Yamamoto, T., Nakamura, Y., Nishide, A., Kubota, Y., Momoi, Y. (2013). </w:t>
      </w:r>
      <w:r w:rsidRPr="00B17F34">
        <w:rPr>
          <w:rFonts w:ascii="Arial" w:eastAsia="Arial" w:hAnsi="Arial" w:cs="Arial"/>
          <w:sz w:val="20"/>
          <w:szCs w:val="20"/>
        </w:rPr>
        <w:t>Contraction stresses in direct and indirect composite restorations compared by crack analysis. Journal of Adhesive Dentistry, 15(1), 47–54. DOI: 10.3290/j.jad.a28171</w:t>
      </w:r>
    </w:p>
    <w:sectPr w:rsidR="009E0B4F" w:rsidRPr="00B17F34" w:rsidSect="00E2387E">
      <w:type w:val="continuous"/>
      <w:pgSz w:w="11906" w:h="16838"/>
      <w:pgMar w:top="1701" w:right="1134" w:bottom="1134" w:left="1701" w:header="709"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FD5472" w14:textId="77777777" w:rsidR="00F85D52" w:rsidRDefault="00F85D52">
      <w:r>
        <w:separator/>
      </w:r>
    </w:p>
  </w:endnote>
  <w:endnote w:type="continuationSeparator" w:id="0">
    <w:p w14:paraId="224B8700" w14:textId="77777777" w:rsidR="00F85D52" w:rsidRDefault="00F85D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6CF841D5-AAF2-4D1D-8782-B35DDE339A03}"/>
    <w:embedBold r:id="rId2" w:fontKey="{F5D5965A-E5A3-443D-ABB7-9747EB7C6F3C}"/>
  </w:font>
  <w:font w:name="Tahoma">
    <w:panose1 w:val="020B0604030504040204"/>
    <w:charset w:val="00"/>
    <w:family w:val="swiss"/>
    <w:pitch w:val="variable"/>
    <w:sig w:usb0="E1002EFF" w:usb1="C000605B" w:usb2="00000029" w:usb3="00000000" w:csb0="000101FF" w:csb1="00000000"/>
    <w:embedRegular r:id="rId3" w:fontKey="{5AE64153-CEBC-42FC-A21C-37241DD67018}"/>
  </w:font>
  <w:font w:name="Helvetica">
    <w:panose1 w:val="020B0604020202020204"/>
    <w:charset w:val="00"/>
    <w:family w:val="swiss"/>
    <w:pitch w:val="variable"/>
    <w:sig w:usb0="E0002EFF" w:usb1="C000785B" w:usb2="00000009" w:usb3="00000000" w:csb0="000001FF" w:csb1="00000000"/>
    <w:embedRegular r:id="rId4" w:fontKey="{EE68E62F-01AA-41FB-95BD-C5E525C5F8EB}"/>
  </w:font>
  <w:font w:name="Calibri">
    <w:panose1 w:val="020F0502020204030204"/>
    <w:charset w:val="00"/>
    <w:family w:val="swiss"/>
    <w:pitch w:val="variable"/>
    <w:sig w:usb0="E4002EFF" w:usb1="C200247B" w:usb2="00000009" w:usb3="00000000" w:csb0="000001FF" w:csb1="00000000"/>
    <w:embedRegular r:id="rId5" w:fontKey="{64AF0906-E610-451C-A46D-A863924AEF2A}"/>
  </w:font>
  <w:font w:name="Cambria Math">
    <w:panose1 w:val="02040503050406030204"/>
    <w:charset w:val="00"/>
    <w:family w:val="roman"/>
    <w:pitch w:val="variable"/>
    <w:sig w:usb0="E00006FF" w:usb1="420024FF" w:usb2="02000000" w:usb3="00000000" w:csb0="0000019F" w:csb1="00000000"/>
    <w:embedRegular r:id="rId6" w:fontKey="{90EA951B-F7F3-482B-9E86-077748CCDD21}"/>
  </w:font>
  <w:font w:name="Cambria">
    <w:panose1 w:val="02040503050406030204"/>
    <w:charset w:val="00"/>
    <w:family w:val="roman"/>
    <w:pitch w:val="variable"/>
    <w:sig w:usb0="E00006FF" w:usb1="420024FF" w:usb2="02000000" w:usb3="00000000" w:csb0="0000019F" w:csb1="00000000"/>
    <w:embedRegular r:id="rId7" w:fontKey="{C7871FDD-4ED7-4111-A6F0-E38470AE48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553616" w14:textId="77777777" w:rsidR="00E2387E" w:rsidRDefault="00E238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5394B" w14:textId="77777777" w:rsidR="009E0B4F" w:rsidRDefault="009E0B4F">
    <w:pPr>
      <w:pBdr>
        <w:top w:val="nil"/>
        <w:left w:val="nil"/>
        <w:bottom w:val="nil"/>
        <w:right w:val="nil"/>
        <w:between w:val="nil"/>
      </w:pBdr>
      <w:jc w:val="right"/>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932425" w14:textId="77777777" w:rsidR="00E2387E" w:rsidRDefault="00E238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75B3AE" w14:textId="77777777" w:rsidR="00F85D52" w:rsidRDefault="00F85D52">
      <w:r>
        <w:separator/>
      </w:r>
    </w:p>
  </w:footnote>
  <w:footnote w:type="continuationSeparator" w:id="0">
    <w:p w14:paraId="0186B62A" w14:textId="77777777" w:rsidR="00F85D52" w:rsidRDefault="00F85D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C3A254" w14:textId="1989D17A" w:rsidR="00E2387E" w:rsidRDefault="0032510B">
    <w:pPr>
      <w:pStyle w:val="Header"/>
    </w:pPr>
    <w:r>
      <w:rPr>
        <w:noProof/>
      </w:rPr>
      <w:pict w14:anchorId="75495E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0561797" o:spid="_x0000_s2051" type="#_x0000_t136" alt="" style="position:absolute;margin-left:0;margin-top:0;width:575.5pt;height:63.9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3AE198" w14:textId="1B2EA04E" w:rsidR="00E2387E" w:rsidRDefault="0032510B">
    <w:pPr>
      <w:pStyle w:val="Header"/>
    </w:pPr>
    <w:r>
      <w:rPr>
        <w:noProof/>
      </w:rPr>
      <w:pict w14:anchorId="538564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0561798" o:spid="_x0000_s2050" type="#_x0000_t136" alt="" style="position:absolute;margin-left:0;margin-top:0;width:575.5pt;height:63.9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B4B83" w14:textId="24DCCE7C" w:rsidR="00E2387E" w:rsidRDefault="0032510B">
    <w:pPr>
      <w:pStyle w:val="Header"/>
    </w:pPr>
    <w:r>
      <w:rPr>
        <w:noProof/>
      </w:rPr>
      <w:pict w14:anchorId="5A2963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0561796" o:spid="_x0000_s2049" type="#_x0000_t136" alt="" style="position:absolute;margin-left:0;margin-top:0;width:575.5pt;height:63.9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B4F"/>
    <w:rsid w:val="0001765A"/>
    <w:rsid w:val="000E498F"/>
    <w:rsid w:val="001471E7"/>
    <w:rsid w:val="001F508B"/>
    <w:rsid w:val="0023507E"/>
    <w:rsid w:val="00250A51"/>
    <w:rsid w:val="002651E8"/>
    <w:rsid w:val="002C65FD"/>
    <w:rsid w:val="0032510B"/>
    <w:rsid w:val="003E7BC4"/>
    <w:rsid w:val="004B267F"/>
    <w:rsid w:val="00501C31"/>
    <w:rsid w:val="005D034F"/>
    <w:rsid w:val="00630353"/>
    <w:rsid w:val="006D5A7F"/>
    <w:rsid w:val="0070690F"/>
    <w:rsid w:val="00826513"/>
    <w:rsid w:val="0085259A"/>
    <w:rsid w:val="009D5BD8"/>
    <w:rsid w:val="009E0B4F"/>
    <w:rsid w:val="009E0B72"/>
    <w:rsid w:val="00AB1850"/>
    <w:rsid w:val="00AD42BB"/>
    <w:rsid w:val="00B17F34"/>
    <w:rsid w:val="00BF6F29"/>
    <w:rsid w:val="00C558BB"/>
    <w:rsid w:val="00CB4925"/>
    <w:rsid w:val="00D134AC"/>
    <w:rsid w:val="00E2387E"/>
    <w:rsid w:val="00E66CE4"/>
    <w:rsid w:val="00EE26F4"/>
    <w:rsid w:val="00EF3CF6"/>
    <w:rsid w:val="00F43485"/>
    <w:rsid w:val="00F85D5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0142006"/>
  <w15:docId w15:val="{17958FE4-54C6-445C-AB05-E41EA11C3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 w:eastAsia="pt-B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spacing w:before="240" w:after="60"/>
      <w:ind w:left="432" w:hanging="432"/>
      <w:outlineLvl w:val="0"/>
    </w:pPr>
    <w:rPr>
      <w:rFonts w:ascii="Arial" w:eastAsia="Arial" w:hAnsi="Arial" w:cs="Arial"/>
      <w:b/>
      <w:sz w:val="32"/>
      <w:szCs w:val="32"/>
    </w:rPr>
  </w:style>
  <w:style w:type="paragraph" w:styleId="Heading2">
    <w:name w:val="heading 2"/>
    <w:basedOn w:val="Normal"/>
    <w:next w:val="Normal"/>
    <w:uiPriority w:val="9"/>
    <w:semiHidden/>
    <w:unhideWhenUsed/>
    <w:qFormat/>
    <w:pPr>
      <w:ind w:left="576" w:hanging="576"/>
      <w:jc w:val="center"/>
      <w:outlineLvl w:val="1"/>
    </w:pPr>
    <w:rPr>
      <w:rFonts w:ascii="Arial" w:eastAsia="Arial" w:hAnsi="Arial" w:cs="Arial"/>
      <w:b/>
      <w:sz w:val="14"/>
      <w:szCs w:val="14"/>
    </w:rPr>
  </w:style>
  <w:style w:type="paragraph" w:styleId="Heading3">
    <w:name w:val="heading 3"/>
    <w:basedOn w:val="Normal"/>
    <w:next w:val="Normal"/>
    <w:uiPriority w:val="9"/>
    <w:semiHidden/>
    <w:unhideWhenUsed/>
    <w:qFormat/>
    <w:pPr>
      <w:spacing w:before="240" w:after="60"/>
      <w:ind w:left="720" w:hanging="720"/>
      <w:outlineLvl w:val="2"/>
    </w:pPr>
    <w:rPr>
      <w:rFonts w:ascii="Arial" w:eastAsia="Arial" w:hAnsi="Arial" w:cs="Arial"/>
      <w:b/>
      <w:sz w:val="26"/>
      <w:szCs w:val="26"/>
    </w:rPr>
  </w:style>
  <w:style w:type="paragraph" w:styleId="Heading4">
    <w:name w:val="heading 4"/>
    <w:basedOn w:val="Normal"/>
    <w:next w:val="Normal"/>
    <w:uiPriority w:val="9"/>
    <w:semiHidden/>
    <w:unhideWhenUsed/>
    <w:qFormat/>
    <w:pPr>
      <w:ind w:left="864" w:hanging="864"/>
      <w:jc w:val="center"/>
      <w:outlineLvl w:val="3"/>
    </w:pPr>
    <w:rPr>
      <w:rFonts w:ascii="Arial Narrow" w:eastAsia="Arial Narrow" w:hAnsi="Arial Narrow" w:cs="Arial Narrow"/>
      <w:b/>
    </w:rPr>
  </w:style>
  <w:style w:type="paragraph" w:styleId="Heading5">
    <w:name w:val="heading 5"/>
    <w:basedOn w:val="Normal"/>
    <w:next w:val="Normal"/>
    <w:uiPriority w:val="9"/>
    <w:semiHidden/>
    <w:unhideWhenUsed/>
    <w:qFormat/>
    <w:pPr>
      <w:spacing w:before="240" w:after="60"/>
      <w:ind w:left="1008" w:hanging="1008"/>
      <w:outlineLvl w:val="4"/>
    </w:pPr>
    <w:rPr>
      <w:b/>
      <w:i/>
      <w:sz w:val="26"/>
      <w:szCs w:val="26"/>
    </w:rPr>
  </w:style>
  <w:style w:type="paragraph" w:styleId="Heading6">
    <w:name w:val="heading 6"/>
    <w:basedOn w:val="Normal"/>
    <w:next w:val="Normal"/>
    <w:uiPriority w:val="9"/>
    <w:semiHidden/>
    <w:unhideWhenUsed/>
    <w:qFormat/>
    <w:pPr>
      <w:spacing w:before="240" w:after="60"/>
      <w:ind w:left="1152" w:hanging="1152"/>
      <w:outlineLvl w:val="5"/>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0" w:type="dxa"/>
        <w:left w:w="0" w:type="dxa"/>
        <w:bottom w:w="0" w:type="dxa"/>
        <w:right w:w="0" w:type="dxa"/>
      </w:tblCellMar>
    </w:tbl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top w:w="100" w:type="dxa"/>
        <w:left w:w="100" w:type="dxa"/>
        <w:bottom w:w="100" w:type="dxa"/>
        <w:right w:w="100" w:type="dxa"/>
      </w:tblCellMar>
    </w:tblPr>
  </w:style>
  <w:style w:type="table" w:customStyle="1" w:styleId="a1">
    <w:basedOn w:val="TableNormal4"/>
    <w:tblPr>
      <w:tblStyleRowBandSize w:val="1"/>
      <w:tblStyleColBandSize w:val="1"/>
      <w:tblCellMar>
        <w:top w:w="100" w:type="dxa"/>
        <w:left w:w="100" w:type="dxa"/>
        <w:bottom w:w="100" w:type="dxa"/>
        <w:right w:w="100" w:type="dxa"/>
      </w:tblCellMar>
    </w:tblPr>
  </w:style>
  <w:style w:type="paragraph" w:styleId="NoSpacing">
    <w:name w:val="No Spacing"/>
    <w:uiPriority w:val="1"/>
    <w:qFormat/>
    <w:rsid w:val="004B2FCC"/>
  </w:style>
  <w:style w:type="paragraph" w:styleId="BalloonText">
    <w:name w:val="Balloon Text"/>
    <w:basedOn w:val="Normal"/>
    <w:link w:val="BalloonTextChar"/>
    <w:uiPriority w:val="99"/>
    <w:semiHidden/>
    <w:unhideWhenUsed/>
    <w:rsid w:val="004B2FCC"/>
    <w:rPr>
      <w:rFonts w:ascii="Tahoma" w:hAnsi="Tahoma" w:cs="Tahoma"/>
      <w:sz w:val="16"/>
      <w:szCs w:val="16"/>
    </w:rPr>
  </w:style>
  <w:style w:type="character" w:customStyle="1" w:styleId="BalloonTextChar">
    <w:name w:val="Balloon Text Char"/>
    <w:basedOn w:val="DefaultParagraphFont"/>
    <w:link w:val="BalloonText"/>
    <w:uiPriority w:val="99"/>
    <w:semiHidden/>
    <w:rsid w:val="004B2FCC"/>
    <w:rPr>
      <w:rFonts w:ascii="Tahoma" w:hAnsi="Tahoma" w:cs="Tahoma"/>
      <w:sz w:val="16"/>
      <w:szCs w:val="16"/>
    </w:rPr>
  </w:style>
  <w:style w:type="table" w:customStyle="1" w:styleId="a2">
    <w:basedOn w:val="TableNormal3"/>
    <w:tblPr>
      <w:tblStyleRowBandSize w:val="1"/>
      <w:tblStyleColBandSize w:val="1"/>
    </w:tblPr>
  </w:style>
  <w:style w:type="paragraph" w:customStyle="1" w:styleId="Body">
    <w:name w:val="Body"/>
    <w:basedOn w:val="Normal"/>
    <w:rsid w:val="00726F36"/>
    <w:pPr>
      <w:spacing w:after="240"/>
      <w:jc w:val="both"/>
    </w:pPr>
    <w:rPr>
      <w:rFonts w:ascii="Helvetica" w:hAnsi="Helvetica"/>
      <w:sz w:val="20"/>
      <w:szCs w:val="20"/>
      <w:lang w:val="en-US" w:eastAsia="en-US"/>
    </w:rPr>
  </w:style>
  <w:style w:type="paragraph" w:styleId="Header">
    <w:name w:val="header"/>
    <w:basedOn w:val="Normal"/>
    <w:link w:val="HeaderChar"/>
    <w:uiPriority w:val="99"/>
    <w:unhideWhenUsed/>
    <w:rsid w:val="00726F36"/>
    <w:pPr>
      <w:tabs>
        <w:tab w:val="center" w:pos="4252"/>
        <w:tab w:val="right" w:pos="8504"/>
      </w:tabs>
    </w:pPr>
  </w:style>
  <w:style w:type="character" w:customStyle="1" w:styleId="HeaderChar">
    <w:name w:val="Header Char"/>
    <w:basedOn w:val="DefaultParagraphFont"/>
    <w:link w:val="Header"/>
    <w:uiPriority w:val="99"/>
    <w:rsid w:val="00726F36"/>
  </w:style>
  <w:style w:type="paragraph" w:styleId="Footer">
    <w:name w:val="footer"/>
    <w:basedOn w:val="Normal"/>
    <w:link w:val="FooterChar"/>
    <w:uiPriority w:val="99"/>
    <w:unhideWhenUsed/>
    <w:rsid w:val="00726F36"/>
    <w:pPr>
      <w:tabs>
        <w:tab w:val="center" w:pos="4252"/>
        <w:tab w:val="right" w:pos="8504"/>
      </w:tabs>
    </w:pPr>
  </w:style>
  <w:style w:type="character" w:customStyle="1" w:styleId="FooterChar">
    <w:name w:val="Footer Char"/>
    <w:basedOn w:val="DefaultParagraphFont"/>
    <w:link w:val="Footer"/>
    <w:uiPriority w:val="99"/>
    <w:rsid w:val="00726F36"/>
  </w:style>
  <w:style w:type="character" w:styleId="Hyperlink">
    <w:name w:val="Hyperlink"/>
    <w:basedOn w:val="DefaultParagraphFont"/>
    <w:uiPriority w:val="99"/>
    <w:unhideWhenUsed/>
    <w:rsid w:val="00525226"/>
    <w:rPr>
      <w:color w:val="0000FF" w:themeColor="hyperlink"/>
      <w:u w:val="single"/>
    </w:rPr>
  </w:style>
  <w:style w:type="character" w:customStyle="1" w:styleId="MenoPendente1">
    <w:name w:val="Menção Pendente1"/>
    <w:basedOn w:val="DefaultParagraphFont"/>
    <w:uiPriority w:val="99"/>
    <w:semiHidden/>
    <w:unhideWhenUsed/>
    <w:rsid w:val="00525226"/>
    <w:rPr>
      <w:color w:val="605E5C"/>
      <w:shd w:val="clear" w:color="auto" w:fill="E1DFDD"/>
    </w:rPr>
  </w:style>
  <w:style w:type="table" w:customStyle="1" w:styleId="SimplesTabela21">
    <w:name w:val="Simples Tabela 21"/>
    <w:basedOn w:val="TableNormal"/>
    <w:uiPriority w:val="42"/>
    <w:rsid w:val="000A7F4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deLista21">
    <w:name w:val="Tabela de Lista 21"/>
    <w:basedOn w:val="TableNormal"/>
    <w:uiPriority w:val="47"/>
    <w:rsid w:val="007269F6"/>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LineNumber">
    <w:name w:val="line number"/>
    <w:basedOn w:val="DefaultParagraphFont"/>
    <w:uiPriority w:val="99"/>
    <w:semiHidden/>
    <w:unhideWhenUsed/>
    <w:rsid w:val="00181452"/>
  </w:style>
  <w:style w:type="character" w:styleId="Strong">
    <w:name w:val="Strong"/>
    <w:basedOn w:val="DefaultParagraphFont"/>
    <w:uiPriority w:val="22"/>
    <w:qFormat/>
    <w:rsid w:val="003312B1"/>
    <w:rPr>
      <w:b/>
      <w:bCs/>
    </w:rPr>
  </w:style>
  <w:style w:type="character" w:styleId="Emphasis">
    <w:name w:val="Emphasis"/>
    <w:basedOn w:val="DefaultParagraphFont"/>
    <w:uiPriority w:val="20"/>
    <w:qFormat/>
    <w:rsid w:val="003312B1"/>
    <w:rPr>
      <w:i/>
      <w:iCs/>
    </w:rPr>
  </w:style>
  <w:style w:type="table" w:customStyle="1" w:styleId="a3">
    <w:basedOn w:val="TableNormal2"/>
    <w:tblPr>
      <w:tblStyleRowBandSize w:val="1"/>
      <w:tblStyleColBandSize w:val="1"/>
      <w:tblCellMar>
        <w:top w:w="0" w:type="dxa"/>
        <w:left w:w="115" w:type="dxa"/>
        <w:bottom w:w="0" w:type="dxa"/>
        <w:right w:w="115" w:type="dxa"/>
      </w:tblCellMar>
    </w:tblPr>
  </w:style>
  <w:style w:type="table" w:customStyle="1" w:styleId="a4">
    <w:basedOn w:val="TableNormal2"/>
    <w:tblPr>
      <w:tblStyleRowBandSize w:val="1"/>
      <w:tblStyleColBandSize w:val="1"/>
      <w:tblCellMar>
        <w:top w:w="0" w:type="dxa"/>
        <w:left w:w="108" w:type="dxa"/>
        <w:bottom w:w="0" w:type="dxa"/>
        <w:right w:w="108"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character" w:styleId="UnresolvedMention">
    <w:name w:val="Unresolved Mention"/>
    <w:basedOn w:val="DefaultParagraphFont"/>
    <w:uiPriority w:val="99"/>
    <w:semiHidden/>
    <w:unhideWhenUsed/>
    <w:rsid w:val="00935675"/>
    <w:rPr>
      <w:color w:val="605E5C"/>
      <w:shd w:val="clear" w:color="auto" w:fill="E1DFDD"/>
    </w:rPr>
  </w:style>
  <w:style w:type="paragraph" w:styleId="Subtitle">
    <w:name w:val="Subtitle"/>
    <w:basedOn w:val="Normal"/>
    <w:next w:val="Normal"/>
    <w:uiPriority w:val="11"/>
    <w:qFormat/>
    <w:pPr>
      <w:spacing w:after="60"/>
      <w:jc w:val="center"/>
    </w:pPr>
    <w:rPr>
      <w:rFonts w:ascii="Arial" w:eastAsia="Arial" w:hAnsi="Arial" w:cs="Arial"/>
    </w:rPr>
  </w:style>
  <w:style w:type="table" w:customStyle="1" w:styleId="a5">
    <w:basedOn w:val="TableNormal1"/>
    <w:tblPr>
      <w:tblStyleRowBandSize w:val="1"/>
      <w:tblStyleColBandSize w:val="1"/>
      <w:tblCellMar>
        <w:top w:w="0" w:type="dxa"/>
        <w:left w:w="115" w:type="dxa"/>
        <w:bottom w:w="0" w:type="dxa"/>
        <w:right w:w="115" w:type="dxa"/>
      </w:tblCellMar>
    </w:tblPr>
  </w:style>
  <w:style w:type="table" w:customStyle="1" w:styleId="a6">
    <w:basedOn w:val="TableNormal1"/>
    <w:tblPr>
      <w:tblStyleRowBandSize w:val="1"/>
      <w:tblStyleColBandSize w:val="1"/>
      <w:tblCellMar>
        <w:top w:w="0" w:type="dxa"/>
        <w:left w:w="108" w:type="dxa"/>
        <w:bottom w:w="0" w:type="dxa"/>
        <w:right w:w="108"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character" w:styleId="FollowedHyperlink">
    <w:name w:val="FollowedHyperlink"/>
    <w:basedOn w:val="DefaultParagraphFont"/>
    <w:uiPriority w:val="99"/>
    <w:semiHidden/>
    <w:unhideWhenUsed/>
    <w:rsid w:val="002C65FD"/>
    <w:rPr>
      <w:color w:val="800080" w:themeColor="followedHyperlink"/>
      <w:u w:val="single"/>
    </w:rPr>
  </w:style>
  <w:style w:type="paragraph" w:styleId="NormalWeb">
    <w:name w:val="Normal (Web)"/>
    <w:basedOn w:val="Normal"/>
    <w:uiPriority w:val="99"/>
    <w:unhideWhenUsed/>
    <w:rsid w:val="002C65FD"/>
    <w:pPr>
      <w:spacing w:before="100" w:beforeAutospacing="1" w:after="100" w:afterAutospacing="1"/>
    </w:pPr>
    <w:rPr>
      <w:lang w:val="pt-BR"/>
    </w:rPr>
  </w:style>
  <w:style w:type="paragraph" w:styleId="ListParagraph">
    <w:name w:val="List Paragraph"/>
    <w:basedOn w:val="Normal"/>
    <w:uiPriority w:val="34"/>
    <w:qFormat/>
    <w:rsid w:val="009E0B7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https://pmc.ncbi.nlm.nih.gov/articles/PMC5376543/?utm_source=chatgpt.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doi.org/10.1038/s41415-024-7617-z" TargetMode="External"/><Relationship Id="rId2" Type="http://schemas.openxmlformats.org/officeDocument/2006/relationships/customXml" Target="../customXml/item2.xml"/><Relationship Id="rId16" Type="http://schemas.openxmlformats.org/officeDocument/2006/relationships/hyperlink" Target="https://doi.org/10.1038/s41415-024-7617-z"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doi.org/10.4317/medoral.18491" TargetMode="Externa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0qYocKWKZavstrrJnTWoMlRSvw==">CgMxLjAyDmguY3hmdHZvdXc5ZnVhMg5oLmp2Z2Q1NmM0dHcwMTIOaC5xaXVxenY1NzUyZnU4AHIhMWVJQnhRMm56NjNjUF9mbUJoQUN6M3ZXVGJwUDdSRF9Q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B04F417-7160-4A48-9B49-F6F2FB4D2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15</Pages>
  <Words>7032</Words>
  <Characters>40084</Characters>
  <Application>Microsoft Office Word</Application>
  <DocSecurity>0</DocSecurity>
  <Lines>334</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 Isolan</dc:creator>
  <cp:lastModifiedBy>SDI PC New 16</cp:lastModifiedBy>
  <cp:revision>5</cp:revision>
  <dcterms:created xsi:type="dcterms:W3CDTF">2025-10-27T18:50:00Z</dcterms:created>
  <dcterms:modified xsi:type="dcterms:W3CDTF">2025-11-03T11:05:00Z</dcterms:modified>
</cp:coreProperties>
</file>