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0CF6802" w14:textId="77777777" w:rsidR="00F24482" w:rsidRDefault="00F24482" w:rsidP="00F24482">
      <w:pPr>
        <w:pStyle w:val="NormalWeb"/>
      </w:pPr>
      <w:bookmarkStart w:id="0" w:name="_GoBack"/>
      <w:bookmarkEnd w:id="0"/>
      <w:r>
        <w:rPr>
          <w:rStyle w:val="Strong"/>
        </w:rPr>
        <w:t>Use of Interpositional Arthroplasty with Temporal Muscle Flap in a Patient with Post-Traumatic Bilateral TMJ Ankylosis</w:t>
      </w:r>
    </w:p>
    <w:p w14:paraId="1FD5DCF6" w14:textId="77777777" w:rsidR="00F24482" w:rsidRDefault="002B1FFC" w:rsidP="00F24482">
      <w:r>
        <w:pict w14:anchorId="1867C556">
          <v:rect id="_x0000_i1025" style="width:0;height:1.5pt" o:hralign="center" o:hrstd="t" o:hr="t" fillcolor="#a0a0a0" stroked="f"/>
        </w:pict>
      </w:r>
    </w:p>
    <w:p w14:paraId="6A8A80BD" w14:textId="77777777" w:rsidR="00F24482" w:rsidRDefault="00F24482" w:rsidP="00F24482">
      <w:pPr>
        <w:pStyle w:val="Heading3"/>
      </w:pPr>
      <w:r>
        <w:t>Abstract</w:t>
      </w:r>
    </w:p>
    <w:p w14:paraId="5E79B56A" w14:textId="77777777" w:rsidR="00F24482" w:rsidRDefault="00F24482" w:rsidP="00F24482">
      <w:pPr>
        <w:pStyle w:val="NormalWeb"/>
      </w:pPr>
      <w:r>
        <w:t>Temporomandibular joint (TMJ) ankylosis is a severe condition that leads to joint destruction, resulting in mandibular hypomobility and impairments in speech, mastication, and oral hygiene. The most common causes of TMJ ankylosis include local infections and facial trauma. Post-trauma physiotherapy plays a crucial role in preventing its occurrence.</w:t>
      </w:r>
    </w:p>
    <w:p w14:paraId="7E318CC7" w14:textId="77777777" w:rsidR="00F24482" w:rsidRDefault="00F24482" w:rsidP="00F24482">
      <w:pPr>
        <w:pStyle w:val="NormalWeb"/>
      </w:pPr>
      <w:r>
        <w:t>This article presents the case of a patient who sustained facial trauma and subsequently developed bilateral TMJ ankylosis. The treatment involved interpositional arthroplasty using a temporal muscle flap and bilateral coronoidectomy. These techniques successfully restored mouth opening, reestablished TMJ function, and improved the patient’s quality of life.</w:t>
      </w:r>
    </w:p>
    <w:p w14:paraId="4DF2B65D" w14:textId="77777777" w:rsidR="00F24482" w:rsidRDefault="00F24482" w:rsidP="00F24482">
      <w:pPr>
        <w:pStyle w:val="NormalWeb"/>
      </w:pPr>
      <w:r>
        <w:rPr>
          <w:rStyle w:val="Strong"/>
        </w:rPr>
        <w:t>Keywords:</w:t>
      </w:r>
      <w:r>
        <w:t xml:space="preserve"> Ankylosis; Temporomandibular Joint; Arthroplasty.</w:t>
      </w:r>
    </w:p>
    <w:p w14:paraId="734AE23A" w14:textId="77777777" w:rsidR="00F24482" w:rsidRDefault="002B1FFC" w:rsidP="00F24482">
      <w:r>
        <w:pict w14:anchorId="600A40D1">
          <v:rect id="_x0000_i1026" style="width:0;height:1.5pt" o:hralign="center" o:hrstd="t" o:hr="t" fillcolor="#a0a0a0" stroked="f"/>
        </w:pict>
      </w:r>
    </w:p>
    <w:p w14:paraId="1AD5C01C" w14:textId="77777777" w:rsidR="00F24482" w:rsidRDefault="00F24482" w:rsidP="00F24482">
      <w:pPr>
        <w:pStyle w:val="Heading3"/>
      </w:pPr>
      <w:r>
        <w:t>Introduction</w:t>
      </w:r>
    </w:p>
    <w:p w14:paraId="1537C186" w14:textId="77777777" w:rsidR="00F24482" w:rsidRDefault="00F24482" w:rsidP="00F24482">
      <w:pPr>
        <w:pStyle w:val="NormalWeb"/>
      </w:pPr>
      <w:r>
        <w:t>Temporomandibular joint ankylosis (TMJA) is characterized by joint immobility due to fibrous or bony fusion, often resulting from trauma (1,2). This condition significantly compromises mandibular function, affecting speech, oral hygiene, and, in severe cases, causing facial disfigurement. TMJA is classified based on its location (intra-articular or extra-articular), the type of tissue involved (bony, fibrous, or fibro-osseous), and the extent of fusion (complete or incomplete). Diagnosis relies on clinical and radiological findings (3,4).</w:t>
      </w:r>
    </w:p>
    <w:p w14:paraId="1707F2DF" w14:textId="77777777" w:rsidR="00F24482" w:rsidRDefault="00F24482" w:rsidP="00F24482">
      <w:pPr>
        <w:pStyle w:val="NormalWeb"/>
      </w:pPr>
      <w:r>
        <w:t>Management involves the removal of ankylotic tissue, TMJ reconstruction, and correction of mandibular deformities. Treatment modalities include gap arthroplasty, interpositional arthroplasty, and joint reconstruction with autogenous or alloplastic materials (5,6). This case report describes a patient who underwent interpositional arthroplasty with a temporal muscle flap for the treatment of post-traumatic bilateral TMJA.</w:t>
      </w:r>
    </w:p>
    <w:p w14:paraId="26FD098A" w14:textId="77777777" w:rsidR="00F24482" w:rsidRDefault="002B1FFC" w:rsidP="00F24482">
      <w:r>
        <w:pict w14:anchorId="04658432">
          <v:rect id="_x0000_i1027" style="width:0;height:1.5pt" o:hralign="center" o:hrstd="t" o:hr="t" fillcolor="#a0a0a0" stroked="f"/>
        </w:pict>
      </w:r>
    </w:p>
    <w:p w14:paraId="5463B345" w14:textId="77777777" w:rsidR="00F24482" w:rsidRDefault="00F24482" w:rsidP="00F24482">
      <w:pPr>
        <w:pStyle w:val="Heading3"/>
      </w:pPr>
      <w:r>
        <w:lastRenderedPageBreak/>
        <w:t>Case Presentation</w:t>
      </w:r>
    </w:p>
    <w:p w14:paraId="0FE14A7E" w14:textId="77777777" w:rsidR="00F24482" w:rsidRDefault="00F24482" w:rsidP="00F24482">
      <w:pPr>
        <w:pStyle w:val="Heading4"/>
      </w:pPr>
      <w:r>
        <w:t>Patient Information</w:t>
      </w:r>
    </w:p>
    <w:p w14:paraId="50F370E1" w14:textId="77777777" w:rsidR="00F24482" w:rsidRDefault="00F24482" w:rsidP="00F24482">
      <w:pPr>
        <w:pStyle w:val="NormalWeb"/>
      </w:pPr>
      <w:r>
        <w:t>A 54-year-old male presented with complaints of difficulty in eating, bilateral TMJ pain, and restricted mouth opening (11 mm) (Figure 1). The patient reported a history of facial trauma two years prior, managed conservatively with bilateral condylar fractures and osteosynthesis of a left mandibular body fracture.</w:t>
      </w:r>
    </w:p>
    <w:p w14:paraId="263E4EEB" w14:textId="77777777" w:rsidR="00F24482" w:rsidRDefault="00F24482" w:rsidP="00F24482">
      <w:pPr>
        <w:pStyle w:val="Heading4"/>
      </w:pPr>
      <w:r>
        <w:t>Clinical Findings and Diagnostic Assessment</w:t>
      </w:r>
    </w:p>
    <w:p w14:paraId="3F66456B" w14:textId="77777777" w:rsidR="00F24482" w:rsidRDefault="00F24482" w:rsidP="00F24482">
      <w:pPr>
        <w:pStyle w:val="NormalWeb"/>
      </w:pPr>
      <w:r>
        <w:t>Computed tomography (CT) revealed a fused bony mass extending from the condylar region to the zygomatic arch bilaterally (Figure 2) (7). The diagnosis was Type II TMJA, characterized by bony fusion with condylar remodeling and preservation of the medial pole.</w:t>
      </w:r>
    </w:p>
    <w:p w14:paraId="5181EE9D" w14:textId="77777777" w:rsidR="00F24482" w:rsidRDefault="00F24482" w:rsidP="00F24482">
      <w:pPr>
        <w:pStyle w:val="Heading4"/>
      </w:pPr>
      <w:r>
        <w:t>Therapeutic Intervention</w:t>
      </w:r>
    </w:p>
    <w:p w14:paraId="00ABE796" w14:textId="77777777" w:rsidR="00F24482" w:rsidRDefault="00F24482" w:rsidP="00F24482">
      <w:pPr>
        <w:pStyle w:val="NormalWeb"/>
      </w:pPr>
      <w:r>
        <w:t>The patient underwent interpositional arthroplasty using a pedicled temporal muscle flap and bilateral coronoidectomy under general anesthesia (Figure 3). A modified preauricular approach was used (Figure 4). Osteotomy was performed using a piezoelectric device and a chisel. The temporal muscle flap was rotated over the bilateral zygomatic arch (Figure 5). Immediate postoperative mouth opening was 40 mm (Figure 6).</w:t>
      </w:r>
    </w:p>
    <w:p w14:paraId="5DE02435" w14:textId="77777777" w:rsidR="00F24482" w:rsidRDefault="00F24482" w:rsidP="00F24482">
      <w:pPr>
        <w:pStyle w:val="NormalWeb"/>
      </w:pPr>
      <w:r>
        <w:t>Postoperative rehabilitation included physiotherapy initiated during hospitalization and continued for six months (8,9).</w:t>
      </w:r>
    </w:p>
    <w:p w14:paraId="7AD9E05D" w14:textId="77777777" w:rsidR="00F24482" w:rsidRDefault="00F24482" w:rsidP="00F24482">
      <w:pPr>
        <w:pStyle w:val="Heading4"/>
      </w:pPr>
      <w:r>
        <w:t>Follow-up and Outcomes</w:t>
      </w:r>
    </w:p>
    <w:p w14:paraId="138156A9" w14:textId="77777777" w:rsidR="00F24482" w:rsidRDefault="00F24482" w:rsidP="00F24482">
      <w:pPr>
        <w:pStyle w:val="NormalWeb"/>
      </w:pPr>
      <w:r>
        <w:t>At two years postoperatively, the patient had a stable mouth opening of 37 mm, preserved mandibular movements, and no recurrence (Figures 7-8).</w:t>
      </w:r>
    </w:p>
    <w:p w14:paraId="63E64312" w14:textId="77777777" w:rsidR="00F24482" w:rsidRDefault="002B1FFC" w:rsidP="00F24482">
      <w:r>
        <w:pict w14:anchorId="458D25B7">
          <v:rect id="_x0000_i1028" style="width:0;height:1.5pt" o:hralign="center" o:hrstd="t" o:hr="t" fillcolor="#a0a0a0" stroked="f"/>
        </w:pict>
      </w:r>
    </w:p>
    <w:p w14:paraId="13A7F3CA" w14:textId="77777777" w:rsidR="00F24482" w:rsidRDefault="00F24482" w:rsidP="00F24482">
      <w:pPr>
        <w:pStyle w:val="Heading3"/>
      </w:pPr>
      <w:r>
        <w:t>Discussion</w:t>
      </w:r>
    </w:p>
    <w:p w14:paraId="2D405597" w14:textId="77777777" w:rsidR="00F24482" w:rsidRDefault="00F24482" w:rsidP="00F24482">
      <w:pPr>
        <w:pStyle w:val="NormalWeb"/>
      </w:pPr>
      <w:r>
        <w:t>TMJA presents significant challenges in oral and maxillofacial surgery. Accurate diagnosis with CT imaging is crucial (10,11). Treatment aims to remove ankylotic tissue and restore function. Interpositional arthroplasty with a temporal muscle flap offers advantages such as:</w:t>
      </w:r>
    </w:p>
    <w:p w14:paraId="18204718" w14:textId="77777777" w:rsidR="00F24482" w:rsidRDefault="00F24482" w:rsidP="00F24482">
      <w:pPr>
        <w:pStyle w:val="NormalWeb"/>
        <w:numPr>
          <w:ilvl w:val="0"/>
          <w:numId w:val="16"/>
        </w:numPr>
      </w:pPr>
      <w:r>
        <w:rPr>
          <w:rStyle w:val="Strong"/>
        </w:rPr>
        <w:t>Prevention of Re-Ankylosis:</w:t>
      </w:r>
      <w:r>
        <w:t xml:space="preserve"> The flap minimizes the risk of recurrence by preventing direct contact between bony segments.</w:t>
      </w:r>
    </w:p>
    <w:p w14:paraId="295410E7" w14:textId="77777777" w:rsidR="00F24482" w:rsidRDefault="00F24482" w:rsidP="00F24482">
      <w:pPr>
        <w:pStyle w:val="NormalWeb"/>
        <w:numPr>
          <w:ilvl w:val="0"/>
          <w:numId w:val="16"/>
        </w:numPr>
      </w:pPr>
      <w:r>
        <w:rPr>
          <w:rStyle w:val="Strong"/>
        </w:rPr>
        <w:t>Biological Viability:</w:t>
      </w:r>
      <w:r>
        <w:t xml:space="preserve"> The muscle's rich vascularization reduces rejection risk.</w:t>
      </w:r>
    </w:p>
    <w:p w14:paraId="191935B4" w14:textId="77777777" w:rsidR="00F24482" w:rsidRDefault="00F24482" w:rsidP="00F24482">
      <w:pPr>
        <w:pStyle w:val="NormalWeb"/>
        <w:numPr>
          <w:ilvl w:val="0"/>
          <w:numId w:val="16"/>
        </w:numPr>
      </w:pPr>
      <w:r>
        <w:rPr>
          <w:rStyle w:val="Strong"/>
        </w:rPr>
        <w:lastRenderedPageBreak/>
        <w:t>Functional Restoration:</w:t>
      </w:r>
      <w:r>
        <w:t xml:space="preserve"> The muscle provides elasticity and adaptability, facilitating joint function.</w:t>
      </w:r>
    </w:p>
    <w:p w14:paraId="772DEE50" w14:textId="77777777" w:rsidR="00F24482" w:rsidRDefault="00F24482" w:rsidP="00F24482">
      <w:pPr>
        <w:pStyle w:val="NormalWeb"/>
        <w:numPr>
          <w:ilvl w:val="0"/>
          <w:numId w:val="16"/>
        </w:numPr>
      </w:pPr>
      <w:r>
        <w:rPr>
          <w:rStyle w:val="Strong"/>
        </w:rPr>
        <w:t>Cost-Effectiveness:</w:t>
      </w:r>
      <w:r>
        <w:t xml:space="preserve"> Autogenous grafts reduce costs associated with alloplastic materials.</w:t>
      </w:r>
    </w:p>
    <w:p w14:paraId="381C6E8C" w14:textId="77777777" w:rsidR="00F24482" w:rsidRDefault="00F24482" w:rsidP="00F24482">
      <w:pPr>
        <w:pStyle w:val="NormalWeb"/>
      </w:pPr>
      <w:r>
        <w:t>Postoperative physiotherapy plays a fundamental role in maintaining joint mobility and preventing new adhesions (12,13). In this case, rehabilitation ensured long-term functional stability.</w:t>
      </w:r>
    </w:p>
    <w:p w14:paraId="35C9B186" w14:textId="77777777" w:rsidR="00F24482" w:rsidRDefault="002B1FFC" w:rsidP="00F24482">
      <w:r>
        <w:pict w14:anchorId="52ECB61F">
          <v:rect id="_x0000_i1029" style="width:0;height:1.5pt" o:hralign="center" o:hrstd="t" o:hr="t" fillcolor="#a0a0a0" stroked="f"/>
        </w:pict>
      </w:r>
    </w:p>
    <w:p w14:paraId="15AC3228" w14:textId="77777777" w:rsidR="00F24482" w:rsidRDefault="00F24482" w:rsidP="00F24482">
      <w:pPr>
        <w:pStyle w:val="Heading3"/>
      </w:pPr>
      <w:r>
        <w:t>Conclusion</w:t>
      </w:r>
    </w:p>
    <w:p w14:paraId="0A0CDF28" w14:textId="77777777" w:rsidR="00F24482" w:rsidRDefault="00F24482" w:rsidP="00F24482">
      <w:pPr>
        <w:pStyle w:val="NormalWeb"/>
      </w:pPr>
      <w:r>
        <w:t>Interpositional arthroplasty with a temporal muscle flap is an effective treatment for TMJ ankylosis, offering favorable functional outcomes and low recurrence rates. A multidisciplinary approach, including early physiotherapy, is essential for optimal recovery and long-term success.</w:t>
      </w:r>
    </w:p>
    <w:p w14:paraId="055B58C1" w14:textId="26FC30FB" w:rsidR="007C2149" w:rsidRDefault="007C2149" w:rsidP="007C2149"/>
    <w:p w14:paraId="7653AFBF" w14:textId="77777777" w:rsidR="004C2861" w:rsidRDefault="002B1FFC" w:rsidP="004C2861">
      <w:r>
        <w:pict w14:anchorId="520779CD">
          <v:rect id="_x0000_i1030" style="width:0;height:1.5pt" o:hralign="center" o:hrstd="t" o:hr="t" fillcolor="#a0a0a0" stroked="f"/>
        </w:pict>
      </w:r>
    </w:p>
    <w:p w14:paraId="038A3537" w14:textId="77777777" w:rsidR="004C2861" w:rsidRDefault="004C2861" w:rsidP="004C2861">
      <w:pPr>
        <w:pStyle w:val="Heading3"/>
      </w:pPr>
      <w:r>
        <w:t>Figures and Legends</w:t>
      </w:r>
    </w:p>
    <w:p w14:paraId="7791FFDF" w14:textId="77777777" w:rsidR="004C2861" w:rsidRDefault="004C2861" w:rsidP="004C2861">
      <w:pPr>
        <w:pStyle w:val="NormalWeb"/>
      </w:pPr>
      <w:r>
        <w:rPr>
          <w:rStyle w:val="Strong"/>
        </w:rPr>
        <w:t>Figure 1:</w:t>
      </w:r>
      <w:r>
        <w:t xml:space="preserve"> Preoperative mouth opening restricted to 11 mm.</w:t>
      </w:r>
    </w:p>
    <w:p w14:paraId="2B4B5A1F" w14:textId="77777777" w:rsidR="004C2861" w:rsidRDefault="004C2861" w:rsidP="004C2861">
      <w:pPr>
        <w:pStyle w:val="NormalWeb"/>
      </w:pPr>
      <w:r>
        <w:rPr>
          <w:noProof/>
        </w:rPr>
        <w:drawing>
          <wp:inline distT="0" distB="0" distL="0" distR="0" wp14:anchorId="4AE063EB" wp14:editId="1D65FB66">
            <wp:extent cx="3733800" cy="1533525"/>
            <wp:effectExtent l="0" t="0" r="0" b="9525"/>
            <wp:docPr id="2960843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733800" cy="1533525"/>
                    </a:xfrm>
                    <a:prstGeom prst="rect">
                      <a:avLst/>
                    </a:prstGeom>
                    <a:noFill/>
                    <a:ln>
                      <a:noFill/>
                    </a:ln>
                  </pic:spPr>
                </pic:pic>
              </a:graphicData>
            </a:graphic>
          </wp:inline>
        </w:drawing>
      </w:r>
      <w:r>
        <w:br/>
      </w:r>
      <w:r>
        <w:rPr>
          <w:rStyle w:val="Strong"/>
        </w:rPr>
        <w:t>Figure 2:</w:t>
      </w:r>
      <w:r>
        <w:t xml:space="preserve"> Coronal CT scan showing an ankylotic mass in bilateral TMJs.</w:t>
      </w:r>
    </w:p>
    <w:p w14:paraId="066BF559" w14:textId="77777777" w:rsidR="004C2861" w:rsidRDefault="004C2861" w:rsidP="004C2861">
      <w:pPr>
        <w:pStyle w:val="NormalWeb"/>
      </w:pPr>
      <w:r>
        <w:rPr>
          <w:noProof/>
        </w:rPr>
        <w:lastRenderedPageBreak/>
        <w:drawing>
          <wp:inline distT="0" distB="0" distL="0" distR="0" wp14:anchorId="43570EEA" wp14:editId="7DE40171">
            <wp:extent cx="952500" cy="1695450"/>
            <wp:effectExtent l="0" t="0" r="0" b="0"/>
            <wp:docPr id="1845189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00" cy="1695450"/>
                    </a:xfrm>
                    <a:prstGeom prst="rect">
                      <a:avLst/>
                    </a:prstGeom>
                    <a:noFill/>
                    <a:ln>
                      <a:noFill/>
                    </a:ln>
                  </pic:spPr>
                </pic:pic>
              </a:graphicData>
            </a:graphic>
          </wp:inline>
        </w:drawing>
      </w:r>
      <w:r>
        <w:br/>
      </w:r>
      <w:r>
        <w:rPr>
          <w:rStyle w:val="Strong"/>
        </w:rPr>
        <w:t>Figure 3:</w:t>
      </w:r>
      <w:r>
        <w:t xml:space="preserve"> Nasotracheal intubation assisted by a fiberscope.</w:t>
      </w:r>
    </w:p>
    <w:p w14:paraId="12D4FC2F" w14:textId="77777777" w:rsidR="004C2861" w:rsidRDefault="004C2861" w:rsidP="004C2861">
      <w:pPr>
        <w:pStyle w:val="NormalWeb"/>
      </w:pPr>
      <w:r>
        <w:rPr>
          <w:noProof/>
        </w:rPr>
        <w:drawing>
          <wp:inline distT="0" distB="0" distL="0" distR="0" wp14:anchorId="565E2309" wp14:editId="7472FCFD">
            <wp:extent cx="3371850" cy="2238375"/>
            <wp:effectExtent l="0" t="0" r="0" b="9525"/>
            <wp:docPr id="49645069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71850" cy="2238375"/>
                    </a:xfrm>
                    <a:prstGeom prst="rect">
                      <a:avLst/>
                    </a:prstGeom>
                    <a:noFill/>
                    <a:ln>
                      <a:noFill/>
                    </a:ln>
                  </pic:spPr>
                </pic:pic>
              </a:graphicData>
            </a:graphic>
          </wp:inline>
        </w:drawing>
      </w:r>
      <w:r>
        <w:br/>
      </w:r>
      <w:r>
        <w:rPr>
          <w:rStyle w:val="Strong"/>
        </w:rPr>
        <w:t>Figure 4:</w:t>
      </w:r>
      <w:r>
        <w:t xml:space="preserve"> Al-Kayat approach: A) Incision marking; B) Surgical access exposing the temporal muscle.</w:t>
      </w:r>
    </w:p>
    <w:p w14:paraId="7075D594" w14:textId="77777777" w:rsidR="004C2861" w:rsidRDefault="004C2861" w:rsidP="004C2861">
      <w:pPr>
        <w:pStyle w:val="NormalWeb"/>
      </w:pPr>
      <w:r>
        <w:rPr>
          <w:noProof/>
        </w:rPr>
        <w:lastRenderedPageBreak/>
        <w:drawing>
          <wp:inline distT="0" distB="0" distL="0" distR="0" wp14:anchorId="2B3E4676" wp14:editId="0F21E1A8">
            <wp:extent cx="5153025" cy="4143375"/>
            <wp:effectExtent l="0" t="0" r="9525" b="9525"/>
            <wp:docPr id="53752144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153025" cy="4143375"/>
                    </a:xfrm>
                    <a:prstGeom prst="rect">
                      <a:avLst/>
                    </a:prstGeom>
                    <a:noFill/>
                    <a:ln>
                      <a:noFill/>
                    </a:ln>
                  </pic:spPr>
                </pic:pic>
              </a:graphicData>
            </a:graphic>
          </wp:inline>
        </w:drawing>
      </w:r>
      <w:r>
        <w:br/>
      </w:r>
      <w:r>
        <w:rPr>
          <w:rStyle w:val="Strong"/>
        </w:rPr>
        <w:t>Figure 5:</w:t>
      </w:r>
      <w:r>
        <w:t xml:space="preserve"> Intraoperative procedure: A) Osteotomy of the bony block; B) Medial osteotomy; C) Completed osteotomy; D) Gap obtained; E) Rotation of the temporal muscle flap; F) Closure of the surgical site.</w:t>
      </w:r>
    </w:p>
    <w:p w14:paraId="26A3CE0E" w14:textId="77777777" w:rsidR="004C2861" w:rsidRDefault="004C2861" w:rsidP="004C2861">
      <w:pPr>
        <w:pStyle w:val="NormalWeb"/>
      </w:pPr>
      <w:r>
        <w:rPr>
          <w:noProof/>
        </w:rPr>
        <w:drawing>
          <wp:inline distT="0" distB="0" distL="0" distR="0" wp14:anchorId="4AF2DCF7" wp14:editId="6213CDC4">
            <wp:extent cx="2771775" cy="2076450"/>
            <wp:effectExtent l="0" t="0" r="9525" b="0"/>
            <wp:docPr id="145574915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71775" cy="2076450"/>
                    </a:xfrm>
                    <a:prstGeom prst="rect">
                      <a:avLst/>
                    </a:prstGeom>
                    <a:noFill/>
                    <a:ln>
                      <a:noFill/>
                    </a:ln>
                  </pic:spPr>
                </pic:pic>
              </a:graphicData>
            </a:graphic>
          </wp:inline>
        </w:drawing>
      </w:r>
      <w:r>
        <w:br/>
      </w:r>
      <w:r>
        <w:rPr>
          <w:rStyle w:val="Strong"/>
        </w:rPr>
        <w:t>Figure 6:</w:t>
      </w:r>
      <w:r>
        <w:t xml:space="preserve"> Intraoperative mouth opening of 40 mm.</w:t>
      </w:r>
    </w:p>
    <w:p w14:paraId="7CB98D36" w14:textId="77777777" w:rsidR="004C2861" w:rsidRDefault="004C2861" w:rsidP="004C2861">
      <w:pPr>
        <w:pStyle w:val="NormalWeb"/>
        <w:rPr>
          <w:rStyle w:val="Strong"/>
        </w:rPr>
      </w:pPr>
      <w:r>
        <w:rPr>
          <w:noProof/>
          <w:lang w:val="en-US"/>
        </w:rPr>
        <w:lastRenderedPageBreak/>
        <w:drawing>
          <wp:inline distT="0" distB="0" distL="0" distR="0" wp14:anchorId="3106D2E5" wp14:editId="6DD56FDC">
            <wp:extent cx="5391150" cy="2752725"/>
            <wp:effectExtent l="0" t="0" r="0" b="9525"/>
            <wp:docPr id="91027733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91150" cy="2752725"/>
                    </a:xfrm>
                    <a:prstGeom prst="rect">
                      <a:avLst/>
                    </a:prstGeom>
                    <a:noFill/>
                    <a:ln>
                      <a:noFill/>
                    </a:ln>
                  </pic:spPr>
                </pic:pic>
              </a:graphicData>
            </a:graphic>
          </wp:inline>
        </w:drawing>
      </w:r>
    </w:p>
    <w:p w14:paraId="457AD6A1" w14:textId="77777777" w:rsidR="004C2861" w:rsidRDefault="004C2861" w:rsidP="004C2861">
      <w:pPr>
        <w:spacing w:after="0" w:line="360" w:lineRule="auto"/>
        <w:jc w:val="both"/>
        <w:rPr>
          <w:rFonts w:ascii="Times New Roman" w:eastAsia="Times New Roman" w:hAnsi="Times New Roman" w:cs="Times New Roman"/>
          <w:lang w:eastAsia="pt-BR"/>
        </w:rPr>
      </w:pPr>
      <w:r>
        <w:rPr>
          <w:rStyle w:val="Strong"/>
        </w:rPr>
        <w:t>Figure 7:</w:t>
      </w:r>
      <w:r>
        <w:t xml:space="preserve"> </w:t>
      </w:r>
      <w:proofErr w:type="spellStart"/>
      <w:r w:rsidRPr="00F56206">
        <w:rPr>
          <w:rFonts w:ascii="Times New Roman" w:eastAsia="Times New Roman" w:hAnsi="Times New Roman" w:cs="Times New Roman"/>
          <w:b/>
          <w:bCs/>
          <w:highlight w:val="yellow"/>
          <w:lang w:eastAsia="pt-BR"/>
        </w:rPr>
        <w:t>Figura</w:t>
      </w:r>
      <w:proofErr w:type="spellEnd"/>
      <w:r w:rsidRPr="00F56206">
        <w:rPr>
          <w:rFonts w:ascii="Times New Roman" w:eastAsia="Times New Roman" w:hAnsi="Times New Roman" w:cs="Times New Roman"/>
          <w:b/>
          <w:bCs/>
          <w:highlight w:val="yellow"/>
          <w:lang w:eastAsia="pt-BR"/>
        </w:rPr>
        <w:t xml:space="preserve"> 7: </w:t>
      </w:r>
      <w:proofErr w:type="spellStart"/>
      <w:r w:rsidRPr="00F56206">
        <w:rPr>
          <w:rFonts w:ascii="Times New Roman" w:eastAsia="Times New Roman" w:hAnsi="Times New Roman" w:cs="Times New Roman"/>
          <w:highlight w:val="yellow"/>
          <w:lang w:eastAsia="pt-BR"/>
        </w:rPr>
        <w:t>Raio</w:t>
      </w:r>
      <w:proofErr w:type="spellEnd"/>
      <w:r w:rsidRPr="00F56206">
        <w:rPr>
          <w:rFonts w:ascii="Times New Roman" w:eastAsia="Times New Roman" w:hAnsi="Times New Roman" w:cs="Times New Roman"/>
          <w:highlight w:val="yellow"/>
          <w:lang w:eastAsia="pt-BR"/>
        </w:rPr>
        <w:t xml:space="preserve"> x do </w:t>
      </w:r>
      <w:proofErr w:type="spellStart"/>
      <w:r w:rsidRPr="00F56206">
        <w:rPr>
          <w:rFonts w:ascii="Times New Roman" w:eastAsia="Times New Roman" w:hAnsi="Times New Roman" w:cs="Times New Roman"/>
          <w:highlight w:val="yellow"/>
          <w:lang w:eastAsia="pt-BR"/>
        </w:rPr>
        <w:t>pós-operatório</w:t>
      </w:r>
      <w:proofErr w:type="spellEnd"/>
      <w:r w:rsidRPr="00F56206">
        <w:rPr>
          <w:rFonts w:ascii="Times New Roman" w:eastAsia="Times New Roman" w:hAnsi="Times New Roman" w:cs="Times New Roman"/>
          <w:highlight w:val="yellow"/>
          <w:lang w:eastAsia="pt-BR"/>
        </w:rPr>
        <w:t xml:space="preserve"> de </w:t>
      </w:r>
      <w:proofErr w:type="spellStart"/>
      <w:r w:rsidRPr="00F56206">
        <w:rPr>
          <w:rFonts w:ascii="Times New Roman" w:eastAsia="Times New Roman" w:hAnsi="Times New Roman" w:cs="Times New Roman"/>
          <w:highlight w:val="yellow"/>
          <w:lang w:eastAsia="pt-BR"/>
        </w:rPr>
        <w:t>dois</w:t>
      </w:r>
      <w:proofErr w:type="spellEnd"/>
      <w:r w:rsidRPr="00F56206">
        <w:rPr>
          <w:rFonts w:ascii="Times New Roman" w:eastAsia="Times New Roman" w:hAnsi="Times New Roman" w:cs="Times New Roman"/>
          <w:highlight w:val="yellow"/>
          <w:lang w:eastAsia="pt-BR"/>
        </w:rPr>
        <w:t xml:space="preserve"> </w:t>
      </w:r>
      <w:proofErr w:type="spellStart"/>
      <w:r w:rsidRPr="00F56206">
        <w:rPr>
          <w:rFonts w:ascii="Times New Roman" w:eastAsia="Times New Roman" w:hAnsi="Times New Roman" w:cs="Times New Roman"/>
          <w:highlight w:val="yellow"/>
          <w:lang w:eastAsia="pt-BR"/>
        </w:rPr>
        <w:t>anos</w:t>
      </w:r>
      <w:proofErr w:type="spellEnd"/>
      <w:r w:rsidRPr="00F56206">
        <w:rPr>
          <w:rFonts w:ascii="Times New Roman" w:eastAsia="Times New Roman" w:hAnsi="Times New Roman" w:cs="Times New Roman"/>
          <w:highlight w:val="yellow"/>
          <w:lang w:eastAsia="pt-BR"/>
        </w:rPr>
        <w:t>.</w:t>
      </w:r>
    </w:p>
    <w:p w14:paraId="62E34FD7" w14:textId="6397B474" w:rsidR="004C2861" w:rsidRDefault="004C2861" w:rsidP="004C2861">
      <w:pPr>
        <w:pStyle w:val="NormalWeb"/>
        <w:rPr>
          <w:rStyle w:val="Strong"/>
        </w:rPr>
      </w:pPr>
      <w:r>
        <w:rPr>
          <w:noProof/>
        </w:rPr>
        <w:drawing>
          <wp:inline distT="0" distB="0" distL="0" distR="0" wp14:anchorId="4DF2B7E2" wp14:editId="73852899">
            <wp:extent cx="4579674" cy="2063116"/>
            <wp:effectExtent l="0" t="0" r="0" b="0"/>
            <wp:docPr id="112247415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81978" cy="2064154"/>
                    </a:xfrm>
                    <a:prstGeom prst="rect">
                      <a:avLst/>
                    </a:prstGeom>
                    <a:noFill/>
                    <a:ln>
                      <a:noFill/>
                    </a:ln>
                  </pic:spPr>
                </pic:pic>
              </a:graphicData>
            </a:graphic>
          </wp:inline>
        </w:drawing>
      </w:r>
    </w:p>
    <w:p w14:paraId="2263C810" w14:textId="77777777" w:rsidR="004C2861" w:rsidRPr="00E353FC" w:rsidRDefault="004C2861" w:rsidP="004C2861">
      <w:pPr>
        <w:spacing w:after="0" w:line="360" w:lineRule="auto"/>
        <w:jc w:val="both"/>
        <w:rPr>
          <w:rFonts w:ascii="Times New Roman" w:eastAsia="Times New Roman" w:hAnsi="Times New Roman" w:cs="Times New Roman"/>
          <w:lang w:eastAsia="pt-BR"/>
        </w:rPr>
      </w:pPr>
      <w:r w:rsidRPr="000C208F">
        <w:rPr>
          <w:rFonts w:ascii="Times New Roman" w:eastAsia="Times New Roman" w:hAnsi="Times New Roman" w:cs="Times New Roman"/>
          <w:b/>
          <w:bCs/>
          <w:highlight w:val="yellow"/>
          <w:lang w:eastAsia="pt-BR"/>
        </w:rPr>
        <w:t>Figure 8:</w:t>
      </w:r>
      <w:r w:rsidRPr="00E353FC">
        <w:rPr>
          <w:rFonts w:ascii="Times New Roman" w:eastAsia="Times New Roman" w:hAnsi="Times New Roman" w:cs="Times New Roman"/>
          <w:lang w:eastAsia="pt-BR"/>
        </w:rPr>
        <w:t xml:space="preserve"> Two-year postoperative follow-up</w:t>
      </w:r>
      <w:r w:rsidRPr="00333E6A">
        <w:rPr>
          <w:rFonts w:ascii="Times New Roman" w:eastAsia="Times New Roman" w:hAnsi="Times New Roman" w:cs="Times New Roman"/>
          <w:lang w:eastAsia="pt-BR"/>
        </w:rPr>
        <w:t xml:space="preserve">. </w:t>
      </w:r>
      <w:r w:rsidRPr="00E353FC">
        <w:rPr>
          <w:rFonts w:ascii="Times New Roman" w:eastAsia="Times New Roman" w:hAnsi="Times New Roman" w:cs="Times New Roman"/>
          <w:b/>
          <w:bCs/>
          <w:lang w:eastAsia="pt-BR"/>
        </w:rPr>
        <w:t>A)</w:t>
      </w:r>
      <w:r w:rsidRPr="00E353FC">
        <w:rPr>
          <w:rFonts w:ascii="Times New Roman" w:eastAsia="Times New Roman" w:hAnsi="Times New Roman" w:cs="Times New Roman"/>
          <w:lang w:eastAsia="pt-BR"/>
        </w:rPr>
        <w:t xml:space="preserve"> Mouth opening of 37 mm; </w:t>
      </w:r>
      <w:r w:rsidRPr="00E353FC">
        <w:rPr>
          <w:rFonts w:ascii="Times New Roman" w:eastAsia="Times New Roman" w:hAnsi="Times New Roman" w:cs="Times New Roman"/>
          <w:b/>
          <w:bCs/>
          <w:lang w:eastAsia="pt-BR"/>
        </w:rPr>
        <w:t>B)</w:t>
      </w:r>
      <w:r w:rsidRPr="00E353FC">
        <w:rPr>
          <w:rFonts w:ascii="Times New Roman" w:eastAsia="Times New Roman" w:hAnsi="Times New Roman" w:cs="Times New Roman"/>
          <w:lang w:eastAsia="pt-BR"/>
        </w:rPr>
        <w:t xml:space="preserve"> Scar appearance on the right side; </w:t>
      </w:r>
      <w:r w:rsidRPr="00E353FC">
        <w:rPr>
          <w:rFonts w:ascii="Times New Roman" w:eastAsia="Times New Roman" w:hAnsi="Times New Roman" w:cs="Times New Roman"/>
          <w:b/>
          <w:bCs/>
          <w:lang w:eastAsia="pt-BR"/>
        </w:rPr>
        <w:t>C)</w:t>
      </w:r>
      <w:r w:rsidRPr="00E353FC">
        <w:rPr>
          <w:rFonts w:ascii="Times New Roman" w:eastAsia="Times New Roman" w:hAnsi="Times New Roman" w:cs="Times New Roman"/>
          <w:lang w:eastAsia="pt-BR"/>
        </w:rPr>
        <w:t xml:space="preserve"> </w:t>
      </w:r>
      <w:r w:rsidRPr="00333E6A">
        <w:rPr>
          <w:rFonts w:ascii="Times New Roman" w:eastAsia="Times New Roman" w:hAnsi="Times New Roman" w:cs="Times New Roman"/>
          <w:lang w:eastAsia="pt-BR"/>
        </w:rPr>
        <w:t>and on the</w:t>
      </w:r>
      <w:r w:rsidRPr="00E353FC">
        <w:rPr>
          <w:rFonts w:ascii="Times New Roman" w:eastAsia="Times New Roman" w:hAnsi="Times New Roman" w:cs="Times New Roman"/>
          <w:lang w:eastAsia="pt-BR"/>
        </w:rPr>
        <w:t xml:space="preserve"> left side.</w:t>
      </w:r>
    </w:p>
    <w:p w14:paraId="15CB40F8" w14:textId="55D8EA55" w:rsidR="004C2861" w:rsidRDefault="004C2861" w:rsidP="004C2861">
      <w:pPr>
        <w:spacing w:after="0" w:line="360" w:lineRule="auto"/>
        <w:jc w:val="both"/>
        <w:rPr>
          <w:rFonts w:ascii="Times New Roman" w:eastAsia="Times New Roman" w:hAnsi="Times New Roman" w:cs="Times New Roman"/>
          <w:lang w:eastAsia="pt-BR"/>
        </w:rPr>
      </w:pPr>
      <w:r>
        <w:br/>
      </w:r>
    </w:p>
    <w:p w14:paraId="68283826" w14:textId="31882F41" w:rsidR="004C2861" w:rsidRDefault="004C2861" w:rsidP="004C2861">
      <w:pPr>
        <w:pStyle w:val="NormalWeb"/>
      </w:pPr>
    </w:p>
    <w:p w14:paraId="75D6FB6D" w14:textId="7C3C54A6" w:rsidR="004C2861" w:rsidRDefault="002B1FFC" w:rsidP="00F24482">
      <w:r>
        <w:pict w14:anchorId="03D8A164">
          <v:rect id="_x0000_i1031" style="width:0;height:1.5pt" o:hralign="center" o:hrstd="t" o:hr="t" fillcolor="#a0a0a0" stroked="f"/>
        </w:pict>
      </w:r>
    </w:p>
    <w:p w14:paraId="0D9A9F4E" w14:textId="77777777" w:rsidR="00F24482" w:rsidRDefault="00F24482" w:rsidP="00F24482">
      <w:pPr>
        <w:pStyle w:val="Heading3"/>
      </w:pPr>
      <w:r>
        <w:lastRenderedPageBreak/>
        <w:t>References</w:t>
      </w:r>
    </w:p>
    <w:p w14:paraId="7FDE2A41" w14:textId="77777777" w:rsidR="00F24482" w:rsidRDefault="00F24482" w:rsidP="00F24482">
      <w:pPr>
        <w:pStyle w:val="NormalWeb"/>
        <w:numPr>
          <w:ilvl w:val="0"/>
          <w:numId w:val="17"/>
        </w:numPr>
      </w:pPr>
      <w:r>
        <w:t>Su-Gwan K. Treatment of temporomandibular joint ankylosis with temporalis muscle and fascia flap. Int J Oral Maxillofac Surg. 2001;30(3):189-193. doi:10.1054/ijom.2001.0047.</w:t>
      </w:r>
    </w:p>
    <w:p w14:paraId="0908054A" w14:textId="77777777" w:rsidR="00F24482" w:rsidRDefault="00F24482" w:rsidP="00F24482">
      <w:pPr>
        <w:pStyle w:val="NormalWeb"/>
        <w:numPr>
          <w:ilvl w:val="0"/>
          <w:numId w:val="17"/>
        </w:numPr>
      </w:pPr>
      <w:r>
        <w:t>Al-Moraissi EA, El-Sharkawy TM, Mounair RM, El-Ghareeb TI. A systematic review and meta-analysis of the clinical outcomes for various surgical modalities in the management of temporomandibular joint ankylosis. Int J Oral Maxillofac Surg. 2015;44(4):470-482. doi:10.1016/j.ijom.2014.10.017.</w:t>
      </w:r>
    </w:p>
    <w:p w14:paraId="13BF9D29" w14:textId="77777777" w:rsidR="00F24482" w:rsidRDefault="00F24482" w:rsidP="00F24482">
      <w:pPr>
        <w:pStyle w:val="NormalWeb"/>
        <w:numPr>
          <w:ilvl w:val="0"/>
          <w:numId w:val="17"/>
        </w:numPr>
      </w:pPr>
      <w:r>
        <w:t>Rowe NL. Ankylosis of the temporomandibular joint. J R Coll Surg Edinb. 1982;27(2):67-79.</w:t>
      </w:r>
    </w:p>
    <w:p w14:paraId="38FCE6FE" w14:textId="77777777" w:rsidR="00F24482" w:rsidRDefault="00F24482" w:rsidP="00F24482">
      <w:pPr>
        <w:pStyle w:val="NormalWeb"/>
        <w:numPr>
          <w:ilvl w:val="0"/>
          <w:numId w:val="17"/>
        </w:numPr>
      </w:pPr>
      <w:r>
        <w:t>Bayat M, Badri A, Moharamnejad N. Treatment of temporomandibular joint ankylosis: gap and interpositional arthroplasty with temporalis muscle flap. Oral Maxillofac Surg. 2009;13(4):207-212. doi:10.1007/s10006-009-0174-4.</w:t>
      </w:r>
    </w:p>
    <w:p w14:paraId="5936617C" w14:textId="77777777" w:rsidR="00F24482" w:rsidRDefault="00F24482" w:rsidP="00F24482">
      <w:pPr>
        <w:pStyle w:val="NormalWeb"/>
        <w:numPr>
          <w:ilvl w:val="0"/>
          <w:numId w:val="17"/>
        </w:numPr>
      </w:pPr>
      <w:r>
        <w:t>Sawhney CP. Bony ankylosis of the temporomandibular joint: follow-up of 70 patients treated with arthroplasty and acrylic spacer interposition. Plast Reconstr Surg. 1986;77(1):29-40.</w:t>
      </w:r>
    </w:p>
    <w:p w14:paraId="1646A944" w14:textId="77777777" w:rsidR="00F24482" w:rsidRDefault="00F24482" w:rsidP="00F24482">
      <w:pPr>
        <w:pStyle w:val="NormalWeb"/>
        <w:numPr>
          <w:ilvl w:val="0"/>
          <w:numId w:val="17"/>
        </w:numPr>
      </w:pPr>
      <w:r>
        <w:t>The use of the temporal muscle flap for the treatment of patients undergoing resection of ankylosis of the Temporomandibular Joint (TMJ): A systematic review. Research, Society and Development, 2024. doi: http://dx.doi.org/10.33448/rsd-v13i8.46488.</w:t>
      </w:r>
    </w:p>
    <w:p w14:paraId="2FD859AA" w14:textId="77777777" w:rsidR="00F24482" w:rsidRDefault="00F24482" w:rsidP="00F24482">
      <w:pPr>
        <w:pStyle w:val="NormalWeb"/>
        <w:numPr>
          <w:ilvl w:val="0"/>
          <w:numId w:val="17"/>
        </w:numPr>
      </w:pPr>
      <w:r>
        <w:t>Kaban LB, Perrott DH, Fisher K. A protocol for management of temporomandibular joint ankylosis. J Oral Maxillofac Surg. 1990;48(11):1145-1152. doi:10.1016/0278-2391(90)90529-b.</w:t>
      </w:r>
    </w:p>
    <w:p w14:paraId="19F49EEF" w14:textId="77777777" w:rsidR="00F24482" w:rsidRDefault="00F24482" w:rsidP="00F24482">
      <w:pPr>
        <w:pStyle w:val="NormalWeb"/>
        <w:numPr>
          <w:ilvl w:val="0"/>
          <w:numId w:val="17"/>
        </w:numPr>
      </w:pPr>
      <w:r>
        <w:t>Roychoudhury A, et al. Functional restoration by gap arthroplasty in temporomandibular joint ankylosis. Oral Surg Oral Med Oral Pathol Oral Radiol Endod. 1999;87(2):166-169.</w:t>
      </w:r>
    </w:p>
    <w:p w14:paraId="5881F7F0" w14:textId="77777777" w:rsidR="00F24482" w:rsidRDefault="00F24482" w:rsidP="00F24482">
      <w:pPr>
        <w:pStyle w:val="NormalWeb"/>
        <w:numPr>
          <w:ilvl w:val="0"/>
          <w:numId w:val="17"/>
        </w:numPr>
      </w:pPr>
      <w:r>
        <w:t>He L, Zhang Z, Xiao E, He Y, Zhang Y. Pathogenesis of traumatic temporomandibular joint ankylosis: a narrative review. J Int Med Res. 2020;48(11):300060520972073. doi:10.1177/0300060520972073.</w:t>
      </w:r>
    </w:p>
    <w:p w14:paraId="0D11861C" w14:textId="77777777" w:rsidR="00F24482" w:rsidRDefault="00F24482" w:rsidP="00F24482">
      <w:pPr>
        <w:pStyle w:val="NormalWeb"/>
        <w:numPr>
          <w:ilvl w:val="0"/>
          <w:numId w:val="17"/>
        </w:numPr>
      </w:pPr>
      <w:r>
        <w:t>Al Kayat A, Bramley P. A modified pre-auricular approach to the temporomandibular joint and malar arch. Br J Oral Surg. 1979;17(2):91-103.</w:t>
      </w:r>
    </w:p>
    <w:p w14:paraId="7452A46E" w14:textId="77777777" w:rsidR="00F24482" w:rsidRDefault="00F24482" w:rsidP="00F24482">
      <w:pPr>
        <w:pStyle w:val="NormalWeb"/>
        <w:numPr>
          <w:ilvl w:val="0"/>
          <w:numId w:val="17"/>
        </w:numPr>
      </w:pPr>
      <w:r>
        <w:t>Huang IY, Lai ST, Shen YH, Worthington P. Interpositional arthroplasty using autogenous costal cartilage graft for temporomandibular joint ankylosis in adults. Int J Oral Maxillofac Surg. 2007;36(10):909-915. doi:10.1016/j.ijom.2007.05.009.</w:t>
      </w:r>
    </w:p>
    <w:p w14:paraId="217AFC02" w14:textId="77777777" w:rsidR="00F24482" w:rsidRPr="00F24482" w:rsidRDefault="00F24482" w:rsidP="00F24482">
      <w:pPr>
        <w:pStyle w:val="NormalWeb"/>
        <w:numPr>
          <w:ilvl w:val="0"/>
          <w:numId w:val="17"/>
        </w:numPr>
        <w:rPr>
          <w:highlight w:val="yellow"/>
        </w:rPr>
      </w:pPr>
      <w:r w:rsidRPr="00F24482">
        <w:rPr>
          <w:highlight w:val="yellow"/>
        </w:rPr>
        <w:t>Shivakotee S, Menon CS, Sham ME, Kumar V, Archana S. TMJ Ankylosis Management: Our Experience. J Maxillofac Oral Surg. 2020;19(4):579-584. doi:10.1007/s12663-019-01293-y.</w:t>
      </w:r>
    </w:p>
    <w:p w14:paraId="0622AFDF" w14:textId="77777777" w:rsidR="00F24482" w:rsidRPr="00F24482" w:rsidRDefault="00F24482" w:rsidP="00F24482">
      <w:pPr>
        <w:pStyle w:val="NormalWeb"/>
        <w:numPr>
          <w:ilvl w:val="0"/>
          <w:numId w:val="17"/>
        </w:numPr>
        <w:rPr>
          <w:highlight w:val="yellow"/>
        </w:rPr>
      </w:pPr>
      <w:r w:rsidRPr="00F24482">
        <w:rPr>
          <w:highlight w:val="yellow"/>
        </w:rPr>
        <w:t>Younis M, et al. Abdominal Dermis-Fat Graft Versus Conventional Temporalis Myofascial Flap Interposition in Temporomandibular Joint Ankylosis: A Prospective Clinical Comparative Study. J Maxillofac Oral Surg. 2021;20(1):54-62.</w:t>
      </w:r>
    </w:p>
    <w:p w14:paraId="4A41A4C8" w14:textId="7C5AE103" w:rsidR="009D46C7" w:rsidRPr="005D083C" w:rsidRDefault="009D46C7" w:rsidP="005D083C"/>
    <w:sectPr w:rsidR="009D46C7" w:rsidRPr="005D083C" w:rsidSect="00034616">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09E258A1"/>
    <w:multiLevelType w:val="hybridMultilevel"/>
    <w:tmpl w:val="54FCC742"/>
    <w:lvl w:ilvl="0" w:tplc="4B4AD7E6">
      <w:start w:val="1"/>
      <w:numFmt w:val="decimal"/>
      <w:lvlText w:val="%1-"/>
      <w:lvlJc w:val="left"/>
      <w:pPr>
        <w:ind w:left="720" w:hanging="360"/>
      </w:pPr>
      <w:rPr>
        <w:rFonts w:ascii="Segoe UI" w:hAnsi="Segoe UI" w:cs="Segoe UI" w:hint="default"/>
        <w:color w:val="212121"/>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15:restartNumberingAfterBreak="0">
    <w:nsid w:val="1CE07F5B"/>
    <w:multiLevelType w:val="multilevel"/>
    <w:tmpl w:val="439AD5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D840941"/>
    <w:multiLevelType w:val="multilevel"/>
    <w:tmpl w:val="48321B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6F6121B"/>
    <w:multiLevelType w:val="multilevel"/>
    <w:tmpl w:val="9D4CF8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CBA24BE"/>
    <w:multiLevelType w:val="multilevel"/>
    <w:tmpl w:val="B66CE0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5FEE73EC"/>
    <w:multiLevelType w:val="multilevel"/>
    <w:tmpl w:val="E95ADD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616A5C82"/>
    <w:multiLevelType w:val="multilevel"/>
    <w:tmpl w:val="5FC0A0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667E4A94"/>
    <w:multiLevelType w:val="multilevel"/>
    <w:tmpl w:val="B66CE0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 w:numId="10">
    <w:abstractNumId w:val="15"/>
  </w:num>
  <w:num w:numId="11">
    <w:abstractNumId w:val="14"/>
  </w:num>
  <w:num w:numId="12">
    <w:abstractNumId w:val="9"/>
  </w:num>
  <w:num w:numId="13">
    <w:abstractNumId w:val="12"/>
  </w:num>
  <w:num w:numId="14">
    <w:abstractNumId w:val="16"/>
  </w:num>
  <w:num w:numId="15">
    <w:abstractNumId w:val="11"/>
  </w:num>
  <w:num w:numId="16">
    <w:abstractNumId w:val="10"/>
  </w:num>
  <w:num w:numId="1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oofState w:spelling="clean" w:grammar="clean"/>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7730"/>
    <w:rsid w:val="00034616"/>
    <w:rsid w:val="0006063C"/>
    <w:rsid w:val="0015074B"/>
    <w:rsid w:val="0029639D"/>
    <w:rsid w:val="002B1FFC"/>
    <w:rsid w:val="00326F90"/>
    <w:rsid w:val="004C2861"/>
    <w:rsid w:val="005D083C"/>
    <w:rsid w:val="00683D13"/>
    <w:rsid w:val="007C2149"/>
    <w:rsid w:val="009D46C7"/>
    <w:rsid w:val="00AA1D8D"/>
    <w:rsid w:val="00B47730"/>
    <w:rsid w:val="00CB0664"/>
    <w:rsid w:val="00F24482"/>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6CAED09"/>
  <w14:defaultImageDpi w14:val="300"/>
  <w15:docId w15:val="{5B336CD2-BBA3-4AF2-952A-9925CB93C5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styleId="NormalWeb">
    <w:name w:val="Normal (Web)"/>
    <w:basedOn w:val="Normal"/>
    <w:uiPriority w:val="99"/>
    <w:unhideWhenUsed/>
    <w:rsid w:val="005D083C"/>
    <w:pPr>
      <w:spacing w:before="100" w:beforeAutospacing="1" w:after="100" w:afterAutospacing="1" w:line="240" w:lineRule="auto"/>
    </w:pPr>
    <w:rPr>
      <w:rFonts w:ascii="Times New Roman" w:eastAsia="Times New Roman" w:hAnsi="Times New Roman" w:cs="Times New Roman"/>
      <w:sz w:val="24"/>
      <w:szCs w:val="24"/>
      <w:lang w:val="pt-BR" w:eastAsia="pt-BR"/>
    </w:rPr>
  </w:style>
  <w:style w:type="character" w:styleId="Hyperlink">
    <w:name w:val="Hyperlink"/>
    <w:basedOn w:val="DefaultParagraphFont"/>
    <w:uiPriority w:val="99"/>
    <w:unhideWhenUsed/>
    <w:rsid w:val="005D083C"/>
    <w:rPr>
      <w:color w:val="0000FF"/>
      <w:u w:val="single"/>
    </w:rPr>
  </w:style>
  <w:style w:type="character" w:styleId="UnresolvedMention">
    <w:name w:val="Unresolved Mention"/>
    <w:basedOn w:val="DefaultParagraphFont"/>
    <w:uiPriority w:val="99"/>
    <w:semiHidden/>
    <w:unhideWhenUsed/>
    <w:rsid w:val="004C286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526243">
      <w:bodyDiv w:val="1"/>
      <w:marLeft w:val="0"/>
      <w:marRight w:val="0"/>
      <w:marTop w:val="0"/>
      <w:marBottom w:val="0"/>
      <w:divBdr>
        <w:top w:val="none" w:sz="0" w:space="0" w:color="auto"/>
        <w:left w:val="none" w:sz="0" w:space="0" w:color="auto"/>
        <w:bottom w:val="none" w:sz="0" w:space="0" w:color="auto"/>
        <w:right w:val="none" w:sz="0" w:space="0" w:color="auto"/>
      </w:divBdr>
      <w:divsChild>
        <w:div w:id="703284790">
          <w:marLeft w:val="0"/>
          <w:marRight w:val="0"/>
          <w:marTop w:val="0"/>
          <w:marBottom w:val="0"/>
          <w:divBdr>
            <w:top w:val="none" w:sz="0" w:space="0" w:color="auto"/>
            <w:left w:val="none" w:sz="0" w:space="0" w:color="auto"/>
            <w:bottom w:val="none" w:sz="0" w:space="0" w:color="auto"/>
            <w:right w:val="none" w:sz="0" w:space="0" w:color="auto"/>
          </w:divBdr>
        </w:div>
        <w:div w:id="838883041">
          <w:marLeft w:val="0"/>
          <w:marRight w:val="0"/>
          <w:marTop w:val="0"/>
          <w:marBottom w:val="0"/>
          <w:divBdr>
            <w:top w:val="none" w:sz="0" w:space="0" w:color="auto"/>
            <w:left w:val="none" w:sz="0" w:space="0" w:color="auto"/>
            <w:bottom w:val="none" w:sz="0" w:space="0" w:color="auto"/>
            <w:right w:val="none" w:sz="0" w:space="0" w:color="auto"/>
          </w:divBdr>
        </w:div>
        <w:div w:id="567762846">
          <w:marLeft w:val="0"/>
          <w:marRight w:val="0"/>
          <w:marTop w:val="0"/>
          <w:marBottom w:val="0"/>
          <w:divBdr>
            <w:top w:val="none" w:sz="0" w:space="0" w:color="auto"/>
            <w:left w:val="none" w:sz="0" w:space="0" w:color="auto"/>
            <w:bottom w:val="none" w:sz="0" w:space="0" w:color="auto"/>
            <w:right w:val="none" w:sz="0" w:space="0" w:color="auto"/>
          </w:divBdr>
        </w:div>
        <w:div w:id="1880388953">
          <w:marLeft w:val="0"/>
          <w:marRight w:val="0"/>
          <w:marTop w:val="0"/>
          <w:marBottom w:val="0"/>
          <w:divBdr>
            <w:top w:val="none" w:sz="0" w:space="0" w:color="auto"/>
            <w:left w:val="none" w:sz="0" w:space="0" w:color="auto"/>
            <w:bottom w:val="none" w:sz="0" w:space="0" w:color="auto"/>
            <w:right w:val="none" w:sz="0" w:space="0" w:color="auto"/>
          </w:divBdr>
        </w:div>
      </w:divsChild>
    </w:div>
    <w:div w:id="166603541">
      <w:bodyDiv w:val="1"/>
      <w:marLeft w:val="0"/>
      <w:marRight w:val="0"/>
      <w:marTop w:val="0"/>
      <w:marBottom w:val="0"/>
      <w:divBdr>
        <w:top w:val="none" w:sz="0" w:space="0" w:color="auto"/>
        <w:left w:val="none" w:sz="0" w:space="0" w:color="auto"/>
        <w:bottom w:val="none" w:sz="0" w:space="0" w:color="auto"/>
        <w:right w:val="none" w:sz="0" w:space="0" w:color="auto"/>
      </w:divBdr>
    </w:div>
    <w:div w:id="430514217">
      <w:bodyDiv w:val="1"/>
      <w:marLeft w:val="0"/>
      <w:marRight w:val="0"/>
      <w:marTop w:val="0"/>
      <w:marBottom w:val="0"/>
      <w:divBdr>
        <w:top w:val="none" w:sz="0" w:space="0" w:color="auto"/>
        <w:left w:val="none" w:sz="0" w:space="0" w:color="auto"/>
        <w:bottom w:val="none" w:sz="0" w:space="0" w:color="auto"/>
        <w:right w:val="none" w:sz="0" w:space="0" w:color="auto"/>
      </w:divBdr>
      <w:divsChild>
        <w:div w:id="2030527753">
          <w:marLeft w:val="0"/>
          <w:marRight w:val="0"/>
          <w:marTop w:val="0"/>
          <w:marBottom w:val="0"/>
          <w:divBdr>
            <w:top w:val="none" w:sz="0" w:space="0" w:color="auto"/>
            <w:left w:val="none" w:sz="0" w:space="0" w:color="auto"/>
            <w:bottom w:val="none" w:sz="0" w:space="0" w:color="auto"/>
            <w:right w:val="none" w:sz="0" w:space="0" w:color="auto"/>
          </w:divBdr>
        </w:div>
        <w:div w:id="852763611">
          <w:marLeft w:val="0"/>
          <w:marRight w:val="0"/>
          <w:marTop w:val="0"/>
          <w:marBottom w:val="0"/>
          <w:divBdr>
            <w:top w:val="none" w:sz="0" w:space="0" w:color="auto"/>
            <w:left w:val="none" w:sz="0" w:space="0" w:color="auto"/>
            <w:bottom w:val="none" w:sz="0" w:space="0" w:color="auto"/>
            <w:right w:val="none" w:sz="0" w:space="0" w:color="auto"/>
          </w:divBdr>
        </w:div>
        <w:div w:id="411315424">
          <w:marLeft w:val="0"/>
          <w:marRight w:val="0"/>
          <w:marTop w:val="0"/>
          <w:marBottom w:val="0"/>
          <w:divBdr>
            <w:top w:val="none" w:sz="0" w:space="0" w:color="auto"/>
            <w:left w:val="none" w:sz="0" w:space="0" w:color="auto"/>
            <w:bottom w:val="none" w:sz="0" w:space="0" w:color="auto"/>
            <w:right w:val="none" w:sz="0" w:space="0" w:color="auto"/>
          </w:divBdr>
        </w:div>
        <w:div w:id="765423889">
          <w:marLeft w:val="0"/>
          <w:marRight w:val="0"/>
          <w:marTop w:val="0"/>
          <w:marBottom w:val="0"/>
          <w:divBdr>
            <w:top w:val="none" w:sz="0" w:space="0" w:color="auto"/>
            <w:left w:val="none" w:sz="0" w:space="0" w:color="auto"/>
            <w:bottom w:val="none" w:sz="0" w:space="0" w:color="auto"/>
            <w:right w:val="none" w:sz="0" w:space="0" w:color="auto"/>
          </w:divBdr>
        </w:div>
        <w:div w:id="98837056">
          <w:marLeft w:val="0"/>
          <w:marRight w:val="0"/>
          <w:marTop w:val="0"/>
          <w:marBottom w:val="0"/>
          <w:divBdr>
            <w:top w:val="none" w:sz="0" w:space="0" w:color="auto"/>
            <w:left w:val="none" w:sz="0" w:space="0" w:color="auto"/>
            <w:bottom w:val="none" w:sz="0" w:space="0" w:color="auto"/>
            <w:right w:val="none" w:sz="0" w:space="0" w:color="auto"/>
          </w:divBdr>
        </w:div>
        <w:div w:id="1963490187">
          <w:marLeft w:val="0"/>
          <w:marRight w:val="0"/>
          <w:marTop w:val="0"/>
          <w:marBottom w:val="0"/>
          <w:divBdr>
            <w:top w:val="none" w:sz="0" w:space="0" w:color="auto"/>
            <w:left w:val="none" w:sz="0" w:space="0" w:color="auto"/>
            <w:bottom w:val="none" w:sz="0" w:space="0" w:color="auto"/>
            <w:right w:val="none" w:sz="0" w:space="0" w:color="auto"/>
          </w:divBdr>
        </w:div>
        <w:div w:id="744766916">
          <w:marLeft w:val="0"/>
          <w:marRight w:val="0"/>
          <w:marTop w:val="0"/>
          <w:marBottom w:val="0"/>
          <w:divBdr>
            <w:top w:val="none" w:sz="0" w:space="0" w:color="auto"/>
            <w:left w:val="none" w:sz="0" w:space="0" w:color="auto"/>
            <w:bottom w:val="none" w:sz="0" w:space="0" w:color="auto"/>
            <w:right w:val="none" w:sz="0" w:space="0" w:color="auto"/>
          </w:divBdr>
        </w:div>
      </w:divsChild>
    </w:div>
    <w:div w:id="611135317">
      <w:bodyDiv w:val="1"/>
      <w:marLeft w:val="0"/>
      <w:marRight w:val="0"/>
      <w:marTop w:val="0"/>
      <w:marBottom w:val="0"/>
      <w:divBdr>
        <w:top w:val="none" w:sz="0" w:space="0" w:color="auto"/>
        <w:left w:val="none" w:sz="0" w:space="0" w:color="auto"/>
        <w:bottom w:val="none" w:sz="0" w:space="0" w:color="auto"/>
        <w:right w:val="none" w:sz="0" w:space="0" w:color="auto"/>
      </w:divBdr>
      <w:divsChild>
        <w:div w:id="2023778045">
          <w:marLeft w:val="0"/>
          <w:marRight w:val="0"/>
          <w:marTop w:val="0"/>
          <w:marBottom w:val="0"/>
          <w:divBdr>
            <w:top w:val="none" w:sz="0" w:space="0" w:color="auto"/>
            <w:left w:val="none" w:sz="0" w:space="0" w:color="auto"/>
            <w:bottom w:val="none" w:sz="0" w:space="0" w:color="auto"/>
            <w:right w:val="none" w:sz="0" w:space="0" w:color="auto"/>
          </w:divBdr>
        </w:div>
        <w:div w:id="369452817">
          <w:marLeft w:val="0"/>
          <w:marRight w:val="0"/>
          <w:marTop w:val="0"/>
          <w:marBottom w:val="0"/>
          <w:divBdr>
            <w:top w:val="none" w:sz="0" w:space="0" w:color="auto"/>
            <w:left w:val="none" w:sz="0" w:space="0" w:color="auto"/>
            <w:bottom w:val="none" w:sz="0" w:space="0" w:color="auto"/>
            <w:right w:val="none" w:sz="0" w:space="0" w:color="auto"/>
          </w:divBdr>
        </w:div>
        <w:div w:id="318463361">
          <w:marLeft w:val="0"/>
          <w:marRight w:val="0"/>
          <w:marTop w:val="0"/>
          <w:marBottom w:val="0"/>
          <w:divBdr>
            <w:top w:val="none" w:sz="0" w:space="0" w:color="auto"/>
            <w:left w:val="none" w:sz="0" w:space="0" w:color="auto"/>
            <w:bottom w:val="none" w:sz="0" w:space="0" w:color="auto"/>
            <w:right w:val="none" w:sz="0" w:space="0" w:color="auto"/>
          </w:divBdr>
        </w:div>
        <w:div w:id="1288706318">
          <w:marLeft w:val="0"/>
          <w:marRight w:val="0"/>
          <w:marTop w:val="0"/>
          <w:marBottom w:val="0"/>
          <w:divBdr>
            <w:top w:val="none" w:sz="0" w:space="0" w:color="auto"/>
            <w:left w:val="none" w:sz="0" w:space="0" w:color="auto"/>
            <w:bottom w:val="none" w:sz="0" w:space="0" w:color="auto"/>
            <w:right w:val="none" w:sz="0" w:space="0" w:color="auto"/>
          </w:divBdr>
        </w:div>
        <w:div w:id="1699499839">
          <w:marLeft w:val="0"/>
          <w:marRight w:val="0"/>
          <w:marTop w:val="0"/>
          <w:marBottom w:val="0"/>
          <w:divBdr>
            <w:top w:val="none" w:sz="0" w:space="0" w:color="auto"/>
            <w:left w:val="none" w:sz="0" w:space="0" w:color="auto"/>
            <w:bottom w:val="none" w:sz="0" w:space="0" w:color="auto"/>
            <w:right w:val="none" w:sz="0" w:space="0" w:color="auto"/>
          </w:divBdr>
        </w:div>
        <w:div w:id="896166504">
          <w:marLeft w:val="0"/>
          <w:marRight w:val="0"/>
          <w:marTop w:val="0"/>
          <w:marBottom w:val="0"/>
          <w:divBdr>
            <w:top w:val="none" w:sz="0" w:space="0" w:color="auto"/>
            <w:left w:val="none" w:sz="0" w:space="0" w:color="auto"/>
            <w:bottom w:val="none" w:sz="0" w:space="0" w:color="auto"/>
            <w:right w:val="none" w:sz="0" w:space="0" w:color="auto"/>
          </w:divBdr>
        </w:div>
        <w:div w:id="1330062121">
          <w:marLeft w:val="0"/>
          <w:marRight w:val="0"/>
          <w:marTop w:val="0"/>
          <w:marBottom w:val="0"/>
          <w:divBdr>
            <w:top w:val="none" w:sz="0" w:space="0" w:color="auto"/>
            <w:left w:val="none" w:sz="0" w:space="0" w:color="auto"/>
            <w:bottom w:val="none" w:sz="0" w:space="0" w:color="auto"/>
            <w:right w:val="none" w:sz="0" w:space="0" w:color="auto"/>
          </w:divBdr>
        </w:div>
      </w:divsChild>
    </w:div>
    <w:div w:id="1430807232">
      <w:bodyDiv w:val="1"/>
      <w:marLeft w:val="0"/>
      <w:marRight w:val="0"/>
      <w:marTop w:val="0"/>
      <w:marBottom w:val="0"/>
      <w:divBdr>
        <w:top w:val="none" w:sz="0" w:space="0" w:color="auto"/>
        <w:left w:val="none" w:sz="0" w:space="0" w:color="auto"/>
        <w:bottom w:val="none" w:sz="0" w:space="0" w:color="auto"/>
        <w:right w:val="none" w:sz="0" w:space="0" w:color="auto"/>
      </w:divBdr>
      <w:divsChild>
        <w:div w:id="2086566142">
          <w:marLeft w:val="0"/>
          <w:marRight w:val="0"/>
          <w:marTop w:val="0"/>
          <w:marBottom w:val="0"/>
          <w:divBdr>
            <w:top w:val="none" w:sz="0" w:space="0" w:color="auto"/>
            <w:left w:val="none" w:sz="0" w:space="0" w:color="auto"/>
            <w:bottom w:val="none" w:sz="0" w:space="0" w:color="auto"/>
            <w:right w:val="none" w:sz="0" w:space="0" w:color="auto"/>
          </w:divBdr>
        </w:div>
        <w:div w:id="1450473297">
          <w:marLeft w:val="0"/>
          <w:marRight w:val="0"/>
          <w:marTop w:val="0"/>
          <w:marBottom w:val="0"/>
          <w:divBdr>
            <w:top w:val="none" w:sz="0" w:space="0" w:color="auto"/>
            <w:left w:val="none" w:sz="0" w:space="0" w:color="auto"/>
            <w:bottom w:val="none" w:sz="0" w:space="0" w:color="auto"/>
            <w:right w:val="none" w:sz="0" w:space="0" w:color="auto"/>
          </w:divBdr>
        </w:div>
        <w:div w:id="25064938">
          <w:marLeft w:val="0"/>
          <w:marRight w:val="0"/>
          <w:marTop w:val="0"/>
          <w:marBottom w:val="0"/>
          <w:divBdr>
            <w:top w:val="none" w:sz="0" w:space="0" w:color="auto"/>
            <w:left w:val="none" w:sz="0" w:space="0" w:color="auto"/>
            <w:bottom w:val="none" w:sz="0" w:space="0" w:color="auto"/>
            <w:right w:val="none" w:sz="0" w:space="0" w:color="auto"/>
          </w:divBdr>
        </w:div>
        <w:div w:id="905382196">
          <w:marLeft w:val="0"/>
          <w:marRight w:val="0"/>
          <w:marTop w:val="0"/>
          <w:marBottom w:val="0"/>
          <w:divBdr>
            <w:top w:val="none" w:sz="0" w:space="0" w:color="auto"/>
            <w:left w:val="none" w:sz="0" w:space="0" w:color="auto"/>
            <w:bottom w:val="none" w:sz="0" w:space="0" w:color="auto"/>
            <w:right w:val="none" w:sz="0" w:space="0" w:color="auto"/>
          </w:divBdr>
        </w:div>
        <w:div w:id="995379846">
          <w:marLeft w:val="0"/>
          <w:marRight w:val="0"/>
          <w:marTop w:val="0"/>
          <w:marBottom w:val="0"/>
          <w:divBdr>
            <w:top w:val="none" w:sz="0" w:space="0" w:color="auto"/>
            <w:left w:val="none" w:sz="0" w:space="0" w:color="auto"/>
            <w:bottom w:val="none" w:sz="0" w:space="0" w:color="auto"/>
            <w:right w:val="none" w:sz="0" w:space="0" w:color="auto"/>
          </w:divBdr>
        </w:div>
        <w:div w:id="234558067">
          <w:marLeft w:val="0"/>
          <w:marRight w:val="0"/>
          <w:marTop w:val="0"/>
          <w:marBottom w:val="0"/>
          <w:divBdr>
            <w:top w:val="none" w:sz="0" w:space="0" w:color="auto"/>
            <w:left w:val="none" w:sz="0" w:space="0" w:color="auto"/>
            <w:bottom w:val="none" w:sz="0" w:space="0" w:color="auto"/>
            <w:right w:val="none" w:sz="0" w:space="0" w:color="auto"/>
          </w:divBdr>
        </w:div>
      </w:divsChild>
    </w:div>
    <w:div w:id="1579364651">
      <w:bodyDiv w:val="1"/>
      <w:marLeft w:val="0"/>
      <w:marRight w:val="0"/>
      <w:marTop w:val="0"/>
      <w:marBottom w:val="0"/>
      <w:divBdr>
        <w:top w:val="none" w:sz="0" w:space="0" w:color="auto"/>
        <w:left w:val="none" w:sz="0" w:space="0" w:color="auto"/>
        <w:bottom w:val="none" w:sz="0" w:space="0" w:color="auto"/>
        <w:right w:val="none" w:sz="0" w:space="0" w:color="auto"/>
      </w:divBdr>
      <w:divsChild>
        <w:div w:id="2095277728">
          <w:marLeft w:val="0"/>
          <w:marRight w:val="0"/>
          <w:marTop w:val="0"/>
          <w:marBottom w:val="0"/>
          <w:divBdr>
            <w:top w:val="none" w:sz="0" w:space="0" w:color="auto"/>
            <w:left w:val="none" w:sz="0" w:space="0" w:color="auto"/>
            <w:bottom w:val="none" w:sz="0" w:space="0" w:color="auto"/>
            <w:right w:val="none" w:sz="0" w:space="0" w:color="auto"/>
          </w:divBdr>
        </w:div>
        <w:div w:id="540630314">
          <w:marLeft w:val="0"/>
          <w:marRight w:val="0"/>
          <w:marTop w:val="0"/>
          <w:marBottom w:val="0"/>
          <w:divBdr>
            <w:top w:val="none" w:sz="0" w:space="0" w:color="auto"/>
            <w:left w:val="none" w:sz="0" w:space="0" w:color="auto"/>
            <w:bottom w:val="none" w:sz="0" w:space="0" w:color="auto"/>
            <w:right w:val="none" w:sz="0" w:space="0" w:color="auto"/>
          </w:divBdr>
        </w:div>
        <w:div w:id="737244013">
          <w:marLeft w:val="0"/>
          <w:marRight w:val="0"/>
          <w:marTop w:val="0"/>
          <w:marBottom w:val="0"/>
          <w:divBdr>
            <w:top w:val="none" w:sz="0" w:space="0" w:color="auto"/>
            <w:left w:val="none" w:sz="0" w:space="0" w:color="auto"/>
            <w:bottom w:val="none" w:sz="0" w:space="0" w:color="auto"/>
            <w:right w:val="none" w:sz="0" w:space="0" w:color="auto"/>
          </w:divBdr>
        </w:div>
        <w:div w:id="1203178517">
          <w:marLeft w:val="0"/>
          <w:marRight w:val="0"/>
          <w:marTop w:val="0"/>
          <w:marBottom w:val="0"/>
          <w:divBdr>
            <w:top w:val="none" w:sz="0" w:space="0" w:color="auto"/>
            <w:left w:val="none" w:sz="0" w:space="0" w:color="auto"/>
            <w:bottom w:val="none" w:sz="0" w:space="0" w:color="auto"/>
            <w:right w:val="none" w:sz="0" w:space="0" w:color="auto"/>
          </w:divBdr>
        </w:div>
        <w:div w:id="1624506821">
          <w:marLeft w:val="0"/>
          <w:marRight w:val="0"/>
          <w:marTop w:val="0"/>
          <w:marBottom w:val="0"/>
          <w:divBdr>
            <w:top w:val="none" w:sz="0" w:space="0" w:color="auto"/>
            <w:left w:val="none" w:sz="0" w:space="0" w:color="auto"/>
            <w:bottom w:val="none" w:sz="0" w:space="0" w:color="auto"/>
            <w:right w:val="none" w:sz="0" w:space="0" w:color="auto"/>
          </w:divBdr>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image" Target="media/image7.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jpeg"/><Relationship Id="rId5" Type="http://schemas.openxmlformats.org/officeDocument/2006/relationships/webSettings" Target="webSettings.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0B802F9-0707-44F6-B6BF-8501BCF132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7</Pages>
  <Words>1159</Words>
  <Characters>6607</Characters>
  <Application>Microsoft Office Word</Application>
  <DocSecurity>0</DocSecurity>
  <Lines>55</Lines>
  <Paragraphs>15</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7751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SDI 1137</cp:lastModifiedBy>
  <cp:revision>3</cp:revision>
  <dcterms:created xsi:type="dcterms:W3CDTF">2025-02-03T02:49:00Z</dcterms:created>
  <dcterms:modified xsi:type="dcterms:W3CDTF">2025-02-03T07:18:00Z</dcterms:modified>
  <cp:category/>
</cp:coreProperties>
</file>