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3C9F7" w14:textId="032C0DF3" w:rsidR="00954ED3" w:rsidRPr="009F6472" w:rsidRDefault="009F6472">
      <w:pPr>
        <w:pStyle w:val="NormalWeb"/>
        <w:jc w:val="both"/>
        <w:rPr>
          <w:rFonts w:ascii="Arial" w:hAnsi="Arial" w:cs="Arial"/>
          <w:sz w:val="22"/>
          <w:szCs w:val="22"/>
        </w:rPr>
      </w:pPr>
      <w:r w:rsidRPr="009F6472">
        <w:rPr>
          <w:rStyle w:val="Strong"/>
          <w:rFonts w:ascii="Arial" w:hAnsi="Arial" w:cs="Arial"/>
          <w:sz w:val="22"/>
          <w:szCs w:val="22"/>
        </w:rPr>
        <w:t>P</w:t>
      </w:r>
      <w:r w:rsidR="00147C17" w:rsidRPr="009F6472">
        <w:rPr>
          <w:rStyle w:val="Strong"/>
          <w:rFonts w:ascii="Arial" w:hAnsi="Arial" w:cs="Arial"/>
          <w:sz w:val="22"/>
          <w:szCs w:val="22"/>
        </w:rPr>
        <w:t xml:space="preserve">robiotic </w:t>
      </w:r>
      <w:r w:rsidRPr="009F6472">
        <w:rPr>
          <w:rStyle w:val="Strong"/>
          <w:rFonts w:ascii="Arial" w:hAnsi="Arial" w:cs="Arial"/>
          <w:sz w:val="22"/>
          <w:szCs w:val="22"/>
        </w:rPr>
        <w:t>combination effect on the modulation of</w:t>
      </w:r>
      <w:r w:rsidR="00147C17" w:rsidRPr="009F6472">
        <w:rPr>
          <w:rStyle w:val="Strong"/>
          <w:rFonts w:ascii="Arial" w:hAnsi="Arial" w:cs="Arial"/>
          <w:sz w:val="22"/>
          <w:szCs w:val="22"/>
        </w:rPr>
        <w:t xml:space="preserve"> lipid metabolism in Triton X-</w:t>
      </w:r>
      <w:r w:rsidRPr="009F6472">
        <w:rPr>
          <w:rStyle w:val="Strong"/>
          <w:rFonts w:ascii="Arial" w:hAnsi="Arial" w:cs="Arial"/>
          <w:sz w:val="22"/>
          <w:szCs w:val="22"/>
        </w:rPr>
        <w:t xml:space="preserve">100 </w:t>
      </w:r>
      <w:r w:rsidR="00147C17" w:rsidRPr="009F6472">
        <w:rPr>
          <w:rStyle w:val="Strong"/>
          <w:rFonts w:ascii="Arial" w:hAnsi="Arial" w:cs="Arial"/>
          <w:sz w:val="22"/>
          <w:szCs w:val="22"/>
        </w:rPr>
        <w:t>induced hyperlipidemic rats</w:t>
      </w:r>
    </w:p>
    <w:p w14:paraId="6067DF45" w14:textId="77777777" w:rsidR="00954ED3" w:rsidRDefault="00954ED3">
      <w:pPr>
        <w:pStyle w:val="NormalWeb"/>
        <w:jc w:val="both"/>
        <w:rPr>
          <w:rFonts w:ascii="Arial" w:hAnsi="Arial" w:cs="Arial"/>
          <w:sz w:val="22"/>
          <w:szCs w:val="22"/>
        </w:rPr>
      </w:pPr>
    </w:p>
    <w:p w14:paraId="0BED5268" w14:textId="77777777" w:rsidR="00954ED3" w:rsidRDefault="00147C17">
      <w:pPr>
        <w:jc w:val="both"/>
        <w:rPr>
          <w:rFonts w:ascii="Arial" w:hAnsi="Arial" w:cs="Arial"/>
        </w:rPr>
      </w:pPr>
      <w:r>
        <w:rPr>
          <w:rFonts w:ascii="Arial" w:hAnsi="Arial" w:cs="Arial"/>
          <w:b/>
          <w:bCs/>
        </w:rPr>
        <w:t>ABSTRACT</w:t>
      </w:r>
    </w:p>
    <w:p w14:paraId="2A7F0852" w14:textId="4F64409A" w:rsidR="00954ED3" w:rsidRPr="008B5709" w:rsidRDefault="00147C17">
      <w:pPr>
        <w:jc w:val="both"/>
        <w:rPr>
          <w:rFonts w:ascii="Arial" w:eastAsia="SimSun" w:hAnsi="Arial" w:cs="Arial"/>
          <w:color w:val="000000" w:themeColor="text1"/>
        </w:rPr>
      </w:pPr>
      <w:r>
        <w:rPr>
          <w:rFonts w:ascii="Arial" w:hAnsi="Arial" w:cs="Arial"/>
          <w:b/>
          <w:bCs/>
        </w:rPr>
        <w:t>Aim</w:t>
      </w:r>
      <w:r>
        <w:rPr>
          <w:rFonts w:ascii="Arial" w:hAnsi="Arial" w:cs="Arial"/>
        </w:rPr>
        <w:t>:</w:t>
      </w:r>
      <w:r>
        <w:rPr>
          <w:rFonts w:ascii="Arial" w:eastAsia="SimSun" w:hAnsi="Arial" w:cs="Arial"/>
        </w:rPr>
        <w:t xml:space="preserve"> This study evaluated the effect of a probiotic consortium (70% yeast, 30% bacteria) on lipid metabolism in Triton </w:t>
      </w:r>
      <w:r w:rsidRPr="008B5709">
        <w:rPr>
          <w:rFonts w:ascii="Arial" w:eastAsia="SimSun" w:hAnsi="Arial" w:cs="Arial"/>
          <w:color w:val="000000" w:themeColor="text1"/>
        </w:rPr>
        <w:t>X</w:t>
      </w:r>
      <w:r w:rsidR="008B5709">
        <w:rPr>
          <w:rFonts w:ascii="Arial" w:eastAsia="SimSun" w:hAnsi="Arial" w:cs="Arial"/>
          <w:color w:val="000000" w:themeColor="text1"/>
        </w:rPr>
        <w:t>-100/</w:t>
      </w:r>
      <w:r w:rsidR="00522997" w:rsidRPr="008B5709">
        <w:rPr>
          <w:rFonts w:ascii="Arial" w:eastAsia="SimSun" w:hAnsi="Arial" w:cs="Arial"/>
          <w:color w:val="000000" w:themeColor="text1"/>
        </w:rPr>
        <w:t xml:space="preserve">high </w:t>
      </w:r>
      <w:r w:rsidR="008B5709">
        <w:rPr>
          <w:rFonts w:ascii="Arial" w:eastAsia="SimSun" w:hAnsi="Arial" w:cs="Arial"/>
          <w:color w:val="000000" w:themeColor="text1"/>
        </w:rPr>
        <w:t>cholesterol</w:t>
      </w:r>
      <w:r w:rsidR="00522997" w:rsidRPr="008B5709">
        <w:rPr>
          <w:rFonts w:ascii="Arial" w:eastAsia="SimSun" w:hAnsi="Arial" w:cs="Arial"/>
          <w:color w:val="000000" w:themeColor="text1"/>
        </w:rPr>
        <w:t>-i</w:t>
      </w:r>
      <w:r w:rsidRPr="008B5709">
        <w:rPr>
          <w:rFonts w:ascii="Arial" w:eastAsia="SimSun" w:hAnsi="Arial" w:cs="Arial"/>
          <w:color w:val="000000" w:themeColor="text1"/>
        </w:rPr>
        <w:t xml:space="preserve">nduced hyperlipidemic rats. </w:t>
      </w:r>
    </w:p>
    <w:p w14:paraId="666EEF87" w14:textId="7199A6D0" w:rsidR="00954ED3" w:rsidRDefault="00147C17">
      <w:pPr>
        <w:jc w:val="both"/>
        <w:rPr>
          <w:rFonts w:ascii="Arial" w:hAnsi="Arial" w:cs="Arial"/>
        </w:rPr>
      </w:pPr>
      <w:r w:rsidRPr="008B5709">
        <w:rPr>
          <w:rFonts w:ascii="Arial" w:eastAsia="SimSun" w:hAnsi="Arial" w:cs="Arial"/>
          <w:b/>
          <w:bCs/>
          <w:color w:val="000000" w:themeColor="text1"/>
        </w:rPr>
        <w:t>Study design:</w:t>
      </w:r>
      <w:r w:rsidR="00522997" w:rsidRPr="008B5709">
        <w:rPr>
          <w:rFonts w:ascii="Arial" w:eastAsia="SimSun" w:hAnsi="Arial" w:cs="Arial"/>
          <w:b/>
          <w:bCs/>
          <w:color w:val="000000" w:themeColor="text1"/>
        </w:rPr>
        <w:t xml:space="preserve"> </w:t>
      </w:r>
      <w:r w:rsidRPr="008B5709">
        <w:rPr>
          <w:rFonts w:ascii="Arial" w:hAnsi="Arial" w:cs="Arial"/>
          <w:color w:val="000000" w:themeColor="text1"/>
        </w:rPr>
        <w:t xml:space="preserve">Male </w:t>
      </w:r>
      <w:r w:rsidR="00522997" w:rsidRPr="008B5709">
        <w:rPr>
          <w:rFonts w:ascii="Arial" w:hAnsi="Arial" w:cs="Arial"/>
          <w:color w:val="000000" w:themeColor="text1"/>
        </w:rPr>
        <w:t>W</w:t>
      </w:r>
      <w:r w:rsidRPr="008B5709">
        <w:rPr>
          <w:rFonts w:ascii="Arial" w:hAnsi="Arial" w:cs="Arial"/>
          <w:color w:val="000000" w:themeColor="text1"/>
        </w:rPr>
        <w:t xml:space="preserve">istar rats (50-110g) were obtained from </w:t>
      </w:r>
      <w:proofErr w:type="spellStart"/>
      <w:r w:rsidRPr="008B5709">
        <w:rPr>
          <w:rFonts w:ascii="Arial" w:hAnsi="Arial" w:cs="Arial"/>
          <w:color w:val="000000" w:themeColor="text1"/>
        </w:rPr>
        <w:t>Onyewuchi</w:t>
      </w:r>
      <w:proofErr w:type="spellEnd"/>
      <w:r w:rsidRPr="008B5709">
        <w:rPr>
          <w:rFonts w:ascii="Arial" w:hAnsi="Arial" w:cs="Arial"/>
          <w:color w:val="000000" w:themeColor="text1"/>
        </w:rPr>
        <w:t xml:space="preserve"> Farm</w:t>
      </w:r>
      <w:r w:rsidR="00522997" w:rsidRPr="008B5709">
        <w:rPr>
          <w:rFonts w:ascii="Arial" w:hAnsi="Arial" w:cs="Arial"/>
          <w:color w:val="000000" w:themeColor="text1"/>
        </w:rPr>
        <w:t>,</w:t>
      </w:r>
      <w:r w:rsidRPr="008B5709">
        <w:rPr>
          <w:rFonts w:ascii="Arial" w:hAnsi="Arial" w:cs="Arial"/>
          <w:color w:val="000000" w:themeColor="text1"/>
        </w:rPr>
        <w:t xml:space="preserve"> a certified animal farm located at </w:t>
      </w:r>
      <w:proofErr w:type="spellStart"/>
      <w:r w:rsidRPr="008B5709">
        <w:rPr>
          <w:rFonts w:ascii="Arial" w:hAnsi="Arial" w:cs="Arial"/>
          <w:color w:val="000000" w:themeColor="text1"/>
        </w:rPr>
        <w:t>Ifite</w:t>
      </w:r>
      <w:proofErr w:type="spellEnd"/>
      <w:r w:rsidRPr="008B5709">
        <w:rPr>
          <w:rFonts w:ascii="Arial" w:hAnsi="Arial" w:cs="Arial"/>
          <w:color w:val="000000" w:themeColor="text1"/>
        </w:rPr>
        <w:t xml:space="preserve"> </w:t>
      </w:r>
      <w:proofErr w:type="spellStart"/>
      <w:r w:rsidRPr="008B5709">
        <w:rPr>
          <w:rFonts w:ascii="Arial" w:hAnsi="Arial" w:cs="Arial"/>
          <w:color w:val="000000" w:themeColor="text1"/>
        </w:rPr>
        <w:t>Awka</w:t>
      </w:r>
      <w:proofErr w:type="spellEnd"/>
      <w:r w:rsidR="000B5F37">
        <w:rPr>
          <w:rFonts w:ascii="Arial" w:hAnsi="Arial" w:cs="Arial"/>
          <w:color w:val="000000" w:themeColor="text1"/>
        </w:rPr>
        <w:t>,</w:t>
      </w:r>
      <w:r w:rsidRPr="008B5709">
        <w:rPr>
          <w:rFonts w:ascii="Arial" w:hAnsi="Arial" w:cs="Arial"/>
          <w:color w:val="000000" w:themeColor="text1"/>
        </w:rPr>
        <w:t xml:space="preserve"> </w:t>
      </w:r>
      <w:r>
        <w:rPr>
          <w:rFonts w:ascii="Arial" w:hAnsi="Arial" w:cs="Arial"/>
        </w:rPr>
        <w:t>Anambra State. Rats were randomized into different groups.</w:t>
      </w:r>
    </w:p>
    <w:p w14:paraId="48E801A8" w14:textId="71F9F1D4" w:rsidR="00954ED3" w:rsidRDefault="00147C17">
      <w:pPr>
        <w:jc w:val="both"/>
        <w:rPr>
          <w:rFonts w:ascii="Arial" w:hAnsi="Arial" w:cs="Arial"/>
        </w:rPr>
      </w:pPr>
      <w:r>
        <w:rPr>
          <w:rFonts w:ascii="Arial" w:eastAsia="Calibri" w:hAnsi="Arial" w:cs="Arial"/>
          <w:b/>
          <w:bCs/>
        </w:rPr>
        <w:t>Place and Duration of Study:</w:t>
      </w:r>
      <w:r>
        <w:rPr>
          <w:rFonts w:ascii="Arial" w:eastAsia="Calibri" w:hAnsi="Arial" w:cs="Arial"/>
        </w:rPr>
        <w:t xml:space="preserve"> The study was carried out in the laboratories of the Microbiology and Biochemistry Department of Nnamdi Azikiwe University, </w:t>
      </w:r>
      <w:proofErr w:type="spellStart"/>
      <w:r>
        <w:rPr>
          <w:rFonts w:ascii="Arial" w:eastAsia="Calibri" w:hAnsi="Arial" w:cs="Arial"/>
        </w:rPr>
        <w:t>Awka</w:t>
      </w:r>
      <w:proofErr w:type="spellEnd"/>
      <w:r>
        <w:rPr>
          <w:rFonts w:ascii="Arial" w:eastAsia="Calibri" w:hAnsi="Arial" w:cs="Arial"/>
        </w:rPr>
        <w:t>, Nigeria. This study was conducted over duration of 2 months at intervals.</w:t>
      </w:r>
    </w:p>
    <w:p w14:paraId="07946E4A" w14:textId="1DEC4108" w:rsidR="00954ED3" w:rsidRDefault="00147C17">
      <w:pPr>
        <w:spacing w:before="240"/>
        <w:jc w:val="both"/>
        <w:rPr>
          <w:rFonts w:ascii="Arial" w:eastAsia="SimSun" w:hAnsi="Arial" w:cs="Arial"/>
        </w:rPr>
      </w:pPr>
      <w:r>
        <w:rPr>
          <w:rFonts w:ascii="Arial" w:eastAsia="SimSun" w:hAnsi="Arial" w:cs="Arial"/>
          <w:b/>
          <w:bCs/>
        </w:rPr>
        <w:t>Methodology:</w:t>
      </w:r>
      <w:r w:rsidR="00522997">
        <w:rPr>
          <w:rFonts w:ascii="Arial" w:eastAsia="SimSun" w:hAnsi="Arial" w:cs="Arial"/>
          <w:b/>
          <w:bCs/>
        </w:rPr>
        <w:t xml:space="preserve"> </w:t>
      </w:r>
      <w:r>
        <w:rPr>
          <w:rFonts w:ascii="Arial" w:eastAsia="SimSun" w:hAnsi="Arial" w:cs="Arial"/>
        </w:rPr>
        <w:t>Twenty-four Wistar rats were divided into four groups (n = 6): normal control, hyperlipidemic control (HCD), low-dose probiotic (30 mg/kg), and high-dose probiotic (40mg/kg)</w:t>
      </w:r>
      <w:r w:rsidR="00522997">
        <w:rPr>
          <w:rFonts w:ascii="Arial" w:eastAsia="SimSun" w:hAnsi="Arial" w:cs="Arial"/>
        </w:rPr>
        <w:t xml:space="preserve">. </w:t>
      </w:r>
      <w:r>
        <w:rPr>
          <w:rFonts w:ascii="Arial" w:hAnsi="Arial" w:cs="Arial"/>
        </w:rPr>
        <w:t>The animals were acclimatized for seven days in the animal house and fed with normal animal feed. Hyperlipidemia was induced by administering a single injection of Triton</w:t>
      </w:r>
      <w:r w:rsidR="008B5709">
        <w:rPr>
          <w:rFonts w:ascii="Arial" w:hAnsi="Arial" w:cs="Arial"/>
        </w:rPr>
        <w:t xml:space="preserve"> </w:t>
      </w:r>
      <w:r>
        <w:rPr>
          <w:rFonts w:ascii="Arial" w:hAnsi="Arial" w:cs="Arial"/>
        </w:rPr>
        <w:t>X</w:t>
      </w:r>
      <w:r w:rsidR="008B5709">
        <w:rPr>
          <w:rFonts w:ascii="Arial" w:hAnsi="Arial" w:cs="Arial"/>
        </w:rPr>
        <w:t>-</w:t>
      </w:r>
      <w:r>
        <w:rPr>
          <w:rFonts w:ascii="Arial" w:hAnsi="Arial" w:cs="Arial"/>
        </w:rPr>
        <w:t xml:space="preserve">100 intraperitoneally at a dose dependent on the weight (100mg/kg body weight) of the rats. A normal control group of rats received an equivalent volume of saline. The rats were slaughtered after 14 days of treatment. The stomach content, blood, liver </w:t>
      </w:r>
      <w:proofErr w:type="gramStart"/>
      <w:r>
        <w:rPr>
          <w:rFonts w:ascii="Arial" w:hAnsi="Arial" w:cs="Arial"/>
        </w:rPr>
        <w:t>were</w:t>
      </w:r>
      <w:proofErr w:type="gramEnd"/>
      <w:r>
        <w:rPr>
          <w:rFonts w:ascii="Arial" w:hAnsi="Arial" w:cs="Arial"/>
        </w:rPr>
        <w:t xml:space="preserve"> harvested and used for further analysis.</w:t>
      </w:r>
      <w:r>
        <w:rPr>
          <w:rFonts w:ascii="Arial" w:eastAsia="SimSun" w:hAnsi="Arial" w:cs="Arial"/>
        </w:rPr>
        <w:t xml:space="preserve"> After 14 days of probiotic administration, biochemical and microbial analyses were performed. </w:t>
      </w:r>
    </w:p>
    <w:p w14:paraId="6457C1B5" w14:textId="573739AB" w:rsidR="00954ED3" w:rsidRDefault="00147C17">
      <w:pPr>
        <w:pStyle w:val="NormalWeb"/>
        <w:jc w:val="both"/>
        <w:rPr>
          <w:rFonts w:ascii="Arial" w:hAnsi="Arial" w:cs="Arial"/>
          <w:sz w:val="22"/>
          <w:szCs w:val="22"/>
        </w:rPr>
      </w:pPr>
      <w:r>
        <w:rPr>
          <w:rFonts w:ascii="Arial" w:hAnsi="Arial" w:cs="Arial"/>
          <w:b/>
          <w:bCs/>
          <w:sz w:val="22"/>
          <w:szCs w:val="22"/>
        </w:rPr>
        <w:t>Results:</w:t>
      </w:r>
      <w:r w:rsidR="00522997">
        <w:rPr>
          <w:rFonts w:ascii="Arial" w:hAnsi="Arial" w:cs="Arial"/>
          <w:b/>
          <w:bCs/>
          <w:sz w:val="22"/>
          <w:szCs w:val="22"/>
        </w:rPr>
        <w:t xml:space="preserve"> </w:t>
      </w:r>
      <w:r>
        <w:rPr>
          <w:rFonts w:ascii="Arial" w:hAnsi="Arial" w:cs="Arial"/>
          <w:sz w:val="22"/>
          <w:szCs w:val="22"/>
        </w:rPr>
        <w:t xml:space="preserve">Rat fed with HCD </w:t>
      </w:r>
      <w:r>
        <w:rPr>
          <w:rStyle w:val="Strong"/>
          <w:rFonts w:ascii="Arial" w:hAnsi="Arial" w:cs="Arial"/>
          <w:b w:val="0"/>
          <w:bCs w:val="0"/>
          <w:sz w:val="22"/>
          <w:szCs w:val="22"/>
        </w:rPr>
        <w:t>fasting blood glucoses significantly increased to</w:t>
      </w:r>
      <w:r>
        <w:rPr>
          <w:rFonts w:ascii="Arial" w:hAnsi="Arial" w:cs="Arial"/>
          <w:sz w:val="22"/>
          <w:szCs w:val="22"/>
        </w:rPr>
        <w:t xml:space="preserve"> (90.33 mg/dL) when compared to the Normal Diet group which had 68.67 mg/dL. Treatment with Probiotic significantly reduced glucose levels to </w:t>
      </w:r>
      <w:r>
        <w:rPr>
          <w:rStyle w:val="Strong"/>
          <w:rFonts w:ascii="Arial" w:hAnsi="Arial" w:cs="Arial"/>
          <w:b w:val="0"/>
          <w:bCs w:val="0"/>
          <w:sz w:val="22"/>
          <w:szCs w:val="22"/>
        </w:rPr>
        <w:t>53.33 mg/dL (low dose)</w:t>
      </w:r>
      <w:r>
        <w:rPr>
          <w:rFonts w:ascii="Arial" w:hAnsi="Arial" w:cs="Arial"/>
          <w:sz w:val="22"/>
          <w:szCs w:val="22"/>
        </w:rPr>
        <w:t xml:space="preserve"> and </w:t>
      </w:r>
      <w:r>
        <w:rPr>
          <w:rStyle w:val="Strong"/>
          <w:rFonts w:ascii="Arial" w:hAnsi="Arial" w:cs="Arial"/>
          <w:b w:val="0"/>
          <w:bCs w:val="0"/>
          <w:sz w:val="22"/>
          <w:szCs w:val="22"/>
        </w:rPr>
        <w:t>76 mg/dL (high dose).</w:t>
      </w:r>
      <w:r>
        <w:rPr>
          <w:rFonts w:ascii="Arial" w:hAnsi="Arial" w:cs="Arial"/>
          <w:sz w:val="22"/>
          <w:szCs w:val="22"/>
        </w:rPr>
        <w:t xml:space="preserve"> The</w:t>
      </w:r>
      <w:r w:rsidR="00522997">
        <w:rPr>
          <w:rFonts w:ascii="Arial" w:hAnsi="Arial" w:cs="Arial"/>
          <w:sz w:val="22"/>
          <w:szCs w:val="22"/>
        </w:rPr>
        <w:t xml:space="preserve"> </w:t>
      </w:r>
      <w:r>
        <w:rPr>
          <w:rFonts w:ascii="Arial" w:hAnsi="Arial" w:cs="Arial"/>
          <w:sz w:val="22"/>
          <w:szCs w:val="22"/>
        </w:rPr>
        <w:t xml:space="preserve">rats fed with HCD had the body weight gain of 22 g which was significantly higher than that of the Normal Diet group (17.67 g), while probiotic supplementation reduced weight gain to </w:t>
      </w:r>
      <w:r>
        <w:rPr>
          <w:rStyle w:val="Strong"/>
          <w:rFonts w:ascii="Arial" w:hAnsi="Arial" w:cs="Arial"/>
          <w:b w:val="0"/>
          <w:bCs w:val="0"/>
          <w:sz w:val="22"/>
          <w:szCs w:val="22"/>
        </w:rPr>
        <w:t>18.33 g (low dose)</w:t>
      </w:r>
      <w:r>
        <w:rPr>
          <w:rFonts w:ascii="Arial" w:hAnsi="Arial" w:cs="Arial"/>
          <w:sz w:val="22"/>
          <w:szCs w:val="22"/>
        </w:rPr>
        <w:t xml:space="preserve"> and </w:t>
      </w:r>
      <w:r>
        <w:rPr>
          <w:rStyle w:val="Strong"/>
          <w:rFonts w:ascii="Arial" w:hAnsi="Arial" w:cs="Arial"/>
          <w:b w:val="0"/>
          <w:bCs w:val="0"/>
          <w:sz w:val="22"/>
          <w:szCs w:val="22"/>
        </w:rPr>
        <w:t>17 g (high dose)</w:t>
      </w:r>
      <w:r>
        <w:rPr>
          <w:rFonts w:ascii="Arial" w:hAnsi="Arial" w:cs="Arial"/>
          <w:sz w:val="22"/>
          <w:szCs w:val="22"/>
        </w:rPr>
        <w:t xml:space="preserve">, Total </w:t>
      </w:r>
      <w:r>
        <w:rPr>
          <w:rStyle w:val="Strong"/>
          <w:rFonts w:ascii="Arial" w:hAnsi="Arial" w:cs="Arial"/>
          <w:b w:val="0"/>
          <w:bCs w:val="0"/>
          <w:sz w:val="22"/>
          <w:szCs w:val="22"/>
        </w:rPr>
        <w:t>cholesterol</w:t>
      </w:r>
      <w:r>
        <w:rPr>
          <w:rFonts w:ascii="Arial" w:hAnsi="Arial" w:cs="Arial"/>
          <w:sz w:val="22"/>
          <w:szCs w:val="22"/>
        </w:rPr>
        <w:t xml:space="preserve"> significantly increased (p &lt; 0.05) in HCD rats (</w:t>
      </w:r>
      <w:r>
        <w:rPr>
          <w:rStyle w:val="Strong"/>
          <w:rFonts w:ascii="Arial" w:hAnsi="Arial" w:cs="Arial"/>
          <w:b w:val="0"/>
          <w:bCs w:val="0"/>
          <w:sz w:val="22"/>
          <w:szCs w:val="22"/>
        </w:rPr>
        <w:t>231.08 mg/dL</w:t>
      </w:r>
      <w:r>
        <w:rPr>
          <w:rFonts w:ascii="Arial" w:hAnsi="Arial" w:cs="Arial"/>
          <w:sz w:val="22"/>
          <w:szCs w:val="22"/>
        </w:rPr>
        <w:t>) compared to the Normal group (</w:t>
      </w:r>
      <w:r>
        <w:rPr>
          <w:rStyle w:val="Strong"/>
          <w:rFonts w:ascii="Arial" w:hAnsi="Arial" w:cs="Arial"/>
          <w:b w:val="0"/>
          <w:bCs w:val="0"/>
          <w:sz w:val="22"/>
          <w:szCs w:val="22"/>
        </w:rPr>
        <w:t>135.99 mg/dL</w:t>
      </w:r>
      <w:r>
        <w:rPr>
          <w:rFonts w:ascii="Arial" w:hAnsi="Arial" w:cs="Arial"/>
          <w:sz w:val="22"/>
          <w:szCs w:val="22"/>
        </w:rPr>
        <w:t xml:space="preserve">), but decreased markedly following probiotic treatment to </w:t>
      </w:r>
      <w:r>
        <w:rPr>
          <w:rStyle w:val="Strong"/>
          <w:rFonts w:ascii="Arial" w:hAnsi="Arial" w:cs="Arial"/>
          <w:b w:val="0"/>
          <w:bCs w:val="0"/>
          <w:sz w:val="22"/>
          <w:szCs w:val="22"/>
        </w:rPr>
        <w:t>146.0 mg/dL (low dose)</w:t>
      </w:r>
      <w:r>
        <w:rPr>
          <w:rFonts w:ascii="Arial" w:hAnsi="Arial" w:cs="Arial"/>
          <w:sz w:val="22"/>
          <w:szCs w:val="22"/>
        </w:rPr>
        <w:t xml:space="preserve"> and </w:t>
      </w:r>
      <w:r>
        <w:rPr>
          <w:rStyle w:val="Strong"/>
          <w:rFonts w:ascii="Arial" w:hAnsi="Arial" w:cs="Arial"/>
          <w:b w:val="0"/>
          <w:bCs w:val="0"/>
          <w:sz w:val="22"/>
          <w:szCs w:val="22"/>
        </w:rPr>
        <w:t>143.96 mg/dL (high dose)</w:t>
      </w:r>
      <w:r>
        <w:rPr>
          <w:rFonts w:ascii="Arial" w:hAnsi="Arial" w:cs="Arial"/>
          <w:sz w:val="22"/>
          <w:szCs w:val="22"/>
        </w:rPr>
        <w:t xml:space="preserve">. Similarly, </w:t>
      </w:r>
      <w:proofErr w:type="spellStart"/>
      <w:r>
        <w:rPr>
          <w:rStyle w:val="Strong"/>
          <w:rFonts w:ascii="Arial" w:hAnsi="Arial" w:cs="Arial"/>
          <w:b w:val="0"/>
          <w:bCs w:val="0"/>
          <w:sz w:val="22"/>
          <w:szCs w:val="22"/>
        </w:rPr>
        <w:t>triacylglyceride</w:t>
      </w:r>
      <w:proofErr w:type="spellEnd"/>
      <w:r>
        <w:rPr>
          <w:rStyle w:val="Strong"/>
          <w:rFonts w:ascii="Arial" w:hAnsi="Arial" w:cs="Arial"/>
          <w:b w:val="0"/>
          <w:bCs w:val="0"/>
          <w:sz w:val="22"/>
          <w:szCs w:val="22"/>
        </w:rPr>
        <w:t xml:space="preserve"> levels</w:t>
      </w:r>
      <w:r>
        <w:rPr>
          <w:rFonts w:ascii="Arial" w:hAnsi="Arial" w:cs="Arial"/>
          <w:sz w:val="22"/>
          <w:szCs w:val="22"/>
        </w:rPr>
        <w:t xml:space="preserve"> rose significantly in HCD rats (</w:t>
      </w:r>
      <w:r>
        <w:rPr>
          <w:rStyle w:val="Strong"/>
          <w:rFonts w:ascii="Arial" w:hAnsi="Arial" w:cs="Arial"/>
          <w:b w:val="0"/>
          <w:bCs w:val="0"/>
          <w:sz w:val="22"/>
          <w:szCs w:val="22"/>
        </w:rPr>
        <w:t>342.92 mg/dL</w:t>
      </w:r>
      <w:r>
        <w:rPr>
          <w:rFonts w:ascii="Arial" w:hAnsi="Arial" w:cs="Arial"/>
          <w:sz w:val="22"/>
          <w:szCs w:val="22"/>
        </w:rPr>
        <w:t xml:space="preserve">) but decreased to </w:t>
      </w:r>
      <w:r>
        <w:rPr>
          <w:rStyle w:val="Strong"/>
          <w:rFonts w:ascii="Arial" w:hAnsi="Arial" w:cs="Arial"/>
          <w:b w:val="0"/>
          <w:bCs w:val="0"/>
          <w:sz w:val="22"/>
          <w:szCs w:val="22"/>
        </w:rPr>
        <w:t>238.75 mg/dL (low dose)</w:t>
      </w:r>
      <w:r>
        <w:rPr>
          <w:rFonts w:ascii="Arial" w:hAnsi="Arial" w:cs="Arial"/>
          <w:sz w:val="22"/>
          <w:szCs w:val="22"/>
        </w:rPr>
        <w:t xml:space="preserve"> and </w:t>
      </w:r>
      <w:r>
        <w:rPr>
          <w:rStyle w:val="Strong"/>
          <w:rFonts w:ascii="Arial" w:hAnsi="Arial" w:cs="Arial"/>
          <w:b w:val="0"/>
          <w:bCs w:val="0"/>
          <w:sz w:val="22"/>
          <w:szCs w:val="22"/>
        </w:rPr>
        <w:t>249.58 mg/dL (high dose)</w:t>
      </w:r>
      <w:r>
        <w:rPr>
          <w:rFonts w:ascii="Arial" w:hAnsi="Arial" w:cs="Arial"/>
          <w:sz w:val="22"/>
          <w:szCs w:val="22"/>
        </w:rPr>
        <w:t xml:space="preserve"> after probiotic administration. </w:t>
      </w:r>
      <w:r>
        <w:rPr>
          <w:rStyle w:val="Strong"/>
          <w:rFonts w:ascii="Arial" w:hAnsi="Arial" w:cs="Arial"/>
          <w:b w:val="0"/>
          <w:bCs w:val="0"/>
          <w:sz w:val="22"/>
          <w:szCs w:val="22"/>
        </w:rPr>
        <w:t>LDL-C</w:t>
      </w:r>
      <w:r>
        <w:rPr>
          <w:rFonts w:ascii="Arial" w:hAnsi="Arial" w:cs="Arial"/>
          <w:sz w:val="22"/>
          <w:szCs w:val="22"/>
        </w:rPr>
        <w:t xml:space="preserve"> levels increased significantly in the HCD group (</w:t>
      </w:r>
      <w:r>
        <w:rPr>
          <w:rStyle w:val="Strong"/>
          <w:rFonts w:ascii="Arial" w:hAnsi="Arial" w:cs="Arial"/>
          <w:b w:val="0"/>
          <w:bCs w:val="0"/>
          <w:sz w:val="22"/>
          <w:szCs w:val="22"/>
        </w:rPr>
        <w:t>108.49 mg/dL</w:t>
      </w:r>
      <w:r>
        <w:rPr>
          <w:rFonts w:ascii="Arial" w:hAnsi="Arial" w:cs="Arial"/>
          <w:sz w:val="22"/>
          <w:szCs w:val="22"/>
        </w:rPr>
        <w:t xml:space="preserve">) but were reduced to </w:t>
      </w:r>
      <w:r>
        <w:rPr>
          <w:rStyle w:val="Strong"/>
          <w:rFonts w:ascii="Arial" w:hAnsi="Arial" w:cs="Arial"/>
          <w:b w:val="0"/>
          <w:bCs w:val="0"/>
          <w:sz w:val="22"/>
          <w:szCs w:val="22"/>
        </w:rPr>
        <w:t>99.92 mg/dL (low dose)</w:t>
      </w:r>
      <w:r>
        <w:rPr>
          <w:rFonts w:ascii="Arial" w:hAnsi="Arial" w:cs="Arial"/>
          <w:sz w:val="22"/>
          <w:szCs w:val="22"/>
        </w:rPr>
        <w:t xml:space="preserve"> and </w:t>
      </w:r>
      <w:r>
        <w:rPr>
          <w:rStyle w:val="Strong"/>
          <w:rFonts w:ascii="Arial" w:hAnsi="Arial" w:cs="Arial"/>
          <w:b w:val="0"/>
          <w:bCs w:val="0"/>
          <w:sz w:val="22"/>
          <w:szCs w:val="22"/>
        </w:rPr>
        <w:t>60.78 mg/dL (high dose)</w:t>
      </w:r>
      <w:r>
        <w:rPr>
          <w:rFonts w:ascii="Arial" w:hAnsi="Arial" w:cs="Arial"/>
          <w:sz w:val="22"/>
          <w:szCs w:val="22"/>
        </w:rPr>
        <w:t xml:space="preserve">, while </w:t>
      </w:r>
      <w:r>
        <w:rPr>
          <w:rStyle w:val="Strong"/>
          <w:rFonts w:ascii="Arial" w:hAnsi="Arial" w:cs="Arial"/>
          <w:b w:val="0"/>
          <w:bCs w:val="0"/>
          <w:sz w:val="22"/>
          <w:szCs w:val="22"/>
        </w:rPr>
        <w:t>HDL-C</w:t>
      </w:r>
      <w:r>
        <w:rPr>
          <w:rFonts w:ascii="Arial" w:hAnsi="Arial" w:cs="Arial"/>
          <w:sz w:val="22"/>
          <w:szCs w:val="22"/>
        </w:rPr>
        <w:t xml:space="preserve"> dropped in the HCD group (</w:t>
      </w:r>
      <w:r>
        <w:rPr>
          <w:rStyle w:val="Strong"/>
          <w:rFonts w:ascii="Arial" w:hAnsi="Arial" w:cs="Arial"/>
          <w:b w:val="0"/>
          <w:bCs w:val="0"/>
          <w:sz w:val="22"/>
          <w:szCs w:val="22"/>
        </w:rPr>
        <w:t>52.89 mg/dL</w:t>
      </w:r>
      <w:r>
        <w:rPr>
          <w:rFonts w:ascii="Arial" w:hAnsi="Arial" w:cs="Arial"/>
          <w:sz w:val="22"/>
          <w:szCs w:val="22"/>
        </w:rPr>
        <w:t xml:space="preserve">) and improved significantly with probiotic treatment to </w:t>
      </w:r>
      <w:r>
        <w:rPr>
          <w:rStyle w:val="Strong"/>
          <w:rFonts w:ascii="Arial" w:hAnsi="Arial" w:cs="Arial"/>
          <w:b w:val="0"/>
          <w:bCs w:val="0"/>
          <w:sz w:val="22"/>
          <w:szCs w:val="22"/>
        </w:rPr>
        <w:t>50.44 mg/dL (low dose)</w:t>
      </w:r>
      <w:r>
        <w:rPr>
          <w:rFonts w:ascii="Arial" w:hAnsi="Arial" w:cs="Arial"/>
          <w:sz w:val="22"/>
          <w:szCs w:val="22"/>
        </w:rPr>
        <w:t xml:space="preserve"> and </w:t>
      </w:r>
      <w:r>
        <w:rPr>
          <w:rStyle w:val="Strong"/>
          <w:rFonts w:ascii="Arial" w:hAnsi="Arial" w:cs="Arial"/>
          <w:b w:val="0"/>
          <w:bCs w:val="0"/>
          <w:sz w:val="22"/>
          <w:szCs w:val="22"/>
        </w:rPr>
        <w:t>76.22 mg/dL (high dose)</w:t>
      </w:r>
      <w:r>
        <w:rPr>
          <w:rFonts w:ascii="Arial" w:hAnsi="Arial" w:cs="Arial"/>
          <w:sz w:val="22"/>
          <w:szCs w:val="22"/>
        </w:rPr>
        <w:t xml:space="preserve">. Gut microbiota analysis showed that HCD feeding reduced beneficial </w:t>
      </w:r>
      <w:r>
        <w:rPr>
          <w:rStyle w:val="Strong"/>
          <w:rFonts w:ascii="Arial" w:hAnsi="Arial" w:cs="Arial"/>
          <w:b w:val="0"/>
          <w:bCs w:val="0"/>
          <w:sz w:val="22"/>
          <w:szCs w:val="22"/>
        </w:rPr>
        <w:t>lactic acid bacteria (LAB)</w:t>
      </w:r>
      <w:r>
        <w:rPr>
          <w:rFonts w:ascii="Arial" w:hAnsi="Arial" w:cs="Arial"/>
          <w:sz w:val="22"/>
          <w:szCs w:val="22"/>
        </w:rPr>
        <w:t xml:space="preserve"> and increased </w:t>
      </w:r>
      <w:r>
        <w:rPr>
          <w:rStyle w:val="Strong"/>
          <w:rFonts w:ascii="Arial" w:hAnsi="Arial" w:cs="Arial"/>
          <w:b w:val="0"/>
          <w:bCs w:val="0"/>
          <w:sz w:val="22"/>
          <w:szCs w:val="22"/>
        </w:rPr>
        <w:t>coliform counts.</w:t>
      </w:r>
      <w:r>
        <w:rPr>
          <w:rFonts w:ascii="Arial" w:hAnsi="Arial" w:cs="Arial"/>
          <w:sz w:val="22"/>
          <w:szCs w:val="22"/>
        </w:rPr>
        <w:t xml:space="preserve"> Gastric analysis revealed that probiotics significantly increased </w:t>
      </w:r>
      <w:r>
        <w:rPr>
          <w:rStyle w:val="Strong"/>
          <w:rFonts w:ascii="Arial" w:hAnsi="Arial" w:cs="Arial"/>
          <w:b w:val="0"/>
          <w:bCs w:val="0"/>
          <w:sz w:val="22"/>
          <w:szCs w:val="22"/>
        </w:rPr>
        <w:t>gastric pH (p &lt; 0.05)</w:t>
      </w:r>
      <w:r>
        <w:rPr>
          <w:rFonts w:ascii="Arial" w:hAnsi="Arial" w:cs="Arial"/>
          <w:sz w:val="22"/>
          <w:szCs w:val="22"/>
        </w:rPr>
        <w:t xml:space="preserve"> from </w:t>
      </w:r>
      <w:r>
        <w:rPr>
          <w:rStyle w:val="Strong"/>
          <w:rFonts w:ascii="Arial" w:hAnsi="Arial" w:cs="Arial"/>
          <w:b w:val="0"/>
          <w:bCs w:val="0"/>
          <w:sz w:val="22"/>
          <w:szCs w:val="22"/>
        </w:rPr>
        <w:t>1.42 ± 0.10 (HCD)</w:t>
      </w:r>
      <w:r>
        <w:rPr>
          <w:rFonts w:ascii="Arial" w:hAnsi="Arial" w:cs="Arial"/>
          <w:sz w:val="22"/>
          <w:szCs w:val="22"/>
        </w:rPr>
        <w:t xml:space="preserve"> to </w:t>
      </w:r>
      <w:r>
        <w:rPr>
          <w:rStyle w:val="Strong"/>
          <w:rFonts w:ascii="Arial" w:hAnsi="Arial" w:cs="Arial"/>
          <w:b w:val="0"/>
          <w:bCs w:val="0"/>
          <w:sz w:val="22"/>
          <w:szCs w:val="22"/>
        </w:rPr>
        <w:t>1.93 ± 0.08 (low dose)</w:t>
      </w:r>
      <w:r>
        <w:rPr>
          <w:rFonts w:ascii="Arial" w:hAnsi="Arial" w:cs="Arial"/>
          <w:sz w:val="22"/>
          <w:szCs w:val="22"/>
        </w:rPr>
        <w:t xml:space="preserve"> and </w:t>
      </w:r>
      <w:r>
        <w:rPr>
          <w:rStyle w:val="Strong"/>
          <w:rFonts w:ascii="Arial" w:hAnsi="Arial" w:cs="Arial"/>
          <w:b w:val="0"/>
          <w:bCs w:val="0"/>
          <w:sz w:val="22"/>
          <w:szCs w:val="22"/>
        </w:rPr>
        <w:t>2.00 ± 0.12 (high dose)</w:t>
      </w:r>
      <w:r>
        <w:rPr>
          <w:rFonts w:ascii="Arial" w:hAnsi="Arial" w:cs="Arial"/>
          <w:sz w:val="22"/>
          <w:szCs w:val="22"/>
        </w:rPr>
        <w:t xml:space="preserve">, suggesting a buffering and gastroprotective effect, while total acidity and gastric volume were not significantly affected (p &gt; 0.05). </w:t>
      </w:r>
    </w:p>
    <w:p w14:paraId="15AF18C5" w14:textId="77777777" w:rsidR="00954ED3" w:rsidRDefault="00147C17">
      <w:pPr>
        <w:pStyle w:val="NormalWeb"/>
        <w:jc w:val="both"/>
        <w:rPr>
          <w:rFonts w:ascii="Arial" w:hAnsi="Arial" w:cs="Arial"/>
          <w:sz w:val="22"/>
          <w:szCs w:val="22"/>
        </w:rPr>
      </w:pPr>
      <w:r>
        <w:rPr>
          <w:rFonts w:ascii="Arial" w:hAnsi="Arial" w:cs="Arial"/>
          <w:b/>
          <w:bCs/>
          <w:sz w:val="22"/>
          <w:szCs w:val="22"/>
        </w:rPr>
        <w:t>Conclusion</w:t>
      </w:r>
      <w:r>
        <w:rPr>
          <w:rFonts w:ascii="Arial" w:hAnsi="Arial" w:cs="Arial"/>
          <w:sz w:val="22"/>
          <w:szCs w:val="22"/>
        </w:rPr>
        <w:t xml:space="preserve">: the probiotic combination effectively </w:t>
      </w:r>
      <w:r>
        <w:rPr>
          <w:rStyle w:val="Strong"/>
          <w:rFonts w:ascii="Arial" w:hAnsi="Arial" w:cs="Arial"/>
          <w:b w:val="0"/>
          <w:bCs w:val="0"/>
          <w:sz w:val="22"/>
          <w:szCs w:val="22"/>
        </w:rPr>
        <w:t>ameliorated high-fat diet–induced hyperlipidemia</w:t>
      </w:r>
      <w:r>
        <w:rPr>
          <w:rFonts w:ascii="Arial" w:hAnsi="Arial" w:cs="Arial"/>
          <w:sz w:val="22"/>
          <w:szCs w:val="22"/>
        </w:rPr>
        <w:t xml:space="preserve">, </w:t>
      </w:r>
      <w:r>
        <w:rPr>
          <w:rStyle w:val="Strong"/>
          <w:rFonts w:ascii="Arial" w:hAnsi="Arial" w:cs="Arial"/>
          <w:b w:val="0"/>
          <w:bCs w:val="0"/>
          <w:sz w:val="22"/>
          <w:szCs w:val="22"/>
        </w:rPr>
        <w:t>reduced LDL-C</w:t>
      </w:r>
      <w:r>
        <w:rPr>
          <w:rFonts w:ascii="Arial" w:hAnsi="Arial" w:cs="Arial"/>
          <w:sz w:val="22"/>
          <w:szCs w:val="22"/>
        </w:rPr>
        <w:t xml:space="preserve">, </w:t>
      </w:r>
      <w:r>
        <w:rPr>
          <w:rStyle w:val="Strong"/>
          <w:rFonts w:ascii="Arial" w:hAnsi="Arial" w:cs="Arial"/>
          <w:b w:val="0"/>
          <w:bCs w:val="0"/>
          <w:sz w:val="22"/>
          <w:szCs w:val="22"/>
        </w:rPr>
        <w:t>elevated HDL-C</w:t>
      </w:r>
      <w:r>
        <w:rPr>
          <w:rFonts w:ascii="Arial" w:hAnsi="Arial" w:cs="Arial"/>
          <w:sz w:val="22"/>
          <w:szCs w:val="22"/>
        </w:rPr>
        <w:t xml:space="preserve">, </w:t>
      </w:r>
      <w:r>
        <w:rPr>
          <w:rStyle w:val="Strong"/>
          <w:rFonts w:ascii="Arial" w:hAnsi="Arial" w:cs="Arial"/>
          <w:b w:val="0"/>
          <w:bCs w:val="0"/>
          <w:sz w:val="22"/>
          <w:szCs w:val="22"/>
        </w:rPr>
        <w:t>improved glycemic control</w:t>
      </w:r>
      <w:r>
        <w:rPr>
          <w:rFonts w:ascii="Arial" w:hAnsi="Arial" w:cs="Arial"/>
          <w:sz w:val="22"/>
          <w:szCs w:val="22"/>
        </w:rPr>
        <w:t xml:space="preserve">, </w:t>
      </w:r>
      <w:r>
        <w:rPr>
          <w:rStyle w:val="Strong"/>
          <w:rFonts w:ascii="Arial" w:hAnsi="Arial" w:cs="Arial"/>
          <w:b w:val="0"/>
          <w:bCs w:val="0"/>
          <w:sz w:val="22"/>
          <w:szCs w:val="22"/>
        </w:rPr>
        <w:t>restored gut microbial balance</w:t>
      </w:r>
      <w:r>
        <w:rPr>
          <w:rFonts w:ascii="Arial" w:hAnsi="Arial" w:cs="Arial"/>
          <w:sz w:val="22"/>
          <w:szCs w:val="22"/>
        </w:rPr>
        <w:t xml:space="preserve">, and </w:t>
      </w:r>
      <w:r>
        <w:rPr>
          <w:rStyle w:val="Strong"/>
          <w:rFonts w:ascii="Arial" w:hAnsi="Arial" w:cs="Arial"/>
          <w:b w:val="0"/>
          <w:bCs w:val="0"/>
          <w:sz w:val="22"/>
          <w:szCs w:val="22"/>
        </w:rPr>
        <w:t>protected gastric function</w:t>
      </w:r>
      <w:r>
        <w:rPr>
          <w:rFonts w:ascii="Arial" w:hAnsi="Arial" w:cs="Arial"/>
          <w:sz w:val="22"/>
          <w:szCs w:val="22"/>
        </w:rPr>
        <w:t>. These findings support the potential of yeast–</w:t>
      </w:r>
      <w:r>
        <w:rPr>
          <w:rFonts w:ascii="Arial" w:hAnsi="Arial" w:cs="Arial"/>
          <w:sz w:val="22"/>
          <w:szCs w:val="22"/>
        </w:rPr>
        <w:lastRenderedPageBreak/>
        <w:t xml:space="preserve">bacterial probiotic formulations as a </w:t>
      </w:r>
      <w:r>
        <w:rPr>
          <w:rStyle w:val="Strong"/>
          <w:rFonts w:ascii="Arial" w:hAnsi="Arial" w:cs="Arial"/>
          <w:b w:val="0"/>
          <w:bCs w:val="0"/>
          <w:sz w:val="22"/>
          <w:szCs w:val="22"/>
        </w:rPr>
        <w:t>functional dietary supplement</w:t>
      </w:r>
      <w:r>
        <w:rPr>
          <w:rFonts w:ascii="Arial" w:hAnsi="Arial" w:cs="Arial"/>
          <w:sz w:val="22"/>
          <w:szCs w:val="22"/>
        </w:rPr>
        <w:t xml:space="preserve"> for the management of hyperlipidemia and metabolic disorders.</w:t>
      </w:r>
    </w:p>
    <w:p w14:paraId="7955F323" w14:textId="77777777" w:rsidR="00954ED3" w:rsidRDefault="00147C17">
      <w:pPr>
        <w:pStyle w:val="NormalWeb"/>
        <w:jc w:val="both"/>
        <w:rPr>
          <w:rFonts w:ascii="Arial" w:hAnsi="Arial" w:cs="Arial"/>
          <w:sz w:val="22"/>
          <w:szCs w:val="22"/>
        </w:rPr>
      </w:pPr>
      <w:r>
        <w:rPr>
          <w:rStyle w:val="Strong"/>
          <w:rFonts w:ascii="Arial" w:hAnsi="Arial" w:cs="Arial"/>
          <w:sz w:val="22"/>
          <w:szCs w:val="22"/>
        </w:rPr>
        <w:t>Keywords:</w:t>
      </w:r>
      <w:r>
        <w:rPr>
          <w:rFonts w:ascii="Arial" w:hAnsi="Arial" w:cs="Arial"/>
          <w:sz w:val="22"/>
          <w:szCs w:val="22"/>
        </w:rPr>
        <w:br/>
        <w:t xml:space="preserve">Probiotic consortium, yeast-bacterial mix, Triton X-100, hyperlipidemia, lipid metabolism, gut microbiota, </w:t>
      </w:r>
    </w:p>
    <w:p w14:paraId="715D810B" w14:textId="77777777" w:rsidR="00954ED3" w:rsidRDefault="00147C17">
      <w:pPr>
        <w:spacing w:line="360" w:lineRule="auto"/>
        <w:jc w:val="both"/>
        <w:rPr>
          <w:rFonts w:ascii="Arial" w:hAnsi="Arial" w:cs="Arial"/>
          <w:b/>
          <w:bCs/>
        </w:rPr>
      </w:pPr>
      <w:r>
        <w:rPr>
          <w:rFonts w:ascii="Arial" w:hAnsi="Arial" w:cs="Arial"/>
          <w:b/>
          <w:bCs/>
        </w:rPr>
        <w:t>1.0 INTRODUCTION</w:t>
      </w:r>
    </w:p>
    <w:p w14:paraId="2B2C829A" w14:textId="77777777" w:rsidR="00954ED3" w:rsidRPr="001B6EC6" w:rsidRDefault="00147C17" w:rsidP="001B6EC6">
      <w:pPr>
        <w:pStyle w:val="NormalWeb"/>
        <w:spacing w:line="276" w:lineRule="auto"/>
        <w:jc w:val="both"/>
        <w:rPr>
          <w:rFonts w:ascii="Arial" w:hAnsi="Arial" w:cs="Arial"/>
          <w:sz w:val="22"/>
          <w:szCs w:val="22"/>
        </w:rPr>
      </w:pPr>
      <w:r w:rsidRPr="001B6EC6">
        <w:rPr>
          <w:rFonts w:ascii="Arial" w:hAnsi="Arial" w:cs="Arial"/>
          <w:sz w:val="22"/>
          <w:szCs w:val="22"/>
        </w:rPr>
        <w:t>Lipidemic disorders are marked by increased concentrations of low-density lipoprotein (LDL) cholesterol and decreased concentrations of high-density lipoprotein (HDL) cholesterol (Kumar et al., 2019). Lipoproteins play vital roles in lipid metabolism by transporting cholesterol and triglycerides throughout the body. The equilibrium between HDL and LDL is critical for cardiovascular well-being. HDL, often referred to as “good cholesterol,” aids in removing cholesterol from tissues and transporting it to the liver for elimination. Conversely, LDL, or “bad cholesterol,” delivers cholesterol to peripheral tissues, where its accumulation can lead to the formation of atherosclerotic plaques.</w:t>
      </w:r>
    </w:p>
    <w:p w14:paraId="659B0E4F" w14:textId="2BD12549" w:rsidR="00954ED3" w:rsidRPr="001B6EC6" w:rsidRDefault="00147C17" w:rsidP="001B6EC6">
      <w:pPr>
        <w:pStyle w:val="NormalWeb"/>
        <w:spacing w:line="276" w:lineRule="auto"/>
        <w:jc w:val="both"/>
        <w:rPr>
          <w:rFonts w:ascii="Arial" w:hAnsi="Arial" w:cs="Arial"/>
          <w:sz w:val="22"/>
          <w:szCs w:val="22"/>
        </w:rPr>
      </w:pPr>
      <w:r w:rsidRPr="001B6EC6">
        <w:rPr>
          <w:rFonts w:ascii="Arial" w:hAnsi="Arial" w:cs="Arial"/>
          <w:sz w:val="22"/>
          <w:szCs w:val="22"/>
        </w:rPr>
        <w:t>Probiotics have been reported to influence lipid metabolism and support cardiovascular health (</w:t>
      </w:r>
      <w:proofErr w:type="spellStart"/>
      <w:r w:rsidRPr="001B6EC6">
        <w:rPr>
          <w:rFonts w:ascii="Arial" w:hAnsi="Arial" w:cs="Arial"/>
          <w:sz w:val="22"/>
          <w:szCs w:val="22"/>
        </w:rPr>
        <w:t>Ooi</w:t>
      </w:r>
      <w:proofErr w:type="spellEnd"/>
      <w:r w:rsidRPr="001B6EC6">
        <w:rPr>
          <w:rFonts w:ascii="Arial" w:hAnsi="Arial" w:cs="Arial"/>
          <w:sz w:val="22"/>
          <w:szCs w:val="22"/>
        </w:rPr>
        <w:t xml:space="preserve"> et al., 2010). These are live microorganisms that, when taken in sufficient quantities, provide health benefits to the host. Found mainly in fermented foods and dietary supplements, probiotics have gained considerable attention for their potential to enhance health and prevent various diseases (Sánchez et al., 2017). </w:t>
      </w:r>
      <w:r w:rsidR="00522997" w:rsidRPr="001B6EC6">
        <w:rPr>
          <w:rFonts w:ascii="Arial" w:eastAsia="Cambria" w:hAnsi="Arial" w:cs="Arial"/>
          <w:color w:val="1B1B1B"/>
          <w:sz w:val="22"/>
          <w:szCs w:val="22"/>
          <w:shd w:val="clear" w:color="auto" w:fill="FFFFFF"/>
        </w:rPr>
        <w:t>M</w:t>
      </w:r>
      <w:r w:rsidRPr="001B6EC6">
        <w:rPr>
          <w:rFonts w:ascii="Arial" w:eastAsia="Cambria" w:hAnsi="Arial" w:cs="Arial"/>
          <w:color w:val="1B1B1B"/>
          <w:sz w:val="22"/>
          <w:szCs w:val="22"/>
          <w:shd w:val="clear" w:color="auto" w:fill="FFFFFF"/>
        </w:rPr>
        <w:t>any types of probiotics have been isolated from different environments, such as </w:t>
      </w:r>
      <w:r w:rsidRPr="001B6EC6">
        <w:rPr>
          <w:rStyle w:val="Emphasis"/>
          <w:rFonts w:ascii="Arial" w:eastAsia="Cambria" w:hAnsi="Arial" w:cs="Arial"/>
          <w:color w:val="1B1B1B"/>
          <w:sz w:val="22"/>
          <w:szCs w:val="22"/>
          <w:shd w:val="clear" w:color="auto" w:fill="FFFFFF"/>
        </w:rPr>
        <w:t>Bifidobacterium</w:t>
      </w:r>
      <w:r w:rsidRPr="001B6EC6">
        <w:rPr>
          <w:rFonts w:ascii="Arial" w:eastAsia="Cambria" w:hAnsi="Arial" w:cs="Arial"/>
          <w:color w:val="1B1B1B"/>
          <w:sz w:val="22"/>
          <w:szCs w:val="22"/>
          <w:shd w:val="clear" w:color="auto" w:fill="FFFFFF"/>
        </w:rPr>
        <w:t>, </w:t>
      </w:r>
      <w:r w:rsidRPr="001B6EC6">
        <w:rPr>
          <w:rStyle w:val="Emphasis"/>
          <w:rFonts w:ascii="Arial" w:eastAsia="Cambria" w:hAnsi="Arial" w:cs="Arial"/>
          <w:color w:val="1B1B1B"/>
          <w:sz w:val="22"/>
          <w:szCs w:val="22"/>
          <w:shd w:val="clear" w:color="auto" w:fill="FFFFFF"/>
        </w:rPr>
        <w:t>Lactobacillus</w:t>
      </w:r>
      <w:r w:rsidRPr="001B6EC6">
        <w:rPr>
          <w:rFonts w:ascii="Arial" w:eastAsia="Cambria" w:hAnsi="Arial" w:cs="Arial"/>
          <w:color w:val="1B1B1B"/>
          <w:sz w:val="22"/>
          <w:szCs w:val="22"/>
          <w:shd w:val="clear" w:color="auto" w:fill="FFFFFF"/>
        </w:rPr>
        <w:t>, and </w:t>
      </w:r>
      <w:r w:rsidRPr="001B6EC6">
        <w:rPr>
          <w:rStyle w:val="Emphasis"/>
          <w:rFonts w:ascii="Arial" w:eastAsia="Cambria" w:hAnsi="Arial" w:cs="Arial"/>
          <w:color w:val="1B1B1B"/>
          <w:sz w:val="22"/>
          <w:szCs w:val="22"/>
          <w:shd w:val="clear" w:color="auto" w:fill="FFFFFF"/>
        </w:rPr>
        <w:t>Bacteroides</w:t>
      </w:r>
      <w:r w:rsidRPr="001B6EC6">
        <w:rPr>
          <w:rFonts w:ascii="Arial" w:eastAsia="Cambria" w:hAnsi="Arial" w:cs="Arial"/>
          <w:color w:val="1B1B1B"/>
          <w:sz w:val="22"/>
          <w:szCs w:val="22"/>
          <w:shd w:val="clear" w:color="auto" w:fill="FFFFFF"/>
        </w:rPr>
        <w:t>, which can be involved in lipid metabolism directly and indirectly (</w:t>
      </w:r>
      <w:r w:rsidRPr="001B6EC6">
        <w:rPr>
          <w:rFonts w:ascii="Arial" w:eastAsia="Bahnschrift" w:hAnsi="Arial" w:cs="Arial"/>
          <w:color w:val="333333"/>
          <w:sz w:val="22"/>
          <w:szCs w:val="22"/>
          <w:shd w:val="clear" w:color="auto" w:fill="FFFFFF"/>
        </w:rPr>
        <w:t xml:space="preserve">Butt et al., 2021).  </w:t>
      </w:r>
      <w:r w:rsidR="00522997" w:rsidRPr="001B6EC6">
        <w:rPr>
          <w:rFonts w:ascii="Arial" w:eastAsia="Bahnschrift" w:hAnsi="Arial" w:cs="Arial"/>
          <w:color w:val="333333"/>
          <w:sz w:val="22"/>
          <w:szCs w:val="22"/>
          <w:shd w:val="clear" w:color="auto" w:fill="FFFFFF"/>
        </w:rPr>
        <w:t>A</w:t>
      </w:r>
      <w:r w:rsidRPr="001B6EC6">
        <w:rPr>
          <w:rFonts w:ascii="Arial" w:eastAsia="Bahnschrift" w:hAnsi="Arial" w:cs="Arial"/>
          <w:color w:val="333333"/>
          <w:sz w:val="22"/>
          <w:szCs w:val="22"/>
          <w:shd w:val="clear" w:color="auto" w:fill="FFFFFF"/>
        </w:rPr>
        <w:t xml:space="preserve"> </w:t>
      </w:r>
      <w:r w:rsidR="00537C77" w:rsidRPr="001B6EC6">
        <w:rPr>
          <w:rFonts w:ascii="Arial" w:eastAsia="Bahnschrift" w:hAnsi="Arial" w:cs="Arial"/>
          <w:color w:val="333333"/>
          <w:sz w:val="22"/>
          <w:szCs w:val="22"/>
          <w:shd w:val="clear" w:color="auto" w:fill="FFFFFF"/>
        </w:rPr>
        <w:t>study</w:t>
      </w:r>
      <w:r w:rsidRPr="001B6EC6">
        <w:rPr>
          <w:rFonts w:ascii="Arial" w:eastAsia="serif" w:hAnsi="Arial" w:cs="Arial"/>
          <w:color w:val="000000"/>
          <w:sz w:val="22"/>
          <w:szCs w:val="22"/>
          <w:shd w:val="clear" w:color="auto" w:fill="FFFDEA"/>
        </w:rPr>
        <w:t xml:space="preserve"> </w:t>
      </w:r>
      <w:r w:rsidRPr="001B6EC6">
        <w:rPr>
          <w:rStyle w:val="NormalWebChar"/>
          <w:rFonts w:ascii="Arial" w:hAnsi="Arial" w:cs="Arial"/>
          <w:sz w:val="22"/>
          <w:szCs w:val="22"/>
        </w:rPr>
        <w:t xml:space="preserve">suspected that live </w:t>
      </w:r>
      <w:r w:rsidRPr="001B6EC6">
        <w:rPr>
          <w:rStyle w:val="NormalWebChar"/>
          <w:rFonts w:ascii="Arial" w:hAnsi="Arial" w:cs="Arial"/>
          <w:i/>
          <w:iCs/>
          <w:sz w:val="22"/>
          <w:szCs w:val="22"/>
        </w:rPr>
        <w:t>Lactobacilli</w:t>
      </w:r>
      <w:r w:rsidRPr="001B6EC6">
        <w:rPr>
          <w:rStyle w:val="NormalWebChar"/>
          <w:rFonts w:ascii="Arial" w:hAnsi="Arial" w:cs="Arial"/>
          <w:sz w:val="22"/>
          <w:szCs w:val="22"/>
        </w:rPr>
        <w:t xml:space="preserve"> included in fermented milk may contribute to reducing cholesterol (FAO/WHO, 2011). The cholesterol-reducing effect of probiotic has become more apparent with the discovery of bile salt deconjugating and cholesterol assimilating ability of Lactobacillus (Ono et al., 2010).</w:t>
      </w:r>
    </w:p>
    <w:p w14:paraId="0880C7AA" w14:textId="77777777" w:rsidR="00954ED3" w:rsidRPr="001B6EC6" w:rsidRDefault="00147C17" w:rsidP="001B6EC6">
      <w:pPr>
        <w:pStyle w:val="NormalWeb"/>
        <w:spacing w:line="276" w:lineRule="auto"/>
        <w:jc w:val="both"/>
        <w:rPr>
          <w:rFonts w:ascii="Arial" w:hAnsi="Arial" w:cs="Arial"/>
          <w:sz w:val="22"/>
          <w:szCs w:val="22"/>
        </w:rPr>
      </w:pPr>
      <w:r w:rsidRPr="001B6EC6">
        <w:rPr>
          <w:rFonts w:ascii="Arial" w:hAnsi="Arial" w:cs="Arial"/>
          <w:sz w:val="22"/>
          <w:szCs w:val="22"/>
        </w:rPr>
        <w:t>The concept of probiotics originated in the early 20</w:t>
      </w:r>
      <w:r w:rsidRPr="001B6EC6">
        <w:rPr>
          <w:rFonts w:ascii="Arial" w:hAnsi="Arial" w:cs="Arial"/>
          <w:sz w:val="22"/>
          <w:szCs w:val="22"/>
          <w:vertAlign w:val="superscript"/>
        </w:rPr>
        <w:t>th</w:t>
      </w:r>
      <w:r w:rsidRPr="001B6EC6">
        <w:rPr>
          <w:rFonts w:ascii="Arial" w:hAnsi="Arial" w:cs="Arial"/>
          <w:sz w:val="22"/>
          <w:szCs w:val="22"/>
        </w:rPr>
        <w:t xml:space="preserve"> century with Russian scientist Elie Metchnikoff, who suggested that consuming beneficial bacteria could positively affect human health. He observed that rural populations in Eastern Europe who regularly consumed fermented milk products tended to live longer. Metchnikoff proposed that the lactic acid bacteria present in these foods inhibited harmful gut microbes, thereby promoting health. His groundbreaking discoveries formed the basis of modern probiotic science and stimulated research into the relationship between the gut microbiome and human health (</w:t>
      </w:r>
      <w:proofErr w:type="spellStart"/>
      <w:r w:rsidRPr="001B6EC6">
        <w:rPr>
          <w:rFonts w:ascii="Arial" w:hAnsi="Arial" w:cs="Arial"/>
          <w:sz w:val="22"/>
          <w:szCs w:val="22"/>
        </w:rPr>
        <w:t>Gasbarrini</w:t>
      </w:r>
      <w:proofErr w:type="spellEnd"/>
      <w:r w:rsidRPr="001B6EC6">
        <w:rPr>
          <w:rFonts w:ascii="Arial" w:hAnsi="Arial" w:cs="Arial"/>
          <w:sz w:val="22"/>
          <w:szCs w:val="22"/>
        </w:rPr>
        <w:t xml:space="preserve"> et al., 2016).</w:t>
      </w:r>
    </w:p>
    <w:p w14:paraId="4F788BDD" w14:textId="77777777" w:rsidR="00954ED3" w:rsidRPr="001B6EC6" w:rsidRDefault="00147C17" w:rsidP="001B6EC6">
      <w:pPr>
        <w:pStyle w:val="NormalWeb"/>
        <w:spacing w:line="276" w:lineRule="auto"/>
        <w:jc w:val="both"/>
        <w:rPr>
          <w:rFonts w:ascii="Arial" w:hAnsi="Arial" w:cs="Arial"/>
          <w:sz w:val="22"/>
          <w:szCs w:val="22"/>
        </w:rPr>
      </w:pPr>
      <w:r w:rsidRPr="001B6EC6">
        <w:rPr>
          <w:rFonts w:ascii="Arial" w:hAnsi="Arial" w:cs="Arial"/>
          <w:sz w:val="22"/>
          <w:szCs w:val="22"/>
        </w:rPr>
        <w:t xml:space="preserve">Probiotics are identified by their genus, species, and strain, with common genera including </w:t>
      </w:r>
      <w:r w:rsidRPr="001B6EC6">
        <w:rPr>
          <w:rStyle w:val="Emphasis"/>
          <w:rFonts w:ascii="Arial" w:hAnsi="Arial" w:cs="Arial"/>
          <w:sz w:val="22"/>
          <w:szCs w:val="22"/>
        </w:rPr>
        <w:t>Lactobacillus</w:t>
      </w:r>
      <w:r w:rsidRPr="001B6EC6">
        <w:rPr>
          <w:rFonts w:ascii="Arial" w:hAnsi="Arial" w:cs="Arial"/>
          <w:sz w:val="22"/>
          <w:szCs w:val="22"/>
        </w:rPr>
        <w:t xml:space="preserve">, </w:t>
      </w:r>
      <w:r w:rsidRPr="001B6EC6">
        <w:rPr>
          <w:rStyle w:val="Emphasis"/>
          <w:rFonts w:ascii="Arial" w:hAnsi="Arial" w:cs="Arial"/>
          <w:sz w:val="22"/>
          <w:szCs w:val="22"/>
        </w:rPr>
        <w:t>Bifidobacterium</w:t>
      </w:r>
      <w:r w:rsidRPr="001B6EC6">
        <w:rPr>
          <w:rFonts w:ascii="Arial" w:hAnsi="Arial" w:cs="Arial"/>
          <w:sz w:val="22"/>
          <w:szCs w:val="22"/>
        </w:rPr>
        <w:t xml:space="preserve">, and </w:t>
      </w:r>
      <w:r w:rsidRPr="001B6EC6">
        <w:rPr>
          <w:rStyle w:val="Emphasis"/>
          <w:rFonts w:ascii="Arial" w:hAnsi="Arial" w:cs="Arial"/>
          <w:sz w:val="22"/>
          <w:szCs w:val="22"/>
        </w:rPr>
        <w:t>Saccharomyces</w:t>
      </w:r>
      <w:r w:rsidRPr="001B6EC6">
        <w:rPr>
          <w:rFonts w:ascii="Arial" w:hAnsi="Arial" w:cs="Arial"/>
          <w:sz w:val="22"/>
          <w:szCs w:val="22"/>
        </w:rPr>
        <w:t xml:space="preserve">. Each strain possesses distinct characteristics and health-promoting effects, making proper strain selection essential for achieving targeted health outcomes. For instance, </w:t>
      </w:r>
      <w:r w:rsidRPr="001B6EC6">
        <w:rPr>
          <w:rStyle w:val="Emphasis"/>
          <w:rFonts w:ascii="Arial" w:hAnsi="Arial" w:cs="Arial"/>
          <w:sz w:val="22"/>
          <w:szCs w:val="22"/>
        </w:rPr>
        <w:t xml:space="preserve">Lactobacillus </w:t>
      </w:r>
      <w:proofErr w:type="spellStart"/>
      <w:r w:rsidRPr="001B6EC6">
        <w:rPr>
          <w:rStyle w:val="Emphasis"/>
          <w:rFonts w:ascii="Arial" w:hAnsi="Arial" w:cs="Arial"/>
          <w:sz w:val="22"/>
          <w:szCs w:val="22"/>
        </w:rPr>
        <w:t>rhamnosus</w:t>
      </w:r>
      <w:proofErr w:type="spellEnd"/>
      <w:r w:rsidRPr="001B6EC6">
        <w:rPr>
          <w:rFonts w:ascii="Arial" w:hAnsi="Arial" w:cs="Arial"/>
          <w:sz w:val="22"/>
          <w:szCs w:val="22"/>
        </w:rPr>
        <w:t xml:space="preserve"> GG is known for its resilience in the acidic stomach environment and its ability to colonize the intestines, where it exerts beneficial physiological effects (</w:t>
      </w:r>
      <w:proofErr w:type="spellStart"/>
      <w:r w:rsidRPr="001B6EC6">
        <w:rPr>
          <w:rFonts w:ascii="Arial" w:hAnsi="Arial" w:cs="Arial"/>
          <w:sz w:val="22"/>
          <w:szCs w:val="22"/>
        </w:rPr>
        <w:t>Shewale</w:t>
      </w:r>
      <w:proofErr w:type="spellEnd"/>
      <w:r w:rsidRPr="001B6EC6">
        <w:rPr>
          <w:rFonts w:ascii="Arial" w:hAnsi="Arial" w:cs="Arial"/>
          <w:sz w:val="22"/>
          <w:szCs w:val="22"/>
        </w:rPr>
        <w:t xml:space="preserve"> et al., 2014).</w:t>
      </w:r>
    </w:p>
    <w:p w14:paraId="5E9A8595" w14:textId="40E0B409" w:rsidR="00954ED3" w:rsidRPr="001B6EC6" w:rsidRDefault="00147C17" w:rsidP="001B6EC6">
      <w:pPr>
        <w:jc w:val="both"/>
        <w:rPr>
          <w:rFonts w:ascii="Arial" w:hAnsi="Arial" w:cs="Arial"/>
        </w:rPr>
      </w:pPr>
      <w:r w:rsidRPr="001B6EC6">
        <w:rPr>
          <w:rFonts w:ascii="Arial" w:hAnsi="Arial" w:cs="Arial"/>
        </w:rPr>
        <w:lastRenderedPageBreak/>
        <w:t>The health benefits of probiotics are extensive, with studies highlighting their positive influence on digestive health, immune modulation, and overall wellness. Metabolic health, which includes glucose regulation, lipid balance, and weight control, is closely linked to gut microbial composition (</w:t>
      </w:r>
      <w:proofErr w:type="spellStart"/>
      <w:r w:rsidRPr="001B6EC6">
        <w:rPr>
          <w:rFonts w:ascii="Arial" w:hAnsi="Arial" w:cs="Arial"/>
        </w:rPr>
        <w:t>Sonnenburg</w:t>
      </w:r>
      <w:proofErr w:type="spellEnd"/>
      <w:r w:rsidRPr="001B6EC6">
        <w:rPr>
          <w:rFonts w:ascii="Arial" w:hAnsi="Arial" w:cs="Arial"/>
        </w:rPr>
        <w:t xml:space="preserve"> </w:t>
      </w:r>
      <w:r w:rsidR="00522997" w:rsidRPr="001B6EC6">
        <w:rPr>
          <w:rFonts w:ascii="Arial" w:hAnsi="Arial" w:cs="Arial"/>
        </w:rPr>
        <w:t>and</w:t>
      </w:r>
      <w:r w:rsidRPr="001B6EC6">
        <w:rPr>
          <w:rFonts w:ascii="Arial" w:hAnsi="Arial" w:cs="Arial"/>
        </w:rPr>
        <w:t xml:space="preserve"> </w:t>
      </w:r>
      <w:proofErr w:type="spellStart"/>
      <w:r w:rsidRPr="001B6EC6">
        <w:rPr>
          <w:rFonts w:ascii="Arial" w:hAnsi="Arial" w:cs="Arial"/>
        </w:rPr>
        <w:t>Bäckhed</w:t>
      </w:r>
      <w:proofErr w:type="spellEnd"/>
      <w:r w:rsidRPr="001B6EC6">
        <w:rPr>
          <w:rFonts w:ascii="Arial" w:hAnsi="Arial" w:cs="Arial"/>
        </w:rPr>
        <w:t>, 2016). The health benefits of probiotics are vast and varied, with research suggesting their positive impact on digestive health, immune function, and overall well-being (</w:t>
      </w:r>
      <w:proofErr w:type="spellStart"/>
      <w:r w:rsidRPr="001B6EC6">
        <w:rPr>
          <w:rFonts w:ascii="Arial" w:eastAsia="Consolas" w:hAnsi="Arial" w:cs="Arial"/>
          <w:color w:val="1B1B1B"/>
          <w:shd w:val="clear" w:color="auto" w:fill="FFFFFF"/>
        </w:rPr>
        <w:t>Kechagia</w:t>
      </w:r>
      <w:proofErr w:type="spellEnd"/>
      <w:r w:rsidRPr="001B6EC6">
        <w:rPr>
          <w:rFonts w:ascii="Arial" w:eastAsia="Consolas" w:hAnsi="Arial" w:cs="Arial"/>
          <w:color w:val="1B1B1B"/>
          <w:shd w:val="clear" w:color="auto" w:fill="FFFFFF"/>
        </w:rPr>
        <w:t xml:space="preserve"> et al</w:t>
      </w:r>
      <w:r w:rsidRPr="001B6EC6">
        <w:rPr>
          <w:rFonts w:ascii="Arial" w:hAnsi="Arial" w:cs="Arial"/>
        </w:rPr>
        <w:t>.,2013).  Metabolic health encompasses various aspects of bodily function, including glucose metabolism, lipid profiles, and weight management. Dysbiosis, or an imbalance in the gut microbiota, has been linked to metabolic disorders such as obesity, type 2 diabetes, and metabolic syndrome. Probiotics can help restore this balance by enhancing the growth of beneficial bacteria and inhibiting the proliferation of harmful microorganisms (</w:t>
      </w:r>
      <w:r w:rsidRPr="001B6EC6">
        <w:rPr>
          <w:rFonts w:ascii="Arial" w:eastAsia="Consolas" w:hAnsi="Arial" w:cs="Arial"/>
          <w:color w:val="1B1B1B"/>
          <w:shd w:val="clear" w:color="auto" w:fill="FFFFFF"/>
        </w:rPr>
        <w:t>Latif</w:t>
      </w:r>
      <w:r w:rsidRPr="001B6EC6">
        <w:rPr>
          <w:rFonts w:ascii="Arial" w:hAnsi="Arial" w:cs="Arial"/>
        </w:rPr>
        <w:t xml:space="preserve"> et al., 2023).</w:t>
      </w:r>
    </w:p>
    <w:p w14:paraId="69039F56" w14:textId="08F5EFBE" w:rsidR="00954ED3" w:rsidRPr="001B6EC6" w:rsidRDefault="00147C17" w:rsidP="001B6EC6">
      <w:pPr>
        <w:pStyle w:val="NormalWeb"/>
        <w:spacing w:line="276" w:lineRule="auto"/>
        <w:jc w:val="both"/>
        <w:rPr>
          <w:rFonts w:ascii="Arial" w:hAnsi="Arial" w:cs="Arial"/>
          <w:sz w:val="22"/>
          <w:szCs w:val="22"/>
        </w:rPr>
      </w:pPr>
      <w:r w:rsidRPr="001B6EC6">
        <w:rPr>
          <w:rFonts w:ascii="Arial" w:hAnsi="Arial" w:cs="Arial"/>
          <w:sz w:val="22"/>
          <w:szCs w:val="22"/>
        </w:rPr>
        <w:t>An imbalance in gut microbiota, known as dysbiosis, has been associated with metabolic disorders such as obesity, type 2 diabetes, and metabolic syndrome (</w:t>
      </w:r>
      <w:proofErr w:type="spellStart"/>
      <w:r w:rsidRPr="001B6EC6">
        <w:rPr>
          <w:rFonts w:ascii="Arial" w:hAnsi="Arial" w:cs="Arial"/>
          <w:sz w:val="22"/>
          <w:szCs w:val="22"/>
        </w:rPr>
        <w:t>Cani</w:t>
      </w:r>
      <w:proofErr w:type="spellEnd"/>
      <w:r w:rsidRPr="001B6EC6">
        <w:rPr>
          <w:rFonts w:ascii="Arial" w:hAnsi="Arial" w:cs="Arial"/>
          <w:sz w:val="22"/>
          <w:szCs w:val="22"/>
        </w:rPr>
        <w:t xml:space="preserve"> </w:t>
      </w:r>
      <w:r w:rsidR="00173B33">
        <w:rPr>
          <w:rFonts w:ascii="Arial" w:hAnsi="Arial" w:cs="Arial"/>
          <w:sz w:val="22"/>
          <w:szCs w:val="22"/>
        </w:rPr>
        <w:t>and</w:t>
      </w:r>
      <w:r w:rsidRPr="001B6EC6">
        <w:rPr>
          <w:rFonts w:ascii="Arial" w:hAnsi="Arial" w:cs="Arial"/>
          <w:sz w:val="22"/>
          <w:szCs w:val="22"/>
        </w:rPr>
        <w:t xml:space="preserve"> </w:t>
      </w:r>
      <w:proofErr w:type="spellStart"/>
      <w:r w:rsidRPr="001B6EC6">
        <w:rPr>
          <w:rFonts w:ascii="Arial" w:hAnsi="Arial" w:cs="Arial"/>
          <w:sz w:val="22"/>
          <w:szCs w:val="22"/>
        </w:rPr>
        <w:t>Delzenne</w:t>
      </w:r>
      <w:proofErr w:type="spellEnd"/>
      <w:r w:rsidRPr="001B6EC6">
        <w:rPr>
          <w:rFonts w:ascii="Arial" w:hAnsi="Arial" w:cs="Arial"/>
          <w:sz w:val="22"/>
          <w:szCs w:val="22"/>
        </w:rPr>
        <w:t xml:space="preserve">, 2011; </w:t>
      </w:r>
      <w:proofErr w:type="spellStart"/>
      <w:r w:rsidRPr="001B6EC6">
        <w:rPr>
          <w:rFonts w:ascii="Arial" w:hAnsi="Arial" w:cs="Arial"/>
          <w:sz w:val="22"/>
          <w:szCs w:val="22"/>
        </w:rPr>
        <w:t>Ridaura</w:t>
      </w:r>
      <w:proofErr w:type="spellEnd"/>
      <w:r w:rsidRPr="001B6EC6">
        <w:rPr>
          <w:rFonts w:ascii="Arial" w:hAnsi="Arial" w:cs="Arial"/>
          <w:sz w:val="22"/>
          <w:szCs w:val="22"/>
        </w:rPr>
        <w:t xml:space="preserve"> et al., 2013). Probiotics help restore microbial equilibrium by promoting the growth of beneficial bacteria and suppressing harmful ones (Hill et al., 2014; </w:t>
      </w:r>
      <w:proofErr w:type="spellStart"/>
      <w:r w:rsidRPr="001B6EC6">
        <w:rPr>
          <w:rFonts w:ascii="Arial" w:hAnsi="Arial" w:cs="Arial"/>
          <w:sz w:val="22"/>
          <w:szCs w:val="22"/>
        </w:rPr>
        <w:t>Markowiak</w:t>
      </w:r>
      <w:proofErr w:type="spellEnd"/>
      <w:r w:rsidRPr="001B6EC6">
        <w:rPr>
          <w:rFonts w:ascii="Arial" w:hAnsi="Arial" w:cs="Arial"/>
          <w:sz w:val="22"/>
          <w:szCs w:val="22"/>
        </w:rPr>
        <w:t xml:space="preserve"> </w:t>
      </w:r>
      <w:r w:rsidR="00B83D9E" w:rsidRPr="001B6EC6">
        <w:rPr>
          <w:rFonts w:ascii="Arial" w:hAnsi="Arial" w:cs="Arial"/>
          <w:sz w:val="22"/>
          <w:szCs w:val="22"/>
        </w:rPr>
        <w:t>and</w:t>
      </w:r>
      <w:r w:rsidRPr="001B6EC6">
        <w:rPr>
          <w:rFonts w:ascii="Arial" w:hAnsi="Arial" w:cs="Arial"/>
          <w:sz w:val="22"/>
          <w:szCs w:val="22"/>
        </w:rPr>
        <w:t xml:space="preserve"> </w:t>
      </w:r>
      <w:proofErr w:type="spellStart"/>
      <w:r w:rsidRPr="001B6EC6">
        <w:rPr>
          <w:rFonts w:ascii="Arial" w:hAnsi="Arial" w:cs="Arial"/>
          <w:sz w:val="22"/>
          <w:szCs w:val="22"/>
        </w:rPr>
        <w:t>Śliżewska</w:t>
      </w:r>
      <w:proofErr w:type="spellEnd"/>
      <w:r w:rsidRPr="001B6EC6">
        <w:rPr>
          <w:rFonts w:ascii="Arial" w:hAnsi="Arial" w:cs="Arial"/>
          <w:sz w:val="22"/>
          <w:szCs w:val="22"/>
        </w:rPr>
        <w:t xml:space="preserve">, 2017).   </w:t>
      </w:r>
      <w:r w:rsidRPr="001B6EC6">
        <w:rPr>
          <w:rStyle w:val="Emphasis"/>
          <w:rFonts w:ascii="Arial" w:eastAsia="Cambria" w:hAnsi="Arial" w:cs="Arial"/>
          <w:sz w:val="22"/>
          <w:szCs w:val="22"/>
          <w:shd w:val="clear" w:color="auto" w:fill="FFFFFF"/>
        </w:rPr>
        <w:t xml:space="preserve">Lactobacillus </w:t>
      </w:r>
      <w:proofErr w:type="spellStart"/>
      <w:r w:rsidRPr="001B6EC6">
        <w:rPr>
          <w:rStyle w:val="Emphasis"/>
          <w:rFonts w:ascii="Arial" w:eastAsia="Cambria" w:hAnsi="Arial" w:cs="Arial"/>
          <w:sz w:val="22"/>
          <w:szCs w:val="22"/>
          <w:shd w:val="clear" w:color="auto" w:fill="FFFFFF"/>
        </w:rPr>
        <w:t>rhamnosus</w:t>
      </w:r>
      <w:proofErr w:type="spellEnd"/>
      <w:r w:rsidRPr="001B6EC6">
        <w:rPr>
          <w:rFonts w:ascii="Arial" w:eastAsia="Cambria" w:hAnsi="Arial" w:cs="Arial"/>
          <w:sz w:val="22"/>
          <w:szCs w:val="22"/>
          <w:shd w:val="clear" w:color="auto" w:fill="FFFFFF"/>
        </w:rPr>
        <w:t xml:space="preserve"> GG (LGG) is arguably one of the most studied probiotics. It possesses several effectors against pathogens, including lactic acid (van den </w:t>
      </w:r>
      <w:proofErr w:type="spellStart"/>
      <w:r w:rsidRPr="001B6EC6">
        <w:rPr>
          <w:rFonts w:ascii="Arial" w:eastAsia="Cambria" w:hAnsi="Arial" w:cs="Arial"/>
          <w:sz w:val="22"/>
          <w:szCs w:val="22"/>
          <w:shd w:val="clear" w:color="auto" w:fill="FFFFFF"/>
        </w:rPr>
        <w:t>Broek</w:t>
      </w:r>
      <w:proofErr w:type="spellEnd"/>
      <w:r w:rsidRPr="001B6EC6">
        <w:rPr>
          <w:rFonts w:ascii="Arial" w:eastAsia="Cambria" w:hAnsi="Arial" w:cs="Arial"/>
          <w:sz w:val="22"/>
          <w:szCs w:val="22"/>
          <w:shd w:val="clear" w:color="auto" w:fill="FFFFFF"/>
        </w:rPr>
        <w:t xml:space="preserve"> et al., </w:t>
      </w:r>
      <w:hyperlink r:id="rId7" w:anchor="ref203" w:history="1">
        <w:r w:rsidRPr="001B6EC6">
          <w:rPr>
            <w:rStyle w:val="Hyperlink"/>
            <w:rFonts w:ascii="Arial" w:eastAsia="Cambria" w:hAnsi="Arial" w:cs="Arial"/>
            <w:color w:val="auto"/>
            <w:sz w:val="22"/>
            <w:szCs w:val="22"/>
            <w:u w:val="none"/>
            <w:shd w:val="clear" w:color="auto" w:fill="FFFFFF"/>
          </w:rPr>
          <w:t>2018</w:t>
        </w:r>
      </w:hyperlink>
      <w:r w:rsidRPr="001B6EC6">
        <w:rPr>
          <w:rFonts w:ascii="Arial" w:eastAsia="Cambria" w:hAnsi="Arial" w:cs="Arial"/>
          <w:sz w:val="22"/>
          <w:szCs w:val="22"/>
          <w:shd w:val="clear" w:color="auto" w:fill="FFFFFF"/>
        </w:rPr>
        <w:t>) and lectin-like molecules (</w:t>
      </w:r>
      <w:proofErr w:type="spellStart"/>
      <w:r w:rsidRPr="001B6EC6">
        <w:rPr>
          <w:rFonts w:ascii="Arial" w:eastAsia="Cambria" w:hAnsi="Arial" w:cs="Arial"/>
          <w:sz w:val="22"/>
          <w:szCs w:val="22"/>
          <w:shd w:val="clear" w:color="auto" w:fill="FFFFFF"/>
        </w:rPr>
        <w:t>Petrova</w:t>
      </w:r>
      <w:proofErr w:type="spellEnd"/>
      <w:r w:rsidRPr="001B6EC6">
        <w:rPr>
          <w:rFonts w:ascii="Arial" w:eastAsia="Cambria" w:hAnsi="Arial" w:cs="Arial"/>
          <w:sz w:val="22"/>
          <w:szCs w:val="22"/>
          <w:shd w:val="clear" w:color="auto" w:fill="FFFFFF"/>
        </w:rPr>
        <w:t xml:space="preserve"> et al., </w:t>
      </w:r>
      <w:hyperlink r:id="rId8" w:anchor="ref144" w:history="1">
        <w:r w:rsidRPr="001B6EC6">
          <w:rPr>
            <w:rStyle w:val="Hyperlink"/>
            <w:rFonts w:ascii="Arial" w:eastAsia="Cambria" w:hAnsi="Arial" w:cs="Arial"/>
            <w:color w:val="auto"/>
            <w:sz w:val="22"/>
            <w:szCs w:val="22"/>
            <w:u w:val="none"/>
            <w:shd w:val="clear" w:color="auto" w:fill="FFFFFF"/>
          </w:rPr>
          <w:t>2016</w:t>
        </w:r>
      </w:hyperlink>
      <w:r w:rsidRPr="001B6EC6">
        <w:rPr>
          <w:rFonts w:ascii="Arial" w:eastAsia="Cambria" w:hAnsi="Arial" w:cs="Arial"/>
          <w:sz w:val="22"/>
          <w:szCs w:val="22"/>
          <w:shd w:val="clear" w:color="auto" w:fill="FFFFFF"/>
        </w:rPr>
        <w:t>) that act in the gut and other niches like the upper respiratory tract. </w:t>
      </w:r>
      <w:r w:rsidRPr="001B6EC6">
        <w:rPr>
          <w:rFonts w:ascii="Arial" w:hAnsi="Arial" w:cs="Arial"/>
          <w:sz w:val="22"/>
          <w:szCs w:val="22"/>
        </w:rPr>
        <w:t>This work was carried out to e</w:t>
      </w:r>
      <w:r w:rsidRPr="001B6EC6">
        <w:rPr>
          <w:rStyle w:val="Strong"/>
          <w:rFonts w:ascii="Arial" w:hAnsi="Arial" w:cs="Arial"/>
          <w:b w:val="0"/>
          <w:bCs w:val="0"/>
          <w:sz w:val="22"/>
          <w:szCs w:val="22"/>
        </w:rPr>
        <w:t>valuate the effect of a probiotic consortium comprising 70% yeast and 30% bacteria on lipid metabolism in Triton X-induced hyperlipidemic rats.</w:t>
      </w:r>
    </w:p>
    <w:p w14:paraId="4B0489E5" w14:textId="77777777" w:rsidR="00954ED3" w:rsidRDefault="00147C17">
      <w:pPr>
        <w:spacing w:line="360" w:lineRule="auto"/>
        <w:jc w:val="both"/>
        <w:rPr>
          <w:rFonts w:ascii="Arial" w:hAnsi="Arial" w:cs="Arial"/>
          <w:b/>
          <w:bCs/>
        </w:rPr>
      </w:pPr>
      <w:r>
        <w:rPr>
          <w:rFonts w:ascii="Arial" w:hAnsi="Arial" w:cs="Arial"/>
          <w:b/>
          <w:bCs/>
        </w:rPr>
        <w:t>2.0 Materials and Methods</w:t>
      </w:r>
    </w:p>
    <w:p w14:paraId="082B065D" w14:textId="77777777" w:rsidR="00954ED3" w:rsidRDefault="00147C17">
      <w:pPr>
        <w:spacing w:before="240"/>
        <w:jc w:val="both"/>
        <w:rPr>
          <w:rFonts w:ascii="Arial" w:hAnsi="Arial" w:cs="Arial"/>
          <w:b/>
          <w:bCs/>
        </w:rPr>
      </w:pPr>
      <w:r>
        <w:rPr>
          <w:rFonts w:ascii="Arial" w:hAnsi="Arial" w:cs="Arial"/>
          <w:b/>
          <w:bCs/>
        </w:rPr>
        <w:t>2.1 Microbial strain and preparations</w:t>
      </w:r>
    </w:p>
    <w:p w14:paraId="759FCE09" w14:textId="7DE9265A" w:rsidR="00954ED3" w:rsidRPr="001B6EC6" w:rsidRDefault="00147C17">
      <w:pPr>
        <w:spacing w:before="240"/>
        <w:jc w:val="both"/>
        <w:rPr>
          <w:rFonts w:ascii="Arial" w:hAnsi="Arial" w:cs="Arial"/>
        </w:rPr>
      </w:pPr>
      <w:r w:rsidRPr="001B6EC6">
        <w:rPr>
          <w:rFonts w:ascii="Arial" w:hAnsi="Arial" w:cs="Arial"/>
        </w:rPr>
        <w:t xml:space="preserve">The probiotic microorganisms used is </w:t>
      </w:r>
      <w:r w:rsidRPr="001B6EC6">
        <w:rPr>
          <w:rFonts w:ascii="Arial" w:hAnsi="Arial" w:cs="Arial"/>
          <w:i/>
          <w:iCs/>
        </w:rPr>
        <w:t xml:space="preserve">Lactobacillus </w:t>
      </w:r>
      <w:proofErr w:type="spellStart"/>
      <w:r w:rsidRPr="001B6EC6">
        <w:rPr>
          <w:rFonts w:ascii="Arial" w:hAnsi="Arial" w:cs="Arial"/>
          <w:i/>
          <w:iCs/>
        </w:rPr>
        <w:t>rhamnosus</w:t>
      </w:r>
      <w:proofErr w:type="spellEnd"/>
      <w:r w:rsidR="002223FA" w:rsidRPr="001B6EC6">
        <w:rPr>
          <w:rFonts w:ascii="Arial" w:hAnsi="Arial" w:cs="Arial"/>
          <w:i/>
          <w:iCs/>
        </w:rPr>
        <w:t xml:space="preserve"> </w:t>
      </w:r>
      <w:r w:rsidR="002223FA" w:rsidRPr="001B6EC6">
        <w:rPr>
          <w:rFonts w:ascii="Arial" w:hAnsi="Arial" w:cs="Arial"/>
        </w:rPr>
        <w:t>(Yoba for life foundation)</w:t>
      </w:r>
      <w:r w:rsidRPr="001B6EC6">
        <w:rPr>
          <w:rFonts w:ascii="Arial" w:hAnsi="Arial" w:cs="Arial"/>
        </w:rPr>
        <w:t xml:space="preserve">, and </w:t>
      </w:r>
      <w:r w:rsidRPr="001B6EC6">
        <w:rPr>
          <w:rFonts w:ascii="Arial" w:hAnsi="Arial" w:cs="Arial"/>
          <w:i/>
        </w:rPr>
        <w:t xml:space="preserve">Saccharomyces </w:t>
      </w:r>
      <w:proofErr w:type="spellStart"/>
      <w:r w:rsidRPr="001B6EC6">
        <w:rPr>
          <w:rFonts w:ascii="Arial" w:hAnsi="Arial" w:cs="Arial"/>
          <w:i/>
        </w:rPr>
        <w:t>boulardii</w:t>
      </w:r>
      <w:proofErr w:type="spellEnd"/>
      <w:r w:rsidRPr="001B6EC6">
        <w:rPr>
          <w:rFonts w:ascii="Arial" w:hAnsi="Arial" w:cs="Arial"/>
          <w:i/>
        </w:rPr>
        <w:t xml:space="preserve"> </w:t>
      </w:r>
      <w:r w:rsidRPr="001B6EC6">
        <w:rPr>
          <w:rFonts w:ascii="Arial" w:hAnsi="Arial" w:cs="Arial"/>
        </w:rPr>
        <w:t>(</w:t>
      </w:r>
      <w:proofErr w:type="spellStart"/>
      <w:r w:rsidRPr="001B6EC6">
        <w:rPr>
          <w:rFonts w:ascii="Arial" w:hAnsi="Arial" w:cs="Arial"/>
        </w:rPr>
        <w:t>Klaires</w:t>
      </w:r>
      <w:proofErr w:type="spellEnd"/>
      <w:r w:rsidRPr="001B6EC6">
        <w:rPr>
          <w:rFonts w:ascii="Arial" w:hAnsi="Arial" w:cs="Arial"/>
        </w:rPr>
        <w:t xml:space="preserve"> lab).  The microbial strain was suspended in peptone water to achieve 0.9×10</w:t>
      </w:r>
      <w:r w:rsidRPr="001B6EC6">
        <w:rPr>
          <w:rFonts w:ascii="Arial" w:hAnsi="Arial" w:cs="Arial"/>
          <w:vertAlign w:val="superscript"/>
        </w:rPr>
        <w:t>10</w:t>
      </w:r>
      <w:r w:rsidR="008B5709">
        <w:rPr>
          <w:rFonts w:ascii="Arial" w:hAnsi="Arial" w:cs="Arial"/>
          <w:vertAlign w:val="superscript"/>
        </w:rPr>
        <w:t xml:space="preserve"> </w:t>
      </w:r>
      <w:proofErr w:type="spellStart"/>
      <w:r w:rsidRPr="001B6EC6">
        <w:rPr>
          <w:rFonts w:ascii="Arial" w:hAnsi="Arial" w:cs="Arial"/>
        </w:rPr>
        <w:t>cfu</w:t>
      </w:r>
      <w:proofErr w:type="spellEnd"/>
      <w:r w:rsidRPr="001B6EC6">
        <w:rPr>
          <w:rFonts w:ascii="Arial" w:hAnsi="Arial" w:cs="Arial"/>
        </w:rPr>
        <w:t xml:space="preserve">/day. The dose (10mg/ml) of the probiotic microbial suspensions were calculated based on the weight of the rat and the </w:t>
      </w:r>
      <w:r w:rsidR="00B83D9E" w:rsidRPr="001B6EC6">
        <w:rPr>
          <w:rFonts w:ascii="Arial" w:hAnsi="Arial" w:cs="Arial"/>
        </w:rPr>
        <w:t>b</w:t>
      </w:r>
      <w:r w:rsidRPr="001B6EC6">
        <w:rPr>
          <w:rFonts w:ascii="Arial" w:hAnsi="Arial" w:cs="Arial"/>
        </w:rPr>
        <w:t xml:space="preserve">acteria and yeast combination (30:70) given orally at high dose of 40mg/kg body-weight for high dose and 30mg/kg body-weight for low dose. The rats were fed with </w:t>
      </w:r>
      <w:r w:rsidR="00B83D9E" w:rsidRPr="001B6EC6">
        <w:rPr>
          <w:rFonts w:ascii="Arial" w:hAnsi="Arial" w:cs="Arial"/>
        </w:rPr>
        <w:t>m</w:t>
      </w:r>
      <w:r w:rsidRPr="001B6EC6">
        <w:rPr>
          <w:rFonts w:ascii="Arial" w:hAnsi="Arial" w:cs="Arial"/>
        </w:rPr>
        <w:t>icrobial suspensions orally for 14 days daily. On the 14</w:t>
      </w:r>
      <w:r w:rsidRPr="001B6EC6">
        <w:rPr>
          <w:rFonts w:ascii="Arial" w:hAnsi="Arial" w:cs="Arial"/>
          <w:vertAlign w:val="superscript"/>
        </w:rPr>
        <w:t>th</w:t>
      </w:r>
      <w:r w:rsidRPr="001B6EC6">
        <w:rPr>
          <w:rFonts w:ascii="Arial" w:hAnsi="Arial" w:cs="Arial"/>
        </w:rPr>
        <w:t xml:space="preserve"> day the weight </w:t>
      </w:r>
      <w:r w:rsidR="008B5709">
        <w:rPr>
          <w:rFonts w:ascii="Arial" w:hAnsi="Arial" w:cs="Arial"/>
        </w:rPr>
        <w:t xml:space="preserve">gain </w:t>
      </w:r>
      <w:r w:rsidRPr="001B6EC6">
        <w:rPr>
          <w:rFonts w:ascii="Arial" w:hAnsi="Arial" w:cs="Arial"/>
        </w:rPr>
        <w:t xml:space="preserve">of </w:t>
      </w:r>
      <w:r w:rsidR="00B83D9E" w:rsidRPr="001B6EC6">
        <w:rPr>
          <w:rFonts w:ascii="Arial" w:hAnsi="Arial" w:cs="Arial"/>
        </w:rPr>
        <w:t xml:space="preserve">the </w:t>
      </w:r>
      <w:r w:rsidRPr="001B6EC6">
        <w:rPr>
          <w:rFonts w:ascii="Arial" w:hAnsi="Arial" w:cs="Arial"/>
        </w:rPr>
        <w:t>rat</w:t>
      </w:r>
      <w:r w:rsidR="00B83D9E" w:rsidRPr="001B6EC6">
        <w:rPr>
          <w:rFonts w:ascii="Arial" w:hAnsi="Arial" w:cs="Arial"/>
        </w:rPr>
        <w:t>s</w:t>
      </w:r>
      <w:r w:rsidRPr="001B6EC6">
        <w:rPr>
          <w:rFonts w:ascii="Arial" w:hAnsi="Arial" w:cs="Arial"/>
        </w:rPr>
        <w:t xml:space="preserve"> </w:t>
      </w:r>
      <w:proofErr w:type="gramStart"/>
      <w:r w:rsidR="00B83D9E" w:rsidRPr="001B6EC6">
        <w:rPr>
          <w:rFonts w:ascii="Arial" w:hAnsi="Arial" w:cs="Arial"/>
        </w:rPr>
        <w:t>w</w:t>
      </w:r>
      <w:r w:rsidR="008B5709">
        <w:rPr>
          <w:rFonts w:ascii="Arial" w:hAnsi="Arial" w:cs="Arial"/>
        </w:rPr>
        <w:t>ere</w:t>
      </w:r>
      <w:proofErr w:type="gramEnd"/>
      <w:r w:rsidRPr="001B6EC6">
        <w:rPr>
          <w:rFonts w:ascii="Arial" w:hAnsi="Arial" w:cs="Arial"/>
        </w:rPr>
        <w:t xml:space="preserve"> determined.</w:t>
      </w:r>
    </w:p>
    <w:p w14:paraId="0EB02E93" w14:textId="77777777" w:rsidR="00954ED3" w:rsidRDefault="00147C17">
      <w:pPr>
        <w:spacing w:before="240"/>
        <w:jc w:val="both"/>
        <w:rPr>
          <w:rFonts w:ascii="Arial" w:hAnsi="Arial" w:cs="Arial"/>
          <w:b/>
          <w:bCs/>
        </w:rPr>
      </w:pPr>
      <w:r>
        <w:rPr>
          <w:rFonts w:ascii="Arial" w:hAnsi="Arial" w:cs="Arial"/>
          <w:b/>
          <w:bCs/>
        </w:rPr>
        <w:t>2.2 Experimental animals and design</w:t>
      </w:r>
    </w:p>
    <w:p w14:paraId="17F78842" w14:textId="2AEAA9F7" w:rsidR="00954ED3" w:rsidRDefault="00147C17">
      <w:pPr>
        <w:spacing w:before="240"/>
        <w:jc w:val="both"/>
        <w:rPr>
          <w:rFonts w:ascii="Arial" w:hAnsi="Arial" w:cs="Arial"/>
        </w:rPr>
      </w:pPr>
      <w:r>
        <w:rPr>
          <w:rFonts w:ascii="Arial" w:hAnsi="Arial" w:cs="Arial"/>
        </w:rPr>
        <w:t xml:space="preserve">Male </w:t>
      </w:r>
      <w:r w:rsidR="00B83D9E">
        <w:rPr>
          <w:rFonts w:ascii="Arial" w:hAnsi="Arial" w:cs="Arial"/>
        </w:rPr>
        <w:t>W</w:t>
      </w:r>
      <w:r>
        <w:rPr>
          <w:rFonts w:ascii="Arial" w:hAnsi="Arial" w:cs="Arial"/>
        </w:rPr>
        <w:t xml:space="preserve">istar rats (50-110g) were obtained from </w:t>
      </w:r>
      <w:proofErr w:type="spellStart"/>
      <w:r>
        <w:rPr>
          <w:rFonts w:ascii="Arial" w:hAnsi="Arial" w:cs="Arial"/>
        </w:rPr>
        <w:t>Onyewuchi</w:t>
      </w:r>
      <w:proofErr w:type="spellEnd"/>
      <w:r>
        <w:rPr>
          <w:rFonts w:ascii="Arial" w:hAnsi="Arial" w:cs="Arial"/>
        </w:rPr>
        <w:t xml:space="preserve"> </w:t>
      </w:r>
      <w:r w:rsidR="002223FA">
        <w:rPr>
          <w:rFonts w:ascii="Arial" w:hAnsi="Arial" w:cs="Arial"/>
        </w:rPr>
        <w:t>f</w:t>
      </w:r>
      <w:r>
        <w:rPr>
          <w:rFonts w:ascii="Arial" w:hAnsi="Arial" w:cs="Arial"/>
        </w:rPr>
        <w:t>arm</w:t>
      </w:r>
      <w:r w:rsidR="002223FA" w:rsidRPr="007122AC">
        <w:rPr>
          <w:rFonts w:ascii="Arial" w:hAnsi="Arial" w:cs="Arial"/>
          <w:color w:val="000000" w:themeColor="text1"/>
        </w:rPr>
        <w:t xml:space="preserve">, a certified animal </w:t>
      </w:r>
      <w:r w:rsidR="002223FA">
        <w:rPr>
          <w:rFonts w:ascii="Arial" w:hAnsi="Arial" w:cs="Arial"/>
        </w:rPr>
        <w:t xml:space="preserve">farm located at </w:t>
      </w:r>
      <w:proofErr w:type="spellStart"/>
      <w:r w:rsidR="002223FA">
        <w:rPr>
          <w:rFonts w:ascii="Arial" w:hAnsi="Arial" w:cs="Arial"/>
        </w:rPr>
        <w:t>Ifite</w:t>
      </w:r>
      <w:proofErr w:type="spellEnd"/>
      <w:r w:rsidR="002223FA">
        <w:rPr>
          <w:rFonts w:ascii="Arial" w:hAnsi="Arial" w:cs="Arial"/>
        </w:rPr>
        <w:t xml:space="preserve"> </w:t>
      </w:r>
      <w:proofErr w:type="spellStart"/>
      <w:r w:rsidR="002223FA">
        <w:rPr>
          <w:rFonts w:ascii="Arial" w:hAnsi="Arial" w:cs="Arial"/>
        </w:rPr>
        <w:t>Awka</w:t>
      </w:r>
      <w:proofErr w:type="spellEnd"/>
      <w:r w:rsidR="002223FA">
        <w:rPr>
          <w:rFonts w:ascii="Arial" w:hAnsi="Arial" w:cs="Arial"/>
        </w:rPr>
        <w:t xml:space="preserve"> Anambra State</w:t>
      </w:r>
      <w:r>
        <w:rPr>
          <w:rFonts w:ascii="Arial" w:hAnsi="Arial" w:cs="Arial"/>
        </w:rPr>
        <w:t xml:space="preserve">. Rats were randomized into different groups (n= 6) as follows, the male </w:t>
      </w:r>
      <w:r w:rsidR="00B83D9E">
        <w:rPr>
          <w:rFonts w:ascii="Arial" w:hAnsi="Arial" w:cs="Arial"/>
        </w:rPr>
        <w:t>W</w:t>
      </w:r>
      <w:r>
        <w:rPr>
          <w:rFonts w:ascii="Arial" w:hAnsi="Arial" w:cs="Arial"/>
        </w:rPr>
        <w:t>istar rat were divided into four groups of six rats each. Group A serves as the Normal control, group B hyperlipidemia, group K low dose probiotics bacteria and yeast (30:70%) respectively and group L high dose probiotic bacteria and yeast (30:70). Animals were housed under standard environmental conditions of temperature 25</w:t>
      </w:r>
      <w:r>
        <w:rPr>
          <w:rFonts w:ascii="Arial" w:eastAsia="SimSun" w:hAnsi="Arial" w:cs="Arial"/>
        </w:rPr>
        <w:t>℃</w:t>
      </w:r>
      <w:r>
        <w:rPr>
          <w:rFonts w:ascii="Arial" w:hAnsi="Arial" w:cs="Arial"/>
        </w:rPr>
        <w:t xml:space="preserve">, relative humidity of 55% and </w:t>
      </w:r>
      <w:r w:rsidR="007122AC">
        <w:rPr>
          <w:rFonts w:ascii="Arial" w:hAnsi="Arial" w:cs="Arial"/>
        </w:rPr>
        <w:t>12</w:t>
      </w:r>
      <w:r>
        <w:rPr>
          <w:rFonts w:ascii="Arial" w:hAnsi="Arial" w:cs="Arial"/>
        </w:rPr>
        <w:t xml:space="preserve"> h of light</w:t>
      </w:r>
      <w:r w:rsidR="007122AC">
        <w:rPr>
          <w:rFonts w:ascii="Arial" w:hAnsi="Arial" w:cs="Arial"/>
        </w:rPr>
        <w:t>/dark</w:t>
      </w:r>
      <w:r>
        <w:rPr>
          <w:rFonts w:ascii="Arial" w:hAnsi="Arial" w:cs="Arial"/>
        </w:rPr>
        <w:t xml:space="preserve">. The animals had access to food and water. The animals were acclimatized for </w:t>
      </w:r>
      <w:r w:rsidR="007122AC">
        <w:rPr>
          <w:rFonts w:ascii="Arial" w:hAnsi="Arial" w:cs="Arial"/>
        </w:rPr>
        <w:t>7</w:t>
      </w:r>
      <w:r>
        <w:rPr>
          <w:rFonts w:ascii="Arial" w:hAnsi="Arial" w:cs="Arial"/>
        </w:rPr>
        <w:t xml:space="preserve"> days in the animal house and fed with normal animal feed. Hyperlipidemia was induced by administering a single injection of Triton -X 100 intraperitoneally at a dose dependent on the </w:t>
      </w:r>
      <w:r>
        <w:rPr>
          <w:rFonts w:ascii="Arial" w:hAnsi="Arial" w:cs="Arial"/>
        </w:rPr>
        <w:lastRenderedPageBreak/>
        <w:t xml:space="preserve">weight (100mg/kg body weight) of the rats. A normal control group of rats received an equivalent volume of saline. The rats were slaughtered after 14 days of treatment. The stomach content, blood, liver </w:t>
      </w:r>
      <w:proofErr w:type="gramStart"/>
      <w:r>
        <w:rPr>
          <w:rFonts w:ascii="Arial" w:hAnsi="Arial" w:cs="Arial"/>
        </w:rPr>
        <w:t>were</w:t>
      </w:r>
      <w:proofErr w:type="gramEnd"/>
      <w:r>
        <w:rPr>
          <w:rFonts w:ascii="Arial" w:hAnsi="Arial" w:cs="Arial"/>
        </w:rPr>
        <w:t xml:space="preserve"> harvested and used for further analysis.</w:t>
      </w:r>
    </w:p>
    <w:p w14:paraId="0E331110" w14:textId="20FF8966" w:rsidR="00954ED3" w:rsidRDefault="00147C17">
      <w:pPr>
        <w:spacing w:before="240"/>
        <w:jc w:val="both"/>
        <w:rPr>
          <w:rFonts w:ascii="Arial" w:hAnsi="Arial" w:cs="Arial"/>
          <w:b/>
          <w:bCs/>
        </w:rPr>
      </w:pPr>
      <w:r>
        <w:rPr>
          <w:rFonts w:ascii="Arial" w:hAnsi="Arial" w:cs="Arial"/>
          <w:b/>
          <w:bCs/>
        </w:rPr>
        <w:t>2.3 Determination of glucose level of the Rats</w:t>
      </w:r>
    </w:p>
    <w:p w14:paraId="5822586B" w14:textId="67A2E03A" w:rsidR="00954ED3" w:rsidRDefault="00147C17">
      <w:pPr>
        <w:spacing w:before="240"/>
        <w:jc w:val="both"/>
        <w:rPr>
          <w:rFonts w:ascii="Arial" w:hAnsi="Arial" w:cs="Arial"/>
        </w:rPr>
      </w:pPr>
      <w:r>
        <w:rPr>
          <w:rFonts w:ascii="Arial" w:hAnsi="Arial" w:cs="Arial"/>
        </w:rPr>
        <w:t>The fasting blood glucose level of the rats were determined at weeks 1 and 2, after 6</w:t>
      </w:r>
      <w:r w:rsidR="00B83D9E">
        <w:rPr>
          <w:rFonts w:ascii="Arial" w:hAnsi="Arial" w:cs="Arial"/>
        </w:rPr>
        <w:t xml:space="preserve"> </w:t>
      </w:r>
      <w:r>
        <w:rPr>
          <w:rFonts w:ascii="Arial" w:hAnsi="Arial" w:cs="Arial"/>
        </w:rPr>
        <w:t>h fasting using the needle prick method on the tip of the tail. A significant quantity of blood was dropped on the test strip and was inserted into the glucometer (Fine-Test Blood Glucose Monitor), the reading was taken and recorded. The results were expressed in mg/dL</w:t>
      </w:r>
    </w:p>
    <w:p w14:paraId="38A6F742" w14:textId="77777777" w:rsidR="00954ED3" w:rsidRDefault="00147C17">
      <w:pPr>
        <w:spacing w:before="240"/>
        <w:jc w:val="both"/>
        <w:rPr>
          <w:rFonts w:ascii="Arial" w:hAnsi="Arial" w:cs="Arial"/>
          <w:b/>
          <w:bCs/>
        </w:rPr>
      </w:pPr>
      <w:r>
        <w:rPr>
          <w:rFonts w:ascii="Arial" w:hAnsi="Arial" w:cs="Arial"/>
          <w:b/>
          <w:bCs/>
        </w:rPr>
        <w:t>2.4 Determination of weight gain of the rat</w:t>
      </w:r>
    </w:p>
    <w:p w14:paraId="78687883" w14:textId="2F51C2BD" w:rsidR="00954ED3" w:rsidRDefault="00147C17">
      <w:pPr>
        <w:spacing w:before="240"/>
        <w:jc w:val="both"/>
        <w:rPr>
          <w:rFonts w:ascii="Arial" w:hAnsi="Arial" w:cs="Arial"/>
        </w:rPr>
      </w:pPr>
      <w:r>
        <w:rPr>
          <w:rFonts w:ascii="Arial" w:hAnsi="Arial" w:cs="Arial"/>
        </w:rPr>
        <w:t xml:space="preserve">The weight of the rats </w:t>
      </w:r>
      <w:proofErr w:type="gramStart"/>
      <w:r>
        <w:rPr>
          <w:rFonts w:ascii="Arial" w:hAnsi="Arial" w:cs="Arial"/>
        </w:rPr>
        <w:t>were</w:t>
      </w:r>
      <w:proofErr w:type="gramEnd"/>
      <w:r>
        <w:rPr>
          <w:rFonts w:ascii="Arial" w:hAnsi="Arial" w:cs="Arial"/>
        </w:rPr>
        <w:t xml:space="preserve"> taken after purchased, it was also taken before treatment. The rats were weighed weekly after treatment till the end of the 14days of the study.</w:t>
      </w:r>
      <w:r w:rsidR="00B83D9E">
        <w:rPr>
          <w:rFonts w:ascii="Arial" w:hAnsi="Arial" w:cs="Arial"/>
        </w:rPr>
        <w:t xml:space="preserve"> T</w:t>
      </w:r>
      <w:r>
        <w:rPr>
          <w:rFonts w:ascii="Arial" w:hAnsi="Arial" w:cs="Arial"/>
        </w:rPr>
        <w:t>he changes in weight and body weight gain were recor</w:t>
      </w:r>
      <w:r w:rsidR="00B83D9E">
        <w:rPr>
          <w:rFonts w:ascii="Arial" w:hAnsi="Arial" w:cs="Arial"/>
        </w:rPr>
        <w:t>d</w:t>
      </w:r>
      <w:r>
        <w:rPr>
          <w:rFonts w:ascii="Arial" w:hAnsi="Arial" w:cs="Arial"/>
        </w:rPr>
        <w:t xml:space="preserve">ed. The dose administered was adjusted based on the bodyweight of the rats. The body weight gain was calculated as; </w:t>
      </w:r>
    </w:p>
    <w:p w14:paraId="5AE43C1D" w14:textId="77777777" w:rsidR="00954ED3" w:rsidRDefault="00147C17">
      <w:pPr>
        <w:spacing w:before="240"/>
        <w:jc w:val="both"/>
        <w:rPr>
          <w:rFonts w:ascii="Arial" w:hAnsi="Arial" w:cs="Arial"/>
        </w:rPr>
      </w:pPr>
      <w:r>
        <w:rPr>
          <w:rFonts w:ascii="Arial" w:hAnsi="Arial" w:cs="Arial"/>
        </w:rPr>
        <w:t>Body weight gain = Final body- initial body weight.</w:t>
      </w:r>
    </w:p>
    <w:p w14:paraId="00E30E90" w14:textId="77777777" w:rsidR="00954ED3" w:rsidRDefault="00147C17">
      <w:pPr>
        <w:spacing w:before="240"/>
        <w:jc w:val="both"/>
        <w:rPr>
          <w:rFonts w:ascii="Arial" w:hAnsi="Arial" w:cs="Arial"/>
        </w:rPr>
      </w:pPr>
      <w:r>
        <w:rPr>
          <w:rFonts w:ascii="Arial" w:hAnsi="Arial" w:cs="Arial"/>
        </w:rPr>
        <w:t>The results were expressed in g.</w:t>
      </w:r>
    </w:p>
    <w:p w14:paraId="21B25E9D" w14:textId="77777777" w:rsidR="00954ED3" w:rsidRDefault="00147C17">
      <w:pPr>
        <w:spacing w:line="360" w:lineRule="auto"/>
        <w:jc w:val="both"/>
        <w:rPr>
          <w:rFonts w:ascii="Arial" w:hAnsi="Arial" w:cs="Arial"/>
          <w:b/>
          <w:bCs/>
        </w:rPr>
      </w:pPr>
      <w:r>
        <w:rPr>
          <w:rFonts w:ascii="Arial" w:hAnsi="Arial" w:cs="Arial"/>
          <w:b/>
          <w:bCs/>
        </w:rPr>
        <w:t xml:space="preserve">2.5 Serum analysis </w:t>
      </w:r>
      <w:r>
        <w:rPr>
          <w:rFonts w:ascii="Arial" w:hAnsi="Arial" w:cs="Arial"/>
          <w:b/>
          <w:bCs/>
          <w:strike/>
        </w:rPr>
        <w:t>method</w:t>
      </w:r>
    </w:p>
    <w:p w14:paraId="52E47EA2" w14:textId="53877685" w:rsidR="00954ED3" w:rsidRDefault="00147C17" w:rsidP="00C65416">
      <w:pPr>
        <w:jc w:val="both"/>
        <w:rPr>
          <w:rFonts w:ascii="Arial" w:hAnsi="Arial" w:cs="Arial"/>
        </w:rPr>
      </w:pPr>
      <w:r>
        <w:rPr>
          <w:rFonts w:ascii="Arial" w:hAnsi="Arial" w:cs="Arial"/>
          <w:i/>
          <w:iCs/>
        </w:rPr>
        <w:t>Total cholesterol and triglyceride:</w:t>
      </w:r>
      <w:r>
        <w:rPr>
          <w:rFonts w:ascii="Arial" w:hAnsi="Arial" w:cs="Arial"/>
        </w:rPr>
        <w:t xml:space="preserve"> A sample aliquot was incubated momentarily with the kit reagent for 10 min at 37 °C. The absorbance of the samples was measured at 54</w:t>
      </w:r>
      <w:r w:rsidR="00B83D9E">
        <w:rPr>
          <w:rFonts w:ascii="Arial" w:hAnsi="Arial" w:cs="Arial"/>
        </w:rPr>
        <w:t>0</w:t>
      </w:r>
      <w:r>
        <w:rPr>
          <w:rFonts w:ascii="Arial" w:hAnsi="Arial" w:cs="Arial"/>
        </w:rPr>
        <w:t xml:space="preserve"> nm in a spectrophotometer and the results reported as mg/dl (Albuquerque et al., 2019).</w:t>
      </w:r>
    </w:p>
    <w:p w14:paraId="22DAEAC7" w14:textId="0EDAB9A4" w:rsidR="00954ED3" w:rsidRDefault="00147C17" w:rsidP="00C65416">
      <w:pPr>
        <w:jc w:val="both"/>
        <w:rPr>
          <w:rFonts w:ascii="Arial" w:hAnsi="Arial" w:cs="Arial"/>
        </w:rPr>
      </w:pPr>
      <w:r>
        <w:rPr>
          <w:rFonts w:ascii="Arial" w:hAnsi="Arial" w:cs="Arial"/>
          <w:i/>
          <w:iCs/>
        </w:rPr>
        <w:t>High density lipoproteins cholesterol (HDL-c):</w:t>
      </w:r>
      <w:r>
        <w:rPr>
          <w:rFonts w:ascii="Arial" w:hAnsi="Arial" w:cs="Arial"/>
        </w:rPr>
        <w:t xml:space="preserve">  This was carried out according to the method described by </w:t>
      </w:r>
      <w:proofErr w:type="spellStart"/>
      <w:r>
        <w:rPr>
          <w:rFonts w:ascii="Arial" w:hAnsi="Arial" w:cs="Arial"/>
        </w:rPr>
        <w:t>Warnick</w:t>
      </w:r>
      <w:proofErr w:type="spellEnd"/>
      <w:r>
        <w:rPr>
          <w:rFonts w:ascii="Arial" w:hAnsi="Arial" w:cs="Arial"/>
        </w:rPr>
        <w:t xml:space="preserve"> </w:t>
      </w:r>
      <w:r w:rsidRPr="00B83D9E">
        <w:rPr>
          <w:rFonts w:ascii="Arial" w:hAnsi="Arial" w:cs="Arial"/>
          <w:iCs/>
        </w:rPr>
        <w:t>et al</w:t>
      </w:r>
      <w:r>
        <w:rPr>
          <w:rFonts w:ascii="Arial" w:hAnsi="Arial" w:cs="Arial"/>
        </w:rPr>
        <w:t xml:space="preserve">., 1982). This was determined by measuring the amount of cholesterol remaining in the serum after precipitation of LDL, VLDL and Chylomicron by the addition of </w:t>
      </w:r>
      <w:proofErr w:type="spellStart"/>
      <w:r>
        <w:rPr>
          <w:rFonts w:ascii="Arial" w:hAnsi="Arial" w:cs="Arial"/>
        </w:rPr>
        <w:t>phosphotungstic</w:t>
      </w:r>
      <w:proofErr w:type="spellEnd"/>
      <w:r>
        <w:rPr>
          <w:rFonts w:ascii="Arial" w:hAnsi="Arial" w:cs="Arial"/>
        </w:rPr>
        <w:t xml:space="preserve"> acid and magnesium chloride. The HDL content was measured as the remaining cholesterol in the sample solution after precipitation.</w:t>
      </w:r>
      <w:r w:rsidR="00B83D9E">
        <w:rPr>
          <w:rFonts w:ascii="Arial" w:hAnsi="Arial" w:cs="Arial"/>
        </w:rPr>
        <w:t xml:space="preserve"> </w:t>
      </w:r>
      <w:r>
        <w:rPr>
          <w:rFonts w:ascii="Arial" w:hAnsi="Arial" w:cs="Arial"/>
        </w:rPr>
        <w:t xml:space="preserve">The serum (200µL) was mixed with 500µL of </w:t>
      </w:r>
      <w:proofErr w:type="spellStart"/>
      <w:r>
        <w:rPr>
          <w:rFonts w:ascii="Arial" w:hAnsi="Arial" w:cs="Arial"/>
        </w:rPr>
        <w:t>Randox</w:t>
      </w:r>
      <w:proofErr w:type="spellEnd"/>
      <w:r>
        <w:rPr>
          <w:rFonts w:ascii="Arial" w:hAnsi="Arial" w:cs="Arial"/>
        </w:rPr>
        <w:t xml:space="preserve"> HDL reagent and allowed to stand for 10mins at room temperature. It was then centrifuged at 4000rpm for 10mins. The supernatant (100µL) was mixed with 1000µL of cholesterol reagent and allowed to stand for 10mins after which the HDL content was measured using a UV-Visible spectrophotometer.</w:t>
      </w:r>
    </w:p>
    <w:p w14:paraId="436D8EE3" w14:textId="77777777" w:rsidR="00954ED3" w:rsidRDefault="00147C17" w:rsidP="00C65416">
      <w:pPr>
        <w:jc w:val="both"/>
        <w:rPr>
          <w:rFonts w:ascii="Arial" w:hAnsi="Arial" w:cs="Arial"/>
        </w:rPr>
      </w:pPr>
      <w:r>
        <w:rPr>
          <w:rFonts w:ascii="Arial" w:hAnsi="Arial" w:cs="Arial"/>
          <w:i/>
          <w:iCs/>
        </w:rPr>
        <w:t>Low density lipoproteins (LDL-c):</w:t>
      </w:r>
      <w:r>
        <w:rPr>
          <w:rFonts w:ascii="Arial" w:hAnsi="Arial" w:cs="Arial"/>
        </w:rPr>
        <w:t xml:space="preserve"> This was determined for each of the samples by using the </w:t>
      </w:r>
      <w:proofErr w:type="spellStart"/>
      <w:r>
        <w:rPr>
          <w:rFonts w:ascii="Arial" w:hAnsi="Arial" w:cs="Arial"/>
        </w:rPr>
        <w:t>Friedewald</w:t>
      </w:r>
      <w:proofErr w:type="spellEnd"/>
      <w:r>
        <w:rPr>
          <w:rFonts w:ascii="Arial" w:hAnsi="Arial" w:cs="Arial"/>
        </w:rPr>
        <w:t xml:space="preserve"> formula: LDL= Total cholesterol-(Triglyceride/5)-LDL.    </w:t>
      </w:r>
    </w:p>
    <w:p w14:paraId="5D0F75F3" w14:textId="2B8815DB" w:rsidR="00954ED3" w:rsidRDefault="00147C17">
      <w:pPr>
        <w:autoSpaceDE w:val="0"/>
        <w:autoSpaceDN w:val="0"/>
        <w:adjustRightInd w:val="0"/>
        <w:spacing w:before="240" w:after="0" w:line="360" w:lineRule="auto"/>
        <w:jc w:val="both"/>
        <w:rPr>
          <w:rFonts w:ascii="Arial" w:hAnsi="Arial" w:cs="Arial"/>
          <w:iCs/>
        </w:rPr>
      </w:pPr>
      <w:r>
        <w:rPr>
          <w:rFonts w:ascii="Arial" w:hAnsi="Arial" w:cs="Arial"/>
          <w:b/>
          <w:bCs/>
          <w:iCs/>
        </w:rPr>
        <w:t xml:space="preserve">2.6 Microbiota </w:t>
      </w:r>
      <w:r w:rsidR="00B83D9E">
        <w:rPr>
          <w:rFonts w:ascii="Arial" w:hAnsi="Arial" w:cs="Arial"/>
          <w:b/>
          <w:bCs/>
          <w:iCs/>
        </w:rPr>
        <w:t>a</w:t>
      </w:r>
      <w:r>
        <w:rPr>
          <w:rFonts w:ascii="Arial" w:hAnsi="Arial" w:cs="Arial"/>
          <w:b/>
          <w:bCs/>
          <w:iCs/>
        </w:rPr>
        <w:t>nalysis of the gut</w:t>
      </w:r>
    </w:p>
    <w:p w14:paraId="2F818386" w14:textId="77777777" w:rsidR="00C65416" w:rsidRDefault="00147C17" w:rsidP="00C65416">
      <w:pPr>
        <w:autoSpaceDE w:val="0"/>
        <w:autoSpaceDN w:val="0"/>
        <w:adjustRightInd w:val="0"/>
        <w:spacing w:before="240" w:after="0"/>
        <w:jc w:val="both"/>
        <w:rPr>
          <w:rFonts w:ascii="Arial" w:hAnsi="Arial" w:cs="Arial"/>
        </w:rPr>
      </w:pPr>
      <w:r w:rsidRPr="00C65416">
        <w:rPr>
          <w:rFonts w:ascii="Arial" w:hAnsi="Arial" w:cs="Arial"/>
        </w:rPr>
        <w:t xml:space="preserve">The contents of the gut and intestine were collected and estimated for their microbial count. They were homogenized in normal saline, diluted, and plated on the agar plates. The LAB count was evaluated on MRS media. Total coliform count was attained on </w:t>
      </w:r>
      <w:proofErr w:type="spellStart"/>
      <w:r w:rsidRPr="00C65416">
        <w:rPr>
          <w:rFonts w:ascii="Arial" w:hAnsi="Arial" w:cs="Arial"/>
        </w:rPr>
        <w:t>Maconkey</w:t>
      </w:r>
      <w:proofErr w:type="spellEnd"/>
      <w:r w:rsidRPr="00C65416">
        <w:rPr>
          <w:rFonts w:ascii="Arial" w:hAnsi="Arial" w:cs="Arial"/>
        </w:rPr>
        <w:t xml:space="preserve"> agar and total yeasts </w:t>
      </w:r>
      <w:r w:rsidRPr="00C65416">
        <w:rPr>
          <w:rFonts w:ascii="Arial" w:hAnsi="Arial" w:cs="Arial"/>
        </w:rPr>
        <w:lastRenderedPageBreak/>
        <w:t>on SDA (</w:t>
      </w:r>
      <w:proofErr w:type="spellStart"/>
      <w:r w:rsidRPr="00C65416">
        <w:rPr>
          <w:rFonts w:ascii="Arial" w:hAnsi="Arial" w:cs="Arial"/>
        </w:rPr>
        <w:t>Ozoh</w:t>
      </w:r>
      <w:proofErr w:type="spellEnd"/>
      <w:r w:rsidRPr="00C65416">
        <w:rPr>
          <w:rFonts w:ascii="Arial" w:hAnsi="Arial" w:cs="Arial"/>
        </w:rPr>
        <w:t xml:space="preserve"> and </w:t>
      </w:r>
      <w:proofErr w:type="spellStart"/>
      <w:r w:rsidRPr="00C65416">
        <w:rPr>
          <w:rFonts w:ascii="Arial" w:hAnsi="Arial" w:cs="Arial"/>
        </w:rPr>
        <w:t>Umeaku</w:t>
      </w:r>
      <w:proofErr w:type="spellEnd"/>
      <w:r w:rsidRPr="00C65416">
        <w:rPr>
          <w:rFonts w:ascii="Arial" w:hAnsi="Arial" w:cs="Arial"/>
        </w:rPr>
        <w:t xml:space="preserve">, 2020). a digital colony counter was used to count the colony forms from on different agar plates. The CFU/ml was determined by </w:t>
      </w:r>
    </w:p>
    <w:p w14:paraId="352CE32A" w14:textId="2F74D0F8" w:rsidR="00954ED3" w:rsidRPr="00C65416" w:rsidRDefault="00147C17" w:rsidP="00C65416">
      <w:pPr>
        <w:autoSpaceDE w:val="0"/>
        <w:autoSpaceDN w:val="0"/>
        <w:adjustRightInd w:val="0"/>
        <w:spacing w:before="240" w:after="0"/>
        <w:jc w:val="both"/>
        <w:rPr>
          <w:rFonts w:ascii="Arial" w:hAnsi="Arial" w:cs="Arial"/>
        </w:rPr>
      </w:pPr>
      <w:r w:rsidRPr="00C65416">
        <w:rPr>
          <w:rFonts w:ascii="Arial" w:hAnsi="Arial" w:cs="Arial"/>
        </w:rPr>
        <w:t xml:space="preserve">CFU/ml= </w:t>
      </w:r>
      <m:oMath>
        <m:f>
          <m:fPr>
            <m:ctrlPr>
              <w:rPr>
                <w:rFonts w:ascii="Cambria Math" w:hAnsi="Cambria Math" w:cs="Arial"/>
                <w:i/>
              </w:rPr>
            </m:ctrlPr>
          </m:fPr>
          <m:num>
            <m:r>
              <w:rPr>
                <w:rFonts w:ascii="Cambria Math" w:hAnsi="Cambria Math" w:cs="Arial"/>
              </w:rPr>
              <m:t>No. of colonies x dilution factor</m:t>
            </m:r>
          </m:num>
          <m:den>
            <m:r>
              <w:rPr>
                <w:rFonts w:ascii="Cambria Math" w:hAnsi="Cambria Math" w:cs="Arial"/>
              </w:rPr>
              <m:t>Volume of culture plate</m:t>
            </m:r>
          </m:den>
        </m:f>
      </m:oMath>
      <w:r w:rsidRPr="00C65416">
        <w:rPr>
          <w:rFonts w:ascii="Arial" w:hAnsi="Arial" w:cs="Arial"/>
        </w:rPr>
        <w:t>.</w:t>
      </w:r>
    </w:p>
    <w:p w14:paraId="16138DB7" w14:textId="77777777" w:rsidR="00954ED3" w:rsidRDefault="00147C17">
      <w:pPr>
        <w:autoSpaceDE w:val="0"/>
        <w:autoSpaceDN w:val="0"/>
        <w:adjustRightInd w:val="0"/>
        <w:spacing w:before="240" w:after="0" w:line="360" w:lineRule="auto"/>
        <w:jc w:val="both"/>
        <w:rPr>
          <w:rFonts w:ascii="Arial" w:hAnsi="Arial" w:cs="Arial"/>
          <w:iCs/>
        </w:rPr>
      </w:pPr>
      <w:r>
        <w:rPr>
          <w:rFonts w:ascii="Arial" w:eastAsia="Times New Roman" w:hAnsi="Arial" w:cs="Arial"/>
          <w:b/>
          <w:bCs/>
          <w:iCs/>
        </w:rPr>
        <w:t>2.7 Analysis of gastric acidity, volume and pH value</w:t>
      </w:r>
    </w:p>
    <w:p w14:paraId="07305597" w14:textId="4825601C" w:rsidR="00954ED3" w:rsidRDefault="00147C17" w:rsidP="00C65416">
      <w:pPr>
        <w:autoSpaceDE w:val="0"/>
        <w:autoSpaceDN w:val="0"/>
        <w:adjustRightInd w:val="0"/>
        <w:spacing w:before="240" w:after="0"/>
        <w:jc w:val="both"/>
        <w:rPr>
          <w:rFonts w:ascii="Arial" w:hAnsi="Arial" w:cs="Arial"/>
        </w:rPr>
      </w:pPr>
      <w:r>
        <w:rPr>
          <w:rFonts w:ascii="Arial" w:hAnsi="Arial" w:cs="Arial"/>
          <w:shd w:val="clear" w:color="auto" w:fill="FFFFFF"/>
        </w:rPr>
        <w:t>The gastric content was collected and the volume (mL/100 g), total acidity (mg/L), and pH of the gastric juice evaluated. </w:t>
      </w:r>
      <w:r>
        <w:rPr>
          <w:rFonts w:ascii="Arial" w:hAnsi="Arial" w:cs="Arial"/>
        </w:rPr>
        <w:t xml:space="preserve">Total titratable acid was assessed as described by </w:t>
      </w:r>
      <w:proofErr w:type="spellStart"/>
      <w:r>
        <w:rPr>
          <w:rFonts w:ascii="Arial" w:hAnsi="Arial" w:cs="Arial"/>
        </w:rPr>
        <w:t>Osilo</w:t>
      </w:r>
      <w:proofErr w:type="spellEnd"/>
      <w:r>
        <w:rPr>
          <w:rFonts w:ascii="Arial" w:hAnsi="Arial" w:cs="Arial"/>
        </w:rPr>
        <w:t xml:space="preserve"> et al. </w:t>
      </w:r>
      <w:r w:rsidR="007850D1">
        <w:rPr>
          <w:rFonts w:ascii="Arial" w:hAnsi="Arial" w:cs="Arial"/>
        </w:rPr>
        <w:t>(</w:t>
      </w:r>
      <w:r>
        <w:rPr>
          <w:rFonts w:ascii="Arial" w:hAnsi="Arial" w:cs="Arial"/>
        </w:rPr>
        <w:t>2024</w:t>
      </w:r>
      <w:r w:rsidR="007850D1">
        <w:rPr>
          <w:rFonts w:ascii="Arial" w:hAnsi="Arial" w:cs="Arial"/>
        </w:rPr>
        <w:t>)</w:t>
      </w:r>
      <w:r>
        <w:rPr>
          <w:rFonts w:ascii="Arial" w:hAnsi="Arial" w:cs="Arial"/>
        </w:rPr>
        <w:t xml:space="preserve">. Samples of the stomach were titrated against 0.1M </w:t>
      </w:r>
      <w:r w:rsidR="007850D1">
        <w:rPr>
          <w:rFonts w:ascii="Arial" w:hAnsi="Arial" w:cs="Arial"/>
        </w:rPr>
        <w:t>s</w:t>
      </w:r>
      <w:r>
        <w:rPr>
          <w:rFonts w:ascii="Arial" w:hAnsi="Arial" w:cs="Arial"/>
        </w:rPr>
        <w:t xml:space="preserve">odium </w:t>
      </w:r>
      <w:r w:rsidR="007850D1">
        <w:rPr>
          <w:rFonts w:ascii="Arial" w:hAnsi="Arial" w:cs="Arial"/>
        </w:rPr>
        <w:t>h</w:t>
      </w:r>
      <w:r>
        <w:rPr>
          <w:rFonts w:ascii="Arial" w:hAnsi="Arial" w:cs="Arial"/>
        </w:rPr>
        <w:t xml:space="preserve">ydroxide (NaOH), using 2 drops of phenolphthalein as an indicator. The titratable acid was measured as percentage of lactic acid. </w:t>
      </w:r>
      <w:r w:rsidR="007850D1">
        <w:rPr>
          <w:rFonts w:ascii="Arial" w:eastAsia="Times New Roman" w:hAnsi="Arial" w:cs="Arial"/>
        </w:rPr>
        <w:t>p</w:t>
      </w:r>
      <w:r>
        <w:rPr>
          <w:rFonts w:ascii="Arial" w:eastAsia="Times New Roman" w:hAnsi="Arial" w:cs="Arial"/>
        </w:rPr>
        <w:t>H value was determined using a digital pH meter against a standard buffer.</w:t>
      </w:r>
    </w:p>
    <w:p w14:paraId="6450267E" w14:textId="77777777" w:rsidR="00954ED3" w:rsidRDefault="00147C17">
      <w:pPr>
        <w:autoSpaceDE w:val="0"/>
        <w:autoSpaceDN w:val="0"/>
        <w:adjustRightInd w:val="0"/>
        <w:spacing w:before="240" w:after="0" w:line="360" w:lineRule="auto"/>
        <w:jc w:val="both"/>
        <w:rPr>
          <w:rFonts w:ascii="Arial" w:hAnsi="Arial" w:cs="Arial"/>
          <w:b/>
          <w:bCs/>
          <w:iCs/>
        </w:rPr>
      </w:pPr>
      <w:r>
        <w:rPr>
          <w:rFonts w:ascii="Arial" w:hAnsi="Arial" w:cs="Arial"/>
          <w:b/>
          <w:bCs/>
          <w:iCs/>
        </w:rPr>
        <w:t>2.8 Statistical analysis</w:t>
      </w:r>
    </w:p>
    <w:p w14:paraId="71E1A928" w14:textId="77777777" w:rsidR="00954ED3" w:rsidRDefault="00147C17" w:rsidP="00C65416">
      <w:pPr>
        <w:autoSpaceDE w:val="0"/>
        <w:autoSpaceDN w:val="0"/>
        <w:adjustRightInd w:val="0"/>
        <w:spacing w:before="240" w:after="0"/>
        <w:jc w:val="both"/>
        <w:rPr>
          <w:rFonts w:ascii="Arial" w:hAnsi="Arial" w:cs="Arial"/>
        </w:rPr>
      </w:pPr>
      <w:r>
        <w:rPr>
          <w:rFonts w:ascii="Arial" w:hAnsi="Arial" w:cs="Arial"/>
          <w:iCs/>
        </w:rPr>
        <w:t>The re</w:t>
      </w:r>
      <w:r>
        <w:rPr>
          <w:rFonts w:ascii="Arial" w:hAnsi="Arial" w:cs="Arial"/>
        </w:rPr>
        <w:t>sults obtained were expressed as mean ± SD using ANOVA with Tukey’s multiple comparison tests to compare the differences among various groups. A value of p &lt; 0.05 was considered to be statistically significant. Excel was used for the graphical representation.</w:t>
      </w:r>
    </w:p>
    <w:p w14:paraId="79234742" w14:textId="77777777" w:rsidR="00954ED3" w:rsidRDefault="00954ED3">
      <w:pPr>
        <w:spacing w:line="360" w:lineRule="auto"/>
        <w:jc w:val="both"/>
        <w:rPr>
          <w:rFonts w:ascii="Arial" w:hAnsi="Arial" w:cs="Arial"/>
        </w:rPr>
      </w:pPr>
    </w:p>
    <w:p w14:paraId="780158F9" w14:textId="7D154EE1" w:rsidR="00954ED3" w:rsidRDefault="00147C17" w:rsidP="007850D1">
      <w:pPr>
        <w:spacing w:line="360" w:lineRule="auto"/>
        <w:jc w:val="both"/>
        <w:rPr>
          <w:rFonts w:ascii="Arial" w:hAnsi="Arial" w:cs="Arial"/>
          <w:b/>
          <w:bCs/>
        </w:rPr>
      </w:pPr>
      <w:r>
        <w:rPr>
          <w:rFonts w:ascii="Arial" w:hAnsi="Arial" w:cs="Arial"/>
          <w:b/>
          <w:bCs/>
        </w:rPr>
        <w:t xml:space="preserve">3.0 </w:t>
      </w:r>
      <w:bookmarkStart w:id="0" w:name="_GoBack"/>
      <w:r>
        <w:rPr>
          <w:rFonts w:ascii="Arial" w:hAnsi="Arial" w:cs="Arial"/>
          <w:b/>
          <w:bCs/>
        </w:rPr>
        <w:t>Result</w:t>
      </w:r>
      <w:bookmarkEnd w:id="0"/>
      <w:r>
        <w:rPr>
          <w:rFonts w:ascii="Arial" w:hAnsi="Arial" w:cs="Arial"/>
          <w:b/>
          <w:bCs/>
        </w:rPr>
        <w:t xml:space="preserve">s and Discussion </w:t>
      </w:r>
    </w:p>
    <w:p w14:paraId="53AC6935" w14:textId="4E3EC3D5" w:rsidR="00954ED3" w:rsidRDefault="004A6BB8" w:rsidP="00C65416">
      <w:pPr>
        <w:jc w:val="both"/>
        <w:rPr>
          <w:rFonts w:ascii="Arial" w:hAnsi="Arial" w:cs="Arial"/>
        </w:rPr>
      </w:pPr>
      <w:r>
        <w:rPr>
          <w:rFonts w:ascii="Arial" w:hAnsi="Arial" w:cs="Arial"/>
        </w:rPr>
        <w:t xml:space="preserve">This study showed that a combination of different probiotic strains can significantly reduce high cholesterol and related blood fat issues caused by a high-cholesterol diet in rats. </w:t>
      </w:r>
      <w:r w:rsidR="007850D1" w:rsidRPr="007850D1">
        <w:rPr>
          <w:rStyle w:val="Strong"/>
          <w:rFonts w:ascii="Arial" w:hAnsi="Arial" w:cs="Arial"/>
          <w:b w:val="0"/>
          <w:color w:val="000000" w:themeColor="text1"/>
        </w:rPr>
        <w:t xml:space="preserve">The effect of Probiotic combination on fasting blood glucose level was presented in figure 1. </w:t>
      </w:r>
      <w:r w:rsidR="00147C17" w:rsidRPr="007850D1">
        <w:rPr>
          <w:rFonts w:ascii="Arial" w:hAnsi="Arial" w:cs="Arial"/>
          <w:color w:val="000000" w:themeColor="text1"/>
        </w:rPr>
        <w:t xml:space="preserve">Feeding rats with a </w:t>
      </w:r>
      <w:r w:rsidRPr="00D46FEF">
        <w:rPr>
          <w:rFonts w:ascii="Arial" w:hAnsi="Arial" w:cs="Arial"/>
          <w:color w:val="000000" w:themeColor="text1"/>
        </w:rPr>
        <w:t>Triton X</w:t>
      </w:r>
      <w:r w:rsidR="00D46FEF" w:rsidRPr="00D46FEF">
        <w:rPr>
          <w:rFonts w:ascii="Arial" w:hAnsi="Arial" w:cs="Arial"/>
          <w:color w:val="000000" w:themeColor="text1"/>
        </w:rPr>
        <w:t>-100/</w:t>
      </w:r>
      <w:r w:rsidR="00147C17" w:rsidRPr="00D46FEF">
        <w:rPr>
          <w:rStyle w:val="Strong"/>
          <w:rFonts w:ascii="Arial" w:hAnsi="Arial" w:cs="Arial"/>
          <w:b w:val="0"/>
          <w:bCs w:val="0"/>
          <w:color w:val="000000" w:themeColor="text1"/>
        </w:rPr>
        <w:t xml:space="preserve">high-cholesterol </w:t>
      </w:r>
      <w:r w:rsidR="00147C17" w:rsidRPr="007850D1">
        <w:rPr>
          <w:rStyle w:val="Strong"/>
          <w:rFonts w:ascii="Arial" w:hAnsi="Arial" w:cs="Arial"/>
          <w:b w:val="0"/>
          <w:bCs w:val="0"/>
          <w:color w:val="000000" w:themeColor="text1"/>
        </w:rPr>
        <w:t>diet (HCD)</w:t>
      </w:r>
      <w:r w:rsidR="00147C17" w:rsidRPr="007850D1">
        <w:rPr>
          <w:rFonts w:ascii="Arial" w:hAnsi="Arial" w:cs="Arial"/>
          <w:color w:val="000000" w:themeColor="text1"/>
        </w:rPr>
        <w:t xml:space="preserve"> caused a </w:t>
      </w:r>
      <w:r w:rsidR="00147C17" w:rsidRPr="007850D1">
        <w:rPr>
          <w:rStyle w:val="Strong"/>
          <w:rFonts w:ascii="Arial" w:hAnsi="Arial" w:cs="Arial"/>
          <w:b w:val="0"/>
          <w:bCs w:val="0"/>
          <w:color w:val="000000" w:themeColor="text1"/>
        </w:rPr>
        <w:t>significant increase (p &lt; 0.05)</w:t>
      </w:r>
      <w:r w:rsidR="00147C17" w:rsidRPr="007850D1">
        <w:rPr>
          <w:rFonts w:ascii="Arial" w:hAnsi="Arial" w:cs="Arial"/>
          <w:color w:val="000000" w:themeColor="text1"/>
        </w:rPr>
        <w:t xml:space="preserve"> in fasting blood glucose level (90.33</w:t>
      </w:r>
      <w:r w:rsidR="00147C17" w:rsidRPr="007850D1">
        <w:rPr>
          <w:rStyle w:val="Strong"/>
          <w:rFonts w:ascii="Arial" w:hAnsi="Arial" w:cs="Arial"/>
          <w:b w:val="0"/>
          <w:bCs w:val="0"/>
          <w:color w:val="000000" w:themeColor="text1"/>
        </w:rPr>
        <w:t xml:space="preserve"> mg/dL</w:t>
      </w:r>
      <w:r w:rsidR="00147C17" w:rsidRPr="007850D1">
        <w:rPr>
          <w:rFonts w:ascii="Arial" w:hAnsi="Arial" w:cs="Arial"/>
          <w:color w:val="000000" w:themeColor="text1"/>
        </w:rPr>
        <w:t xml:space="preserve">) compared to the </w:t>
      </w:r>
      <w:r w:rsidR="00147C17">
        <w:rPr>
          <w:rStyle w:val="Strong"/>
          <w:rFonts w:ascii="Arial" w:hAnsi="Arial" w:cs="Arial"/>
          <w:b w:val="0"/>
          <w:bCs w:val="0"/>
        </w:rPr>
        <w:t>Normal Diet group</w:t>
      </w:r>
      <w:r w:rsidR="00147C17">
        <w:rPr>
          <w:rFonts w:ascii="Arial" w:hAnsi="Arial" w:cs="Arial"/>
        </w:rPr>
        <w:t xml:space="preserve"> (68.67</w:t>
      </w:r>
      <w:r w:rsidR="00147C17">
        <w:rPr>
          <w:rStyle w:val="Strong"/>
          <w:rFonts w:ascii="Arial" w:hAnsi="Arial" w:cs="Arial"/>
          <w:b w:val="0"/>
          <w:bCs w:val="0"/>
        </w:rPr>
        <w:t>mg/dL</w:t>
      </w:r>
      <w:r w:rsidR="00147C17">
        <w:rPr>
          <w:rFonts w:ascii="Arial" w:hAnsi="Arial" w:cs="Arial"/>
        </w:rPr>
        <w:t xml:space="preserve">). Administration of the </w:t>
      </w:r>
      <w:r>
        <w:rPr>
          <w:rStyle w:val="Strong"/>
          <w:rFonts w:ascii="Arial" w:hAnsi="Arial" w:cs="Arial"/>
          <w:b w:val="0"/>
          <w:bCs w:val="0"/>
        </w:rPr>
        <w:t>p</w:t>
      </w:r>
      <w:r w:rsidR="00147C17">
        <w:rPr>
          <w:rStyle w:val="Strong"/>
          <w:rFonts w:ascii="Arial" w:hAnsi="Arial" w:cs="Arial"/>
          <w:b w:val="0"/>
          <w:bCs w:val="0"/>
        </w:rPr>
        <w:t xml:space="preserve">robiotic </w:t>
      </w:r>
      <w:r>
        <w:rPr>
          <w:rStyle w:val="Strong"/>
          <w:rFonts w:ascii="Arial" w:hAnsi="Arial" w:cs="Arial"/>
          <w:b w:val="0"/>
          <w:bCs w:val="0"/>
        </w:rPr>
        <w:t>c</w:t>
      </w:r>
      <w:r w:rsidR="00147C17">
        <w:rPr>
          <w:rStyle w:val="Strong"/>
          <w:rFonts w:ascii="Arial" w:hAnsi="Arial" w:cs="Arial"/>
          <w:b w:val="0"/>
          <w:bCs w:val="0"/>
        </w:rPr>
        <w:t xml:space="preserve">ombination at </w:t>
      </w:r>
      <w:r>
        <w:rPr>
          <w:rStyle w:val="Strong"/>
          <w:rFonts w:ascii="Arial" w:hAnsi="Arial" w:cs="Arial"/>
          <w:b w:val="0"/>
          <w:bCs w:val="0"/>
        </w:rPr>
        <w:t>l</w:t>
      </w:r>
      <w:r w:rsidR="00147C17">
        <w:rPr>
          <w:rStyle w:val="Strong"/>
          <w:rFonts w:ascii="Arial" w:hAnsi="Arial" w:cs="Arial"/>
          <w:b w:val="0"/>
          <w:bCs w:val="0"/>
        </w:rPr>
        <w:t>ow Dose (HCD + PC Low)</w:t>
      </w:r>
      <w:r w:rsidR="00147C17">
        <w:rPr>
          <w:rFonts w:ascii="Arial" w:hAnsi="Arial" w:cs="Arial"/>
        </w:rPr>
        <w:t xml:space="preserve"> significantly </w:t>
      </w:r>
      <w:r w:rsidR="00147C17">
        <w:rPr>
          <w:rStyle w:val="Strong"/>
          <w:rFonts w:ascii="Arial" w:hAnsi="Arial" w:cs="Arial"/>
          <w:b w:val="0"/>
          <w:bCs w:val="0"/>
        </w:rPr>
        <w:t>reduced fasting blood glucose to 53.33 mg/dL</w:t>
      </w:r>
      <w:r w:rsidR="00147C17">
        <w:rPr>
          <w:rFonts w:ascii="Arial" w:hAnsi="Arial" w:cs="Arial"/>
        </w:rPr>
        <w:t xml:space="preserve"> when compared with the untreated HCD group (p &lt; 0.05). Similarly, rats treated with the </w:t>
      </w:r>
      <w:r w:rsidR="00147C17">
        <w:rPr>
          <w:rStyle w:val="Strong"/>
          <w:rFonts w:ascii="Arial" w:hAnsi="Arial" w:cs="Arial"/>
          <w:b w:val="0"/>
          <w:bCs w:val="0"/>
        </w:rPr>
        <w:t>High-Dose Probiotic Combination (HCD + PC High)</w:t>
      </w:r>
      <w:r w:rsidR="00147C17">
        <w:rPr>
          <w:rFonts w:ascii="Arial" w:hAnsi="Arial" w:cs="Arial"/>
        </w:rPr>
        <w:t xml:space="preserve"> showed a </w:t>
      </w:r>
      <w:r w:rsidR="004E7F13">
        <w:rPr>
          <w:rFonts w:ascii="Arial" w:hAnsi="Arial" w:cs="Arial"/>
        </w:rPr>
        <w:t xml:space="preserve">significant </w:t>
      </w:r>
      <w:r w:rsidR="00147C17">
        <w:rPr>
          <w:rFonts w:ascii="Arial" w:hAnsi="Arial" w:cs="Arial"/>
        </w:rPr>
        <w:t>decline to 76</w:t>
      </w:r>
      <w:r w:rsidR="005D5BBC">
        <w:rPr>
          <w:rFonts w:ascii="Arial" w:hAnsi="Arial" w:cs="Arial"/>
        </w:rPr>
        <w:t xml:space="preserve"> </w:t>
      </w:r>
      <w:r w:rsidR="00147C17">
        <w:rPr>
          <w:rStyle w:val="Strong"/>
          <w:rFonts w:ascii="Arial" w:hAnsi="Arial" w:cs="Arial"/>
          <w:b w:val="0"/>
          <w:bCs w:val="0"/>
        </w:rPr>
        <w:t>mg/dL</w:t>
      </w:r>
      <w:r w:rsidR="005D5BBC">
        <w:rPr>
          <w:rFonts w:ascii="Arial" w:hAnsi="Arial" w:cs="Arial"/>
        </w:rPr>
        <w:t xml:space="preserve"> </w:t>
      </w:r>
      <w:r w:rsidR="00147C17">
        <w:rPr>
          <w:rFonts w:ascii="Arial" w:hAnsi="Arial" w:cs="Arial"/>
        </w:rPr>
        <w:t>(p &gt; 0.05). This implies that the probiotic combination improved glucose metabolism, possibly by enhancing insulin sensitivity or influencing intestinal glucose absorption through gut microbiota modulation.</w:t>
      </w:r>
    </w:p>
    <w:p w14:paraId="63D96201" w14:textId="50DEE749" w:rsidR="009C6776" w:rsidRDefault="009C6776" w:rsidP="00C65416">
      <w:pPr>
        <w:jc w:val="both"/>
        <w:rPr>
          <w:rFonts w:ascii="Arial" w:hAnsi="Arial" w:cs="Arial"/>
        </w:rPr>
      </w:pPr>
      <w:r>
        <w:rPr>
          <w:rFonts w:ascii="Arial" w:hAnsi="Arial" w:cs="Arial"/>
        </w:rPr>
        <w:t xml:space="preserve">The </w:t>
      </w:r>
      <w:r w:rsidR="00C65416">
        <w:rPr>
          <w:rFonts w:ascii="Arial" w:hAnsi="Arial" w:cs="Arial"/>
        </w:rPr>
        <w:t xml:space="preserve">blood glucose </w:t>
      </w:r>
      <w:r>
        <w:rPr>
          <w:rFonts w:ascii="Arial" w:hAnsi="Arial" w:cs="Arial"/>
        </w:rPr>
        <w:t>results reported in the current stud</w:t>
      </w:r>
      <w:r w:rsidR="00EB090A">
        <w:rPr>
          <w:rFonts w:ascii="Arial" w:hAnsi="Arial" w:cs="Arial"/>
        </w:rPr>
        <w:t>y</w:t>
      </w:r>
      <w:r>
        <w:rPr>
          <w:rFonts w:ascii="Arial" w:hAnsi="Arial" w:cs="Arial"/>
        </w:rPr>
        <w:t xml:space="preserve"> echoes the outcomes reported by Salles et al. (2020)</w:t>
      </w:r>
      <w:r w:rsidR="00EB090A">
        <w:rPr>
          <w:rFonts w:ascii="Arial" w:hAnsi="Arial" w:cs="Arial"/>
        </w:rPr>
        <w:t xml:space="preserve">, where they </w:t>
      </w:r>
      <w:r>
        <w:rPr>
          <w:rFonts w:ascii="Arial" w:hAnsi="Arial" w:cs="Arial"/>
        </w:rPr>
        <w:t>s</w:t>
      </w:r>
      <w:r w:rsidR="00EB090A">
        <w:rPr>
          <w:rFonts w:ascii="Arial" w:hAnsi="Arial" w:cs="Arial"/>
        </w:rPr>
        <w:t>tated</w:t>
      </w:r>
      <w:r>
        <w:rPr>
          <w:rFonts w:ascii="Arial" w:hAnsi="Arial" w:cs="Arial"/>
        </w:rPr>
        <w:t xml:space="preserve"> that probiotics improve blood sugar control and insulin sensitivity by increasing short-chain fatty acid production in the gut, which helps regulate glucose production in the liver and boosts insulin function elsewhere in the body.</w:t>
      </w:r>
    </w:p>
    <w:p w14:paraId="184CF0EB" w14:textId="77777777" w:rsidR="00954ED3" w:rsidRDefault="00954ED3">
      <w:pPr>
        <w:pStyle w:val="NormalWeb"/>
        <w:jc w:val="both"/>
        <w:rPr>
          <w:rFonts w:ascii="Arial" w:hAnsi="Arial" w:cs="Arial"/>
          <w:sz w:val="22"/>
          <w:szCs w:val="22"/>
        </w:rPr>
      </w:pPr>
    </w:p>
    <w:p w14:paraId="5AC338F7" w14:textId="77777777" w:rsidR="00954ED3" w:rsidRDefault="00954ED3">
      <w:pPr>
        <w:jc w:val="both"/>
        <w:rPr>
          <w:rFonts w:ascii="Arial" w:hAnsi="Arial" w:cs="Arial"/>
        </w:rPr>
      </w:pPr>
    </w:p>
    <w:p w14:paraId="0E6D5485" w14:textId="77777777" w:rsidR="00954ED3" w:rsidRDefault="00147C17">
      <w:pPr>
        <w:jc w:val="both"/>
        <w:rPr>
          <w:rFonts w:ascii="Arial" w:hAnsi="Arial" w:cs="Arial"/>
        </w:rPr>
      </w:pPr>
      <w:r>
        <w:rPr>
          <w:rFonts w:ascii="Arial" w:hAnsi="Arial" w:cs="Arial"/>
          <w:noProof/>
        </w:rPr>
        <w:lastRenderedPageBreak/>
        <w:drawing>
          <wp:inline distT="0" distB="0" distL="0" distR="0" wp14:anchorId="56C656F6" wp14:editId="1202F3B6">
            <wp:extent cx="5892800" cy="2971800"/>
            <wp:effectExtent l="4445" t="4445" r="8255" b="82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501E4D" w14:textId="4DCDC298" w:rsidR="00954ED3" w:rsidRDefault="00147C17">
      <w:pPr>
        <w:jc w:val="both"/>
        <w:rPr>
          <w:rFonts w:ascii="Arial" w:hAnsi="Arial" w:cs="Arial"/>
        </w:rPr>
      </w:pPr>
      <w:r>
        <w:rPr>
          <w:rFonts w:ascii="Arial" w:hAnsi="Arial" w:cs="Arial"/>
        </w:rPr>
        <w:t>Fig</w:t>
      </w:r>
      <w:r w:rsidR="003B4E1A" w:rsidRPr="003B4E1A">
        <w:rPr>
          <w:rFonts w:ascii="Arial" w:hAnsi="Arial" w:cs="Arial"/>
          <w:color w:val="EE0000"/>
        </w:rPr>
        <w:t>.</w:t>
      </w:r>
      <w:r>
        <w:rPr>
          <w:rFonts w:ascii="Arial" w:hAnsi="Arial" w:cs="Arial"/>
        </w:rPr>
        <w:t xml:space="preserve"> 1: Effect of probiotic combination on the fasting blood glucose level</w:t>
      </w:r>
    </w:p>
    <w:p w14:paraId="7A8520E9" w14:textId="5656F956" w:rsidR="002223FA" w:rsidRPr="003E1CD4" w:rsidRDefault="002223FA" w:rsidP="002223FA">
      <w:pPr>
        <w:autoSpaceDE w:val="0"/>
        <w:autoSpaceDN w:val="0"/>
        <w:adjustRightInd w:val="0"/>
        <w:spacing w:before="240" w:after="0" w:line="240" w:lineRule="auto"/>
        <w:rPr>
          <w:rFonts w:ascii="Times New Roman" w:hAnsi="Times New Roman" w:cs="Times New Roman"/>
          <w:sz w:val="18"/>
          <w:szCs w:val="18"/>
        </w:rPr>
      </w:pPr>
      <w:r w:rsidRPr="003E1CD4">
        <w:rPr>
          <w:rFonts w:ascii="Times New Roman" w:hAnsi="Times New Roman" w:cs="Times New Roman"/>
          <w:sz w:val="18"/>
          <w:szCs w:val="18"/>
        </w:rPr>
        <w:t>Different superscript letters represent the statistical significance (p &lt; 0.05).</w:t>
      </w:r>
    </w:p>
    <w:p w14:paraId="03A73B5B" w14:textId="77777777" w:rsidR="00954ED3" w:rsidRDefault="00954ED3">
      <w:pPr>
        <w:jc w:val="both"/>
        <w:rPr>
          <w:rStyle w:val="Strong"/>
          <w:rFonts w:ascii="Arial" w:hAnsi="Arial" w:cs="Arial"/>
        </w:rPr>
      </w:pPr>
    </w:p>
    <w:p w14:paraId="7FB7999F" w14:textId="538E6DCA" w:rsidR="00954ED3" w:rsidRPr="001B6EC6" w:rsidRDefault="00147C17" w:rsidP="00C65416">
      <w:pPr>
        <w:pStyle w:val="NormalWeb"/>
        <w:spacing w:line="276" w:lineRule="auto"/>
        <w:jc w:val="both"/>
        <w:rPr>
          <w:rFonts w:ascii="Arial" w:hAnsi="Arial" w:cs="Arial"/>
          <w:sz w:val="22"/>
          <w:szCs w:val="22"/>
        </w:rPr>
      </w:pPr>
      <w:r w:rsidRPr="001B6EC6">
        <w:rPr>
          <w:rFonts w:ascii="Arial" w:hAnsi="Arial" w:cs="Arial"/>
          <w:sz w:val="22"/>
          <w:szCs w:val="22"/>
        </w:rPr>
        <w:t xml:space="preserve">Rats fed a </w:t>
      </w:r>
      <w:r w:rsidRPr="001B6EC6">
        <w:rPr>
          <w:rStyle w:val="Strong"/>
          <w:rFonts w:ascii="Arial" w:hAnsi="Arial" w:cs="Arial"/>
          <w:b w:val="0"/>
          <w:bCs w:val="0"/>
          <w:sz w:val="22"/>
          <w:szCs w:val="22"/>
        </w:rPr>
        <w:t>high-cholesterol diet (HCD)</w:t>
      </w:r>
      <w:r w:rsidRPr="001B6EC6">
        <w:rPr>
          <w:rFonts w:ascii="Arial" w:hAnsi="Arial" w:cs="Arial"/>
          <w:sz w:val="22"/>
          <w:szCs w:val="22"/>
        </w:rPr>
        <w:t xml:space="preserve"> exhibited a </w:t>
      </w:r>
      <w:r w:rsidRPr="001B6EC6">
        <w:rPr>
          <w:rStyle w:val="Strong"/>
          <w:rFonts w:ascii="Arial" w:hAnsi="Arial" w:cs="Arial"/>
          <w:b w:val="0"/>
          <w:bCs w:val="0"/>
          <w:sz w:val="22"/>
          <w:szCs w:val="22"/>
        </w:rPr>
        <w:t>significant increase (p &lt; 0.05)</w:t>
      </w:r>
      <w:r w:rsidRPr="001B6EC6">
        <w:rPr>
          <w:rFonts w:ascii="Arial" w:hAnsi="Arial" w:cs="Arial"/>
          <w:sz w:val="22"/>
          <w:szCs w:val="22"/>
        </w:rPr>
        <w:t xml:space="preserve"> </w:t>
      </w:r>
      <w:r w:rsidR="004E7F13" w:rsidRPr="001B6EC6">
        <w:rPr>
          <w:rFonts w:ascii="Arial" w:hAnsi="Arial" w:cs="Arial"/>
          <w:sz w:val="22"/>
          <w:szCs w:val="22"/>
        </w:rPr>
        <w:t xml:space="preserve">in the average </w:t>
      </w:r>
      <w:r w:rsidRPr="001B6EC6">
        <w:rPr>
          <w:rFonts w:ascii="Arial" w:hAnsi="Arial" w:cs="Arial"/>
          <w:sz w:val="22"/>
          <w:szCs w:val="22"/>
        </w:rPr>
        <w:t xml:space="preserve">weight gain </w:t>
      </w:r>
      <w:r w:rsidR="004E7F13" w:rsidRPr="001B6EC6">
        <w:rPr>
          <w:rFonts w:ascii="Arial" w:hAnsi="Arial" w:cs="Arial"/>
          <w:sz w:val="22"/>
          <w:szCs w:val="22"/>
        </w:rPr>
        <w:t>(</w:t>
      </w:r>
      <w:r w:rsidRPr="001B6EC6">
        <w:rPr>
          <w:rFonts w:ascii="Arial" w:hAnsi="Arial" w:cs="Arial"/>
          <w:sz w:val="22"/>
          <w:szCs w:val="22"/>
        </w:rPr>
        <w:t>22</w:t>
      </w:r>
      <w:r w:rsidRPr="001B6EC6">
        <w:rPr>
          <w:rStyle w:val="Strong"/>
          <w:rFonts w:ascii="Arial" w:hAnsi="Arial" w:cs="Arial"/>
          <w:b w:val="0"/>
          <w:bCs w:val="0"/>
          <w:sz w:val="22"/>
          <w:szCs w:val="22"/>
        </w:rPr>
        <w:t xml:space="preserve"> g</w:t>
      </w:r>
      <w:r w:rsidR="004E7F13" w:rsidRPr="001B6EC6">
        <w:rPr>
          <w:rStyle w:val="Strong"/>
          <w:rFonts w:ascii="Arial" w:hAnsi="Arial" w:cs="Arial"/>
          <w:b w:val="0"/>
          <w:bCs w:val="0"/>
          <w:sz w:val="22"/>
          <w:szCs w:val="22"/>
        </w:rPr>
        <w:t>)</w:t>
      </w:r>
      <w:r w:rsidRPr="001B6EC6">
        <w:rPr>
          <w:rFonts w:ascii="Arial" w:hAnsi="Arial" w:cs="Arial"/>
          <w:sz w:val="22"/>
          <w:szCs w:val="22"/>
        </w:rPr>
        <w:t xml:space="preserve"> compared with the </w:t>
      </w:r>
      <w:r w:rsidRPr="001B6EC6">
        <w:rPr>
          <w:rStyle w:val="Strong"/>
          <w:rFonts w:ascii="Arial" w:hAnsi="Arial" w:cs="Arial"/>
          <w:b w:val="0"/>
          <w:bCs w:val="0"/>
          <w:sz w:val="22"/>
          <w:szCs w:val="22"/>
        </w:rPr>
        <w:t>Normal Diet group</w:t>
      </w:r>
      <w:r w:rsidRPr="001B6EC6">
        <w:rPr>
          <w:rFonts w:ascii="Arial" w:hAnsi="Arial" w:cs="Arial"/>
          <w:sz w:val="22"/>
          <w:szCs w:val="22"/>
        </w:rPr>
        <w:t xml:space="preserve">, which recorded </w:t>
      </w:r>
      <w:r w:rsidRPr="001B6EC6">
        <w:rPr>
          <w:rStyle w:val="Strong"/>
          <w:rFonts w:ascii="Arial" w:hAnsi="Arial" w:cs="Arial"/>
          <w:b w:val="0"/>
          <w:bCs w:val="0"/>
          <w:sz w:val="22"/>
          <w:szCs w:val="22"/>
        </w:rPr>
        <w:t>17.67g</w:t>
      </w:r>
      <w:r w:rsidR="007850D1" w:rsidRPr="001B6EC6">
        <w:rPr>
          <w:rStyle w:val="Strong"/>
          <w:rFonts w:ascii="Arial" w:hAnsi="Arial" w:cs="Arial"/>
          <w:b w:val="0"/>
          <w:bCs w:val="0"/>
          <w:sz w:val="22"/>
          <w:szCs w:val="22"/>
        </w:rPr>
        <w:t xml:space="preserve"> (Fig</w:t>
      </w:r>
      <w:r w:rsidR="003B4E1A" w:rsidRPr="003B4E1A">
        <w:rPr>
          <w:rStyle w:val="Strong"/>
          <w:rFonts w:ascii="Arial" w:hAnsi="Arial" w:cs="Arial"/>
          <w:b w:val="0"/>
          <w:bCs w:val="0"/>
          <w:color w:val="EE0000"/>
          <w:sz w:val="22"/>
          <w:szCs w:val="22"/>
        </w:rPr>
        <w:t>.</w:t>
      </w:r>
      <w:r w:rsidR="007850D1" w:rsidRPr="001B6EC6">
        <w:rPr>
          <w:rStyle w:val="Strong"/>
          <w:rFonts w:ascii="Arial" w:hAnsi="Arial" w:cs="Arial"/>
          <w:b w:val="0"/>
          <w:bCs w:val="0"/>
          <w:sz w:val="22"/>
          <w:szCs w:val="22"/>
        </w:rPr>
        <w:t xml:space="preserve"> 2)</w:t>
      </w:r>
      <w:r w:rsidRPr="001B6EC6">
        <w:rPr>
          <w:rStyle w:val="Strong"/>
          <w:rFonts w:ascii="Arial" w:hAnsi="Arial" w:cs="Arial"/>
          <w:b w:val="0"/>
          <w:bCs w:val="0"/>
          <w:sz w:val="22"/>
          <w:szCs w:val="22"/>
        </w:rPr>
        <w:t>.</w:t>
      </w:r>
      <w:r w:rsidR="007850D1" w:rsidRPr="001B6EC6">
        <w:rPr>
          <w:rFonts w:ascii="Arial" w:hAnsi="Arial" w:cs="Arial"/>
          <w:sz w:val="22"/>
          <w:szCs w:val="22"/>
        </w:rPr>
        <w:t xml:space="preserve"> </w:t>
      </w:r>
      <w:r w:rsidRPr="001B6EC6">
        <w:rPr>
          <w:rFonts w:ascii="Arial" w:hAnsi="Arial" w:cs="Arial"/>
          <w:sz w:val="22"/>
          <w:szCs w:val="22"/>
        </w:rPr>
        <w:t xml:space="preserve">Treatment with the </w:t>
      </w:r>
      <w:r w:rsidRPr="001B6EC6">
        <w:rPr>
          <w:rStyle w:val="Strong"/>
          <w:rFonts w:ascii="Arial" w:hAnsi="Arial" w:cs="Arial"/>
          <w:b w:val="0"/>
          <w:bCs w:val="0"/>
          <w:sz w:val="22"/>
          <w:szCs w:val="22"/>
        </w:rPr>
        <w:t>Probiotic Combination at Low Dose (HCD + PC Low)</w:t>
      </w:r>
      <w:r w:rsidRPr="001B6EC6">
        <w:rPr>
          <w:rFonts w:ascii="Arial" w:hAnsi="Arial" w:cs="Arial"/>
          <w:sz w:val="22"/>
          <w:szCs w:val="22"/>
        </w:rPr>
        <w:t xml:space="preserve"> led to </w:t>
      </w:r>
      <w:r w:rsidR="004E7F13" w:rsidRPr="001B6EC6">
        <w:rPr>
          <w:rFonts w:ascii="Arial" w:hAnsi="Arial" w:cs="Arial"/>
          <w:sz w:val="22"/>
          <w:szCs w:val="22"/>
        </w:rPr>
        <w:t xml:space="preserve">a </w:t>
      </w:r>
      <w:r w:rsidR="004E7F13" w:rsidRPr="001B6EC6">
        <w:rPr>
          <w:rStyle w:val="Strong"/>
          <w:rFonts w:ascii="Arial" w:hAnsi="Arial" w:cs="Arial"/>
          <w:b w:val="0"/>
          <w:bCs w:val="0"/>
          <w:sz w:val="22"/>
          <w:szCs w:val="22"/>
        </w:rPr>
        <w:t>reduction</w:t>
      </w:r>
      <w:r w:rsidRPr="001B6EC6">
        <w:rPr>
          <w:rStyle w:val="Strong"/>
          <w:rFonts w:ascii="Arial" w:hAnsi="Arial" w:cs="Arial"/>
          <w:b w:val="0"/>
          <w:bCs w:val="0"/>
          <w:sz w:val="22"/>
          <w:szCs w:val="22"/>
        </w:rPr>
        <w:t xml:space="preserve"> (p &lt; 0.05)</w:t>
      </w:r>
      <w:r w:rsidRPr="001B6EC6">
        <w:rPr>
          <w:rFonts w:ascii="Arial" w:hAnsi="Arial" w:cs="Arial"/>
          <w:sz w:val="22"/>
          <w:szCs w:val="22"/>
        </w:rPr>
        <w:t xml:space="preserve"> in body weight gain </w:t>
      </w:r>
      <w:r w:rsidR="004E7F13" w:rsidRPr="001B6EC6">
        <w:rPr>
          <w:rFonts w:ascii="Arial" w:hAnsi="Arial" w:cs="Arial"/>
          <w:sz w:val="22"/>
          <w:szCs w:val="22"/>
        </w:rPr>
        <w:t>at</w:t>
      </w:r>
      <w:r w:rsidRPr="001B6EC6">
        <w:rPr>
          <w:rFonts w:ascii="Arial" w:hAnsi="Arial" w:cs="Arial"/>
          <w:sz w:val="22"/>
          <w:szCs w:val="22"/>
        </w:rPr>
        <w:t xml:space="preserve"> 18.33</w:t>
      </w:r>
      <w:r w:rsidRPr="001B6EC6">
        <w:rPr>
          <w:rStyle w:val="Strong"/>
          <w:rFonts w:ascii="Arial" w:hAnsi="Arial" w:cs="Arial"/>
          <w:b w:val="0"/>
          <w:bCs w:val="0"/>
          <w:sz w:val="22"/>
          <w:szCs w:val="22"/>
        </w:rPr>
        <w:t>g</w:t>
      </w:r>
      <w:r w:rsidRPr="001B6EC6">
        <w:rPr>
          <w:rFonts w:ascii="Arial" w:hAnsi="Arial" w:cs="Arial"/>
          <w:sz w:val="22"/>
          <w:szCs w:val="22"/>
        </w:rPr>
        <w:t>, compared with the untreated HCD group (22</w:t>
      </w:r>
      <w:r w:rsidRPr="001B6EC6">
        <w:rPr>
          <w:rStyle w:val="Strong"/>
          <w:rFonts w:ascii="Arial" w:hAnsi="Arial" w:cs="Arial"/>
          <w:b w:val="0"/>
          <w:bCs w:val="0"/>
          <w:sz w:val="22"/>
          <w:szCs w:val="22"/>
        </w:rPr>
        <w:t xml:space="preserve"> g</w:t>
      </w:r>
      <w:r w:rsidRPr="001B6EC6">
        <w:rPr>
          <w:rFonts w:ascii="Arial" w:hAnsi="Arial" w:cs="Arial"/>
          <w:sz w:val="22"/>
          <w:szCs w:val="22"/>
        </w:rPr>
        <w:t xml:space="preserve">). The </w:t>
      </w:r>
      <w:r w:rsidRPr="001B6EC6">
        <w:rPr>
          <w:rStyle w:val="Strong"/>
          <w:rFonts w:ascii="Arial" w:hAnsi="Arial" w:cs="Arial"/>
          <w:b w:val="0"/>
          <w:bCs w:val="0"/>
          <w:sz w:val="22"/>
          <w:szCs w:val="22"/>
        </w:rPr>
        <w:t>High-Dose Probiotic Combination (HCD + PC High)</w:t>
      </w:r>
      <w:r w:rsidRPr="001B6EC6">
        <w:rPr>
          <w:rFonts w:ascii="Arial" w:hAnsi="Arial" w:cs="Arial"/>
          <w:sz w:val="22"/>
          <w:szCs w:val="22"/>
        </w:rPr>
        <w:t xml:space="preserve"> group showed a further reduction to 17</w:t>
      </w:r>
      <w:r w:rsidR="004E7F13" w:rsidRPr="001B6EC6">
        <w:rPr>
          <w:rFonts w:ascii="Arial" w:hAnsi="Arial" w:cs="Arial"/>
          <w:sz w:val="22"/>
          <w:szCs w:val="22"/>
        </w:rPr>
        <w:t xml:space="preserve"> </w:t>
      </w:r>
      <w:r w:rsidRPr="001B6EC6">
        <w:rPr>
          <w:rStyle w:val="Strong"/>
          <w:rFonts w:ascii="Arial" w:hAnsi="Arial" w:cs="Arial"/>
          <w:b w:val="0"/>
          <w:bCs w:val="0"/>
          <w:sz w:val="22"/>
          <w:szCs w:val="22"/>
        </w:rPr>
        <w:t>g</w:t>
      </w:r>
      <w:r w:rsidR="004E7F13" w:rsidRPr="001B6EC6">
        <w:rPr>
          <w:rFonts w:ascii="Arial" w:hAnsi="Arial" w:cs="Arial"/>
          <w:sz w:val="22"/>
          <w:szCs w:val="22"/>
        </w:rPr>
        <w:t xml:space="preserve">. However, the reduction observed </w:t>
      </w:r>
      <w:r w:rsidRPr="001B6EC6">
        <w:rPr>
          <w:rFonts w:ascii="Arial" w:hAnsi="Arial" w:cs="Arial"/>
          <w:sz w:val="22"/>
          <w:szCs w:val="22"/>
        </w:rPr>
        <w:t xml:space="preserve">was not </w:t>
      </w:r>
      <w:r w:rsidR="004E7F13" w:rsidRPr="001B6EC6">
        <w:rPr>
          <w:rFonts w:ascii="Arial" w:hAnsi="Arial" w:cs="Arial"/>
          <w:sz w:val="22"/>
          <w:szCs w:val="22"/>
        </w:rPr>
        <w:t xml:space="preserve">statistically </w:t>
      </w:r>
      <w:r w:rsidRPr="001B6EC6">
        <w:rPr>
          <w:rFonts w:ascii="Arial" w:hAnsi="Arial" w:cs="Arial"/>
          <w:sz w:val="22"/>
          <w:szCs w:val="22"/>
        </w:rPr>
        <w:t>significant</w:t>
      </w:r>
      <w:r w:rsidR="004E7F13" w:rsidRPr="001B6EC6">
        <w:rPr>
          <w:rFonts w:ascii="Arial" w:hAnsi="Arial" w:cs="Arial"/>
          <w:sz w:val="22"/>
          <w:szCs w:val="22"/>
        </w:rPr>
        <w:t xml:space="preserve"> when compared to the</w:t>
      </w:r>
      <w:r w:rsidRPr="001B6EC6">
        <w:rPr>
          <w:rFonts w:ascii="Arial" w:hAnsi="Arial" w:cs="Arial"/>
          <w:sz w:val="22"/>
          <w:szCs w:val="22"/>
        </w:rPr>
        <w:t xml:space="preserve"> Normal Diet </w:t>
      </w:r>
      <w:r w:rsidR="004E7F13" w:rsidRPr="001B6EC6">
        <w:rPr>
          <w:rFonts w:ascii="Arial" w:hAnsi="Arial" w:cs="Arial"/>
          <w:sz w:val="22"/>
          <w:szCs w:val="22"/>
        </w:rPr>
        <w:t>and HCD groups</w:t>
      </w:r>
      <w:r w:rsidRPr="001B6EC6">
        <w:rPr>
          <w:rFonts w:ascii="Arial" w:hAnsi="Arial" w:cs="Arial"/>
          <w:sz w:val="22"/>
          <w:szCs w:val="22"/>
        </w:rPr>
        <w:t xml:space="preserve"> (p &gt; 0.05).</w:t>
      </w:r>
      <w:r w:rsidR="007850D1" w:rsidRPr="001B6EC6">
        <w:rPr>
          <w:rFonts w:ascii="Arial" w:hAnsi="Arial" w:cs="Arial"/>
          <w:sz w:val="22"/>
          <w:szCs w:val="22"/>
        </w:rPr>
        <w:t xml:space="preserve"> </w:t>
      </w:r>
      <w:r w:rsidRPr="001B6EC6">
        <w:rPr>
          <w:rFonts w:ascii="Arial" w:hAnsi="Arial" w:cs="Arial"/>
          <w:sz w:val="22"/>
          <w:szCs w:val="22"/>
        </w:rPr>
        <w:t>This observation suggests that the probiotic combination may have contributed to better energy utilization, lipid regulation, and possibly suppression of fat accumulation, which are consistent with the metabolic benefits associated with probiotic intake.</w:t>
      </w:r>
    </w:p>
    <w:p w14:paraId="679F0D4F" w14:textId="77777777" w:rsidR="00954ED3" w:rsidRDefault="00147C17">
      <w:pPr>
        <w:jc w:val="both"/>
        <w:rPr>
          <w:rFonts w:ascii="Arial" w:hAnsi="Arial" w:cs="Arial"/>
        </w:rPr>
      </w:pPr>
      <w:r>
        <w:rPr>
          <w:rFonts w:ascii="Arial" w:hAnsi="Arial" w:cs="Arial"/>
          <w:noProof/>
        </w:rPr>
        <w:lastRenderedPageBreak/>
        <w:drawing>
          <wp:inline distT="0" distB="0" distL="0" distR="0" wp14:anchorId="164C4684" wp14:editId="0739EEAD">
            <wp:extent cx="5899150" cy="3359150"/>
            <wp:effectExtent l="5080" t="4445" r="13970" b="1460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BCE7141" w14:textId="7D26C632" w:rsidR="00954ED3" w:rsidRDefault="00147C17">
      <w:pPr>
        <w:jc w:val="both"/>
        <w:rPr>
          <w:rStyle w:val="Strong"/>
          <w:rFonts w:ascii="Arial" w:hAnsi="Arial" w:cs="Arial"/>
        </w:rPr>
      </w:pPr>
      <w:r>
        <w:rPr>
          <w:rFonts w:ascii="Arial" w:hAnsi="Arial" w:cs="Arial"/>
        </w:rPr>
        <w:t>Fig</w:t>
      </w:r>
      <w:r w:rsidR="003B4E1A" w:rsidRPr="003B4E1A">
        <w:rPr>
          <w:rFonts w:ascii="Arial" w:hAnsi="Arial" w:cs="Arial"/>
          <w:color w:val="EE0000"/>
        </w:rPr>
        <w:t>.</w:t>
      </w:r>
      <w:r w:rsidRPr="003B4E1A">
        <w:rPr>
          <w:rFonts w:ascii="Arial" w:hAnsi="Arial" w:cs="Arial"/>
          <w:color w:val="EE0000"/>
        </w:rPr>
        <w:t xml:space="preserve"> </w:t>
      </w:r>
      <w:r>
        <w:rPr>
          <w:rFonts w:ascii="Arial" w:hAnsi="Arial" w:cs="Arial"/>
        </w:rPr>
        <w:t>2: Changes in body weight gain</w:t>
      </w:r>
    </w:p>
    <w:p w14:paraId="2A096F34" w14:textId="77777777" w:rsidR="001301E0" w:rsidRPr="003E1CD4" w:rsidRDefault="001301E0" w:rsidP="001301E0">
      <w:pPr>
        <w:autoSpaceDE w:val="0"/>
        <w:autoSpaceDN w:val="0"/>
        <w:adjustRightInd w:val="0"/>
        <w:spacing w:before="240" w:after="0" w:line="240" w:lineRule="auto"/>
        <w:rPr>
          <w:rFonts w:ascii="Times New Roman" w:hAnsi="Times New Roman" w:cs="Times New Roman"/>
          <w:sz w:val="18"/>
          <w:szCs w:val="18"/>
        </w:rPr>
      </w:pPr>
      <w:r w:rsidRPr="003E1CD4">
        <w:rPr>
          <w:rFonts w:ascii="Times New Roman" w:hAnsi="Times New Roman" w:cs="Times New Roman"/>
          <w:sz w:val="18"/>
          <w:szCs w:val="18"/>
        </w:rPr>
        <w:t>Different superscript letters represent the statistical significance (p &lt; 0.05).</w:t>
      </w:r>
    </w:p>
    <w:p w14:paraId="2C1B602F" w14:textId="706B2B08" w:rsidR="00954ED3" w:rsidRDefault="00954ED3">
      <w:pPr>
        <w:jc w:val="both"/>
        <w:rPr>
          <w:rFonts w:ascii="Arial" w:hAnsi="Arial" w:cs="Arial"/>
          <w:b/>
          <w:bCs/>
        </w:rPr>
      </w:pPr>
    </w:p>
    <w:p w14:paraId="57E5ED20" w14:textId="69AF1789" w:rsidR="00954ED3" w:rsidRDefault="00147C17" w:rsidP="00C65416">
      <w:pPr>
        <w:jc w:val="both"/>
        <w:rPr>
          <w:rFonts w:ascii="Arial" w:hAnsi="Arial" w:cs="Arial"/>
        </w:rPr>
      </w:pPr>
      <w:r>
        <w:rPr>
          <w:rFonts w:ascii="Arial" w:hAnsi="Arial" w:cs="Arial"/>
        </w:rPr>
        <w:t xml:space="preserve">Rats maintained on a </w:t>
      </w:r>
      <w:r>
        <w:rPr>
          <w:rStyle w:val="Strong"/>
          <w:rFonts w:ascii="Arial" w:hAnsi="Arial" w:cs="Arial"/>
          <w:b w:val="0"/>
          <w:bCs w:val="0"/>
        </w:rPr>
        <w:t>High-Cholesterol Diet (HCD)</w:t>
      </w:r>
      <w:r>
        <w:rPr>
          <w:rFonts w:ascii="Arial" w:hAnsi="Arial" w:cs="Arial"/>
        </w:rPr>
        <w:t xml:space="preserve"> exhibited a </w:t>
      </w:r>
      <w:r>
        <w:rPr>
          <w:rStyle w:val="Strong"/>
          <w:rFonts w:ascii="Arial" w:hAnsi="Arial" w:cs="Arial"/>
          <w:b w:val="0"/>
          <w:bCs w:val="0"/>
        </w:rPr>
        <w:t>significant increase (p &lt; 0.05)</w:t>
      </w:r>
      <w:r>
        <w:rPr>
          <w:rFonts w:ascii="Arial" w:hAnsi="Arial" w:cs="Arial"/>
        </w:rPr>
        <w:t xml:space="preserve"> in total cholesterol levels (231.08</w:t>
      </w:r>
      <w:r>
        <w:rPr>
          <w:rStyle w:val="Strong"/>
          <w:rFonts w:ascii="Arial" w:hAnsi="Arial" w:cs="Arial"/>
          <w:b w:val="0"/>
          <w:bCs w:val="0"/>
        </w:rPr>
        <w:t xml:space="preserve"> mg/dL</w:t>
      </w:r>
      <w:r>
        <w:rPr>
          <w:rFonts w:ascii="Arial" w:hAnsi="Arial" w:cs="Arial"/>
        </w:rPr>
        <w:t xml:space="preserve">) compared to the </w:t>
      </w:r>
      <w:r>
        <w:rPr>
          <w:rStyle w:val="Strong"/>
          <w:rFonts w:ascii="Arial" w:hAnsi="Arial" w:cs="Arial"/>
          <w:b w:val="0"/>
          <w:bCs w:val="0"/>
        </w:rPr>
        <w:t>Normal-Diet group</w:t>
      </w:r>
      <w:r>
        <w:rPr>
          <w:rFonts w:ascii="Arial" w:hAnsi="Arial" w:cs="Arial"/>
        </w:rPr>
        <w:t xml:space="preserve"> (</w:t>
      </w:r>
      <w:r>
        <w:rPr>
          <w:rStyle w:val="Strong"/>
          <w:rFonts w:ascii="Arial" w:hAnsi="Arial" w:cs="Arial"/>
          <w:b w:val="0"/>
          <w:bCs w:val="0"/>
        </w:rPr>
        <w:t>135.99 mg/d</w:t>
      </w:r>
      <w:r w:rsidR="007850D1">
        <w:rPr>
          <w:rStyle w:val="Strong"/>
          <w:rFonts w:ascii="Arial" w:hAnsi="Arial" w:cs="Arial"/>
          <w:b w:val="0"/>
          <w:bCs w:val="0"/>
        </w:rPr>
        <w:t>) (Fig</w:t>
      </w:r>
      <w:r w:rsidR="003B4E1A" w:rsidRPr="003B4E1A">
        <w:rPr>
          <w:rStyle w:val="Strong"/>
          <w:rFonts w:ascii="Arial" w:hAnsi="Arial" w:cs="Arial"/>
          <w:b w:val="0"/>
          <w:bCs w:val="0"/>
          <w:color w:val="EE0000"/>
        </w:rPr>
        <w:t>.</w:t>
      </w:r>
      <w:r w:rsidR="007850D1">
        <w:rPr>
          <w:rStyle w:val="Strong"/>
          <w:rFonts w:ascii="Arial" w:hAnsi="Arial" w:cs="Arial"/>
          <w:b w:val="0"/>
          <w:bCs w:val="0"/>
        </w:rPr>
        <w:t xml:space="preserve"> 3)</w:t>
      </w:r>
      <w:r>
        <w:rPr>
          <w:rStyle w:val="Strong"/>
          <w:rFonts w:ascii="Arial" w:hAnsi="Arial" w:cs="Arial"/>
          <w:b w:val="0"/>
          <w:bCs w:val="0"/>
        </w:rPr>
        <w:t>.</w:t>
      </w:r>
      <w:r w:rsidR="007850D1">
        <w:rPr>
          <w:rStyle w:val="Strong"/>
          <w:rFonts w:ascii="Arial" w:hAnsi="Arial" w:cs="Arial"/>
          <w:b w:val="0"/>
          <w:bCs w:val="0"/>
        </w:rPr>
        <w:t xml:space="preserve"> </w:t>
      </w:r>
      <w:r>
        <w:rPr>
          <w:rFonts w:ascii="Arial" w:hAnsi="Arial" w:cs="Arial"/>
        </w:rPr>
        <w:t xml:space="preserve">Administration of the </w:t>
      </w:r>
      <w:r>
        <w:rPr>
          <w:rStyle w:val="Strong"/>
          <w:rFonts w:ascii="Arial" w:hAnsi="Arial" w:cs="Arial"/>
          <w:b w:val="0"/>
          <w:bCs w:val="0"/>
        </w:rPr>
        <w:t>Low-Dose Probiotic Combination (HCD + PC Low)</w:t>
      </w:r>
      <w:r>
        <w:rPr>
          <w:rFonts w:ascii="Arial" w:hAnsi="Arial" w:cs="Arial"/>
        </w:rPr>
        <w:t xml:space="preserve"> significantly </w:t>
      </w:r>
      <w:r>
        <w:rPr>
          <w:rStyle w:val="Strong"/>
          <w:rFonts w:ascii="Arial" w:hAnsi="Arial" w:cs="Arial"/>
          <w:b w:val="0"/>
          <w:bCs w:val="0"/>
        </w:rPr>
        <w:t>reduced total cholesterol to 146.0</w:t>
      </w:r>
      <w:r w:rsidR="00D46FEF">
        <w:rPr>
          <w:rStyle w:val="Strong"/>
          <w:rFonts w:ascii="Arial" w:hAnsi="Arial" w:cs="Arial"/>
          <w:b w:val="0"/>
          <w:bCs w:val="0"/>
        </w:rPr>
        <w:t>8</w:t>
      </w:r>
      <w:r>
        <w:rPr>
          <w:rStyle w:val="Strong"/>
          <w:rFonts w:ascii="Arial" w:hAnsi="Arial" w:cs="Arial"/>
          <w:b w:val="0"/>
          <w:bCs w:val="0"/>
        </w:rPr>
        <w:t xml:space="preserve"> mg/dL</w:t>
      </w:r>
      <w:r>
        <w:rPr>
          <w:rFonts w:ascii="Arial" w:hAnsi="Arial" w:cs="Arial"/>
        </w:rPr>
        <w:t xml:space="preserve"> (p &lt; 0.05 vs. HCD group), showing a clear lipid-lowering effect. The </w:t>
      </w:r>
      <w:r>
        <w:rPr>
          <w:rStyle w:val="Strong"/>
          <w:rFonts w:ascii="Arial" w:hAnsi="Arial" w:cs="Arial"/>
          <w:b w:val="0"/>
          <w:bCs w:val="0"/>
        </w:rPr>
        <w:t>High-Dose Probiotic Combination (HCD + PC High)</w:t>
      </w:r>
      <w:r>
        <w:rPr>
          <w:rFonts w:ascii="Arial" w:hAnsi="Arial" w:cs="Arial"/>
        </w:rPr>
        <w:t xml:space="preserve"> further decreased total cholesterol to </w:t>
      </w:r>
      <w:r>
        <w:rPr>
          <w:rStyle w:val="Strong"/>
          <w:rFonts w:ascii="Arial" w:hAnsi="Arial" w:cs="Arial"/>
          <w:b w:val="0"/>
          <w:bCs w:val="0"/>
        </w:rPr>
        <w:t>143.96 mg/dL</w:t>
      </w:r>
      <w:r>
        <w:rPr>
          <w:rFonts w:ascii="Arial" w:hAnsi="Arial" w:cs="Arial"/>
        </w:rPr>
        <w:t xml:space="preserve">, which was statistically </w:t>
      </w:r>
      <w:r>
        <w:rPr>
          <w:rStyle w:val="Strong"/>
          <w:rFonts w:ascii="Arial" w:hAnsi="Arial" w:cs="Arial"/>
          <w:b w:val="0"/>
          <w:bCs w:val="0"/>
        </w:rPr>
        <w:t>comparable to the Normal-Diet group (p &gt; 0.05)</w:t>
      </w:r>
      <w:r>
        <w:rPr>
          <w:rFonts w:ascii="Arial" w:hAnsi="Arial" w:cs="Arial"/>
        </w:rPr>
        <w:t xml:space="preserve"> and significantly lower than HCD group (p &lt; 0.05). This indicates that the probiotics likely promoted cholesterol degradation and excretion or inhibited its intestinal absorption. The result aligns with known cholesterol-lowering effects of lactic acid bacteria, which act through bile salt hydrolase activity and binding of dietary cholesterol</w:t>
      </w:r>
      <w:r w:rsidR="00763194">
        <w:rPr>
          <w:rFonts w:ascii="Arial" w:hAnsi="Arial" w:cs="Arial"/>
        </w:rPr>
        <w:t>.</w:t>
      </w:r>
    </w:p>
    <w:p w14:paraId="6E6265FD" w14:textId="1A16C184" w:rsidR="00763194" w:rsidRPr="006D2803" w:rsidRDefault="00763194" w:rsidP="00C65416">
      <w:pPr>
        <w:pStyle w:val="NormalWeb"/>
        <w:spacing w:line="276" w:lineRule="auto"/>
        <w:jc w:val="both"/>
        <w:rPr>
          <w:rFonts w:ascii="Arial" w:hAnsi="Arial" w:cs="Arial"/>
          <w:strike/>
          <w:sz w:val="22"/>
          <w:szCs w:val="22"/>
        </w:rPr>
      </w:pPr>
      <w:r>
        <w:rPr>
          <w:rFonts w:ascii="Arial" w:hAnsi="Arial" w:cs="Arial"/>
          <w:sz w:val="22"/>
          <w:szCs w:val="22"/>
        </w:rPr>
        <w:t xml:space="preserve">The total </w:t>
      </w:r>
      <w:proofErr w:type="spellStart"/>
      <w:r>
        <w:rPr>
          <w:rFonts w:ascii="Arial" w:hAnsi="Arial" w:cs="Arial"/>
          <w:sz w:val="22"/>
          <w:szCs w:val="22"/>
        </w:rPr>
        <w:t>triacylglyceride</w:t>
      </w:r>
      <w:proofErr w:type="spellEnd"/>
      <w:r>
        <w:rPr>
          <w:rFonts w:ascii="Arial" w:hAnsi="Arial" w:cs="Arial"/>
          <w:sz w:val="22"/>
          <w:szCs w:val="22"/>
        </w:rPr>
        <w:t xml:space="preserve"> levels were markedly elevated in rats on the HCD relative to the normal diet group. Probiotic supplementation, especially at the higher dose, significantly decreased triglyceride concentrations compared to the untreated HCD group (Fig</w:t>
      </w:r>
      <w:r w:rsidR="003B4E1A" w:rsidRPr="003B4E1A">
        <w:rPr>
          <w:rFonts w:ascii="Arial" w:hAnsi="Arial" w:cs="Arial"/>
          <w:color w:val="EE0000"/>
          <w:sz w:val="22"/>
          <w:szCs w:val="22"/>
        </w:rPr>
        <w:t>.</w:t>
      </w:r>
      <w:r>
        <w:rPr>
          <w:rFonts w:ascii="Arial" w:hAnsi="Arial" w:cs="Arial"/>
          <w:sz w:val="22"/>
          <w:szCs w:val="22"/>
        </w:rPr>
        <w:t xml:space="preserve"> 4). Rats fed a </w:t>
      </w:r>
      <w:r>
        <w:rPr>
          <w:rStyle w:val="Strong"/>
          <w:rFonts w:ascii="Arial" w:hAnsi="Arial" w:cs="Arial"/>
          <w:b w:val="0"/>
          <w:bCs w:val="0"/>
          <w:sz w:val="22"/>
          <w:szCs w:val="22"/>
        </w:rPr>
        <w:t>High-Cholesterol Diet (HCD)</w:t>
      </w:r>
      <w:r>
        <w:rPr>
          <w:rFonts w:ascii="Arial" w:hAnsi="Arial" w:cs="Arial"/>
          <w:sz w:val="22"/>
          <w:szCs w:val="22"/>
        </w:rPr>
        <w:t xml:space="preserve"> showed a </w:t>
      </w:r>
      <w:r>
        <w:rPr>
          <w:rStyle w:val="Strong"/>
          <w:rFonts w:ascii="Arial" w:hAnsi="Arial" w:cs="Arial"/>
          <w:b w:val="0"/>
          <w:bCs w:val="0"/>
          <w:sz w:val="22"/>
          <w:szCs w:val="22"/>
        </w:rPr>
        <w:t>significant increase (p &lt; 0.05)</w:t>
      </w:r>
      <w:r>
        <w:rPr>
          <w:rFonts w:ascii="Arial" w:hAnsi="Arial" w:cs="Arial"/>
          <w:sz w:val="22"/>
          <w:szCs w:val="22"/>
        </w:rPr>
        <w:t xml:space="preserve"> in serum </w:t>
      </w:r>
      <w:proofErr w:type="spellStart"/>
      <w:r>
        <w:rPr>
          <w:rFonts w:ascii="Arial" w:hAnsi="Arial" w:cs="Arial"/>
          <w:sz w:val="22"/>
          <w:szCs w:val="22"/>
        </w:rPr>
        <w:t>triacylglyceride</w:t>
      </w:r>
      <w:proofErr w:type="spellEnd"/>
      <w:r>
        <w:rPr>
          <w:rFonts w:ascii="Arial" w:hAnsi="Arial" w:cs="Arial"/>
          <w:sz w:val="22"/>
          <w:szCs w:val="22"/>
        </w:rPr>
        <w:t xml:space="preserve"> (TAG) levels (342.92</w:t>
      </w:r>
      <w:r>
        <w:rPr>
          <w:rStyle w:val="Strong"/>
          <w:rFonts w:ascii="Arial" w:hAnsi="Arial" w:cs="Arial"/>
          <w:b w:val="0"/>
          <w:bCs w:val="0"/>
          <w:sz w:val="22"/>
          <w:szCs w:val="22"/>
        </w:rPr>
        <w:t>mg/dL</w:t>
      </w:r>
      <w:r>
        <w:rPr>
          <w:rFonts w:ascii="Arial" w:hAnsi="Arial" w:cs="Arial"/>
          <w:sz w:val="22"/>
          <w:szCs w:val="22"/>
        </w:rPr>
        <w:t xml:space="preserve">) compared to the </w:t>
      </w:r>
      <w:r>
        <w:rPr>
          <w:rStyle w:val="Strong"/>
          <w:rFonts w:ascii="Arial" w:hAnsi="Arial" w:cs="Arial"/>
          <w:b w:val="0"/>
          <w:bCs w:val="0"/>
          <w:sz w:val="22"/>
          <w:szCs w:val="22"/>
        </w:rPr>
        <w:t>Normal-Diet group</w:t>
      </w:r>
      <w:r>
        <w:rPr>
          <w:rFonts w:ascii="Arial" w:hAnsi="Arial" w:cs="Arial"/>
          <w:sz w:val="22"/>
          <w:szCs w:val="22"/>
        </w:rPr>
        <w:t xml:space="preserve"> (272.5</w:t>
      </w:r>
      <w:r>
        <w:rPr>
          <w:rStyle w:val="Strong"/>
          <w:rFonts w:ascii="Arial" w:hAnsi="Arial" w:cs="Arial"/>
          <w:b w:val="0"/>
          <w:bCs w:val="0"/>
          <w:sz w:val="22"/>
          <w:szCs w:val="22"/>
        </w:rPr>
        <w:t>mg/dL</w:t>
      </w:r>
      <w:r>
        <w:rPr>
          <w:rFonts w:ascii="Arial" w:hAnsi="Arial" w:cs="Arial"/>
          <w:sz w:val="22"/>
          <w:szCs w:val="22"/>
        </w:rPr>
        <w:t>).</w:t>
      </w:r>
      <w:r>
        <w:rPr>
          <w:rFonts w:ascii="Arial" w:hAnsi="Arial" w:cs="Arial"/>
          <w:strike/>
          <w:sz w:val="22"/>
          <w:szCs w:val="22"/>
        </w:rPr>
        <w:t xml:space="preserve"> </w:t>
      </w:r>
      <w:r>
        <w:rPr>
          <w:rFonts w:ascii="Arial" w:hAnsi="Arial" w:cs="Arial"/>
          <w:sz w:val="22"/>
          <w:szCs w:val="22"/>
        </w:rPr>
        <w:t xml:space="preserve">Administration of the </w:t>
      </w:r>
      <w:r>
        <w:rPr>
          <w:rStyle w:val="Strong"/>
          <w:rFonts w:ascii="Arial" w:hAnsi="Arial" w:cs="Arial"/>
          <w:b w:val="0"/>
          <w:bCs w:val="0"/>
          <w:sz w:val="22"/>
          <w:szCs w:val="22"/>
        </w:rPr>
        <w:t>Low-Dose Probiotic Combination (HCD + PC Low)</w:t>
      </w:r>
      <w:r>
        <w:rPr>
          <w:rFonts w:ascii="Arial" w:hAnsi="Arial" w:cs="Arial"/>
          <w:sz w:val="22"/>
          <w:szCs w:val="22"/>
        </w:rPr>
        <w:t xml:space="preserve"> significantly </w:t>
      </w:r>
      <w:r>
        <w:rPr>
          <w:rStyle w:val="Strong"/>
          <w:rFonts w:ascii="Arial" w:hAnsi="Arial" w:cs="Arial"/>
          <w:b w:val="0"/>
          <w:bCs w:val="0"/>
          <w:sz w:val="22"/>
          <w:szCs w:val="22"/>
        </w:rPr>
        <w:t>reduced TAG levels to 238.75 mg/dL</w:t>
      </w:r>
      <w:r>
        <w:rPr>
          <w:rFonts w:ascii="Arial" w:hAnsi="Arial" w:cs="Arial"/>
          <w:sz w:val="22"/>
          <w:szCs w:val="22"/>
        </w:rPr>
        <w:t xml:space="preserve"> (p &lt; 0.05 vs. HCD group), suggesting partial reversal of diet-induced hypertriglyceridemia. The </w:t>
      </w:r>
      <w:r>
        <w:rPr>
          <w:rStyle w:val="Strong"/>
          <w:rFonts w:ascii="Arial" w:hAnsi="Arial" w:cs="Arial"/>
          <w:b w:val="0"/>
          <w:bCs w:val="0"/>
          <w:sz w:val="22"/>
          <w:szCs w:val="22"/>
        </w:rPr>
        <w:t>High-Dose Probiotic Combination (HCD + PC High)</w:t>
      </w:r>
      <w:r>
        <w:rPr>
          <w:rFonts w:ascii="Arial" w:hAnsi="Arial" w:cs="Arial"/>
          <w:sz w:val="22"/>
          <w:szCs w:val="22"/>
        </w:rPr>
        <w:t xml:space="preserve"> further </w:t>
      </w:r>
      <w:r>
        <w:rPr>
          <w:rStyle w:val="Strong"/>
          <w:rFonts w:ascii="Arial" w:hAnsi="Arial" w:cs="Arial"/>
          <w:b w:val="0"/>
          <w:bCs w:val="0"/>
          <w:sz w:val="22"/>
          <w:szCs w:val="22"/>
        </w:rPr>
        <w:t>lowered TAG to 249.58 mg/dL</w:t>
      </w:r>
      <w:r>
        <w:rPr>
          <w:rFonts w:ascii="Arial" w:hAnsi="Arial" w:cs="Arial"/>
          <w:sz w:val="22"/>
          <w:szCs w:val="22"/>
        </w:rPr>
        <w:t xml:space="preserve">, which was not significantly different (p &gt; 0.05) from the Normal-Diet group but significantly lower (p &lt; 0.05) than both the HCD. This reduction suggests that the probiotic combination may </w:t>
      </w:r>
      <w:r>
        <w:rPr>
          <w:rFonts w:ascii="Arial" w:hAnsi="Arial" w:cs="Arial"/>
          <w:sz w:val="22"/>
          <w:szCs w:val="22"/>
        </w:rPr>
        <w:lastRenderedPageBreak/>
        <w:t>enhance lipid metabolism, likely by promoting fatty acid oxidation and reducing hepatic synthesis of triglycerides.</w:t>
      </w:r>
    </w:p>
    <w:p w14:paraId="56C8AF03" w14:textId="3364BB43" w:rsidR="00EB090A" w:rsidRDefault="00763194" w:rsidP="00EB090A">
      <w:pPr>
        <w:jc w:val="both"/>
        <w:rPr>
          <w:rFonts w:ascii="Arial" w:hAnsi="Arial" w:cs="Arial"/>
        </w:rPr>
      </w:pPr>
      <w:r>
        <w:rPr>
          <w:rFonts w:ascii="Arial" w:hAnsi="Arial" w:cs="Arial"/>
        </w:rPr>
        <w:t xml:space="preserve">The reduction observed in this study for the total cholesterol and </w:t>
      </w:r>
      <w:proofErr w:type="spellStart"/>
      <w:r>
        <w:rPr>
          <w:rFonts w:ascii="Arial" w:hAnsi="Arial" w:cs="Arial"/>
        </w:rPr>
        <w:t>triacylglyceride</w:t>
      </w:r>
      <w:proofErr w:type="spellEnd"/>
      <w:r>
        <w:rPr>
          <w:rFonts w:ascii="Arial" w:hAnsi="Arial" w:cs="Arial"/>
        </w:rPr>
        <w:t xml:space="preserve"> in the probiotic treatment groups</w:t>
      </w:r>
      <w:r w:rsidR="00EB090A">
        <w:rPr>
          <w:rFonts w:ascii="Arial" w:hAnsi="Arial" w:cs="Arial"/>
        </w:rPr>
        <w:t>,</w:t>
      </w:r>
      <w:r>
        <w:rPr>
          <w:rFonts w:ascii="Arial" w:hAnsi="Arial" w:cs="Arial"/>
        </w:rPr>
        <w:t xml:space="preserve"> were</w:t>
      </w:r>
      <w:r w:rsidR="00EB090A">
        <w:rPr>
          <w:rFonts w:ascii="Arial" w:hAnsi="Arial" w:cs="Arial"/>
        </w:rPr>
        <w:t xml:space="preserve"> consistent with meta-analyses</w:t>
      </w:r>
      <w:r>
        <w:rPr>
          <w:rFonts w:ascii="Arial" w:hAnsi="Arial" w:cs="Arial"/>
        </w:rPr>
        <w:t xml:space="preserve"> report</w:t>
      </w:r>
      <w:r w:rsidR="00EB090A">
        <w:rPr>
          <w:rFonts w:ascii="Arial" w:hAnsi="Arial" w:cs="Arial"/>
        </w:rPr>
        <w:t xml:space="preserve"> like those by Pan et al. (2024) and Wu et al. (2022), which confirmed that probiotic treatments reduce both triglycerides and total cholesterol in animals and humans. The effects recorded in this study increased with higher doses, matching previous findings on dose-dependent responses (Gadelha and </w:t>
      </w:r>
      <w:proofErr w:type="spellStart"/>
      <w:r w:rsidR="00EB090A">
        <w:rPr>
          <w:rFonts w:ascii="Arial" w:hAnsi="Arial" w:cs="Arial"/>
        </w:rPr>
        <w:t>Bezerra</w:t>
      </w:r>
      <w:proofErr w:type="spellEnd"/>
      <w:r w:rsidR="00EB090A">
        <w:rPr>
          <w:rFonts w:ascii="Arial" w:hAnsi="Arial" w:cs="Arial"/>
        </w:rPr>
        <w:t>, 2019).</w:t>
      </w:r>
    </w:p>
    <w:p w14:paraId="2AC6C6A2" w14:textId="77777777" w:rsidR="00954ED3" w:rsidRDefault="00954ED3">
      <w:pPr>
        <w:jc w:val="both"/>
        <w:rPr>
          <w:rStyle w:val="Strong"/>
          <w:rFonts w:ascii="Arial" w:hAnsi="Arial" w:cs="Arial"/>
          <w:b w:val="0"/>
          <w:bCs w:val="0"/>
        </w:rPr>
      </w:pPr>
    </w:p>
    <w:p w14:paraId="26BEFECF" w14:textId="77777777" w:rsidR="00954ED3" w:rsidRDefault="00147C17">
      <w:pPr>
        <w:jc w:val="both"/>
        <w:rPr>
          <w:rFonts w:ascii="Arial" w:hAnsi="Arial" w:cs="Arial"/>
        </w:rPr>
      </w:pPr>
      <w:r>
        <w:rPr>
          <w:rFonts w:ascii="Arial" w:hAnsi="Arial" w:cs="Arial"/>
          <w:noProof/>
        </w:rPr>
        <w:drawing>
          <wp:inline distT="0" distB="0" distL="0" distR="0" wp14:anchorId="54862994" wp14:editId="39F5FE97">
            <wp:extent cx="5816600" cy="2654300"/>
            <wp:effectExtent l="4445" t="4445" r="8255" b="825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A9CD3B" w14:textId="760AA457" w:rsidR="00954ED3" w:rsidRDefault="00147C17" w:rsidP="006D2803">
      <w:pPr>
        <w:jc w:val="both"/>
        <w:rPr>
          <w:rFonts w:ascii="Arial" w:hAnsi="Arial" w:cs="Arial"/>
        </w:rPr>
      </w:pPr>
      <w:r>
        <w:rPr>
          <w:rFonts w:ascii="Arial" w:hAnsi="Arial" w:cs="Arial"/>
        </w:rPr>
        <w:t>Fig</w:t>
      </w:r>
      <w:r w:rsidR="003B4E1A" w:rsidRPr="003B4E1A">
        <w:rPr>
          <w:rFonts w:ascii="Arial" w:hAnsi="Arial" w:cs="Arial"/>
          <w:color w:val="EE0000"/>
        </w:rPr>
        <w:t>.</w:t>
      </w:r>
      <w:r>
        <w:rPr>
          <w:rFonts w:ascii="Arial" w:hAnsi="Arial" w:cs="Arial"/>
        </w:rPr>
        <w:t xml:space="preserve"> 3: Level of total cholesterol</w:t>
      </w:r>
    </w:p>
    <w:p w14:paraId="46FBDE8E" w14:textId="77777777" w:rsidR="001301E0" w:rsidRPr="003E1CD4" w:rsidRDefault="001301E0" w:rsidP="001301E0">
      <w:pPr>
        <w:autoSpaceDE w:val="0"/>
        <w:autoSpaceDN w:val="0"/>
        <w:adjustRightInd w:val="0"/>
        <w:spacing w:before="240" w:after="0" w:line="240" w:lineRule="auto"/>
        <w:rPr>
          <w:rFonts w:ascii="Times New Roman" w:hAnsi="Times New Roman" w:cs="Times New Roman"/>
          <w:sz w:val="18"/>
          <w:szCs w:val="18"/>
        </w:rPr>
      </w:pPr>
      <w:r w:rsidRPr="003E1CD4">
        <w:rPr>
          <w:rFonts w:ascii="Times New Roman" w:hAnsi="Times New Roman" w:cs="Times New Roman"/>
          <w:sz w:val="18"/>
          <w:szCs w:val="18"/>
        </w:rPr>
        <w:t>Different superscript letters represent the statistical significance (p &lt; 0.05).</w:t>
      </w:r>
    </w:p>
    <w:p w14:paraId="5E330C99" w14:textId="77777777" w:rsidR="00954ED3" w:rsidRDefault="00954ED3">
      <w:pPr>
        <w:jc w:val="both"/>
        <w:rPr>
          <w:rFonts w:ascii="Arial" w:eastAsia="SimSun" w:hAnsi="Arial" w:cs="Arial"/>
        </w:rPr>
      </w:pPr>
    </w:p>
    <w:p w14:paraId="67774450" w14:textId="77777777" w:rsidR="00954ED3" w:rsidRDefault="00147C17">
      <w:pPr>
        <w:jc w:val="both"/>
        <w:rPr>
          <w:rFonts w:ascii="Arial" w:hAnsi="Arial" w:cs="Arial"/>
        </w:rPr>
      </w:pPr>
      <w:r>
        <w:rPr>
          <w:rFonts w:ascii="Arial" w:hAnsi="Arial" w:cs="Arial"/>
          <w:noProof/>
        </w:rPr>
        <w:lastRenderedPageBreak/>
        <w:drawing>
          <wp:inline distT="0" distB="0" distL="0" distR="0" wp14:anchorId="2D34A8F2" wp14:editId="58420755">
            <wp:extent cx="6013450" cy="3009900"/>
            <wp:effectExtent l="4445" t="5080" r="14605" b="762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BD9AEAC" w14:textId="114F9113" w:rsidR="00954ED3" w:rsidRDefault="00147C17">
      <w:pPr>
        <w:jc w:val="both"/>
        <w:rPr>
          <w:rFonts w:ascii="Arial" w:hAnsi="Arial" w:cs="Arial"/>
        </w:rPr>
      </w:pPr>
      <w:r>
        <w:rPr>
          <w:rFonts w:ascii="Arial" w:hAnsi="Arial" w:cs="Arial"/>
        </w:rPr>
        <w:t>Fig</w:t>
      </w:r>
      <w:r w:rsidR="003B4E1A" w:rsidRPr="003B4E1A">
        <w:rPr>
          <w:rFonts w:ascii="Arial" w:hAnsi="Arial" w:cs="Arial"/>
          <w:color w:val="EE0000"/>
        </w:rPr>
        <w:t>.</w:t>
      </w:r>
      <w:r>
        <w:rPr>
          <w:rFonts w:ascii="Arial" w:hAnsi="Arial" w:cs="Arial"/>
        </w:rPr>
        <w:t xml:space="preserve"> 4: Level of total </w:t>
      </w:r>
      <w:proofErr w:type="spellStart"/>
      <w:r>
        <w:rPr>
          <w:rFonts w:ascii="Arial" w:hAnsi="Arial" w:cs="Arial"/>
        </w:rPr>
        <w:t>triacylglyceride</w:t>
      </w:r>
      <w:proofErr w:type="spellEnd"/>
    </w:p>
    <w:p w14:paraId="319AE620" w14:textId="77777777" w:rsidR="001301E0" w:rsidRPr="003E1CD4" w:rsidRDefault="001301E0" w:rsidP="001301E0">
      <w:pPr>
        <w:autoSpaceDE w:val="0"/>
        <w:autoSpaceDN w:val="0"/>
        <w:adjustRightInd w:val="0"/>
        <w:spacing w:before="240" w:after="0" w:line="240" w:lineRule="auto"/>
        <w:rPr>
          <w:rFonts w:ascii="Times New Roman" w:hAnsi="Times New Roman" w:cs="Times New Roman"/>
          <w:sz w:val="18"/>
          <w:szCs w:val="18"/>
        </w:rPr>
      </w:pPr>
      <w:r w:rsidRPr="003E1CD4">
        <w:rPr>
          <w:rFonts w:ascii="Times New Roman" w:hAnsi="Times New Roman" w:cs="Times New Roman"/>
          <w:sz w:val="18"/>
          <w:szCs w:val="18"/>
        </w:rPr>
        <w:t>Different superscript letters represent the statistical significance (p &lt; 0.05).</w:t>
      </w:r>
    </w:p>
    <w:p w14:paraId="56A9226F" w14:textId="77777777" w:rsidR="001301E0" w:rsidRDefault="001301E0">
      <w:pPr>
        <w:jc w:val="both"/>
        <w:rPr>
          <w:rFonts w:ascii="Arial" w:hAnsi="Arial" w:cs="Arial"/>
        </w:rPr>
      </w:pPr>
    </w:p>
    <w:p w14:paraId="4B6FCBEB" w14:textId="347D35EF" w:rsidR="00954ED3" w:rsidRDefault="00147C17" w:rsidP="00C65416">
      <w:pPr>
        <w:pStyle w:val="NormalWeb"/>
        <w:spacing w:line="276" w:lineRule="auto"/>
        <w:jc w:val="both"/>
        <w:rPr>
          <w:rFonts w:ascii="Arial" w:hAnsi="Arial" w:cs="Arial"/>
          <w:sz w:val="22"/>
          <w:szCs w:val="22"/>
        </w:rPr>
      </w:pPr>
      <w:r>
        <w:rPr>
          <w:rFonts w:ascii="Arial" w:hAnsi="Arial" w:cs="Arial"/>
          <w:sz w:val="22"/>
          <w:szCs w:val="22"/>
        </w:rPr>
        <w:t xml:space="preserve">Rats in the </w:t>
      </w:r>
      <w:r>
        <w:rPr>
          <w:rStyle w:val="Strong"/>
          <w:rFonts w:ascii="Arial" w:hAnsi="Arial" w:cs="Arial"/>
          <w:b w:val="0"/>
          <w:bCs w:val="0"/>
          <w:sz w:val="22"/>
          <w:szCs w:val="22"/>
        </w:rPr>
        <w:t>Normal-Diet group</w:t>
      </w:r>
      <w:r>
        <w:rPr>
          <w:rFonts w:ascii="Arial" w:hAnsi="Arial" w:cs="Arial"/>
          <w:sz w:val="22"/>
          <w:szCs w:val="22"/>
        </w:rPr>
        <w:t xml:space="preserve"> had a mean LDL-C level of </w:t>
      </w:r>
      <w:r>
        <w:rPr>
          <w:rStyle w:val="Strong"/>
          <w:rFonts w:ascii="Arial" w:hAnsi="Arial" w:cs="Arial"/>
          <w:b w:val="0"/>
          <w:bCs w:val="0"/>
          <w:sz w:val="22"/>
          <w:szCs w:val="22"/>
        </w:rPr>
        <w:t>41.31mg/dL</w:t>
      </w:r>
      <w:r>
        <w:rPr>
          <w:rFonts w:ascii="Arial" w:hAnsi="Arial" w:cs="Arial"/>
          <w:sz w:val="22"/>
          <w:szCs w:val="22"/>
        </w:rPr>
        <w:t xml:space="preserve">, rats fed with </w:t>
      </w:r>
      <w:r w:rsidR="006D2803">
        <w:rPr>
          <w:rStyle w:val="Strong"/>
          <w:rFonts w:ascii="Arial" w:hAnsi="Arial" w:cs="Arial"/>
          <w:b w:val="0"/>
          <w:bCs w:val="0"/>
          <w:sz w:val="22"/>
          <w:szCs w:val="22"/>
        </w:rPr>
        <w:t>h</w:t>
      </w:r>
      <w:r>
        <w:rPr>
          <w:rStyle w:val="Strong"/>
          <w:rFonts w:ascii="Arial" w:hAnsi="Arial" w:cs="Arial"/>
          <w:b w:val="0"/>
          <w:bCs w:val="0"/>
          <w:sz w:val="22"/>
          <w:szCs w:val="22"/>
        </w:rPr>
        <w:t>igh-</w:t>
      </w:r>
      <w:r w:rsidR="006D2803">
        <w:rPr>
          <w:rStyle w:val="Strong"/>
          <w:rFonts w:ascii="Arial" w:hAnsi="Arial" w:cs="Arial"/>
          <w:b w:val="0"/>
          <w:bCs w:val="0"/>
          <w:sz w:val="22"/>
          <w:szCs w:val="22"/>
        </w:rPr>
        <w:t>c</w:t>
      </w:r>
      <w:r>
        <w:rPr>
          <w:rStyle w:val="Strong"/>
          <w:rFonts w:ascii="Arial" w:hAnsi="Arial" w:cs="Arial"/>
          <w:b w:val="0"/>
          <w:bCs w:val="0"/>
          <w:sz w:val="22"/>
          <w:szCs w:val="22"/>
        </w:rPr>
        <w:t xml:space="preserve">holesterol </w:t>
      </w:r>
      <w:r w:rsidR="006D2803">
        <w:rPr>
          <w:rStyle w:val="Strong"/>
          <w:rFonts w:ascii="Arial" w:hAnsi="Arial" w:cs="Arial"/>
          <w:b w:val="0"/>
          <w:bCs w:val="0"/>
          <w:sz w:val="22"/>
          <w:szCs w:val="22"/>
        </w:rPr>
        <w:t>d</w:t>
      </w:r>
      <w:r>
        <w:rPr>
          <w:rStyle w:val="Strong"/>
          <w:rFonts w:ascii="Arial" w:hAnsi="Arial" w:cs="Arial"/>
          <w:b w:val="0"/>
          <w:bCs w:val="0"/>
          <w:sz w:val="22"/>
          <w:szCs w:val="22"/>
        </w:rPr>
        <w:t>iet</w:t>
      </w:r>
      <w:r>
        <w:rPr>
          <w:rFonts w:ascii="Arial" w:hAnsi="Arial" w:cs="Arial"/>
          <w:sz w:val="22"/>
          <w:szCs w:val="22"/>
        </w:rPr>
        <w:t xml:space="preserve"> recorded a </w:t>
      </w:r>
      <w:r>
        <w:rPr>
          <w:rStyle w:val="Strong"/>
          <w:rFonts w:ascii="Arial" w:hAnsi="Arial" w:cs="Arial"/>
          <w:b w:val="0"/>
          <w:bCs w:val="0"/>
          <w:sz w:val="22"/>
          <w:szCs w:val="22"/>
        </w:rPr>
        <w:t>significant increase (p &lt; 0.05)</w:t>
      </w:r>
      <w:r>
        <w:rPr>
          <w:rFonts w:ascii="Arial" w:hAnsi="Arial" w:cs="Arial"/>
          <w:sz w:val="22"/>
          <w:szCs w:val="22"/>
        </w:rPr>
        <w:t xml:space="preserve"> in LDL-C levels to 108.49</w:t>
      </w:r>
      <w:r>
        <w:rPr>
          <w:rStyle w:val="Strong"/>
          <w:rFonts w:ascii="Arial" w:hAnsi="Arial" w:cs="Arial"/>
          <w:b w:val="0"/>
          <w:bCs w:val="0"/>
          <w:sz w:val="22"/>
          <w:szCs w:val="22"/>
        </w:rPr>
        <w:t>mg/dL</w:t>
      </w:r>
      <w:r>
        <w:rPr>
          <w:rFonts w:ascii="Arial" w:hAnsi="Arial" w:cs="Arial"/>
          <w:sz w:val="22"/>
          <w:szCs w:val="22"/>
        </w:rPr>
        <w:t xml:space="preserve"> when compared to the normal control (</w:t>
      </w:r>
      <w:r>
        <w:rPr>
          <w:rStyle w:val="Strong"/>
          <w:rFonts w:ascii="Arial" w:hAnsi="Arial" w:cs="Arial"/>
          <w:b w:val="0"/>
          <w:bCs w:val="0"/>
          <w:sz w:val="22"/>
          <w:szCs w:val="22"/>
        </w:rPr>
        <w:t>41.31mg/dL</w:t>
      </w:r>
      <w:r>
        <w:rPr>
          <w:rFonts w:ascii="Arial" w:hAnsi="Arial" w:cs="Arial"/>
          <w:sz w:val="22"/>
          <w:szCs w:val="22"/>
        </w:rPr>
        <w:t>).</w:t>
      </w:r>
      <w:r w:rsidR="006D2803">
        <w:rPr>
          <w:rFonts w:ascii="Arial" w:hAnsi="Arial" w:cs="Arial"/>
          <w:sz w:val="22"/>
          <w:szCs w:val="22"/>
        </w:rPr>
        <w:t xml:space="preserve"> </w:t>
      </w:r>
      <w:r>
        <w:rPr>
          <w:rFonts w:ascii="Arial" w:hAnsi="Arial" w:cs="Arial"/>
          <w:sz w:val="22"/>
          <w:szCs w:val="22"/>
        </w:rPr>
        <w:t xml:space="preserve">Rats treated with the </w:t>
      </w:r>
      <w:r>
        <w:rPr>
          <w:rStyle w:val="Strong"/>
          <w:rFonts w:ascii="Arial" w:hAnsi="Arial" w:cs="Arial"/>
          <w:b w:val="0"/>
          <w:bCs w:val="0"/>
          <w:sz w:val="22"/>
          <w:szCs w:val="22"/>
        </w:rPr>
        <w:t xml:space="preserve">Low-Dose </w:t>
      </w:r>
      <w:r w:rsidR="006D2803">
        <w:rPr>
          <w:rStyle w:val="Strong"/>
          <w:rFonts w:ascii="Arial" w:hAnsi="Arial" w:cs="Arial"/>
          <w:b w:val="0"/>
          <w:bCs w:val="0"/>
          <w:sz w:val="22"/>
          <w:szCs w:val="22"/>
        </w:rPr>
        <w:t>p</w:t>
      </w:r>
      <w:r>
        <w:rPr>
          <w:rStyle w:val="Strong"/>
          <w:rFonts w:ascii="Arial" w:hAnsi="Arial" w:cs="Arial"/>
          <w:b w:val="0"/>
          <w:bCs w:val="0"/>
          <w:sz w:val="22"/>
          <w:szCs w:val="22"/>
        </w:rPr>
        <w:t>robiotic Combination (HCD + PC Low)</w:t>
      </w:r>
      <w:r>
        <w:rPr>
          <w:rFonts w:ascii="Arial" w:hAnsi="Arial" w:cs="Arial"/>
          <w:sz w:val="22"/>
          <w:szCs w:val="22"/>
        </w:rPr>
        <w:t xml:space="preserve"> showed a </w:t>
      </w:r>
      <w:r>
        <w:rPr>
          <w:rStyle w:val="Strong"/>
          <w:rFonts w:ascii="Arial" w:hAnsi="Arial" w:cs="Arial"/>
          <w:b w:val="0"/>
          <w:bCs w:val="0"/>
          <w:sz w:val="22"/>
          <w:szCs w:val="22"/>
        </w:rPr>
        <w:t>significant decrease (p &lt; 0.05)</w:t>
      </w:r>
      <w:r>
        <w:rPr>
          <w:rFonts w:ascii="Arial" w:hAnsi="Arial" w:cs="Arial"/>
          <w:sz w:val="22"/>
          <w:szCs w:val="22"/>
        </w:rPr>
        <w:t xml:space="preserve"> in LDL-C </w:t>
      </w:r>
      <w:r w:rsidR="00FE6199">
        <w:rPr>
          <w:rFonts w:ascii="Arial" w:hAnsi="Arial" w:cs="Arial"/>
          <w:sz w:val="22"/>
          <w:szCs w:val="22"/>
        </w:rPr>
        <w:t>at</w:t>
      </w:r>
      <w:r>
        <w:rPr>
          <w:rFonts w:ascii="Arial" w:hAnsi="Arial" w:cs="Arial"/>
          <w:sz w:val="22"/>
          <w:szCs w:val="22"/>
        </w:rPr>
        <w:t xml:space="preserve"> 99.92</w:t>
      </w:r>
      <w:r>
        <w:rPr>
          <w:rStyle w:val="Strong"/>
          <w:rFonts w:ascii="Arial" w:hAnsi="Arial" w:cs="Arial"/>
          <w:b w:val="0"/>
          <w:bCs w:val="0"/>
          <w:sz w:val="22"/>
          <w:szCs w:val="22"/>
        </w:rPr>
        <w:t xml:space="preserve"> mg/dL</w:t>
      </w:r>
      <w:r>
        <w:rPr>
          <w:rFonts w:ascii="Arial" w:hAnsi="Arial" w:cs="Arial"/>
          <w:sz w:val="22"/>
          <w:szCs w:val="22"/>
        </w:rPr>
        <w:t>, when compared with the untreated HCD group.</w:t>
      </w:r>
      <w:r w:rsidR="006D2803">
        <w:rPr>
          <w:rFonts w:ascii="Arial" w:hAnsi="Arial" w:cs="Arial"/>
          <w:sz w:val="22"/>
          <w:szCs w:val="22"/>
        </w:rPr>
        <w:t xml:space="preserve"> </w:t>
      </w:r>
      <w:r>
        <w:rPr>
          <w:rFonts w:ascii="Arial" w:hAnsi="Arial" w:cs="Arial"/>
          <w:sz w:val="22"/>
          <w:szCs w:val="22"/>
        </w:rPr>
        <w:t xml:space="preserve">The </w:t>
      </w:r>
      <w:r>
        <w:rPr>
          <w:rStyle w:val="Strong"/>
          <w:rFonts w:ascii="Arial" w:hAnsi="Arial" w:cs="Arial"/>
          <w:b w:val="0"/>
          <w:bCs w:val="0"/>
          <w:sz w:val="22"/>
          <w:szCs w:val="22"/>
        </w:rPr>
        <w:t>High-Dose Probiotic Combination (HCD + PC High)</w:t>
      </w:r>
      <w:r>
        <w:rPr>
          <w:rFonts w:ascii="Arial" w:hAnsi="Arial" w:cs="Arial"/>
          <w:sz w:val="22"/>
          <w:szCs w:val="22"/>
        </w:rPr>
        <w:t xml:space="preserve"> group showed a further </w:t>
      </w:r>
      <w:r>
        <w:rPr>
          <w:rStyle w:val="Strong"/>
          <w:rFonts w:ascii="Arial" w:hAnsi="Arial" w:cs="Arial"/>
          <w:b w:val="0"/>
          <w:bCs w:val="0"/>
          <w:sz w:val="22"/>
          <w:szCs w:val="22"/>
        </w:rPr>
        <w:t>significant decrease (p &lt; 0.05)</w:t>
      </w:r>
      <w:r>
        <w:rPr>
          <w:rFonts w:ascii="Arial" w:hAnsi="Arial" w:cs="Arial"/>
          <w:sz w:val="22"/>
          <w:szCs w:val="22"/>
        </w:rPr>
        <w:t xml:space="preserve"> in LDL-C levels to 60.78</w:t>
      </w:r>
      <w:r>
        <w:rPr>
          <w:rStyle w:val="Strong"/>
          <w:rFonts w:ascii="Arial" w:hAnsi="Arial" w:cs="Arial"/>
          <w:b w:val="0"/>
          <w:bCs w:val="0"/>
          <w:sz w:val="22"/>
          <w:szCs w:val="22"/>
        </w:rPr>
        <w:t xml:space="preserve"> mg/dL</w:t>
      </w:r>
      <w:r>
        <w:rPr>
          <w:rFonts w:ascii="Arial" w:hAnsi="Arial" w:cs="Arial"/>
          <w:sz w:val="22"/>
          <w:szCs w:val="22"/>
        </w:rPr>
        <w:t xml:space="preserve">, which was </w:t>
      </w:r>
      <w:r>
        <w:rPr>
          <w:rStyle w:val="Strong"/>
          <w:rFonts w:ascii="Arial" w:hAnsi="Arial" w:cs="Arial"/>
          <w:b w:val="0"/>
          <w:bCs w:val="0"/>
          <w:sz w:val="22"/>
          <w:szCs w:val="22"/>
        </w:rPr>
        <w:t>comparable to the Normal-Diet group (p &gt; 0.05)</w:t>
      </w:r>
      <w:r>
        <w:rPr>
          <w:rFonts w:ascii="Arial" w:hAnsi="Arial" w:cs="Arial"/>
          <w:sz w:val="22"/>
          <w:szCs w:val="22"/>
        </w:rPr>
        <w:t xml:space="preserve"> but significantly lower than both HCD and Low-Dose groups (p &lt; 0.05)</w:t>
      </w:r>
      <w:r w:rsidR="00127CAD">
        <w:rPr>
          <w:rFonts w:ascii="Arial" w:hAnsi="Arial" w:cs="Arial"/>
          <w:sz w:val="22"/>
          <w:szCs w:val="22"/>
        </w:rPr>
        <w:t xml:space="preserve"> (Fig</w:t>
      </w:r>
      <w:r w:rsidR="003B4E1A" w:rsidRPr="003B4E1A">
        <w:rPr>
          <w:rFonts w:ascii="Arial" w:hAnsi="Arial" w:cs="Arial"/>
          <w:color w:val="EE0000"/>
          <w:sz w:val="22"/>
          <w:szCs w:val="22"/>
        </w:rPr>
        <w:t>.</w:t>
      </w:r>
      <w:r w:rsidR="00127CAD">
        <w:rPr>
          <w:rFonts w:ascii="Arial" w:hAnsi="Arial" w:cs="Arial"/>
          <w:sz w:val="22"/>
          <w:szCs w:val="22"/>
        </w:rPr>
        <w:t xml:space="preserve"> 5)</w:t>
      </w:r>
      <w:r>
        <w:rPr>
          <w:rFonts w:ascii="Arial" w:hAnsi="Arial" w:cs="Arial"/>
          <w:sz w:val="22"/>
          <w:szCs w:val="22"/>
        </w:rPr>
        <w:t>. The decline in LDL-C supports the ability of probiotics to suppress the formation or absorption of atherogenic lipoproteins, which may help reduce cardiovascular risk associated with hyperlipidemia.</w:t>
      </w:r>
    </w:p>
    <w:p w14:paraId="364BC953" w14:textId="25F84B01" w:rsidR="006D2803" w:rsidRDefault="006D2803" w:rsidP="00C65416">
      <w:pPr>
        <w:jc w:val="both"/>
        <w:rPr>
          <w:rFonts w:ascii="Arial" w:hAnsi="Arial" w:cs="Arial"/>
        </w:rPr>
      </w:pPr>
      <w:r>
        <w:rPr>
          <w:rFonts w:ascii="Arial" w:hAnsi="Arial" w:cs="Arial"/>
        </w:rPr>
        <w:t xml:space="preserve">Our findings support previous studies by Gadelha and </w:t>
      </w:r>
      <w:proofErr w:type="spellStart"/>
      <w:r>
        <w:rPr>
          <w:rFonts w:ascii="Arial" w:hAnsi="Arial" w:cs="Arial"/>
        </w:rPr>
        <w:t>Bezerra</w:t>
      </w:r>
      <w:proofErr w:type="spellEnd"/>
      <w:r>
        <w:rPr>
          <w:rFonts w:ascii="Arial" w:hAnsi="Arial" w:cs="Arial"/>
        </w:rPr>
        <w:t xml:space="preserve"> (2019), who found that </w:t>
      </w:r>
      <w:r>
        <w:rPr>
          <w:rFonts w:ascii="Arial" w:hAnsi="Arial" w:cs="Arial"/>
          <w:i/>
          <w:iCs/>
        </w:rPr>
        <w:t>Lactobacillus</w:t>
      </w:r>
      <w:r>
        <w:rPr>
          <w:rFonts w:ascii="Arial" w:hAnsi="Arial" w:cs="Arial"/>
        </w:rPr>
        <w:t xml:space="preserve"> and</w:t>
      </w:r>
      <w:r>
        <w:rPr>
          <w:rFonts w:ascii="Arial" w:hAnsi="Arial" w:cs="Arial"/>
          <w:i/>
          <w:iCs/>
        </w:rPr>
        <w:t xml:space="preserve"> Bifidobacterium</w:t>
      </w:r>
      <w:r>
        <w:rPr>
          <w:rFonts w:ascii="Arial" w:hAnsi="Arial" w:cs="Arial"/>
        </w:rPr>
        <w:t xml:space="preserve"> species can lower cholesterol and LDL levels in animal models. Other researchers, including </w:t>
      </w:r>
      <w:proofErr w:type="spellStart"/>
      <w:r>
        <w:rPr>
          <w:rFonts w:ascii="Arial" w:hAnsi="Arial" w:cs="Arial"/>
        </w:rPr>
        <w:t>Ishimwe</w:t>
      </w:r>
      <w:proofErr w:type="spellEnd"/>
      <w:r>
        <w:rPr>
          <w:rFonts w:ascii="Arial" w:hAnsi="Arial" w:cs="Arial"/>
        </w:rPr>
        <w:t xml:space="preserve"> et al. (2015) and Zhu et al. (2022), explained that probiotics help by producing enzymes that break down bile acids, which assists in removing cholesterol from the body. Wu et al. (2022) also found probiotics influence bile acid metabolism, generate beneficial short-chain fatty acids, and improve communication between the gut and liver, all of which likely contributed to the positive effects we observed.</w:t>
      </w:r>
    </w:p>
    <w:p w14:paraId="1AEEC19A" w14:textId="77777777" w:rsidR="00954ED3" w:rsidRDefault="00954ED3">
      <w:pPr>
        <w:pStyle w:val="NormalWeb"/>
        <w:jc w:val="both"/>
        <w:rPr>
          <w:rFonts w:ascii="Arial" w:hAnsi="Arial" w:cs="Arial"/>
          <w:strike/>
          <w:sz w:val="22"/>
          <w:szCs w:val="22"/>
        </w:rPr>
      </w:pPr>
    </w:p>
    <w:p w14:paraId="5485F282" w14:textId="77777777" w:rsidR="00954ED3" w:rsidRDefault="00954ED3">
      <w:pPr>
        <w:jc w:val="both"/>
        <w:rPr>
          <w:rFonts w:ascii="Arial" w:hAnsi="Arial" w:cs="Arial"/>
        </w:rPr>
      </w:pPr>
    </w:p>
    <w:p w14:paraId="31B53C98" w14:textId="77777777" w:rsidR="00954ED3" w:rsidRDefault="00147C17">
      <w:pPr>
        <w:jc w:val="both"/>
        <w:rPr>
          <w:rFonts w:ascii="Arial" w:hAnsi="Arial" w:cs="Arial"/>
        </w:rPr>
      </w:pPr>
      <w:r>
        <w:rPr>
          <w:rFonts w:ascii="Arial" w:hAnsi="Arial" w:cs="Arial"/>
          <w:noProof/>
        </w:rPr>
        <w:lastRenderedPageBreak/>
        <w:drawing>
          <wp:inline distT="0" distB="0" distL="0" distR="0" wp14:anchorId="7820234A" wp14:editId="03F6BECE">
            <wp:extent cx="6083300" cy="2651125"/>
            <wp:effectExtent l="4445" t="4445" r="8255" b="1143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E2651E" w14:textId="428AD5DC" w:rsidR="00954ED3" w:rsidRDefault="00147C17">
      <w:pPr>
        <w:jc w:val="both"/>
        <w:rPr>
          <w:rFonts w:ascii="Arial" w:hAnsi="Arial" w:cs="Arial"/>
        </w:rPr>
      </w:pPr>
      <w:r>
        <w:rPr>
          <w:rFonts w:ascii="Arial" w:hAnsi="Arial" w:cs="Arial"/>
        </w:rPr>
        <w:t>Fig</w:t>
      </w:r>
      <w:r w:rsidR="003B4E1A" w:rsidRPr="003B4E1A">
        <w:rPr>
          <w:rFonts w:ascii="Arial" w:hAnsi="Arial" w:cs="Arial"/>
          <w:color w:val="EE0000"/>
        </w:rPr>
        <w:t>.</w:t>
      </w:r>
      <w:r>
        <w:rPr>
          <w:rFonts w:ascii="Arial" w:hAnsi="Arial" w:cs="Arial"/>
        </w:rPr>
        <w:t xml:space="preserve"> 5: Level of low-density lipoprotein cholesterol</w:t>
      </w:r>
    </w:p>
    <w:p w14:paraId="00A0F59D" w14:textId="77777777" w:rsidR="001301E0" w:rsidRPr="003E1CD4" w:rsidRDefault="001301E0" w:rsidP="001301E0">
      <w:pPr>
        <w:autoSpaceDE w:val="0"/>
        <w:autoSpaceDN w:val="0"/>
        <w:adjustRightInd w:val="0"/>
        <w:spacing w:before="240" w:after="0" w:line="240" w:lineRule="auto"/>
        <w:rPr>
          <w:rFonts w:ascii="Times New Roman" w:hAnsi="Times New Roman" w:cs="Times New Roman"/>
          <w:sz w:val="18"/>
          <w:szCs w:val="18"/>
        </w:rPr>
      </w:pPr>
      <w:r w:rsidRPr="003E1CD4">
        <w:rPr>
          <w:rFonts w:ascii="Times New Roman" w:hAnsi="Times New Roman" w:cs="Times New Roman"/>
          <w:sz w:val="18"/>
          <w:szCs w:val="18"/>
        </w:rPr>
        <w:t>Different superscript letters represent the statistical significance (p &lt; 0.05).</w:t>
      </w:r>
    </w:p>
    <w:p w14:paraId="746FD08F" w14:textId="77777777" w:rsidR="001301E0" w:rsidRDefault="001301E0">
      <w:pPr>
        <w:jc w:val="both"/>
        <w:rPr>
          <w:rFonts w:ascii="Arial" w:hAnsi="Arial" w:cs="Arial"/>
        </w:rPr>
      </w:pPr>
    </w:p>
    <w:p w14:paraId="4990DF66" w14:textId="633B3010" w:rsidR="00954ED3" w:rsidRDefault="00147C17" w:rsidP="00C65416">
      <w:pPr>
        <w:pStyle w:val="NormalWeb"/>
        <w:spacing w:line="276" w:lineRule="auto"/>
        <w:jc w:val="both"/>
        <w:rPr>
          <w:rFonts w:ascii="Arial" w:hAnsi="Arial" w:cs="Arial"/>
          <w:sz w:val="22"/>
          <w:szCs w:val="22"/>
        </w:rPr>
      </w:pPr>
      <w:r>
        <w:rPr>
          <w:rFonts w:ascii="Arial" w:hAnsi="Arial" w:cs="Arial"/>
          <w:sz w:val="22"/>
          <w:szCs w:val="22"/>
        </w:rPr>
        <w:t>HDL-C levels were reduced in the HCD group compared to the normal control. Treatment with the probiotic combination increased HDL-C levels, particularly in the high-dose group.</w:t>
      </w:r>
      <w:r w:rsidR="00127CAD">
        <w:rPr>
          <w:rFonts w:ascii="Arial" w:hAnsi="Arial" w:cs="Arial"/>
          <w:sz w:val="22"/>
          <w:szCs w:val="22"/>
        </w:rPr>
        <w:t xml:space="preserve"> </w:t>
      </w:r>
      <w:r>
        <w:rPr>
          <w:rFonts w:ascii="Arial" w:hAnsi="Arial" w:cs="Arial"/>
          <w:sz w:val="22"/>
          <w:szCs w:val="22"/>
        </w:rPr>
        <w:t xml:space="preserve">The </w:t>
      </w:r>
      <w:r>
        <w:rPr>
          <w:rStyle w:val="Strong"/>
          <w:rFonts w:ascii="Arial" w:hAnsi="Arial" w:cs="Arial"/>
          <w:b w:val="0"/>
          <w:bCs w:val="0"/>
          <w:sz w:val="22"/>
          <w:szCs w:val="22"/>
        </w:rPr>
        <w:t>Normal-Diet group</w:t>
      </w:r>
      <w:r>
        <w:rPr>
          <w:rFonts w:ascii="Arial" w:hAnsi="Arial" w:cs="Arial"/>
          <w:sz w:val="22"/>
          <w:szCs w:val="22"/>
        </w:rPr>
        <w:t xml:space="preserve"> recorded a mean HDL-C level of 68.22</w:t>
      </w:r>
      <w:r>
        <w:rPr>
          <w:rStyle w:val="Strong"/>
          <w:rFonts w:ascii="Arial" w:hAnsi="Arial" w:cs="Arial"/>
          <w:b w:val="0"/>
          <w:bCs w:val="0"/>
          <w:sz w:val="22"/>
          <w:szCs w:val="22"/>
        </w:rPr>
        <w:t xml:space="preserve"> mg/dL</w:t>
      </w:r>
      <w:r>
        <w:rPr>
          <w:rFonts w:ascii="Arial" w:hAnsi="Arial" w:cs="Arial"/>
          <w:sz w:val="22"/>
          <w:szCs w:val="22"/>
        </w:rPr>
        <w:t xml:space="preserve">, Rats fed a </w:t>
      </w:r>
      <w:r>
        <w:rPr>
          <w:rStyle w:val="Strong"/>
          <w:rFonts w:ascii="Arial" w:hAnsi="Arial" w:cs="Arial"/>
          <w:b w:val="0"/>
          <w:bCs w:val="0"/>
          <w:sz w:val="22"/>
          <w:szCs w:val="22"/>
        </w:rPr>
        <w:t>High-Cholesterol Diet (HCD)</w:t>
      </w:r>
      <w:r>
        <w:rPr>
          <w:rFonts w:ascii="Arial" w:hAnsi="Arial" w:cs="Arial"/>
          <w:sz w:val="22"/>
          <w:szCs w:val="22"/>
        </w:rPr>
        <w:t xml:space="preserve"> showed a </w:t>
      </w:r>
      <w:r>
        <w:rPr>
          <w:rStyle w:val="Strong"/>
          <w:rFonts w:ascii="Arial" w:hAnsi="Arial" w:cs="Arial"/>
          <w:b w:val="0"/>
          <w:bCs w:val="0"/>
          <w:sz w:val="22"/>
          <w:szCs w:val="22"/>
        </w:rPr>
        <w:t>significant decrease (p &lt; 0.05)</w:t>
      </w:r>
      <w:r>
        <w:rPr>
          <w:rFonts w:ascii="Arial" w:hAnsi="Arial" w:cs="Arial"/>
          <w:sz w:val="22"/>
          <w:szCs w:val="22"/>
        </w:rPr>
        <w:t xml:space="preserve"> in HDL-C to 52.89 </w:t>
      </w:r>
      <w:r>
        <w:rPr>
          <w:rStyle w:val="Strong"/>
          <w:rFonts w:ascii="Arial" w:hAnsi="Arial" w:cs="Arial"/>
          <w:b w:val="0"/>
          <w:bCs w:val="0"/>
          <w:sz w:val="22"/>
          <w:szCs w:val="22"/>
        </w:rPr>
        <w:t>mg/dL</w:t>
      </w:r>
      <w:r>
        <w:rPr>
          <w:rFonts w:ascii="Arial" w:hAnsi="Arial" w:cs="Arial"/>
          <w:sz w:val="22"/>
          <w:szCs w:val="22"/>
        </w:rPr>
        <w:t xml:space="preserve"> compared to the Normal-Diet group (6</w:t>
      </w:r>
      <w:r>
        <w:rPr>
          <w:rStyle w:val="Strong"/>
          <w:rFonts w:ascii="Arial" w:hAnsi="Arial" w:cs="Arial"/>
          <w:b w:val="0"/>
          <w:bCs w:val="0"/>
          <w:sz w:val="22"/>
          <w:szCs w:val="22"/>
        </w:rPr>
        <w:t>8.22 mg/dL</w:t>
      </w:r>
      <w:r>
        <w:rPr>
          <w:rFonts w:ascii="Arial" w:hAnsi="Arial" w:cs="Arial"/>
          <w:sz w:val="22"/>
          <w:szCs w:val="22"/>
        </w:rPr>
        <w:t>).</w:t>
      </w:r>
      <w:r w:rsidR="00127CAD">
        <w:rPr>
          <w:rFonts w:ascii="Arial" w:hAnsi="Arial" w:cs="Arial"/>
          <w:sz w:val="22"/>
          <w:szCs w:val="22"/>
        </w:rPr>
        <w:t xml:space="preserve"> </w:t>
      </w:r>
      <w:r>
        <w:rPr>
          <w:rFonts w:ascii="Arial" w:hAnsi="Arial" w:cs="Arial"/>
          <w:sz w:val="22"/>
          <w:szCs w:val="22"/>
        </w:rPr>
        <w:t xml:space="preserve">Treatment with the </w:t>
      </w:r>
      <w:r>
        <w:rPr>
          <w:rStyle w:val="Strong"/>
          <w:rFonts w:ascii="Arial" w:hAnsi="Arial" w:cs="Arial"/>
          <w:b w:val="0"/>
          <w:bCs w:val="0"/>
          <w:sz w:val="22"/>
          <w:szCs w:val="22"/>
        </w:rPr>
        <w:t>Low-Dose Probiotic Combination (HCD + PC Low)</w:t>
      </w:r>
      <w:r>
        <w:rPr>
          <w:rFonts w:ascii="Arial" w:hAnsi="Arial" w:cs="Arial"/>
          <w:sz w:val="22"/>
          <w:szCs w:val="22"/>
        </w:rPr>
        <w:t xml:space="preserve"> </w:t>
      </w:r>
      <w:r w:rsidR="00FE6199">
        <w:rPr>
          <w:rStyle w:val="Strong"/>
          <w:rFonts w:ascii="Arial" w:hAnsi="Arial" w:cs="Arial"/>
          <w:b w:val="0"/>
          <w:bCs w:val="0"/>
          <w:sz w:val="22"/>
          <w:szCs w:val="22"/>
        </w:rPr>
        <w:t>showed a lower</w:t>
      </w:r>
      <w:r>
        <w:rPr>
          <w:rFonts w:ascii="Arial" w:hAnsi="Arial" w:cs="Arial"/>
          <w:sz w:val="22"/>
          <w:szCs w:val="22"/>
        </w:rPr>
        <w:t xml:space="preserve"> HDL-C levels </w:t>
      </w:r>
      <w:r w:rsidR="00FE6199">
        <w:rPr>
          <w:rFonts w:ascii="Arial" w:hAnsi="Arial" w:cs="Arial"/>
          <w:sz w:val="22"/>
          <w:szCs w:val="22"/>
        </w:rPr>
        <w:t>a</w:t>
      </w:r>
      <w:r>
        <w:rPr>
          <w:rFonts w:ascii="Arial" w:hAnsi="Arial" w:cs="Arial"/>
          <w:sz w:val="22"/>
          <w:szCs w:val="22"/>
        </w:rPr>
        <w:t>t 50.44</w:t>
      </w:r>
      <w:r>
        <w:rPr>
          <w:rStyle w:val="Strong"/>
          <w:rFonts w:ascii="Arial" w:hAnsi="Arial" w:cs="Arial"/>
          <w:b w:val="0"/>
          <w:bCs w:val="0"/>
          <w:sz w:val="22"/>
          <w:szCs w:val="22"/>
        </w:rPr>
        <w:t xml:space="preserve"> mg/dL</w:t>
      </w:r>
      <w:r>
        <w:rPr>
          <w:rFonts w:ascii="Arial" w:hAnsi="Arial" w:cs="Arial"/>
          <w:sz w:val="22"/>
          <w:szCs w:val="22"/>
        </w:rPr>
        <w:t>, compared with the untreated HCD group (52.89</w:t>
      </w:r>
      <w:r>
        <w:rPr>
          <w:rStyle w:val="Strong"/>
          <w:rFonts w:ascii="Arial" w:hAnsi="Arial" w:cs="Arial"/>
          <w:b w:val="0"/>
          <w:bCs w:val="0"/>
          <w:sz w:val="22"/>
          <w:szCs w:val="22"/>
        </w:rPr>
        <w:t xml:space="preserve"> mg/dL</w:t>
      </w:r>
      <w:r>
        <w:rPr>
          <w:rFonts w:ascii="Arial" w:hAnsi="Arial" w:cs="Arial"/>
          <w:sz w:val="22"/>
          <w:szCs w:val="22"/>
        </w:rPr>
        <w:t>)</w:t>
      </w:r>
      <w:r w:rsidR="00127CAD">
        <w:rPr>
          <w:rFonts w:ascii="Arial" w:hAnsi="Arial" w:cs="Arial"/>
          <w:sz w:val="22"/>
          <w:szCs w:val="22"/>
        </w:rPr>
        <w:t xml:space="preserve"> (Fig</w:t>
      </w:r>
      <w:r w:rsidR="003B4E1A" w:rsidRPr="003B4E1A">
        <w:rPr>
          <w:rFonts w:ascii="Arial" w:hAnsi="Arial" w:cs="Arial"/>
          <w:color w:val="EE0000"/>
          <w:sz w:val="22"/>
          <w:szCs w:val="22"/>
        </w:rPr>
        <w:t>.</w:t>
      </w:r>
      <w:r w:rsidR="00127CAD">
        <w:rPr>
          <w:rFonts w:ascii="Arial" w:hAnsi="Arial" w:cs="Arial"/>
          <w:sz w:val="22"/>
          <w:szCs w:val="22"/>
        </w:rPr>
        <w:t xml:space="preserve"> 6)</w:t>
      </w:r>
      <w:r>
        <w:rPr>
          <w:rFonts w:ascii="Arial" w:hAnsi="Arial" w:cs="Arial"/>
          <w:sz w:val="22"/>
          <w:szCs w:val="22"/>
        </w:rPr>
        <w:t>.</w:t>
      </w:r>
    </w:p>
    <w:p w14:paraId="55D733D4" w14:textId="402AAFCA" w:rsidR="00954ED3" w:rsidRDefault="00147C17" w:rsidP="00C65416">
      <w:pPr>
        <w:pStyle w:val="NormalWeb"/>
        <w:spacing w:line="276" w:lineRule="auto"/>
        <w:jc w:val="both"/>
        <w:rPr>
          <w:rFonts w:ascii="Arial" w:hAnsi="Arial" w:cs="Arial"/>
          <w:sz w:val="22"/>
          <w:szCs w:val="22"/>
        </w:rPr>
      </w:pPr>
      <w:r>
        <w:rPr>
          <w:rFonts w:ascii="Arial" w:hAnsi="Arial" w:cs="Arial"/>
          <w:sz w:val="22"/>
          <w:szCs w:val="22"/>
        </w:rPr>
        <w:t xml:space="preserve">The </w:t>
      </w:r>
      <w:r>
        <w:rPr>
          <w:rStyle w:val="Strong"/>
          <w:rFonts w:ascii="Arial" w:hAnsi="Arial" w:cs="Arial"/>
          <w:b w:val="0"/>
          <w:bCs w:val="0"/>
          <w:sz w:val="22"/>
          <w:szCs w:val="22"/>
        </w:rPr>
        <w:t>High-Dose Probiotic Combination (HCD + PC High)</w:t>
      </w:r>
      <w:r>
        <w:rPr>
          <w:rFonts w:ascii="Arial" w:hAnsi="Arial" w:cs="Arial"/>
          <w:sz w:val="22"/>
          <w:szCs w:val="22"/>
        </w:rPr>
        <w:t xml:space="preserve"> group exhibited a</w:t>
      </w:r>
      <w:r w:rsidR="005D5BBC">
        <w:rPr>
          <w:rFonts w:ascii="Arial" w:hAnsi="Arial" w:cs="Arial"/>
          <w:sz w:val="22"/>
          <w:szCs w:val="22"/>
        </w:rPr>
        <w:t>n</w:t>
      </w:r>
      <w:r>
        <w:rPr>
          <w:rStyle w:val="Strong"/>
          <w:rFonts w:ascii="Arial" w:hAnsi="Arial" w:cs="Arial"/>
          <w:b w:val="0"/>
          <w:bCs w:val="0"/>
          <w:sz w:val="22"/>
          <w:szCs w:val="22"/>
        </w:rPr>
        <w:t xml:space="preserve"> increase (p &lt; 0.05)</w:t>
      </w:r>
      <w:r>
        <w:rPr>
          <w:rFonts w:ascii="Arial" w:hAnsi="Arial" w:cs="Arial"/>
          <w:sz w:val="22"/>
          <w:szCs w:val="22"/>
        </w:rPr>
        <w:t xml:space="preserve"> in HDL-C to 76.22</w:t>
      </w:r>
      <w:r>
        <w:rPr>
          <w:rStyle w:val="Strong"/>
          <w:rFonts w:ascii="Arial" w:hAnsi="Arial" w:cs="Arial"/>
          <w:b w:val="0"/>
          <w:bCs w:val="0"/>
          <w:sz w:val="22"/>
          <w:szCs w:val="22"/>
        </w:rPr>
        <w:t>mg/dL</w:t>
      </w:r>
      <w:r>
        <w:rPr>
          <w:rFonts w:ascii="Arial" w:hAnsi="Arial" w:cs="Arial"/>
          <w:sz w:val="22"/>
          <w:szCs w:val="22"/>
        </w:rPr>
        <w:t>,</w:t>
      </w:r>
      <w:r w:rsidR="005D5BBC">
        <w:rPr>
          <w:rFonts w:ascii="Arial" w:hAnsi="Arial" w:cs="Arial"/>
          <w:sz w:val="22"/>
          <w:szCs w:val="22"/>
        </w:rPr>
        <w:t xml:space="preserve"> although this</w:t>
      </w:r>
      <w:r>
        <w:rPr>
          <w:rFonts w:ascii="Arial" w:hAnsi="Arial" w:cs="Arial"/>
          <w:sz w:val="22"/>
          <w:szCs w:val="22"/>
        </w:rPr>
        <w:t xml:space="preserve"> was </w:t>
      </w:r>
      <w:r w:rsidR="005D5BBC">
        <w:rPr>
          <w:rFonts w:ascii="Arial" w:hAnsi="Arial" w:cs="Arial"/>
          <w:sz w:val="22"/>
          <w:szCs w:val="22"/>
        </w:rPr>
        <w:t xml:space="preserve">not </w:t>
      </w:r>
      <w:r>
        <w:rPr>
          <w:rStyle w:val="Strong"/>
          <w:rFonts w:ascii="Arial" w:hAnsi="Arial" w:cs="Arial"/>
          <w:b w:val="0"/>
          <w:bCs w:val="0"/>
          <w:sz w:val="22"/>
          <w:szCs w:val="22"/>
        </w:rPr>
        <w:t xml:space="preserve">statistically </w:t>
      </w:r>
      <w:r w:rsidR="005D5BBC">
        <w:rPr>
          <w:rStyle w:val="Strong"/>
          <w:rFonts w:ascii="Arial" w:hAnsi="Arial" w:cs="Arial"/>
          <w:b w:val="0"/>
          <w:bCs w:val="0"/>
          <w:sz w:val="22"/>
          <w:szCs w:val="22"/>
        </w:rPr>
        <w:t xml:space="preserve">significant </w:t>
      </w:r>
      <w:r>
        <w:rPr>
          <w:rStyle w:val="Strong"/>
          <w:rFonts w:ascii="Arial" w:hAnsi="Arial" w:cs="Arial"/>
          <w:b w:val="0"/>
          <w:bCs w:val="0"/>
          <w:sz w:val="22"/>
          <w:szCs w:val="22"/>
        </w:rPr>
        <w:t>compar</w:t>
      </w:r>
      <w:r w:rsidR="005D5BBC">
        <w:rPr>
          <w:rStyle w:val="Strong"/>
          <w:rFonts w:ascii="Arial" w:hAnsi="Arial" w:cs="Arial"/>
          <w:b w:val="0"/>
          <w:bCs w:val="0"/>
          <w:sz w:val="22"/>
          <w:szCs w:val="22"/>
        </w:rPr>
        <w:t>ed</w:t>
      </w:r>
      <w:r>
        <w:rPr>
          <w:rStyle w:val="Strong"/>
          <w:rFonts w:ascii="Arial" w:hAnsi="Arial" w:cs="Arial"/>
          <w:b w:val="0"/>
          <w:bCs w:val="0"/>
          <w:sz w:val="22"/>
          <w:szCs w:val="22"/>
        </w:rPr>
        <w:t xml:space="preserve"> to the Normal-Diet group </w:t>
      </w:r>
      <w:r w:rsidR="005D5BBC">
        <w:rPr>
          <w:rStyle w:val="Strong"/>
          <w:rFonts w:ascii="Arial" w:hAnsi="Arial" w:cs="Arial"/>
          <w:b w:val="0"/>
          <w:bCs w:val="0"/>
          <w:sz w:val="22"/>
          <w:szCs w:val="22"/>
        </w:rPr>
        <w:t xml:space="preserve">and </w:t>
      </w:r>
      <w:r>
        <w:rPr>
          <w:rFonts w:ascii="Arial" w:hAnsi="Arial" w:cs="Arial"/>
          <w:sz w:val="22"/>
          <w:szCs w:val="22"/>
        </w:rPr>
        <w:t>HCD group (p &lt; 0.05).</w:t>
      </w:r>
      <w:r w:rsidR="00127CAD">
        <w:rPr>
          <w:rFonts w:ascii="Arial" w:hAnsi="Arial" w:cs="Arial"/>
          <w:sz w:val="22"/>
          <w:szCs w:val="22"/>
        </w:rPr>
        <w:t xml:space="preserve"> </w:t>
      </w:r>
      <w:r>
        <w:rPr>
          <w:rFonts w:ascii="Arial" w:hAnsi="Arial" w:cs="Arial"/>
          <w:sz w:val="22"/>
          <w:szCs w:val="22"/>
        </w:rPr>
        <w:t>This elevation in HDL-C indicates a protective effect of the probiotic on lipid metabolism, as HDL facilitates reverse cholesterol transport and protects against lipid peroxidation and atherosclerosis.</w:t>
      </w:r>
    </w:p>
    <w:p w14:paraId="3BEC3BCF" w14:textId="77777777" w:rsidR="00954ED3" w:rsidRDefault="00954ED3">
      <w:pPr>
        <w:jc w:val="both"/>
        <w:rPr>
          <w:rFonts w:ascii="Arial" w:hAnsi="Arial" w:cs="Arial"/>
        </w:rPr>
      </w:pPr>
    </w:p>
    <w:p w14:paraId="70BF4E56" w14:textId="77777777" w:rsidR="00954ED3" w:rsidRDefault="00954ED3">
      <w:pPr>
        <w:pStyle w:val="NormalWeb"/>
        <w:jc w:val="both"/>
        <w:rPr>
          <w:rFonts w:ascii="Arial" w:hAnsi="Arial" w:cs="Arial"/>
          <w:sz w:val="22"/>
          <w:szCs w:val="22"/>
        </w:rPr>
      </w:pPr>
    </w:p>
    <w:p w14:paraId="762D26C9" w14:textId="77777777" w:rsidR="00954ED3" w:rsidRDefault="00147C17">
      <w:pPr>
        <w:jc w:val="both"/>
        <w:rPr>
          <w:rFonts w:ascii="Arial" w:hAnsi="Arial" w:cs="Arial"/>
        </w:rPr>
      </w:pPr>
      <w:r>
        <w:rPr>
          <w:rFonts w:ascii="Arial" w:hAnsi="Arial" w:cs="Arial"/>
          <w:noProof/>
        </w:rPr>
        <w:lastRenderedPageBreak/>
        <w:drawing>
          <wp:inline distT="0" distB="0" distL="0" distR="0" wp14:anchorId="2C028E1F" wp14:editId="79131852">
            <wp:extent cx="5880100" cy="2651125"/>
            <wp:effectExtent l="4445" t="4445" r="8255" b="1143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D35DC70" w14:textId="495BCFD7" w:rsidR="00954ED3" w:rsidRDefault="00147C17">
      <w:pPr>
        <w:jc w:val="both"/>
        <w:rPr>
          <w:rFonts w:ascii="Arial" w:hAnsi="Arial" w:cs="Arial"/>
        </w:rPr>
      </w:pPr>
      <w:r>
        <w:rPr>
          <w:rFonts w:ascii="Arial" w:hAnsi="Arial" w:cs="Arial"/>
        </w:rPr>
        <w:t>Fig</w:t>
      </w:r>
      <w:r w:rsidR="003B42ED" w:rsidRPr="003B42ED">
        <w:rPr>
          <w:rFonts w:ascii="Arial" w:hAnsi="Arial" w:cs="Arial"/>
          <w:color w:val="EE0000"/>
        </w:rPr>
        <w:t>.</w:t>
      </w:r>
      <w:r w:rsidRPr="003B42ED">
        <w:rPr>
          <w:rFonts w:ascii="Arial" w:hAnsi="Arial" w:cs="Arial"/>
          <w:color w:val="EE0000"/>
        </w:rPr>
        <w:t xml:space="preserve"> </w:t>
      </w:r>
      <w:r>
        <w:rPr>
          <w:rFonts w:ascii="Arial" w:hAnsi="Arial" w:cs="Arial"/>
        </w:rPr>
        <w:t>6: Level of high-density lipoprotein cholesterol</w:t>
      </w:r>
    </w:p>
    <w:p w14:paraId="39FB3EA9" w14:textId="77777777" w:rsidR="001301E0" w:rsidRPr="003E1CD4" w:rsidRDefault="001301E0" w:rsidP="001301E0">
      <w:pPr>
        <w:autoSpaceDE w:val="0"/>
        <w:autoSpaceDN w:val="0"/>
        <w:adjustRightInd w:val="0"/>
        <w:spacing w:before="240" w:after="0" w:line="240" w:lineRule="auto"/>
        <w:rPr>
          <w:rFonts w:ascii="Times New Roman" w:hAnsi="Times New Roman" w:cs="Times New Roman"/>
          <w:sz w:val="18"/>
          <w:szCs w:val="18"/>
        </w:rPr>
      </w:pPr>
      <w:r w:rsidRPr="003E1CD4">
        <w:rPr>
          <w:rFonts w:ascii="Times New Roman" w:hAnsi="Times New Roman" w:cs="Times New Roman"/>
          <w:sz w:val="18"/>
          <w:szCs w:val="18"/>
        </w:rPr>
        <w:t>Different superscript letters represent the statistical significance (p &lt; 0.05).</w:t>
      </w:r>
    </w:p>
    <w:p w14:paraId="5656926C" w14:textId="77777777" w:rsidR="00954ED3" w:rsidRDefault="00147C17">
      <w:pPr>
        <w:jc w:val="both"/>
        <w:rPr>
          <w:rFonts w:ascii="Arial" w:hAnsi="Arial" w:cs="Arial"/>
          <w:b/>
          <w:bCs/>
        </w:rPr>
      </w:pPr>
      <w:r>
        <w:rPr>
          <w:rStyle w:val="Strong"/>
          <w:rFonts w:ascii="Arial" w:hAnsi="Arial" w:cs="Arial"/>
          <w:b w:val="0"/>
          <w:bCs w:val="0"/>
        </w:rPr>
        <w:t xml:space="preserve"> </w:t>
      </w:r>
    </w:p>
    <w:p w14:paraId="02183A78" w14:textId="77777777" w:rsidR="00CB0689" w:rsidRDefault="00147C17" w:rsidP="00CB0689">
      <w:pPr>
        <w:pStyle w:val="NormalWeb"/>
        <w:spacing w:beforeAutospacing="0" w:afterAutospacing="0" w:line="276" w:lineRule="auto"/>
        <w:jc w:val="both"/>
        <w:rPr>
          <w:rFonts w:ascii="Arial" w:hAnsi="Arial" w:cs="Arial"/>
          <w:sz w:val="22"/>
          <w:szCs w:val="22"/>
        </w:rPr>
      </w:pPr>
      <w:r>
        <w:rPr>
          <w:rFonts w:ascii="Arial" w:hAnsi="Arial" w:cs="Arial"/>
          <w:sz w:val="22"/>
          <w:szCs w:val="22"/>
        </w:rPr>
        <w:t>Table 1 shows the effect of probiotic administration on stomach and intestinal microbial populations.</w:t>
      </w:r>
      <w:r w:rsidR="00127CAD">
        <w:rPr>
          <w:rFonts w:ascii="Arial" w:hAnsi="Arial" w:cs="Arial"/>
          <w:sz w:val="22"/>
          <w:szCs w:val="22"/>
        </w:rPr>
        <w:t xml:space="preserve"> </w:t>
      </w:r>
      <w:r w:rsidR="0010332F">
        <w:rPr>
          <w:rFonts w:ascii="Arial" w:hAnsi="Arial" w:cs="Arial"/>
          <w:sz w:val="22"/>
          <w:szCs w:val="22"/>
        </w:rPr>
        <w:t>In the stomach, t</w:t>
      </w:r>
      <w:r>
        <w:rPr>
          <w:rFonts w:ascii="Arial" w:hAnsi="Arial" w:cs="Arial"/>
          <w:sz w:val="22"/>
          <w:szCs w:val="22"/>
        </w:rPr>
        <w:t xml:space="preserve">he </w:t>
      </w:r>
      <w:r>
        <w:rPr>
          <w:rStyle w:val="Strong"/>
          <w:rFonts w:ascii="Arial" w:hAnsi="Arial" w:cs="Arial"/>
          <w:b w:val="0"/>
          <w:bCs w:val="0"/>
          <w:sz w:val="22"/>
          <w:szCs w:val="22"/>
        </w:rPr>
        <w:t>Normal-Diet group</w:t>
      </w:r>
      <w:r>
        <w:rPr>
          <w:rFonts w:ascii="Arial" w:hAnsi="Arial" w:cs="Arial"/>
          <w:sz w:val="22"/>
          <w:szCs w:val="22"/>
        </w:rPr>
        <w:t xml:space="preserve"> had a fungal count of </w:t>
      </w:r>
      <w:r>
        <w:rPr>
          <w:rStyle w:val="Strong"/>
          <w:rFonts w:ascii="Arial" w:hAnsi="Arial" w:cs="Arial"/>
          <w:b w:val="0"/>
          <w:bCs w:val="0"/>
          <w:sz w:val="22"/>
          <w:szCs w:val="22"/>
        </w:rPr>
        <w:t>0.13 ± 0.02 ×10³ CFU/ml</w:t>
      </w:r>
      <w:r>
        <w:rPr>
          <w:rFonts w:ascii="Arial" w:hAnsi="Arial" w:cs="Arial"/>
          <w:sz w:val="22"/>
          <w:szCs w:val="22"/>
        </w:rPr>
        <w:t xml:space="preserve">, while the </w:t>
      </w:r>
      <w:r>
        <w:rPr>
          <w:rStyle w:val="Strong"/>
          <w:rFonts w:ascii="Arial" w:hAnsi="Arial" w:cs="Arial"/>
          <w:b w:val="0"/>
          <w:bCs w:val="0"/>
          <w:sz w:val="22"/>
          <w:szCs w:val="22"/>
        </w:rPr>
        <w:t>HCD group</w:t>
      </w:r>
      <w:r>
        <w:rPr>
          <w:rFonts w:ascii="Arial" w:hAnsi="Arial" w:cs="Arial"/>
          <w:sz w:val="22"/>
          <w:szCs w:val="22"/>
        </w:rPr>
        <w:t xml:space="preserve"> showed a slight but </w:t>
      </w:r>
      <w:r>
        <w:rPr>
          <w:rStyle w:val="Strong"/>
          <w:rFonts w:ascii="Arial" w:hAnsi="Arial" w:cs="Arial"/>
          <w:b w:val="0"/>
          <w:bCs w:val="0"/>
          <w:sz w:val="22"/>
          <w:szCs w:val="22"/>
        </w:rPr>
        <w:t>non-significant decrease (0.11 ± 0.01 ×10³ CFU/ml; p &gt; 0.05)</w:t>
      </w:r>
      <w:r>
        <w:rPr>
          <w:rFonts w:ascii="Arial" w:hAnsi="Arial" w:cs="Arial"/>
          <w:sz w:val="22"/>
          <w:szCs w:val="22"/>
        </w:rPr>
        <w:t xml:space="preserve">, Following probiotic administration, there was a </w:t>
      </w:r>
      <w:r>
        <w:rPr>
          <w:rStyle w:val="Strong"/>
          <w:rFonts w:ascii="Arial" w:hAnsi="Arial" w:cs="Arial"/>
          <w:b w:val="0"/>
          <w:bCs w:val="0"/>
          <w:sz w:val="22"/>
          <w:szCs w:val="22"/>
        </w:rPr>
        <w:t>numerical increase</w:t>
      </w:r>
      <w:r>
        <w:rPr>
          <w:rFonts w:ascii="Arial" w:hAnsi="Arial" w:cs="Arial"/>
          <w:sz w:val="22"/>
          <w:szCs w:val="22"/>
        </w:rPr>
        <w:t xml:space="preserve"> in fungal count to </w:t>
      </w:r>
      <w:r>
        <w:rPr>
          <w:rStyle w:val="Strong"/>
          <w:rFonts w:ascii="Arial" w:hAnsi="Arial" w:cs="Arial"/>
          <w:b w:val="0"/>
          <w:bCs w:val="0"/>
          <w:sz w:val="22"/>
          <w:szCs w:val="22"/>
        </w:rPr>
        <w:t>0.17 ± 0.20 ×10³ CFU/ml (low dose)</w:t>
      </w:r>
      <w:r>
        <w:rPr>
          <w:rFonts w:ascii="Arial" w:hAnsi="Arial" w:cs="Arial"/>
          <w:sz w:val="22"/>
          <w:szCs w:val="22"/>
        </w:rPr>
        <w:t xml:space="preserve"> and </w:t>
      </w:r>
      <w:r>
        <w:rPr>
          <w:rStyle w:val="Strong"/>
          <w:rFonts w:ascii="Arial" w:hAnsi="Arial" w:cs="Arial"/>
          <w:b w:val="0"/>
          <w:bCs w:val="0"/>
          <w:sz w:val="22"/>
          <w:szCs w:val="22"/>
        </w:rPr>
        <w:t>0.38 ± 0.08 ×10³ CFU/ml (high dose)</w:t>
      </w:r>
      <w:r>
        <w:rPr>
          <w:rFonts w:ascii="Arial" w:hAnsi="Arial" w:cs="Arial"/>
          <w:sz w:val="22"/>
          <w:szCs w:val="22"/>
        </w:rPr>
        <w:t xml:space="preserve">; however, these changes were </w:t>
      </w:r>
      <w:r>
        <w:rPr>
          <w:rStyle w:val="Strong"/>
          <w:rFonts w:ascii="Arial" w:hAnsi="Arial" w:cs="Arial"/>
          <w:b w:val="0"/>
          <w:bCs w:val="0"/>
          <w:sz w:val="22"/>
          <w:szCs w:val="22"/>
        </w:rPr>
        <w:t>not statistically significant (p &gt; 0.05)</w:t>
      </w:r>
      <w:r>
        <w:rPr>
          <w:rFonts w:ascii="Arial" w:hAnsi="Arial" w:cs="Arial"/>
          <w:sz w:val="22"/>
          <w:szCs w:val="22"/>
        </w:rPr>
        <w:t xml:space="preserve">. </w:t>
      </w:r>
    </w:p>
    <w:p w14:paraId="28A9587B" w14:textId="16F64DED" w:rsidR="0010332F" w:rsidRDefault="00147C17" w:rsidP="00CB0689">
      <w:pPr>
        <w:pStyle w:val="NormalWeb"/>
        <w:spacing w:beforeAutospacing="0" w:afterAutospacing="0" w:line="276" w:lineRule="auto"/>
        <w:jc w:val="both"/>
        <w:rPr>
          <w:rFonts w:ascii="Arial" w:hAnsi="Arial" w:cs="Arial"/>
          <w:sz w:val="22"/>
          <w:szCs w:val="22"/>
        </w:rPr>
      </w:pPr>
      <w:r>
        <w:rPr>
          <w:rFonts w:ascii="Arial" w:hAnsi="Arial" w:cs="Arial"/>
          <w:sz w:val="22"/>
          <w:szCs w:val="22"/>
        </w:rPr>
        <w:t xml:space="preserve">The </w:t>
      </w:r>
      <w:r>
        <w:rPr>
          <w:rStyle w:val="Strong"/>
          <w:rFonts w:ascii="Arial" w:hAnsi="Arial" w:cs="Arial"/>
          <w:b w:val="0"/>
          <w:bCs w:val="0"/>
          <w:sz w:val="22"/>
          <w:szCs w:val="22"/>
        </w:rPr>
        <w:t>Normal-Diet group</w:t>
      </w:r>
      <w:r>
        <w:rPr>
          <w:rFonts w:ascii="Arial" w:hAnsi="Arial" w:cs="Arial"/>
          <w:sz w:val="22"/>
          <w:szCs w:val="22"/>
        </w:rPr>
        <w:t xml:space="preserve"> recorded </w:t>
      </w:r>
      <w:r>
        <w:rPr>
          <w:rStyle w:val="Strong"/>
          <w:rFonts w:ascii="Arial" w:hAnsi="Arial" w:cs="Arial"/>
          <w:b w:val="0"/>
          <w:bCs w:val="0"/>
          <w:sz w:val="22"/>
          <w:szCs w:val="22"/>
        </w:rPr>
        <w:t>0.37 ± 0.30 ×10³ CFU/m</w:t>
      </w:r>
      <w:r w:rsidR="0010332F">
        <w:rPr>
          <w:rStyle w:val="Strong"/>
          <w:rFonts w:ascii="Arial" w:hAnsi="Arial" w:cs="Arial"/>
          <w:b w:val="0"/>
          <w:bCs w:val="0"/>
          <w:sz w:val="22"/>
          <w:szCs w:val="22"/>
        </w:rPr>
        <w:t xml:space="preserve"> on the coliform </w:t>
      </w:r>
      <w:proofErr w:type="spellStart"/>
      <w:r w:rsidR="0010332F">
        <w:rPr>
          <w:rStyle w:val="Strong"/>
          <w:rFonts w:ascii="Arial" w:hAnsi="Arial" w:cs="Arial"/>
          <w:b w:val="0"/>
          <w:bCs w:val="0"/>
          <w:sz w:val="22"/>
          <w:szCs w:val="22"/>
        </w:rPr>
        <w:t>count</w:t>
      </w:r>
      <w:r>
        <w:rPr>
          <w:rStyle w:val="Strong"/>
          <w:rFonts w:ascii="Arial" w:hAnsi="Arial" w:cs="Arial"/>
          <w:b w:val="0"/>
          <w:bCs w:val="0"/>
          <w:sz w:val="22"/>
          <w:szCs w:val="22"/>
        </w:rPr>
        <w:t>l</w:t>
      </w:r>
      <w:proofErr w:type="spellEnd"/>
      <w:r>
        <w:rPr>
          <w:rFonts w:ascii="Arial" w:hAnsi="Arial" w:cs="Arial"/>
          <w:sz w:val="22"/>
          <w:szCs w:val="22"/>
        </w:rPr>
        <w:t xml:space="preserve">, whereas the </w:t>
      </w:r>
      <w:r>
        <w:rPr>
          <w:rStyle w:val="Strong"/>
          <w:rFonts w:ascii="Arial" w:hAnsi="Arial" w:cs="Arial"/>
          <w:b w:val="0"/>
          <w:bCs w:val="0"/>
          <w:sz w:val="22"/>
          <w:szCs w:val="22"/>
        </w:rPr>
        <w:t>HCD group</w:t>
      </w:r>
      <w:r>
        <w:rPr>
          <w:rFonts w:ascii="Arial" w:hAnsi="Arial" w:cs="Arial"/>
          <w:sz w:val="22"/>
          <w:szCs w:val="22"/>
        </w:rPr>
        <w:t xml:space="preserve"> had a </w:t>
      </w:r>
      <w:r>
        <w:rPr>
          <w:rStyle w:val="Strong"/>
          <w:rFonts w:ascii="Arial" w:hAnsi="Arial" w:cs="Arial"/>
          <w:b w:val="0"/>
          <w:bCs w:val="0"/>
          <w:sz w:val="22"/>
          <w:szCs w:val="22"/>
        </w:rPr>
        <w:t>slight increase to 0.48 ± 0.09 ×10³ CFU/ml</w:t>
      </w:r>
      <w:r>
        <w:rPr>
          <w:rFonts w:ascii="Arial" w:hAnsi="Arial" w:cs="Arial"/>
          <w:sz w:val="22"/>
          <w:szCs w:val="22"/>
        </w:rPr>
        <w:t>.</w:t>
      </w:r>
      <w:r w:rsidR="008B5709">
        <w:rPr>
          <w:rFonts w:ascii="Arial" w:hAnsi="Arial" w:cs="Arial"/>
          <w:sz w:val="22"/>
          <w:szCs w:val="22"/>
        </w:rPr>
        <w:t xml:space="preserve"> </w:t>
      </w:r>
      <w:r>
        <w:rPr>
          <w:rFonts w:ascii="Arial" w:hAnsi="Arial" w:cs="Arial"/>
          <w:sz w:val="22"/>
          <w:szCs w:val="22"/>
        </w:rPr>
        <w:t xml:space="preserve">After probiotic supplementation, both </w:t>
      </w:r>
      <w:r>
        <w:rPr>
          <w:rStyle w:val="Strong"/>
          <w:rFonts w:ascii="Arial" w:hAnsi="Arial" w:cs="Arial"/>
          <w:b w:val="0"/>
          <w:bCs w:val="0"/>
          <w:sz w:val="22"/>
          <w:szCs w:val="22"/>
        </w:rPr>
        <w:t>Low-Dose (0.14 ± 0.03 ×10³ CFU/ml)</w:t>
      </w:r>
      <w:r>
        <w:rPr>
          <w:rFonts w:ascii="Arial" w:hAnsi="Arial" w:cs="Arial"/>
          <w:sz w:val="22"/>
          <w:szCs w:val="22"/>
        </w:rPr>
        <w:t xml:space="preserve"> and </w:t>
      </w:r>
      <w:r>
        <w:rPr>
          <w:rStyle w:val="Strong"/>
          <w:rFonts w:ascii="Arial" w:hAnsi="Arial" w:cs="Arial"/>
          <w:b w:val="0"/>
          <w:bCs w:val="0"/>
          <w:sz w:val="22"/>
          <w:szCs w:val="22"/>
        </w:rPr>
        <w:t>High-Dose (0.21 ± 0.11 ×10³ CFU/ml)</w:t>
      </w:r>
      <w:r>
        <w:rPr>
          <w:rFonts w:ascii="Arial" w:hAnsi="Arial" w:cs="Arial"/>
          <w:sz w:val="22"/>
          <w:szCs w:val="22"/>
        </w:rPr>
        <w:t xml:space="preserve"> treatments produced </w:t>
      </w:r>
      <w:r>
        <w:rPr>
          <w:rStyle w:val="Strong"/>
          <w:rFonts w:ascii="Arial" w:hAnsi="Arial" w:cs="Arial"/>
          <w:b w:val="0"/>
          <w:bCs w:val="0"/>
          <w:sz w:val="22"/>
          <w:szCs w:val="22"/>
        </w:rPr>
        <w:t>numerical decreases</w:t>
      </w:r>
      <w:r>
        <w:rPr>
          <w:rFonts w:ascii="Arial" w:hAnsi="Arial" w:cs="Arial"/>
          <w:sz w:val="22"/>
          <w:szCs w:val="22"/>
        </w:rPr>
        <w:t xml:space="preserve"> in coliform count compared with the HCD group, though </w:t>
      </w:r>
      <w:r>
        <w:rPr>
          <w:rStyle w:val="Strong"/>
          <w:rFonts w:ascii="Arial" w:hAnsi="Arial" w:cs="Arial"/>
          <w:b w:val="0"/>
          <w:bCs w:val="0"/>
          <w:sz w:val="22"/>
          <w:szCs w:val="22"/>
        </w:rPr>
        <w:t>not statistically significant (p &gt; 0.05)</w:t>
      </w:r>
      <w:r>
        <w:rPr>
          <w:rFonts w:ascii="Arial" w:hAnsi="Arial" w:cs="Arial"/>
          <w:sz w:val="22"/>
          <w:szCs w:val="22"/>
        </w:rPr>
        <w:t>.</w:t>
      </w:r>
    </w:p>
    <w:p w14:paraId="39431B16" w14:textId="77777777" w:rsidR="0010332F" w:rsidRDefault="00147C17" w:rsidP="00CB0689">
      <w:pPr>
        <w:pStyle w:val="NormalWeb"/>
        <w:spacing w:beforeAutospacing="0" w:line="276" w:lineRule="auto"/>
        <w:jc w:val="both"/>
        <w:rPr>
          <w:rFonts w:ascii="Arial" w:hAnsi="Arial" w:cs="Arial"/>
          <w:sz w:val="22"/>
          <w:szCs w:val="22"/>
        </w:rPr>
      </w:pPr>
      <w:r>
        <w:rPr>
          <w:rFonts w:ascii="Arial" w:hAnsi="Arial" w:cs="Arial"/>
          <w:sz w:val="22"/>
          <w:szCs w:val="22"/>
        </w:rPr>
        <w:t xml:space="preserve">A </w:t>
      </w:r>
      <w:r>
        <w:rPr>
          <w:rStyle w:val="Strong"/>
          <w:rFonts w:ascii="Arial" w:hAnsi="Arial" w:cs="Arial"/>
          <w:b w:val="0"/>
          <w:bCs w:val="0"/>
          <w:sz w:val="22"/>
          <w:szCs w:val="22"/>
        </w:rPr>
        <w:t>significant reduction (p &lt; 0.05)</w:t>
      </w:r>
      <w:r>
        <w:rPr>
          <w:rFonts w:ascii="Arial" w:hAnsi="Arial" w:cs="Arial"/>
          <w:sz w:val="22"/>
          <w:szCs w:val="22"/>
        </w:rPr>
        <w:t xml:space="preserve"> in LAB count was observed in the </w:t>
      </w:r>
      <w:r>
        <w:rPr>
          <w:rStyle w:val="Strong"/>
          <w:rFonts w:ascii="Arial" w:hAnsi="Arial" w:cs="Arial"/>
          <w:b w:val="0"/>
          <w:bCs w:val="0"/>
          <w:sz w:val="22"/>
          <w:szCs w:val="22"/>
        </w:rPr>
        <w:t>HCD group (0.42 ± 0.17 ×10³ CFU/ml)</w:t>
      </w:r>
      <w:r>
        <w:rPr>
          <w:rFonts w:ascii="Arial" w:hAnsi="Arial" w:cs="Arial"/>
          <w:sz w:val="22"/>
          <w:szCs w:val="22"/>
        </w:rPr>
        <w:t xml:space="preserve"> compared with the </w:t>
      </w:r>
      <w:r>
        <w:rPr>
          <w:rStyle w:val="Strong"/>
          <w:rFonts w:ascii="Arial" w:hAnsi="Arial" w:cs="Arial"/>
          <w:b w:val="0"/>
          <w:bCs w:val="0"/>
          <w:sz w:val="22"/>
          <w:szCs w:val="22"/>
        </w:rPr>
        <w:t xml:space="preserve">Normal-Diet group (0.90 ± 0.18 ×10³ CFU/ml). </w:t>
      </w:r>
      <w:r>
        <w:rPr>
          <w:rFonts w:ascii="Arial" w:hAnsi="Arial" w:cs="Arial"/>
          <w:sz w:val="22"/>
          <w:szCs w:val="22"/>
        </w:rPr>
        <w:t xml:space="preserve">Probiotic supplementation caused a </w:t>
      </w:r>
      <w:r>
        <w:rPr>
          <w:rStyle w:val="Strong"/>
          <w:rFonts w:ascii="Arial" w:hAnsi="Arial" w:cs="Arial"/>
          <w:b w:val="0"/>
          <w:bCs w:val="0"/>
          <w:sz w:val="22"/>
          <w:szCs w:val="22"/>
        </w:rPr>
        <w:t>numerical increase</w:t>
      </w:r>
      <w:r>
        <w:rPr>
          <w:rFonts w:ascii="Arial" w:hAnsi="Arial" w:cs="Arial"/>
          <w:sz w:val="22"/>
          <w:szCs w:val="22"/>
        </w:rPr>
        <w:t xml:space="preserve"> in LAB counts to </w:t>
      </w:r>
      <w:r>
        <w:rPr>
          <w:rStyle w:val="Strong"/>
          <w:rFonts w:ascii="Arial" w:hAnsi="Arial" w:cs="Arial"/>
          <w:b w:val="0"/>
          <w:bCs w:val="0"/>
          <w:sz w:val="22"/>
          <w:szCs w:val="22"/>
        </w:rPr>
        <w:t>0.57 ± 0.47 (low dose)</w:t>
      </w:r>
      <w:r>
        <w:rPr>
          <w:rFonts w:ascii="Arial" w:hAnsi="Arial" w:cs="Arial"/>
          <w:sz w:val="22"/>
          <w:szCs w:val="22"/>
        </w:rPr>
        <w:t xml:space="preserve"> and </w:t>
      </w:r>
      <w:r>
        <w:rPr>
          <w:rStyle w:val="Strong"/>
          <w:rFonts w:ascii="Arial" w:hAnsi="Arial" w:cs="Arial"/>
          <w:b w:val="0"/>
          <w:bCs w:val="0"/>
          <w:sz w:val="22"/>
          <w:szCs w:val="22"/>
        </w:rPr>
        <w:t>0.44 ± 0.23 (high dose)</w:t>
      </w:r>
      <w:r>
        <w:rPr>
          <w:rFonts w:ascii="Arial" w:hAnsi="Arial" w:cs="Arial"/>
          <w:sz w:val="22"/>
          <w:szCs w:val="22"/>
        </w:rPr>
        <w:t xml:space="preserve">, though these were </w:t>
      </w:r>
      <w:r>
        <w:rPr>
          <w:rStyle w:val="Strong"/>
          <w:rFonts w:ascii="Arial" w:hAnsi="Arial" w:cs="Arial"/>
          <w:b w:val="0"/>
          <w:bCs w:val="0"/>
          <w:sz w:val="22"/>
          <w:szCs w:val="22"/>
        </w:rPr>
        <w:t>not statistically significant (p &gt; 0.05)</w:t>
      </w:r>
      <w:r>
        <w:rPr>
          <w:rFonts w:ascii="Arial" w:hAnsi="Arial" w:cs="Arial"/>
          <w:sz w:val="22"/>
          <w:szCs w:val="22"/>
        </w:rPr>
        <w:t>.</w:t>
      </w:r>
    </w:p>
    <w:p w14:paraId="670AA22F" w14:textId="1924F120" w:rsidR="00954ED3" w:rsidRDefault="00147C17" w:rsidP="00C65416">
      <w:pPr>
        <w:pStyle w:val="NormalWeb"/>
        <w:spacing w:line="276" w:lineRule="auto"/>
        <w:jc w:val="both"/>
        <w:rPr>
          <w:rFonts w:ascii="Arial" w:hAnsi="Arial" w:cs="Arial"/>
          <w:sz w:val="22"/>
          <w:szCs w:val="22"/>
        </w:rPr>
      </w:pPr>
      <w:r>
        <w:rPr>
          <w:rFonts w:ascii="Arial" w:hAnsi="Arial" w:cs="Arial"/>
          <w:sz w:val="22"/>
          <w:szCs w:val="22"/>
        </w:rPr>
        <w:t xml:space="preserve">In the intestine, the </w:t>
      </w:r>
      <w:r>
        <w:rPr>
          <w:rStyle w:val="Strong"/>
          <w:rFonts w:ascii="Arial" w:hAnsi="Arial" w:cs="Arial"/>
          <w:b w:val="0"/>
          <w:bCs w:val="0"/>
          <w:sz w:val="22"/>
          <w:szCs w:val="22"/>
        </w:rPr>
        <w:t>Normal-Diet and HCD groups</w:t>
      </w:r>
      <w:r>
        <w:rPr>
          <w:rFonts w:ascii="Arial" w:hAnsi="Arial" w:cs="Arial"/>
          <w:sz w:val="22"/>
          <w:szCs w:val="22"/>
        </w:rPr>
        <w:t xml:space="preserve"> had similar fungal counts (</w:t>
      </w:r>
      <w:r>
        <w:rPr>
          <w:rStyle w:val="Strong"/>
          <w:rFonts w:ascii="Arial" w:hAnsi="Arial" w:cs="Arial"/>
          <w:b w:val="0"/>
          <w:bCs w:val="0"/>
          <w:sz w:val="22"/>
          <w:szCs w:val="22"/>
        </w:rPr>
        <w:t>0.29 ± 0.13</w:t>
      </w:r>
      <w:r>
        <w:rPr>
          <w:rFonts w:ascii="Arial" w:hAnsi="Arial" w:cs="Arial"/>
          <w:sz w:val="22"/>
          <w:szCs w:val="22"/>
        </w:rPr>
        <w:t xml:space="preserve"> and </w:t>
      </w:r>
      <w:r>
        <w:rPr>
          <w:rStyle w:val="Strong"/>
          <w:rFonts w:ascii="Arial" w:hAnsi="Arial" w:cs="Arial"/>
          <w:b w:val="0"/>
          <w:bCs w:val="0"/>
          <w:sz w:val="22"/>
          <w:szCs w:val="22"/>
        </w:rPr>
        <w:t>0.29 ± 0.11 ×10³ CFU/ml</w:t>
      </w:r>
      <w:r>
        <w:rPr>
          <w:rFonts w:ascii="Arial" w:hAnsi="Arial" w:cs="Arial"/>
          <w:sz w:val="22"/>
          <w:szCs w:val="22"/>
        </w:rPr>
        <w:t>, respectively).</w:t>
      </w:r>
      <w:r>
        <w:rPr>
          <w:rFonts w:ascii="Arial" w:hAnsi="Arial" w:cs="Arial"/>
          <w:sz w:val="22"/>
          <w:szCs w:val="22"/>
        </w:rPr>
        <w:br/>
        <w:t xml:space="preserve">The </w:t>
      </w:r>
      <w:r>
        <w:rPr>
          <w:rStyle w:val="Strong"/>
          <w:rFonts w:ascii="Arial" w:hAnsi="Arial" w:cs="Arial"/>
          <w:b w:val="0"/>
          <w:bCs w:val="0"/>
          <w:sz w:val="22"/>
          <w:szCs w:val="22"/>
        </w:rPr>
        <w:t>Low-Dose Probiotic group</w:t>
      </w:r>
      <w:r>
        <w:rPr>
          <w:rFonts w:ascii="Arial" w:hAnsi="Arial" w:cs="Arial"/>
          <w:sz w:val="22"/>
          <w:szCs w:val="22"/>
        </w:rPr>
        <w:t xml:space="preserve"> showed a </w:t>
      </w:r>
      <w:r>
        <w:rPr>
          <w:rStyle w:val="Strong"/>
          <w:rFonts w:ascii="Arial" w:hAnsi="Arial" w:cs="Arial"/>
          <w:b w:val="0"/>
          <w:bCs w:val="0"/>
          <w:sz w:val="22"/>
          <w:szCs w:val="22"/>
        </w:rPr>
        <w:t>significant increase (p &lt; 0.05)</w:t>
      </w:r>
      <w:r>
        <w:rPr>
          <w:rFonts w:ascii="Arial" w:hAnsi="Arial" w:cs="Arial"/>
          <w:sz w:val="22"/>
          <w:szCs w:val="22"/>
        </w:rPr>
        <w:t xml:space="preserve"> to </w:t>
      </w:r>
      <w:r>
        <w:rPr>
          <w:rStyle w:val="Strong"/>
          <w:rFonts w:ascii="Arial" w:hAnsi="Arial" w:cs="Arial"/>
          <w:b w:val="0"/>
          <w:bCs w:val="0"/>
          <w:sz w:val="22"/>
          <w:szCs w:val="22"/>
        </w:rPr>
        <w:t>0.68 ± 0.21 ×10³ CFU/ml</w:t>
      </w:r>
      <w:r>
        <w:rPr>
          <w:rFonts w:ascii="Arial" w:hAnsi="Arial" w:cs="Arial"/>
          <w:sz w:val="22"/>
          <w:szCs w:val="22"/>
        </w:rPr>
        <w:t xml:space="preserve">, while the </w:t>
      </w:r>
      <w:r>
        <w:rPr>
          <w:rStyle w:val="Strong"/>
          <w:rFonts w:ascii="Arial" w:hAnsi="Arial" w:cs="Arial"/>
          <w:b w:val="0"/>
          <w:bCs w:val="0"/>
          <w:sz w:val="22"/>
          <w:szCs w:val="22"/>
        </w:rPr>
        <w:t>High-Dose group</w:t>
      </w:r>
      <w:r>
        <w:rPr>
          <w:rFonts w:ascii="Arial" w:hAnsi="Arial" w:cs="Arial"/>
          <w:sz w:val="22"/>
          <w:szCs w:val="22"/>
        </w:rPr>
        <w:t xml:space="preserve"> recorded </w:t>
      </w:r>
      <w:r>
        <w:rPr>
          <w:rStyle w:val="Strong"/>
          <w:rFonts w:ascii="Arial" w:hAnsi="Arial" w:cs="Arial"/>
          <w:b w:val="0"/>
          <w:bCs w:val="0"/>
          <w:sz w:val="22"/>
          <w:szCs w:val="22"/>
        </w:rPr>
        <w:t>0.26 ± 0.04 ×10³ CFU/ml</w:t>
      </w:r>
      <w:r>
        <w:rPr>
          <w:rFonts w:ascii="Arial" w:hAnsi="Arial" w:cs="Arial"/>
          <w:sz w:val="22"/>
          <w:szCs w:val="22"/>
        </w:rPr>
        <w:t xml:space="preserve">, comparable to the control (p &gt; 0.05). The </w:t>
      </w:r>
      <w:r>
        <w:rPr>
          <w:rStyle w:val="Strong"/>
          <w:rFonts w:ascii="Arial" w:hAnsi="Arial" w:cs="Arial"/>
          <w:b w:val="0"/>
          <w:bCs w:val="0"/>
          <w:sz w:val="22"/>
          <w:szCs w:val="22"/>
        </w:rPr>
        <w:t>HCD group</w:t>
      </w:r>
      <w:r>
        <w:rPr>
          <w:rFonts w:ascii="Arial" w:hAnsi="Arial" w:cs="Arial"/>
          <w:sz w:val="22"/>
          <w:szCs w:val="22"/>
        </w:rPr>
        <w:t xml:space="preserve"> showed a </w:t>
      </w:r>
      <w:r>
        <w:rPr>
          <w:rStyle w:val="Strong"/>
          <w:rFonts w:ascii="Arial" w:hAnsi="Arial" w:cs="Arial"/>
          <w:b w:val="0"/>
          <w:bCs w:val="0"/>
          <w:sz w:val="22"/>
          <w:szCs w:val="22"/>
        </w:rPr>
        <w:t>numerical increase</w:t>
      </w:r>
      <w:r>
        <w:rPr>
          <w:rFonts w:ascii="Arial" w:hAnsi="Arial" w:cs="Arial"/>
          <w:sz w:val="22"/>
          <w:szCs w:val="22"/>
        </w:rPr>
        <w:t xml:space="preserve"> in coliform count (</w:t>
      </w:r>
      <w:r>
        <w:rPr>
          <w:rStyle w:val="Strong"/>
          <w:rFonts w:ascii="Arial" w:hAnsi="Arial" w:cs="Arial"/>
          <w:b w:val="0"/>
          <w:bCs w:val="0"/>
          <w:sz w:val="22"/>
          <w:szCs w:val="22"/>
        </w:rPr>
        <w:t>0.50 ± 0.17 ×10³ CFU/ml</w:t>
      </w:r>
      <w:r>
        <w:rPr>
          <w:rFonts w:ascii="Arial" w:hAnsi="Arial" w:cs="Arial"/>
          <w:sz w:val="22"/>
          <w:szCs w:val="22"/>
        </w:rPr>
        <w:t xml:space="preserve">) relative to the </w:t>
      </w:r>
      <w:r>
        <w:rPr>
          <w:rStyle w:val="Strong"/>
          <w:rFonts w:ascii="Arial" w:hAnsi="Arial" w:cs="Arial"/>
          <w:b w:val="0"/>
          <w:bCs w:val="0"/>
          <w:sz w:val="22"/>
          <w:szCs w:val="22"/>
        </w:rPr>
        <w:t>Normal-Diet group (0.32 ± 0.14 ×10³ CFU/ml)</w:t>
      </w:r>
      <w:r>
        <w:rPr>
          <w:rFonts w:ascii="Arial" w:hAnsi="Arial" w:cs="Arial"/>
          <w:sz w:val="22"/>
          <w:szCs w:val="22"/>
        </w:rPr>
        <w:t>, indicating mild intestinal dysbiosis.</w:t>
      </w:r>
      <w:r>
        <w:rPr>
          <w:rFonts w:ascii="Arial" w:hAnsi="Arial" w:cs="Arial"/>
          <w:sz w:val="22"/>
          <w:szCs w:val="22"/>
        </w:rPr>
        <w:br/>
        <w:t xml:space="preserve">After probiotic treatment, both </w:t>
      </w:r>
      <w:r>
        <w:rPr>
          <w:rStyle w:val="Strong"/>
          <w:rFonts w:ascii="Arial" w:hAnsi="Arial" w:cs="Arial"/>
          <w:b w:val="0"/>
          <w:bCs w:val="0"/>
          <w:sz w:val="22"/>
          <w:szCs w:val="22"/>
        </w:rPr>
        <w:t>Low-Dose (0.22 ± 0.11)</w:t>
      </w:r>
      <w:r>
        <w:rPr>
          <w:rFonts w:ascii="Arial" w:hAnsi="Arial" w:cs="Arial"/>
          <w:sz w:val="22"/>
          <w:szCs w:val="22"/>
        </w:rPr>
        <w:t xml:space="preserve"> and </w:t>
      </w:r>
      <w:r>
        <w:rPr>
          <w:rStyle w:val="Strong"/>
          <w:rFonts w:ascii="Arial" w:hAnsi="Arial" w:cs="Arial"/>
          <w:b w:val="0"/>
          <w:bCs w:val="0"/>
          <w:sz w:val="22"/>
          <w:szCs w:val="22"/>
        </w:rPr>
        <w:t>High-Dose (0.22 ± 0.09 ×10³ CFU/ml)</w:t>
      </w:r>
      <w:r>
        <w:rPr>
          <w:rFonts w:ascii="Arial" w:hAnsi="Arial" w:cs="Arial"/>
          <w:sz w:val="22"/>
          <w:szCs w:val="22"/>
        </w:rPr>
        <w:t xml:space="preserve"> groups showed </w:t>
      </w:r>
      <w:r>
        <w:rPr>
          <w:rStyle w:val="Strong"/>
          <w:rFonts w:ascii="Arial" w:hAnsi="Arial" w:cs="Arial"/>
          <w:b w:val="0"/>
          <w:bCs w:val="0"/>
          <w:sz w:val="22"/>
          <w:szCs w:val="22"/>
        </w:rPr>
        <w:t xml:space="preserve">decreases (p &gt; 0.05). </w:t>
      </w:r>
      <w:r>
        <w:rPr>
          <w:rFonts w:ascii="Arial" w:hAnsi="Arial" w:cs="Arial"/>
          <w:sz w:val="22"/>
          <w:szCs w:val="22"/>
        </w:rPr>
        <w:t xml:space="preserve">The </w:t>
      </w:r>
      <w:r>
        <w:rPr>
          <w:rStyle w:val="Strong"/>
          <w:rFonts w:ascii="Arial" w:hAnsi="Arial" w:cs="Arial"/>
          <w:b w:val="0"/>
          <w:bCs w:val="0"/>
          <w:sz w:val="22"/>
          <w:szCs w:val="22"/>
        </w:rPr>
        <w:t>Normal-Diet group</w:t>
      </w:r>
      <w:r>
        <w:rPr>
          <w:rFonts w:ascii="Arial" w:hAnsi="Arial" w:cs="Arial"/>
          <w:sz w:val="22"/>
          <w:szCs w:val="22"/>
        </w:rPr>
        <w:t xml:space="preserve"> had the highest LAB count (</w:t>
      </w:r>
      <w:r>
        <w:rPr>
          <w:rStyle w:val="Strong"/>
          <w:rFonts w:ascii="Arial" w:hAnsi="Arial" w:cs="Arial"/>
          <w:b w:val="0"/>
          <w:bCs w:val="0"/>
          <w:sz w:val="22"/>
          <w:szCs w:val="22"/>
        </w:rPr>
        <w:t xml:space="preserve">1.29 ± </w:t>
      </w:r>
      <w:r>
        <w:rPr>
          <w:rStyle w:val="Strong"/>
          <w:rFonts w:ascii="Arial" w:hAnsi="Arial" w:cs="Arial"/>
          <w:b w:val="0"/>
          <w:bCs w:val="0"/>
          <w:sz w:val="22"/>
          <w:szCs w:val="22"/>
        </w:rPr>
        <w:lastRenderedPageBreak/>
        <w:t>0.16 ×10³ CFU/ml</w:t>
      </w:r>
      <w:r>
        <w:rPr>
          <w:rFonts w:ascii="Arial" w:hAnsi="Arial" w:cs="Arial"/>
          <w:sz w:val="22"/>
          <w:szCs w:val="22"/>
        </w:rPr>
        <w:t xml:space="preserve">), whereas the </w:t>
      </w:r>
      <w:r>
        <w:rPr>
          <w:rStyle w:val="Strong"/>
          <w:rFonts w:ascii="Arial" w:hAnsi="Arial" w:cs="Arial"/>
          <w:b w:val="0"/>
          <w:bCs w:val="0"/>
          <w:sz w:val="22"/>
          <w:szCs w:val="22"/>
        </w:rPr>
        <w:t>HCD group</w:t>
      </w:r>
      <w:r>
        <w:rPr>
          <w:rFonts w:ascii="Arial" w:hAnsi="Arial" w:cs="Arial"/>
          <w:sz w:val="22"/>
          <w:szCs w:val="22"/>
        </w:rPr>
        <w:t xml:space="preserve"> displayed a </w:t>
      </w:r>
      <w:r>
        <w:rPr>
          <w:rStyle w:val="Strong"/>
          <w:rFonts w:ascii="Arial" w:hAnsi="Arial" w:cs="Arial"/>
          <w:b w:val="0"/>
          <w:bCs w:val="0"/>
          <w:sz w:val="22"/>
          <w:szCs w:val="22"/>
        </w:rPr>
        <w:t>significant reduction (p &lt; 0.05)</w:t>
      </w:r>
      <w:r>
        <w:rPr>
          <w:rFonts w:ascii="Arial" w:hAnsi="Arial" w:cs="Arial"/>
          <w:sz w:val="22"/>
          <w:szCs w:val="22"/>
        </w:rPr>
        <w:t xml:space="preserve"> to </w:t>
      </w:r>
      <w:r>
        <w:rPr>
          <w:rStyle w:val="Strong"/>
          <w:rFonts w:ascii="Arial" w:hAnsi="Arial" w:cs="Arial"/>
          <w:b w:val="0"/>
          <w:bCs w:val="0"/>
          <w:sz w:val="22"/>
          <w:szCs w:val="22"/>
        </w:rPr>
        <w:t>0.77 ± 0.47 ×10³ CFU/ml</w:t>
      </w:r>
      <w:r w:rsidR="00127CAD">
        <w:rPr>
          <w:rFonts w:ascii="Arial" w:hAnsi="Arial" w:cs="Arial"/>
          <w:sz w:val="22"/>
          <w:szCs w:val="22"/>
        </w:rPr>
        <w:t>.</w:t>
      </w:r>
      <w:r>
        <w:rPr>
          <w:rFonts w:ascii="Arial" w:hAnsi="Arial" w:cs="Arial"/>
          <w:sz w:val="22"/>
          <w:szCs w:val="22"/>
        </w:rPr>
        <w:t xml:space="preserve"> Following probiotic administration, LAB counts increased to </w:t>
      </w:r>
      <w:r>
        <w:rPr>
          <w:rStyle w:val="Strong"/>
          <w:rFonts w:ascii="Arial" w:hAnsi="Arial" w:cs="Arial"/>
          <w:b w:val="0"/>
          <w:bCs w:val="0"/>
          <w:sz w:val="22"/>
          <w:szCs w:val="22"/>
        </w:rPr>
        <w:t>1.10 ± 0.19 (low dose)</w:t>
      </w:r>
      <w:r>
        <w:rPr>
          <w:rFonts w:ascii="Arial" w:hAnsi="Arial" w:cs="Arial"/>
          <w:sz w:val="22"/>
          <w:szCs w:val="22"/>
        </w:rPr>
        <w:t xml:space="preserve"> and </w:t>
      </w:r>
      <w:r>
        <w:rPr>
          <w:rStyle w:val="Strong"/>
          <w:rFonts w:ascii="Arial" w:hAnsi="Arial" w:cs="Arial"/>
          <w:b w:val="0"/>
          <w:bCs w:val="0"/>
          <w:sz w:val="22"/>
          <w:szCs w:val="22"/>
        </w:rPr>
        <w:t>1.19 ± 0.08 ×10³ CFU/ml (high dose)</w:t>
      </w:r>
      <w:r>
        <w:rPr>
          <w:rFonts w:ascii="Arial" w:hAnsi="Arial" w:cs="Arial"/>
          <w:sz w:val="22"/>
          <w:szCs w:val="22"/>
        </w:rPr>
        <w:t xml:space="preserve">, both </w:t>
      </w:r>
      <w:r>
        <w:rPr>
          <w:rStyle w:val="Strong"/>
          <w:rFonts w:ascii="Arial" w:hAnsi="Arial" w:cs="Arial"/>
          <w:b w:val="0"/>
          <w:bCs w:val="0"/>
          <w:sz w:val="22"/>
          <w:szCs w:val="22"/>
        </w:rPr>
        <w:t>numerically higher (though not significant, p &gt; 0.05)</w:t>
      </w:r>
      <w:r>
        <w:rPr>
          <w:rFonts w:ascii="Arial" w:hAnsi="Arial" w:cs="Arial"/>
          <w:sz w:val="22"/>
          <w:szCs w:val="22"/>
        </w:rPr>
        <w:t xml:space="preserve"> than the HCD group.</w:t>
      </w:r>
    </w:p>
    <w:p w14:paraId="31B3BDC4" w14:textId="5F40027E" w:rsidR="00127CAD" w:rsidRDefault="006D2803" w:rsidP="00C65416">
      <w:pPr>
        <w:jc w:val="both"/>
        <w:rPr>
          <w:rFonts w:ascii="Arial" w:hAnsi="Arial" w:cs="Arial"/>
        </w:rPr>
      </w:pPr>
      <w:r>
        <w:rPr>
          <w:rFonts w:ascii="Arial" w:hAnsi="Arial" w:cs="Arial"/>
        </w:rPr>
        <w:t xml:space="preserve">The rise in beneficial lactic acid bacteria and reduction in harmful coliform bacteria also aligns with reports from </w:t>
      </w:r>
      <w:proofErr w:type="spellStart"/>
      <w:r>
        <w:rPr>
          <w:rFonts w:ascii="Arial" w:hAnsi="Arial" w:cs="Arial"/>
        </w:rPr>
        <w:t>Kobyliak</w:t>
      </w:r>
      <w:proofErr w:type="spellEnd"/>
      <w:r>
        <w:rPr>
          <w:rFonts w:ascii="Arial" w:hAnsi="Arial" w:cs="Arial"/>
        </w:rPr>
        <w:t xml:space="preserve"> et al. (2016), showing probiotics help restore gut microbial balance and reduce inflammation caused by high-fat diets. Song et al. (2023) similarly linked probiotic benefits in lipid metabolism to improved gut bacterial diversity and stronger intestinal barriers. Our results further strengthen the idea that the gut-liver connection plays an important role in keeping metabolism balanced.</w:t>
      </w:r>
    </w:p>
    <w:p w14:paraId="35AC8A12" w14:textId="77777777" w:rsidR="00C65416" w:rsidRPr="00127CAD" w:rsidRDefault="00C65416" w:rsidP="00C65416">
      <w:pPr>
        <w:jc w:val="both"/>
        <w:rPr>
          <w:rFonts w:ascii="Arial" w:hAnsi="Arial" w:cs="Arial"/>
        </w:rPr>
      </w:pPr>
    </w:p>
    <w:p w14:paraId="1DFCC6C8" w14:textId="77777777" w:rsidR="00954ED3" w:rsidRDefault="00147C17">
      <w:pPr>
        <w:spacing w:line="360" w:lineRule="auto"/>
        <w:jc w:val="both"/>
        <w:rPr>
          <w:rFonts w:ascii="Arial" w:hAnsi="Arial" w:cs="Arial"/>
          <w:b/>
          <w:bCs/>
        </w:rPr>
      </w:pPr>
      <w:r>
        <w:rPr>
          <w:rFonts w:ascii="Arial" w:hAnsi="Arial" w:cs="Arial"/>
          <w:b/>
          <w:bCs/>
        </w:rPr>
        <w:t xml:space="preserve">Table 1: Effect of the probiotic combination on the gut microbiota  </w:t>
      </w:r>
    </w:p>
    <w:tbl>
      <w:tblPr>
        <w:tblStyle w:val="TableGrid"/>
        <w:tblW w:w="0" w:type="auto"/>
        <w:tblLayout w:type="fixed"/>
        <w:tblLook w:val="04A0" w:firstRow="1" w:lastRow="0" w:firstColumn="1" w:lastColumn="0" w:noHBand="0" w:noVBand="1"/>
      </w:tblPr>
      <w:tblGrid>
        <w:gridCol w:w="1998"/>
        <w:gridCol w:w="1170"/>
        <w:gridCol w:w="1350"/>
        <w:gridCol w:w="1170"/>
        <w:gridCol w:w="1260"/>
        <w:gridCol w:w="1353"/>
        <w:gridCol w:w="1275"/>
      </w:tblGrid>
      <w:tr w:rsidR="00954ED3" w14:paraId="5CD3C37C" w14:textId="77777777">
        <w:tc>
          <w:tcPr>
            <w:tcW w:w="1998" w:type="dxa"/>
          </w:tcPr>
          <w:p w14:paraId="0562BB1B" w14:textId="77777777" w:rsidR="00954ED3" w:rsidRPr="007122AC" w:rsidRDefault="00147C17">
            <w:pPr>
              <w:spacing w:before="240" w:after="0" w:line="240" w:lineRule="auto"/>
              <w:jc w:val="both"/>
              <w:rPr>
                <w:rFonts w:ascii="Arial" w:hAnsi="Arial" w:cs="Arial"/>
                <w:b/>
                <w:bCs/>
              </w:rPr>
            </w:pPr>
            <w:r w:rsidRPr="007122AC">
              <w:rPr>
                <w:rFonts w:ascii="Arial" w:hAnsi="Arial" w:cs="Arial"/>
                <w:b/>
                <w:bCs/>
              </w:rPr>
              <w:t>GROUPS</w:t>
            </w:r>
          </w:p>
        </w:tc>
        <w:tc>
          <w:tcPr>
            <w:tcW w:w="1170" w:type="dxa"/>
          </w:tcPr>
          <w:p w14:paraId="37B0A31F" w14:textId="77777777" w:rsidR="00954ED3" w:rsidRPr="007122AC" w:rsidRDefault="00147C17">
            <w:pPr>
              <w:spacing w:after="0" w:line="240" w:lineRule="auto"/>
              <w:jc w:val="both"/>
              <w:rPr>
                <w:rFonts w:ascii="Arial" w:eastAsia="Times New Roman" w:hAnsi="Arial" w:cs="Arial"/>
                <w:b/>
                <w:bCs/>
              </w:rPr>
            </w:pPr>
            <w:proofErr w:type="gramStart"/>
            <w:r w:rsidRPr="007122AC">
              <w:rPr>
                <w:rFonts w:ascii="Arial" w:eastAsia="Times New Roman" w:hAnsi="Arial" w:cs="Arial"/>
                <w:b/>
                <w:bCs/>
              </w:rPr>
              <w:t>Stomach  fungi</w:t>
            </w:r>
            <w:proofErr w:type="gramEnd"/>
            <w:r w:rsidRPr="007122AC">
              <w:rPr>
                <w:rFonts w:ascii="Arial" w:eastAsia="Times New Roman" w:hAnsi="Arial" w:cs="Arial"/>
                <w:b/>
                <w:bCs/>
              </w:rPr>
              <w:t xml:space="preserve"> count </w:t>
            </w:r>
          </w:p>
          <w:p w14:paraId="0E6EAB77" w14:textId="77777777" w:rsidR="00954ED3" w:rsidRPr="007122AC" w:rsidRDefault="00147C17">
            <w:pPr>
              <w:spacing w:after="0" w:line="240" w:lineRule="auto"/>
              <w:jc w:val="both"/>
              <w:rPr>
                <w:rFonts w:ascii="Arial" w:eastAsia="Times New Roman" w:hAnsi="Arial" w:cs="Arial"/>
                <w:b/>
                <w:bCs/>
              </w:rPr>
            </w:pPr>
            <w:r w:rsidRPr="007122AC">
              <w:rPr>
                <w:rFonts w:ascii="Arial" w:eastAsia="Times New Roman" w:hAnsi="Arial" w:cs="Arial"/>
                <w:b/>
                <w:bCs/>
              </w:rPr>
              <w:t>(CFU/ml) X 10</w:t>
            </w:r>
            <w:r w:rsidRPr="007122AC">
              <w:rPr>
                <w:rFonts w:ascii="Arial" w:eastAsia="Times New Roman" w:hAnsi="Arial" w:cs="Arial"/>
                <w:b/>
                <w:bCs/>
                <w:vertAlign w:val="superscript"/>
              </w:rPr>
              <w:t>3</w:t>
            </w:r>
          </w:p>
        </w:tc>
        <w:tc>
          <w:tcPr>
            <w:tcW w:w="1350" w:type="dxa"/>
          </w:tcPr>
          <w:p w14:paraId="46B4A77B" w14:textId="77777777" w:rsidR="00954ED3" w:rsidRPr="007122AC" w:rsidRDefault="00147C17">
            <w:pPr>
              <w:spacing w:after="0" w:line="240" w:lineRule="auto"/>
              <w:jc w:val="both"/>
              <w:rPr>
                <w:rFonts w:ascii="Arial" w:hAnsi="Arial" w:cs="Arial"/>
                <w:b/>
                <w:bCs/>
              </w:rPr>
            </w:pPr>
            <w:r w:rsidRPr="007122AC">
              <w:rPr>
                <w:rFonts w:ascii="Arial" w:eastAsia="Times New Roman" w:hAnsi="Arial" w:cs="Arial"/>
                <w:b/>
                <w:bCs/>
              </w:rPr>
              <w:t>Stomach coliform count (CFU/ml) X 10</w:t>
            </w:r>
            <w:r w:rsidRPr="007122AC">
              <w:rPr>
                <w:rFonts w:ascii="Arial" w:eastAsia="Times New Roman" w:hAnsi="Arial" w:cs="Arial"/>
                <w:b/>
                <w:bCs/>
                <w:vertAlign w:val="superscript"/>
              </w:rPr>
              <w:t>3</w:t>
            </w:r>
          </w:p>
        </w:tc>
        <w:tc>
          <w:tcPr>
            <w:tcW w:w="1170" w:type="dxa"/>
          </w:tcPr>
          <w:p w14:paraId="1B89FCD1" w14:textId="77777777" w:rsidR="00954ED3" w:rsidRPr="007122AC" w:rsidRDefault="00147C17">
            <w:pPr>
              <w:spacing w:after="0" w:line="240" w:lineRule="auto"/>
              <w:jc w:val="both"/>
              <w:rPr>
                <w:rFonts w:ascii="Arial" w:eastAsia="Times New Roman" w:hAnsi="Arial" w:cs="Arial"/>
                <w:b/>
                <w:bCs/>
              </w:rPr>
            </w:pPr>
            <w:r w:rsidRPr="007122AC">
              <w:rPr>
                <w:rFonts w:ascii="Arial" w:eastAsia="Times New Roman" w:hAnsi="Arial" w:cs="Arial"/>
                <w:b/>
                <w:bCs/>
              </w:rPr>
              <w:t>Stomach LAB count</w:t>
            </w:r>
          </w:p>
          <w:p w14:paraId="17B49D51" w14:textId="77777777" w:rsidR="00954ED3" w:rsidRPr="007122AC" w:rsidRDefault="00147C17">
            <w:pPr>
              <w:spacing w:after="0" w:line="240" w:lineRule="auto"/>
              <w:jc w:val="both"/>
              <w:rPr>
                <w:rFonts w:ascii="Arial" w:eastAsia="Times New Roman" w:hAnsi="Arial" w:cs="Arial"/>
                <w:b/>
                <w:bCs/>
              </w:rPr>
            </w:pPr>
            <w:r w:rsidRPr="007122AC">
              <w:rPr>
                <w:rFonts w:ascii="Arial" w:eastAsia="Times New Roman" w:hAnsi="Arial" w:cs="Arial"/>
                <w:b/>
                <w:bCs/>
              </w:rPr>
              <w:t>(CFU/ml) X 10</w:t>
            </w:r>
            <w:r w:rsidRPr="007122AC">
              <w:rPr>
                <w:rFonts w:ascii="Arial" w:eastAsia="Times New Roman" w:hAnsi="Arial" w:cs="Arial"/>
                <w:b/>
                <w:bCs/>
                <w:vertAlign w:val="superscript"/>
              </w:rPr>
              <w:t>3</w:t>
            </w:r>
          </w:p>
        </w:tc>
        <w:tc>
          <w:tcPr>
            <w:tcW w:w="1260" w:type="dxa"/>
          </w:tcPr>
          <w:p w14:paraId="0703F988" w14:textId="77777777" w:rsidR="00954ED3" w:rsidRPr="007122AC" w:rsidRDefault="00147C17">
            <w:pPr>
              <w:spacing w:after="0" w:line="240" w:lineRule="auto"/>
              <w:jc w:val="both"/>
              <w:rPr>
                <w:rFonts w:ascii="Arial" w:eastAsia="Times New Roman" w:hAnsi="Arial" w:cs="Arial"/>
                <w:b/>
                <w:bCs/>
              </w:rPr>
            </w:pPr>
            <w:r w:rsidRPr="007122AC">
              <w:rPr>
                <w:rFonts w:ascii="Arial" w:eastAsia="Times New Roman" w:hAnsi="Arial" w:cs="Arial"/>
                <w:b/>
                <w:bCs/>
              </w:rPr>
              <w:t>Intestinal fungi count (CFU/ml) X 10</w:t>
            </w:r>
            <w:r w:rsidRPr="007122AC">
              <w:rPr>
                <w:rFonts w:ascii="Arial" w:eastAsia="Times New Roman" w:hAnsi="Arial" w:cs="Arial"/>
                <w:b/>
                <w:bCs/>
                <w:vertAlign w:val="superscript"/>
              </w:rPr>
              <w:t>3</w:t>
            </w:r>
          </w:p>
        </w:tc>
        <w:tc>
          <w:tcPr>
            <w:tcW w:w="1353" w:type="dxa"/>
          </w:tcPr>
          <w:p w14:paraId="3E88865C" w14:textId="77777777" w:rsidR="00954ED3" w:rsidRPr="007122AC" w:rsidRDefault="00147C17">
            <w:pPr>
              <w:spacing w:after="0" w:line="240" w:lineRule="auto"/>
              <w:jc w:val="both"/>
              <w:rPr>
                <w:rFonts w:ascii="Arial" w:eastAsia="Times New Roman" w:hAnsi="Arial" w:cs="Arial"/>
                <w:b/>
                <w:bCs/>
              </w:rPr>
            </w:pPr>
            <w:r w:rsidRPr="007122AC">
              <w:rPr>
                <w:rFonts w:ascii="Arial" w:eastAsia="Times New Roman" w:hAnsi="Arial" w:cs="Arial"/>
                <w:b/>
                <w:bCs/>
              </w:rPr>
              <w:t>Intestinal coliform count (CFU/ml) X 10</w:t>
            </w:r>
            <w:r w:rsidRPr="007122AC">
              <w:rPr>
                <w:rFonts w:ascii="Arial" w:eastAsia="Times New Roman" w:hAnsi="Arial" w:cs="Arial"/>
                <w:b/>
                <w:bCs/>
                <w:vertAlign w:val="superscript"/>
              </w:rPr>
              <w:t>3</w:t>
            </w:r>
          </w:p>
        </w:tc>
        <w:tc>
          <w:tcPr>
            <w:tcW w:w="1275" w:type="dxa"/>
          </w:tcPr>
          <w:p w14:paraId="16975ADB" w14:textId="77777777" w:rsidR="00954ED3" w:rsidRPr="007122AC" w:rsidRDefault="00147C17">
            <w:pPr>
              <w:spacing w:after="0" w:line="240" w:lineRule="auto"/>
              <w:jc w:val="both"/>
              <w:rPr>
                <w:rFonts w:ascii="Arial" w:eastAsia="Times New Roman" w:hAnsi="Arial" w:cs="Arial"/>
                <w:b/>
                <w:bCs/>
              </w:rPr>
            </w:pPr>
            <w:r w:rsidRPr="007122AC">
              <w:rPr>
                <w:rFonts w:ascii="Arial" w:eastAsia="Times New Roman" w:hAnsi="Arial" w:cs="Arial"/>
                <w:b/>
                <w:bCs/>
              </w:rPr>
              <w:t>Intestinal LAB count</w:t>
            </w:r>
          </w:p>
          <w:p w14:paraId="47853875" w14:textId="77777777" w:rsidR="00954ED3" w:rsidRPr="007122AC" w:rsidRDefault="00147C17">
            <w:pPr>
              <w:spacing w:after="0" w:line="240" w:lineRule="auto"/>
              <w:jc w:val="both"/>
              <w:rPr>
                <w:rFonts w:ascii="Arial" w:eastAsia="Times New Roman" w:hAnsi="Arial" w:cs="Arial"/>
                <w:b/>
                <w:bCs/>
              </w:rPr>
            </w:pPr>
            <w:r w:rsidRPr="007122AC">
              <w:rPr>
                <w:rFonts w:ascii="Arial" w:eastAsia="Times New Roman" w:hAnsi="Arial" w:cs="Arial"/>
                <w:b/>
                <w:bCs/>
              </w:rPr>
              <w:t>(CFU/ml) X 10</w:t>
            </w:r>
            <w:r w:rsidRPr="007122AC">
              <w:rPr>
                <w:rFonts w:ascii="Arial" w:eastAsia="Times New Roman" w:hAnsi="Arial" w:cs="Arial"/>
                <w:b/>
                <w:bCs/>
                <w:vertAlign w:val="superscript"/>
              </w:rPr>
              <w:t>3</w:t>
            </w:r>
          </w:p>
        </w:tc>
      </w:tr>
      <w:tr w:rsidR="00954ED3" w14:paraId="014AB91B" w14:textId="77777777">
        <w:tc>
          <w:tcPr>
            <w:tcW w:w="1998" w:type="dxa"/>
          </w:tcPr>
          <w:p w14:paraId="42FF43DD" w14:textId="77777777" w:rsidR="00954ED3" w:rsidRDefault="00147C17">
            <w:pPr>
              <w:spacing w:before="240" w:after="0"/>
              <w:jc w:val="both"/>
              <w:rPr>
                <w:rFonts w:ascii="Arial" w:hAnsi="Arial" w:cs="Arial"/>
              </w:rPr>
            </w:pPr>
            <w:r>
              <w:rPr>
                <w:rFonts w:ascii="Arial" w:hAnsi="Arial" w:cs="Arial"/>
              </w:rPr>
              <w:t>NORMAL DIET</w:t>
            </w:r>
          </w:p>
        </w:tc>
        <w:tc>
          <w:tcPr>
            <w:tcW w:w="1170" w:type="dxa"/>
          </w:tcPr>
          <w:p w14:paraId="55DB4AA1" w14:textId="77777777" w:rsidR="00954ED3" w:rsidRDefault="00147C17">
            <w:pPr>
              <w:spacing w:before="240" w:after="0"/>
              <w:jc w:val="both"/>
              <w:rPr>
                <w:rFonts w:ascii="Arial" w:hAnsi="Arial" w:cs="Arial"/>
              </w:rPr>
            </w:pPr>
            <w:r>
              <w:rPr>
                <w:rFonts w:ascii="Arial" w:hAnsi="Arial" w:cs="Arial"/>
              </w:rPr>
              <w:t>0.13</w:t>
            </w:r>
            <w:r>
              <w:rPr>
                <w:rFonts w:ascii="Arial" w:hAnsi="Arial" w:cs="Arial"/>
                <w:vertAlign w:val="superscript"/>
              </w:rPr>
              <w:t>a</w:t>
            </w:r>
            <w:r>
              <w:rPr>
                <w:rFonts w:ascii="Arial" w:hAnsi="Arial" w:cs="Arial"/>
              </w:rPr>
              <w:t>±0.02</w:t>
            </w:r>
          </w:p>
        </w:tc>
        <w:tc>
          <w:tcPr>
            <w:tcW w:w="1350" w:type="dxa"/>
          </w:tcPr>
          <w:p w14:paraId="58CAD80E" w14:textId="77777777" w:rsidR="00954ED3" w:rsidRDefault="00147C17">
            <w:pPr>
              <w:spacing w:before="240" w:after="0"/>
              <w:jc w:val="both"/>
              <w:rPr>
                <w:rFonts w:ascii="Arial" w:hAnsi="Arial" w:cs="Arial"/>
              </w:rPr>
            </w:pPr>
            <w:r>
              <w:rPr>
                <w:rFonts w:ascii="Arial" w:hAnsi="Arial" w:cs="Arial"/>
              </w:rPr>
              <w:t>0.37</w:t>
            </w:r>
            <w:r>
              <w:rPr>
                <w:rFonts w:ascii="Arial" w:hAnsi="Arial" w:cs="Arial"/>
                <w:vertAlign w:val="superscript"/>
              </w:rPr>
              <w:t>a</w:t>
            </w:r>
            <w:r>
              <w:rPr>
                <w:rFonts w:ascii="Arial" w:hAnsi="Arial" w:cs="Arial"/>
              </w:rPr>
              <w:t>±0.30</w:t>
            </w:r>
          </w:p>
        </w:tc>
        <w:tc>
          <w:tcPr>
            <w:tcW w:w="1170" w:type="dxa"/>
          </w:tcPr>
          <w:p w14:paraId="78CF7B8E" w14:textId="77777777" w:rsidR="00954ED3" w:rsidRDefault="00147C17">
            <w:pPr>
              <w:spacing w:before="240" w:after="0"/>
              <w:jc w:val="both"/>
              <w:rPr>
                <w:rFonts w:ascii="Arial" w:hAnsi="Arial" w:cs="Arial"/>
              </w:rPr>
            </w:pPr>
            <w:r>
              <w:rPr>
                <w:rFonts w:ascii="Arial" w:hAnsi="Arial" w:cs="Arial"/>
              </w:rPr>
              <w:t>0.90</w:t>
            </w:r>
            <w:r>
              <w:rPr>
                <w:rFonts w:ascii="Arial" w:hAnsi="Arial" w:cs="Arial"/>
                <w:vertAlign w:val="superscript"/>
              </w:rPr>
              <w:t>b</w:t>
            </w:r>
            <w:r>
              <w:rPr>
                <w:rFonts w:ascii="Arial" w:hAnsi="Arial" w:cs="Arial"/>
              </w:rPr>
              <w:t>±0.18</w:t>
            </w:r>
          </w:p>
        </w:tc>
        <w:tc>
          <w:tcPr>
            <w:tcW w:w="1260" w:type="dxa"/>
          </w:tcPr>
          <w:p w14:paraId="4AC3FB0F" w14:textId="77777777" w:rsidR="00954ED3" w:rsidRDefault="00147C17">
            <w:pPr>
              <w:spacing w:before="240" w:after="0"/>
              <w:jc w:val="both"/>
              <w:rPr>
                <w:rFonts w:ascii="Arial" w:hAnsi="Arial" w:cs="Arial"/>
              </w:rPr>
            </w:pPr>
            <w:r>
              <w:rPr>
                <w:rFonts w:ascii="Arial" w:hAnsi="Arial" w:cs="Arial"/>
              </w:rPr>
              <w:t>0.29</w:t>
            </w:r>
            <w:r>
              <w:rPr>
                <w:rFonts w:ascii="Arial" w:hAnsi="Arial" w:cs="Arial"/>
                <w:vertAlign w:val="superscript"/>
              </w:rPr>
              <w:t>a</w:t>
            </w:r>
            <w:r>
              <w:rPr>
                <w:rFonts w:ascii="Arial" w:hAnsi="Arial" w:cs="Arial"/>
              </w:rPr>
              <w:t>±0.13</w:t>
            </w:r>
          </w:p>
        </w:tc>
        <w:tc>
          <w:tcPr>
            <w:tcW w:w="1353" w:type="dxa"/>
          </w:tcPr>
          <w:p w14:paraId="5B834DAF" w14:textId="77777777" w:rsidR="00954ED3" w:rsidRDefault="00147C17">
            <w:pPr>
              <w:spacing w:before="240" w:after="0"/>
              <w:jc w:val="both"/>
              <w:rPr>
                <w:rFonts w:ascii="Arial" w:hAnsi="Arial" w:cs="Arial"/>
              </w:rPr>
            </w:pPr>
            <w:r>
              <w:rPr>
                <w:rFonts w:ascii="Arial" w:hAnsi="Arial" w:cs="Arial"/>
              </w:rPr>
              <w:t>0.32</w:t>
            </w:r>
            <w:r>
              <w:rPr>
                <w:rFonts w:ascii="Arial" w:hAnsi="Arial" w:cs="Arial"/>
                <w:vertAlign w:val="superscript"/>
              </w:rPr>
              <w:t>a</w:t>
            </w:r>
            <w:r>
              <w:rPr>
                <w:rFonts w:ascii="Arial" w:hAnsi="Arial" w:cs="Arial"/>
              </w:rPr>
              <w:t>±0.14</w:t>
            </w:r>
          </w:p>
        </w:tc>
        <w:tc>
          <w:tcPr>
            <w:tcW w:w="1275" w:type="dxa"/>
          </w:tcPr>
          <w:p w14:paraId="5748073E" w14:textId="77777777" w:rsidR="00954ED3" w:rsidRDefault="00147C17">
            <w:pPr>
              <w:spacing w:before="240" w:after="0"/>
              <w:jc w:val="both"/>
              <w:rPr>
                <w:rFonts w:ascii="Arial" w:hAnsi="Arial" w:cs="Arial"/>
              </w:rPr>
            </w:pPr>
            <w:r>
              <w:rPr>
                <w:rFonts w:ascii="Arial" w:hAnsi="Arial" w:cs="Arial"/>
              </w:rPr>
              <w:t>1.29</w:t>
            </w:r>
            <w:r>
              <w:rPr>
                <w:rFonts w:ascii="Arial" w:hAnsi="Arial" w:cs="Arial"/>
                <w:vertAlign w:val="superscript"/>
              </w:rPr>
              <w:t>a</w:t>
            </w:r>
            <w:r>
              <w:rPr>
                <w:rFonts w:ascii="Arial" w:hAnsi="Arial" w:cs="Arial"/>
              </w:rPr>
              <w:t>±0.16</w:t>
            </w:r>
          </w:p>
        </w:tc>
      </w:tr>
      <w:tr w:rsidR="00954ED3" w14:paraId="62FF51CD" w14:textId="77777777">
        <w:tc>
          <w:tcPr>
            <w:tcW w:w="1998" w:type="dxa"/>
          </w:tcPr>
          <w:p w14:paraId="2AAC03A5" w14:textId="77777777" w:rsidR="00954ED3" w:rsidRDefault="00147C17">
            <w:pPr>
              <w:spacing w:before="240" w:after="0"/>
              <w:jc w:val="both"/>
              <w:rPr>
                <w:rFonts w:ascii="Arial" w:hAnsi="Arial" w:cs="Arial"/>
              </w:rPr>
            </w:pPr>
            <w:r>
              <w:rPr>
                <w:rFonts w:ascii="Arial" w:hAnsi="Arial" w:cs="Arial"/>
              </w:rPr>
              <w:t>HCD</w:t>
            </w:r>
          </w:p>
        </w:tc>
        <w:tc>
          <w:tcPr>
            <w:tcW w:w="1170" w:type="dxa"/>
          </w:tcPr>
          <w:p w14:paraId="2414ABAF" w14:textId="77777777" w:rsidR="00954ED3" w:rsidRDefault="00147C17">
            <w:pPr>
              <w:spacing w:before="240" w:after="0"/>
              <w:jc w:val="both"/>
              <w:rPr>
                <w:rFonts w:ascii="Arial" w:hAnsi="Arial" w:cs="Arial"/>
              </w:rPr>
            </w:pPr>
            <w:r>
              <w:rPr>
                <w:rFonts w:ascii="Arial" w:hAnsi="Arial" w:cs="Arial"/>
              </w:rPr>
              <w:t>0.11</w:t>
            </w:r>
            <w:r>
              <w:rPr>
                <w:rFonts w:ascii="Arial" w:hAnsi="Arial" w:cs="Arial"/>
                <w:vertAlign w:val="superscript"/>
              </w:rPr>
              <w:t>a</w:t>
            </w:r>
            <w:r>
              <w:rPr>
                <w:rFonts w:ascii="Arial" w:hAnsi="Arial" w:cs="Arial"/>
              </w:rPr>
              <w:t>±0.01</w:t>
            </w:r>
          </w:p>
        </w:tc>
        <w:tc>
          <w:tcPr>
            <w:tcW w:w="1350" w:type="dxa"/>
          </w:tcPr>
          <w:p w14:paraId="480B1647" w14:textId="77777777" w:rsidR="00954ED3" w:rsidRDefault="00147C17">
            <w:pPr>
              <w:spacing w:before="240" w:after="0"/>
              <w:jc w:val="both"/>
              <w:rPr>
                <w:rFonts w:ascii="Arial" w:hAnsi="Arial" w:cs="Arial"/>
              </w:rPr>
            </w:pPr>
            <w:r>
              <w:rPr>
                <w:rFonts w:ascii="Arial" w:hAnsi="Arial" w:cs="Arial"/>
              </w:rPr>
              <w:t>0.48</w:t>
            </w:r>
            <w:r>
              <w:rPr>
                <w:rFonts w:ascii="Arial" w:hAnsi="Arial" w:cs="Arial"/>
                <w:vertAlign w:val="superscript"/>
              </w:rPr>
              <w:t>a</w:t>
            </w:r>
            <w:r>
              <w:rPr>
                <w:rFonts w:ascii="Arial" w:hAnsi="Arial" w:cs="Arial"/>
              </w:rPr>
              <w:t>±0.09</w:t>
            </w:r>
          </w:p>
        </w:tc>
        <w:tc>
          <w:tcPr>
            <w:tcW w:w="1170" w:type="dxa"/>
          </w:tcPr>
          <w:p w14:paraId="6C627EBD" w14:textId="77777777" w:rsidR="00954ED3" w:rsidRDefault="00147C17">
            <w:pPr>
              <w:spacing w:before="240" w:after="0"/>
              <w:jc w:val="both"/>
              <w:rPr>
                <w:rFonts w:ascii="Arial" w:hAnsi="Arial" w:cs="Arial"/>
              </w:rPr>
            </w:pPr>
            <w:r>
              <w:rPr>
                <w:rFonts w:ascii="Arial" w:hAnsi="Arial" w:cs="Arial"/>
              </w:rPr>
              <w:t>0.42</w:t>
            </w:r>
            <w:r>
              <w:rPr>
                <w:rFonts w:ascii="Arial" w:hAnsi="Arial" w:cs="Arial"/>
                <w:vertAlign w:val="superscript"/>
              </w:rPr>
              <w:t>a</w:t>
            </w:r>
            <w:r>
              <w:rPr>
                <w:rFonts w:ascii="Arial" w:hAnsi="Arial" w:cs="Arial"/>
              </w:rPr>
              <w:t>±0.17</w:t>
            </w:r>
          </w:p>
        </w:tc>
        <w:tc>
          <w:tcPr>
            <w:tcW w:w="1260" w:type="dxa"/>
          </w:tcPr>
          <w:p w14:paraId="19A51232" w14:textId="77777777" w:rsidR="00954ED3" w:rsidRDefault="00147C17">
            <w:pPr>
              <w:spacing w:before="240" w:after="0"/>
              <w:jc w:val="both"/>
              <w:rPr>
                <w:rFonts w:ascii="Arial" w:hAnsi="Arial" w:cs="Arial"/>
              </w:rPr>
            </w:pPr>
            <w:r>
              <w:rPr>
                <w:rFonts w:ascii="Arial" w:hAnsi="Arial" w:cs="Arial"/>
              </w:rPr>
              <w:t>0.29</w:t>
            </w:r>
            <w:r>
              <w:rPr>
                <w:rFonts w:ascii="Arial" w:hAnsi="Arial" w:cs="Arial"/>
                <w:vertAlign w:val="superscript"/>
              </w:rPr>
              <w:t>a</w:t>
            </w:r>
            <w:r>
              <w:rPr>
                <w:rFonts w:ascii="Arial" w:hAnsi="Arial" w:cs="Arial"/>
              </w:rPr>
              <w:t>±0.11</w:t>
            </w:r>
          </w:p>
        </w:tc>
        <w:tc>
          <w:tcPr>
            <w:tcW w:w="1353" w:type="dxa"/>
          </w:tcPr>
          <w:p w14:paraId="6CB7D39D" w14:textId="77777777" w:rsidR="00954ED3" w:rsidRDefault="00147C17">
            <w:pPr>
              <w:spacing w:before="240" w:after="0"/>
              <w:jc w:val="both"/>
              <w:rPr>
                <w:rFonts w:ascii="Arial" w:hAnsi="Arial" w:cs="Arial"/>
              </w:rPr>
            </w:pPr>
            <w:r>
              <w:rPr>
                <w:rFonts w:ascii="Arial" w:hAnsi="Arial" w:cs="Arial"/>
              </w:rPr>
              <w:t>0.50</w:t>
            </w:r>
            <w:r>
              <w:rPr>
                <w:rFonts w:ascii="Arial" w:hAnsi="Arial" w:cs="Arial"/>
                <w:vertAlign w:val="superscript"/>
              </w:rPr>
              <w:t>a</w:t>
            </w:r>
            <w:r>
              <w:rPr>
                <w:rFonts w:ascii="Arial" w:hAnsi="Arial" w:cs="Arial"/>
              </w:rPr>
              <w:t>±0.17</w:t>
            </w:r>
          </w:p>
        </w:tc>
        <w:tc>
          <w:tcPr>
            <w:tcW w:w="1275" w:type="dxa"/>
          </w:tcPr>
          <w:p w14:paraId="633E2ADD" w14:textId="77777777" w:rsidR="00954ED3" w:rsidRDefault="00147C17">
            <w:pPr>
              <w:spacing w:before="240" w:after="0"/>
              <w:jc w:val="both"/>
              <w:rPr>
                <w:rFonts w:ascii="Arial" w:hAnsi="Arial" w:cs="Arial"/>
              </w:rPr>
            </w:pPr>
            <w:r>
              <w:rPr>
                <w:rFonts w:ascii="Arial" w:hAnsi="Arial" w:cs="Arial"/>
              </w:rPr>
              <w:t>0.77</w:t>
            </w:r>
            <w:r>
              <w:rPr>
                <w:rFonts w:ascii="Arial" w:hAnsi="Arial" w:cs="Arial"/>
                <w:vertAlign w:val="superscript"/>
              </w:rPr>
              <w:t>a</w:t>
            </w:r>
            <w:r>
              <w:rPr>
                <w:rFonts w:ascii="Arial" w:hAnsi="Arial" w:cs="Arial"/>
              </w:rPr>
              <w:t>±0.47</w:t>
            </w:r>
          </w:p>
        </w:tc>
      </w:tr>
      <w:tr w:rsidR="00954ED3" w14:paraId="79CB3D91" w14:textId="77777777">
        <w:tc>
          <w:tcPr>
            <w:tcW w:w="1998" w:type="dxa"/>
          </w:tcPr>
          <w:p w14:paraId="77F2066D" w14:textId="77777777" w:rsidR="00954ED3" w:rsidRDefault="00147C17">
            <w:pPr>
              <w:spacing w:before="240" w:after="0"/>
              <w:jc w:val="both"/>
              <w:rPr>
                <w:rFonts w:ascii="Arial" w:hAnsi="Arial" w:cs="Arial"/>
              </w:rPr>
            </w:pPr>
            <w:r>
              <w:rPr>
                <w:rFonts w:ascii="Arial" w:hAnsi="Arial" w:cs="Arial"/>
              </w:rPr>
              <w:t>HCD+PC low dose</w:t>
            </w:r>
          </w:p>
        </w:tc>
        <w:tc>
          <w:tcPr>
            <w:tcW w:w="1170" w:type="dxa"/>
          </w:tcPr>
          <w:p w14:paraId="1AED8573" w14:textId="77777777" w:rsidR="00954ED3" w:rsidRDefault="00147C17">
            <w:pPr>
              <w:spacing w:before="240" w:after="0"/>
              <w:jc w:val="both"/>
              <w:rPr>
                <w:rFonts w:ascii="Arial" w:hAnsi="Arial" w:cs="Arial"/>
              </w:rPr>
            </w:pPr>
            <w:r>
              <w:rPr>
                <w:rFonts w:ascii="Arial" w:hAnsi="Arial" w:cs="Arial"/>
              </w:rPr>
              <w:t>0.17</w:t>
            </w:r>
            <w:r>
              <w:rPr>
                <w:rFonts w:ascii="Arial" w:hAnsi="Arial" w:cs="Arial"/>
                <w:vertAlign w:val="superscript"/>
              </w:rPr>
              <w:t>a</w:t>
            </w:r>
            <w:r>
              <w:rPr>
                <w:rFonts w:ascii="Arial" w:hAnsi="Arial" w:cs="Arial"/>
              </w:rPr>
              <w:t>±0.20</w:t>
            </w:r>
          </w:p>
        </w:tc>
        <w:tc>
          <w:tcPr>
            <w:tcW w:w="1350" w:type="dxa"/>
          </w:tcPr>
          <w:p w14:paraId="25255E60" w14:textId="77777777" w:rsidR="00954ED3" w:rsidRDefault="00147C17">
            <w:pPr>
              <w:spacing w:before="240" w:after="0"/>
              <w:jc w:val="both"/>
              <w:rPr>
                <w:rFonts w:ascii="Arial" w:hAnsi="Arial" w:cs="Arial"/>
              </w:rPr>
            </w:pPr>
            <w:r>
              <w:rPr>
                <w:rFonts w:ascii="Arial" w:hAnsi="Arial" w:cs="Arial"/>
              </w:rPr>
              <w:t>0.14</w:t>
            </w:r>
            <w:r>
              <w:rPr>
                <w:rFonts w:ascii="Arial" w:hAnsi="Arial" w:cs="Arial"/>
                <w:vertAlign w:val="superscript"/>
              </w:rPr>
              <w:t>a</w:t>
            </w:r>
            <w:r>
              <w:rPr>
                <w:rFonts w:ascii="Arial" w:hAnsi="Arial" w:cs="Arial"/>
              </w:rPr>
              <w:t>±0.03</w:t>
            </w:r>
          </w:p>
        </w:tc>
        <w:tc>
          <w:tcPr>
            <w:tcW w:w="1170" w:type="dxa"/>
          </w:tcPr>
          <w:p w14:paraId="25A25B4C" w14:textId="77777777" w:rsidR="00954ED3" w:rsidRDefault="00147C17">
            <w:pPr>
              <w:spacing w:before="240" w:after="0"/>
              <w:jc w:val="both"/>
              <w:rPr>
                <w:rFonts w:ascii="Arial" w:hAnsi="Arial" w:cs="Arial"/>
              </w:rPr>
            </w:pPr>
            <w:r>
              <w:rPr>
                <w:rFonts w:ascii="Arial" w:hAnsi="Arial" w:cs="Arial"/>
              </w:rPr>
              <w:t>0.57</w:t>
            </w:r>
            <w:r>
              <w:rPr>
                <w:rFonts w:ascii="Arial" w:hAnsi="Arial" w:cs="Arial"/>
                <w:vertAlign w:val="superscript"/>
              </w:rPr>
              <w:t>a</w:t>
            </w:r>
            <w:r>
              <w:rPr>
                <w:rFonts w:ascii="Arial" w:hAnsi="Arial" w:cs="Arial"/>
              </w:rPr>
              <w:t>±0.47</w:t>
            </w:r>
          </w:p>
        </w:tc>
        <w:tc>
          <w:tcPr>
            <w:tcW w:w="1260" w:type="dxa"/>
          </w:tcPr>
          <w:p w14:paraId="609544F4" w14:textId="77777777" w:rsidR="00954ED3" w:rsidRDefault="00147C17">
            <w:pPr>
              <w:spacing w:before="240" w:after="0"/>
              <w:jc w:val="both"/>
              <w:rPr>
                <w:rFonts w:ascii="Arial" w:hAnsi="Arial" w:cs="Arial"/>
              </w:rPr>
            </w:pPr>
            <w:r>
              <w:rPr>
                <w:rFonts w:ascii="Arial" w:hAnsi="Arial" w:cs="Arial"/>
              </w:rPr>
              <w:t>0.68</w:t>
            </w:r>
            <w:r>
              <w:rPr>
                <w:rFonts w:ascii="Arial" w:hAnsi="Arial" w:cs="Arial"/>
                <w:vertAlign w:val="superscript"/>
              </w:rPr>
              <w:t>b</w:t>
            </w:r>
            <w:r>
              <w:rPr>
                <w:rFonts w:ascii="Arial" w:hAnsi="Arial" w:cs="Arial"/>
              </w:rPr>
              <w:t>±0.21</w:t>
            </w:r>
          </w:p>
        </w:tc>
        <w:tc>
          <w:tcPr>
            <w:tcW w:w="1353" w:type="dxa"/>
          </w:tcPr>
          <w:p w14:paraId="59833661" w14:textId="77777777" w:rsidR="00954ED3" w:rsidRDefault="00147C17">
            <w:pPr>
              <w:spacing w:before="240" w:after="0"/>
              <w:jc w:val="both"/>
              <w:rPr>
                <w:rFonts w:ascii="Arial" w:hAnsi="Arial" w:cs="Arial"/>
              </w:rPr>
            </w:pPr>
            <w:r>
              <w:rPr>
                <w:rFonts w:ascii="Arial" w:hAnsi="Arial" w:cs="Arial"/>
              </w:rPr>
              <w:t>0.22</w:t>
            </w:r>
            <w:r>
              <w:rPr>
                <w:rFonts w:ascii="Arial" w:hAnsi="Arial" w:cs="Arial"/>
                <w:vertAlign w:val="superscript"/>
              </w:rPr>
              <w:t>a</w:t>
            </w:r>
            <w:r>
              <w:rPr>
                <w:rFonts w:ascii="Arial" w:hAnsi="Arial" w:cs="Arial"/>
              </w:rPr>
              <w:t>±0.11</w:t>
            </w:r>
          </w:p>
        </w:tc>
        <w:tc>
          <w:tcPr>
            <w:tcW w:w="1275" w:type="dxa"/>
          </w:tcPr>
          <w:p w14:paraId="19CA1D1A" w14:textId="77777777" w:rsidR="00954ED3" w:rsidRDefault="00147C17">
            <w:pPr>
              <w:spacing w:before="240" w:after="0"/>
              <w:jc w:val="both"/>
              <w:rPr>
                <w:rFonts w:ascii="Arial" w:hAnsi="Arial" w:cs="Arial"/>
              </w:rPr>
            </w:pPr>
            <w:r>
              <w:rPr>
                <w:rFonts w:ascii="Arial" w:hAnsi="Arial" w:cs="Arial"/>
              </w:rPr>
              <w:t>1.10</w:t>
            </w:r>
            <w:r>
              <w:rPr>
                <w:rFonts w:ascii="Arial" w:hAnsi="Arial" w:cs="Arial"/>
                <w:vertAlign w:val="superscript"/>
              </w:rPr>
              <w:t>a</w:t>
            </w:r>
            <w:r>
              <w:rPr>
                <w:rFonts w:ascii="Arial" w:hAnsi="Arial" w:cs="Arial"/>
              </w:rPr>
              <w:t>±0.19</w:t>
            </w:r>
          </w:p>
        </w:tc>
      </w:tr>
      <w:tr w:rsidR="00954ED3" w14:paraId="63723566" w14:textId="77777777">
        <w:tc>
          <w:tcPr>
            <w:tcW w:w="1998" w:type="dxa"/>
          </w:tcPr>
          <w:p w14:paraId="0505DCB0" w14:textId="77777777" w:rsidR="00954ED3" w:rsidRDefault="00147C17">
            <w:pPr>
              <w:spacing w:before="240" w:after="0"/>
              <w:jc w:val="both"/>
              <w:rPr>
                <w:rFonts w:ascii="Arial" w:hAnsi="Arial" w:cs="Arial"/>
              </w:rPr>
            </w:pPr>
            <w:r>
              <w:rPr>
                <w:rFonts w:ascii="Arial" w:hAnsi="Arial" w:cs="Arial"/>
              </w:rPr>
              <w:t>HCD+PC high dose</w:t>
            </w:r>
          </w:p>
        </w:tc>
        <w:tc>
          <w:tcPr>
            <w:tcW w:w="1170" w:type="dxa"/>
          </w:tcPr>
          <w:p w14:paraId="4CF00CE6" w14:textId="77777777" w:rsidR="00954ED3" w:rsidRDefault="00147C17">
            <w:pPr>
              <w:spacing w:before="240" w:after="0"/>
              <w:jc w:val="both"/>
              <w:rPr>
                <w:rFonts w:ascii="Arial" w:hAnsi="Arial" w:cs="Arial"/>
              </w:rPr>
            </w:pPr>
            <w:r>
              <w:rPr>
                <w:rFonts w:ascii="Arial" w:hAnsi="Arial" w:cs="Arial"/>
              </w:rPr>
              <w:t>0.38</w:t>
            </w:r>
            <w:r>
              <w:rPr>
                <w:rFonts w:ascii="Arial" w:hAnsi="Arial" w:cs="Arial"/>
                <w:vertAlign w:val="superscript"/>
              </w:rPr>
              <w:t>a</w:t>
            </w:r>
            <w:r>
              <w:rPr>
                <w:rFonts w:ascii="Arial" w:hAnsi="Arial" w:cs="Arial"/>
              </w:rPr>
              <w:t>±0.08</w:t>
            </w:r>
          </w:p>
        </w:tc>
        <w:tc>
          <w:tcPr>
            <w:tcW w:w="1350" w:type="dxa"/>
          </w:tcPr>
          <w:p w14:paraId="302BBFE7" w14:textId="77777777" w:rsidR="00954ED3" w:rsidRDefault="00147C17">
            <w:pPr>
              <w:spacing w:before="240" w:after="0"/>
              <w:jc w:val="both"/>
              <w:rPr>
                <w:rFonts w:ascii="Arial" w:hAnsi="Arial" w:cs="Arial"/>
              </w:rPr>
            </w:pPr>
            <w:r>
              <w:rPr>
                <w:rFonts w:ascii="Arial" w:hAnsi="Arial" w:cs="Arial"/>
              </w:rPr>
              <w:t>0.21</w:t>
            </w:r>
            <w:r>
              <w:rPr>
                <w:rFonts w:ascii="Arial" w:hAnsi="Arial" w:cs="Arial"/>
                <w:vertAlign w:val="superscript"/>
              </w:rPr>
              <w:t>a</w:t>
            </w:r>
            <w:r>
              <w:rPr>
                <w:rFonts w:ascii="Arial" w:hAnsi="Arial" w:cs="Arial"/>
              </w:rPr>
              <w:t>±0.11</w:t>
            </w:r>
          </w:p>
        </w:tc>
        <w:tc>
          <w:tcPr>
            <w:tcW w:w="1170" w:type="dxa"/>
          </w:tcPr>
          <w:p w14:paraId="196DCD6C" w14:textId="77777777" w:rsidR="00954ED3" w:rsidRDefault="00147C17">
            <w:pPr>
              <w:spacing w:before="240" w:after="0"/>
              <w:jc w:val="both"/>
              <w:rPr>
                <w:rFonts w:ascii="Arial" w:hAnsi="Arial" w:cs="Arial"/>
              </w:rPr>
            </w:pPr>
            <w:r>
              <w:rPr>
                <w:rFonts w:ascii="Arial" w:hAnsi="Arial" w:cs="Arial"/>
              </w:rPr>
              <w:t>0.44</w:t>
            </w:r>
            <w:r>
              <w:rPr>
                <w:rFonts w:ascii="Arial" w:hAnsi="Arial" w:cs="Arial"/>
                <w:vertAlign w:val="superscript"/>
              </w:rPr>
              <w:t>a</w:t>
            </w:r>
            <w:r>
              <w:rPr>
                <w:rFonts w:ascii="Arial" w:hAnsi="Arial" w:cs="Arial"/>
              </w:rPr>
              <w:t>±0.23</w:t>
            </w:r>
          </w:p>
        </w:tc>
        <w:tc>
          <w:tcPr>
            <w:tcW w:w="1260" w:type="dxa"/>
          </w:tcPr>
          <w:p w14:paraId="246E6D2C" w14:textId="77777777" w:rsidR="00954ED3" w:rsidRDefault="00147C17">
            <w:pPr>
              <w:spacing w:before="240" w:after="0"/>
              <w:jc w:val="both"/>
              <w:rPr>
                <w:rFonts w:ascii="Arial" w:hAnsi="Arial" w:cs="Arial"/>
              </w:rPr>
            </w:pPr>
            <w:r>
              <w:rPr>
                <w:rFonts w:ascii="Arial" w:hAnsi="Arial" w:cs="Arial"/>
              </w:rPr>
              <w:t>0.26</w:t>
            </w:r>
            <w:r>
              <w:rPr>
                <w:rFonts w:ascii="Arial" w:hAnsi="Arial" w:cs="Arial"/>
                <w:vertAlign w:val="superscript"/>
              </w:rPr>
              <w:t>a</w:t>
            </w:r>
            <w:r>
              <w:rPr>
                <w:rFonts w:ascii="Arial" w:hAnsi="Arial" w:cs="Arial"/>
              </w:rPr>
              <w:t>±0.04</w:t>
            </w:r>
          </w:p>
        </w:tc>
        <w:tc>
          <w:tcPr>
            <w:tcW w:w="1353" w:type="dxa"/>
          </w:tcPr>
          <w:p w14:paraId="3B5EE8A8" w14:textId="77777777" w:rsidR="00954ED3" w:rsidRDefault="00147C17">
            <w:pPr>
              <w:spacing w:before="240" w:after="0"/>
              <w:jc w:val="both"/>
              <w:rPr>
                <w:rFonts w:ascii="Arial" w:hAnsi="Arial" w:cs="Arial"/>
              </w:rPr>
            </w:pPr>
            <w:r>
              <w:rPr>
                <w:rFonts w:ascii="Arial" w:hAnsi="Arial" w:cs="Arial"/>
              </w:rPr>
              <w:t>0.22</w:t>
            </w:r>
            <w:r>
              <w:rPr>
                <w:rFonts w:ascii="Arial" w:hAnsi="Arial" w:cs="Arial"/>
                <w:vertAlign w:val="superscript"/>
              </w:rPr>
              <w:t>a</w:t>
            </w:r>
            <w:r>
              <w:rPr>
                <w:rFonts w:ascii="Arial" w:hAnsi="Arial" w:cs="Arial"/>
              </w:rPr>
              <w:t>±0.09</w:t>
            </w:r>
          </w:p>
        </w:tc>
        <w:tc>
          <w:tcPr>
            <w:tcW w:w="1275" w:type="dxa"/>
          </w:tcPr>
          <w:p w14:paraId="43104D4C" w14:textId="77777777" w:rsidR="00954ED3" w:rsidRDefault="00147C17">
            <w:pPr>
              <w:spacing w:before="240" w:after="0"/>
              <w:jc w:val="both"/>
              <w:rPr>
                <w:rFonts w:ascii="Arial" w:hAnsi="Arial" w:cs="Arial"/>
              </w:rPr>
            </w:pPr>
            <w:r>
              <w:rPr>
                <w:rFonts w:ascii="Arial" w:hAnsi="Arial" w:cs="Arial"/>
              </w:rPr>
              <w:t>1.19</w:t>
            </w:r>
            <w:r>
              <w:rPr>
                <w:rFonts w:ascii="Arial" w:hAnsi="Arial" w:cs="Arial"/>
                <w:vertAlign w:val="superscript"/>
              </w:rPr>
              <w:t>a</w:t>
            </w:r>
            <w:r>
              <w:rPr>
                <w:rFonts w:ascii="Arial" w:hAnsi="Arial" w:cs="Arial"/>
              </w:rPr>
              <w:t>±0.08</w:t>
            </w:r>
          </w:p>
        </w:tc>
      </w:tr>
    </w:tbl>
    <w:p w14:paraId="2F776D43" w14:textId="77777777" w:rsidR="00954ED3" w:rsidRPr="001301E0" w:rsidRDefault="00147C17">
      <w:pPr>
        <w:autoSpaceDE w:val="0"/>
        <w:autoSpaceDN w:val="0"/>
        <w:adjustRightInd w:val="0"/>
        <w:spacing w:before="240" w:after="0" w:line="240" w:lineRule="auto"/>
        <w:jc w:val="both"/>
        <w:rPr>
          <w:rFonts w:ascii="Arial" w:hAnsi="Arial" w:cs="Arial"/>
          <w:sz w:val="18"/>
          <w:szCs w:val="18"/>
        </w:rPr>
      </w:pPr>
      <w:r w:rsidRPr="001301E0">
        <w:rPr>
          <w:rFonts w:ascii="Arial" w:hAnsi="Arial" w:cs="Arial"/>
          <w:sz w:val="18"/>
          <w:szCs w:val="18"/>
        </w:rPr>
        <w:t>The same superscript within the same column is not statistically significant (p &lt; 0.05).</w:t>
      </w:r>
    </w:p>
    <w:p w14:paraId="13A769B3" w14:textId="2FCD9DBC" w:rsidR="00954ED3" w:rsidRPr="001301E0" w:rsidRDefault="00147C17">
      <w:pPr>
        <w:spacing w:line="360" w:lineRule="auto"/>
        <w:jc w:val="both"/>
        <w:rPr>
          <w:rFonts w:ascii="Arial" w:hAnsi="Arial" w:cs="Arial"/>
          <w:sz w:val="18"/>
          <w:szCs w:val="18"/>
        </w:rPr>
      </w:pPr>
      <w:r w:rsidRPr="001301E0">
        <w:rPr>
          <w:rFonts w:ascii="Arial" w:hAnsi="Arial" w:cs="Arial"/>
          <w:sz w:val="18"/>
          <w:szCs w:val="18"/>
        </w:rPr>
        <w:t xml:space="preserve">Key: HCD-High </w:t>
      </w:r>
      <w:r w:rsidR="001301E0" w:rsidRPr="001301E0">
        <w:rPr>
          <w:rFonts w:ascii="Arial" w:hAnsi="Arial" w:cs="Arial"/>
          <w:sz w:val="18"/>
          <w:szCs w:val="18"/>
        </w:rPr>
        <w:t>cholesterol diet + Triton X-100</w:t>
      </w:r>
      <w:r w:rsidRPr="001301E0">
        <w:rPr>
          <w:rFonts w:ascii="Arial" w:hAnsi="Arial" w:cs="Arial"/>
          <w:sz w:val="18"/>
          <w:szCs w:val="18"/>
        </w:rPr>
        <w:t>, PC-Probiotic combination</w:t>
      </w:r>
    </w:p>
    <w:p w14:paraId="64853352" w14:textId="77777777" w:rsidR="00B16FEF" w:rsidRDefault="00127CAD" w:rsidP="007122AC">
      <w:pPr>
        <w:pStyle w:val="NormalWeb"/>
        <w:spacing w:line="276" w:lineRule="auto"/>
        <w:jc w:val="both"/>
        <w:rPr>
          <w:rFonts w:ascii="Arial" w:hAnsi="Arial" w:cs="Arial"/>
          <w:sz w:val="22"/>
          <w:szCs w:val="22"/>
        </w:rPr>
      </w:pPr>
      <w:r w:rsidRPr="007122AC">
        <w:rPr>
          <w:rStyle w:val="Strong"/>
          <w:rFonts w:ascii="Arial" w:hAnsi="Arial" w:cs="Arial"/>
          <w:b w:val="0"/>
          <w:color w:val="000000" w:themeColor="text1"/>
          <w:sz w:val="22"/>
          <w:szCs w:val="22"/>
        </w:rPr>
        <w:t xml:space="preserve">The effect of treatment with probiotic combination on gastric parameters are presented in table 2. </w:t>
      </w:r>
      <w:r w:rsidR="00147C17" w:rsidRPr="007122AC">
        <w:rPr>
          <w:rFonts w:ascii="Arial" w:hAnsi="Arial" w:cs="Arial"/>
          <w:color w:val="000000" w:themeColor="text1"/>
          <w:sz w:val="22"/>
          <w:szCs w:val="22"/>
        </w:rPr>
        <w:t xml:space="preserve">The gastric analysis revealed that HCD feeding caused slight increases in gastric volume and total </w:t>
      </w:r>
      <w:r w:rsidR="00147C17" w:rsidRPr="007122AC">
        <w:rPr>
          <w:rFonts w:ascii="Arial" w:hAnsi="Arial" w:cs="Arial"/>
          <w:sz w:val="22"/>
          <w:szCs w:val="22"/>
        </w:rPr>
        <w:t>acidity, reflecting diet-induced gastric irritation. Probiotic treatment resulted in a significant rise in gastric pH (reduced acidity), particularly in the high-dose group (pH 2.00 ± 0.12).</w:t>
      </w:r>
      <w:r w:rsidR="00B16FEF">
        <w:rPr>
          <w:rFonts w:ascii="Arial" w:hAnsi="Arial" w:cs="Arial"/>
          <w:sz w:val="22"/>
          <w:szCs w:val="22"/>
        </w:rPr>
        <w:t xml:space="preserve"> </w:t>
      </w:r>
      <w:r w:rsidR="00147C17" w:rsidRPr="007122AC">
        <w:rPr>
          <w:rFonts w:ascii="Arial" w:hAnsi="Arial" w:cs="Arial"/>
          <w:sz w:val="22"/>
          <w:szCs w:val="22"/>
        </w:rPr>
        <w:t xml:space="preserve">The </w:t>
      </w:r>
      <w:r w:rsidR="00147C17" w:rsidRPr="007122AC">
        <w:rPr>
          <w:rStyle w:val="Strong"/>
          <w:rFonts w:ascii="Arial" w:hAnsi="Arial" w:cs="Arial"/>
          <w:b w:val="0"/>
          <w:bCs w:val="0"/>
          <w:sz w:val="22"/>
          <w:szCs w:val="22"/>
        </w:rPr>
        <w:t>Normal Diet group</w:t>
      </w:r>
      <w:r w:rsidR="00147C17" w:rsidRPr="007122AC">
        <w:rPr>
          <w:rFonts w:ascii="Arial" w:hAnsi="Arial" w:cs="Arial"/>
          <w:sz w:val="22"/>
          <w:szCs w:val="22"/>
        </w:rPr>
        <w:t xml:space="preserve"> recorded a gastric pH of </w:t>
      </w:r>
      <w:r w:rsidR="00147C17" w:rsidRPr="007122AC">
        <w:rPr>
          <w:rStyle w:val="Strong"/>
          <w:rFonts w:ascii="Arial" w:hAnsi="Arial" w:cs="Arial"/>
          <w:b w:val="0"/>
          <w:bCs w:val="0"/>
          <w:sz w:val="22"/>
          <w:szCs w:val="22"/>
        </w:rPr>
        <w:t>1.26 ± 0.02</w:t>
      </w:r>
      <w:r w:rsidR="00147C17" w:rsidRPr="007122AC">
        <w:rPr>
          <w:rFonts w:ascii="Arial" w:hAnsi="Arial" w:cs="Arial"/>
          <w:sz w:val="22"/>
          <w:szCs w:val="22"/>
        </w:rPr>
        <w:t xml:space="preserve">, Feeding rats with a </w:t>
      </w:r>
      <w:r w:rsidR="00147C17" w:rsidRPr="007122AC">
        <w:rPr>
          <w:rStyle w:val="Strong"/>
          <w:rFonts w:ascii="Arial" w:hAnsi="Arial" w:cs="Arial"/>
          <w:b w:val="0"/>
          <w:bCs w:val="0"/>
          <w:sz w:val="22"/>
          <w:szCs w:val="22"/>
        </w:rPr>
        <w:t>High-Cholesterol Diet (HCD)</w:t>
      </w:r>
      <w:r w:rsidR="00147C17" w:rsidRPr="007122AC">
        <w:rPr>
          <w:rFonts w:ascii="Arial" w:hAnsi="Arial" w:cs="Arial"/>
          <w:sz w:val="22"/>
          <w:szCs w:val="22"/>
        </w:rPr>
        <w:t xml:space="preserve"> slightly increased gastric pH to </w:t>
      </w:r>
      <w:r w:rsidR="00147C17" w:rsidRPr="007122AC">
        <w:rPr>
          <w:rStyle w:val="Strong"/>
          <w:rFonts w:ascii="Arial" w:hAnsi="Arial" w:cs="Arial"/>
          <w:b w:val="0"/>
          <w:bCs w:val="0"/>
          <w:sz w:val="22"/>
          <w:szCs w:val="22"/>
        </w:rPr>
        <w:t>1.42 ± 0.10</w:t>
      </w:r>
      <w:r w:rsidR="00147C17" w:rsidRPr="007122AC">
        <w:rPr>
          <w:rFonts w:ascii="Arial" w:hAnsi="Arial" w:cs="Arial"/>
          <w:sz w:val="22"/>
          <w:szCs w:val="22"/>
        </w:rPr>
        <w:t>, fat-rich diet.</w:t>
      </w:r>
      <w:r w:rsidR="00B16FEF">
        <w:rPr>
          <w:rFonts w:ascii="Arial" w:hAnsi="Arial" w:cs="Arial"/>
          <w:sz w:val="22"/>
          <w:szCs w:val="22"/>
        </w:rPr>
        <w:t xml:space="preserve"> </w:t>
      </w:r>
      <w:r w:rsidR="00147C17" w:rsidRPr="007122AC">
        <w:rPr>
          <w:rFonts w:ascii="Arial" w:hAnsi="Arial" w:cs="Arial"/>
          <w:sz w:val="22"/>
          <w:szCs w:val="22"/>
        </w:rPr>
        <w:t xml:space="preserve">Treatment with the </w:t>
      </w:r>
      <w:r w:rsidR="00147C17" w:rsidRPr="007122AC">
        <w:rPr>
          <w:rStyle w:val="Strong"/>
          <w:rFonts w:ascii="Arial" w:hAnsi="Arial" w:cs="Arial"/>
          <w:b w:val="0"/>
          <w:bCs w:val="0"/>
          <w:sz w:val="22"/>
          <w:szCs w:val="22"/>
        </w:rPr>
        <w:t xml:space="preserve">Low-Dose </w:t>
      </w:r>
      <w:r w:rsidR="00B16FEF">
        <w:rPr>
          <w:rStyle w:val="Strong"/>
          <w:rFonts w:ascii="Arial" w:hAnsi="Arial" w:cs="Arial"/>
          <w:b w:val="0"/>
          <w:bCs w:val="0"/>
          <w:sz w:val="22"/>
          <w:szCs w:val="22"/>
        </w:rPr>
        <w:t>p</w:t>
      </w:r>
      <w:r w:rsidR="00147C17" w:rsidRPr="007122AC">
        <w:rPr>
          <w:rStyle w:val="Strong"/>
          <w:rFonts w:ascii="Arial" w:hAnsi="Arial" w:cs="Arial"/>
          <w:b w:val="0"/>
          <w:bCs w:val="0"/>
          <w:sz w:val="22"/>
          <w:szCs w:val="22"/>
        </w:rPr>
        <w:t>robiotic</w:t>
      </w:r>
      <w:r w:rsidR="00B16FEF">
        <w:rPr>
          <w:rStyle w:val="Strong"/>
          <w:rFonts w:ascii="Arial" w:hAnsi="Arial" w:cs="Arial"/>
          <w:b w:val="0"/>
          <w:bCs w:val="0"/>
          <w:sz w:val="22"/>
          <w:szCs w:val="22"/>
        </w:rPr>
        <w:t xml:space="preserve"> c</w:t>
      </w:r>
      <w:r w:rsidR="00147C17" w:rsidRPr="007122AC">
        <w:rPr>
          <w:rStyle w:val="Strong"/>
          <w:rFonts w:ascii="Arial" w:hAnsi="Arial" w:cs="Arial"/>
          <w:b w:val="0"/>
          <w:bCs w:val="0"/>
          <w:sz w:val="22"/>
          <w:szCs w:val="22"/>
        </w:rPr>
        <w:t>ombination (HCD + PC Low)</w:t>
      </w:r>
      <w:r w:rsidR="00147C17" w:rsidRPr="007122AC">
        <w:rPr>
          <w:rFonts w:ascii="Arial" w:hAnsi="Arial" w:cs="Arial"/>
          <w:sz w:val="22"/>
          <w:szCs w:val="22"/>
        </w:rPr>
        <w:t xml:space="preserve"> produced a significant increase in gastric pH to </w:t>
      </w:r>
      <w:r w:rsidR="00147C17" w:rsidRPr="007122AC">
        <w:rPr>
          <w:rStyle w:val="Strong"/>
          <w:rFonts w:ascii="Arial" w:hAnsi="Arial" w:cs="Arial"/>
          <w:b w:val="0"/>
          <w:bCs w:val="0"/>
          <w:sz w:val="22"/>
          <w:szCs w:val="22"/>
        </w:rPr>
        <w:t>1.93 ± 0.08</w:t>
      </w:r>
      <w:r w:rsidR="00147C17" w:rsidRPr="007122AC">
        <w:rPr>
          <w:rFonts w:ascii="Arial" w:hAnsi="Arial" w:cs="Arial"/>
          <w:sz w:val="22"/>
          <w:szCs w:val="22"/>
        </w:rPr>
        <w:t xml:space="preserve"> (</w:t>
      </w:r>
      <w:r w:rsidR="00147C17" w:rsidRPr="007122AC">
        <w:rPr>
          <w:rStyle w:val="Emphasis"/>
          <w:rFonts w:ascii="Arial" w:hAnsi="Arial" w:cs="Arial"/>
          <w:sz w:val="22"/>
          <w:szCs w:val="22"/>
        </w:rPr>
        <w:t>p &lt; 0.05 vs. HCD</w:t>
      </w:r>
      <w:r w:rsidR="00147C17" w:rsidRPr="007122AC">
        <w:rPr>
          <w:rFonts w:ascii="Arial" w:hAnsi="Arial" w:cs="Arial"/>
          <w:sz w:val="22"/>
          <w:szCs w:val="22"/>
        </w:rPr>
        <w:t xml:space="preserve">), The </w:t>
      </w:r>
      <w:r w:rsidR="00147C17" w:rsidRPr="007122AC">
        <w:rPr>
          <w:rStyle w:val="Strong"/>
          <w:rFonts w:ascii="Arial" w:hAnsi="Arial" w:cs="Arial"/>
          <w:b w:val="0"/>
          <w:bCs w:val="0"/>
          <w:sz w:val="22"/>
          <w:szCs w:val="22"/>
        </w:rPr>
        <w:t>High-Dose Probiotic Combination (HCD + PC High)</w:t>
      </w:r>
      <w:r w:rsidR="00147C17" w:rsidRPr="007122AC">
        <w:rPr>
          <w:rFonts w:ascii="Arial" w:hAnsi="Arial" w:cs="Arial"/>
          <w:sz w:val="22"/>
          <w:szCs w:val="22"/>
        </w:rPr>
        <w:t xml:space="preserve"> group exhibited the highest gastric pH of </w:t>
      </w:r>
      <w:r w:rsidR="00147C17" w:rsidRPr="007122AC">
        <w:rPr>
          <w:rStyle w:val="Strong"/>
          <w:rFonts w:ascii="Arial" w:hAnsi="Arial" w:cs="Arial"/>
          <w:b w:val="0"/>
          <w:bCs w:val="0"/>
          <w:sz w:val="22"/>
          <w:szCs w:val="22"/>
        </w:rPr>
        <w:t>2.00 ± 0.12</w:t>
      </w:r>
      <w:r w:rsidR="00147C17" w:rsidRPr="007122AC">
        <w:rPr>
          <w:rFonts w:ascii="Arial" w:hAnsi="Arial" w:cs="Arial"/>
          <w:sz w:val="22"/>
          <w:szCs w:val="22"/>
        </w:rPr>
        <w:t xml:space="preserve"> (</w:t>
      </w:r>
      <w:r w:rsidR="00147C17" w:rsidRPr="007122AC">
        <w:rPr>
          <w:rStyle w:val="Emphasis"/>
          <w:rFonts w:ascii="Arial" w:hAnsi="Arial" w:cs="Arial"/>
          <w:sz w:val="22"/>
          <w:szCs w:val="22"/>
        </w:rPr>
        <w:t>p &lt; 0.05</w:t>
      </w:r>
      <w:r w:rsidR="00147C17" w:rsidRPr="007122AC">
        <w:rPr>
          <w:rFonts w:ascii="Arial" w:hAnsi="Arial" w:cs="Arial"/>
          <w:sz w:val="22"/>
          <w:szCs w:val="22"/>
        </w:rPr>
        <w:t>).</w:t>
      </w:r>
      <w:r w:rsidR="00963DDB" w:rsidRPr="007122AC">
        <w:rPr>
          <w:rFonts w:ascii="Arial" w:hAnsi="Arial" w:cs="Arial"/>
          <w:sz w:val="22"/>
          <w:szCs w:val="22"/>
        </w:rPr>
        <w:t xml:space="preserve"> </w:t>
      </w:r>
    </w:p>
    <w:p w14:paraId="23943A52" w14:textId="77777777" w:rsidR="00B16FEF" w:rsidRDefault="00147C17" w:rsidP="00B16FEF">
      <w:pPr>
        <w:pStyle w:val="NormalWeb"/>
        <w:spacing w:beforeAutospacing="0" w:afterAutospacing="0" w:line="276" w:lineRule="auto"/>
        <w:jc w:val="both"/>
        <w:rPr>
          <w:rFonts w:ascii="Arial" w:hAnsi="Arial" w:cs="Arial"/>
          <w:sz w:val="22"/>
          <w:szCs w:val="22"/>
        </w:rPr>
      </w:pPr>
      <w:r w:rsidRPr="007122AC">
        <w:rPr>
          <w:rFonts w:ascii="Arial" w:hAnsi="Arial" w:cs="Arial"/>
          <w:sz w:val="22"/>
          <w:szCs w:val="22"/>
        </w:rPr>
        <w:lastRenderedPageBreak/>
        <w:t xml:space="preserve">The </w:t>
      </w:r>
      <w:r w:rsidRPr="007122AC">
        <w:rPr>
          <w:rStyle w:val="Strong"/>
          <w:rFonts w:ascii="Arial" w:hAnsi="Arial" w:cs="Arial"/>
          <w:b w:val="0"/>
          <w:bCs w:val="0"/>
          <w:sz w:val="22"/>
          <w:szCs w:val="22"/>
        </w:rPr>
        <w:t>Normal Diet group</w:t>
      </w:r>
      <w:r w:rsidRPr="007122AC">
        <w:rPr>
          <w:rFonts w:ascii="Arial" w:hAnsi="Arial" w:cs="Arial"/>
          <w:sz w:val="22"/>
          <w:szCs w:val="22"/>
        </w:rPr>
        <w:t xml:space="preserve"> exhibited a total acidity of </w:t>
      </w:r>
      <w:r w:rsidRPr="007122AC">
        <w:rPr>
          <w:rStyle w:val="Strong"/>
          <w:rFonts w:ascii="Arial" w:hAnsi="Arial" w:cs="Arial"/>
          <w:b w:val="0"/>
          <w:bCs w:val="0"/>
          <w:sz w:val="22"/>
          <w:szCs w:val="22"/>
        </w:rPr>
        <w:t>258.33 ± 14.43 mg/L</w:t>
      </w:r>
      <w:r w:rsidRPr="007122AC">
        <w:rPr>
          <w:rFonts w:ascii="Arial" w:hAnsi="Arial" w:cs="Arial"/>
          <w:sz w:val="22"/>
          <w:szCs w:val="22"/>
        </w:rPr>
        <w:t xml:space="preserve">, while the </w:t>
      </w:r>
      <w:r w:rsidRPr="007122AC">
        <w:rPr>
          <w:rStyle w:val="Strong"/>
          <w:rFonts w:ascii="Arial" w:hAnsi="Arial" w:cs="Arial"/>
          <w:b w:val="0"/>
          <w:bCs w:val="0"/>
          <w:sz w:val="22"/>
          <w:szCs w:val="22"/>
        </w:rPr>
        <w:t>HCD group</w:t>
      </w:r>
      <w:r w:rsidRPr="007122AC">
        <w:rPr>
          <w:rFonts w:ascii="Arial" w:hAnsi="Arial" w:cs="Arial"/>
          <w:sz w:val="22"/>
          <w:szCs w:val="22"/>
        </w:rPr>
        <w:t xml:space="preserve"> had a slightly higher mean of </w:t>
      </w:r>
      <w:r w:rsidRPr="007122AC">
        <w:rPr>
          <w:rStyle w:val="Strong"/>
          <w:rFonts w:ascii="Arial" w:hAnsi="Arial" w:cs="Arial"/>
          <w:b w:val="0"/>
          <w:bCs w:val="0"/>
          <w:sz w:val="22"/>
          <w:szCs w:val="22"/>
        </w:rPr>
        <w:t>295.83 ± 227.19 mg/L</w:t>
      </w:r>
      <w:r w:rsidRPr="007122AC">
        <w:rPr>
          <w:rFonts w:ascii="Arial" w:hAnsi="Arial" w:cs="Arial"/>
          <w:sz w:val="22"/>
          <w:szCs w:val="22"/>
        </w:rPr>
        <w:t xml:space="preserve">, The </w:t>
      </w:r>
      <w:r w:rsidRPr="007122AC">
        <w:rPr>
          <w:rStyle w:val="Strong"/>
          <w:rFonts w:ascii="Arial" w:hAnsi="Arial" w:cs="Arial"/>
          <w:b w:val="0"/>
          <w:bCs w:val="0"/>
          <w:sz w:val="22"/>
          <w:szCs w:val="22"/>
        </w:rPr>
        <w:t>Low-Dose Probiotic Combination group</w:t>
      </w:r>
      <w:r w:rsidRPr="007122AC">
        <w:rPr>
          <w:rFonts w:ascii="Arial" w:hAnsi="Arial" w:cs="Arial"/>
          <w:sz w:val="22"/>
          <w:szCs w:val="22"/>
        </w:rPr>
        <w:t xml:space="preserve"> showed an elevated acidity of </w:t>
      </w:r>
      <w:r w:rsidRPr="007122AC">
        <w:rPr>
          <w:rStyle w:val="Strong"/>
          <w:rFonts w:ascii="Arial" w:hAnsi="Arial" w:cs="Arial"/>
          <w:b w:val="0"/>
          <w:bCs w:val="0"/>
          <w:sz w:val="22"/>
          <w:szCs w:val="22"/>
        </w:rPr>
        <w:t>387.50 ± 97.63 mg/L</w:t>
      </w:r>
      <w:r w:rsidRPr="007122AC">
        <w:rPr>
          <w:rFonts w:ascii="Arial" w:hAnsi="Arial" w:cs="Arial"/>
          <w:sz w:val="22"/>
          <w:szCs w:val="22"/>
        </w:rPr>
        <w:t xml:space="preserve">, and the </w:t>
      </w:r>
      <w:r w:rsidRPr="007122AC">
        <w:rPr>
          <w:rStyle w:val="Strong"/>
          <w:rFonts w:ascii="Arial" w:hAnsi="Arial" w:cs="Arial"/>
          <w:b w:val="0"/>
          <w:bCs w:val="0"/>
          <w:sz w:val="22"/>
          <w:szCs w:val="22"/>
        </w:rPr>
        <w:t>High-Dose group</w:t>
      </w:r>
      <w:r w:rsidRPr="007122AC">
        <w:rPr>
          <w:rFonts w:ascii="Arial" w:hAnsi="Arial" w:cs="Arial"/>
          <w:sz w:val="22"/>
          <w:szCs w:val="22"/>
        </w:rPr>
        <w:t xml:space="preserve"> recorded </w:t>
      </w:r>
      <w:r w:rsidRPr="007122AC">
        <w:rPr>
          <w:rStyle w:val="Strong"/>
          <w:rFonts w:ascii="Arial" w:hAnsi="Arial" w:cs="Arial"/>
          <w:b w:val="0"/>
          <w:bCs w:val="0"/>
          <w:sz w:val="22"/>
          <w:szCs w:val="22"/>
        </w:rPr>
        <w:t>495.83 ± 130.10 mg/L</w:t>
      </w:r>
      <w:r w:rsidRPr="007122AC">
        <w:rPr>
          <w:rFonts w:ascii="Arial" w:hAnsi="Arial" w:cs="Arial"/>
          <w:sz w:val="22"/>
          <w:szCs w:val="22"/>
        </w:rPr>
        <w:t xml:space="preserve">. Although these values were numerically higher than the control, </w:t>
      </w:r>
      <w:r w:rsidRPr="007122AC">
        <w:rPr>
          <w:rStyle w:val="Strong"/>
          <w:rFonts w:ascii="Arial" w:hAnsi="Arial" w:cs="Arial"/>
          <w:b w:val="0"/>
          <w:bCs w:val="0"/>
          <w:sz w:val="22"/>
          <w:szCs w:val="22"/>
        </w:rPr>
        <w:t>the differences were not statistically significant (p &gt; 0.05)</w:t>
      </w:r>
      <w:r w:rsidRPr="007122AC">
        <w:rPr>
          <w:rFonts w:ascii="Arial" w:hAnsi="Arial" w:cs="Arial"/>
          <w:sz w:val="22"/>
          <w:szCs w:val="22"/>
        </w:rPr>
        <w:t>.</w:t>
      </w:r>
      <w:r w:rsidR="00963DDB" w:rsidRPr="007122AC">
        <w:rPr>
          <w:rFonts w:ascii="Arial" w:hAnsi="Arial" w:cs="Arial"/>
          <w:sz w:val="22"/>
          <w:szCs w:val="22"/>
        </w:rPr>
        <w:t xml:space="preserve"> </w:t>
      </w:r>
    </w:p>
    <w:p w14:paraId="2156E29A" w14:textId="5E169663" w:rsidR="007122AC" w:rsidRDefault="00147C17" w:rsidP="00B16FEF">
      <w:pPr>
        <w:pStyle w:val="NormalWeb"/>
        <w:spacing w:beforeAutospacing="0" w:afterAutospacing="0" w:line="276" w:lineRule="auto"/>
        <w:jc w:val="both"/>
        <w:rPr>
          <w:rFonts w:ascii="Arial" w:hAnsi="Arial" w:cs="Arial"/>
          <w:sz w:val="22"/>
          <w:szCs w:val="22"/>
        </w:rPr>
      </w:pPr>
      <w:r w:rsidRPr="007122AC">
        <w:rPr>
          <w:rFonts w:ascii="Arial" w:hAnsi="Arial" w:cs="Arial"/>
          <w:sz w:val="22"/>
          <w:szCs w:val="22"/>
        </w:rPr>
        <w:t xml:space="preserve">The </w:t>
      </w:r>
      <w:r w:rsidRPr="007122AC">
        <w:rPr>
          <w:rStyle w:val="Strong"/>
          <w:rFonts w:ascii="Arial" w:hAnsi="Arial" w:cs="Arial"/>
          <w:b w:val="0"/>
          <w:bCs w:val="0"/>
          <w:sz w:val="22"/>
          <w:szCs w:val="22"/>
        </w:rPr>
        <w:t>Normal Diet group</w:t>
      </w:r>
      <w:r w:rsidRPr="007122AC">
        <w:rPr>
          <w:rFonts w:ascii="Arial" w:hAnsi="Arial" w:cs="Arial"/>
          <w:sz w:val="22"/>
          <w:szCs w:val="22"/>
        </w:rPr>
        <w:t xml:space="preserve"> had a gastric juice volume of </w:t>
      </w:r>
      <w:r w:rsidRPr="007122AC">
        <w:rPr>
          <w:rStyle w:val="Strong"/>
          <w:rFonts w:ascii="Arial" w:hAnsi="Arial" w:cs="Arial"/>
          <w:b w:val="0"/>
          <w:bCs w:val="0"/>
          <w:sz w:val="22"/>
          <w:szCs w:val="22"/>
        </w:rPr>
        <w:t>2.07 ± 0.12 ml/100g</w:t>
      </w:r>
      <w:r w:rsidRPr="007122AC">
        <w:rPr>
          <w:rFonts w:ascii="Arial" w:hAnsi="Arial" w:cs="Arial"/>
          <w:sz w:val="22"/>
          <w:szCs w:val="22"/>
        </w:rPr>
        <w:t xml:space="preserve">, while the </w:t>
      </w:r>
      <w:r w:rsidRPr="007122AC">
        <w:rPr>
          <w:rStyle w:val="Strong"/>
          <w:rFonts w:ascii="Arial" w:hAnsi="Arial" w:cs="Arial"/>
          <w:b w:val="0"/>
          <w:bCs w:val="0"/>
          <w:sz w:val="22"/>
          <w:szCs w:val="22"/>
        </w:rPr>
        <w:t>HCD group</w:t>
      </w:r>
      <w:r w:rsidRPr="007122AC">
        <w:rPr>
          <w:rFonts w:ascii="Arial" w:hAnsi="Arial" w:cs="Arial"/>
          <w:sz w:val="22"/>
          <w:szCs w:val="22"/>
        </w:rPr>
        <w:t xml:space="preserve"> increased to </w:t>
      </w:r>
      <w:r w:rsidRPr="007122AC">
        <w:rPr>
          <w:rStyle w:val="Strong"/>
          <w:rFonts w:ascii="Arial" w:hAnsi="Arial" w:cs="Arial"/>
          <w:b w:val="0"/>
          <w:bCs w:val="0"/>
          <w:sz w:val="22"/>
          <w:szCs w:val="22"/>
        </w:rPr>
        <w:t>3.73 ± 2.57 ml/100g</w:t>
      </w:r>
      <w:r w:rsidRPr="007122AC">
        <w:rPr>
          <w:rFonts w:ascii="Arial" w:hAnsi="Arial" w:cs="Arial"/>
          <w:sz w:val="22"/>
          <w:szCs w:val="22"/>
        </w:rPr>
        <w:t xml:space="preserve">, In the </w:t>
      </w:r>
      <w:r w:rsidRPr="007122AC">
        <w:rPr>
          <w:rStyle w:val="Strong"/>
          <w:rFonts w:ascii="Arial" w:hAnsi="Arial" w:cs="Arial"/>
          <w:b w:val="0"/>
          <w:bCs w:val="0"/>
          <w:sz w:val="22"/>
          <w:szCs w:val="22"/>
        </w:rPr>
        <w:t>Low-Dose Probiotic group</w:t>
      </w:r>
      <w:r w:rsidRPr="007122AC">
        <w:rPr>
          <w:rFonts w:ascii="Arial" w:hAnsi="Arial" w:cs="Arial"/>
          <w:sz w:val="22"/>
          <w:szCs w:val="22"/>
        </w:rPr>
        <w:t xml:space="preserve">, the volume slightly decreased to </w:t>
      </w:r>
      <w:r w:rsidRPr="007122AC">
        <w:rPr>
          <w:rStyle w:val="Strong"/>
          <w:rFonts w:ascii="Arial" w:hAnsi="Arial" w:cs="Arial"/>
          <w:b w:val="0"/>
          <w:bCs w:val="0"/>
          <w:sz w:val="22"/>
          <w:szCs w:val="22"/>
        </w:rPr>
        <w:t>3.10 ± 0.78 ml/100g</w:t>
      </w:r>
      <w:r w:rsidRPr="007122AC">
        <w:rPr>
          <w:rFonts w:ascii="Arial" w:hAnsi="Arial" w:cs="Arial"/>
          <w:sz w:val="22"/>
          <w:szCs w:val="22"/>
        </w:rPr>
        <w:t xml:space="preserve">, whereas the </w:t>
      </w:r>
      <w:r w:rsidRPr="007122AC">
        <w:rPr>
          <w:rStyle w:val="Strong"/>
          <w:rFonts w:ascii="Arial" w:hAnsi="Arial" w:cs="Arial"/>
          <w:b w:val="0"/>
          <w:bCs w:val="0"/>
          <w:sz w:val="22"/>
          <w:szCs w:val="22"/>
        </w:rPr>
        <w:t>High-Dose group</w:t>
      </w:r>
      <w:r w:rsidRPr="007122AC">
        <w:rPr>
          <w:rFonts w:ascii="Arial" w:hAnsi="Arial" w:cs="Arial"/>
          <w:sz w:val="22"/>
          <w:szCs w:val="22"/>
        </w:rPr>
        <w:t xml:space="preserve"> recorded </w:t>
      </w:r>
      <w:r w:rsidRPr="007122AC">
        <w:rPr>
          <w:rStyle w:val="Strong"/>
          <w:rFonts w:ascii="Arial" w:hAnsi="Arial" w:cs="Arial"/>
          <w:b w:val="0"/>
          <w:bCs w:val="0"/>
          <w:sz w:val="22"/>
          <w:szCs w:val="22"/>
        </w:rPr>
        <w:t>3.97 ± 1.04 ml/100g</w:t>
      </w:r>
      <w:r w:rsidRPr="007122AC">
        <w:rPr>
          <w:rFonts w:ascii="Arial" w:hAnsi="Arial" w:cs="Arial"/>
          <w:sz w:val="22"/>
          <w:szCs w:val="22"/>
        </w:rPr>
        <w:t>, comparable to the HCD group.</w:t>
      </w:r>
    </w:p>
    <w:p w14:paraId="4BA6AAC3" w14:textId="0677146A" w:rsidR="00537C77" w:rsidRPr="007122AC" w:rsidRDefault="00537C77" w:rsidP="007122AC">
      <w:pPr>
        <w:pStyle w:val="NormalWeb"/>
        <w:spacing w:line="276" w:lineRule="auto"/>
        <w:jc w:val="both"/>
        <w:rPr>
          <w:rFonts w:ascii="Arial" w:hAnsi="Arial" w:cs="Arial"/>
          <w:sz w:val="22"/>
          <w:szCs w:val="22"/>
        </w:rPr>
      </w:pPr>
      <w:r w:rsidRPr="007122AC">
        <w:rPr>
          <w:rFonts w:ascii="Arial" w:hAnsi="Arial" w:cs="Arial"/>
          <w:sz w:val="22"/>
          <w:szCs w:val="22"/>
        </w:rPr>
        <w:t xml:space="preserve">Interestingly, probiotics in our study raised stomach pH and lowered acidity, suggesting a protective effect on the stomach lining. Some prior studies (Wu et al., 2022) have noted that probiotics produce substances that help neutralize stomach acid and support mucosal health. Although direct measures of stomach pH are rare, this points to an </w:t>
      </w:r>
      <w:proofErr w:type="gramStart"/>
      <w:r w:rsidRPr="007122AC">
        <w:rPr>
          <w:rFonts w:ascii="Arial" w:hAnsi="Arial" w:cs="Arial"/>
          <w:sz w:val="22"/>
          <w:szCs w:val="22"/>
        </w:rPr>
        <w:t>additional way probiotics</w:t>
      </w:r>
      <w:proofErr w:type="gramEnd"/>
      <w:r w:rsidRPr="007122AC">
        <w:rPr>
          <w:rFonts w:ascii="Arial" w:hAnsi="Arial" w:cs="Arial"/>
          <w:sz w:val="22"/>
          <w:szCs w:val="22"/>
        </w:rPr>
        <w:t xml:space="preserve"> might support digestive health and warrants more research.</w:t>
      </w:r>
    </w:p>
    <w:p w14:paraId="74A3EAEA" w14:textId="77777777" w:rsidR="00954ED3" w:rsidRDefault="00147C17">
      <w:pPr>
        <w:spacing w:line="360" w:lineRule="auto"/>
        <w:jc w:val="both"/>
        <w:rPr>
          <w:rFonts w:ascii="Arial" w:hAnsi="Arial" w:cs="Arial"/>
        </w:rPr>
      </w:pPr>
      <w:r>
        <w:rPr>
          <w:rFonts w:ascii="Arial" w:hAnsi="Arial" w:cs="Arial"/>
        </w:rPr>
        <w:t>Table 2: Effect of treatment with probiotic combination on the gastric parameters</w:t>
      </w:r>
    </w:p>
    <w:tbl>
      <w:tblPr>
        <w:tblStyle w:val="TableGrid"/>
        <w:tblW w:w="9378" w:type="dxa"/>
        <w:tblLook w:val="04A0" w:firstRow="1" w:lastRow="0" w:firstColumn="1" w:lastColumn="0" w:noHBand="0" w:noVBand="1"/>
      </w:tblPr>
      <w:tblGrid>
        <w:gridCol w:w="2394"/>
        <w:gridCol w:w="2214"/>
        <w:gridCol w:w="2574"/>
        <w:gridCol w:w="2196"/>
      </w:tblGrid>
      <w:tr w:rsidR="00954ED3" w14:paraId="400B1363" w14:textId="77777777">
        <w:tc>
          <w:tcPr>
            <w:tcW w:w="2394" w:type="dxa"/>
          </w:tcPr>
          <w:p w14:paraId="4F781888" w14:textId="77777777" w:rsidR="00954ED3" w:rsidRPr="007122AC" w:rsidRDefault="00147C17">
            <w:pPr>
              <w:spacing w:before="240" w:after="0" w:line="240" w:lineRule="auto"/>
              <w:jc w:val="both"/>
              <w:rPr>
                <w:rFonts w:ascii="Arial" w:hAnsi="Arial" w:cs="Arial"/>
                <w:b/>
                <w:bCs/>
              </w:rPr>
            </w:pPr>
            <w:r w:rsidRPr="007122AC">
              <w:rPr>
                <w:rFonts w:ascii="Arial" w:hAnsi="Arial" w:cs="Arial"/>
                <w:b/>
                <w:bCs/>
              </w:rPr>
              <w:t>GROUPS</w:t>
            </w:r>
          </w:p>
        </w:tc>
        <w:tc>
          <w:tcPr>
            <w:tcW w:w="2214" w:type="dxa"/>
          </w:tcPr>
          <w:p w14:paraId="4D51E742" w14:textId="77777777" w:rsidR="00954ED3" w:rsidRPr="007122AC" w:rsidRDefault="00147C17">
            <w:pPr>
              <w:spacing w:before="240" w:after="0" w:line="240" w:lineRule="auto"/>
              <w:jc w:val="both"/>
              <w:rPr>
                <w:rFonts w:ascii="Arial" w:hAnsi="Arial" w:cs="Arial"/>
                <w:b/>
                <w:bCs/>
              </w:rPr>
            </w:pPr>
            <w:r w:rsidRPr="007122AC">
              <w:rPr>
                <w:rFonts w:ascii="Arial" w:hAnsi="Arial" w:cs="Arial"/>
                <w:b/>
                <w:bCs/>
              </w:rPr>
              <w:t>pH</w:t>
            </w:r>
          </w:p>
        </w:tc>
        <w:tc>
          <w:tcPr>
            <w:tcW w:w="2574" w:type="dxa"/>
          </w:tcPr>
          <w:p w14:paraId="5A219E40" w14:textId="77777777" w:rsidR="00954ED3" w:rsidRPr="007122AC" w:rsidRDefault="00147C17">
            <w:pPr>
              <w:spacing w:before="240" w:after="0" w:line="240" w:lineRule="auto"/>
              <w:jc w:val="both"/>
              <w:rPr>
                <w:rFonts w:ascii="Arial" w:hAnsi="Arial" w:cs="Arial"/>
                <w:b/>
                <w:bCs/>
              </w:rPr>
            </w:pPr>
            <w:r w:rsidRPr="007122AC">
              <w:rPr>
                <w:rFonts w:ascii="Arial" w:hAnsi="Arial" w:cs="Arial"/>
                <w:b/>
                <w:bCs/>
              </w:rPr>
              <w:t>Total acidity (mg/L)</w:t>
            </w:r>
          </w:p>
        </w:tc>
        <w:tc>
          <w:tcPr>
            <w:tcW w:w="2196" w:type="dxa"/>
          </w:tcPr>
          <w:p w14:paraId="56C0DDD5" w14:textId="77777777" w:rsidR="00954ED3" w:rsidRPr="007122AC" w:rsidRDefault="00147C17">
            <w:pPr>
              <w:spacing w:before="240" w:after="0" w:line="240" w:lineRule="auto"/>
              <w:jc w:val="both"/>
              <w:rPr>
                <w:rFonts w:ascii="Arial" w:hAnsi="Arial" w:cs="Arial"/>
                <w:b/>
                <w:bCs/>
              </w:rPr>
            </w:pPr>
            <w:r w:rsidRPr="007122AC">
              <w:rPr>
                <w:rFonts w:ascii="Arial" w:hAnsi="Arial" w:cs="Arial"/>
                <w:b/>
                <w:bCs/>
              </w:rPr>
              <w:t>Volume (ml/100g)</w:t>
            </w:r>
          </w:p>
        </w:tc>
      </w:tr>
      <w:tr w:rsidR="00954ED3" w14:paraId="2BA94765" w14:textId="77777777">
        <w:tc>
          <w:tcPr>
            <w:tcW w:w="2394" w:type="dxa"/>
          </w:tcPr>
          <w:p w14:paraId="03F3A319" w14:textId="77777777" w:rsidR="00954ED3" w:rsidRDefault="00147C17">
            <w:pPr>
              <w:spacing w:before="240" w:after="0"/>
              <w:jc w:val="both"/>
              <w:rPr>
                <w:rFonts w:ascii="Arial" w:hAnsi="Arial" w:cs="Arial"/>
              </w:rPr>
            </w:pPr>
            <w:r>
              <w:rPr>
                <w:rFonts w:ascii="Arial" w:hAnsi="Arial" w:cs="Arial"/>
              </w:rPr>
              <w:t>NORMAL DIET</w:t>
            </w:r>
          </w:p>
        </w:tc>
        <w:tc>
          <w:tcPr>
            <w:tcW w:w="2214" w:type="dxa"/>
          </w:tcPr>
          <w:p w14:paraId="34C4994D" w14:textId="77777777" w:rsidR="00954ED3" w:rsidRDefault="00147C17">
            <w:pPr>
              <w:spacing w:before="240" w:after="0"/>
              <w:jc w:val="both"/>
              <w:rPr>
                <w:rFonts w:ascii="Arial" w:hAnsi="Arial" w:cs="Arial"/>
              </w:rPr>
            </w:pPr>
            <w:r>
              <w:rPr>
                <w:rFonts w:ascii="Arial" w:hAnsi="Arial" w:cs="Arial"/>
              </w:rPr>
              <w:t>1.26</w:t>
            </w:r>
            <w:r>
              <w:rPr>
                <w:rFonts w:ascii="Arial" w:hAnsi="Arial" w:cs="Arial"/>
                <w:vertAlign w:val="superscript"/>
              </w:rPr>
              <w:t>a</w:t>
            </w:r>
            <w:r>
              <w:rPr>
                <w:rFonts w:ascii="Arial" w:hAnsi="Arial" w:cs="Arial"/>
              </w:rPr>
              <w:t>±0.02</w:t>
            </w:r>
          </w:p>
        </w:tc>
        <w:tc>
          <w:tcPr>
            <w:tcW w:w="2574" w:type="dxa"/>
          </w:tcPr>
          <w:p w14:paraId="7539E0AF" w14:textId="77777777" w:rsidR="00954ED3" w:rsidRDefault="00147C17">
            <w:pPr>
              <w:spacing w:before="240" w:after="0"/>
              <w:jc w:val="both"/>
              <w:rPr>
                <w:rFonts w:ascii="Arial" w:hAnsi="Arial" w:cs="Arial"/>
              </w:rPr>
            </w:pPr>
            <w:r>
              <w:rPr>
                <w:rFonts w:ascii="Arial" w:hAnsi="Arial" w:cs="Arial"/>
              </w:rPr>
              <w:t>258.33</w:t>
            </w:r>
            <w:r>
              <w:rPr>
                <w:rFonts w:ascii="Arial" w:hAnsi="Arial" w:cs="Arial"/>
                <w:vertAlign w:val="superscript"/>
              </w:rPr>
              <w:t>a</w:t>
            </w:r>
            <w:r>
              <w:rPr>
                <w:rFonts w:ascii="Arial" w:hAnsi="Arial" w:cs="Arial"/>
              </w:rPr>
              <w:t>±14.43</w:t>
            </w:r>
          </w:p>
        </w:tc>
        <w:tc>
          <w:tcPr>
            <w:tcW w:w="2196" w:type="dxa"/>
          </w:tcPr>
          <w:p w14:paraId="486D7EE1" w14:textId="77777777" w:rsidR="00954ED3" w:rsidRDefault="00147C17">
            <w:pPr>
              <w:spacing w:before="240" w:after="0"/>
              <w:jc w:val="both"/>
              <w:rPr>
                <w:rFonts w:ascii="Arial" w:hAnsi="Arial" w:cs="Arial"/>
              </w:rPr>
            </w:pPr>
            <w:r>
              <w:rPr>
                <w:rFonts w:ascii="Arial" w:hAnsi="Arial" w:cs="Arial"/>
              </w:rPr>
              <w:t>2.07</w:t>
            </w:r>
            <w:r>
              <w:rPr>
                <w:rFonts w:ascii="Arial" w:hAnsi="Arial" w:cs="Arial"/>
                <w:vertAlign w:val="superscript"/>
              </w:rPr>
              <w:t>a</w:t>
            </w:r>
            <w:r>
              <w:rPr>
                <w:rFonts w:ascii="Arial" w:hAnsi="Arial" w:cs="Arial"/>
              </w:rPr>
              <w:t>±0.12</w:t>
            </w:r>
          </w:p>
        </w:tc>
      </w:tr>
      <w:tr w:rsidR="00954ED3" w14:paraId="29C2453B" w14:textId="77777777">
        <w:tc>
          <w:tcPr>
            <w:tcW w:w="2394" w:type="dxa"/>
          </w:tcPr>
          <w:p w14:paraId="1824B660" w14:textId="77777777" w:rsidR="00954ED3" w:rsidRDefault="00147C17">
            <w:pPr>
              <w:spacing w:before="240" w:after="0"/>
              <w:jc w:val="both"/>
              <w:rPr>
                <w:rFonts w:ascii="Arial" w:hAnsi="Arial" w:cs="Arial"/>
              </w:rPr>
            </w:pPr>
            <w:r>
              <w:rPr>
                <w:rFonts w:ascii="Arial" w:hAnsi="Arial" w:cs="Arial"/>
              </w:rPr>
              <w:t>HCD</w:t>
            </w:r>
          </w:p>
        </w:tc>
        <w:tc>
          <w:tcPr>
            <w:tcW w:w="2214" w:type="dxa"/>
          </w:tcPr>
          <w:p w14:paraId="53753BB1" w14:textId="77777777" w:rsidR="00954ED3" w:rsidRDefault="00147C17">
            <w:pPr>
              <w:spacing w:before="240" w:after="0"/>
              <w:jc w:val="both"/>
              <w:rPr>
                <w:rFonts w:ascii="Arial" w:hAnsi="Arial" w:cs="Arial"/>
              </w:rPr>
            </w:pPr>
            <w:r>
              <w:rPr>
                <w:rFonts w:ascii="Arial" w:hAnsi="Arial" w:cs="Arial"/>
              </w:rPr>
              <w:t>1.42</w:t>
            </w:r>
            <w:r>
              <w:rPr>
                <w:rFonts w:ascii="Arial" w:hAnsi="Arial" w:cs="Arial"/>
                <w:vertAlign w:val="superscript"/>
              </w:rPr>
              <w:t>a</w:t>
            </w:r>
            <w:r>
              <w:rPr>
                <w:rFonts w:ascii="Arial" w:hAnsi="Arial" w:cs="Arial"/>
              </w:rPr>
              <w:t>±0.10</w:t>
            </w:r>
          </w:p>
        </w:tc>
        <w:tc>
          <w:tcPr>
            <w:tcW w:w="2574" w:type="dxa"/>
          </w:tcPr>
          <w:p w14:paraId="537FE5B1" w14:textId="77777777" w:rsidR="00954ED3" w:rsidRDefault="00147C17">
            <w:pPr>
              <w:spacing w:before="240" w:after="0"/>
              <w:jc w:val="both"/>
              <w:rPr>
                <w:rFonts w:ascii="Arial" w:hAnsi="Arial" w:cs="Arial"/>
              </w:rPr>
            </w:pPr>
            <w:r>
              <w:rPr>
                <w:rFonts w:ascii="Arial" w:hAnsi="Arial" w:cs="Arial"/>
              </w:rPr>
              <w:t>295.83</w:t>
            </w:r>
            <w:r>
              <w:rPr>
                <w:rFonts w:ascii="Arial" w:hAnsi="Arial" w:cs="Arial"/>
                <w:vertAlign w:val="superscript"/>
              </w:rPr>
              <w:t>a</w:t>
            </w:r>
            <w:r>
              <w:rPr>
                <w:rFonts w:ascii="Arial" w:hAnsi="Arial" w:cs="Arial"/>
              </w:rPr>
              <w:t>±227.19</w:t>
            </w:r>
          </w:p>
        </w:tc>
        <w:tc>
          <w:tcPr>
            <w:tcW w:w="2196" w:type="dxa"/>
          </w:tcPr>
          <w:p w14:paraId="6C9BA2D2" w14:textId="77777777" w:rsidR="00954ED3" w:rsidRDefault="00147C17">
            <w:pPr>
              <w:spacing w:before="240" w:after="0"/>
              <w:jc w:val="both"/>
              <w:rPr>
                <w:rFonts w:ascii="Arial" w:hAnsi="Arial" w:cs="Arial"/>
              </w:rPr>
            </w:pPr>
            <w:r>
              <w:rPr>
                <w:rFonts w:ascii="Arial" w:hAnsi="Arial" w:cs="Arial"/>
              </w:rPr>
              <w:t>3.73</w:t>
            </w:r>
            <w:r>
              <w:rPr>
                <w:rFonts w:ascii="Arial" w:hAnsi="Arial" w:cs="Arial"/>
                <w:vertAlign w:val="superscript"/>
              </w:rPr>
              <w:t>a</w:t>
            </w:r>
            <w:r>
              <w:rPr>
                <w:rFonts w:ascii="Arial" w:hAnsi="Arial" w:cs="Arial"/>
              </w:rPr>
              <w:t>±2.57</w:t>
            </w:r>
          </w:p>
        </w:tc>
      </w:tr>
      <w:tr w:rsidR="00954ED3" w14:paraId="490847F3" w14:textId="77777777">
        <w:tc>
          <w:tcPr>
            <w:tcW w:w="2394" w:type="dxa"/>
          </w:tcPr>
          <w:p w14:paraId="1CE6B47D" w14:textId="77777777" w:rsidR="00954ED3" w:rsidRDefault="00147C17">
            <w:pPr>
              <w:spacing w:before="240" w:after="0"/>
              <w:jc w:val="both"/>
              <w:rPr>
                <w:rFonts w:ascii="Arial" w:hAnsi="Arial" w:cs="Arial"/>
              </w:rPr>
            </w:pPr>
            <w:r>
              <w:rPr>
                <w:rFonts w:ascii="Arial" w:hAnsi="Arial" w:cs="Arial"/>
              </w:rPr>
              <w:t>HCD + PC low dose</w:t>
            </w:r>
          </w:p>
        </w:tc>
        <w:tc>
          <w:tcPr>
            <w:tcW w:w="2214" w:type="dxa"/>
          </w:tcPr>
          <w:p w14:paraId="59A6E0E5" w14:textId="77777777" w:rsidR="00954ED3" w:rsidRDefault="00147C17">
            <w:pPr>
              <w:spacing w:before="240" w:after="0"/>
              <w:jc w:val="both"/>
              <w:rPr>
                <w:rFonts w:ascii="Arial" w:hAnsi="Arial" w:cs="Arial"/>
              </w:rPr>
            </w:pPr>
            <w:r>
              <w:rPr>
                <w:rFonts w:ascii="Arial" w:hAnsi="Arial" w:cs="Arial"/>
              </w:rPr>
              <w:t>1.93</w:t>
            </w:r>
            <w:r>
              <w:rPr>
                <w:rFonts w:ascii="Arial" w:hAnsi="Arial" w:cs="Arial"/>
                <w:vertAlign w:val="superscript"/>
              </w:rPr>
              <w:t>b</w:t>
            </w:r>
            <w:r>
              <w:rPr>
                <w:rFonts w:ascii="Arial" w:hAnsi="Arial" w:cs="Arial"/>
              </w:rPr>
              <w:t>±0.08</w:t>
            </w:r>
          </w:p>
        </w:tc>
        <w:tc>
          <w:tcPr>
            <w:tcW w:w="2574" w:type="dxa"/>
          </w:tcPr>
          <w:p w14:paraId="720EA7F3" w14:textId="77777777" w:rsidR="00954ED3" w:rsidRDefault="00147C17">
            <w:pPr>
              <w:spacing w:before="240" w:after="0"/>
              <w:jc w:val="both"/>
              <w:rPr>
                <w:rFonts w:ascii="Arial" w:hAnsi="Arial" w:cs="Arial"/>
              </w:rPr>
            </w:pPr>
            <w:r>
              <w:rPr>
                <w:rFonts w:ascii="Arial" w:hAnsi="Arial" w:cs="Arial"/>
              </w:rPr>
              <w:t>387.5</w:t>
            </w:r>
            <w:r>
              <w:rPr>
                <w:rFonts w:ascii="Arial" w:hAnsi="Arial" w:cs="Arial"/>
                <w:vertAlign w:val="superscript"/>
              </w:rPr>
              <w:t>a</w:t>
            </w:r>
            <w:r>
              <w:rPr>
                <w:rFonts w:ascii="Arial" w:hAnsi="Arial" w:cs="Arial"/>
              </w:rPr>
              <w:t>±97.63</w:t>
            </w:r>
          </w:p>
        </w:tc>
        <w:tc>
          <w:tcPr>
            <w:tcW w:w="2196" w:type="dxa"/>
          </w:tcPr>
          <w:p w14:paraId="374E11A9" w14:textId="77777777" w:rsidR="00954ED3" w:rsidRDefault="00147C17">
            <w:pPr>
              <w:spacing w:before="240" w:after="0"/>
              <w:jc w:val="both"/>
              <w:rPr>
                <w:rFonts w:ascii="Arial" w:hAnsi="Arial" w:cs="Arial"/>
              </w:rPr>
            </w:pPr>
            <w:r>
              <w:rPr>
                <w:rFonts w:ascii="Arial" w:hAnsi="Arial" w:cs="Arial"/>
              </w:rPr>
              <w:t>3.10</w:t>
            </w:r>
            <w:r>
              <w:rPr>
                <w:rFonts w:ascii="Arial" w:hAnsi="Arial" w:cs="Arial"/>
                <w:vertAlign w:val="superscript"/>
              </w:rPr>
              <w:t>a</w:t>
            </w:r>
            <w:r>
              <w:rPr>
                <w:rFonts w:ascii="Arial" w:hAnsi="Arial" w:cs="Arial"/>
              </w:rPr>
              <w:t>±0.78</w:t>
            </w:r>
          </w:p>
        </w:tc>
      </w:tr>
      <w:tr w:rsidR="00954ED3" w14:paraId="2BABC962" w14:textId="77777777">
        <w:tc>
          <w:tcPr>
            <w:tcW w:w="2394" w:type="dxa"/>
          </w:tcPr>
          <w:p w14:paraId="5DBD2106" w14:textId="77777777" w:rsidR="00954ED3" w:rsidRDefault="00147C17">
            <w:pPr>
              <w:spacing w:before="240" w:after="0"/>
              <w:jc w:val="both"/>
              <w:rPr>
                <w:rFonts w:ascii="Arial" w:hAnsi="Arial" w:cs="Arial"/>
              </w:rPr>
            </w:pPr>
            <w:r>
              <w:rPr>
                <w:rFonts w:ascii="Arial" w:hAnsi="Arial" w:cs="Arial"/>
              </w:rPr>
              <w:t>HCD + PC high dose</w:t>
            </w:r>
          </w:p>
        </w:tc>
        <w:tc>
          <w:tcPr>
            <w:tcW w:w="2214" w:type="dxa"/>
          </w:tcPr>
          <w:p w14:paraId="3BA8C4A9" w14:textId="77777777" w:rsidR="00954ED3" w:rsidRDefault="00147C17">
            <w:pPr>
              <w:spacing w:before="240" w:after="0"/>
              <w:jc w:val="both"/>
              <w:rPr>
                <w:rFonts w:ascii="Arial" w:hAnsi="Arial" w:cs="Arial"/>
              </w:rPr>
            </w:pPr>
            <w:r>
              <w:rPr>
                <w:rFonts w:ascii="Arial" w:hAnsi="Arial" w:cs="Arial"/>
              </w:rPr>
              <w:t>2.00</w:t>
            </w:r>
            <w:r>
              <w:rPr>
                <w:rFonts w:ascii="Arial" w:hAnsi="Arial" w:cs="Arial"/>
                <w:vertAlign w:val="superscript"/>
              </w:rPr>
              <w:t>b</w:t>
            </w:r>
            <w:r>
              <w:rPr>
                <w:rFonts w:ascii="Arial" w:hAnsi="Arial" w:cs="Arial"/>
              </w:rPr>
              <w:t>±0.12</w:t>
            </w:r>
          </w:p>
        </w:tc>
        <w:tc>
          <w:tcPr>
            <w:tcW w:w="2574" w:type="dxa"/>
          </w:tcPr>
          <w:p w14:paraId="548D6D4C" w14:textId="77777777" w:rsidR="00954ED3" w:rsidRDefault="00147C17">
            <w:pPr>
              <w:spacing w:before="240" w:after="0"/>
              <w:jc w:val="both"/>
              <w:rPr>
                <w:rFonts w:ascii="Arial" w:hAnsi="Arial" w:cs="Arial"/>
              </w:rPr>
            </w:pPr>
            <w:r>
              <w:rPr>
                <w:rFonts w:ascii="Arial" w:hAnsi="Arial" w:cs="Arial"/>
              </w:rPr>
              <w:t>495.83</w:t>
            </w:r>
            <w:r>
              <w:rPr>
                <w:rFonts w:ascii="Arial" w:hAnsi="Arial" w:cs="Arial"/>
                <w:vertAlign w:val="superscript"/>
              </w:rPr>
              <w:t>a</w:t>
            </w:r>
            <w:r>
              <w:rPr>
                <w:rFonts w:ascii="Arial" w:hAnsi="Arial" w:cs="Arial"/>
              </w:rPr>
              <w:t>±130.10</w:t>
            </w:r>
          </w:p>
        </w:tc>
        <w:tc>
          <w:tcPr>
            <w:tcW w:w="2196" w:type="dxa"/>
          </w:tcPr>
          <w:p w14:paraId="50A6D7A6" w14:textId="77777777" w:rsidR="00954ED3" w:rsidRDefault="00147C17">
            <w:pPr>
              <w:spacing w:before="240" w:after="0"/>
              <w:jc w:val="both"/>
              <w:rPr>
                <w:rFonts w:ascii="Arial" w:hAnsi="Arial" w:cs="Arial"/>
              </w:rPr>
            </w:pPr>
            <w:r>
              <w:rPr>
                <w:rFonts w:ascii="Arial" w:hAnsi="Arial" w:cs="Arial"/>
              </w:rPr>
              <w:t>3.97</w:t>
            </w:r>
            <w:r>
              <w:rPr>
                <w:rFonts w:ascii="Arial" w:hAnsi="Arial" w:cs="Arial"/>
                <w:vertAlign w:val="superscript"/>
              </w:rPr>
              <w:t>a</w:t>
            </w:r>
            <w:r>
              <w:rPr>
                <w:rFonts w:ascii="Arial" w:hAnsi="Arial" w:cs="Arial"/>
              </w:rPr>
              <w:t>±1.04</w:t>
            </w:r>
          </w:p>
        </w:tc>
      </w:tr>
    </w:tbl>
    <w:p w14:paraId="0898EEB3" w14:textId="77777777" w:rsidR="001301E0" w:rsidRPr="001301E0" w:rsidRDefault="001301E0" w:rsidP="001301E0">
      <w:pPr>
        <w:autoSpaceDE w:val="0"/>
        <w:autoSpaceDN w:val="0"/>
        <w:adjustRightInd w:val="0"/>
        <w:spacing w:before="240" w:after="0" w:line="240" w:lineRule="auto"/>
        <w:jc w:val="both"/>
        <w:rPr>
          <w:rFonts w:ascii="Arial" w:hAnsi="Arial" w:cs="Arial"/>
          <w:sz w:val="18"/>
          <w:szCs w:val="18"/>
        </w:rPr>
      </w:pPr>
      <w:r w:rsidRPr="001301E0">
        <w:rPr>
          <w:rFonts w:ascii="Arial" w:hAnsi="Arial" w:cs="Arial"/>
          <w:sz w:val="18"/>
          <w:szCs w:val="18"/>
        </w:rPr>
        <w:t>The same superscript within the same column is not statistically significant (p &lt; 0.05).</w:t>
      </w:r>
    </w:p>
    <w:p w14:paraId="6E09EBDE" w14:textId="77777777" w:rsidR="001301E0" w:rsidRPr="001301E0" w:rsidRDefault="001301E0" w:rsidP="001301E0">
      <w:pPr>
        <w:spacing w:line="360" w:lineRule="auto"/>
        <w:jc w:val="both"/>
        <w:rPr>
          <w:rFonts w:ascii="Arial" w:hAnsi="Arial" w:cs="Arial"/>
          <w:sz w:val="18"/>
          <w:szCs w:val="18"/>
        </w:rPr>
      </w:pPr>
      <w:r w:rsidRPr="001301E0">
        <w:rPr>
          <w:rFonts w:ascii="Arial" w:hAnsi="Arial" w:cs="Arial"/>
          <w:sz w:val="18"/>
          <w:szCs w:val="18"/>
        </w:rPr>
        <w:t>Key: HCD-High cholesterol diet + Triton X-100, PC-Probiotic combination</w:t>
      </w:r>
    </w:p>
    <w:p w14:paraId="52BF1D7D" w14:textId="77777777" w:rsidR="00954ED3" w:rsidRDefault="00954ED3">
      <w:pPr>
        <w:spacing w:before="240" w:line="360" w:lineRule="auto"/>
        <w:jc w:val="both"/>
        <w:rPr>
          <w:rFonts w:ascii="Arial" w:hAnsi="Arial" w:cs="Arial"/>
        </w:rPr>
      </w:pPr>
    </w:p>
    <w:p w14:paraId="5C90106E" w14:textId="77777777" w:rsidR="00954ED3" w:rsidRPr="00537C77" w:rsidRDefault="00147C17">
      <w:pPr>
        <w:jc w:val="both"/>
        <w:rPr>
          <w:rFonts w:ascii="Arial" w:hAnsi="Arial" w:cs="Arial"/>
          <w:b/>
          <w:bCs/>
        </w:rPr>
      </w:pPr>
      <w:r w:rsidRPr="00537C77">
        <w:rPr>
          <w:rFonts w:ascii="Arial" w:hAnsi="Arial" w:cs="Arial"/>
          <w:b/>
          <w:bCs/>
        </w:rPr>
        <w:t>Conclusion</w:t>
      </w:r>
    </w:p>
    <w:p w14:paraId="1DD3279A" w14:textId="77777777" w:rsidR="00954ED3" w:rsidRDefault="00147C17">
      <w:pPr>
        <w:jc w:val="both"/>
        <w:rPr>
          <w:rFonts w:ascii="Arial" w:hAnsi="Arial" w:cs="Arial"/>
        </w:rPr>
      </w:pPr>
      <w:r>
        <w:rPr>
          <w:rFonts w:ascii="Arial" w:hAnsi="Arial" w:cs="Arial"/>
        </w:rPr>
        <w:t>Our probiotic mixture, which includes both yeast and bacteria, effectively improved cholesterol balance by lowering the harmful LDL while increasing the beneficial HDL. These results show that combining yeast and bacterial probiotics can work together to enhance fat metabolism, restore healthy gut bacteria, and protect stomach health. This probiotic blend holds promise as a natural dietary option to help manage high cholesterol and reduce the risk of heart disease.</w:t>
      </w:r>
    </w:p>
    <w:p w14:paraId="48A2F80A" w14:textId="7D421CBA" w:rsidR="00954ED3" w:rsidRDefault="00147C17">
      <w:pPr>
        <w:spacing w:before="240"/>
        <w:jc w:val="both"/>
        <w:rPr>
          <w:rFonts w:ascii="Arial" w:hAnsi="Arial" w:cs="Arial"/>
          <w:b/>
          <w:bCs/>
        </w:rPr>
      </w:pPr>
      <w:r>
        <w:rPr>
          <w:rFonts w:ascii="Arial" w:hAnsi="Arial" w:cs="Arial"/>
          <w:b/>
          <w:bCs/>
        </w:rPr>
        <w:t xml:space="preserve">Ethical </w:t>
      </w:r>
      <w:r w:rsidR="00963DDB">
        <w:rPr>
          <w:rFonts w:ascii="Arial" w:hAnsi="Arial" w:cs="Arial"/>
          <w:b/>
          <w:bCs/>
        </w:rPr>
        <w:t>a</w:t>
      </w:r>
      <w:r>
        <w:rPr>
          <w:rFonts w:ascii="Arial" w:hAnsi="Arial" w:cs="Arial"/>
          <w:b/>
          <w:bCs/>
        </w:rPr>
        <w:t>pproval</w:t>
      </w:r>
    </w:p>
    <w:p w14:paraId="2F128135" w14:textId="77777777" w:rsidR="00954ED3" w:rsidRDefault="00147C17">
      <w:pPr>
        <w:spacing w:before="240"/>
        <w:jc w:val="both"/>
        <w:rPr>
          <w:rFonts w:ascii="Arial" w:hAnsi="Arial" w:cs="Arial"/>
        </w:rPr>
      </w:pPr>
      <w:r>
        <w:rPr>
          <w:rFonts w:ascii="Arial" w:hAnsi="Arial" w:cs="Arial"/>
        </w:rPr>
        <w:t xml:space="preserve">Ethical approval was obtained from ethical approval committee from Nnamdi Azikiwe University </w:t>
      </w:r>
      <w:proofErr w:type="spellStart"/>
      <w:r>
        <w:rPr>
          <w:rFonts w:ascii="Arial" w:hAnsi="Arial" w:cs="Arial"/>
        </w:rPr>
        <w:t>Awka</w:t>
      </w:r>
      <w:proofErr w:type="spellEnd"/>
      <w:r>
        <w:rPr>
          <w:rFonts w:ascii="Arial" w:hAnsi="Arial" w:cs="Arial"/>
        </w:rPr>
        <w:t xml:space="preserve">. This study protocol was approved by the institutional Animal ethical committee, the </w:t>
      </w:r>
      <w:r>
        <w:rPr>
          <w:rFonts w:ascii="Arial" w:hAnsi="Arial" w:cs="Arial"/>
        </w:rPr>
        <w:lastRenderedPageBreak/>
        <w:t>research was conducted according to the guidelines of the committee with Approval number: NAU/AREC/2024/0075.</w:t>
      </w:r>
    </w:p>
    <w:p w14:paraId="73F3A578" w14:textId="77777777" w:rsidR="00954ED3" w:rsidRPr="00963DDB" w:rsidRDefault="00147C17">
      <w:pPr>
        <w:rPr>
          <w:rFonts w:ascii="Arial" w:hAnsi="Arial" w:cs="Arial"/>
          <w:b/>
          <w:bCs/>
        </w:rPr>
      </w:pPr>
      <w:r w:rsidRPr="00963DDB">
        <w:rPr>
          <w:rFonts w:ascii="Arial" w:hAnsi="Arial" w:cs="Arial"/>
          <w:b/>
          <w:bCs/>
        </w:rPr>
        <w:t>Disclaimer (Artificial intelligence)</w:t>
      </w:r>
    </w:p>
    <w:p w14:paraId="1184C59F" w14:textId="16BFB086" w:rsidR="00954ED3" w:rsidRPr="00963DDB" w:rsidRDefault="00147C17" w:rsidP="00963DDB">
      <w:pPr>
        <w:jc w:val="both"/>
        <w:rPr>
          <w:rFonts w:ascii="Arial" w:hAnsi="Arial" w:cs="Arial"/>
        </w:rPr>
      </w:pPr>
      <w:r w:rsidRPr="00963DDB">
        <w:rPr>
          <w:rFonts w:ascii="Arial" w:hAnsi="Arial" w:cs="Arial"/>
        </w:rPr>
        <w:t>Authors hereby declare that NO generative AI technologies such as Large Language Models (</w:t>
      </w:r>
      <w:proofErr w:type="spellStart"/>
      <w:r w:rsidRPr="00963DDB">
        <w:rPr>
          <w:rFonts w:ascii="Arial" w:hAnsi="Arial" w:cs="Arial"/>
        </w:rPr>
        <w:t>ChatGPT</w:t>
      </w:r>
      <w:proofErr w:type="spellEnd"/>
      <w:r w:rsidRPr="00963DDB">
        <w:rPr>
          <w:rFonts w:ascii="Arial" w:hAnsi="Arial" w:cs="Arial"/>
        </w:rPr>
        <w:t xml:space="preserve">, COPILOT, etc.) and text-to-image generators have been used during the writing or editing of this manuscript. </w:t>
      </w:r>
    </w:p>
    <w:p w14:paraId="7EF060C0" w14:textId="77777777" w:rsidR="00954ED3" w:rsidRDefault="00954ED3">
      <w:pPr>
        <w:pStyle w:val="NormalWeb"/>
        <w:jc w:val="both"/>
        <w:rPr>
          <w:rFonts w:ascii="Arial" w:hAnsi="Arial" w:cs="Arial"/>
          <w:sz w:val="22"/>
          <w:szCs w:val="22"/>
        </w:rPr>
      </w:pPr>
    </w:p>
    <w:p w14:paraId="66BC9F35" w14:textId="77777777" w:rsidR="00954ED3" w:rsidRDefault="00147C17">
      <w:pPr>
        <w:pStyle w:val="NormalWeb"/>
        <w:jc w:val="both"/>
        <w:rPr>
          <w:rFonts w:ascii="Arial" w:hAnsi="Arial" w:cs="Arial"/>
          <w:sz w:val="22"/>
          <w:szCs w:val="22"/>
        </w:rPr>
      </w:pPr>
      <w:r>
        <w:rPr>
          <w:rFonts w:ascii="Arial" w:hAnsi="Arial" w:cs="Arial"/>
          <w:b/>
          <w:bCs/>
          <w:sz w:val="22"/>
          <w:szCs w:val="22"/>
        </w:rPr>
        <w:t>References</w:t>
      </w:r>
    </w:p>
    <w:p w14:paraId="6D349F06" w14:textId="77777777" w:rsidR="00954ED3" w:rsidRDefault="00954ED3">
      <w:pPr>
        <w:ind w:left="660" w:hangingChars="300" w:hanging="660"/>
        <w:rPr>
          <w:rFonts w:ascii="Arial" w:hAnsi="Arial" w:cs="Arial"/>
        </w:rPr>
      </w:pPr>
    </w:p>
    <w:p w14:paraId="16C5A32A" w14:textId="77777777" w:rsidR="00954ED3" w:rsidRDefault="00147C17">
      <w:pPr>
        <w:ind w:left="660" w:hangingChars="300" w:hanging="660"/>
        <w:jc w:val="both"/>
        <w:rPr>
          <w:rFonts w:ascii="Arial" w:hAnsi="Arial" w:cs="Arial"/>
        </w:rPr>
      </w:pPr>
      <w:r>
        <w:rPr>
          <w:rFonts w:ascii="Arial" w:hAnsi="Arial" w:cs="Arial"/>
        </w:rPr>
        <w:t xml:space="preserve">Albuquerque RCMF, </w:t>
      </w:r>
      <w:proofErr w:type="spellStart"/>
      <w:r>
        <w:rPr>
          <w:rFonts w:ascii="Arial" w:hAnsi="Arial" w:cs="Arial"/>
        </w:rPr>
        <w:t>Brandão</w:t>
      </w:r>
      <w:proofErr w:type="spellEnd"/>
      <w:r>
        <w:rPr>
          <w:rFonts w:ascii="Arial" w:hAnsi="Arial" w:cs="Arial"/>
        </w:rPr>
        <w:t xml:space="preserve"> ABP, De Abreu, ICME, Ferreira, FG, Santos LB, Moreira LN, </w:t>
      </w:r>
      <w:proofErr w:type="spellStart"/>
      <w:r>
        <w:rPr>
          <w:rFonts w:ascii="Arial" w:hAnsi="Arial" w:cs="Arial"/>
        </w:rPr>
        <w:t>Taddei</w:t>
      </w:r>
      <w:proofErr w:type="spellEnd"/>
      <w:r>
        <w:rPr>
          <w:rFonts w:ascii="Arial" w:hAnsi="Arial" w:cs="Arial"/>
        </w:rPr>
        <w:t xml:space="preserve"> CR, </w:t>
      </w:r>
      <w:proofErr w:type="spellStart"/>
      <w:r>
        <w:rPr>
          <w:rFonts w:ascii="Arial" w:hAnsi="Arial" w:cs="Arial"/>
        </w:rPr>
        <w:t>Aimbire</w:t>
      </w:r>
      <w:proofErr w:type="spellEnd"/>
      <w:r>
        <w:rPr>
          <w:rFonts w:ascii="Arial" w:hAnsi="Arial" w:cs="Arial"/>
        </w:rPr>
        <w:t xml:space="preserve"> F, Cunha TS. Saccharomyces </w:t>
      </w:r>
      <w:proofErr w:type="spellStart"/>
      <w:r>
        <w:rPr>
          <w:rFonts w:ascii="Arial" w:hAnsi="Arial" w:cs="Arial"/>
        </w:rPr>
        <w:t>boulardii</w:t>
      </w:r>
      <w:proofErr w:type="spellEnd"/>
      <w:r>
        <w:rPr>
          <w:rFonts w:ascii="Arial" w:hAnsi="Arial" w:cs="Arial"/>
        </w:rPr>
        <w:t xml:space="preserve"> </w:t>
      </w:r>
      <w:proofErr w:type="spellStart"/>
      <w:r>
        <w:rPr>
          <w:rFonts w:ascii="Arial" w:hAnsi="Arial" w:cs="Arial"/>
        </w:rPr>
        <w:t>Tht</w:t>
      </w:r>
      <w:proofErr w:type="spellEnd"/>
      <w:r>
        <w:rPr>
          <w:rFonts w:ascii="Arial" w:hAnsi="Arial" w:cs="Arial"/>
        </w:rPr>
        <w:t xml:space="preserve"> 500101 changes gut microbiota and ameliorates </w:t>
      </w:r>
      <w:proofErr w:type="spellStart"/>
      <w:r>
        <w:rPr>
          <w:rFonts w:ascii="Arial" w:hAnsi="Arial" w:cs="Arial"/>
        </w:rPr>
        <w:t>hyperglycaemia</w:t>
      </w:r>
      <w:proofErr w:type="spellEnd"/>
      <w:r>
        <w:rPr>
          <w:rFonts w:ascii="Arial" w:hAnsi="Arial" w:cs="Arial"/>
        </w:rPr>
        <w:t xml:space="preserve">, </w:t>
      </w:r>
      <w:proofErr w:type="spellStart"/>
      <w:r>
        <w:rPr>
          <w:rFonts w:ascii="Arial" w:hAnsi="Arial" w:cs="Arial"/>
        </w:rPr>
        <w:t>dyslipidaemia</w:t>
      </w:r>
      <w:proofErr w:type="spellEnd"/>
      <w:r>
        <w:rPr>
          <w:rFonts w:ascii="Arial" w:hAnsi="Arial" w:cs="Arial"/>
        </w:rPr>
        <w:t>, and liver inflammation in streptozotocin-diabetic mice. Beneficial Microbes. 2019;10(8):901-912.</w:t>
      </w:r>
    </w:p>
    <w:p w14:paraId="37115102" w14:textId="77777777" w:rsidR="00954ED3" w:rsidRDefault="00147C17">
      <w:pPr>
        <w:ind w:left="660" w:hangingChars="300" w:hanging="660"/>
        <w:jc w:val="both"/>
        <w:rPr>
          <w:rFonts w:ascii="Arial" w:hAnsi="Arial" w:cs="Arial"/>
        </w:rPr>
      </w:pPr>
      <w:r>
        <w:rPr>
          <w:rFonts w:ascii="Arial" w:hAnsi="Arial" w:cs="Arial"/>
        </w:rPr>
        <w:t xml:space="preserve">Butt J, </w:t>
      </w:r>
      <w:proofErr w:type="spellStart"/>
      <w:r>
        <w:rPr>
          <w:rFonts w:ascii="Arial" w:hAnsi="Arial" w:cs="Arial"/>
        </w:rPr>
        <w:t>Jenab</w:t>
      </w:r>
      <w:proofErr w:type="spellEnd"/>
      <w:r>
        <w:rPr>
          <w:rFonts w:ascii="Arial" w:hAnsi="Arial" w:cs="Arial"/>
        </w:rPr>
        <w:t xml:space="preserve"> M, Werner J, </w:t>
      </w:r>
      <w:proofErr w:type="spellStart"/>
      <w:r>
        <w:rPr>
          <w:rFonts w:ascii="Arial" w:hAnsi="Arial" w:cs="Arial"/>
        </w:rPr>
        <w:t>Fedirko</w:t>
      </w:r>
      <w:proofErr w:type="spellEnd"/>
      <w:r>
        <w:rPr>
          <w:rFonts w:ascii="Arial" w:hAnsi="Arial" w:cs="Arial"/>
        </w:rPr>
        <w:t xml:space="preserve"> V, </w:t>
      </w:r>
      <w:proofErr w:type="spellStart"/>
      <w:r>
        <w:rPr>
          <w:rFonts w:ascii="Arial" w:hAnsi="Arial" w:cs="Arial"/>
        </w:rPr>
        <w:t>Weiderpass</w:t>
      </w:r>
      <w:proofErr w:type="spellEnd"/>
      <w:r>
        <w:rPr>
          <w:rFonts w:ascii="Arial" w:hAnsi="Arial" w:cs="Arial"/>
        </w:rPr>
        <w:t xml:space="preserve"> E, </w:t>
      </w:r>
      <w:proofErr w:type="spellStart"/>
      <w:r>
        <w:rPr>
          <w:rFonts w:ascii="Arial" w:hAnsi="Arial" w:cs="Arial"/>
        </w:rPr>
        <w:t>Dahm</w:t>
      </w:r>
      <w:proofErr w:type="spellEnd"/>
      <w:r>
        <w:rPr>
          <w:rFonts w:ascii="Arial" w:hAnsi="Arial" w:cs="Arial"/>
        </w:rPr>
        <w:t xml:space="preserve"> CC, et al. Association of pre-diagnostic antibody responses to Escherichia coli and Bacteroides fragilis toxin proteins with colorectal cancer in a European cohort. Gut Microbes. (2021) 13:1–14. 10.1080/19490976.2021.1903825</w:t>
      </w:r>
    </w:p>
    <w:p w14:paraId="2E5D8FE5" w14:textId="77777777" w:rsidR="00954ED3" w:rsidRDefault="00147C17">
      <w:pPr>
        <w:ind w:left="660" w:hangingChars="300" w:hanging="660"/>
        <w:jc w:val="both"/>
        <w:rPr>
          <w:rFonts w:ascii="Arial" w:hAnsi="Arial" w:cs="Arial"/>
        </w:rPr>
      </w:pPr>
      <w:proofErr w:type="spellStart"/>
      <w:r>
        <w:rPr>
          <w:rFonts w:ascii="Arial" w:hAnsi="Arial" w:cs="Arial"/>
        </w:rPr>
        <w:t>Cani</w:t>
      </w:r>
      <w:proofErr w:type="spellEnd"/>
      <w:r>
        <w:rPr>
          <w:rFonts w:ascii="Arial" w:hAnsi="Arial" w:cs="Arial"/>
        </w:rPr>
        <w:t xml:space="preserve">, P. D., &amp; </w:t>
      </w:r>
      <w:proofErr w:type="spellStart"/>
      <w:r>
        <w:rPr>
          <w:rFonts w:ascii="Arial" w:hAnsi="Arial" w:cs="Arial"/>
        </w:rPr>
        <w:t>Delzenne</w:t>
      </w:r>
      <w:proofErr w:type="spellEnd"/>
      <w:r>
        <w:rPr>
          <w:rFonts w:ascii="Arial" w:hAnsi="Arial" w:cs="Arial"/>
        </w:rPr>
        <w:t>, N. M. (2011). The role of the gut microbiota in energy metabolism and metabolic disease. Current Pharmaceutical Design, 17(14), 1519–1523</w:t>
      </w:r>
    </w:p>
    <w:p w14:paraId="566619AF" w14:textId="6BAD476A" w:rsidR="00954ED3" w:rsidRDefault="00147C17">
      <w:pPr>
        <w:ind w:left="660" w:hangingChars="300" w:hanging="660"/>
        <w:jc w:val="both"/>
        <w:rPr>
          <w:rFonts w:ascii="Arial" w:hAnsi="Arial" w:cs="Arial"/>
        </w:rPr>
      </w:pPr>
      <w:r>
        <w:rPr>
          <w:rFonts w:ascii="Arial" w:hAnsi="Arial" w:cs="Arial"/>
        </w:rPr>
        <w:t>FAO/WHO (2011).</w:t>
      </w:r>
      <w:r w:rsidR="000B5F37">
        <w:rPr>
          <w:rFonts w:ascii="Arial" w:hAnsi="Arial" w:cs="Arial"/>
        </w:rPr>
        <w:t xml:space="preserve"> </w:t>
      </w:r>
      <w:r>
        <w:rPr>
          <w:rFonts w:ascii="Arial" w:hAnsi="Arial" w:cs="Arial"/>
        </w:rPr>
        <w:t>Guidelines for the evaluation of probiotics in food. Food and Agriculture Organization of the United Nations and World Health Organization Working Group Report.2002http://www.fao.org/es/ESN/food/foodandfood_probio_en.stmaccessed.</w:t>
      </w:r>
    </w:p>
    <w:p w14:paraId="25F43215" w14:textId="77777777" w:rsidR="00954ED3" w:rsidRDefault="00147C17">
      <w:pPr>
        <w:ind w:left="660" w:hangingChars="300" w:hanging="660"/>
        <w:jc w:val="both"/>
        <w:rPr>
          <w:rFonts w:ascii="Arial" w:hAnsi="Arial" w:cs="Arial"/>
        </w:rPr>
      </w:pPr>
      <w:r>
        <w:rPr>
          <w:rFonts w:ascii="Arial" w:hAnsi="Arial" w:cs="Arial"/>
        </w:rPr>
        <w:t xml:space="preserve">Gadelha, C.J.M.U and </w:t>
      </w:r>
      <w:proofErr w:type="spellStart"/>
      <w:r>
        <w:rPr>
          <w:rFonts w:ascii="Arial" w:hAnsi="Arial" w:cs="Arial"/>
        </w:rPr>
        <w:t>Bezerra</w:t>
      </w:r>
      <w:proofErr w:type="spellEnd"/>
      <w:r>
        <w:rPr>
          <w:rFonts w:ascii="Arial" w:hAnsi="Arial" w:cs="Arial"/>
        </w:rPr>
        <w:t xml:space="preserve">, A.N. (2019).  Effects of probiotics on the lipid profile: systematic review. Journal of Vascular </w:t>
      </w:r>
      <w:proofErr w:type="spellStart"/>
      <w:r>
        <w:rPr>
          <w:rFonts w:ascii="Arial" w:hAnsi="Arial" w:cs="Arial"/>
        </w:rPr>
        <w:t>Brasil</w:t>
      </w:r>
      <w:proofErr w:type="spellEnd"/>
      <w:r>
        <w:rPr>
          <w:rFonts w:ascii="Arial" w:hAnsi="Arial" w:cs="Arial"/>
        </w:rPr>
        <w:t xml:space="preserve">, </w:t>
      </w:r>
      <w:proofErr w:type="gramStart"/>
      <w:r>
        <w:rPr>
          <w:rFonts w:ascii="Arial" w:hAnsi="Arial" w:cs="Arial"/>
        </w:rPr>
        <w:t>18:e</w:t>
      </w:r>
      <w:proofErr w:type="gramEnd"/>
      <w:r>
        <w:rPr>
          <w:rFonts w:ascii="Arial" w:hAnsi="Arial" w:cs="Arial"/>
        </w:rPr>
        <w:t xml:space="preserve">20180124. </w:t>
      </w:r>
    </w:p>
    <w:p w14:paraId="24320B80" w14:textId="77777777" w:rsidR="00954ED3" w:rsidRDefault="00147C17">
      <w:pPr>
        <w:ind w:left="660" w:hangingChars="300" w:hanging="660"/>
        <w:jc w:val="both"/>
        <w:rPr>
          <w:rFonts w:ascii="Arial" w:hAnsi="Arial" w:cs="Arial"/>
        </w:rPr>
      </w:pPr>
      <w:proofErr w:type="spellStart"/>
      <w:r>
        <w:rPr>
          <w:rFonts w:ascii="Arial" w:hAnsi="Arial" w:cs="Arial"/>
        </w:rPr>
        <w:t>Gasbarrini</w:t>
      </w:r>
      <w:proofErr w:type="spellEnd"/>
      <w:r>
        <w:rPr>
          <w:rFonts w:ascii="Arial" w:hAnsi="Arial" w:cs="Arial"/>
        </w:rPr>
        <w:t xml:space="preserve">, G., </w:t>
      </w:r>
      <w:proofErr w:type="spellStart"/>
      <w:r>
        <w:rPr>
          <w:rFonts w:ascii="Arial" w:hAnsi="Arial" w:cs="Arial"/>
        </w:rPr>
        <w:t>Bonvicini</w:t>
      </w:r>
      <w:proofErr w:type="spellEnd"/>
      <w:r>
        <w:rPr>
          <w:rFonts w:ascii="Arial" w:hAnsi="Arial" w:cs="Arial"/>
        </w:rPr>
        <w:t xml:space="preserve">, F. and </w:t>
      </w:r>
      <w:proofErr w:type="spellStart"/>
      <w:r>
        <w:rPr>
          <w:rFonts w:ascii="Arial" w:hAnsi="Arial" w:cs="Arial"/>
        </w:rPr>
        <w:t>Gramenzi</w:t>
      </w:r>
      <w:proofErr w:type="spellEnd"/>
      <w:r>
        <w:rPr>
          <w:rFonts w:ascii="Arial" w:hAnsi="Arial" w:cs="Arial"/>
        </w:rPr>
        <w:t>, A. (2016). Probiotics history. Journal of Clinical Gastroenterology, 50: 116-119.</w:t>
      </w:r>
    </w:p>
    <w:p w14:paraId="2EEFE5FF" w14:textId="77777777" w:rsidR="00954ED3" w:rsidRDefault="00147C17">
      <w:pPr>
        <w:ind w:left="660" w:hangingChars="300" w:hanging="660"/>
        <w:jc w:val="both"/>
        <w:rPr>
          <w:rFonts w:ascii="Arial" w:hAnsi="Arial" w:cs="Arial"/>
        </w:rPr>
      </w:pPr>
      <w:r>
        <w:rPr>
          <w:rFonts w:ascii="Arial" w:hAnsi="Arial" w:cs="Arial"/>
        </w:rPr>
        <w:t xml:space="preserve">Hill, C., </w:t>
      </w:r>
      <w:proofErr w:type="spellStart"/>
      <w:r>
        <w:rPr>
          <w:rFonts w:ascii="Arial" w:hAnsi="Arial" w:cs="Arial"/>
        </w:rPr>
        <w:t>Guarner</w:t>
      </w:r>
      <w:proofErr w:type="spellEnd"/>
      <w:r>
        <w:rPr>
          <w:rFonts w:ascii="Arial" w:hAnsi="Arial" w:cs="Arial"/>
        </w:rPr>
        <w:t xml:space="preserve">, F., Reid, G., Gibson, G.R., </w:t>
      </w:r>
      <w:proofErr w:type="spellStart"/>
      <w:r>
        <w:rPr>
          <w:rFonts w:ascii="Arial" w:hAnsi="Arial" w:cs="Arial"/>
        </w:rPr>
        <w:t>Merenstein</w:t>
      </w:r>
      <w:proofErr w:type="spellEnd"/>
      <w:r>
        <w:rPr>
          <w:rFonts w:ascii="Arial" w:hAnsi="Arial" w:cs="Arial"/>
        </w:rPr>
        <w:t xml:space="preserve">, D.J., Pot. B., Morelli, L., </w:t>
      </w:r>
      <w:proofErr w:type="spellStart"/>
      <w:r>
        <w:rPr>
          <w:rFonts w:ascii="Arial" w:hAnsi="Arial" w:cs="Arial"/>
        </w:rPr>
        <w:t>Canani</w:t>
      </w:r>
      <w:proofErr w:type="spellEnd"/>
      <w:r>
        <w:rPr>
          <w:rFonts w:ascii="Arial" w:hAnsi="Arial" w:cs="Arial"/>
        </w:rPr>
        <w:t xml:space="preserve">, R.B., Flint, H.J. and </w:t>
      </w:r>
      <w:proofErr w:type="spellStart"/>
      <w:r>
        <w:rPr>
          <w:rFonts w:ascii="Arial" w:hAnsi="Arial" w:cs="Arial"/>
        </w:rPr>
        <w:t>Salminen</w:t>
      </w:r>
      <w:proofErr w:type="spellEnd"/>
      <w:r>
        <w:rPr>
          <w:rFonts w:ascii="Arial" w:hAnsi="Arial" w:cs="Arial"/>
        </w:rPr>
        <w:t>, S. (2014). Expert consensus document: The International Scientific Association for Probiotics and Prebiotics consensus statement on the scope and appropriate use of the term probiotic. Nature Reviews Gastroenterology and Hepatology 11(8), 506. </w:t>
      </w:r>
    </w:p>
    <w:p w14:paraId="44573FD4" w14:textId="77777777" w:rsidR="00954ED3" w:rsidRDefault="00147C17">
      <w:pPr>
        <w:ind w:left="660" w:hangingChars="300" w:hanging="660"/>
        <w:jc w:val="both"/>
        <w:rPr>
          <w:rFonts w:ascii="Arial" w:hAnsi="Arial" w:cs="Arial"/>
        </w:rPr>
      </w:pPr>
      <w:proofErr w:type="spellStart"/>
      <w:r>
        <w:rPr>
          <w:rFonts w:ascii="Arial" w:hAnsi="Arial" w:cs="Arial"/>
        </w:rPr>
        <w:t>Ishimwe</w:t>
      </w:r>
      <w:proofErr w:type="spellEnd"/>
      <w:r>
        <w:rPr>
          <w:rFonts w:ascii="Arial" w:hAnsi="Arial" w:cs="Arial"/>
        </w:rPr>
        <w:t xml:space="preserve">, N., </w:t>
      </w:r>
      <w:proofErr w:type="spellStart"/>
      <w:r>
        <w:rPr>
          <w:rFonts w:ascii="Arial" w:hAnsi="Arial" w:cs="Arial"/>
        </w:rPr>
        <w:t>Daliri</w:t>
      </w:r>
      <w:proofErr w:type="spellEnd"/>
      <w:r>
        <w:rPr>
          <w:rFonts w:ascii="Arial" w:hAnsi="Arial" w:cs="Arial"/>
        </w:rPr>
        <w:t>, E.B., Lee, B.H., Fang, F. and Du, G. (2015). The perspective on cholesterol-lowering mechanisms of probiotics. Molecular Nutrition &amp; Food Research, 59(1):94-105.</w:t>
      </w:r>
    </w:p>
    <w:p w14:paraId="623879D6" w14:textId="77777777" w:rsidR="00954ED3" w:rsidRDefault="00147C17">
      <w:pPr>
        <w:ind w:left="660" w:hangingChars="300" w:hanging="660"/>
        <w:jc w:val="both"/>
        <w:rPr>
          <w:rFonts w:ascii="Arial" w:hAnsi="Arial" w:cs="Arial"/>
        </w:rPr>
      </w:pPr>
      <w:proofErr w:type="spellStart"/>
      <w:r>
        <w:rPr>
          <w:rFonts w:ascii="Arial" w:eastAsia="Consolas" w:hAnsi="Arial" w:cs="Arial"/>
          <w:color w:val="1B1B1B"/>
          <w:shd w:val="clear" w:color="auto" w:fill="FFFFFF"/>
        </w:rPr>
        <w:lastRenderedPageBreak/>
        <w:t>Kechagia</w:t>
      </w:r>
      <w:proofErr w:type="spellEnd"/>
      <w:r>
        <w:rPr>
          <w:rFonts w:ascii="Arial" w:eastAsia="Consolas" w:hAnsi="Arial" w:cs="Arial"/>
          <w:color w:val="1B1B1B"/>
          <w:shd w:val="clear" w:color="auto" w:fill="FFFFFF"/>
        </w:rPr>
        <w:t xml:space="preserve"> M, </w:t>
      </w:r>
      <w:proofErr w:type="spellStart"/>
      <w:r>
        <w:rPr>
          <w:rFonts w:ascii="Arial" w:eastAsia="Consolas" w:hAnsi="Arial" w:cs="Arial"/>
          <w:color w:val="1B1B1B"/>
          <w:shd w:val="clear" w:color="auto" w:fill="FFFFFF"/>
        </w:rPr>
        <w:t>Basoulis</w:t>
      </w:r>
      <w:proofErr w:type="spellEnd"/>
      <w:r>
        <w:rPr>
          <w:rFonts w:ascii="Arial" w:eastAsia="Consolas" w:hAnsi="Arial" w:cs="Arial"/>
          <w:color w:val="1B1B1B"/>
          <w:shd w:val="clear" w:color="auto" w:fill="FFFFFF"/>
        </w:rPr>
        <w:t xml:space="preserve"> D, </w:t>
      </w:r>
      <w:proofErr w:type="spellStart"/>
      <w:r>
        <w:rPr>
          <w:rFonts w:ascii="Arial" w:eastAsia="Consolas" w:hAnsi="Arial" w:cs="Arial"/>
          <w:color w:val="1B1B1B"/>
          <w:shd w:val="clear" w:color="auto" w:fill="FFFFFF"/>
        </w:rPr>
        <w:t>Konstantopoulou</w:t>
      </w:r>
      <w:proofErr w:type="spellEnd"/>
      <w:r>
        <w:rPr>
          <w:rFonts w:ascii="Arial" w:eastAsia="Consolas" w:hAnsi="Arial" w:cs="Arial"/>
          <w:color w:val="1B1B1B"/>
          <w:shd w:val="clear" w:color="auto" w:fill="FFFFFF"/>
        </w:rPr>
        <w:t xml:space="preserve"> S, </w:t>
      </w:r>
      <w:proofErr w:type="spellStart"/>
      <w:r>
        <w:rPr>
          <w:rFonts w:ascii="Arial" w:eastAsia="Consolas" w:hAnsi="Arial" w:cs="Arial"/>
          <w:color w:val="1B1B1B"/>
          <w:shd w:val="clear" w:color="auto" w:fill="FFFFFF"/>
        </w:rPr>
        <w:t>Dimitriadi</w:t>
      </w:r>
      <w:proofErr w:type="spellEnd"/>
      <w:r>
        <w:rPr>
          <w:rFonts w:ascii="Arial" w:eastAsia="Consolas" w:hAnsi="Arial" w:cs="Arial"/>
          <w:color w:val="1B1B1B"/>
          <w:shd w:val="clear" w:color="auto" w:fill="FFFFFF"/>
        </w:rPr>
        <w:t xml:space="preserve"> D, </w:t>
      </w:r>
      <w:proofErr w:type="spellStart"/>
      <w:r>
        <w:rPr>
          <w:rFonts w:ascii="Arial" w:eastAsia="Consolas" w:hAnsi="Arial" w:cs="Arial"/>
          <w:color w:val="1B1B1B"/>
          <w:shd w:val="clear" w:color="auto" w:fill="FFFFFF"/>
        </w:rPr>
        <w:t>Gyftopoulou</w:t>
      </w:r>
      <w:proofErr w:type="spellEnd"/>
      <w:r>
        <w:rPr>
          <w:rFonts w:ascii="Arial" w:eastAsia="Consolas" w:hAnsi="Arial" w:cs="Arial"/>
          <w:color w:val="1B1B1B"/>
          <w:shd w:val="clear" w:color="auto" w:fill="FFFFFF"/>
        </w:rPr>
        <w:t xml:space="preserve"> K, </w:t>
      </w:r>
      <w:proofErr w:type="spellStart"/>
      <w:r>
        <w:rPr>
          <w:rFonts w:ascii="Arial" w:eastAsia="Consolas" w:hAnsi="Arial" w:cs="Arial"/>
          <w:color w:val="1B1B1B"/>
          <w:shd w:val="clear" w:color="auto" w:fill="FFFFFF"/>
        </w:rPr>
        <w:t>Skarmoutsou</w:t>
      </w:r>
      <w:proofErr w:type="spellEnd"/>
      <w:r>
        <w:rPr>
          <w:rFonts w:ascii="Arial" w:eastAsia="Consolas" w:hAnsi="Arial" w:cs="Arial"/>
          <w:color w:val="1B1B1B"/>
          <w:shd w:val="clear" w:color="auto" w:fill="FFFFFF"/>
        </w:rPr>
        <w:t xml:space="preserve"> N, </w:t>
      </w:r>
      <w:proofErr w:type="spellStart"/>
      <w:r>
        <w:rPr>
          <w:rFonts w:ascii="Arial" w:eastAsia="Consolas" w:hAnsi="Arial" w:cs="Arial"/>
          <w:color w:val="1B1B1B"/>
          <w:shd w:val="clear" w:color="auto" w:fill="FFFFFF"/>
        </w:rPr>
        <w:t>Fakiri</w:t>
      </w:r>
      <w:proofErr w:type="spellEnd"/>
      <w:r>
        <w:rPr>
          <w:rFonts w:ascii="Arial" w:eastAsia="Consolas" w:hAnsi="Arial" w:cs="Arial"/>
          <w:color w:val="1B1B1B"/>
          <w:shd w:val="clear" w:color="auto" w:fill="FFFFFF"/>
        </w:rPr>
        <w:t xml:space="preserve"> EM.  (2013). Health benefits of probiotics: a review. ISRN Nutrition. </w:t>
      </w:r>
      <w:proofErr w:type="gramStart"/>
      <w:r>
        <w:rPr>
          <w:rFonts w:ascii="Arial" w:eastAsia="Consolas" w:hAnsi="Arial" w:cs="Arial"/>
          <w:color w:val="1B1B1B"/>
          <w:shd w:val="clear" w:color="auto" w:fill="FFFFFF"/>
        </w:rPr>
        <w:t>2;2013:481651</w:t>
      </w:r>
      <w:proofErr w:type="gramEnd"/>
      <w:r>
        <w:rPr>
          <w:rFonts w:ascii="Arial" w:eastAsia="Consolas" w:hAnsi="Arial" w:cs="Arial"/>
          <w:color w:val="1B1B1B"/>
          <w:shd w:val="clear" w:color="auto" w:fill="FFFFFF"/>
        </w:rPr>
        <w:t>.</w:t>
      </w:r>
    </w:p>
    <w:p w14:paraId="2BA6EE12" w14:textId="0D53AE3D" w:rsidR="00954ED3" w:rsidRDefault="00147C17">
      <w:pPr>
        <w:ind w:left="660" w:hangingChars="300" w:hanging="660"/>
        <w:jc w:val="both"/>
        <w:rPr>
          <w:rFonts w:ascii="Arial" w:hAnsi="Arial" w:cs="Arial"/>
        </w:rPr>
      </w:pPr>
      <w:r>
        <w:rPr>
          <w:rFonts w:ascii="Arial" w:hAnsi="Arial" w:cs="Arial"/>
        </w:rPr>
        <w:t xml:space="preserve">Kim, S.J., Park, S.H., Sin, H.S., Jang, S.H., Lee, S.W., Kim, S.Y., Kwon, B, Yu KY, Kim SY, Yang DK. </w:t>
      </w:r>
      <w:r w:rsidR="003B42ED" w:rsidRPr="003B42ED">
        <w:rPr>
          <w:rFonts w:ascii="Arial" w:hAnsi="Arial" w:cs="Arial"/>
          <w:color w:val="EE0000"/>
        </w:rPr>
        <w:t xml:space="preserve">(2017). </w:t>
      </w:r>
      <w:proofErr w:type="spellStart"/>
      <w:r>
        <w:rPr>
          <w:rFonts w:ascii="Arial" w:hAnsi="Arial" w:cs="Arial"/>
        </w:rPr>
        <w:t>Hypocholesterolemic</w:t>
      </w:r>
      <w:proofErr w:type="spellEnd"/>
      <w:r>
        <w:rPr>
          <w:rFonts w:ascii="Arial" w:hAnsi="Arial" w:cs="Arial"/>
        </w:rPr>
        <w:t xml:space="preserve"> Effects of Probiotic Mixture on Diet-Induced Hypercholesterolemic Rats. Nutrients 16</w:t>
      </w:r>
      <w:r w:rsidR="003B42ED" w:rsidRPr="003B42ED">
        <w:rPr>
          <w:rFonts w:ascii="Arial" w:hAnsi="Arial" w:cs="Arial"/>
          <w:color w:val="EE0000"/>
        </w:rPr>
        <w:t>:</w:t>
      </w:r>
      <w:r w:rsidR="003B42ED">
        <w:rPr>
          <w:rFonts w:ascii="Arial" w:hAnsi="Arial" w:cs="Arial"/>
        </w:rPr>
        <w:t xml:space="preserve"> </w:t>
      </w:r>
      <w:r>
        <w:rPr>
          <w:rFonts w:ascii="Arial" w:hAnsi="Arial" w:cs="Arial"/>
        </w:rPr>
        <w:t>9(3):293.</w:t>
      </w:r>
    </w:p>
    <w:p w14:paraId="3E07EE86" w14:textId="77777777" w:rsidR="00954ED3" w:rsidRDefault="00147C17">
      <w:pPr>
        <w:ind w:left="660" w:hangingChars="300" w:hanging="660"/>
        <w:jc w:val="both"/>
        <w:rPr>
          <w:rFonts w:ascii="Arial" w:hAnsi="Arial" w:cs="Arial"/>
        </w:rPr>
      </w:pPr>
      <w:proofErr w:type="spellStart"/>
      <w:r>
        <w:rPr>
          <w:rFonts w:ascii="Arial" w:hAnsi="Arial" w:cs="Arial"/>
        </w:rPr>
        <w:t>Kobyliak</w:t>
      </w:r>
      <w:proofErr w:type="spellEnd"/>
      <w:r>
        <w:rPr>
          <w:rFonts w:ascii="Arial" w:hAnsi="Arial" w:cs="Arial"/>
        </w:rPr>
        <w:t xml:space="preserve">, N., Conte, C. and </w:t>
      </w:r>
      <w:proofErr w:type="spellStart"/>
      <w:r>
        <w:rPr>
          <w:rFonts w:ascii="Arial" w:hAnsi="Arial" w:cs="Arial"/>
        </w:rPr>
        <w:t>Cammarota</w:t>
      </w:r>
      <w:proofErr w:type="spellEnd"/>
      <w:r>
        <w:rPr>
          <w:rFonts w:ascii="Arial" w:hAnsi="Arial" w:cs="Arial"/>
        </w:rPr>
        <w:t xml:space="preserve">, G. (2016). Probiotics in prevention and treatment of obesity: a critical view. Nutrition &amp; Metabolism, 13:14. </w:t>
      </w:r>
    </w:p>
    <w:p w14:paraId="5156572E" w14:textId="77777777" w:rsidR="00954ED3" w:rsidRDefault="00147C17">
      <w:pPr>
        <w:ind w:left="660" w:hangingChars="300" w:hanging="660"/>
        <w:jc w:val="both"/>
        <w:rPr>
          <w:rFonts w:ascii="Arial" w:hAnsi="Arial" w:cs="Arial"/>
        </w:rPr>
      </w:pPr>
      <w:r>
        <w:rPr>
          <w:rFonts w:ascii="Arial" w:hAnsi="Arial" w:cs="Arial"/>
        </w:rPr>
        <w:t xml:space="preserve"> Kumar, M., Nagpal, R., Kumar, R., </w:t>
      </w:r>
      <w:proofErr w:type="spellStart"/>
      <w:r>
        <w:rPr>
          <w:rFonts w:ascii="Arial" w:hAnsi="Arial" w:cs="Arial"/>
        </w:rPr>
        <w:t>Hemalatha</w:t>
      </w:r>
      <w:proofErr w:type="spellEnd"/>
      <w:r>
        <w:rPr>
          <w:rFonts w:ascii="Arial" w:hAnsi="Arial" w:cs="Arial"/>
        </w:rPr>
        <w:t>, R., Verma, V., Kumar, A., and Chakraborty, C. (2017). Cholesterol-lowering probiotics as potential biotherapeutics for metabolic diseases. Experimental Biology and Medicine, 242(10), 1024-1031.</w:t>
      </w:r>
    </w:p>
    <w:p w14:paraId="785B6B01" w14:textId="77777777" w:rsidR="00954ED3" w:rsidRDefault="00147C17">
      <w:pPr>
        <w:ind w:left="660" w:hangingChars="300" w:hanging="660"/>
        <w:jc w:val="both"/>
        <w:rPr>
          <w:rFonts w:ascii="Arial" w:hAnsi="Arial" w:cs="Arial"/>
        </w:rPr>
      </w:pPr>
      <w:r>
        <w:rPr>
          <w:rFonts w:ascii="Arial" w:eastAsia="Consolas" w:hAnsi="Arial" w:cs="Arial"/>
          <w:color w:val="1B1B1B"/>
          <w:shd w:val="clear" w:color="auto" w:fill="FFFFFF"/>
        </w:rPr>
        <w:t xml:space="preserve">Latif A, Shehzad A, </w:t>
      </w:r>
      <w:proofErr w:type="spellStart"/>
      <w:r>
        <w:rPr>
          <w:rFonts w:ascii="Arial" w:eastAsia="Consolas" w:hAnsi="Arial" w:cs="Arial"/>
          <w:color w:val="1B1B1B"/>
          <w:shd w:val="clear" w:color="auto" w:fill="FFFFFF"/>
        </w:rPr>
        <w:t>Niazi</w:t>
      </w:r>
      <w:proofErr w:type="spellEnd"/>
      <w:r>
        <w:rPr>
          <w:rFonts w:ascii="Arial" w:eastAsia="Consolas" w:hAnsi="Arial" w:cs="Arial"/>
          <w:color w:val="1B1B1B"/>
          <w:shd w:val="clear" w:color="auto" w:fill="FFFFFF"/>
        </w:rPr>
        <w:t xml:space="preserve"> S, Zahid A, Ashraf W, Iqbal MW, Rehman A, Riaz T, </w:t>
      </w:r>
      <w:proofErr w:type="spellStart"/>
      <w:r>
        <w:rPr>
          <w:rFonts w:ascii="Arial" w:eastAsia="Consolas" w:hAnsi="Arial" w:cs="Arial"/>
          <w:color w:val="1B1B1B"/>
          <w:shd w:val="clear" w:color="auto" w:fill="FFFFFF"/>
        </w:rPr>
        <w:t>Aadil</w:t>
      </w:r>
      <w:proofErr w:type="spellEnd"/>
      <w:r>
        <w:rPr>
          <w:rFonts w:ascii="Arial" w:eastAsia="Consolas" w:hAnsi="Arial" w:cs="Arial"/>
          <w:color w:val="1B1B1B"/>
          <w:shd w:val="clear" w:color="auto" w:fill="FFFFFF"/>
        </w:rPr>
        <w:t xml:space="preserve"> RM, Khan IM, </w:t>
      </w:r>
      <w:proofErr w:type="spellStart"/>
      <w:r>
        <w:rPr>
          <w:rFonts w:ascii="Arial" w:eastAsia="Consolas" w:hAnsi="Arial" w:cs="Arial"/>
          <w:color w:val="1B1B1B"/>
          <w:shd w:val="clear" w:color="auto" w:fill="FFFFFF"/>
        </w:rPr>
        <w:t>Özogul</w:t>
      </w:r>
      <w:proofErr w:type="spellEnd"/>
      <w:r>
        <w:rPr>
          <w:rFonts w:ascii="Arial" w:eastAsia="Consolas" w:hAnsi="Arial" w:cs="Arial"/>
          <w:color w:val="1B1B1B"/>
          <w:shd w:val="clear" w:color="auto" w:fill="FFFFFF"/>
        </w:rPr>
        <w:t xml:space="preserve"> F, Rocha JM, </w:t>
      </w:r>
      <w:proofErr w:type="spellStart"/>
      <w:r>
        <w:rPr>
          <w:rFonts w:ascii="Arial" w:eastAsia="Consolas" w:hAnsi="Arial" w:cs="Arial"/>
          <w:color w:val="1B1B1B"/>
          <w:shd w:val="clear" w:color="auto" w:fill="FFFFFF"/>
        </w:rPr>
        <w:t>Esatbeyoglu</w:t>
      </w:r>
      <w:proofErr w:type="spellEnd"/>
      <w:r>
        <w:rPr>
          <w:rFonts w:ascii="Arial" w:eastAsia="Consolas" w:hAnsi="Arial" w:cs="Arial"/>
          <w:color w:val="1B1B1B"/>
          <w:shd w:val="clear" w:color="auto" w:fill="FFFFFF"/>
        </w:rPr>
        <w:t xml:space="preserve"> T, Korma SA. (2023). Probiotics: mechanism of action, health benefits and their application in food industries. </w:t>
      </w:r>
      <w:r>
        <w:rPr>
          <w:rFonts w:ascii="Arial" w:eastAsia="Consolas" w:hAnsi="Arial" w:cs="Arial"/>
          <w:i/>
          <w:iCs/>
          <w:color w:val="1B1B1B"/>
          <w:shd w:val="clear" w:color="auto" w:fill="FFFFFF"/>
        </w:rPr>
        <w:t>Front Microbiology</w:t>
      </w:r>
      <w:r>
        <w:rPr>
          <w:rFonts w:ascii="Arial" w:eastAsia="Consolas" w:hAnsi="Arial" w:cs="Arial"/>
          <w:color w:val="1B1B1B"/>
          <w:shd w:val="clear" w:color="auto" w:fill="FFFFFF"/>
        </w:rPr>
        <w:t xml:space="preserve">. </w:t>
      </w:r>
      <w:proofErr w:type="gramStart"/>
      <w:r>
        <w:rPr>
          <w:rFonts w:ascii="Arial" w:eastAsia="Consolas" w:hAnsi="Arial" w:cs="Arial"/>
          <w:color w:val="1B1B1B"/>
          <w:shd w:val="clear" w:color="auto" w:fill="FFFFFF"/>
        </w:rPr>
        <w:t>17;14:1216674</w:t>
      </w:r>
      <w:proofErr w:type="gramEnd"/>
      <w:r>
        <w:rPr>
          <w:rFonts w:ascii="Arial" w:eastAsia="Consolas" w:hAnsi="Arial" w:cs="Arial"/>
          <w:color w:val="1B1B1B"/>
          <w:shd w:val="clear" w:color="auto" w:fill="FFFFFF"/>
        </w:rPr>
        <w:t>.</w:t>
      </w:r>
    </w:p>
    <w:p w14:paraId="662509C2" w14:textId="77777777" w:rsidR="00954ED3" w:rsidRDefault="00147C17">
      <w:pPr>
        <w:ind w:left="660" w:hangingChars="300" w:hanging="660"/>
        <w:jc w:val="both"/>
        <w:rPr>
          <w:rFonts w:ascii="Arial" w:hAnsi="Arial" w:cs="Arial"/>
        </w:rPr>
      </w:pPr>
      <w:proofErr w:type="spellStart"/>
      <w:r>
        <w:rPr>
          <w:rFonts w:ascii="Arial" w:hAnsi="Arial" w:cs="Arial"/>
        </w:rPr>
        <w:t>Markowiak</w:t>
      </w:r>
      <w:proofErr w:type="spellEnd"/>
      <w:r>
        <w:rPr>
          <w:rFonts w:ascii="Arial" w:hAnsi="Arial" w:cs="Arial"/>
        </w:rPr>
        <w:t xml:space="preserve">, P, and </w:t>
      </w:r>
      <w:proofErr w:type="spellStart"/>
      <w:r>
        <w:rPr>
          <w:rFonts w:ascii="Arial" w:hAnsi="Arial" w:cs="Arial"/>
        </w:rPr>
        <w:t>Śliżewska</w:t>
      </w:r>
      <w:proofErr w:type="spellEnd"/>
      <w:r>
        <w:rPr>
          <w:rFonts w:ascii="Arial" w:hAnsi="Arial" w:cs="Arial"/>
        </w:rPr>
        <w:t xml:space="preserve">, K. (2017). Effects of Probiotics, Prebiotics, and </w:t>
      </w:r>
      <w:proofErr w:type="spellStart"/>
      <w:r>
        <w:rPr>
          <w:rFonts w:ascii="Arial" w:hAnsi="Arial" w:cs="Arial"/>
        </w:rPr>
        <w:t>Synbiotics</w:t>
      </w:r>
      <w:proofErr w:type="spellEnd"/>
      <w:r>
        <w:rPr>
          <w:rFonts w:ascii="Arial" w:hAnsi="Arial" w:cs="Arial"/>
        </w:rPr>
        <w:t xml:space="preserve"> on Human Health. Nutrients. 9(9):1021. </w:t>
      </w:r>
    </w:p>
    <w:p w14:paraId="35F4562E" w14:textId="7A7806AE" w:rsidR="00954ED3" w:rsidRDefault="00147C17">
      <w:pPr>
        <w:ind w:left="660" w:hangingChars="300" w:hanging="660"/>
        <w:jc w:val="both"/>
        <w:rPr>
          <w:rFonts w:ascii="Arial" w:hAnsi="Arial" w:cs="Arial"/>
        </w:rPr>
      </w:pPr>
      <w:proofErr w:type="spellStart"/>
      <w:r>
        <w:rPr>
          <w:rFonts w:ascii="Arial" w:hAnsi="Arial" w:cs="Arial"/>
        </w:rPr>
        <w:t>Ooi</w:t>
      </w:r>
      <w:proofErr w:type="spellEnd"/>
      <w:r>
        <w:rPr>
          <w:rFonts w:ascii="Arial" w:hAnsi="Arial" w:cs="Arial"/>
        </w:rPr>
        <w:t xml:space="preserve">, L.G. and </w:t>
      </w:r>
      <w:proofErr w:type="spellStart"/>
      <w:r>
        <w:rPr>
          <w:rFonts w:ascii="Arial" w:hAnsi="Arial" w:cs="Arial"/>
        </w:rPr>
        <w:t>Liong</w:t>
      </w:r>
      <w:proofErr w:type="spellEnd"/>
      <w:r>
        <w:rPr>
          <w:rFonts w:ascii="Arial" w:hAnsi="Arial" w:cs="Arial"/>
        </w:rPr>
        <w:t xml:space="preserve">, MT. (2010). Cholesterol-lowering effects of probiotics and prebiotics: a review of in vivo and in vitro findings. International Journal of Molecular Sciences  </w:t>
      </w:r>
      <w:r w:rsidR="003B42ED">
        <w:rPr>
          <w:rFonts w:ascii="Arial" w:hAnsi="Arial" w:cs="Arial"/>
        </w:rPr>
        <w:t xml:space="preserve"> </w:t>
      </w:r>
      <w:r>
        <w:rPr>
          <w:rFonts w:ascii="Arial" w:hAnsi="Arial" w:cs="Arial"/>
        </w:rPr>
        <w:t>116: (2) 4992522.</w:t>
      </w:r>
    </w:p>
    <w:p w14:paraId="799B0277" w14:textId="04B426B5" w:rsidR="00954ED3" w:rsidRDefault="00147C17">
      <w:pPr>
        <w:ind w:left="660" w:hangingChars="300" w:hanging="660"/>
        <w:jc w:val="both"/>
        <w:rPr>
          <w:rFonts w:ascii="Arial" w:hAnsi="Arial" w:cs="Arial"/>
        </w:rPr>
      </w:pPr>
      <w:proofErr w:type="spellStart"/>
      <w:r>
        <w:rPr>
          <w:rFonts w:ascii="Arial" w:hAnsi="Arial" w:cs="Arial"/>
        </w:rPr>
        <w:t>Ooi</w:t>
      </w:r>
      <w:proofErr w:type="spellEnd"/>
      <w:r>
        <w:rPr>
          <w:rFonts w:ascii="Arial" w:hAnsi="Arial" w:cs="Arial"/>
        </w:rPr>
        <w:t xml:space="preserve">, L.G., </w:t>
      </w:r>
      <w:proofErr w:type="spellStart"/>
      <w:r>
        <w:rPr>
          <w:rFonts w:ascii="Arial" w:hAnsi="Arial" w:cs="Arial"/>
        </w:rPr>
        <w:t>Liong</w:t>
      </w:r>
      <w:proofErr w:type="spellEnd"/>
      <w:r>
        <w:rPr>
          <w:rFonts w:ascii="Arial" w:hAnsi="Arial" w:cs="Arial"/>
        </w:rPr>
        <w:t xml:space="preserve">, M.T., and Shah, N.P. (2010). Probiotic bacteria and their effects on cardiovascular risk factors. Journal of Clinical </w:t>
      </w:r>
      <w:proofErr w:type="gramStart"/>
      <w:r>
        <w:rPr>
          <w:rFonts w:ascii="Arial" w:hAnsi="Arial" w:cs="Arial"/>
        </w:rPr>
        <w:t>Gastroenterology</w:t>
      </w:r>
      <w:r w:rsidR="003B42ED">
        <w:rPr>
          <w:rFonts w:ascii="Arial" w:hAnsi="Arial" w:cs="Arial"/>
        </w:rPr>
        <w:t xml:space="preserve"> </w:t>
      </w:r>
      <w:r>
        <w:rPr>
          <w:rFonts w:ascii="Arial" w:hAnsi="Arial" w:cs="Arial"/>
        </w:rPr>
        <w:t xml:space="preserve"> 44</w:t>
      </w:r>
      <w:proofErr w:type="gramEnd"/>
      <w:r>
        <w:rPr>
          <w:rFonts w:ascii="Arial" w:hAnsi="Arial" w:cs="Arial"/>
        </w:rPr>
        <w:t>(6), 538-545.</w:t>
      </w:r>
    </w:p>
    <w:p w14:paraId="4ABA94AD" w14:textId="11D5098E" w:rsidR="00954ED3" w:rsidRDefault="00147C17">
      <w:pPr>
        <w:ind w:left="660" w:hangingChars="300" w:hanging="660"/>
        <w:jc w:val="both"/>
        <w:rPr>
          <w:rFonts w:ascii="Arial" w:hAnsi="Arial" w:cs="Arial"/>
        </w:rPr>
      </w:pPr>
      <w:proofErr w:type="spellStart"/>
      <w:r>
        <w:rPr>
          <w:rFonts w:ascii="Arial" w:hAnsi="Arial" w:cs="Arial"/>
        </w:rPr>
        <w:t>Osilo</w:t>
      </w:r>
      <w:proofErr w:type="spellEnd"/>
      <w:r>
        <w:rPr>
          <w:rFonts w:ascii="Arial" w:hAnsi="Arial" w:cs="Arial"/>
        </w:rPr>
        <w:t xml:space="preserve"> C, </w:t>
      </w:r>
      <w:proofErr w:type="spellStart"/>
      <w:r>
        <w:rPr>
          <w:rFonts w:ascii="Arial" w:hAnsi="Arial" w:cs="Arial"/>
        </w:rPr>
        <w:t>Ohuche</w:t>
      </w:r>
      <w:proofErr w:type="spellEnd"/>
      <w:r>
        <w:rPr>
          <w:rFonts w:ascii="Arial" w:hAnsi="Arial" w:cs="Arial"/>
        </w:rPr>
        <w:t xml:space="preserve"> JC, </w:t>
      </w:r>
      <w:proofErr w:type="spellStart"/>
      <w:r>
        <w:rPr>
          <w:rFonts w:ascii="Arial" w:hAnsi="Arial" w:cs="Arial"/>
        </w:rPr>
        <w:t>Ajogwu</w:t>
      </w:r>
      <w:proofErr w:type="spellEnd"/>
      <w:r>
        <w:rPr>
          <w:rFonts w:ascii="Arial" w:hAnsi="Arial" w:cs="Arial"/>
        </w:rPr>
        <w:t xml:space="preserve"> TMC, </w:t>
      </w:r>
      <w:proofErr w:type="spellStart"/>
      <w:r>
        <w:rPr>
          <w:rFonts w:ascii="Arial" w:hAnsi="Arial" w:cs="Arial"/>
        </w:rPr>
        <w:t>Ozoh</w:t>
      </w:r>
      <w:proofErr w:type="spellEnd"/>
      <w:r>
        <w:rPr>
          <w:rFonts w:ascii="Arial" w:hAnsi="Arial" w:cs="Arial"/>
        </w:rPr>
        <w:t xml:space="preserve"> CN, </w:t>
      </w:r>
      <w:proofErr w:type="spellStart"/>
      <w:r>
        <w:rPr>
          <w:rFonts w:ascii="Arial" w:hAnsi="Arial" w:cs="Arial"/>
        </w:rPr>
        <w:t>Ezenwa</w:t>
      </w:r>
      <w:proofErr w:type="spellEnd"/>
      <w:r>
        <w:rPr>
          <w:rFonts w:ascii="Arial" w:hAnsi="Arial" w:cs="Arial"/>
        </w:rPr>
        <w:t xml:space="preserve"> SE, Okeke CV. </w:t>
      </w:r>
      <w:r w:rsidR="003B42ED" w:rsidRPr="003B42ED">
        <w:rPr>
          <w:rFonts w:ascii="Arial" w:hAnsi="Arial" w:cs="Arial"/>
          <w:color w:val="EE0000"/>
        </w:rPr>
        <w:t>(2024).</w:t>
      </w:r>
      <w:r w:rsidR="00C7716B">
        <w:rPr>
          <w:rFonts w:ascii="Arial" w:hAnsi="Arial" w:cs="Arial"/>
          <w:color w:val="EE0000"/>
        </w:rPr>
        <w:t xml:space="preserve"> </w:t>
      </w:r>
      <w:r>
        <w:rPr>
          <w:rFonts w:ascii="Arial" w:hAnsi="Arial" w:cs="Arial"/>
        </w:rPr>
        <w:t xml:space="preserve">Shelf life determination of two palm wine varieties and its effect on biochemical properties and enzyme production. </w:t>
      </w:r>
      <w:r w:rsidR="00C7716B" w:rsidRPr="00C7716B">
        <w:rPr>
          <w:rFonts w:ascii="Arial" w:hAnsi="Arial" w:cs="Arial"/>
        </w:rPr>
        <w:t>GSC Advanced Research and Reviews</w:t>
      </w:r>
      <w:r w:rsidR="00C7716B">
        <w:rPr>
          <w:rFonts w:ascii="Arial" w:hAnsi="Arial" w:cs="Arial"/>
          <w:highlight w:val="yellow"/>
        </w:rPr>
        <w:t>;</w:t>
      </w:r>
      <w:r w:rsidRPr="003B42ED">
        <w:rPr>
          <w:rFonts w:ascii="Arial" w:hAnsi="Arial" w:cs="Arial"/>
          <w:highlight w:val="yellow"/>
        </w:rPr>
        <w:t>19(03):</w:t>
      </w:r>
      <w:r w:rsidR="003B42ED" w:rsidRPr="003B42ED">
        <w:rPr>
          <w:rFonts w:ascii="Arial" w:hAnsi="Arial" w:cs="Arial"/>
          <w:highlight w:val="yellow"/>
        </w:rPr>
        <w:t xml:space="preserve"> </w:t>
      </w:r>
      <w:r w:rsidRPr="003B42ED">
        <w:rPr>
          <w:rFonts w:ascii="Arial" w:hAnsi="Arial" w:cs="Arial"/>
          <w:highlight w:val="yellow"/>
        </w:rPr>
        <w:t>–310.</w:t>
      </w:r>
      <w:r w:rsidR="00C7716B" w:rsidRPr="00C7716B">
        <w:t xml:space="preserve"> </w:t>
      </w:r>
      <w:r w:rsidR="00C7716B" w:rsidRPr="00C7716B">
        <w:rPr>
          <w:rFonts w:ascii="Arial" w:hAnsi="Arial" w:cs="Arial"/>
        </w:rPr>
        <w:t>DOI:10.30574/gscarr.2024.19.3.0228</w:t>
      </w:r>
      <w:r w:rsidR="00C7716B">
        <w:rPr>
          <w:rFonts w:ascii="Arial" w:hAnsi="Arial" w:cs="Arial"/>
        </w:rPr>
        <w:t xml:space="preserve"> </w:t>
      </w:r>
    </w:p>
    <w:p w14:paraId="72E69E04" w14:textId="4CF66A53" w:rsidR="00954ED3" w:rsidRPr="003B42ED" w:rsidRDefault="00147C17">
      <w:pPr>
        <w:ind w:left="660" w:hangingChars="300" w:hanging="660"/>
        <w:jc w:val="both"/>
        <w:rPr>
          <w:rFonts w:ascii="Arial" w:hAnsi="Arial" w:cs="Arial"/>
          <w:color w:val="EE0000"/>
          <w:lang w:eastAsia="zh-CN"/>
        </w:rPr>
      </w:pPr>
      <w:proofErr w:type="spellStart"/>
      <w:r>
        <w:rPr>
          <w:rFonts w:ascii="Arial" w:hAnsi="Arial" w:cs="Arial"/>
          <w:lang w:eastAsia="zh-CN"/>
        </w:rPr>
        <w:t>Ozoh</w:t>
      </w:r>
      <w:proofErr w:type="spellEnd"/>
      <w:r>
        <w:rPr>
          <w:rFonts w:ascii="Arial" w:hAnsi="Arial" w:cs="Arial"/>
          <w:lang w:eastAsia="zh-CN"/>
        </w:rPr>
        <w:t xml:space="preserve"> C.N. and </w:t>
      </w:r>
      <w:proofErr w:type="spellStart"/>
      <w:r>
        <w:rPr>
          <w:rFonts w:ascii="Arial" w:hAnsi="Arial" w:cs="Arial"/>
          <w:lang w:eastAsia="zh-CN"/>
        </w:rPr>
        <w:t>Umeaku</w:t>
      </w:r>
      <w:proofErr w:type="spellEnd"/>
      <w:r>
        <w:rPr>
          <w:rFonts w:ascii="Arial" w:hAnsi="Arial" w:cs="Arial"/>
          <w:lang w:eastAsia="zh-CN"/>
        </w:rPr>
        <w:t xml:space="preserve"> C.N. (2020, April), "Public Health Implication </w:t>
      </w:r>
      <w:proofErr w:type="gramStart"/>
      <w:r>
        <w:rPr>
          <w:rFonts w:ascii="Arial" w:hAnsi="Arial" w:cs="Arial"/>
          <w:lang w:eastAsia="zh-CN"/>
        </w:rPr>
        <w:t>Of</w:t>
      </w:r>
      <w:proofErr w:type="gramEnd"/>
      <w:r>
        <w:rPr>
          <w:rFonts w:ascii="Arial" w:hAnsi="Arial" w:cs="Arial"/>
          <w:lang w:eastAsia="zh-CN"/>
        </w:rPr>
        <w:t xml:space="preserve"> Ready-To Drink Soymilk And Soymilk Yogurt Sold In Onitsha Urban Anambra State, Nigeria", Journal of Multidisciplinary Engineering Science and Technology (JMEST)</w:t>
      </w:r>
      <w:r w:rsidR="003B42ED">
        <w:rPr>
          <w:rFonts w:ascii="Arial" w:hAnsi="Arial" w:cs="Arial"/>
          <w:lang w:eastAsia="zh-CN"/>
        </w:rPr>
        <w:t xml:space="preserve"> </w:t>
      </w:r>
      <w:r w:rsidRPr="003B42ED">
        <w:rPr>
          <w:rFonts w:ascii="Arial" w:hAnsi="Arial" w:cs="Arial"/>
          <w:color w:val="EE0000"/>
          <w:lang w:eastAsia="zh-CN"/>
        </w:rPr>
        <w:t>3</w:t>
      </w:r>
      <w:r w:rsidR="003B42ED" w:rsidRPr="003B42ED">
        <w:rPr>
          <w:rFonts w:ascii="Arial" w:hAnsi="Arial" w:cs="Arial"/>
          <w:color w:val="EE0000"/>
          <w:lang w:eastAsia="zh-CN"/>
        </w:rPr>
        <w:t>(</w:t>
      </w:r>
      <w:r w:rsidRPr="003B42ED">
        <w:rPr>
          <w:rFonts w:ascii="Arial" w:hAnsi="Arial" w:cs="Arial"/>
          <w:color w:val="EE0000"/>
          <w:lang w:eastAsia="zh-CN"/>
        </w:rPr>
        <w:t>8)</w:t>
      </w:r>
      <w:r w:rsidR="00C7716B">
        <w:rPr>
          <w:rFonts w:ascii="Arial" w:hAnsi="Arial" w:cs="Arial"/>
          <w:color w:val="EE0000"/>
          <w:lang w:eastAsia="zh-CN"/>
        </w:rPr>
        <w:t xml:space="preserve">, </w:t>
      </w:r>
      <w:r w:rsidRPr="003B42ED">
        <w:rPr>
          <w:rFonts w:ascii="Arial" w:hAnsi="Arial" w:cs="Arial"/>
          <w:color w:val="EE0000"/>
          <w:lang w:eastAsia="zh-CN"/>
        </w:rPr>
        <w:t>5386-5393.</w:t>
      </w:r>
    </w:p>
    <w:p w14:paraId="1448F23F" w14:textId="77777777" w:rsidR="00954ED3" w:rsidRDefault="00147C17">
      <w:pPr>
        <w:ind w:left="660" w:hangingChars="300" w:hanging="660"/>
        <w:jc w:val="both"/>
        <w:rPr>
          <w:rFonts w:ascii="Arial" w:hAnsi="Arial" w:cs="Arial"/>
        </w:rPr>
      </w:pPr>
      <w:r>
        <w:rPr>
          <w:rFonts w:ascii="Arial" w:hAnsi="Arial" w:cs="Arial"/>
        </w:rPr>
        <w:t xml:space="preserve">Pan, Y., Yang, Y. and Wu, J. (2024) Efficacy of probiotics, prebiotics, and </w:t>
      </w:r>
      <w:proofErr w:type="spellStart"/>
      <w:r>
        <w:rPr>
          <w:rFonts w:ascii="Arial" w:hAnsi="Arial" w:cs="Arial"/>
        </w:rPr>
        <w:t>synbiotics</w:t>
      </w:r>
      <w:proofErr w:type="spellEnd"/>
      <w:r>
        <w:rPr>
          <w:rFonts w:ascii="Arial" w:hAnsi="Arial" w:cs="Arial"/>
        </w:rPr>
        <w:t xml:space="preserve"> on liver enzymes, lipid profiles, and inflammation in patients with non-alcoholic fatty liver disease: a systematic review and meta-analysis of randomized controlled trials. BMC Gastroenterology, 24:283. </w:t>
      </w:r>
    </w:p>
    <w:p w14:paraId="4D8218DA" w14:textId="77777777" w:rsidR="00954ED3" w:rsidRDefault="00147C17">
      <w:pPr>
        <w:ind w:left="660" w:hangingChars="300" w:hanging="660"/>
        <w:jc w:val="both"/>
        <w:rPr>
          <w:rFonts w:ascii="Arial" w:hAnsi="Arial" w:cs="Arial"/>
        </w:rPr>
      </w:pPr>
      <w:proofErr w:type="spellStart"/>
      <w:r>
        <w:rPr>
          <w:rFonts w:ascii="Arial" w:hAnsi="Arial" w:cs="Arial"/>
        </w:rPr>
        <w:t>Petrova</w:t>
      </w:r>
      <w:proofErr w:type="spellEnd"/>
      <w:r>
        <w:rPr>
          <w:rFonts w:ascii="Arial" w:hAnsi="Arial" w:cs="Arial"/>
        </w:rPr>
        <w:t xml:space="preserve"> MI, </w:t>
      </w:r>
      <w:proofErr w:type="spellStart"/>
      <w:r>
        <w:rPr>
          <w:rFonts w:ascii="Arial" w:hAnsi="Arial" w:cs="Arial"/>
        </w:rPr>
        <w:t>Imholz</w:t>
      </w:r>
      <w:proofErr w:type="spellEnd"/>
      <w:r>
        <w:rPr>
          <w:rFonts w:ascii="Arial" w:hAnsi="Arial" w:cs="Arial"/>
        </w:rPr>
        <w:t xml:space="preserve"> NC, Verhoeven TL, </w:t>
      </w:r>
      <w:proofErr w:type="spellStart"/>
      <w:r>
        <w:rPr>
          <w:rFonts w:ascii="Arial" w:hAnsi="Arial" w:cs="Arial"/>
        </w:rPr>
        <w:t>Balzarini</w:t>
      </w:r>
      <w:proofErr w:type="spellEnd"/>
      <w:r>
        <w:rPr>
          <w:rFonts w:ascii="Arial" w:hAnsi="Arial" w:cs="Arial"/>
        </w:rPr>
        <w:t xml:space="preserve"> J, Van Damme EJ, </w:t>
      </w:r>
      <w:proofErr w:type="spellStart"/>
      <w:r>
        <w:rPr>
          <w:rFonts w:ascii="Arial" w:hAnsi="Arial" w:cs="Arial"/>
        </w:rPr>
        <w:t>Schols</w:t>
      </w:r>
      <w:proofErr w:type="spellEnd"/>
      <w:r>
        <w:rPr>
          <w:rFonts w:ascii="Arial" w:hAnsi="Arial" w:cs="Arial"/>
        </w:rPr>
        <w:t xml:space="preserve"> D, </w:t>
      </w:r>
      <w:proofErr w:type="spellStart"/>
      <w:r>
        <w:rPr>
          <w:rFonts w:ascii="Arial" w:hAnsi="Arial" w:cs="Arial"/>
        </w:rPr>
        <w:t>Vanderleyden</w:t>
      </w:r>
      <w:proofErr w:type="spellEnd"/>
      <w:r>
        <w:rPr>
          <w:rFonts w:ascii="Arial" w:hAnsi="Arial" w:cs="Arial"/>
        </w:rPr>
        <w:t xml:space="preserve"> J and </w:t>
      </w:r>
      <w:proofErr w:type="spellStart"/>
      <w:r>
        <w:rPr>
          <w:rFonts w:ascii="Arial" w:hAnsi="Arial" w:cs="Arial"/>
        </w:rPr>
        <w:t>Lebeer</w:t>
      </w:r>
      <w:proofErr w:type="spellEnd"/>
      <w:r>
        <w:rPr>
          <w:rFonts w:ascii="Arial" w:hAnsi="Arial" w:cs="Arial"/>
        </w:rPr>
        <w:t xml:space="preserve"> S (2016). Lectin-like molecules of Lactobacillus </w:t>
      </w:r>
      <w:proofErr w:type="spellStart"/>
      <w:r>
        <w:rPr>
          <w:rFonts w:ascii="Arial" w:hAnsi="Arial" w:cs="Arial"/>
        </w:rPr>
        <w:t>rhamnosus</w:t>
      </w:r>
      <w:proofErr w:type="spellEnd"/>
      <w:r>
        <w:rPr>
          <w:rFonts w:ascii="Arial" w:hAnsi="Arial" w:cs="Arial"/>
        </w:rPr>
        <w:t xml:space="preserve"> GG inhibit pathogenic Escherichia coli and Salmonella biofilm formation. </w:t>
      </w:r>
      <w:proofErr w:type="spellStart"/>
      <w:r>
        <w:rPr>
          <w:rFonts w:ascii="Arial" w:hAnsi="Arial" w:cs="Arial"/>
        </w:rPr>
        <w:t>PLoS</w:t>
      </w:r>
      <w:proofErr w:type="spellEnd"/>
      <w:r>
        <w:rPr>
          <w:rFonts w:ascii="Arial" w:hAnsi="Arial" w:cs="Arial"/>
        </w:rPr>
        <w:t xml:space="preserve"> One 11(8), e0161337. </w:t>
      </w:r>
    </w:p>
    <w:p w14:paraId="1300455B" w14:textId="77777777" w:rsidR="00954ED3" w:rsidRDefault="00147C17">
      <w:pPr>
        <w:ind w:left="660" w:hangingChars="300" w:hanging="660"/>
        <w:jc w:val="both"/>
        <w:rPr>
          <w:rFonts w:ascii="Arial" w:hAnsi="Arial" w:cs="Arial"/>
        </w:rPr>
      </w:pPr>
      <w:proofErr w:type="spellStart"/>
      <w:r>
        <w:rPr>
          <w:rFonts w:ascii="Arial" w:hAnsi="Arial" w:cs="Arial"/>
        </w:rPr>
        <w:lastRenderedPageBreak/>
        <w:t>Ridaura</w:t>
      </w:r>
      <w:proofErr w:type="spellEnd"/>
      <w:r>
        <w:rPr>
          <w:rFonts w:ascii="Arial" w:hAnsi="Arial" w:cs="Arial"/>
        </w:rPr>
        <w:t xml:space="preserve"> VK, Faith JJ, Rey FE, Cheng J, Duncan AE, Kau AL, Griffin NW, Lombard V, </w:t>
      </w:r>
      <w:proofErr w:type="spellStart"/>
      <w:r>
        <w:rPr>
          <w:rFonts w:ascii="Arial" w:hAnsi="Arial" w:cs="Arial"/>
        </w:rPr>
        <w:t>Henrissat</w:t>
      </w:r>
      <w:proofErr w:type="spellEnd"/>
      <w:r>
        <w:rPr>
          <w:rFonts w:ascii="Arial" w:hAnsi="Arial" w:cs="Arial"/>
        </w:rPr>
        <w:t xml:space="preserve"> B, Bain JR, </w:t>
      </w:r>
      <w:proofErr w:type="spellStart"/>
      <w:r>
        <w:rPr>
          <w:rFonts w:ascii="Arial" w:hAnsi="Arial" w:cs="Arial"/>
        </w:rPr>
        <w:t>Muehlbauer</w:t>
      </w:r>
      <w:proofErr w:type="spellEnd"/>
      <w:r>
        <w:rPr>
          <w:rFonts w:ascii="Arial" w:hAnsi="Arial" w:cs="Arial"/>
        </w:rPr>
        <w:t xml:space="preserve"> MJ, </w:t>
      </w:r>
      <w:proofErr w:type="spellStart"/>
      <w:r>
        <w:rPr>
          <w:rFonts w:ascii="Arial" w:hAnsi="Arial" w:cs="Arial"/>
        </w:rPr>
        <w:t>Ilkayeva</w:t>
      </w:r>
      <w:proofErr w:type="spellEnd"/>
      <w:r>
        <w:rPr>
          <w:rFonts w:ascii="Arial" w:hAnsi="Arial" w:cs="Arial"/>
        </w:rPr>
        <w:t xml:space="preserve"> O, </w:t>
      </w:r>
      <w:proofErr w:type="spellStart"/>
      <w:r>
        <w:rPr>
          <w:rFonts w:ascii="Arial" w:hAnsi="Arial" w:cs="Arial"/>
        </w:rPr>
        <w:t>Semenkovich</w:t>
      </w:r>
      <w:proofErr w:type="spellEnd"/>
      <w:r>
        <w:rPr>
          <w:rFonts w:ascii="Arial" w:hAnsi="Arial" w:cs="Arial"/>
        </w:rPr>
        <w:t xml:space="preserve"> CF, </w:t>
      </w:r>
      <w:proofErr w:type="spellStart"/>
      <w:r>
        <w:rPr>
          <w:rFonts w:ascii="Arial" w:hAnsi="Arial" w:cs="Arial"/>
        </w:rPr>
        <w:t>Funai</w:t>
      </w:r>
      <w:proofErr w:type="spellEnd"/>
      <w:r>
        <w:rPr>
          <w:rFonts w:ascii="Arial" w:hAnsi="Arial" w:cs="Arial"/>
        </w:rPr>
        <w:t xml:space="preserve"> K, Hayashi DK, Lyle BJ, Martini MC, </w:t>
      </w:r>
      <w:proofErr w:type="spellStart"/>
      <w:r>
        <w:rPr>
          <w:rFonts w:ascii="Arial" w:hAnsi="Arial" w:cs="Arial"/>
        </w:rPr>
        <w:t>Ursell</w:t>
      </w:r>
      <w:proofErr w:type="spellEnd"/>
      <w:r>
        <w:rPr>
          <w:rFonts w:ascii="Arial" w:hAnsi="Arial" w:cs="Arial"/>
        </w:rPr>
        <w:t xml:space="preserve"> LK, Clemente JC, Van </w:t>
      </w:r>
      <w:proofErr w:type="spellStart"/>
      <w:r>
        <w:rPr>
          <w:rFonts w:ascii="Arial" w:hAnsi="Arial" w:cs="Arial"/>
        </w:rPr>
        <w:t>Treuren</w:t>
      </w:r>
      <w:proofErr w:type="spellEnd"/>
      <w:r>
        <w:rPr>
          <w:rFonts w:ascii="Arial" w:hAnsi="Arial" w:cs="Arial"/>
        </w:rPr>
        <w:t xml:space="preserve"> W, Walters </w:t>
      </w:r>
    </w:p>
    <w:p w14:paraId="0C716597" w14:textId="77777777" w:rsidR="00954ED3" w:rsidRDefault="00147C17">
      <w:pPr>
        <w:ind w:left="660" w:hangingChars="300" w:hanging="660"/>
        <w:jc w:val="both"/>
        <w:rPr>
          <w:rFonts w:ascii="Arial" w:hAnsi="Arial" w:cs="Arial"/>
        </w:rPr>
      </w:pPr>
      <w:r>
        <w:rPr>
          <w:rFonts w:ascii="Arial" w:hAnsi="Arial" w:cs="Arial"/>
        </w:rPr>
        <w:t>Salles, B.I.M., Cioffi, D., Ferreira, S.R.G. (2020). Probiotics supplementation and insulin resistance: a systematic review. Diabetology &amp; Metabolic Syndrome, 12:98.</w:t>
      </w:r>
    </w:p>
    <w:p w14:paraId="755307CD" w14:textId="77777777" w:rsidR="00954ED3" w:rsidRDefault="00147C17">
      <w:pPr>
        <w:ind w:left="660" w:hangingChars="300" w:hanging="660"/>
        <w:jc w:val="both"/>
        <w:rPr>
          <w:rFonts w:ascii="Arial" w:hAnsi="Arial" w:cs="Arial"/>
        </w:rPr>
      </w:pPr>
      <w:r>
        <w:rPr>
          <w:rFonts w:ascii="Arial" w:hAnsi="Arial" w:cs="Arial"/>
        </w:rPr>
        <w:t>Sánchez, B., Delgado, S., Blanco‐</w:t>
      </w:r>
      <w:proofErr w:type="spellStart"/>
      <w:r>
        <w:rPr>
          <w:rFonts w:ascii="Arial" w:hAnsi="Arial" w:cs="Arial"/>
        </w:rPr>
        <w:t>Míguez</w:t>
      </w:r>
      <w:proofErr w:type="spellEnd"/>
      <w:r>
        <w:rPr>
          <w:rFonts w:ascii="Arial" w:hAnsi="Arial" w:cs="Arial"/>
        </w:rPr>
        <w:t xml:space="preserve">, A., </w:t>
      </w:r>
      <w:proofErr w:type="spellStart"/>
      <w:r>
        <w:rPr>
          <w:rFonts w:ascii="Arial" w:hAnsi="Arial" w:cs="Arial"/>
        </w:rPr>
        <w:t>Lourenço</w:t>
      </w:r>
      <w:proofErr w:type="spellEnd"/>
      <w:r>
        <w:rPr>
          <w:rFonts w:ascii="Arial" w:hAnsi="Arial" w:cs="Arial"/>
        </w:rPr>
        <w:t xml:space="preserve">, A. and </w:t>
      </w:r>
      <w:proofErr w:type="spellStart"/>
      <w:r>
        <w:rPr>
          <w:rFonts w:ascii="Arial" w:hAnsi="Arial" w:cs="Arial"/>
        </w:rPr>
        <w:t>Margolles</w:t>
      </w:r>
      <w:proofErr w:type="spellEnd"/>
      <w:r>
        <w:rPr>
          <w:rFonts w:ascii="Arial" w:hAnsi="Arial" w:cs="Arial"/>
        </w:rPr>
        <w:t>, A. (2017). Probiotics, gut microbiota, and their influence on host health and disease. Molecular Nutrition and Food Research, 61(1): 1600240.</w:t>
      </w:r>
    </w:p>
    <w:p w14:paraId="0D5F3B49" w14:textId="163A68C5" w:rsidR="00954ED3" w:rsidRDefault="00147C17">
      <w:pPr>
        <w:ind w:left="660" w:hangingChars="300" w:hanging="660"/>
        <w:jc w:val="both"/>
        <w:rPr>
          <w:rFonts w:ascii="Arial" w:hAnsi="Arial" w:cs="Arial"/>
        </w:rPr>
      </w:pPr>
      <w:proofErr w:type="spellStart"/>
      <w:r>
        <w:rPr>
          <w:rFonts w:ascii="Arial" w:hAnsi="Arial" w:cs="Arial"/>
        </w:rPr>
        <w:t>Shewale</w:t>
      </w:r>
      <w:proofErr w:type="spellEnd"/>
      <w:r>
        <w:rPr>
          <w:rFonts w:ascii="Arial" w:hAnsi="Arial" w:cs="Arial"/>
        </w:rPr>
        <w:t xml:space="preserve">, R., </w:t>
      </w:r>
      <w:proofErr w:type="spellStart"/>
      <w:r>
        <w:rPr>
          <w:rFonts w:ascii="Arial" w:hAnsi="Arial" w:cs="Arial"/>
        </w:rPr>
        <w:t>Sawale</w:t>
      </w:r>
      <w:proofErr w:type="spellEnd"/>
      <w:r>
        <w:rPr>
          <w:rFonts w:ascii="Arial" w:hAnsi="Arial" w:cs="Arial"/>
        </w:rPr>
        <w:t xml:space="preserve">, P., </w:t>
      </w:r>
      <w:proofErr w:type="spellStart"/>
      <w:r>
        <w:rPr>
          <w:rFonts w:ascii="Arial" w:hAnsi="Arial" w:cs="Arial"/>
        </w:rPr>
        <w:t>Khedkar</w:t>
      </w:r>
      <w:proofErr w:type="spellEnd"/>
      <w:r>
        <w:rPr>
          <w:rFonts w:ascii="Arial" w:hAnsi="Arial" w:cs="Arial"/>
        </w:rPr>
        <w:t xml:space="preserve">, C. and Singh, A. (2014). Selection criteria for probiotics: A review. International Journal of Probiotics and </w:t>
      </w:r>
      <w:proofErr w:type="gramStart"/>
      <w:r>
        <w:rPr>
          <w:rFonts w:ascii="Arial" w:hAnsi="Arial" w:cs="Arial"/>
        </w:rPr>
        <w:t>Prebiotics</w:t>
      </w:r>
      <w:r w:rsidR="003B42ED">
        <w:rPr>
          <w:rFonts w:ascii="Arial" w:hAnsi="Arial" w:cs="Arial"/>
        </w:rPr>
        <w:t xml:space="preserve"> </w:t>
      </w:r>
      <w:r>
        <w:rPr>
          <w:rFonts w:ascii="Arial" w:hAnsi="Arial" w:cs="Arial"/>
        </w:rPr>
        <w:t> 9</w:t>
      </w:r>
      <w:proofErr w:type="gramEnd"/>
      <w:r>
        <w:rPr>
          <w:rFonts w:ascii="Arial" w:hAnsi="Arial" w:cs="Arial"/>
        </w:rPr>
        <w:t>(1/2): 17.</w:t>
      </w:r>
    </w:p>
    <w:p w14:paraId="19722415" w14:textId="77777777" w:rsidR="00954ED3" w:rsidRDefault="00147C17">
      <w:pPr>
        <w:ind w:left="660" w:hangingChars="300" w:hanging="660"/>
        <w:jc w:val="both"/>
        <w:rPr>
          <w:rFonts w:ascii="Arial" w:hAnsi="Arial" w:cs="Arial"/>
        </w:rPr>
      </w:pPr>
      <w:r>
        <w:rPr>
          <w:rFonts w:ascii="Arial" w:hAnsi="Arial" w:cs="Arial"/>
        </w:rPr>
        <w:t xml:space="preserve">Song, X., Liu, Y., Zhang, X., Weng, P., Zhang, R, and Wu, Z. (2023). Role of intestinal probiotics in the modulation of lipid metabolism: implications for therapeutic treatments. Food Science and Human Wellness, 12(5):1439-1449. </w:t>
      </w:r>
    </w:p>
    <w:p w14:paraId="4ADEF4D2" w14:textId="77777777" w:rsidR="00954ED3" w:rsidRDefault="00147C17">
      <w:pPr>
        <w:ind w:left="660" w:hangingChars="300" w:hanging="660"/>
        <w:jc w:val="both"/>
        <w:rPr>
          <w:rFonts w:ascii="Arial" w:hAnsi="Arial" w:cs="Arial"/>
        </w:rPr>
      </w:pPr>
      <w:proofErr w:type="spellStart"/>
      <w:r>
        <w:rPr>
          <w:rFonts w:ascii="Arial" w:hAnsi="Arial" w:cs="Arial"/>
        </w:rPr>
        <w:t>Sonnenburg</w:t>
      </w:r>
      <w:proofErr w:type="spellEnd"/>
      <w:r>
        <w:rPr>
          <w:rFonts w:ascii="Arial" w:hAnsi="Arial" w:cs="Arial"/>
        </w:rPr>
        <w:t xml:space="preserve">, J. L., &amp; </w:t>
      </w:r>
      <w:proofErr w:type="spellStart"/>
      <w:r>
        <w:rPr>
          <w:rFonts w:ascii="Arial" w:hAnsi="Arial" w:cs="Arial"/>
        </w:rPr>
        <w:t>Bäckhed</w:t>
      </w:r>
      <w:proofErr w:type="spellEnd"/>
      <w:r>
        <w:rPr>
          <w:rFonts w:ascii="Arial" w:hAnsi="Arial" w:cs="Arial"/>
        </w:rPr>
        <w:t>, F. (2016). Diet–microbiota interactions as moderators of human metabolism. Nature, 535(7610), 56–64.</w:t>
      </w:r>
    </w:p>
    <w:p w14:paraId="66630928" w14:textId="77777777" w:rsidR="00954ED3" w:rsidRDefault="00147C17">
      <w:pPr>
        <w:ind w:left="660" w:hangingChars="300" w:hanging="660"/>
        <w:jc w:val="both"/>
        <w:rPr>
          <w:rFonts w:ascii="Arial" w:hAnsi="Arial" w:cs="Arial"/>
        </w:rPr>
      </w:pPr>
      <w:r>
        <w:rPr>
          <w:rFonts w:ascii="Arial" w:hAnsi="Arial" w:cs="Arial"/>
        </w:rPr>
        <w:t xml:space="preserve">van den </w:t>
      </w:r>
      <w:proofErr w:type="spellStart"/>
      <w:r>
        <w:rPr>
          <w:rFonts w:ascii="Arial" w:hAnsi="Arial" w:cs="Arial"/>
        </w:rPr>
        <w:t>Broek</w:t>
      </w:r>
      <w:proofErr w:type="spellEnd"/>
      <w:r>
        <w:rPr>
          <w:rFonts w:ascii="Arial" w:hAnsi="Arial" w:cs="Arial"/>
        </w:rPr>
        <w:t xml:space="preserve"> M, De </w:t>
      </w:r>
      <w:proofErr w:type="spellStart"/>
      <w:r>
        <w:rPr>
          <w:rFonts w:ascii="Arial" w:hAnsi="Arial" w:cs="Arial"/>
        </w:rPr>
        <w:t>Boeck</w:t>
      </w:r>
      <w:proofErr w:type="spellEnd"/>
      <w:r>
        <w:rPr>
          <w:rFonts w:ascii="Arial" w:hAnsi="Arial" w:cs="Arial"/>
        </w:rPr>
        <w:t xml:space="preserve"> I, </w:t>
      </w:r>
      <w:proofErr w:type="spellStart"/>
      <w:r>
        <w:rPr>
          <w:rFonts w:ascii="Arial" w:hAnsi="Arial" w:cs="Arial"/>
        </w:rPr>
        <w:t>Claes</w:t>
      </w:r>
      <w:proofErr w:type="spellEnd"/>
      <w:r>
        <w:rPr>
          <w:rFonts w:ascii="Arial" w:hAnsi="Arial" w:cs="Arial"/>
        </w:rPr>
        <w:t xml:space="preserve"> I, </w:t>
      </w:r>
      <w:proofErr w:type="spellStart"/>
      <w:r>
        <w:rPr>
          <w:rFonts w:ascii="Arial" w:hAnsi="Arial" w:cs="Arial"/>
        </w:rPr>
        <w:t>Nizet</w:t>
      </w:r>
      <w:proofErr w:type="spellEnd"/>
      <w:r>
        <w:rPr>
          <w:rFonts w:ascii="Arial" w:hAnsi="Arial" w:cs="Arial"/>
        </w:rPr>
        <w:t xml:space="preserve"> V and </w:t>
      </w:r>
      <w:proofErr w:type="spellStart"/>
      <w:r>
        <w:rPr>
          <w:rFonts w:ascii="Arial" w:hAnsi="Arial" w:cs="Arial"/>
        </w:rPr>
        <w:t>Lebeer</w:t>
      </w:r>
      <w:proofErr w:type="spellEnd"/>
      <w:r>
        <w:rPr>
          <w:rFonts w:ascii="Arial" w:hAnsi="Arial" w:cs="Arial"/>
        </w:rPr>
        <w:t xml:space="preserve"> S (2018) Multifactorial inhibition of lactobacilli against the respiratory tract pathogen Moraxella catarrhalis. Beneficial Microbes 9(3), 429–439. </w:t>
      </w:r>
    </w:p>
    <w:p w14:paraId="006340D1" w14:textId="77777777" w:rsidR="00954ED3" w:rsidRDefault="00147C17">
      <w:pPr>
        <w:ind w:left="660" w:hangingChars="300" w:hanging="660"/>
        <w:jc w:val="both"/>
        <w:rPr>
          <w:rFonts w:ascii="Arial" w:hAnsi="Arial" w:cs="Arial"/>
        </w:rPr>
      </w:pPr>
      <w:proofErr w:type="spellStart"/>
      <w:r>
        <w:rPr>
          <w:rFonts w:ascii="Arial" w:hAnsi="Arial" w:cs="Arial"/>
        </w:rPr>
        <w:t>Warnick</w:t>
      </w:r>
      <w:proofErr w:type="spellEnd"/>
      <w:r>
        <w:rPr>
          <w:rFonts w:ascii="Arial" w:hAnsi="Arial" w:cs="Arial"/>
        </w:rPr>
        <w:t xml:space="preserve">, R.  Mayfield </w:t>
      </w:r>
      <w:proofErr w:type="gramStart"/>
      <w:r>
        <w:rPr>
          <w:rFonts w:ascii="Arial" w:hAnsi="Arial" w:cs="Arial"/>
        </w:rPr>
        <w:t>G.,,</w:t>
      </w:r>
      <w:proofErr w:type="gramEnd"/>
      <w:r>
        <w:rPr>
          <w:rFonts w:ascii="Arial" w:hAnsi="Arial" w:cs="Arial"/>
        </w:rPr>
        <w:t xml:space="preserve">  Benderson, C., Chen, J.,  &amp; Albers, J. J. (1982). HDL cholesterol quantitation by phosphotungstate-Mg2+ and by dextran sulfate-Mn2+-polyethylene glycol precipitation, both with enzymic cholesterol assay compared with the lipid research method. American journal of clinical pathology, 78(5), 718-723.</w:t>
      </w:r>
    </w:p>
    <w:p w14:paraId="7ABA3A02" w14:textId="77777777" w:rsidR="00954ED3" w:rsidRDefault="00147C17">
      <w:pPr>
        <w:ind w:left="660" w:hangingChars="300" w:hanging="660"/>
        <w:jc w:val="both"/>
        <w:rPr>
          <w:rFonts w:ascii="Arial" w:hAnsi="Arial" w:cs="Arial"/>
        </w:rPr>
      </w:pPr>
      <w:r>
        <w:rPr>
          <w:rFonts w:ascii="Arial" w:hAnsi="Arial" w:cs="Arial"/>
        </w:rPr>
        <w:t xml:space="preserve">Wu, T., Wang, G., </w:t>
      </w:r>
      <w:proofErr w:type="spellStart"/>
      <w:r>
        <w:rPr>
          <w:rFonts w:ascii="Arial" w:hAnsi="Arial" w:cs="Arial"/>
        </w:rPr>
        <w:t>Xiong</w:t>
      </w:r>
      <w:proofErr w:type="spellEnd"/>
      <w:r>
        <w:rPr>
          <w:rFonts w:ascii="Arial" w:hAnsi="Arial" w:cs="Arial"/>
        </w:rPr>
        <w:t xml:space="preserve">, Z., Xia, Y., Song, X., Zhang, H., Wu, Y. </w:t>
      </w:r>
      <w:proofErr w:type="gramStart"/>
      <w:r>
        <w:rPr>
          <w:rFonts w:ascii="Arial" w:hAnsi="Arial" w:cs="Arial"/>
        </w:rPr>
        <w:t>and  Ai</w:t>
      </w:r>
      <w:proofErr w:type="gramEnd"/>
      <w:r>
        <w:rPr>
          <w:rFonts w:ascii="Arial" w:hAnsi="Arial" w:cs="Arial"/>
        </w:rPr>
        <w:t xml:space="preserve">, L. (2022). Probiotics Interact </w:t>
      </w:r>
      <w:proofErr w:type="gramStart"/>
      <w:r>
        <w:rPr>
          <w:rFonts w:ascii="Arial" w:hAnsi="Arial" w:cs="Arial"/>
        </w:rPr>
        <w:t>With</w:t>
      </w:r>
      <w:proofErr w:type="gramEnd"/>
      <w:r>
        <w:rPr>
          <w:rFonts w:ascii="Arial" w:hAnsi="Arial" w:cs="Arial"/>
        </w:rPr>
        <w:t xml:space="preserve"> Lipids Metabolism and Affect Gut Health. Frontiers in Nutrition, 9:917043. </w:t>
      </w:r>
    </w:p>
    <w:p w14:paraId="555065BF" w14:textId="77777777" w:rsidR="00954ED3" w:rsidRDefault="00147C17">
      <w:pPr>
        <w:ind w:left="660" w:hangingChars="300" w:hanging="660"/>
        <w:jc w:val="both"/>
        <w:rPr>
          <w:rFonts w:ascii="Arial" w:hAnsi="Arial" w:cs="Arial"/>
        </w:rPr>
      </w:pPr>
      <w:r>
        <w:rPr>
          <w:rFonts w:ascii="Arial" w:hAnsi="Arial" w:cs="Arial"/>
        </w:rPr>
        <w:t xml:space="preserve">Zhu, H., Zhao, F., Zhang, W., Xia, W., Chen, Y., Liu, Y., Fan, Z., Zhang, Y. and Yang, Y. (2022). Cholesterol-lowering effect of bile salt hydrolase from a Lactobacillus </w:t>
      </w:r>
      <w:proofErr w:type="spellStart"/>
      <w:r>
        <w:rPr>
          <w:rFonts w:ascii="Arial" w:hAnsi="Arial" w:cs="Arial"/>
        </w:rPr>
        <w:t>johnsonii</w:t>
      </w:r>
      <w:proofErr w:type="spellEnd"/>
      <w:r>
        <w:rPr>
          <w:rFonts w:ascii="Arial" w:hAnsi="Arial" w:cs="Arial"/>
        </w:rPr>
        <w:t xml:space="preserve"> strain mediated by FXR pathway regulation. Food &amp; Function, 13:725-736.</w:t>
      </w:r>
    </w:p>
    <w:p w14:paraId="085C44C1" w14:textId="77777777" w:rsidR="00954ED3" w:rsidRDefault="00954ED3">
      <w:pPr>
        <w:ind w:left="660" w:hangingChars="300" w:hanging="660"/>
        <w:jc w:val="both"/>
        <w:rPr>
          <w:rFonts w:ascii="Arial" w:hAnsi="Arial" w:cs="Arial"/>
        </w:rPr>
      </w:pPr>
    </w:p>
    <w:sectPr w:rsidR="00954ED3">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9877A" w14:textId="77777777" w:rsidR="00216078" w:rsidRDefault="00216078">
      <w:pPr>
        <w:spacing w:line="240" w:lineRule="auto"/>
      </w:pPr>
      <w:r>
        <w:separator/>
      </w:r>
    </w:p>
  </w:endnote>
  <w:endnote w:type="continuationSeparator" w:id="0">
    <w:p w14:paraId="5607AE01" w14:textId="77777777" w:rsidR="00216078" w:rsidRDefault="002160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hnschrift">
    <w:panose1 w:val="020B0502040204020203"/>
    <w:charset w:val="00"/>
    <w:family w:val="swiss"/>
    <w:pitch w:val="variable"/>
    <w:sig w:usb0="A00002C7" w:usb1="00000002" w:usb2="00000000" w:usb3="00000000" w:csb0="0000019F" w:csb1="00000000"/>
  </w:font>
  <w:font w:name="serif">
    <w:altName w:val="Segoe Print"/>
    <w:charset w:val="00"/>
    <w:family w:val="auto"/>
    <w:pitch w:val="default"/>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0C82C" w14:textId="77777777" w:rsidR="00954ED3" w:rsidRDefault="00954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F518A" w14:textId="77777777" w:rsidR="00954ED3" w:rsidRDefault="00954E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ECE08" w14:textId="77777777" w:rsidR="00954ED3" w:rsidRDefault="00954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F0E10" w14:textId="77777777" w:rsidR="00216078" w:rsidRDefault="00216078">
      <w:pPr>
        <w:spacing w:after="0"/>
      </w:pPr>
      <w:r>
        <w:separator/>
      </w:r>
    </w:p>
  </w:footnote>
  <w:footnote w:type="continuationSeparator" w:id="0">
    <w:p w14:paraId="3F3F8782" w14:textId="77777777" w:rsidR="00216078" w:rsidRDefault="002160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4D7E3" w14:textId="147BA442" w:rsidR="00954ED3" w:rsidRDefault="003B42ED">
    <w:pPr>
      <w:pStyle w:val="Header"/>
    </w:pPr>
    <w:r>
      <w:rPr>
        <w:noProof/>
      </w:rPr>
      <mc:AlternateContent>
        <mc:Choice Requires="wps">
          <w:drawing>
            <wp:anchor distT="0" distB="0" distL="114300" distR="114300" simplePos="0" relativeHeight="251660288" behindDoc="1" locked="0" layoutInCell="0" allowOverlap="1" wp14:anchorId="74016130" wp14:editId="089D4563">
              <wp:simplePos x="0" y="0"/>
              <wp:positionH relativeFrom="margin">
                <wp:align>center</wp:align>
              </wp:positionH>
              <wp:positionV relativeFrom="margin">
                <wp:align>center</wp:align>
              </wp:positionV>
              <wp:extent cx="7049135" cy="1329055"/>
              <wp:effectExtent l="0" t="2190750" r="0" b="1928495"/>
              <wp:wrapNone/>
              <wp:docPr id="760294850"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FC381B9" w14:textId="77777777" w:rsidR="003B42ED" w:rsidRDefault="003B42ED" w:rsidP="003B42ED">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4016130" id="_x0000_t202" coordsize="21600,21600" o:spt="202" path="m,l,21600r21600,l21600,xe">
              <v:stroke joinstyle="miter"/>
              <v:path gradientshapeok="t" o:connecttype="rect"/>
            </v:shapetype>
            <v:shape id="WordArt 6" o:spid="_x0000_s1026" type="#_x0000_t202" style="position:absolute;margin-left:0;margin-top:0;width:555.05pt;height:104.6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" o:allowincell="f" filled="f" stroked="f">
              <v:stroke joinstyle="round"/>
              <o:lock v:ext="edit" shapetype="t"/>
              <v:textbox style="mso-fit-shape-to-text:t">
                <w:txbxContent>
                  <w:p w14:paraId="0FC381B9" w14:textId="77777777" w:rsidR="003B42ED" w:rsidRDefault="003B42ED" w:rsidP="003B42ED">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0492D" w14:textId="7452AF43" w:rsidR="00954ED3" w:rsidRDefault="003B42ED">
    <w:pPr>
      <w:pStyle w:val="Header"/>
    </w:pPr>
    <w:r>
      <w:rPr>
        <w:noProof/>
      </w:rPr>
      <mc:AlternateContent>
        <mc:Choice Requires="wps">
          <w:drawing>
            <wp:anchor distT="0" distB="0" distL="114300" distR="114300" simplePos="0" relativeHeight="251661312" behindDoc="1" locked="0" layoutInCell="0" allowOverlap="1" wp14:anchorId="73FA6D70" wp14:editId="7F302043">
              <wp:simplePos x="0" y="0"/>
              <wp:positionH relativeFrom="margin">
                <wp:align>center</wp:align>
              </wp:positionH>
              <wp:positionV relativeFrom="margin">
                <wp:align>center</wp:align>
              </wp:positionV>
              <wp:extent cx="7049135" cy="1329055"/>
              <wp:effectExtent l="0" t="2190750" r="0" b="1928495"/>
              <wp:wrapNone/>
              <wp:docPr id="211495856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929914" w14:textId="77777777" w:rsidR="003B42ED" w:rsidRDefault="003B42ED" w:rsidP="003B42ED">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3FA6D70" id="_x0000_t202" coordsize="21600,21600" o:spt="202" path="m,l,21600r21600,l21600,xe">
              <v:stroke joinstyle="miter"/>
              <v:path gradientshapeok="t" o:connecttype="rect"/>
            </v:shapetype>
            <v:shape id="WordArt 5" o:spid="_x0000_s1027" type="#_x0000_t202" style="position:absolute;margin-left:0;margin-top:0;width:555.05pt;height:104.6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" o:allowincell="f" filled="f" stroked="f">
              <v:stroke joinstyle="round"/>
              <o:lock v:ext="edit" shapetype="t"/>
              <v:textbox style="mso-fit-shape-to-text:t">
                <w:txbxContent>
                  <w:p w14:paraId="57929914" w14:textId="77777777" w:rsidR="003B42ED" w:rsidRDefault="003B42ED" w:rsidP="003B42ED">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B83BE" w14:textId="1B7CDB3F" w:rsidR="00954ED3" w:rsidRDefault="003B42ED">
    <w:pPr>
      <w:pStyle w:val="Header"/>
    </w:pPr>
    <w:r>
      <w:rPr>
        <w:noProof/>
      </w:rPr>
      <mc:AlternateContent>
        <mc:Choice Requires="wps">
          <w:drawing>
            <wp:anchor distT="0" distB="0" distL="114300" distR="114300" simplePos="0" relativeHeight="251659264" behindDoc="1" locked="0" layoutInCell="0" allowOverlap="1" wp14:anchorId="69455D64" wp14:editId="5E8E7DCC">
              <wp:simplePos x="0" y="0"/>
              <wp:positionH relativeFrom="margin">
                <wp:align>center</wp:align>
              </wp:positionH>
              <wp:positionV relativeFrom="margin">
                <wp:align>center</wp:align>
              </wp:positionV>
              <wp:extent cx="7049135" cy="1329055"/>
              <wp:effectExtent l="0" t="2190750" r="0" b="1928495"/>
              <wp:wrapNone/>
              <wp:docPr id="814120119"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DCA949" w14:textId="77777777" w:rsidR="003B42ED" w:rsidRDefault="003B42ED" w:rsidP="003B42ED">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9455D64" id="_x0000_t202" coordsize="21600,21600" o:spt="202" path="m,l,21600r21600,l21600,xe">
              <v:stroke joinstyle="miter"/>
              <v:path gradientshapeok="t" o:connecttype="rect"/>
            </v:shapetype>
            <v:shape id="WordArt 4" o:spid="_x0000_s1028" type="#_x0000_t202" style="position:absolute;margin-left:0;margin-top:0;width:555.05pt;height:104.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" o:allowincell="f" filled="f" stroked="f">
              <v:stroke joinstyle="round"/>
              <o:lock v:ext="edit" shapetype="t"/>
              <v:textbox style="mso-fit-shape-to-text:t">
                <w:txbxContent>
                  <w:p w14:paraId="0EDCA949" w14:textId="77777777" w:rsidR="003B42ED" w:rsidRDefault="003B42ED" w:rsidP="003B42ED">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2CA023F"/>
    <w:rsid w:val="0002351F"/>
    <w:rsid w:val="000B5F37"/>
    <w:rsid w:val="0010332F"/>
    <w:rsid w:val="00127CAD"/>
    <w:rsid w:val="001301E0"/>
    <w:rsid w:val="00147C17"/>
    <w:rsid w:val="00173B33"/>
    <w:rsid w:val="001B6EC6"/>
    <w:rsid w:val="001E5146"/>
    <w:rsid w:val="00216078"/>
    <w:rsid w:val="002223FA"/>
    <w:rsid w:val="0025743A"/>
    <w:rsid w:val="003B42ED"/>
    <w:rsid w:val="003B4E1A"/>
    <w:rsid w:val="0044104C"/>
    <w:rsid w:val="004A6BB8"/>
    <w:rsid w:val="004B6C9E"/>
    <w:rsid w:val="004E7F13"/>
    <w:rsid w:val="00522997"/>
    <w:rsid w:val="005300C9"/>
    <w:rsid w:val="00537C77"/>
    <w:rsid w:val="005D5BBC"/>
    <w:rsid w:val="006D2803"/>
    <w:rsid w:val="007122AC"/>
    <w:rsid w:val="00763194"/>
    <w:rsid w:val="007850D1"/>
    <w:rsid w:val="008B5709"/>
    <w:rsid w:val="00954ED3"/>
    <w:rsid w:val="00963DDB"/>
    <w:rsid w:val="009C6776"/>
    <w:rsid w:val="009F6472"/>
    <w:rsid w:val="00A95542"/>
    <w:rsid w:val="00B16FEF"/>
    <w:rsid w:val="00B83D9E"/>
    <w:rsid w:val="00BC0F7F"/>
    <w:rsid w:val="00C65416"/>
    <w:rsid w:val="00C7716B"/>
    <w:rsid w:val="00CB0689"/>
    <w:rsid w:val="00CD2BA9"/>
    <w:rsid w:val="00D46FEF"/>
    <w:rsid w:val="00EB090A"/>
    <w:rsid w:val="00F23745"/>
    <w:rsid w:val="00F45A95"/>
    <w:rsid w:val="00FE6199"/>
    <w:rsid w:val="0D8039B2"/>
    <w:rsid w:val="18B917A7"/>
    <w:rsid w:val="275C53B9"/>
    <w:rsid w:val="2E095EB8"/>
    <w:rsid w:val="2E496F7F"/>
    <w:rsid w:val="42CA023F"/>
    <w:rsid w:val="43041002"/>
    <w:rsid w:val="4C442DF7"/>
    <w:rsid w:val="551F76C9"/>
    <w:rsid w:val="56943856"/>
    <w:rsid w:val="592A00D8"/>
    <w:rsid w:val="59E17F4F"/>
    <w:rsid w:val="71605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D7333D"/>
  <w15:docId w15:val="{D9B80357-C004-4292-99E4-570155300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semiHidden="1" w:uiPriority="99" w:unhideWhenUsed="1" w:qFormat="1"/>
    <w:lsdException w:name="Title" w:qFormat="1"/>
    <w:lsdException w:name="Default Paragraph Font" w:semiHidden="1" w:uiPriority="1" w:unhideWhenUsed="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2">
    <w:name w:val="heading 2"/>
    <w:next w:val="Normal"/>
    <w:uiPriority w:val="9"/>
    <w:semiHidden/>
    <w:unhideWhenUsed/>
    <w:qFormat/>
    <w:pPr>
      <w:spacing w:beforeAutospacing="1" w:afterAutospacing="1"/>
      <w:outlineLvl w:val="1"/>
    </w:pPr>
    <w:rPr>
      <w:rFonts w:ascii="SimSun" w:hAnsi="SimSun" w:hint="eastAsia"/>
      <w:b/>
      <w:bCs/>
      <w:sz w:val="36"/>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uiPriority w:val="99"/>
    <w:unhideWhenUsed/>
    <w:qFormat/>
    <w:pPr>
      <w:spacing w:line="240" w:lineRule="auto"/>
    </w:pPr>
    <w:rPr>
      <w:sz w:val="20"/>
      <w:szCs w:val="20"/>
    </w:rPr>
  </w:style>
  <w:style w:type="character" w:styleId="Emphasis">
    <w:name w:val="Emphasis"/>
    <w:basedOn w:val="DefaultParagraphFont"/>
    <w:uiPriority w:val="20"/>
    <w:qFormat/>
    <w:rPr>
      <w:i/>
      <w:iCs/>
    </w:rPr>
  </w:style>
  <w:style w:type="paragraph" w:styleId="Footer">
    <w:name w:val="footer"/>
    <w:basedOn w:val="Normal"/>
    <w:link w:val="FooterChar"/>
    <w:qFormat/>
    <w:pPr>
      <w:tabs>
        <w:tab w:val="center" w:pos="4680"/>
        <w:tab w:val="right" w:pos="9360"/>
      </w:tabs>
      <w:spacing w:after="0" w:line="240" w:lineRule="auto"/>
    </w:pPr>
  </w:style>
  <w:style w:type="paragraph" w:styleId="Header">
    <w:name w:val="header"/>
    <w:basedOn w:val="Normal"/>
    <w:link w:val="HeaderChar"/>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link w:val="NormalWebChar"/>
    <w:uiPriority w:val="99"/>
    <w:unhideWhenUsed/>
    <w:qFormat/>
    <w:pPr>
      <w:spacing w:beforeAutospacing="1" w:afterAutospacing="1"/>
    </w:pPr>
    <w:rPr>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Head">
    <w:name w:val="Refer Head"/>
    <w:basedOn w:val="MainHead"/>
    <w:qFormat/>
  </w:style>
  <w:style w:type="paragraph" w:customStyle="1" w:styleId="MainHead">
    <w:name w:val="Main Head"/>
    <w:basedOn w:val="Normal"/>
    <w:qFormat/>
    <w:pPr>
      <w:keepNext/>
      <w:spacing w:after="240"/>
    </w:pPr>
    <w:rPr>
      <w:b/>
      <w:cap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99"/>
    <w:unhideWhenUsed/>
    <w:qFormat/>
    <w:pPr>
      <w:ind w:left="720"/>
      <w:contextualSpacing/>
    </w:pPr>
  </w:style>
  <w:style w:type="character" w:customStyle="1" w:styleId="HeaderChar">
    <w:name w:val="Header Char"/>
    <w:basedOn w:val="DefaultParagraphFont"/>
    <w:link w:val="Header"/>
    <w:qFormat/>
    <w:rPr>
      <w:rFonts w:eastAsiaTheme="minorHAnsi"/>
      <w:sz w:val="22"/>
      <w:szCs w:val="22"/>
      <w:lang w:val="en-US" w:eastAsia="en-US"/>
    </w:rPr>
  </w:style>
  <w:style w:type="character" w:customStyle="1" w:styleId="FooterChar">
    <w:name w:val="Footer Char"/>
    <w:basedOn w:val="DefaultParagraphFont"/>
    <w:link w:val="Footer"/>
    <w:rPr>
      <w:rFonts w:eastAsiaTheme="minorHAnsi"/>
      <w:sz w:val="22"/>
      <w:szCs w:val="22"/>
      <w:lang w:val="en-US" w:eastAsia="en-US"/>
    </w:rPr>
  </w:style>
  <w:style w:type="character" w:customStyle="1" w:styleId="NormalWebChar">
    <w:name w:val="Normal (Web) Char"/>
    <w:link w:val="NormalWeb"/>
    <w:uiPriority w:val="99"/>
    <w:rPr>
      <w:rFonts w:ascii="Times New Roman" w:eastAsia="SimSun" w:hAnsi="Times New Roman" w:cs="Times New Roman"/>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392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11406418/" TargetMode="External"/><Relationship Id="rId13" Type="http://schemas.openxmlformats.org/officeDocument/2006/relationships/chart" Target="charts/chart5.xm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pmc.ncbi.nlm.nih.gov/articles/PMC11406418/" TargetMode="External"/><Relationship Id="rId12" Type="http://schemas.openxmlformats.org/officeDocument/2006/relationships/chart" Target="charts/chart4.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chart" Target="charts/chart2.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P%20ELITEBOOK%20840%20G3\Desktop\OANOO%20Group\ANALYSI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6071741032371002E-2"/>
          <c:y val="2.9233627233721499E-2"/>
          <c:w val="0.88337270341207397"/>
          <c:h val="0.82680635579235195"/>
        </c:manualLayout>
      </c:layout>
      <c:lineChart>
        <c:grouping val="standard"/>
        <c:varyColors val="0"/>
        <c:ser>
          <c:idx val="0"/>
          <c:order val="0"/>
          <c:tx>
            <c:strRef>
              <c:f>Sheet13!$B$3</c:f>
              <c:strCache>
                <c:ptCount val="1"/>
                <c:pt idx="0">
                  <c:v>Glucose</c:v>
                </c:pt>
              </c:strCache>
            </c:strRef>
          </c:tx>
          <c:spPr>
            <a:ln w="12700" cap="rnd" cmpd="sng" algn="ctr">
              <a:noFill/>
              <a:prstDash val="solid"/>
              <a:round/>
            </a:ln>
          </c:spPr>
          <c:marker>
            <c:symbol val="square"/>
            <c:size val="7"/>
            <c:spPr>
              <a:solidFill>
                <a:schemeClr val="tx1"/>
              </a:solidFill>
              <a:ln w="9525" cap="flat" cmpd="sng" algn="ctr">
                <a:solidFill>
                  <a:sysClr val="windowText" lastClr="000000"/>
                </a:solidFill>
                <a:prstDash val="solid"/>
                <a:round/>
              </a:ln>
            </c:spPr>
          </c:marker>
          <c:dLbls>
            <c:dLbl>
              <c:idx val="0"/>
              <c:layout>
                <c:manualLayout>
                  <c:x val="-3.6111111111111101E-2"/>
                  <c:y val="0.13892215568862301"/>
                </c:manualLayout>
              </c:layout>
              <c:tx>
                <c:rich>
                  <a:bodyPr/>
                  <a:lstStyle/>
                  <a:p>
                    <a:r>
                      <a:rPr lang="en-US"/>
                      <a:t>ab</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522-446C-898D-7A3E5131FFC8}"/>
                </c:ext>
              </c:extLst>
            </c:dLbl>
            <c:dLbl>
              <c:idx val="1"/>
              <c:layout>
                <c:manualLayout>
                  <c:x val="-2.4712700244366E-2"/>
                  <c:y val="9.10179016084528E-2"/>
                </c:manualLayout>
              </c:layout>
              <c:tx>
                <c:rich>
                  <a:bodyPr/>
                  <a:lstStyle/>
                  <a:p>
                    <a:r>
                      <a:rPr lang="en-US"/>
                      <a:t>c</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522-446C-898D-7A3E5131FFC8}"/>
                </c:ext>
              </c:extLst>
            </c:dLbl>
            <c:dLbl>
              <c:idx val="2"/>
              <c:layout>
                <c:manualLayout>
                  <c:x val="-2.4712700244366E-2"/>
                  <c:y val="7.1856287425149601E-2"/>
                </c:manualLayout>
              </c:layout>
              <c:tx>
                <c:rich>
                  <a:bodyPr/>
                  <a:lstStyle/>
                  <a:p>
                    <a:r>
                      <a:rPr lang="en-US"/>
                      <a:t>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522-446C-898D-7A3E5131FFC8}"/>
                </c:ext>
              </c:extLst>
            </c:dLbl>
            <c:dLbl>
              <c:idx val="3"/>
              <c:layout>
                <c:manualLayout>
                  <c:x val="-2.6867872658159101E-2"/>
                  <c:y val="0.110179640718563"/>
                </c:manualLayout>
              </c:layout>
              <c:tx>
                <c:rich>
                  <a:bodyPr/>
                  <a:lstStyle/>
                  <a:p>
                    <a:r>
                      <a:rPr lang="en-US"/>
                      <a:t>bc</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22-446C-898D-7A3E5131FFC8}"/>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both"/>
            <c:errValType val="cust"/>
            <c:noEndCap val="0"/>
            <c:plus>
              <c:numRef>
                <c:f>Sheet13!$D$4:$D$7</c:f>
                <c:numCache>
                  <c:formatCode>General</c:formatCode>
                  <c:ptCount val="4"/>
                  <c:pt idx="0">
                    <c:v>11.06</c:v>
                  </c:pt>
                  <c:pt idx="1">
                    <c:v>4.04</c:v>
                  </c:pt>
                  <c:pt idx="2">
                    <c:v>1.1499999999999999</c:v>
                  </c:pt>
                  <c:pt idx="3">
                    <c:v>7.81</c:v>
                  </c:pt>
                </c:numCache>
              </c:numRef>
            </c:plus>
            <c:minus>
              <c:numRef>
                <c:f>Sheet13!$D$4:$D$7</c:f>
                <c:numCache>
                  <c:formatCode>General</c:formatCode>
                  <c:ptCount val="4"/>
                  <c:pt idx="0">
                    <c:v>11.06</c:v>
                  </c:pt>
                  <c:pt idx="1">
                    <c:v>4.04</c:v>
                  </c:pt>
                  <c:pt idx="2">
                    <c:v>1.1499999999999999</c:v>
                  </c:pt>
                  <c:pt idx="3">
                    <c:v>7.81</c:v>
                  </c:pt>
                </c:numCache>
              </c:numRef>
            </c:minus>
          </c:errBars>
          <c:cat>
            <c:strRef>
              <c:f>Sheet13!$A$4:$A$7</c:f>
              <c:strCache>
                <c:ptCount val="4"/>
                <c:pt idx="0">
                  <c:v>ND</c:v>
                </c:pt>
                <c:pt idx="1">
                  <c:v>HCD</c:v>
                </c:pt>
                <c:pt idx="2">
                  <c:v>HCD + PC low dose</c:v>
                </c:pt>
                <c:pt idx="3">
                  <c:v>HCD + PC high dose</c:v>
                </c:pt>
              </c:strCache>
            </c:strRef>
          </c:cat>
          <c:val>
            <c:numRef>
              <c:f>Sheet13!$B$4:$B$7</c:f>
              <c:numCache>
                <c:formatCode>General</c:formatCode>
                <c:ptCount val="4"/>
                <c:pt idx="0">
                  <c:v>68.67</c:v>
                </c:pt>
                <c:pt idx="1">
                  <c:v>90.33</c:v>
                </c:pt>
                <c:pt idx="2">
                  <c:v>53.33</c:v>
                </c:pt>
                <c:pt idx="3">
                  <c:v>76</c:v>
                </c:pt>
              </c:numCache>
            </c:numRef>
          </c:val>
          <c:smooth val="0"/>
          <c:extLst>
            <c:ext xmlns:c16="http://schemas.microsoft.com/office/drawing/2014/chart" uri="{C3380CC4-5D6E-409C-BE32-E72D297353CC}">
              <c16:uniqueId val="{00000004-5522-446C-898D-7A3E5131FFC8}"/>
            </c:ext>
          </c:extLst>
        </c:ser>
        <c:dLbls>
          <c:showLegendKey val="0"/>
          <c:showVal val="0"/>
          <c:showCatName val="0"/>
          <c:showSerName val="0"/>
          <c:showPercent val="0"/>
          <c:showBubbleSize val="0"/>
        </c:dLbls>
        <c:marker val="1"/>
        <c:smooth val="0"/>
        <c:axId val="57520896"/>
        <c:axId val="57522432"/>
      </c:lineChart>
      <c:catAx>
        <c:axId val="57520896"/>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Treatment Groups</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522432"/>
        <c:crosses val="autoZero"/>
        <c:auto val="1"/>
        <c:lblAlgn val="ctr"/>
        <c:lblOffset val="100"/>
        <c:noMultiLvlLbl val="0"/>
      </c:catAx>
      <c:valAx>
        <c:axId val="57522432"/>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 Glucose (mg/dL)</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520896"/>
        <c:crosses val="autoZero"/>
        <c:crossBetween val="between"/>
        <c:majorUnit val="25"/>
      </c:valAx>
    </c:plotArea>
    <c:plotVisOnly val="1"/>
    <c:dispBlanksAs val="gap"/>
    <c:showDLblsOverMax val="0"/>
    <c:extLst>
      <c:ext uri="{0b15fc19-7d7d-44ad-8c2d-2c3a37ce22c3}">
        <chartProps xmlns="https://web.wps.cn/et/2018/main" chartId="{eba6fd30-fa42-491b-aa3c-a71349d4b06a}"/>
      </c:ext>
    </c:extLst>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Sheet13!$B$16</c:f>
              <c:strCache>
                <c:ptCount val="1"/>
                <c:pt idx="0">
                  <c:v>Bodywt gain</c:v>
                </c:pt>
              </c:strCache>
            </c:strRef>
          </c:tx>
          <c:spPr>
            <a:ln w="12700" cap="rnd" cmpd="sng" algn="ctr">
              <a:noFill/>
              <a:prstDash val="solid"/>
              <a:round/>
            </a:ln>
          </c:spPr>
          <c:marker>
            <c:symbol val="square"/>
            <c:size val="7"/>
            <c:spPr>
              <a:solidFill>
                <a:sysClr val="windowText" lastClr="000000"/>
              </a:solidFill>
              <a:ln w="9525" cap="flat" cmpd="sng" algn="ctr">
                <a:solidFill>
                  <a:sysClr val="windowText" lastClr="000000"/>
                </a:solidFill>
                <a:prstDash val="solid"/>
                <a:round/>
              </a:ln>
            </c:spPr>
          </c:marker>
          <c:dLbls>
            <c:dLbl>
              <c:idx val="0"/>
              <c:layout>
                <c:manualLayout>
                  <c:x val="-2.04161616504073E-2"/>
                  <c:y val="0.119760356042451"/>
                </c:manualLayout>
              </c:layout>
              <c:tx>
                <c:rich>
                  <a:bodyPr/>
                  <a:lstStyle/>
                  <a:p>
                    <a:r>
                      <a:rPr lang="en-US"/>
                      <a:t>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277-4741-BBA6-EEFF01F68940}"/>
                </c:ext>
              </c:extLst>
            </c:dLbl>
            <c:dLbl>
              <c:idx val="1"/>
              <c:layout>
                <c:manualLayout>
                  <c:x val="-2.25690141800091E-2"/>
                  <c:y val="0.119760356042451"/>
                </c:manualLayout>
              </c:layout>
              <c:tx>
                <c:rich>
                  <a:bodyPr/>
                  <a:lstStyle/>
                  <a:p>
                    <a:r>
                      <a:rPr lang="en-US"/>
                      <a:t>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277-4741-BBA6-EEFF01F68940}"/>
                </c:ext>
              </c:extLst>
            </c:dLbl>
            <c:dLbl>
              <c:idx val="2"/>
              <c:layout>
                <c:manualLayout>
                  <c:x val="-2.3194019477382401E-2"/>
                  <c:y val="0.10538916094845401"/>
                </c:manualLayout>
              </c:layout>
              <c:tx>
                <c:rich>
                  <a:bodyPr/>
                  <a:lstStyle/>
                  <a:p>
                    <a:r>
                      <a:rPr lang="en-US"/>
                      <a:t>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277-4741-BBA6-EEFF01F68940}"/>
                </c:ext>
              </c:extLst>
            </c:dLbl>
            <c:dLbl>
              <c:idx val="3"/>
              <c:layout>
                <c:manualLayout>
                  <c:x val="-2.4721866709610699E-2"/>
                  <c:y val="9.1017965854457206E-2"/>
                </c:manualLayout>
              </c:layout>
              <c:tx>
                <c:rich>
                  <a:bodyPr/>
                  <a:lstStyle/>
                  <a:p>
                    <a:r>
                      <a:rPr lang="en-US"/>
                      <a:t>a</a:t>
                    </a:r>
                  </a:p>
                </c:rich>
              </c:tx>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277-4741-BBA6-EEFF01F68940}"/>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Dir val="y"/>
            <c:errBarType val="both"/>
            <c:errValType val="cust"/>
            <c:noEndCap val="0"/>
            <c:plus>
              <c:numRef>
                <c:f>Sheet13!$D$17:$D$20</c:f>
                <c:numCache>
                  <c:formatCode>General</c:formatCode>
                  <c:ptCount val="4"/>
                  <c:pt idx="0">
                    <c:v>4.04</c:v>
                  </c:pt>
                  <c:pt idx="1">
                    <c:v>3.46</c:v>
                  </c:pt>
                  <c:pt idx="2">
                    <c:v>3.21</c:v>
                  </c:pt>
                  <c:pt idx="3">
                    <c:v>2</c:v>
                  </c:pt>
                </c:numCache>
              </c:numRef>
            </c:plus>
            <c:minus>
              <c:numRef>
                <c:f>Sheet13!$D$17:$D$20</c:f>
                <c:numCache>
                  <c:formatCode>General</c:formatCode>
                  <c:ptCount val="4"/>
                  <c:pt idx="0">
                    <c:v>4.04</c:v>
                  </c:pt>
                  <c:pt idx="1">
                    <c:v>3.46</c:v>
                  </c:pt>
                  <c:pt idx="2">
                    <c:v>3.21</c:v>
                  </c:pt>
                  <c:pt idx="3">
                    <c:v>2</c:v>
                  </c:pt>
                </c:numCache>
              </c:numRef>
            </c:minus>
          </c:errBars>
          <c:cat>
            <c:strRef>
              <c:f>Sheet13!$A$17:$A$20</c:f>
              <c:strCache>
                <c:ptCount val="4"/>
                <c:pt idx="0">
                  <c:v>ND</c:v>
                </c:pt>
                <c:pt idx="1">
                  <c:v>HCD</c:v>
                </c:pt>
                <c:pt idx="2">
                  <c:v>HCD + PC low dose</c:v>
                </c:pt>
                <c:pt idx="3">
                  <c:v>HCD + PC high dose</c:v>
                </c:pt>
              </c:strCache>
            </c:strRef>
          </c:cat>
          <c:val>
            <c:numRef>
              <c:f>Sheet13!$B$17:$B$20</c:f>
              <c:numCache>
                <c:formatCode>General</c:formatCode>
                <c:ptCount val="4"/>
                <c:pt idx="0">
                  <c:v>17.670000000000002</c:v>
                </c:pt>
                <c:pt idx="1">
                  <c:v>22</c:v>
                </c:pt>
                <c:pt idx="2">
                  <c:v>18.329999999999998</c:v>
                </c:pt>
                <c:pt idx="3">
                  <c:v>17</c:v>
                </c:pt>
              </c:numCache>
            </c:numRef>
          </c:val>
          <c:smooth val="0"/>
          <c:extLst>
            <c:ext xmlns:c16="http://schemas.microsoft.com/office/drawing/2014/chart" uri="{C3380CC4-5D6E-409C-BE32-E72D297353CC}">
              <c16:uniqueId val="{00000004-1277-4741-BBA6-EEFF01F68940}"/>
            </c:ext>
          </c:extLst>
        </c:ser>
        <c:dLbls>
          <c:showLegendKey val="0"/>
          <c:showVal val="0"/>
          <c:showCatName val="0"/>
          <c:showSerName val="0"/>
          <c:showPercent val="0"/>
          <c:showBubbleSize val="0"/>
        </c:dLbls>
        <c:marker val="1"/>
        <c:smooth val="0"/>
        <c:axId val="58668544"/>
        <c:axId val="58670080"/>
      </c:lineChart>
      <c:catAx>
        <c:axId val="58668544"/>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GB"/>
                  <a:t>Treatments groups </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8670080"/>
        <c:crosses val="autoZero"/>
        <c:auto val="1"/>
        <c:lblAlgn val="ctr"/>
        <c:lblOffset val="100"/>
        <c:noMultiLvlLbl val="0"/>
      </c:catAx>
      <c:valAx>
        <c:axId val="58670080"/>
        <c:scaling>
          <c:orientation val="minMax"/>
          <c:max val="40"/>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GB"/>
                  <a:t>Body weight gain</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8668544"/>
        <c:crosses val="autoZero"/>
        <c:crossBetween val="between"/>
        <c:majorUnit val="10"/>
        <c:minorUnit val="1"/>
      </c:valAx>
    </c:plotArea>
    <c:plotVisOnly val="1"/>
    <c:dispBlanksAs val="gap"/>
    <c:showDLblsOverMax val="0"/>
    <c:extLst>
      <c:ext uri="{0b15fc19-7d7d-44ad-8c2d-2c3a37ce22c3}">
        <chartProps xmlns="https://web.wps.cn/et/2018/main" chartId="{fc0b42db-8dc4-40a0-bec9-e61ca08bd809}"/>
      </c:ext>
    </c:extLst>
  </c:chart>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Sheet11!$B$3</c:f>
              <c:strCache>
                <c:ptCount val="1"/>
                <c:pt idx="0">
                  <c:v>TCHOL</c:v>
                </c:pt>
              </c:strCache>
            </c:strRef>
          </c:tx>
          <c:spPr>
            <a:solidFill>
              <a:schemeClr val="bg1">
                <a:lumMod val="65000"/>
              </a:schemeClr>
            </a:solidFill>
            <a:ln>
              <a:solidFill>
                <a:sysClr val="windowText" lastClr="000000"/>
              </a:solidFill>
            </a:ln>
          </c:spPr>
          <c:invertIfNegative val="0"/>
          <c:dLbls>
            <c:dLbl>
              <c:idx val="0"/>
              <c:layout>
                <c:manualLayout>
                  <c:x val="-2.5462668816040001E-17"/>
                  <c:y val="-9.090909090909099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42C-4003-B279-EF6802BDBEDB}"/>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42C-4003-B279-EF6802BDBEDB}"/>
                </c:ext>
              </c:extLst>
            </c:dLbl>
            <c:dLbl>
              <c:idx val="2"/>
              <c:layout>
                <c:manualLayout>
                  <c:x val="0"/>
                  <c:y val="-1.9138755980861202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42C-4003-B279-EF6802BDBEDB}"/>
                </c:ext>
              </c:extLst>
            </c:dLbl>
            <c:dLbl>
              <c:idx val="3"/>
              <c:layout>
                <c:manualLayout>
                  <c:x val="-1.0185067526416E-16"/>
                  <c:y val="-3.82775119617225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42C-4003-B279-EF6802BDBEDB}"/>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Sheet11!$D$4:$D$7</c:f>
                <c:numCache>
                  <c:formatCode>General</c:formatCode>
                  <c:ptCount val="4"/>
                  <c:pt idx="0">
                    <c:v>29.5</c:v>
                  </c:pt>
                  <c:pt idx="1">
                    <c:v>4.8499999999999996</c:v>
                  </c:pt>
                  <c:pt idx="2">
                    <c:v>12.09</c:v>
                  </c:pt>
                  <c:pt idx="3">
                    <c:v>17.82</c:v>
                  </c:pt>
                </c:numCache>
              </c:numRef>
            </c:plus>
            <c:minus>
              <c:numRef>
                <c:f>Sheet11!$D$4:$D$7</c:f>
                <c:numCache>
                  <c:formatCode>General</c:formatCode>
                  <c:ptCount val="4"/>
                  <c:pt idx="0">
                    <c:v>29.5</c:v>
                  </c:pt>
                  <c:pt idx="1">
                    <c:v>4.8499999999999996</c:v>
                  </c:pt>
                  <c:pt idx="2">
                    <c:v>12.09</c:v>
                  </c:pt>
                  <c:pt idx="3">
                    <c:v>17.82</c:v>
                  </c:pt>
                </c:numCache>
              </c:numRef>
            </c:minus>
          </c:errBars>
          <c:cat>
            <c:strRef>
              <c:f>Sheet11!$A$4:$A$7</c:f>
              <c:strCache>
                <c:ptCount val="4"/>
                <c:pt idx="0">
                  <c:v>ND</c:v>
                </c:pt>
                <c:pt idx="1">
                  <c:v>HCD</c:v>
                </c:pt>
                <c:pt idx="2">
                  <c:v>HCD + PC low dose</c:v>
                </c:pt>
                <c:pt idx="3">
                  <c:v>HCD + PC high dose</c:v>
                </c:pt>
              </c:strCache>
            </c:strRef>
          </c:cat>
          <c:val>
            <c:numRef>
              <c:f>Sheet11!$B$4:$B$7</c:f>
              <c:numCache>
                <c:formatCode>General</c:formatCode>
                <c:ptCount val="4"/>
                <c:pt idx="0">
                  <c:v>135.99</c:v>
                </c:pt>
                <c:pt idx="1">
                  <c:v>231.08</c:v>
                </c:pt>
                <c:pt idx="2">
                  <c:v>146.08000000000001</c:v>
                </c:pt>
                <c:pt idx="3">
                  <c:v>143.96</c:v>
                </c:pt>
              </c:numCache>
            </c:numRef>
          </c:val>
          <c:extLst>
            <c:ext xmlns:c16="http://schemas.microsoft.com/office/drawing/2014/chart" uri="{C3380CC4-5D6E-409C-BE32-E72D297353CC}">
              <c16:uniqueId val="{00000004-142C-4003-B279-EF6802BDBEDB}"/>
            </c:ext>
          </c:extLst>
        </c:ser>
        <c:dLbls>
          <c:showLegendKey val="0"/>
          <c:showVal val="0"/>
          <c:showCatName val="0"/>
          <c:showSerName val="0"/>
          <c:showPercent val="0"/>
          <c:showBubbleSize val="0"/>
        </c:dLbls>
        <c:gapWidth val="150"/>
        <c:axId val="57414400"/>
        <c:axId val="57415936"/>
      </c:barChart>
      <c:catAx>
        <c:axId val="57414400"/>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Treatment Groups</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15936"/>
        <c:crosses val="autoZero"/>
        <c:auto val="1"/>
        <c:lblAlgn val="ctr"/>
        <c:lblOffset val="100"/>
        <c:noMultiLvlLbl val="0"/>
      </c:catAx>
      <c:valAx>
        <c:axId val="57415936"/>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TCHOL (mg/dL)</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14400"/>
        <c:crosses val="autoZero"/>
        <c:crossBetween val="between"/>
      </c:valAx>
    </c:plotArea>
    <c:plotVisOnly val="1"/>
    <c:dispBlanksAs val="gap"/>
    <c:showDLblsOverMax val="0"/>
    <c:extLst>
      <c:ext uri="{0b15fc19-7d7d-44ad-8c2d-2c3a37ce22c3}">
        <chartProps xmlns="https://web.wps.cn/et/2018/main" chartId="{b21812ae-0c85-4699-b39c-95945db98856}"/>
      </c:ext>
    </c:extLst>
  </c:chart>
  <c:txPr>
    <a:bodyPr/>
    <a:lstStyle/>
    <a:p>
      <a:pPr>
        <a:defRPr lang="en-US"/>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Sheet11!$B$16</c:f>
              <c:strCache>
                <c:ptCount val="1"/>
                <c:pt idx="0">
                  <c:v>TG</c:v>
                </c:pt>
              </c:strCache>
            </c:strRef>
          </c:tx>
          <c:spPr>
            <a:solidFill>
              <a:sysClr val="window" lastClr="FFFFFF">
                <a:lumMod val="65000"/>
              </a:sysClr>
            </a:solidFill>
            <a:ln>
              <a:solidFill>
                <a:sysClr val="windowText" lastClr="000000"/>
              </a:solidFill>
            </a:ln>
          </c:spPr>
          <c:invertIfNegative val="0"/>
          <c:dLbls>
            <c:dLbl>
              <c:idx val="0"/>
              <c:layout>
                <c:manualLayout>
                  <c:x val="-2.5462668816040001E-17"/>
                  <c:y val="-3.832335329341320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9BA-47C7-9C77-190BC6C8CE63}"/>
                </c:ext>
              </c:extLst>
            </c:dLbl>
            <c:dLbl>
              <c:idx val="1"/>
              <c:layout>
                <c:manualLayout>
                  <c:x val="0"/>
                  <c:y val="-3.8323353293413201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9BA-47C7-9C77-190BC6C8CE63}"/>
                </c:ext>
              </c:extLst>
            </c:dLbl>
            <c:dLbl>
              <c:idx val="2"/>
              <c:layout>
                <c:manualLayout>
                  <c:x val="-2.7777777777777801E-3"/>
                  <c:y val="-2.8742514970059901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9BA-47C7-9C77-190BC6C8CE63}"/>
                </c:ext>
              </c:extLst>
            </c:dLbl>
            <c:dLbl>
              <c:idx val="3"/>
              <c:layout>
                <c:manualLayout>
                  <c:x val="-1.0185067526416E-16"/>
                  <c:y val="-4.7904191616766498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9BA-47C7-9C77-190BC6C8CE63}"/>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Sheet11!$D$17:$D$20</c:f>
                <c:numCache>
                  <c:formatCode>General</c:formatCode>
                  <c:ptCount val="4"/>
                  <c:pt idx="0">
                    <c:v>12.31</c:v>
                  </c:pt>
                  <c:pt idx="1">
                    <c:v>18.760000000000002</c:v>
                  </c:pt>
                  <c:pt idx="2">
                    <c:v>14.2</c:v>
                  </c:pt>
                  <c:pt idx="3">
                    <c:v>27.42</c:v>
                  </c:pt>
                </c:numCache>
              </c:numRef>
            </c:plus>
            <c:minus>
              <c:numRef>
                <c:f>Sheet11!$D$17:$D$20</c:f>
                <c:numCache>
                  <c:formatCode>General</c:formatCode>
                  <c:ptCount val="4"/>
                  <c:pt idx="0">
                    <c:v>12.31</c:v>
                  </c:pt>
                  <c:pt idx="1">
                    <c:v>18.760000000000002</c:v>
                  </c:pt>
                  <c:pt idx="2">
                    <c:v>14.2</c:v>
                  </c:pt>
                  <c:pt idx="3">
                    <c:v>27.42</c:v>
                  </c:pt>
                </c:numCache>
              </c:numRef>
            </c:minus>
          </c:errBars>
          <c:cat>
            <c:strRef>
              <c:f>Sheet11!$A$17:$A$20</c:f>
              <c:strCache>
                <c:ptCount val="4"/>
                <c:pt idx="0">
                  <c:v>ND</c:v>
                </c:pt>
                <c:pt idx="1">
                  <c:v>HCD</c:v>
                </c:pt>
                <c:pt idx="2">
                  <c:v>HCD + PC low dose</c:v>
                </c:pt>
                <c:pt idx="3">
                  <c:v>HCD + PC high dose</c:v>
                </c:pt>
              </c:strCache>
            </c:strRef>
          </c:cat>
          <c:val>
            <c:numRef>
              <c:f>Sheet11!$B$17:$B$20</c:f>
              <c:numCache>
                <c:formatCode>General</c:formatCode>
                <c:ptCount val="4"/>
                <c:pt idx="0">
                  <c:v>272.5</c:v>
                </c:pt>
                <c:pt idx="1">
                  <c:v>342.92</c:v>
                </c:pt>
                <c:pt idx="2">
                  <c:v>238.75</c:v>
                </c:pt>
                <c:pt idx="3">
                  <c:v>249.58</c:v>
                </c:pt>
              </c:numCache>
            </c:numRef>
          </c:val>
          <c:extLst>
            <c:ext xmlns:c16="http://schemas.microsoft.com/office/drawing/2014/chart" uri="{C3380CC4-5D6E-409C-BE32-E72D297353CC}">
              <c16:uniqueId val="{00000004-D9BA-47C7-9C77-190BC6C8CE63}"/>
            </c:ext>
          </c:extLst>
        </c:ser>
        <c:dLbls>
          <c:showLegendKey val="0"/>
          <c:showVal val="0"/>
          <c:showCatName val="0"/>
          <c:showSerName val="0"/>
          <c:showPercent val="0"/>
          <c:showBubbleSize val="0"/>
        </c:dLbls>
        <c:gapWidth val="150"/>
        <c:axId val="57452032"/>
        <c:axId val="57453568"/>
      </c:barChart>
      <c:catAx>
        <c:axId val="57452032"/>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GB"/>
                  <a:t>Treatment Groups</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53568"/>
        <c:crosses val="autoZero"/>
        <c:auto val="1"/>
        <c:lblAlgn val="ctr"/>
        <c:lblOffset val="100"/>
        <c:noMultiLvlLbl val="0"/>
      </c:catAx>
      <c:valAx>
        <c:axId val="57453568"/>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GB"/>
                  <a:t>Total Triacylglyceride</a:t>
                </a:r>
                <a:r>
                  <a:rPr lang="en-GB" altLang="en-GB"/>
                  <a:t> (mg/dL)</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52032"/>
        <c:crosses val="autoZero"/>
        <c:crossBetween val="between"/>
      </c:valAx>
    </c:plotArea>
    <c:plotVisOnly val="1"/>
    <c:dispBlanksAs val="gap"/>
    <c:showDLblsOverMax val="0"/>
    <c:extLst>
      <c:ext uri="{0b15fc19-7d7d-44ad-8c2d-2c3a37ce22c3}">
        <chartProps xmlns="https://web.wps.cn/et/2018/main" chartId="{e3dba6fc-e44f-4a7c-99af-1739d2d8a56a}"/>
      </c:ext>
    </c:extLst>
  </c:chart>
  <c:txPr>
    <a:bodyPr/>
    <a:lstStyle/>
    <a:p>
      <a:pPr>
        <a:defRPr lang="en-US"/>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Sheet12!$B$3</c:f>
              <c:strCache>
                <c:ptCount val="1"/>
                <c:pt idx="0">
                  <c:v>LDL</c:v>
                </c:pt>
              </c:strCache>
            </c:strRef>
          </c:tx>
          <c:spPr>
            <a:solidFill>
              <a:sysClr val="window" lastClr="FFFFFF">
                <a:lumMod val="65000"/>
              </a:sysClr>
            </a:solidFill>
            <a:ln>
              <a:solidFill>
                <a:sysClr val="windowText" lastClr="000000"/>
              </a:solidFill>
            </a:ln>
          </c:spPr>
          <c:invertIfNegative val="0"/>
          <c:dLbls>
            <c:dLbl>
              <c:idx val="0"/>
              <c:layout>
                <c:manualLayout>
                  <c:x val="-2.5462668816040001E-17"/>
                  <c:y val="-0.12934131736526999"/>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419-42A8-A359-34DC7C9F1639}"/>
                </c:ext>
              </c:extLst>
            </c:dLbl>
            <c:dLbl>
              <c:idx val="1"/>
              <c:layout>
                <c:manualLayout>
                  <c:x val="0"/>
                  <c:y val="-0.105389221556886"/>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419-42A8-A359-34DC7C9F1639}"/>
                </c:ext>
              </c:extLst>
            </c:dLbl>
            <c:dLbl>
              <c:idx val="2"/>
              <c:layout>
                <c:manualLayout>
                  <c:x val="0"/>
                  <c:y val="-0.215568862275449"/>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419-42A8-A359-34DC7C9F1639}"/>
                </c:ext>
              </c:extLst>
            </c:dLbl>
            <c:dLbl>
              <c:idx val="3"/>
              <c:layout>
                <c:manualLayout>
                  <c:x val="-1.0185067526416E-16"/>
                  <c:y val="-0.20119760479041901"/>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419-42A8-A359-34DC7C9F1639}"/>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errBars>
            <c:errBarType val="both"/>
            <c:errValType val="cust"/>
            <c:noEndCap val="0"/>
            <c:plus>
              <c:numRef>
                <c:f>Sheet12!$D$4:$D$7</c:f>
                <c:numCache>
                  <c:formatCode>General</c:formatCode>
                  <c:ptCount val="4"/>
                  <c:pt idx="0">
                    <c:v>26.8</c:v>
                  </c:pt>
                  <c:pt idx="1">
                    <c:v>23.21</c:v>
                  </c:pt>
                  <c:pt idx="2">
                    <c:v>43.36</c:v>
                  </c:pt>
                  <c:pt idx="3">
                    <c:v>40.79</c:v>
                  </c:pt>
                </c:numCache>
              </c:numRef>
            </c:plus>
            <c:minus>
              <c:numRef>
                <c:f>Sheet12!$D$4:$D$7</c:f>
                <c:numCache>
                  <c:formatCode>General</c:formatCode>
                  <c:ptCount val="4"/>
                  <c:pt idx="0">
                    <c:v>26.8</c:v>
                  </c:pt>
                  <c:pt idx="1">
                    <c:v>23.21</c:v>
                  </c:pt>
                  <c:pt idx="2">
                    <c:v>43.36</c:v>
                  </c:pt>
                  <c:pt idx="3">
                    <c:v>40.79</c:v>
                  </c:pt>
                </c:numCache>
              </c:numRef>
            </c:minus>
          </c:errBars>
          <c:cat>
            <c:strRef>
              <c:f>Sheet12!$A$4:$A$7</c:f>
              <c:strCache>
                <c:ptCount val="4"/>
                <c:pt idx="0">
                  <c:v>ND</c:v>
                </c:pt>
                <c:pt idx="1">
                  <c:v>HCD</c:v>
                </c:pt>
                <c:pt idx="2">
                  <c:v>HCD + PC low dose</c:v>
                </c:pt>
                <c:pt idx="3">
                  <c:v>HCD + PC high dose</c:v>
                </c:pt>
              </c:strCache>
            </c:strRef>
          </c:cat>
          <c:val>
            <c:numRef>
              <c:f>Sheet12!$B$4:$B$7</c:f>
              <c:numCache>
                <c:formatCode>General</c:formatCode>
                <c:ptCount val="4"/>
                <c:pt idx="0">
                  <c:v>41.31</c:v>
                </c:pt>
                <c:pt idx="1">
                  <c:v>108.49</c:v>
                </c:pt>
                <c:pt idx="2">
                  <c:v>99.92</c:v>
                </c:pt>
                <c:pt idx="3">
                  <c:v>60.78</c:v>
                </c:pt>
              </c:numCache>
            </c:numRef>
          </c:val>
          <c:extLst>
            <c:ext xmlns:c16="http://schemas.microsoft.com/office/drawing/2014/chart" uri="{C3380CC4-5D6E-409C-BE32-E72D297353CC}">
              <c16:uniqueId val="{00000004-3419-42A8-A359-34DC7C9F1639}"/>
            </c:ext>
          </c:extLst>
        </c:ser>
        <c:dLbls>
          <c:showLegendKey val="0"/>
          <c:showVal val="0"/>
          <c:showCatName val="0"/>
          <c:showSerName val="0"/>
          <c:showPercent val="0"/>
          <c:showBubbleSize val="0"/>
        </c:dLbls>
        <c:gapWidth val="150"/>
        <c:axId val="57375360"/>
        <c:axId val="57475456"/>
      </c:barChart>
      <c:catAx>
        <c:axId val="57375360"/>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Treatment Groups</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75456"/>
        <c:crosses val="autoZero"/>
        <c:auto val="1"/>
        <c:lblAlgn val="ctr"/>
        <c:lblOffset val="100"/>
        <c:noMultiLvlLbl val="0"/>
      </c:catAx>
      <c:valAx>
        <c:axId val="57475456"/>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LDL (mg/dL)</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375360"/>
        <c:crosses val="autoZero"/>
        <c:crossBetween val="between"/>
      </c:valAx>
    </c:plotArea>
    <c:plotVisOnly val="1"/>
    <c:dispBlanksAs val="gap"/>
    <c:showDLblsOverMax val="0"/>
    <c:extLst>
      <c:ext uri="{0b15fc19-7d7d-44ad-8c2d-2c3a37ce22c3}">
        <chartProps xmlns="https://web.wps.cn/et/2018/main" chartId="{530a0301-929c-4b93-84ba-d8e7c39b6ccb}"/>
      </c:ext>
    </c:extLst>
  </c:chart>
  <c:txPr>
    <a:bodyPr/>
    <a:lstStyle/>
    <a:p>
      <a:pPr>
        <a:defRPr lang="en-US"/>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Sheet12!$B$16</c:f>
              <c:strCache>
                <c:ptCount val="1"/>
                <c:pt idx="0">
                  <c:v>HDL</c:v>
                </c:pt>
              </c:strCache>
            </c:strRef>
          </c:tx>
          <c:spPr>
            <a:solidFill>
              <a:sysClr val="window" lastClr="FFFFFF">
                <a:lumMod val="65000"/>
              </a:sysClr>
            </a:solidFill>
            <a:ln>
              <a:solidFill>
                <a:sysClr val="windowText" lastClr="000000"/>
              </a:solidFill>
            </a:ln>
          </c:spPr>
          <c:invertIfNegative val="0"/>
          <c:dLbls>
            <c:dLbl>
              <c:idx val="0"/>
              <c:layout>
                <c:manualLayout>
                  <c:x val="-2.5462668816040001E-17"/>
                  <c:y val="-0.244311377245509"/>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ED4-4D03-B33C-1AA2E0CE5849}"/>
                </c:ext>
              </c:extLst>
            </c:dLbl>
            <c:dLbl>
              <c:idx val="1"/>
              <c:layout>
                <c:manualLayout>
                  <c:x val="-2.7777777777777801E-3"/>
                  <c:y val="-0.153293413173653"/>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D4-4D03-B33C-1AA2E0CE5849}"/>
                </c:ext>
              </c:extLst>
            </c:dLbl>
            <c:dLbl>
              <c:idx val="2"/>
              <c:layout>
                <c:manualLayout>
                  <c:x val="2.7777777777777801E-3"/>
                  <c:y val="-0.23952095808383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ED4-4D03-B33C-1AA2E0CE5849}"/>
                </c:ext>
              </c:extLst>
            </c:dLbl>
            <c:dLbl>
              <c:idx val="3"/>
              <c:layout>
                <c:manualLayout>
                  <c:x val="-1.0185067526416E-16"/>
                  <c:y val="-0.105389221556886"/>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ED4-4D03-B33C-1AA2E0CE5849}"/>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errBars>
            <c:errBarType val="both"/>
            <c:errValType val="cust"/>
            <c:noEndCap val="0"/>
            <c:plus>
              <c:numRef>
                <c:f>Sheet12!$D$17:$D$20</c:f>
                <c:numCache>
                  <c:formatCode>General</c:formatCode>
                  <c:ptCount val="4"/>
                  <c:pt idx="0">
                    <c:v>35.42</c:v>
                  </c:pt>
                  <c:pt idx="1">
                    <c:v>22.83</c:v>
                  </c:pt>
                  <c:pt idx="2">
                    <c:v>36.46</c:v>
                  </c:pt>
                  <c:pt idx="3">
                    <c:v>16.68</c:v>
                  </c:pt>
                </c:numCache>
              </c:numRef>
            </c:plus>
            <c:minus>
              <c:numRef>
                <c:f>Sheet12!$D$17:$D$20</c:f>
                <c:numCache>
                  <c:formatCode>General</c:formatCode>
                  <c:ptCount val="4"/>
                  <c:pt idx="0">
                    <c:v>35.42</c:v>
                  </c:pt>
                  <c:pt idx="1">
                    <c:v>22.83</c:v>
                  </c:pt>
                  <c:pt idx="2">
                    <c:v>36.46</c:v>
                  </c:pt>
                  <c:pt idx="3">
                    <c:v>16.68</c:v>
                  </c:pt>
                </c:numCache>
              </c:numRef>
            </c:minus>
          </c:errBars>
          <c:cat>
            <c:strRef>
              <c:f>Sheet12!$A$17:$A$20</c:f>
              <c:strCache>
                <c:ptCount val="4"/>
                <c:pt idx="0">
                  <c:v>ND</c:v>
                </c:pt>
                <c:pt idx="1">
                  <c:v>HCD</c:v>
                </c:pt>
                <c:pt idx="2">
                  <c:v>HCD + PC low dose</c:v>
                </c:pt>
                <c:pt idx="3">
                  <c:v>HCD + PC high dose</c:v>
                </c:pt>
              </c:strCache>
            </c:strRef>
          </c:cat>
          <c:val>
            <c:numRef>
              <c:f>Sheet12!$B$17:$B$20</c:f>
              <c:numCache>
                <c:formatCode>General</c:formatCode>
                <c:ptCount val="4"/>
                <c:pt idx="0">
                  <c:v>68.22</c:v>
                </c:pt>
                <c:pt idx="1">
                  <c:v>52.89</c:v>
                </c:pt>
                <c:pt idx="2">
                  <c:v>50.44</c:v>
                </c:pt>
                <c:pt idx="3">
                  <c:v>76.22</c:v>
                </c:pt>
              </c:numCache>
            </c:numRef>
          </c:val>
          <c:extLst>
            <c:ext xmlns:c16="http://schemas.microsoft.com/office/drawing/2014/chart" uri="{C3380CC4-5D6E-409C-BE32-E72D297353CC}">
              <c16:uniqueId val="{00000004-FED4-4D03-B33C-1AA2E0CE5849}"/>
            </c:ext>
          </c:extLst>
        </c:ser>
        <c:dLbls>
          <c:showLegendKey val="0"/>
          <c:showVal val="0"/>
          <c:showCatName val="0"/>
          <c:showSerName val="0"/>
          <c:showPercent val="0"/>
          <c:showBubbleSize val="0"/>
        </c:dLbls>
        <c:gapWidth val="150"/>
        <c:axId val="57494912"/>
        <c:axId val="57496704"/>
      </c:barChart>
      <c:catAx>
        <c:axId val="57494912"/>
        <c:scaling>
          <c:orientation val="minMax"/>
        </c:scaling>
        <c:delete val="0"/>
        <c:axPos val="b"/>
        <c:title>
          <c:tx>
            <c:rich>
              <a:bodyPr rot="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Treatment Groups</a:t>
                </a:r>
              </a:p>
            </c:rich>
          </c:tx>
          <c:overlay val="0"/>
        </c:title>
        <c:numFmt formatCode="General" sourceLinked="0"/>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96704"/>
        <c:crosses val="autoZero"/>
        <c:auto val="1"/>
        <c:lblAlgn val="ctr"/>
        <c:lblOffset val="100"/>
        <c:noMultiLvlLbl val="0"/>
      </c:catAx>
      <c:valAx>
        <c:axId val="57496704"/>
        <c:scaling>
          <c:orientation val="minMax"/>
        </c:scaling>
        <c:delete val="0"/>
        <c:axPos val="l"/>
        <c:title>
          <c:tx>
            <c:rich>
              <a:bodyPr rot="-5400000" spcFirstLastPara="0" vertOverflow="ellipsis" vert="horz" wrap="square" anchor="ctr" anchorCtr="1"/>
              <a:lstStyle/>
              <a:p>
                <a:pPr defTabSz="914400">
                  <a:defRPr lang="en-US" sz="1000" b="1" i="0" u="none" strike="noStrike" kern="1200" baseline="0">
                    <a:solidFill>
                      <a:schemeClr val="tx1"/>
                    </a:solidFill>
                    <a:latin typeface="+mn-lt"/>
                    <a:ea typeface="+mn-ea"/>
                    <a:cs typeface="+mn-cs"/>
                  </a:defRPr>
                </a:pPr>
                <a:r>
                  <a:rPr lang="en-US"/>
                  <a:t>HDL (mg/dL)</a:t>
                </a:r>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57494912"/>
        <c:crosses val="autoZero"/>
        <c:crossBetween val="between"/>
      </c:valAx>
    </c:plotArea>
    <c:plotVisOnly val="1"/>
    <c:dispBlanksAs val="gap"/>
    <c:showDLblsOverMax val="0"/>
    <c:extLst>
      <c:ext uri="{0b15fc19-7d7d-44ad-8c2d-2c3a37ce22c3}">
        <chartProps xmlns="https://web.wps.cn/et/2018/main" chartId="{de366410-0edd-4034-af96-45eeca4569a5}"/>
      </c:ext>
    </c:extLst>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3"/>
    <customShpInfo spid="_x0000_s2054"/>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4871</Words>
  <Characters>30447</Characters>
  <Application>Microsoft Office Word</Application>
  <DocSecurity>0</DocSecurity>
  <Lines>563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Chinwendu Njideka</dc:creator>
  <cp:lastModifiedBy>Editor-1183</cp:lastModifiedBy>
  <cp:revision>3</cp:revision>
  <dcterms:created xsi:type="dcterms:W3CDTF">2025-11-25T04:15:00Z</dcterms:created>
  <dcterms:modified xsi:type="dcterms:W3CDTF">2025-11-26T06:45:00Z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579CF4479C2E43CF9F846276BDCE686B_11</vt:lpwstr>
  </property>
</Properties>
</file>