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7CCAD" w14:textId="77777777" w:rsidR="000B42FA" w:rsidRDefault="000B42FA" w:rsidP="00441B6F">
      <w:pPr>
        <w:pStyle w:val="Title"/>
        <w:spacing w:after="0"/>
        <w:jc w:val="both"/>
        <w:rPr>
          <w:rFonts w:ascii="Arial" w:hAnsi="Arial" w:cs="Arial"/>
        </w:rPr>
      </w:pPr>
    </w:p>
    <w:p w14:paraId="6509E434" w14:textId="65114C4D" w:rsidR="00684255" w:rsidRPr="00684255" w:rsidRDefault="00684255" w:rsidP="00684255">
      <w:pPr>
        <w:pStyle w:val="Author"/>
        <w:spacing w:line="240" w:lineRule="auto"/>
        <w:jc w:val="both"/>
        <w:rPr>
          <w:rFonts w:ascii="Arial" w:hAnsi="Arial" w:cs="Arial"/>
          <w:bCs/>
          <w:iCs/>
          <w:kern w:val="28"/>
          <w:sz w:val="36"/>
        </w:rPr>
      </w:pPr>
      <w:r w:rsidRPr="00684255">
        <w:rPr>
          <w:rFonts w:ascii="Arial" w:hAnsi="Arial" w:cs="Arial"/>
          <w:bCs/>
          <w:iCs/>
          <w:kern w:val="28"/>
          <w:sz w:val="36"/>
        </w:rPr>
        <w:t>Isolation and evaluation of the antibiotic sensitivity profile of</w:t>
      </w:r>
      <w:r w:rsidR="003B0776">
        <w:rPr>
          <w:rFonts w:ascii="Arial" w:hAnsi="Arial" w:cs="Arial"/>
          <w:bCs/>
          <w:iCs/>
          <w:kern w:val="28"/>
          <w:sz w:val="36"/>
        </w:rPr>
        <w:t xml:space="preserve"> </w:t>
      </w:r>
      <w:r w:rsidRPr="00684255">
        <w:rPr>
          <w:rFonts w:ascii="Arial" w:hAnsi="Arial" w:cs="Arial"/>
          <w:bCs/>
          <w:i/>
          <w:iCs/>
          <w:kern w:val="28"/>
          <w:sz w:val="36"/>
        </w:rPr>
        <w:t>Staphylococcus aureus</w:t>
      </w:r>
      <w:r w:rsidRPr="00684255">
        <w:rPr>
          <w:rFonts w:ascii="Arial" w:hAnsi="Arial" w:cs="Arial"/>
          <w:bCs/>
          <w:iCs/>
          <w:kern w:val="28"/>
          <w:sz w:val="36"/>
        </w:rPr>
        <w:t xml:space="preserve"> from</w:t>
      </w:r>
      <w:r w:rsidR="00843394">
        <w:rPr>
          <w:rFonts w:ascii="Arial" w:hAnsi="Arial" w:cs="Arial"/>
          <w:bCs/>
          <w:iCs/>
          <w:kern w:val="28"/>
          <w:sz w:val="36"/>
        </w:rPr>
        <w:t xml:space="preserve"> healthy</w:t>
      </w:r>
      <w:r w:rsidRPr="00684255">
        <w:rPr>
          <w:rFonts w:ascii="Arial" w:hAnsi="Arial" w:cs="Arial"/>
          <w:bCs/>
          <w:iCs/>
          <w:kern w:val="28"/>
          <w:sz w:val="36"/>
        </w:rPr>
        <w:t xml:space="preserve"> slaughterhouse workers</w:t>
      </w:r>
    </w:p>
    <w:p w14:paraId="47849175" w14:textId="77777777" w:rsidR="00A258C3" w:rsidRPr="00790ADA" w:rsidRDefault="00A258C3" w:rsidP="00441B6F">
      <w:pPr>
        <w:pStyle w:val="Author"/>
        <w:spacing w:line="240" w:lineRule="auto"/>
        <w:jc w:val="both"/>
        <w:rPr>
          <w:rFonts w:ascii="Arial" w:hAnsi="Arial" w:cs="Arial"/>
          <w:sz w:val="36"/>
        </w:rPr>
      </w:pPr>
    </w:p>
    <w:p w14:paraId="39954D40" w14:textId="77777777" w:rsidR="002C57D2" w:rsidRPr="00FB3A86" w:rsidRDefault="002C57D2" w:rsidP="00441B6F">
      <w:pPr>
        <w:pStyle w:val="Affiliation"/>
        <w:spacing w:after="0" w:line="240" w:lineRule="auto"/>
        <w:jc w:val="both"/>
        <w:rPr>
          <w:rFonts w:ascii="Arial" w:hAnsi="Arial" w:cs="Arial"/>
        </w:rPr>
      </w:pPr>
    </w:p>
    <w:p w14:paraId="2FC1757B" w14:textId="77777777" w:rsidR="00B01FCD" w:rsidRPr="00FB3A86" w:rsidRDefault="00ED1EFA" w:rsidP="00441B6F">
      <w:pPr>
        <w:pStyle w:val="Copyright"/>
        <w:spacing w:after="0" w:line="240" w:lineRule="auto"/>
        <w:jc w:val="both"/>
        <w:rPr>
          <w:rFonts w:ascii="Arial" w:hAnsi="Arial" w:cs="Arial"/>
        </w:rPr>
        <w:sectPr w:rsidR="00B01FCD" w:rsidRPr="00FB3A86" w:rsidSect="00B11B7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C226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C4B25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FBB3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42F480" w14:textId="77777777" w:rsidTr="001E44FE">
        <w:tc>
          <w:tcPr>
            <w:tcW w:w="9576" w:type="dxa"/>
            <w:shd w:val="clear" w:color="auto" w:fill="F2F2F2"/>
          </w:tcPr>
          <w:p w14:paraId="5A1AE4DE" w14:textId="77777777" w:rsidR="00E3114E" w:rsidRDefault="00E3114E" w:rsidP="002C1B1E">
            <w:pPr>
              <w:pStyle w:val="Body"/>
              <w:spacing w:after="0"/>
              <w:rPr>
                <w:rFonts w:ascii="Arial" w:eastAsia="Calibri" w:hAnsi="Arial" w:cs="Arial"/>
                <w:b/>
                <w:szCs w:val="22"/>
              </w:rPr>
            </w:pPr>
          </w:p>
          <w:p w14:paraId="54CB0C90" w14:textId="104FB4BA" w:rsidR="00996EB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96EBF">
              <w:rPr>
                <w:rFonts w:ascii="Arial" w:eastAsia="Calibri" w:hAnsi="Arial" w:cs="Arial"/>
                <w:szCs w:val="22"/>
              </w:rPr>
              <w:t xml:space="preserve">This study was undertaken to isolate and evaluate the antimicrobial </w:t>
            </w:r>
            <w:r w:rsidR="00457B76">
              <w:rPr>
                <w:rFonts w:ascii="Arial" w:eastAsia="Calibri" w:hAnsi="Arial" w:cs="Arial"/>
                <w:szCs w:val="22"/>
              </w:rPr>
              <w:t xml:space="preserve">sensitivity </w:t>
            </w:r>
            <w:r w:rsidR="00996EBF">
              <w:rPr>
                <w:rFonts w:ascii="Arial" w:eastAsia="Calibri" w:hAnsi="Arial" w:cs="Arial"/>
                <w:szCs w:val="22"/>
              </w:rPr>
              <w:t xml:space="preserve">pattern of </w:t>
            </w:r>
            <w:r w:rsidR="00996EBF">
              <w:rPr>
                <w:rFonts w:ascii="Arial" w:eastAsia="Calibri" w:hAnsi="Arial" w:cs="Arial"/>
                <w:i/>
                <w:iCs/>
                <w:szCs w:val="22"/>
              </w:rPr>
              <w:t>Staphylococcus</w:t>
            </w:r>
            <w:r w:rsidR="00996EBF">
              <w:rPr>
                <w:rFonts w:ascii="Arial" w:eastAsia="Calibri" w:hAnsi="Arial" w:cs="Arial"/>
                <w:szCs w:val="22"/>
              </w:rPr>
              <w:t xml:space="preserve"> aureus from the </w:t>
            </w:r>
            <w:r w:rsidR="00843394">
              <w:rPr>
                <w:rFonts w:ascii="Arial" w:eastAsia="Calibri" w:hAnsi="Arial" w:cs="Arial"/>
                <w:szCs w:val="22"/>
              </w:rPr>
              <w:t xml:space="preserve">healthy </w:t>
            </w:r>
            <w:r w:rsidR="00996EBF">
              <w:rPr>
                <w:rFonts w:ascii="Arial" w:eastAsia="Calibri" w:hAnsi="Arial" w:cs="Arial"/>
                <w:szCs w:val="22"/>
              </w:rPr>
              <w:t>Slaughterhouse workers.</w:t>
            </w:r>
          </w:p>
          <w:p w14:paraId="0CADCA1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96EBF" w:rsidRPr="00996EBF">
              <w:rPr>
                <w:rFonts w:ascii="Arial" w:eastAsia="Calibri" w:hAnsi="Arial" w:cs="Arial"/>
                <w:szCs w:val="22"/>
              </w:rPr>
              <w:t>Cross-sectional study.</w:t>
            </w:r>
          </w:p>
          <w:p w14:paraId="022E2BF9" w14:textId="77777777" w:rsidR="00996EBF"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6EBF">
              <w:rPr>
                <w:rFonts w:ascii="Arial" w:eastAsia="Calibri" w:hAnsi="Arial" w:cs="Arial"/>
                <w:szCs w:val="22"/>
              </w:rPr>
              <w:t>Samples were collected from various slaughterhouses of the Thoothukudi district of Tamil Nadu between December 2024- July 2025.</w:t>
            </w:r>
          </w:p>
          <w:p w14:paraId="4059A69B" w14:textId="3814F6FB" w:rsidR="00270262" w:rsidRPr="00270262" w:rsidRDefault="00BA1B01" w:rsidP="00441B6F">
            <w:pPr>
              <w:pStyle w:val="Body"/>
              <w:spacing w:after="0"/>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A67C08">
              <w:rPr>
                <w:rFonts w:ascii="Arial" w:eastAsia="Calibri" w:hAnsi="Arial" w:cs="Arial"/>
                <w:szCs w:val="22"/>
              </w:rPr>
              <w:t>50 nasal swa</w:t>
            </w:r>
            <w:r w:rsidR="00270262">
              <w:rPr>
                <w:rFonts w:ascii="Arial" w:eastAsia="Calibri" w:hAnsi="Arial" w:cs="Arial"/>
                <w:szCs w:val="22"/>
              </w:rPr>
              <w:t>bs</w:t>
            </w:r>
            <w:r w:rsidR="00A67C08">
              <w:rPr>
                <w:rFonts w:ascii="Arial" w:eastAsia="Calibri" w:hAnsi="Arial" w:cs="Arial"/>
                <w:szCs w:val="22"/>
              </w:rPr>
              <w:t xml:space="preserve"> were randomly collected from </w:t>
            </w:r>
            <w:r w:rsidR="00270262">
              <w:rPr>
                <w:rFonts w:ascii="Arial" w:eastAsia="Calibri" w:hAnsi="Arial" w:cs="Arial"/>
                <w:szCs w:val="22"/>
              </w:rPr>
              <w:t>the</w:t>
            </w:r>
            <w:r w:rsidR="00B2650E">
              <w:rPr>
                <w:rFonts w:ascii="Arial" w:eastAsia="Calibri" w:hAnsi="Arial" w:cs="Arial"/>
                <w:szCs w:val="22"/>
              </w:rPr>
              <w:t xml:space="preserve"> healthy</w:t>
            </w:r>
            <w:r w:rsidR="00270262">
              <w:rPr>
                <w:rFonts w:ascii="Arial" w:eastAsia="Calibri" w:hAnsi="Arial" w:cs="Arial"/>
                <w:szCs w:val="22"/>
              </w:rPr>
              <w:t xml:space="preserve"> </w:t>
            </w:r>
            <w:r w:rsidR="00A67C08">
              <w:rPr>
                <w:rFonts w:ascii="Arial" w:eastAsia="Calibri" w:hAnsi="Arial" w:cs="Arial"/>
                <w:szCs w:val="22"/>
              </w:rPr>
              <w:t xml:space="preserve">slaughterhouse workers of various places and processed for isolation of </w:t>
            </w:r>
            <w:r w:rsidR="00A67C08">
              <w:rPr>
                <w:rFonts w:ascii="Arial" w:eastAsia="Calibri" w:hAnsi="Arial" w:cs="Arial"/>
                <w:i/>
                <w:iCs/>
                <w:szCs w:val="22"/>
              </w:rPr>
              <w:t>S. aureus</w:t>
            </w:r>
            <w:r w:rsidR="00A67C08">
              <w:rPr>
                <w:rFonts w:ascii="Arial" w:eastAsia="Calibri" w:hAnsi="Arial" w:cs="Arial"/>
                <w:szCs w:val="22"/>
              </w:rPr>
              <w:t xml:space="preserve"> </w:t>
            </w:r>
            <w:r w:rsidR="00A67C08">
              <w:rPr>
                <w:rFonts w:ascii="Arial" w:hAnsi="Arial" w:cs="Arial"/>
              </w:rPr>
              <w:t>using</w:t>
            </w:r>
            <w:r w:rsidR="00A67C08" w:rsidRPr="001A5A0F">
              <w:rPr>
                <w:rFonts w:ascii="Arial" w:hAnsi="Arial" w:cs="Arial"/>
              </w:rPr>
              <w:t xml:space="preserve"> </w:t>
            </w:r>
            <w:r w:rsidR="00A67C08">
              <w:rPr>
                <w:rFonts w:ascii="Arial" w:hAnsi="Arial" w:cs="Arial"/>
              </w:rPr>
              <w:t xml:space="preserve">the standard </w:t>
            </w:r>
            <w:r w:rsidR="00A67C08" w:rsidRPr="005431C0">
              <w:rPr>
                <w:rFonts w:ascii="Arial" w:hAnsi="Arial" w:cs="Arial"/>
                <w:iCs/>
              </w:rPr>
              <w:t xml:space="preserve">(ISO 6888-1, 1999) </w:t>
            </w:r>
            <w:r w:rsidR="00A67C08">
              <w:rPr>
                <w:rFonts w:ascii="Arial" w:hAnsi="Arial" w:cs="Arial"/>
                <w:iCs/>
              </w:rPr>
              <w:t>procedure</w:t>
            </w:r>
            <w:r w:rsidR="00A67C08">
              <w:rPr>
                <w:rFonts w:ascii="Arial" w:eastAsia="Calibri" w:hAnsi="Arial" w:cs="Arial"/>
                <w:szCs w:val="22"/>
              </w:rPr>
              <w:t xml:space="preserve"> by </w:t>
            </w:r>
            <w:r w:rsidR="00270262">
              <w:rPr>
                <w:rFonts w:ascii="Arial" w:eastAsia="Calibri" w:hAnsi="Arial" w:cs="Arial"/>
                <w:szCs w:val="22"/>
              </w:rPr>
              <w:t>enrichment</w:t>
            </w:r>
            <w:r w:rsidR="00A67C08">
              <w:rPr>
                <w:rFonts w:ascii="Arial" w:eastAsia="Calibri" w:hAnsi="Arial" w:cs="Arial"/>
                <w:szCs w:val="22"/>
              </w:rPr>
              <w:t xml:space="preserve"> in </w:t>
            </w:r>
            <w:r w:rsidR="00A67C08" w:rsidRPr="005431C0">
              <w:rPr>
                <w:rFonts w:ascii="Arial" w:hAnsi="Arial" w:cs="Arial"/>
                <w:bCs/>
                <w:iCs/>
              </w:rPr>
              <w:t>Tryptic Soy Broth (TSB)</w:t>
            </w:r>
            <w:r w:rsidR="00A67C08">
              <w:rPr>
                <w:rFonts w:ascii="Arial" w:hAnsi="Arial" w:cs="Arial"/>
              </w:rPr>
              <w:t xml:space="preserve">, followed by streaking in </w:t>
            </w:r>
            <w:r w:rsidR="00A67C08" w:rsidRPr="005431C0">
              <w:rPr>
                <w:rFonts w:ascii="Arial" w:hAnsi="Arial" w:cs="Arial"/>
                <w:bCs/>
                <w:iCs/>
              </w:rPr>
              <w:t>Mannitol salt agar (MSA)</w:t>
            </w:r>
            <w:r w:rsidR="00A67C08">
              <w:rPr>
                <w:rFonts w:ascii="Arial" w:hAnsi="Arial" w:cs="Arial"/>
              </w:rPr>
              <w:t xml:space="preserve">. Then the presumptive isolates were stained and confirmed molecularly by species-specific PCR targeting the </w:t>
            </w:r>
            <w:proofErr w:type="spellStart"/>
            <w:r w:rsidR="00A67C08" w:rsidRPr="00A67C08">
              <w:rPr>
                <w:rFonts w:ascii="Arial" w:hAnsi="Arial" w:cs="Arial"/>
                <w:i/>
                <w:iCs/>
              </w:rPr>
              <w:t>nuc</w:t>
            </w:r>
            <w:proofErr w:type="spellEnd"/>
            <w:r w:rsidR="00A67C08">
              <w:rPr>
                <w:rFonts w:ascii="Arial" w:hAnsi="Arial" w:cs="Arial"/>
              </w:rPr>
              <w:t xml:space="preserve"> gene. </w:t>
            </w:r>
            <w:r w:rsidR="00270262">
              <w:rPr>
                <w:rFonts w:ascii="Arial" w:hAnsi="Arial" w:cs="Arial"/>
              </w:rPr>
              <w:t xml:space="preserve">Then the PCR confirmed isolates were evaluated for their coagulase production, by specific PCR targeting the </w:t>
            </w:r>
            <w:r w:rsidR="00270262" w:rsidRPr="00270262">
              <w:rPr>
                <w:rFonts w:ascii="Arial" w:hAnsi="Arial" w:cs="Arial"/>
                <w:i/>
                <w:iCs/>
              </w:rPr>
              <w:t>Coa</w:t>
            </w:r>
            <w:r w:rsidR="00270262">
              <w:rPr>
                <w:rFonts w:ascii="Arial" w:hAnsi="Arial" w:cs="Arial"/>
              </w:rPr>
              <w:t xml:space="preserve"> gene</w:t>
            </w:r>
            <w:r w:rsidR="00A67C08">
              <w:rPr>
                <w:rFonts w:ascii="Arial" w:hAnsi="Arial" w:cs="Arial"/>
              </w:rPr>
              <w:t xml:space="preserve">. </w:t>
            </w:r>
            <w:r w:rsidR="00270262">
              <w:rPr>
                <w:rFonts w:ascii="Arial" w:hAnsi="Arial" w:cs="Arial"/>
              </w:rPr>
              <w:t xml:space="preserve">Finally, the characterized isolates were tested for </w:t>
            </w:r>
            <w:r w:rsidR="00A67C08">
              <w:rPr>
                <w:rFonts w:ascii="Arial" w:hAnsi="Arial" w:cs="Arial"/>
              </w:rPr>
              <w:t>their antibiotic sensitivity profile</w:t>
            </w:r>
            <w:r w:rsidR="00270262">
              <w:rPr>
                <w:rFonts w:ascii="Arial" w:hAnsi="Arial" w:cs="Arial"/>
              </w:rPr>
              <w:t xml:space="preserve"> by following CLSI guidelines in the standard disc diffusion method.</w:t>
            </w:r>
          </w:p>
          <w:p w14:paraId="4A595629" w14:textId="77777777" w:rsidR="0027026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70262" w:rsidRPr="00270262">
              <w:rPr>
                <w:rFonts w:ascii="Arial" w:eastAsia="Calibri" w:hAnsi="Arial" w:cs="Arial"/>
                <w:szCs w:val="22"/>
              </w:rPr>
              <w:t xml:space="preserve">Among the </w:t>
            </w:r>
            <w:r w:rsidR="00270262">
              <w:rPr>
                <w:rFonts w:ascii="Arial" w:eastAsia="Calibri" w:hAnsi="Arial" w:cs="Arial"/>
                <w:szCs w:val="22"/>
              </w:rPr>
              <w:t>50</w:t>
            </w:r>
            <w:r w:rsidR="00270262" w:rsidRPr="00270262">
              <w:rPr>
                <w:rFonts w:ascii="Arial" w:eastAsia="Calibri" w:hAnsi="Arial" w:cs="Arial"/>
                <w:szCs w:val="22"/>
              </w:rPr>
              <w:t xml:space="preserve"> </w:t>
            </w:r>
            <w:r w:rsidR="00270262">
              <w:rPr>
                <w:rFonts w:ascii="Arial" w:eastAsia="Calibri" w:hAnsi="Arial" w:cs="Arial"/>
                <w:szCs w:val="22"/>
              </w:rPr>
              <w:t>nasal swabs</w:t>
            </w:r>
            <w:r w:rsidR="00270262" w:rsidRPr="00270262">
              <w:rPr>
                <w:rFonts w:ascii="Arial" w:eastAsia="Calibri" w:hAnsi="Arial" w:cs="Arial"/>
                <w:szCs w:val="22"/>
              </w:rPr>
              <w:t xml:space="preserve"> processed for isolation, </w:t>
            </w:r>
            <w:r w:rsidR="00270262">
              <w:rPr>
                <w:rFonts w:ascii="Arial" w:eastAsia="Calibri" w:hAnsi="Arial" w:cs="Arial"/>
                <w:szCs w:val="22"/>
              </w:rPr>
              <w:t>6</w:t>
            </w:r>
            <w:r w:rsidR="00270262" w:rsidRPr="00270262">
              <w:rPr>
                <w:rFonts w:ascii="Arial" w:eastAsia="Calibri" w:hAnsi="Arial" w:cs="Arial"/>
                <w:szCs w:val="22"/>
              </w:rPr>
              <w:t xml:space="preserve"> samples</w:t>
            </w:r>
            <w:r w:rsidR="009D1B9D">
              <w:rPr>
                <w:rFonts w:ascii="Arial" w:eastAsia="Calibri" w:hAnsi="Arial" w:cs="Arial"/>
                <w:szCs w:val="22"/>
              </w:rPr>
              <w:t xml:space="preserve"> (12% prevalence rate)</w:t>
            </w:r>
            <w:r w:rsidR="00270262" w:rsidRPr="00270262">
              <w:rPr>
                <w:rFonts w:ascii="Arial" w:eastAsia="Calibri" w:hAnsi="Arial" w:cs="Arial"/>
                <w:szCs w:val="22"/>
              </w:rPr>
              <w:t xml:space="preserve"> showed typical presumptive colony morphology in selective media</w:t>
            </w:r>
            <w:r w:rsidR="00270262">
              <w:rPr>
                <w:rFonts w:ascii="Arial" w:eastAsia="Calibri" w:hAnsi="Arial" w:cs="Arial"/>
                <w:szCs w:val="22"/>
              </w:rPr>
              <w:t>,</w:t>
            </w:r>
            <w:r w:rsidR="00270262" w:rsidRPr="00270262">
              <w:rPr>
                <w:rFonts w:ascii="Arial" w:eastAsia="Calibri" w:hAnsi="Arial" w:cs="Arial"/>
                <w:szCs w:val="22"/>
              </w:rPr>
              <w:t xml:space="preserve"> </w:t>
            </w:r>
            <w:r w:rsidR="00270262">
              <w:rPr>
                <w:rFonts w:ascii="Arial" w:eastAsia="Calibri" w:hAnsi="Arial" w:cs="Arial"/>
                <w:szCs w:val="22"/>
              </w:rPr>
              <w:t>and</w:t>
            </w:r>
            <w:r w:rsidR="00270262" w:rsidRPr="00270262">
              <w:rPr>
                <w:rFonts w:ascii="Arial" w:eastAsia="Calibri" w:hAnsi="Arial" w:cs="Arial"/>
                <w:szCs w:val="22"/>
              </w:rPr>
              <w:t xml:space="preserve"> </w:t>
            </w:r>
            <w:r w:rsidR="00270262">
              <w:rPr>
                <w:rFonts w:ascii="Arial" w:eastAsia="Calibri" w:hAnsi="Arial" w:cs="Arial"/>
                <w:szCs w:val="22"/>
              </w:rPr>
              <w:t>all those</w:t>
            </w:r>
            <w:r w:rsidR="00270262" w:rsidRPr="00270262">
              <w:rPr>
                <w:rFonts w:ascii="Arial" w:eastAsia="Calibri" w:hAnsi="Arial" w:cs="Arial"/>
                <w:szCs w:val="22"/>
              </w:rPr>
              <w:t xml:space="preserve"> were confirmed as </w:t>
            </w:r>
            <w:r w:rsidR="00270262">
              <w:rPr>
                <w:rFonts w:ascii="Arial" w:eastAsia="Calibri" w:hAnsi="Arial" w:cs="Arial"/>
                <w:i/>
                <w:iCs/>
                <w:szCs w:val="22"/>
              </w:rPr>
              <w:t>S. aureus</w:t>
            </w:r>
            <w:r w:rsidR="00270262" w:rsidRPr="00270262">
              <w:rPr>
                <w:rFonts w:ascii="Arial" w:eastAsia="Calibri" w:hAnsi="Arial" w:cs="Arial"/>
                <w:szCs w:val="22"/>
              </w:rPr>
              <w:t xml:space="preserve"> by </w:t>
            </w:r>
            <w:r w:rsidR="00270262">
              <w:rPr>
                <w:rFonts w:ascii="Arial" w:eastAsia="Calibri" w:hAnsi="Arial" w:cs="Arial"/>
                <w:szCs w:val="22"/>
              </w:rPr>
              <w:t>species-specific PCR</w:t>
            </w:r>
            <w:r w:rsidR="00B074D9">
              <w:rPr>
                <w:rFonts w:ascii="Arial" w:eastAsia="Calibri" w:hAnsi="Arial" w:cs="Arial"/>
                <w:szCs w:val="22"/>
              </w:rPr>
              <w:t xml:space="preserve"> targeting the </w:t>
            </w:r>
            <w:proofErr w:type="spellStart"/>
            <w:r w:rsidR="00B074D9" w:rsidRPr="00B074D9">
              <w:rPr>
                <w:rFonts w:ascii="Arial" w:eastAsia="Calibri" w:hAnsi="Arial" w:cs="Arial"/>
                <w:i/>
                <w:iCs/>
                <w:szCs w:val="22"/>
              </w:rPr>
              <w:t>nuc</w:t>
            </w:r>
            <w:proofErr w:type="spellEnd"/>
            <w:r w:rsidR="00B074D9">
              <w:rPr>
                <w:rFonts w:ascii="Arial" w:eastAsia="Calibri" w:hAnsi="Arial" w:cs="Arial"/>
                <w:szCs w:val="22"/>
              </w:rPr>
              <w:t xml:space="preserve"> gene</w:t>
            </w:r>
            <w:r w:rsidR="00270262" w:rsidRPr="00270262">
              <w:rPr>
                <w:rFonts w:ascii="Arial" w:eastAsia="Calibri" w:hAnsi="Arial" w:cs="Arial"/>
                <w:szCs w:val="22"/>
              </w:rPr>
              <w:t>.</w:t>
            </w:r>
            <w:r w:rsidR="00270262">
              <w:rPr>
                <w:rFonts w:ascii="Arial" w:eastAsia="Calibri" w:hAnsi="Arial" w:cs="Arial"/>
                <w:szCs w:val="22"/>
              </w:rPr>
              <w:t xml:space="preserve"> Further, all six isolates were confirmed to be positive for coagulase production</w:t>
            </w:r>
            <w:r w:rsidR="00270262" w:rsidRPr="00270262">
              <w:rPr>
                <w:rFonts w:ascii="Arial" w:eastAsia="Calibri" w:hAnsi="Arial" w:cs="Arial"/>
                <w:szCs w:val="22"/>
              </w:rPr>
              <w:t xml:space="preserve"> </w:t>
            </w:r>
            <w:r w:rsidR="00270262">
              <w:rPr>
                <w:rFonts w:ascii="Arial" w:eastAsia="Calibri" w:hAnsi="Arial" w:cs="Arial"/>
                <w:szCs w:val="22"/>
              </w:rPr>
              <w:t xml:space="preserve">by specific PCR targeting the </w:t>
            </w:r>
            <w:r w:rsidR="00270262" w:rsidRPr="00B074D9">
              <w:rPr>
                <w:rFonts w:ascii="Arial" w:eastAsia="Calibri" w:hAnsi="Arial" w:cs="Arial"/>
                <w:i/>
                <w:iCs/>
                <w:szCs w:val="22"/>
              </w:rPr>
              <w:t>Coa</w:t>
            </w:r>
            <w:r w:rsidR="00270262">
              <w:rPr>
                <w:rFonts w:ascii="Arial" w:eastAsia="Calibri" w:hAnsi="Arial" w:cs="Arial"/>
                <w:szCs w:val="22"/>
              </w:rPr>
              <w:t xml:space="preserve"> gene. </w:t>
            </w:r>
            <w:r w:rsidR="00B074D9">
              <w:rPr>
                <w:rFonts w:ascii="Arial" w:eastAsia="Calibri" w:hAnsi="Arial" w:cs="Arial"/>
                <w:szCs w:val="22"/>
              </w:rPr>
              <w:t>Finally, all</w:t>
            </w:r>
            <w:r w:rsidR="00270262" w:rsidRPr="00270262">
              <w:rPr>
                <w:rFonts w:ascii="Arial" w:eastAsia="Calibri" w:hAnsi="Arial" w:cs="Arial"/>
                <w:szCs w:val="22"/>
              </w:rPr>
              <w:t xml:space="preserve"> six characterized isolates were </w:t>
            </w:r>
            <w:bookmarkStart w:id="0" w:name="_Hlk212999634"/>
            <w:r w:rsidR="00270262" w:rsidRPr="00270262">
              <w:rPr>
                <w:rFonts w:ascii="Arial" w:eastAsia="Calibri" w:hAnsi="Arial" w:cs="Arial"/>
                <w:szCs w:val="22"/>
              </w:rPr>
              <w:t xml:space="preserve">resistant to multiple groups of antibiotics, </w:t>
            </w:r>
            <w:r w:rsidR="00270262" w:rsidRPr="00270262">
              <w:rPr>
                <w:rFonts w:ascii="Arial" w:eastAsia="Calibri" w:hAnsi="Arial" w:cs="Arial"/>
                <w:i/>
                <w:iCs/>
                <w:szCs w:val="22"/>
              </w:rPr>
              <w:t>viz</w:t>
            </w:r>
            <w:r w:rsidR="00270262" w:rsidRPr="00270262">
              <w:rPr>
                <w:rFonts w:ascii="Arial" w:eastAsia="Calibri" w:hAnsi="Arial" w:cs="Arial"/>
                <w:szCs w:val="22"/>
              </w:rPr>
              <w:t xml:space="preserve">. </w:t>
            </w:r>
            <w:r w:rsidR="00B074D9" w:rsidRPr="00B074D9">
              <w:rPr>
                <w:rFonts w:ascii="Arial" w:eastAsia="Calibri" w:hAnsi="Arial" w:cs="Arial"/>
                <w:szCs w:val="22"/>
                <w:lang w:val="en-IN"/>
              </w:rPr>
              <w:t>Ampicillin</w:t>
            </w:r>
            <w:r w:rsidR="00B074D9">
              <w:rPr>
                <w:rFonts w:ascii="Arial" w:eastAsia="Calibri" w:hAnsi="Arial" w:cs="Arial"/>
                <w:szCs w:val="22"/>
                <w:lang w:val="en-IN"/>
              </w:rPr>
              <w:t xml:space="preserve">, </w:t>
            </w:r>
            <w:r w:rsidR="00B074D9" w:rsidRPr="00B074D9">
              <w:rPr>
                <w:rFonts w:ascii="Arial" w:eastAsia="Calibri" w:hAnsi="Arial" w:cs="Arial"/>
                <w:szCs w:val="22"/>
                <w:lang w:val="en-IN"/>
              </w:rPr>
              <w:t>Penicillin</w:t>
            </w:r>
            <w:r w:rsidR="00270262" w:rsidRPr="00270262">
              <w:rPr>
                <w:rFonts w:ascii="Arial" w:eastAsia="Calibri" w:hAnsi="Arial" w:cs="Arial"/>
                <w:szCs w:val="22"/>
                <w:lang w:val="en-IN"/>
              </w:rPr>
              <w:t xml:space="preserve">, </w:t>
            </w:r>
            <w:r w:rsidR="00B074D9" w:rsidRPr="00B074D9">
              <w:rPr>
                <w:rFonts w:ascii="Arial" w:eastAsia="Calibri" w:hAnsi="Arial" w:cs="Arial"/>
                <w:szCs w:val="22"/>
              </w:rPr>
              <w:t>Chloramphenicol, Clindamycin, Gentamicin, and Ofloxacin</w:t>
            </w:r>
            <w:r w:rsidR="00B074D9">
              <w:rPr>
                <w:rFonts w:ascii="Arial" w:eastAsia="Calibri" w:hAnsi="Arial" w:cs="Arial"/>
                <w:szCs w:val="22"/>
              </w:rPr>
              <w:t xml:space="preserve"> </w:t>
            </w:r>
            <w:r w:rsidR="00270262" w:rsidRPr="00270262">
              <w:rPr>
                <w:rFonts w:ascii="Arial" w:eastAsia="Calibri" w:hAnsi="Arial" w:cs="Arial"/>
                <w:szCs w:val="22"/>
              </w:rPr>
              <w:t xml:space="preserve">in </w:t>
            </w:r>
            <w:r w:rsidR="00270262" w:rsidRPr="00270262">
              <w:rPr>
                <w:rFonts w:ascii="Arial" w:eastAsia="Calibri" w:hAnsi="Arial" w:cs="Arial"/>
                <w:i/>
                <w:iCs/>
                <w:szCs w:val="22"/>
              </w:rPr>
              <w:t>in vitro</w:t>
            </w:r>
            <w:r w:rsidR="00270262" w:rsidRPr="00270262">
              <w:rPr>
                <w:rFonts w:ascii="Arial" w:eastAsia="Calibri" w:hAnsi="Arial" w:cs="Arial"/>
                <w:szCs w:val="22"/>
              </w:rPr>
              <w:t xml:space="preserve"> </w:t>
            </w:r>
            <w:r w:rsidR="009D1B9D">
              <w:rPr>
                <w:rFonts w:ascii="Arial" w:eastAsia="Calibri" w:hAnsi="Arial" w:cs="Arial"/>
                <w:szCs w:val="22"/>
              </w:rPr>
              <w:t xml:space="preserve">antibiotic </w:t>
            </w:r>
            <w:r w:rsidR="00270262" w:rsidRPr="00270262">
              <w:rPr>
                <w:rFonts w:ascii="Arial" w:eastAsia="Calibri" w:hAnsi="Arial" w:cs="Arial"/>
                <w:szCs w:val="22"/>
              </w:rPr>
              <w:t>sensitivity analysis</w:t>
            </w:r>
            <w:bookmarkEnd w:id="0"/>
            <w:r w:rsidR="00270262" w:rsidRPr="00270262">
              <w:rPr>
                <w:rFonts w:ascii="Arial" w:eastAsia="Calibri" w:hAnsi="Arial" w:cs="Arial"/>
                <w:szCs w:val="22"/>
              </w:rPr>
              <w:t>.</w:t>
            </w:r>
          </w:p>
          <w:p w14:paraId="604B492C" w14:textId="5CD502C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D1B9D" w:rsidRPr="009D1B9D">
              <w:rPr>
                <w:rFonts w:ascii="Arial" w:eastAsia="Calibri" w:hAnsi="Arial" w:cs="Arial"/>
                <w:szCs w:val="22"/>
              </w:rPr>
              <w:t xml:space="preserve">This alarming </w:t>
            </w:r>
            <w:r w:rsidR="009D1B9D">
              <w:rPr>
                <w:rFonts w:ascii="Arial" w:eastAsia="Calibri" w:hAnsi="Arial" w:cs="Arial"/>
                <w:szCs w:val="22"/>
              </w:rPr>
              <w:t xml:space="preserve">threat of increasing </w:t>
            </w:r>
            <w:r w:rsidR="009D1B9D" w:rsidRPr="009D1B9D">
              <w:rPr>
                <w:rFonts w:ascii="Arial" w:eastAsia="Calibri" w:hAnsi="Arial" w:cs="Arial"/>
                <w:szCs w:val="22"/>
              </w:rPr>
              <w:t>antimicrobial resistance</w:t>
            </w:r>
            <w:r w:rsidR="009D1B9D">
              <w:rPr>
                <w:rFonts w:ascii="Arial" w:eastAsia="Calibri" w:hAnsi="Arial" w:cs="Arial"/>
                <w:szCs w:val="22"/>
              </w:rPr>
              <w:t xml:space="preserve"> pattern</w:t>
            </w:r>
            <w:r w:rsidR="009D1B9D" w:rsidRPr="009D1B9D">
              <w:rPr>
                <w:rFonts w:ascii="Arial" w:eastAsia="Calibri" w:hAnsi="Arial" w:cs="Arial"/>
                <w:szCs w:val="22"/>
              </w:rPr>
              <w:t xml:space="preserve"> </w:t>
            </w:r>
            <w:r w:rsidR="009D1B9D">
              <w:rPr>
                <w:rFonts w:ascii="Arial" w:eastAsia="Calibri" w:hAnsi="Arial" w:cs="Arial"/>
                <w:szCs w:val="22"/>
              </w:rPr>
              <w:t>of</w:t>
            </w:r>
            <w:r w:rsidR="009D1B9D" w:rsidRPr="009D1B9D">
              <w:rPr>
                <w:rFonts w:ascii="Arial" w:eastAsia="Calibri" w:hAnsi="Arial" w:cs="Arial"/>
                <w:szCs w:val="22"/>
              </w:rPr>
              <w:t xml:space="preserve"> </w:t>
            </w:r>
            <w:r w:rsidR="009D1B9D" w:rsidRPr="009D1B9D">
              <w:rPr>
                <w:rFonts w:ascii="Arial" w:eastAsia="Calibri" w:hAnsi="Arial" w:cs="Arial"/>
                <w:i/>
                <w:iCs/>
                <w:szCs w:val="22"/>
              </w:rPr>
              <w:t>S. aureus</w:t>
            </w:r>
            <w:r w:rsidR="009D1B9D">
              <w:rPr>
                <w:rFonts w:ascii="Arial" w:eastAsia="Calibri" w:hAnsi="Arial" w:cs="Arial"/>
                <w:szCs w:val="22"/>
              </w:rPr>
              <w:t xml:space="preserve"> </w:t>
            </w:r>
            <w:r w:rsidR="009D1B9D" w:rsidRPr="009D1B9D">
              <w:rPr>
                <w:rFonts w:ascii="Arial" w:eastAsia="Calibri" w:hAnsi="Arial" w:cs="Arial"/>
                <w:szCs w:val="22"/>
              </w:rPr>
              <w:t>pathogen</w:t>
            </w:r>
            <w:r w:rsidR="009D1B9D">
              <w:rPr>
                <w:rFonts w:ascii="Arial" w:eastAsia="Calibri" w:hAnsi="Arial" w:cs="Arial"/>
                <w:szCs w:val="22"/>
              </w:rPr>
              <w:t xml:space="preserve"> warrants</w:t>
            </w:r>
            <w:r w:rsidR="009D1B9D" w:rsidRPr="009D1B9D">
              <w:rPr>
                <w:rFonts w:ascii="Arial" w:eastAsia="Calibri" w:hAnsi="Arial" w:cs="Arial"/>
                <w:szCs w:val="22"/>
              </w:rPr>
              <w:t xml:space="preserve"> </w:t>
            </w:r>
            <w:r w:rsidR="009D1B9D">
              <w:rPr>
                <w:rFonts w:ascii="Arial" w:eastAsia="Calibri" w:hAnsi="Arial" w:cs="Arial"/>
                <w:szCs w:val="22"/>
              </w:rPr>
              <w:t>in-depth</w:t>
            </w:r>
            <w:r w:rsidR="009D1B9D" w:rsidRPr="009D1B9D">
              <w:rPr>
                <w:rFonts w:ascii="Arial" w:eastAsia="Calibri" w:hAnsi="Arial" w:cs="Arial"/>
                <w:szCs w:val="22"/>
              </w:rPr>
              <w:t xml:space="preserve"> research and education to overcome the </w:t>
            </w:r>
            <w:r w:rsidR="009D1B9D">
              <w:rPr>
                <w:rFonts w:ascii="Arial" w:eastAsia="Calibri" w:hAnsi="Arial" w:cs="Arial"/>
                <w:szCs w:val="22"/>
              </w:rPr>
              <w:t>problems</w:t>
            </w:r>
            <w:r w:rsidR="009D1B9D" w:rsidRPr="009D1B9D">
              <w:rPr>
                <w:rFonts w:ascii="Arial" w:eastAsia="Calibri" w:hAnsi="Arial" w:cs="Arial"/>
                <w:szCs w:val="22"/>
              </w:rPr>
              <w:t xml:space="preserve"> in</w:t>
            </w:r>
            <w:r w:rsidR="009D1B9D">
              <w:rPr>
                <w:rFonts w:ascii="Arial" w:eastAsia="Calibri" w:hAnsi="Arial" w:cs="Arial"/>
                <w:szCs w:val="22"/>
              </w:rPr>
              <w:t xml:space="preserve"> the </w:t>
            </w:r>
            <w:r w:rsidR="009D1B9D" w:rsidRPr="009D1B9D">
              <w:rPr>
                <w:rFonts w:ascii="Arial" w:eastAsia="Calibri" w:hAnsi="Arial" w:cs="Arial"/>
                <w:szCs w:val="22"/>
              </w:rPr>
              <w:t>future</w:t>
            </w:r>
            <w:r w:rsidR="009D1B9D">
              <w:rPr>
                <w:rFonts w:ascii="Arial" w:eastAsia="Calibri" w:hAnsi="Arial" w:cs="Arial"/>
                <w:szCs w:val="22"/>
              </w:rPr>
              <w:t xml:space="preserve"> to save the lives of patients</w:t>
            </w:r>
            <w:r w:rsidR="009D1B9D" w:rsidRPr="009D1B9D">
              <w:rPr>
                <w:rFonts w:ascii="Arial" w:eastAsia="Calibri" w:hAnsi="Arial" w:cs="Arial"/>
                <w:szCs w:val="22"/>
              </w:rPr>
              <w:t>.</w:t>
            </w:r>
          </w:p>
        </w:tc>
      </w:tr>
    </w:tbl>
    <w:p w14:paraId="7AAAB254" w14:textId="77777777" w:rsidR="00636EB2" w:rsidRDefault="00636EB2" w:rsidP="00441B6F">
      <w:pPr>
        <w:pStyle w:val="Body"/>
        <w:spacing w:after="0"/>
        <w:rPr>
          <w:rFonts w:ascii="Arial" w:hAnsi="Arial" w:cs="Arial"/>
          <w:i/>
        </w:rPr>
      </w:pPr>
    </w:p>
    <w:p w14:paraId="01884CEF" w14:textId="77777777" w:rsidR="00A24E7E" w:rsidRDefault="00A24E7E" w:rsidP="00441B6F">
      <w:pPr>
        <w:pStyle w:val="Body"/>
        <w:spacing w:after="0"/>
        <w:rPr>
          <w:rFonts w:ascii="Arial" w:hAnsi="Arial" w:cs="Arial"/>
          <w:i/>
        </w:rPr>
      </w:pPr>
      <w:r>
        <w:rPr>
          <w:rFonts w:ascii="Arial" w:hAnsi="Arial" w:cs="Arial"/>
          <w:i/>
        </w:rPr>
        <w:t xml:space="preserve">Keywords: </w:t>
      </w:r>
      <w:r w:rsidR="005431C0">
        <w:rPr>
          <w:rFonts w:ascii="Arial" w:hAnsi="Arial" w:cs="Arial"/>
          <w:i/>
        </w:rPr>
        <w:t xml:space="preserve">Staphylococcus, Slaughterhouse, Coagulase, Antimicrobial resistance  </w:t>
      </w:r>
    </w:p>
    <w:p w14:paraId="64FC2F95" w14:textId="77777777" w:rsidR="0024282C" w:rsidRDefault="0024282C" w:rsidP="00441B6F">
      <w:pPr>
        <w:pStyle w:val="Body"/>
        <w:spacing w:after="0"/>
        <w:rPr>
          <w:rFonts w:ascii="Arial" w:hAnsi="Arial" w:cs="Arial"/>
          <w:i/>
          <w:sz w:val="18"/>
        </w:rPr>
      </w:pPr>
    </w:p>
    <w:p w14:paraId="39BA6144" w14:textId="77777777" w:rsidR="00505F06" w:rsidRPr="00A24E7E" w:rsidRDefault="00505F06" w:rsidP="00441B6F">
      <w:pPr>
        <w:pStyle w:val="Body"/>
        <w:spacing w:after="0"/>
        <w:rPr>
          <w:rFonts w:ascii="Arial" w:hAnsi="Arial" w:cs="Arial"/>
          <w:i/>
        </w:rPr>
      </w:pPr>
    </w:p>
    <w:p w14:paraId="3E322F7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54BAAF" w14:textId="77777777" w:rsidR="00790ADA" w:rsidRPr="00FB3A86" w:rsidRDefault="00790ADA" w:rsidP="00441B6F">
      <w:pPr>
        <w:pStyle w:val="AbstHead"/>
        <w:spacing w:after="0"/>
        <w:jc w:val="both"/>
        <w:rPr>
          <w:rFonts w:ascii="Arial" w:hAnsi="Arial" w:cs="Arial"/>
        </w:rPr>
      </w:pPr>
    </w:p>
    <w:p w14:paraId="1B8A911C" w14:textId="77777777" w:rsidR="000027CA" w:rsidRDefault="005431C0" w:rsidP="005431C0">
      <w:pPr>
        <w:pStyle w:val="Body"/>
        <w:rPr>
          <w:rFonts w:ascii="Arial" w:eastAsia="Calibri" w:hAnsi="Arial" w:cs="Arial"/>
          <w:szCs w:val="22"/>
        </w:rPr>
      </w:pPr>
      <w:r w:rsidRPr="005431C0">
        <w:rPr>
          <w:rFonts w:ascii="Arial" w:eastAsia="Calibri" w:hAnsi="Arial" w:cs="Arial"/>
          <w:i/>
          <w:szCs w:val="22"/>
        </w:rPr>
        <w:t xml:space="preserve">Staphylococcus aureus </w:t>
      </w:r>
      <w:r w:rsidRPr="005431C0">
        <w:rPr>
          <w:rFonts w:ascii="Arial" w:eastAsia="Calibri" w:hAnsi="Arial" w:cs="Arial"/>
          <w:szCs w:val="22"/>
        </w:rPr>
        <w:t xml:space="preserve">is a highly prevalent Gram-positive bacterium responsible for various types of infections in both animals and humans (Pal </w:t>
      </w:r>
      <w:r w:rsidRPr="005431C0">
        <w:rPr>
          <w:rFonts w:ascii="Arial" w:eastAsia="Calibri" w:hAnsi="Arial" w:cs="Arial"/>
          <w:iCs/>
          <w:szCs w:val="22"/>
        </w:rPr>
        <w:t>et al</w:t>
      </w:r>
      <w:r w:rsidRPr="005431C0">
        <w:rPr>
          <w:rFonts w:ascii="Arial" w:eastAsia="Calibri" w:hAnsi="Arial" w:cs="Arial"/>
          <w:i/>
          <w:szCs w:val="22"/>
        </w:rPr>
        <w:t>.</w:t>
      </w:r>
      <w:r w:rsidRPr="005431C0">
        <w:rPr>
          <w:rFonts w:ascii="Arial" w:eastAsia="Calibri" w:hAnsi="Arial" w:cs="Arial"/>
          <w:szCs w:val="22"/>
        </w:rPr>
        <w:t>, 2020). Globally, it is considered to be one of the most common virulent opportunistic pathogens. In humans,</w:t>
      </w:r>
      <w:r w:rsidRPr="005431C0">
        <w:rPr>
          <w:rFonts w:ascii="Arial" w:eastAsia="Calibri" w:hAnsi="Arial" w:cs="Arial"/>
          <w:i/>
          <w:iCs/>
          <w:szCs w:val="22"/>
        </w:rPr>
        <w:t xml:space="preserve"> S. aureus </w:t>
      </w:r>
      <w:r w:rsidRPr="005431C0">
        <w:rPr>
          <w:rFonts w:ascii="Arial" w:eastAsia="Calibri" w:hAnsi="Arial" w:cs="Arial"/>
          <w:szCs w:val="22"/>
        </w:rPr>
        <w:t xml:space="preserve">causes a wide range of skin and soft tissue infections, such as furuncles, carbuncles, folliculitis, impetigo, mastitis, and wound infections (Linz et al., 2023; Peacock and Paterson, 2015; Lindsay and Holden, 2004). Along with that, via the production of </w:t>
      </w:r>
      <w:proofErr w:type="spellStart"/>
      <w:r w:rsidRPr="005431C0">
        <w:rPr>
          <w:rFonts w:ascii="Arial" w:eastAsia="Calibri" w:hAnsi="Arial" w:cs="Arial"/>
          <w:szCs w:val="22"/>
        </w:rPr>
        <w:t>exo</w:t>
      </w:r>
      <w:proofErr w:type="spellEnd"/>
      <w:r w:rsidRPr="005431C0">
        <w:rPr>
          <w:rFonts w:ascii="Arial" w:eastAsia="Calibri" w:hAnsi="Arial" w:cs="Arial"/>
          <w:szCs w:val="22"/>
        </w:rPr>
        <w:t xml:space="preserve"> and enterotoxins, </w:t>
      </w:r>
      <w:r w:rsidRPr="005431C0">
        <w:rPr>
          <w:rFonts w:ascii="Arial" w:eastAsia="Calibri" w:hAnsi="Arial" w:cs="Arial"/>
          <w:i/>
          <w:szCs w:val="22"/>
        </w:rPr>
        <w:t>S. aureus</w:t>
      </w:r>
      <w:r w:rsidRPr="005431C0">
        <w:rPr>
          <w:rFonts w:ascii="Arial" w:eastAsia="Calibri" w:hAnsi="Arial" w:cs="Arial"/>
          <w:szCs w:val="22"/>
        </w:rPr>
        <w:t xml:space="preserve"> infection leads to toxin-mediated conditions, such as toxic shock syndrome, scalded skin syndrome, and staphylococcal food poisoning (Pal et al., 2023; Papadopoulos </w:t>
      </w:r>
      <w:r w:rsidRPr="005431C0">
        <w:rPr>
          <w:rFonts w:ascii="Arial" w:eastAsia="Calibri" w:hAnsi="Arial" w:cs="Arial"/>
          <w:iCs/>
          <w:szCs w:val="22"/>
        </w:rPr>
        <w:t>et al</w:t>
      </w:r>
      <w:r w:rsidRPr="005431C0">
        <w:rPr>
          <w:rFonts w:ascii="Arial" w:eastAsia="Calibri" w:hAnsi="Arial" w:cs="Arial"/>
          <w:i/>
          <w:szCs w:val="22"/>
        </w:rPr>
        <w:t>.</w:t>
      </w:r>
      <w:r w:rsidRPr="005431C0">
        <w:rPr>
          <w:rFonts w:ascii="Arial" w:eastAsia="Calibri" w:hAnsi="Arial" w:cs="Arial"/>
          <w:szCs w:val="22"/>
        </w:rPr>
        <w:t xml:space="preserve">, 2018). In addition, serious complications such as bone and joint infections, endocarditis, bacteremia, and pneumonia are also associated with this </w:t>
      </w:r>
      <w:r w:rsidRPr="005431C0">
        <w:rPr>
          <w:rFonts w:ascii="Arial" w:eastAsia="Calibri" w:hAnsi="Arial" w:cs="Arial"/>
          <w:iCs/>
          <w:szCs w:val="22"/>
        </w:rPr>
        <w:t>pathogen (</w:t>
      </w:r>
      <w:proofErr w:type="spellStart"/>
      <w:r w:rsidRPr="005431C0">
        <w:rPr>
          <w:rFonts w:ascii="Arial" w:eastAsia="Calibri" w:hAnsi="Arial" w:cs="Arial"/>
          <w:iCs/>
          <w:szCs w:val="22"/>
        </w:rPr>
        <w:t>Rasquel</w:t>
      </w:r>
      <w:proofErr w:type="spellEnd"/>
      <w:r w:rsidRPr="005431C0">
        <w:rPr>
          <w:rFonts w:ascii="Arial" w:eastAsia="Calibri" w:hAnsi="Arial" w:cs="Arial"/>
          <w:iCs/>
          <w:szCs w:val="22"/>
        </w:rPr>
        <w:t xml:space="preserve">-Oliveira et al., </w:t>
      </w:r>
      <w:r w:rsidRPr="005431C0">
        <w:rPr>
          <w:rFonts w:ascii="Arial" w:eastAsia="Calibri" w:hAnsi="Arial" w:cs="Arial"/>
          <w:iCs/>
          <w:szCs w:val="22"/>
        </w:rPr>
        <w:lastRenderedPageBreak/>
        <w:t>2025; Argaw</w:t>
      </w:r>
      <w:r w:rsidR="000027CA">
        <w:rPr>
          <w:rFonts w:ascii="Arial" w:eastAsia="Calibri" w:hAnsi="Arial" w:cs="Arial"/>
          <w:iCs/>
          <w:szCs w:val="22"/>
        </w:rPr>
        <w:t xml:space="preserve"> and</w:t>
      </w:r>
      <w:r w:rsidRPr="005431C0">
        <w:rPr>
          <w:rFonts w:ascii="Arial" w:eastAsia="Calibri" w:hAnsi="Arial" w:cs="Arial"/>
          <w:iCs/>
          <w:szCs w:val="22"/>
        </w:rPr>
        <w:t xml:space="preserve"> </w:t>
      </w:r>
      <w:r w:rsidR="000027CA">
        <w:rPr>
          <w:rFonts w:ascii="Arial" w:hAnsi="Arial" w:cs="Arial"/>
          <w:color w:val="222222"/>
          <w:shd w:val="clear" w:color="auto" w:fill="FFFFFF"/>
        </w:rPr>
        <w:t xml:space="preserve">Addis, </w:t>
      </w:r>
      <w:r w:rsidRPr="005431C0">
        <w:rPr>
          <w:rFonts w:ascii="Arial" w:eastAsia="Calibri" w:hAnsi="Arial" w:cs="Arial"/>
          <w:iCs/>
          <w:szCs w:val="22"/>
        </w:rPr>
        <w:t xml:space="preserve">2015; </w:t>
      </w:r>
      <w:r w:rsidRPr="005431C0">
        <w:rPr>
          <w:rFonts w:ascii="Arial" w:eastAsia="Calibri" w:hAnsi="Arial" w:cs="Arial"/>
          <w:szCs w:val="22"/>
        </w:rPr>
        <w:t xml:space="preserve">Peacock and Paterson, 2015). </w:t>
      </w:r>
      <w:r w:rsidRPr="005431C0">
        <w:rPr>
          <w:rFonts w:ascii="Arial" w:eastAsia="Calibri" w:hAnsi="Arial" w:cs="Arial"/>
          <w:iCs/>
          <w:szCs w:val="22"/>
        </w:rPr>
        <w:t>In animals, the pathogen affects a wide host range, which includes</w:t>
      </w:r>
      <w:r w:rsidRPr="005431C0">
        <w:rPr>
          <w:rFonts w:ascii="Arial" w:eastAsia="Calibri" w:hAnsi="Arial" w:cs="Arial"/>
          <w:szCs w:val="22"/>
        </w:rPr>
        <w:t xml:space="preserve"> cattle, goat, sheep, pigs, cats, dogs, horses, rabbits, poultry, and wild </w:t>
      </w:r>
      <w:r w:rsidRPr="005431C0">
        <w:rPr>
          <w:rFonts w:ascii="Arial" w:eastAsia="Calibri" w:hAnsi="Arial" w:cs="Arial"/>
          <w:bCs/>
          <w:szCs w:val="22"/>
        </w:rPr>
        <w:t>animals (Verma et al., 2024;</w:t>
      </w:r>
      <w:r w:rsidRPr="005431C0">
        <w:rPr>
          <w:rFonts w:ascii="Arial" w:eastAsia="Calibri" w:hAnsi="Arial" w:cs="Arial"/>
          <w:szCs w:val="22"/>
        </w:rPr>
        <w:t xml:space="preserve"> </w:t>
      </w:r>
      <w:r w:rsidRPr="005431C0">
        <w:rPr>
          <w:rFonts w:ascii="Arial" w:eastAsia="Calibri" w:hAnsi="Arial" w:cs="Arial"/>
          <w:bCs/>
          <w:szCs w:val="22"/>
        </w:rPr>
        <w:t xml:space="preserve">Grema </w:t>
      </w:r>
      <w:r w:rsidRPr="005431C0">
        <w:rPr>
          <w:rFonts w:ascii="Arial" w:eastAsia="Calibri" w:hAnsi="Arial" w:cs="Arial"/>
          <w:bCs/>
          <w:iCs/>
          <w:szCs w:val="22"/>
        </w:rPr>
        <w:t>et al</w:t>
      </w:r>
      <w:r w:rsidRPr="005431C0">
        <w:rPr>
          <w:rFonts w:ascii="Arial" w:eastAsia="Calibri" w:hAnsi="Arial" w:cs="Arial"/>
          <w:bCs/>
          <w:szCs w:val="22"/>
        </w:rPr>
        <w:t>., 2015</w:t>
      </w:r>
      <w:r w:rsidRPr="005431C0">
        <w:rPr>
          <w:rFonts w:ascii="Arial" w:eastAsia="Calibri" w:hAnsi="Arial" w:cs="Arial"/>
          <w:szCs w:val="22"/>
        </w:rPr>
        <w:t xml:space="preserve">). Various types of infections have been reported in these species; however, the most significant are mastitis in dairy cattle, lethal systemic infections in farmed rabbits, and bumblefoot (ulcerative pododermatitis) in poultry (Kumar et al., 2024; Peacock and Paterson, 2015). </w:t>
      </w:r>
    </w:p>
    <w:p w14:paraId="2DEDA83A" w14:textId="77777777" w:rsidR="005431C0" w:rsidRPr="000027CA" w:rsidRDefault="005431C0" w:rsidP="005431C0">
      <w:pPr>
        <w:pStyle w:val="Body"/>
        <w:rPr>
          <w:rFonts w:ascii="Arial" w:eastAsia="Calibri" w:hAnsi="Arial" w:cs="Arial"/>
          <w:szCs w:val="22"/>
        </w:rPr>
      </w:pPr>
      <w:r w:rsidRPr="005431C0">
        <w:rPr>
          <w:rFonts w:ascii="Arial" w:eastAsia="Calibri" w:hAnsi="Arial" w:cs="Arial"/>
          <w:iCs/>
          <w:szCs w:val="22"/>
        </w:rPr>
        <w:t>Globally, Staphylococcal food poisoning is one of the most common but rarely reported types of food poisoning (Freitas et al., 2024;</w:t>
      </w:r>
      <w:r w:rsidRPr="005431C0">
        <w:rPr>
          <w:rFonts w:ascii="Arial" w:eastAsia="Calibri" w:hAnsi="Arial" w:cs="Arial"/>
          <w:szCs w:val="22"/>
        </w:rPr>
        <w:t xml:space="preserve"> </w:t>
      </w:r>
      <w:r w:rsidRPr="005431C0">
        <w:rPr>
          <w:rFonts w:ascii="Arial" w:eastAsia="Calibri" w:hAnsi="Arial" w:cs="Arial"/>
          <w:iCs/>
          <w:szCs w:val="22"/>
        </w:rPr>
        <w:t xml:space="preserve">Pillsbury et al., 2013; Singh et al., 2013). Although </w:t>
      </w:r>
      <w:r w:rsidRPr="005431C0">
        <w:rPr>
          <w:rFonts w:ascii="Arial" w:eastAsia="Calibri" w:hAnsi="Arial" w:cs="Arial"/>
          <w:i/>
          <w:szCs w:val="22"/>
        </w:rPr>
        <w:t>S. aureus</w:t>
      </w:r>
      <w:r w:rsidRPr="005431C0">
        <w:rPr>
          <w:rFonts w:ascii="Arial" w:eastAsia="Calibri" w:hAnsi="Arial" w:cs="Arial"/>
          <w:iCs/>
          <w:szCs w:val="22"/>
        </w:rPr>
        <w:t xml:space="preserve"> is recognized as a major cause of food poisoning in many countries, there are only a few reports available in our country to explain its prevalence and incidence. Nasal carriage of </w:t>
      </w:r>
      <w:r w:rsidRPr="005431C0">
        <w:rPr>
          <w:rFonts w:ascii="Arial" w:eastAsia="Calibri" w:hAnsi="Arial" w:cs="Arial"/>
          <w:i/>
          <w:szCs w:val="22"/>
        </w:rPr>
        <w:t>S. aureus</w:t>
      </w:r>
      <w:r w:rsidRPr="005431C0">
        <w:rPr>
          <w:rFonts w:ascii="Arial" w:eastAsia="Calibri" w:hAnsi="Arial" w:cs="Arial"/>
          <w:iCs/>
          <w:szCs w:val="22"/>
        </w:rPr>
        <w:t xml:space="preserve"> is identified as a key risk factor for food poisoning in most epidemiological studies. </w:t>
      </w:r>
    </w:p>
    <w:p w14:paraId="115B96BC" w14:textId="77777777" w:rsidR="005431C0" w:rsidRPr="005431C0" w:rsidRDefault="005431C0" w:rsidP="005431C0">
      <w:pPr>
        <w:pStyle w:val="Body"/>
        <w:rPr>
          <w:rFonts w:ascii="Arial" w:eastAsia="Calibri" w:hAnsi="Arial" w:cs="Arial"/>
          <w:iCs/>
          <w:szCs w:val="22"/>
        </w:rPr>
      </w:pPr>
      <w:r w:rsidRPr="005431C0">
        <w:rPr>
          <w:rFonts w:ascii="Arial" w:eastAsia="Calibri" w:hAnsi="Arial" w:cs="Arial"/>
          <w:iCs/>
          <w:szCs w:val="22"/>
        </w:rPr>
        <w:t xml:space="preserve">Food poisoning occurs from consuming foods contaminated with various types of preformed enterotoxins produced by </w:t>
      </w:r>
      <w:r w:rsidRPr="005431C0">
        <w:rPr>
          <w:rFonts w:ascii="Arial" w:eastAsia="Calibri" w:hAnsi="Arial" w:cs="Arial"/>
          <w:i/>
          <w:szCs w:val="22"/>
        </w:rPr>
        <w:t xml:space="preserve">S. </w:t>
      </w:r>
      <w:r w:rsidRPr="00C858F7">
        <w:rPr>
          <w:rFonts w:ascii="Arial" w:eastAsia="Calibri" w:hAnsi="Arial" w:cs="Arial"/>
          <w:i/>
          <w:szCs w:val="22"/>
        </w:rPr>
        <w:t>aureus</w:t>
      </w:r>
      <w:r w:rsidRPr="005431C0">
        <w:rPr>
          <w:rFonts w:ascii="Arial" w:eastAsia="Calibri" w:hAnsi="Arial" w:cs="Arial"/>
          <w:iCs/>
          <w:szCs w:val="22"/>
        </w:rPr>
        <w:t xml:space="preserve"> (Abdallah and Sulieman, 2024; </w:t>
      </w:r>
      <w:proofErr w:type="spellStart"/>
      <w:r w:rsidRPr="005431C0">
        <w:rPr>
          <w:rFonts w:ascii="Arial" w:eastAsia="Calibri" w:hAnsi="Arial" w:cs="Arial"/>
          <w:iCs/>
          <w:szCs w:val="22"/>
        </w:rPr>
        <w:t>Argudín</w:t>
      </w:r>
      <w:proofErr w:type="spellEnd"/>
      <w:r w:rsidRPr="005431C0">
        <w:rPr>
          <w:rFonts w:ascii="Arial" w:eastAsia="Calibri" w:hAnsi="Arial" w:cs="Arial"/>
          <w:iCs/>
          <w:szCs w:val="22"/>
        </w:rPr>
        <w:t xml:space="preserve"> et al., 2013). These organisms primarily adhere to and colonize the mucosa of the upper respiratory tract, skin, and other internal sites in both humans and animals, either temporarily or permanently (Abdallah and Sulieman, 2024). Early reports indicated that about 20% of healthy individuals may be colonized with this organism at any given time. The presence of abundant </w:t>
      </w:r>
      <w:r w:rsidRPr="005431C0">
        <w:rPr>
          <w:rFonts w:ascii="Arial" w:eastAsia="Calibri" w:hAnsi="Arial" w:cs="Arial"/>
          <w:i/>
          <w:szCs w:val="22"/>
        </w:rPr>
        <w:t>S. aureus</w:t>
      </w:r>
      <w:r w:rsidRPr="005431C0">
        <w:rPr>
          <w:rFonts w:ascii="Arial" w:eastAsia="Calibri" w:hAnsi="Arial" w:cs="Arial"/>
          <w:iCs/>
          <w:szCs w:val="22"/>
        </w:rPr>
        <w:t xml:space="preserve"> in food suggests improper handling or hygiene and possible temperature abuse, which promotes bacterial growth within the food matrix (Phan et al., 2024;</w:t>
      </w:r>
      <w:r w:rsidRPr="005431C0">
        <w:rPr>
          <w:rFonts w:ascii="Arial" w:eastAsia="Calibri" w:hAnsi="Arial" w:cs="Arial"/>
          <w:szCs w:val="22"/>
        </w:rPr>
        <w:t xml:space="preserve"> </w:t>
      </w:r>
      <w:r w:rsidRPr="005431C0">
        <w:rPr>
          <w:rFonts w:ascii="Arial" w:eastAsia="Calibri" w:hAnsi="Arial" w:cs="Arial"/>
          <w:iCs/>
          <w:szCs w:val="22"/>
        </w:rPr>
        <w:t xml:space="preserve">Rall et al., 2010). These organisms can be transferred to food through contaminated hands, sneezing, coughing, or nasal secretions. The external nares of food handlers may harbor multiple strains of </w:t>
      </w:r>
      <w:r w:rsidRPr="005431C0">
        <w:rPr>
          <w:rFonts w:ascii="Arial" w:eastAsia="Calibri" w:hAnsi="Arial" w:cs="Arial"/>
          <w:i/>
          <w:szCs w:val="22"/>
        </w:rPr>
        <w:t>S. aureus</w:t>
      </w:r>
      <w:r w:rsidRPr="005431C0">
        <w:rPr>
          <w:rFonts w:ascii="Arial" w:eastAsia="Calibri" w:hAnsi="Arial" w:cs="Arial"/>
          <w:iCs/>
          <w:szCs w:val="22"/>
        </w:rPr>
        <w:t>, any of which could be involved in food poisoning cases; therefore, it’s important to screen for multiple strains during investigations rather than just a single colony (</w:t>
      </w:r>
      <w:r w:rsidR="000027CA" w:rsidRPr="005431C0">
        <w:rPr>
          <w:rFonts w:ascii="Arial" w:eastAsia="Calibri" w:hAnsi="Arial" w:cs="Arial"/>
          <w:iCs/>
          <w:szCs w:val="22"/>
        </w:rPr>
        <w:t>Argaw</w:t>
      </w:r>
      <w:r w:rsidR="000027CA">
        <w:rPr>
          <w:rFonts w:ascii="Arial" w:eastAsia="Calibri" w:hAnsi="Arial" w:cs="Arial"/>
          <w:iCs/>
          <w:szCs w:val="22"/>
        </w:rPr>
        <w:t xml:space="preserve"> and</w:t>
      </w:r>
      <w:r w:rsidR="000027CA" w:rsidRPr="005431C0">
        <w:rPr>
          <w:rFonts w:ascii="Arial" w:eastAsia="Calibri" w:hAnsi="Arial" w:cs="Arial"/>
          <w:iCs/>
          <w:szCs w:val="22"/>
        </w:rPr>
        <w:t xml:space="preserve"> </w:t>
      </w:r>
      <w:r w:rsidR="000027CA">
        <w:rPr>
          <w:rFonts w:ascii="Arial" w:hAnsi="Arial" w:cs="Arial"/>
          <w:color w:val="222222"/>
          <w:shd w:val="clear" w:color="auto" w:fill="FFFFFF"/>
        </w:rPr>
        <w:t xml:space="preserve">Addis, </w:t>
      </w:r>
      <w:r w:rsidR="000027CA" w:rsidRPr="005431C0">
        <w:rPr>
          <w:rFonts w:ascii="Arial" w:eastAsia="Calibri" w:hAnsi="Arial" w:cs="Arial"/>
          <w:iCs/>
          <w:szCs w:val="22"/>
        </w:rPr>
        <w:t>2015</w:t>
      </w:r>
      <w:r w:rsidRPr="005431C0">
        <w:rPr>
          <w:rFonts w:ascii="Arial" w:eastAsia="Calibri" w:hAnsi="Arial" w:cs="Arial"/>
          <w:iCs/>
          <w:szCs w:val="22"/>
        </w:rPr>
        <w:t xml:space="preserve">). Contamination can also occur due to poor hygiene practices during animal slaughter and food processing in slaughterhouses. Consuming contaminated food can cause nausea, abdominal cramps, and vomiting within 1-6 hours, with symptoms lasting 24-48 hours and leading to full recovery (Nema et al., 2007). This disease is usually mild, self-limiting, with low mortality but a high rate of morbidity (Chan and Shelat, 2024). Consequently, </w:t>
      </w:r>
      <w:r w:rsidRPr="005431C0">
        <w:rPr>
          <w:rFonts w:ascii="Arial" w:eastAsia="Calibri" w:hAnsi="Arial" w:cs="Arial"/>
          <w:i/>
          <w:szCs w:val="22"/>
        </w:rPr>
        <w:t>S. aureus</w:t>
      </w:r>
      <w:r w:rsidRPr="005431C0">
        <w:rPr>
          <w:rFonts w:ascii="Arial" w:eastAsia="Calibri" w:hAnsi="Arial" w:cs="Arial"/>
          <w:iCs/>
          <w:szCs w:val="22"/>
        </w:rPr>
        <w:t xml:space="preserve"> food poisoning presents a significant social burden, including hospitalizations, lost workdays, and disposal of contaminated food products (Vinu et al., 2025; </w:t>
      </w:r>
      <w:proofErr w:type="spellStart"/>
      <w:r w:rsidRPr="005431C0">
        <w:rPr>
          <w:rFonts w:ascii="Arial" w:eastAsia="Calibri" w:hAnsi="Arial" w:cs="Arial"/>
          <w:iCs/>
          <w:szCs w:val="22"/>
        </w:rPr>
        <w:t>Normanno</w:t>
      </w:r>
      <w:proofErr w:type="spellEnd"/>
      <w:r w:rsidRPr="005431C0">
        <w:rPr>
          <w:rFonts w:ascii="Arial" w:eastAsia="Calibri" w:hAnsi="Arial" w:cs="Arial"/>
          <w:iCs/>
          <w:szCs w:val="22"/>
        </w:rPr>
        <w:t xml:space="preserve"> et al., 200</w:t>
      </w:r>
      <w:r w:rsidR="000027CA">
        <w:rPr>
          <w:rFonts w:ascii="Arial" w:eastAsia="Calibri" w:hAnsi="Arial" w:cs="Arial"/>
          <w:iCs/>
          <w:szCs w:val="22"/>
        </w:rPr>
        <w:t>7</w:t>
      </w:r>
      <w:r w:rsidRPr="005431C0">
        <w:rPr>
          <w:rFonts w:ascii="Arial" w:eastAsia="Calibri" w:hAnsi="Arial" w:cs="Arial"/>
          <w:iCs/>
          <w:szCs w:val="22"/>
        </w:rPr>
        <w:t xml:space="preserve">). </w:t>
      </w:r>
      <w:r w:rsidRPr="005431C0">
        <w:rPr>
          <w:rFonts w:ascii="Arial" w:eastAsia="Calibri" w:hAnsi="Arial" w:cs="Arial"/>
          <w:i/>
          <w:szCs w:val="22"/>
        </w:rPr>
        <w:t>S. aureus</w:t>
      </w:r>
      <w:r w:rsidRPr="005431C0">
        <w:rPr>
          <w:rFonts w:ascii="Arial" w:eastAsia="Calibri" w:hAnsi="Arial" w:cs="Arial"/>
          <w:iCs/>
          <w:szCs w:val="22"/>
        </w:rPr>
        <w:t xml:space="preserve"> is characterized by its ability to produce coagulase enzyme, although some other Staphylococcus species, such as </w:t>
      </w:r>
      <w:r w:rsidRPr="005431C0">
        <w:rPr>
          <w:rFonts w:ascii="Arial" w:eastAsia="Calibri" w:hAnsi="Arial" w:cs="Arial"/>
          <w:i/>
          <w:szCs w:val="22"/>
        </w:rPr>
        <w:t xml:space="preserve">S. </w:t>
      </w:r>
      <w:proofErr w:type="spellStart"/>
      <w:r w:rsidRPr="005431C0">
        <w:rPr>
          <w:rFonts w:ascii="Arial" w:eastAsia="Calibri" w:hAnsi="Arial" w:cs="Arial"/>
          <w:i/>
          <w:szCs w:val="22"/>
        </w:rPr>
        <w:t>delphini</w:t>
      </w:r>
      <w:proofErr w:type="spellEnd"/>
      <w:r w:rsidRPr="005431C0">
        <w:rPr>
          <w:rFonts w:ascii="Arial" w:eastAsia="Calibri" w:hAnsi="Arial" w:cs="Arial"/>
          <w:i/>
          <w:szCs w:val="22"/>
        </w:rPr>
        <w:t xml:space="preserve">, S. </w:t>
      </w:r>
      <w:proofErr w:type="spellStart"/>
      <w:r w:rsidRPr="005431C0">
        <w:rPr>
          <w:rFonts w:ascii="Arial" w:eastAsia="Calibri" w:hAnsi="Arial" w:cs="Arial"/>
          <w:i/>
          <w:szCs w:val="22"/>
        </w:rPr>
        <w:t>hyicus</w:t>
      </w:r>
      <w:proofErr w:type="spellEnd"/>
      <w:r w:rsidRPr="005431C0">
        <w:rPr>
          <w:rFonts w:ascii="Arial" w:eastAsia="Calibri" w:hAnsi="Arial" w:cs="Arial"/>
          <w:iCs/>
          <w:szCs w:val="22"/>
        </w:rPr>
        <w:t xml:space="preserve">, and </w:t>
      </w:r>
      <w:r w:rsidRPr="005431C0">
        <w:rPr>
          <w:rFonts w:ascii="Arial" w:eastAsia="Calibri" w:hAnsi="Arial" w:cs="Arial"/>
          <w:i/>
          <w:szCs w:val="22"/>
        </w:rPr>
        <w:t xml:space="preserve">S. </w:t>
      </w:r>
      <w:r w:rsidR="000027CA" w:rsidRPr="005431C0">
        <w:rPr>
          <w:rFonts w:ascii="Arial" w:eastAsia="Calibri" w:hAnsi="Arial" w:cs="Arial"/>
          <w:i/>
          <w:szCs w:val="22"/>
        </w:rPr>
        <w:t>intermedius</w:t>
      </w:r>
      <w:r w:rsidR="000027CA" w:rsidRPr="005431C0">
        <w:rPr>
          <w:rFonts w:ascii="Arial" w:eastAsia="Calibri" w:hAnsi="Arial" w:cs="Arial"/>
          <w:iCs/>
          <w:szCs w:val="22"/>
        </w:rPr>
        <w:t>, may</w:t>
      </w:r>
      <w:r w:rsidRPr="005431C0">
        <w:rPr>
          <w:rFonts w:ascii="Arial" w:eastAsia="Calibri" w:hAnsi="Arial" w:cs="Arial"/>
          <w:iCs/>
          <w:szCs w:val="22"/>
        </w:rPr>
        <w:t xml:space="preserve"> also exhibit coagulase activity (Ben </w:t>
      </w:r>
      <w:proofErr w:type="spellStart"/>
      <w:r w:rsidRPr="005431C0">
        <w:rPr>
          <w:rFonts w:ascii="Arial" w:eastAsia="Calibri" w:hAnsi="Arial" w:cs="Arial"/>
          <w:iCs/>
          <w:szCs w:val="22"/>
        </w:rPr>
        <w:t>Chehida</w:t>
      </w:r>
      <w:proofErr w:type="spellEnd"/>
      <w:r w:rsidRPr="005431C0">
        <w:rPr>
          <w:rFonts w:ascii="Arial" w:eastAsia="Calibri" w:hAnsi="Arial" w:cs="Arial"/>
          <w:iCs/>
          <w:szCs w:val="22"/>
        </w:rPr>
        <w:t xml:space="preserve"> et al., 2024; </w:t>
      </w:r>
      <w:proofErr w:type="spellStart"/>
      <w:r w:rsidRPr="005431C0">
        <w:rPr>
          <w:rFonts w:ascii="Arial" w:eastAsia="Calibri" w:hAnsi="Arial" w:cs="Arial"/>
          <w:iCs/>
          <w:szCs w:val="22"/>
        </w:rPr>
        <w:t>Normanno</w:t>
      </w:r>
      <w:proofErr w:type="spellEnd"/>
      <w:r w:rsidRPr="005431C0">
        <w:rPr>
          <w:rFonts w:ascii="Arial" w:eastAsia="Calibri" w:hAnsi="Arial" w:cs="Arial"/>
          <w:iCs/>
          <w:szCs w:val="22"/>
        </w:rPr>
        <w:t xml:space="preserve"> et al., 2005). A high correlation has been noted between coagulase activity and enterotoxin production. However, this should not be the only method used for identifying enterotoxigenic </w:t>
      </w:r>
      <w:r w:rsidRPr="005431C0">
        <w:rPr>
          <w:rFonts w:ascii="Arial" w:eastAsia="Calibri" w:hAnsi="Arial" w:cs="Arial"/>
          <w:i/>
          <w:szCs w:val="22"/>
        </w:rPr>
        <w:t>Staphylococcus</w:t>
      </w:r>
      <w:r w:rsidRPr="005431C0">
        <w:rPr>
          <w:rFonts w:ascii="Arial" w:eastAsia="Calibri" w:hAnsi="Arial" w:cs="Arial"/>
          <w:iCs/>
          <w:szCs w:val="22"/>
        </w:rPr>
        <w:t xml:space="preserve"> spp., as certain coagulase-negative species like </w:t>
      </w:r>
      <w:r w:rsidRPr="005431C0">
        <w:rPr>
          <w:rFonts w:ascii="Arial" w:eastAsia="Calibri" w:hAnsi="Arial" w:cs="Arial"/>
          <w:i/>
          <w:szCs w:val="22"/>
        </w:rPr>
        <w:t xml:space="preserve">S. </w:t>
      </w:r>
      <w:proofErr w:type="spellStart"/>
      <w:r w:rsidRPr="005431C0">
        <w:rPr>
          <w:rFonts w:ascii="Arial" w:eastAsia="Calibri" w:hAnsi="Arial" w:cs="Arial"/>
          <w:i/>
          <w:szCs w:val="22"/>
        </w:rPr>
        <w:t>Xylosus</w:t>
      </w:r>
      <w:proofErr w:type="spellEnd"/>
      <w:r w:rsidRPr="005431C0">
        <w:rPr>
          <w:rFonts w:ascii="Arial" w:eastAsia="Calibri" w:hAnsi="Arial" w:cs="Arial"/>
          <w:iCs/>
          <w:szCs w:val="22"/>
        </w:rPr>
        <w:t xml:space="preserve"> and </w:t>
      </w:r>
      <w:r w:rsidRPr="005431C0">
        <w:rPr>
          <w:rFonts w:ascii="Arial" w:eastAsia="Calibri" w:hAnsi="Arial" w:cs="Arial"/>
          <w:i/>
          <w:szCs w:val="22"/>
        </w:rPr>
        <w:t>S. epidermidis</w:t>
      </w:r>
      <w:r w:rsidRPr="005431C0">
        <w:rPr>
          <w:rFonts w:ascii="Arial" w:eastAsia="Calibri" w:hAnsi="Arial" w:cs="Arial"/>
          <w:iCs/>
          <w:szCs w:val="22"/>
        </w:rPr>
        <w:t xml:space="preserve"> have also produced low levels of enterotoxins (Ali et al., 2025). </w:t>
      </w:r>
    </w:p>
    <w:p w14:paraId="01B25FBA" w14:textId="02F19C9C" w:rsidR="00790ADA" w:rsidRPr="005431C0" w:rsidRDefault="005431C0" w:rsidP="005431C0">
      <w:pPr>
        <w:pStyle w:val="Body"/>
        <w:rPr>
          <w:rFonts w:ascii="Arial" w:eastAsia="Calibri" w:hAnsi="Arial" w:cs="Arial"/>
          <w:b/>
          <w:iCs/>
          <w:szCs w:val="22"/>
        </w:rPr>
      </w:pPr>
      <w:r w:rsidRPr="005431C0">
        <w:rPr>
          <w:rFonts w:ascii="Arial" w:eastAsia="Calibri" w:hAnsi="Arial" w:cs="Arial"/>
          <w:szCs w:val="22"/>
          <w:lang w:val="en-IN"/>
        </w:rPr>
        <w:t xml:space="preserve">Recently, the emergence of drug resistance to most of the newly identified antibiotic classes has become a common threat among pathogenic bacterial isolates worldwide (Alara and Alara, 2024). The death rate due to </w:t>
      </w:r>
      <w:r w:rsidRPr="00C858F7">
        <w:rPr>
          <w:rFonts w:ascii="Arial" w:eastAsia="Calibri" w:hAnsi="Arial" w:cs="Arial"/>
          <w:i/>
          <w:iCs/>
          <w:szCs w:val="22"/>
          <w:lang w:val="en-IN"/>
        </w:rPr>
        <w:t>S. aureus</w:t>
      </w:r>
      <w:r w:rsidRPr="005431C0">
        <w:rPr>
          <w:rFonts w:ascii="Arial" w:eastAsia="Calibri" w:hAnsi="Arial" w:cs="Arial"/>
          <w:szCs w:val="22"/>
          <w:lang w:val="en-IN"/>
        </w:rPr>
        <w:t xml:space="preserve"> </w:t>
      </w:r>
      <w:proofErr w:type="spellStart"/>
      <w:r w:rsidRPr="005431C0">
        <w:rPr>
          <w:rFonts w:ascii="Arial" w:eastAsia="Calibri" w:hAnsi="Arial" w:cs="Arial"/>
          <w:szCs w:val="22"/>
          <w:lang w:val="en-IN"/>
        </w:rPr>
        <w:t>bacteremia</w:t>
      </w:r>
      <w:proofErr w:type="spellEnd"/>
      <w:r w:rsidRPr="005431C0">
        <w:rPr>
          <w:rFonts w:ascii="Arial" w:eastAsia="Calibri" w:hAnsi="Arial" w:cs="Arial"/>
          <w:szCs w:val="22"/>
          <w:lang w:val="en-IN"/>
        </w:rPr>
        <w:t xml:space="preserve"> exceeded 80% in the pre-antibiotic era (Zhang et al., 2024; Skinner and Keefer, 1941). However, after the introduction of the first antibiotic, penicillin G, in the early 1940s, patient prognosis improved significantly, but resistant pathogens were identified shortly thereafter in 1942 (</w:t>
      </w:r>
      <w:proofErr w:type="spellStart"/>
      <w:r w:rsidRPr="005431C0">
        <w:rPr>
          <w:rFonts w:ascii="Arial" w:eastAsia="Calibri" w:hAnsi="Arial" w:cs="Arial"/>
          <w:szCs w:val="22"/>
          <w:lang w:val="en-IN"/>
        </w:rPr>
        <w:t>Reverter</w:t>
      </w:r>
      <w:proofErr w:type="spellEnd"/>
      <w:r w:rsidRPr="005431C0">
        <w:rPr>
          <w:rFonts w:ascii="Arial" w:eastAsia="Calibri" w:hAnsi="Arial" w:cs="Arial"/>
          <w:szCs w:val="22"/>
          <w:lang w:val="en-IN"/>
        </w:rPr>
        <w:t xml:space="preserve"> et al., 2024; </w:t>
      </w:r>
      <w:proofErr w:type="spellStart"/>
      <w:r w:rsidRPr="005431C0">
        <w:rPr>
          <w:rFonts w:ascii="Arial" w:eastAsia="Calibri" w:hAnsi="Arial" w:cs="Arial"/>
          <w:szCs w:val="22"/>
          <w:lang w:val="en-IN"/>
        </w:rPr>
        <w:t>Rammelkamp</w:t>
      </w:r>
      <w:proofErr w:type="spellEnd"/>
      <w:r w:rsidRPr="005431C0">
        <w:rPr>
          <w:rFonts w:ascii="Arial" w:eastAsia="Calibri" w:hAnsi="Arial" w:cs="Arial"/>
          <w:szCs w:val="22"/>
          <w:lang w:val="en-IN"/>
        </w:rPr>
        <w:t xml:space="preserve"> and Maxon, 1942). A few years later, in 1959, a penicillinase-resistant semi-synthetic β-lactam antibiotic called methicillin was developed and introduced into clinical practice; however, by 1960, the first case of methicillin-resistant </w:t>
      </w:r>
      <w:r w:rsidRPr="00C858F7">
        <w:rPr>
          <w:rFonts w:ascii="Arial" w:eastAsia="Calibri" w:hAnsi="Arial" w:cs="Arial"/>
          <w:i/>
          <w:iCs/>
          <w:szCs w:val="22"/>
          <w:lang w:val="en-IN"/>
        </w:rPr>
        <w:t>S. aureus</w:t>
      </w:r>
      <w:r w:rsidRPr="005431C0">
        <w:rPr>
          <w:rFonts w:ascii="Arial" w:eastAsia="Calibri" w:hAnsi="Arial" w:cs="Arial"/>
          <w:szCs w:val="22"/>
          <w:lang w:val="en-IN"/>
        </w:rPr>
        <w:t xml:space="preserve"> (MRSA) was reported from the United Kingdom (Beaumont et al., 2024; Jevons, 1961). Since then, MRSA has become an endemic threat in hospitals, nursing homes, and clinical settings worldwide (</w:t>
      </w:r>
      <w:r w:rsidR="00F078D1" w:rsidRPr="005431C0">
        <w:rPr>
          <w:rFonts w:ascii="Arial" w:eastAsia="Calibri" w:hAnsi="Arial" w:cs="Arial"/>
          <w:szCs w:val="22"/>
          <w:lang w:val="en-IN"/>
        </w:rPr>
        <w:t>Alam et al., 2014</w:t>
      </w:r>
      <w:r w:rsidR="00F078D1">
        <w:rPr>
          <w:rFonts w:ascii="Arial" w:eastAsia="Calibri" w:hAnsi="Arial" w:cs="Arial"/>
          <w:szCs w:val="22"/>
          <w:lang w:val="en-IN"/>
        </w:rPr>
        <w:t xml:space="preserve">; </w:t>
      </w:r>
      <w:r w:rsidRPr="005431C0">
        <w:rPr>
          <w:rFonts w:ascii="Arial" w:eastAsia="Calibri" w:hAnsi="Arial" w:cs="Arial"/>
          <w:szCs w:val="22"/>
          <w:lang w:val="en-IN"/>
        </w:rPr>
        <w:t>Brown et al., 2005).</w:t>
      </w:r>
      <w:r w:rsidR="00430AC4">
        <w:rPr>
          <w:rFonts w:ascii="Arial" w:eastAsia="Calibri" w:hAnsi="Arial" w:cs="Arial"/>
          <w:szCs w:val="22"/>
          <w:lang w:val="en-IN"/>
        </w:rPr>
        <w:t xml:space="preserve"> Also, </w:t>
      </w:r>
      <w:r w:rsidR="00430AC4" w:rsidRPr="00786323">
        <w:rPr>
          <w:rFonts w:ascii="Arial" w:hAnsi="Arial" w:cs="Arial"/>
        </w:rPr>
        <w:t>Muwonge</w:t>
      </w:r>
      <w:r w:rsidR="00430AC4">
        <w:rPr>
          <w:rFonts w:ascii="Arial" w:hAnsi="Arial" w:cs="Arial"/>
        </w:rPr>
        <w:t xml:space="preserve"> and his co-workers reported that. </w:t>
      </w:r>
      <w:r w:rsidR="00430AC4">
        <w:rPr>
          <w:rFonts w:ascii="Arial" w:eastAsia="Calibri" w:hAnsi="Arial" w:cs="Arial"/>
          <w:szCs w:val="22"/>
          <w:lang w:val="en-IN"/>
        </w:rPr>
        <w:t xml:space="preserve">the </w:t>
      </w:r>
      <w:r w:rsidR="00430AC4">
        <w:rPr>
          <w:rFonts w:ascii="Arial" w:eastAsia="Calibri" w:hAnsi="Arial" w:cs="Arial"/>
          <w:szCs w:val="22"/>
          <w:lang w:val="en-IN"/>
        </w:rPr>
        <w:lastRenderedPageBreak/>
        <w:t>animals can be a potential source to transmit the MRSA and MDR-</w:t>
      </w:r>
      <w:r w:rsidR="00430AC4" w:rsidRPr="00430AC4">
        <w:rPr>
          <w:rFonts w:ascii="Arial" w:eastAsia="Calibri" w:hAnsi="Arial" w:cs="Arial"/>
          <w:i/>
          <w:iCs/>
          <w:szCs w:val="22"/>
          <w:lang w:val="en-IN"/>
        </w:rPr>
        <w:t>S.</w:t>
      </w:r>
      <w:r w:rsidR="00430AC4">
        <w:rPr>
          <w:rFonts w:ascii="Arial" w:eastAsia="Calibri" w:hAnsi="Arial" w:cs="Arial"/>
          <w:i/>
          <w:iCs/>
          <w:szCs w:val="22"/>
          <w:lang w:val="en-IN"/>
        </w:rPr>
        <w:t xml:space="preserve"> </w:t>
      </w:r>
      <w:r w:rsidR="00430AC4" w:rsidRPr="00430AC4">
        <w:rPr>
          <w:rFonts w:ascii="Arial" w:eastAsia="Calibri" w:hAnsi="Arial" w:cs="Arial"/>
          <w:i/>
          <w:iCs/>
          <w:szCs w:val="22"/>
          <w:lang w:val="en-IN"/>
        </w:rPr>
        <w:t>aureus</w:t>
      </w:r>
      <w:r w:rsidR="00430AC4">
        <w:rPr>
          <w:rFonts w:ascii="Arial" w:eastAsia="Calibri" w:hAnsi="Arial" w:cs="Arial"/>
          <w:szCs w:val="22"/>
          <w:lang w:val="en-IN"/>
        </w:rPr>
        <w:t xml:space="preserve"> to the slaughterhouse workers (</w:t>
      </w:r>
      <w:r w:rsidR="00430AC4" w:rsidRPr="00786323">
        <w:rPr>
          <w:rFonts w:ascii="Arial" w:hAnsi="Arial" w:cs="Arial"/>
        </w:rPr>
        <w:t>Muwonge</w:t>
      </w:r>
      <w:r w:rsidR="00430AC4">
        <w:rPr>
          <w:rFonts w:ascii="Arial" w:hAnsi="Arial" w:cs="Arial"/>
        </w:rPr>
        <w:t xml:space="preserve"> et al., 2025)</w:t>
      </w:r>
      <w:r w:rsidR="00430AC4">
        <w:rPr>
          <w:rFonts w:ascii="Arial" w:eastAsia="Calibri" w:hAnsi="Arial" w:cs="Arial"/>
          <w:szCs w:val="22"/>
          <w:lang w:val="en-IN"/>
        </w:rPr>
        <w:t xml:space="preserve">. </w:t>
      </w:r>
      <w:r w:rsidRPr="005431C0">
        <w:rPr>
          <w:rFonts w:ascii="Arial" w:eastAsia="Calibri" w:hAnsi="Arial" w:cs="Arial"/>
          <w:szCs w:val="22"/>
          <w:lang w:val="en-IN"/>
        </w:rPr>
        <w:t xml:space="preserve">In light of these facts, this study was conducted to isolate and </w:t>
      </w:r>
      <w:proofErr w:type="spellStart"/>
      <w:r w:rsidRPr="005431C0">
        <w:rPr>
          <w:rFonts w:ascii="Arial" w:eastAsia="Calibri" w:hAnsi="Arial" w:cs="Arial"/>
          <w:szCs w:val="22"/>
          <w:lang w:val="en-IN"/>
        </w:rPr>
        <w:t>analyze</w:t>
      </w:r>
      <w:proofErr w:type="spellEnd"/>
      <w:r w:rsidRPr="005431C0">
        <w:rPr>
          <w:rFonts w:ascii="Arial" w:eastAsia="Calibri" w:hAnsi="Arial" w:cs="Arial"/>
          <w:szCs w:val="22"/>
          <w:lang w:val="en-IN"/>
        </w:rPr>
        <w:t xml:space="preserve"> the antibiotic sensitivity profile of </w:t>
      </w:r>
      <w:r w:rsidRPr="00C858F7">
        <w:rPr>
          <w:rFonts w:ascii="Arial" w:eastAsia="Calibri" w:hAnsi="Arial" w:cs="Arial"/>
          <w:i/>
          <w:iCs/>
          <w:szCs w:val="22"/>
          <w:lang w:val="en-IN"/>
        </w:rPr>
        <w:t>S. aureus</w:t>
      </w:r>
      <w:r w:rsidRPr="005431C0">
        <w:rPr>
          <w:rFonts w:ascii="Arial" w:eastAsia="Calibri" w:hAnsi="Arial" w:cs="Arial"/>
          <w:szCs w:val="22"/>
          <w:lang w:val="en-IN"/>
        </w:rPr>
        <w:t xml:space="preserve"> from slaughterhouse workers in the Thoothukudi district of Tamil Nadu.</w:t>
      </w:r>
    </w:p>
    <w:p w14:paraId="330F033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1FC1C7E" w14:textId="77777777" w:rsidR="00790ADA" w:rsidRPr="00FB3A86" w:rsidRDefault="00E66E10" w:rsidP="00441B6F">
      <w:pPr>
        <w:pStyle w:val="Body"/>
        <w:spacing w:after="0"/>
        <w:rPr>
          <w:rFonts w:ascii="Arial" w:hAnsi="Arial" w:cs="Arial"/>
        </w:rPr>
      </w:pPr>
      <w:r>
        <w:rPr>
          <w:rFonts w:ascii="Arial" w:eastAsia="Calibri" w:hAnsi="Arial" w:cs="Arial"/>
          <w:color w:val="FF0000"/>
          <w:szCs w:val="22"/>
        </w:rPr>
        <w:t>.</w:t>
      </w:r>
    </w:p>
    <w:p w14:paraId="1FDDFCBF" w14:textId="77777777" w:rsidR="005431C0" w:rsidRDefault="00AA74E0" w:rsidP="00441B6F">
      <w:pPr>
        <w:pStyle w:val="Body"/>
        <w:spacing w:after="0"/>
        <w:rPr>
          <w:rFonts w:ascii="Arial" w:hAnsi="Arial" w:cs="Arial"/>
          <w:b/>
          <w:caps/>
        </w:rPr>
      </w:pPr>
      <w:r w:rsidRPr="00C30A0F">
        <w:rPr>
          <w:rFonts w:ascii="Arial" w:hAnsi="Arial" w:cs="Arial"/>
          <w:b/>
          <w:caps/>
          <w:sz w:val="22"/>
        </w:rPr>
        <w:t xml:space="preserve">2.1 </w:t>
      </w:r>
      <w:r w:rsidR="005431C0">
        <w:rPr>
          <w:rFonts w:ascii="Arial" w:hAnsi="Arial" w:cs="Arial"/>
          <w:b/>
          <w:sz w:val="22"/>
        </w:rPr>
        <w:t>Sample Collection</w:t>
      </w:r>
      <w:r w:rsidR="00C30A0F" w:rsidRPr="00C30A0F">
        <w:rPr>
          <w:rFonts w:ascii="Arial" w:hAnsi="Arial" w:cs="Arial"/>
          <w:b/>
          <w:sz w:val="22"/>
        </w:rPr>
        <w:t xml:space="preserve"> </w:t>
      </w:r>
      <w:r w:rsidR="005431C0">
        <w:rPr>
          <w:rFonts w:ascii="Arial" w:hAnsi="Arial" w:cs="Arial"/>
          <w:b/>
          <w:caps/>
        </w:rPr>
        <w:t xml:space="preserve"> </w:t>
      </w:r>
    </w:p>
    <w:p w14:paraId="2235DF3D" w14:textId="407966FC" w:rsidR="005431C0" w:rsidRDefault="00AA74E0" w:rsidP="005431C0">
      <w:pPr>
        <w:pStyle w:val="Body"/>
        <w:rPr>
          <w:rFonts w:ascii="Arial" w:hAnsi="Arial" w:cs="Arial"/>
          <w:iCs/>
        </w:rPr>
      </w:pPr>
      <w:r w:rsidRPr="00FB3A86">
        <w:rPr>
          <w:rFonts w:ascii="Arial" w:hAnsi="Arial" w:cs="Arial"/>
        </w:rPr>
        <w:t xml:space="preserve"> </w:t>
      </w:r>
      <w:r w:rsidR="005431C0" w:rsidRPr="005431C0">
        <w:rPr>
          <w:rFonts w:ascii="Arial" w:hAnsi="Arial" w:cs="Arial"/>
          <w:iCs/>
        </w:rPr>
        <w:t xml:space="preserve">Thoothukudi is one of the southern coastal districts of Tamil Nadu with a large number of slaughterhouses. The present study is designed to isolate and evaluate the antibiotic sensitivity profile of </w:t>
      </w:r>
      <w:r w:rsidR="005431C0" w:rsidRPr="005431C0">
        <w:rPr>
          <w:rFonts w:ascii="Arial" w:hAnsi="Arial" w:cs="Arial"/>
          <w:i/>
        </w:rPr>
        <w:t>Staphylococcus</w:t>
      </w:r>
      <w:r w:rsidR="005431C0" w:rsidRPr="005431C0">
        <w:rPr>
          <w:rFonts w:ascii="Arial" w:hAnsi="Arial" w:cs="Arial"/>
          <w:iCs/>
        </w:rPr>
        <w:t xml:space="preserve"> </w:t>
      </w:r>
      <w:r w:rsidR="005431C0" w:rsidRPr="005431C0">
        <w:rPr>
          <w:rFonts w:ascii="Arial" w:hAnsi="Arial" w:cs="Arial"/>
          <w:i/>
        </w:rPr>
        <w:t>aureus</w:t>
      </w:r>
      <w:r w:rsidR="005431C0" w:rsidRPr="005431C0">
        <w:rPr>
          <w:rFonts w:ascii="Arial" w:hAnsi="Arial" w:cs="Arial"/>
          <w:iCs/>
        </w:rPr>
        <w:t xml:space="preserve"> from the nasal swabs collected from </w:t>
      </w:r>
      <w:r w:rsidR="00897EDF">
        <w:rPr>
          <w:rFonts w:ascii="Arial" w:hAnsi="Arial" w:cs="Arial"/>
          <w:iCs/>
        </w:rPr>
        <w:t xml:space="preserve">healthy </w:t>
      </w:r>
      <w:r w:rsidR="005431C0" w:rsidRPr="005431C0">
        <w:rPr>
          <w:rFonts w:ascii="Arial" w:hAnsi="Arial" w:cs="Arial"/>
          <w:iCs/>
        </w:rPr>
        <w:t>slaughterhouse workers of various local meat shops in the Thoothukudi district</w:t>
      </w:r>
      <w:r w:rsidR="009C2D6B">
        <w:rPr>
          <w:rFonts w:ascii="Arial" w:hAnsi="Arial" w:cs="Arial"/>
          <w:iCs/>
        </w:rPr>
        <w:t xml:space="preserve">. The samples were collected after </w:t>
      </w:r>
      <w:r w:rsidR="00635B87">
        <w:rPr>
          <w:rFonts w:ascii="Arial" w:hAnsi="Arial" w:cs="Arial"/>
          <w:iCs/>
        </w:rPr>
        <w:t>getting</w:t>
      </w:r>
      <w:r w:rsidR="009C2D6B">
        <w:rPr>
          <w:rFonts w:ascii="Arial" w:hAnsi="Arial" w:cs="Arial"/>
          <w:iCs/>
        </w:rPr>
        <w:t xml:space="preserve"> the concerns of workers and were performed with the help of a registered medical practitioner. </w:t>
      </w:r>
      <w:r w:rsidR="005431C0" w:rsidRPr="005431C0">
        <w:rPr>
          <w:rFonts w:ascii="Arial" w:hAnsi="Arial" w:cs="Arial"/>
          <w:iCs/>
        </w:rPr>
        <w:t xml:space="preserve"> By following simple random sampling, 50 nasal swabs (n=50) were collected using standard procedures in clean, sterile screw capped plastic containers and labeled as S1 to S50. </w:t>
      </w:r>
    </w:p>
    <w:p w14:paraId="07C1F550" w14:textId="77777777" w:rsidR="005431C0" w:rsidRDefault="005431C0" w:rsidP="005431C0">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431C0">
        <w:rPr>
          <w:rFonts w:ascii="Arial" w:hAnsi="Arial" w:cs="Arial"/>
          <w:b/>
          <w:bCs/>
          <w:sz w:val="22"/>
        </w:rPr>
        <w:t xml:space="preserve">Isolation of </w:t>
      </w:r>
      <w:r w:rsidRPr="005431C0">
        <w:rPr>
          <w:rFonts w:ascii="Arial" w:hAnsi="Arial" w:cs="Arial"/>
          <w:b/>
          <w:bCs/>
          <w:i/>
          <w:iCs/>
          <w:sz w:val="22"/>
        </w:rPr>
        <w:t xml:space="preserve">S. aureus </w:t>
      </w:r>
      <w:r w:rsidRPr="005431C0">
        <w:rPr>
          <w:rFonts w:ascii="Arial" w:hAnsi="Arial" w:cs="Arial"/>
          <w:b/>
          <w:bCs/>
          <w:sz w:val="22"/>
        </w:rPr>
        <w:t>using the cultural method</w:t>
      </w:r>
    </w:p>
    <w:p w14:paraId="36ECC2D9" w14:textId="77777777" w:rsidR="005431C0" w:rsidRDefault="005431C0" w:rsidP="005431C0">
      <w:pPr>
        <w:pStyle w:val="Body"/>
        <w:spacing w:after="0"/>
        <w:rPr>
          <w:rFonts w:ascii="Arial" w:hAnsi="Arial" w:cs="Arial"/>
          <w:bCs/>
          <w:iCs/>
        </w:rPr>
      </w:pPr>
      <w:r w:rsidRPr="005431C0">
        <w:rPr>
          <w:rFonts w:ascii="Arial" w:hAnsi="Arial" w:cs="Arial"/>
          <w:bCs/>
          <w:iCs/>
        </w:rPr>
        <w:t xml:space="preserve">Isolation of </w:t>
      </w:r>
      <w:r w:rsidRPr="005431C0">
        <w:rPr>
          <w:rFonts w:ascii="Arial" w:hAnsi="Arial" w:cs="Arial"/>
          <w:bCs/>
          <w:i/>
          <w:iCs/>
        </w:rPr>
        <w:t>S. aureus</w:t>
      </w:r>
      <w:r w:rsidRPr="005431C0">
        <w:rPr>
          <w:rFonts w:ascii="Arial" w:hAnsi="Arial" w:cs="Arial"/>
          <w:bCs/>
          <w:iCs/>
        </w:rPr>
        <w:t xml:space="preserve"> from the collected nasal swabs was performed as per the </w:t>
      </w:r>
      <w:r w:rsidRPr="005431C0">
        <w:rPr>
          <w:rFonts w:ascii="Arial" w:hAnsi="Arial" w:cs="Arial"/>
          <w:iCs/>
        </w:rPr>
        <w:t>ISO 6888-1 (ISO 6888-1, 1999) with</w:t>
      </w:r>
      <w:r w:rsidRPr="005431C0">
        <w:rPr>
          <w:rFonts w:ascii="Arial" w:hAnsi="Arial" w:cs="Arial"/>
          <w:bCs/>
          <w:iCs/>
        </w:rPr>
        <w:t xml:space="preserve"> slight modifications. Briefly, performed with a two-step enrichment and selective plating. The collected samples were placed in 9 ml of Tryptic Soy Broth (TSB) (</w:t>
      </w:r>
      <w:proofErr w:type="spellStart"/>
      <w:r w:rsidRPr="005431C0">
        <w:rPr>
          <w:rFonts w:ascii="Arial" w:hAnsi="Arial" w:cs="Arial"/>
          <w:bCs/>
          <w:iCs/>
        </w:rPr>
        <w:t>Himedia</w:t>
      </w:r>
      <w:proofErr w:type="spellEnd"/>
      <w:r w:rsidRPr="005431C0">
        <w:rPr>
          <w:rFonts w:ascii="Arial" w:hAnsi="Arial" w:cs="Arial"/>
          <w:bCs/>
          <w:iCs/>
        </w:rPr>
        <w:t>, Mumbai, India) containing 6.5% w/v of sodium chloride, and incubated at 37</w:t>
      </w:r>
      <w:r w:rsidRPr="005431C0">
        <w:rPr>
          <w:rFonts w:ascii="Arial" w:hAnsi="Arial" w:cs="Arial"/>
          <w:bCs/>
          <w:iCs/>
          <w:vertAlign w:val="superscript"/>
        </w:rPr>
        <w:t xml:space="preserve"> °</w:t>
      </w:r>
      <w:r w:rsidRPr="005431C0">
        <w:rPr>
          <w:rFonts w:ascii="Arial" w:hAnsi="Arial" w:cs="Arial"/>
          <w:bCs/>
          <w:iCs/>
        </w:rPr>
        <w:t>C for 24 h. After incubation, a loopful of enriched cultures from the broth was streaked onto Mannitol salt agar (MSA) (</w:t>
      </w:r>
      <w:proofErr w:type="spellStart"/>
      <w:r w:rsidRPr="005431C0">
        <w:rPr>
          <w:rFonts w:ascii="Arial" w:hAnsi="Arial" w:cs="Arial"/>
          <w:bCs/>
          <w:iCs/>
        </w:rPr>
        <w:t>Himedia</w:t>
      </w:r>
      <w:proofErr w:type="spellEnd"/>
      <w:r w:rsidRPr="005431C0">
        <w:rPr>
          <w:rFonts w:ascii="Arial" w:hAnsi="Arial" w:cs="Arial"/>
          <w:bCs/>
          <w:iCs/>
        </w:rPr>
        <w:t>, Mumbai, India).  The plates were then incubated for 24-48 h at 37</w:t>
      </w:r>
      <w:r w:rsidRPr="005431C0">
        <w:rPr>
          <w:rFonts w:ascii="Arial" w:hAnsi="Arial" w:cs="Arial"/>
          <w:bCs/>
          <w:iCs/>
          <w:vertAlign w:val="superscript"/>
        </w:rPr>
        <w:t>o</w:t>
      </w:r>
      <w:r w:rsidRPr="005431C0">
        <w:rPr>
          <w:rFonts w:ascii="Arial" w:hAnsi="Arial" w:cs="Arial"/>
          <w:bCs/>
          <w:iCs/>
        </w:rPr>
        <w:t xml:space="preserve">C. On MSA, the presumptive </w:t>
      </w:r>
      <w:r w:rsidRPr="005431C0">
        <w:rPr>
          <w:rFonts w:ascii="Arial" w:hAnsi="Arial" w:cs="Arial"/>
          <w:bCs/>
          <w:i/>
          <w:iCs/>
        </w:rPr>
        <w:t>S. aureus</w:t>
      </w:r>
      <w:r w:rsidRPr="005431C0">
        <w:rPr>
          <w:rFonts w:ascii="Arial" w:hAnsi="Arial" w:cs="Arial"/>
          <w:bCs/>
          <w:iCs/>
        </w:rPr>
        <w:t xml:space="preserve"> appeared as small yellow colored colonies surrounded by yellow medium. Further, the presumptive </w:t>
      </w:r>
      <w:r w:rsidRPr="005431C0">
        <w:rPr>
          <w:rFonts w:ascii="Arial" w:hAnsi="Arial" w:cs="Arial"/>
          <w:bCs/>
          <w:i/>
          <w:iCs/>
        </w:rPr>
        <w:t xml:space="preserve">S. aureus </w:t>
      </w:r>
      <w:r w:rsidRPr="005431C0">
        <w:rPr>
          <w:rFonts w:ascii="Arial" w:hAnsi="Arial" w:cs="Arial"/>
          <w:bCs/>
          <w:iCs/>
        </w:rPr>
        <w:t>isolates were subjected to morphological confirmation using Gram staining and molecular confirmation using PCR.</w:t>
      </w:r>
    </w:p>
    <w:p w14:paraId="33FBCEEE" w14:textId="77777777" w:rsidR="005431C0" w:rsidRPr="005431C0" w:rsidRDefault="005431C0" w:rsidP="005431C0">
      <w:pPr>
        <w:pStyle w:val="Body"/>
        <w:spacing w:after="0"/>
        <w:rPr>
          <w:rFonts w:ascii="Arial" w:hAnsi="Arial" w:cs="Arial"/>
          <w:bCs/>
          <w:iCs/>
        </w:rPr>
      </w:pPr>
    </w:p>
    <w:p w14:paraId="5E3E60F8" w14:textId="166E7D58" w:rsidR="005431C0" w:rsidRDefault="005431C0" w:rsidP="005431C0">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447076" w:rsidRPr="00447076">
        <w:rPr>
          <w:rFonts w:ascii="Arial" w:hAnsi="Arial" w:cs="Arial"/>
          <w:b/>
          <w:bCs/>
          <w:sz w:val="22"/>
        </w:rPr>
        <w:t xml:space="preserve">Identification of </w:t>
      </w:r>
      <w:r w:rsidR="00447076" w:rsidRPr="00447076">
        <w:rPr>
          <w:rFonts w:ascii="Arial" w:hAnsi="Arial" w:cs="Arial"/>
          <w:b/>
          <w:bCs/>
          <w:i/>
          <w:iCs/>
          <w:sz w:val="22"/>
        </w:rPr>
        <w:t>S. aureus</w:t>
      </w:r>
      <w:r w:rsidR="00447076" w:rsidRPr="00447076">
        <w:rPr>
          <w:rFonts w:ascii="Arial" w:hAnsi="Arial" w:cs="Arial"/>
          <w:b/>
          <w:bCs/>
          <w:sz w:val="22"/>
        </w:rPr>
        <w:t xml:space="preserve"> based on microscopic morpholo</w:t>
      </w:r>
      <w:r w:rsidR="00447076">
        <w:rPr>
          <w:rFonts w:ascii="Arial" w:hAnsi="Arial" w:cs="Arial"/>
          <w:b/>
          <w:bCs/>
          <w:sz w:val="22"/>
        </w:rPr>
        <w:t>gy</w:t>
      </w:r>
    </w:p>
    <w:p w14:paraId="1A1AE223" w14:textId="12F2DEA1" w:rsidR="005431C0" w:rsidRDefault="005431C0" w:rsidP="005431C0">
      <w:pPr>
        <w:pStyle w:val="Body"/>
        <w:rPr>
          <w:rFonts w:ascii="Arial" w:hAnsi="Arial" w:cs="Arial"/>
          <w:bCs/>
          <w:iCs/>
        </w:rPr>
      </w:pPr>
      <w:r w:rsidRPr="005431C0">
        <w:rPr>
          <w:rFonts w:ascii="Arial" w:hAnsi="Arial" w:cs="Arial"/>
          <w:bCs/>
          <w:iCs/>
        </w:rPr>
        <w:t>Smears were made from the presumptive colonies on a grease-free glass slide and stained using the standard Gram staining procedure described earlier (Parasuraman et al., 2024). The stained smears were examined under the 100</w:t>
      </w:r>
      <w:r w:rsidR="00447076">
        <w:rPr>
          <w:rFonts w:ascii="Arial" w:hAnsi="Arial" w:cs="Arial"/>
          <w:bCs/>
          <w:iCs/>
        </w:rPr>
        <w:t>0</w:t>
      </w:r>
      <w:r w:rsidRPr="005431C0">
        <w:rPr>
          <w:rFonts w:ascii="Arial" w:hAnsi="Arial" w:cs="Arial"/>
          <w:bCs/>
          <w:iCs/>
        </w:rPr>
        <w:t xml:space="preserve">x oil immersion objective; those samples that exhibited a Gram-positive coccus in bunches were considered as </w:t>
      </w:r>
      <w:r w:rsidRPr="00D85CC6">
        <w:rPr>
          <w:rFonts w:ascii="Arial" w:hAnsi="Arial" w:cs="Arial"/>
          <w:bCs/>
          <w:i/>
        </w:rPr>
        <w:t>Staphylococcus</w:t>
      </w:r>
      <w:r w:rsidRPr="005431C0">
        <w:rPr>
          <w:rFonts w:ascii="Arial" w:hAnsi="Arial" w:cs="Arial"/>
          <w:bCs/>
          <w:iCs/>
        </w:rPr>
        <w:t xml:space="preserve"> Spp. The morphologically confirmed isolates were further subjected to molecular confirmation.</w:t>
      </w:r>
    </w:p>
    <w:p w14:paraId="14621C9A" w14:textId="77777777" w:rsidR="005431C0" w:rsidRPr="005431C0" w:rsidRDefault="005431C0" w:rsidP="005431C0">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5431C0">
        <w:rPr>
          <w:rFonts w:ascii="Arial" w:hAnsi="Arial" w:cs="Arial"/>
          <w:b/>
          <w:bCs/>
          <w:sz w:val="22"/>
        </w:rPr>
        <w:t xml:space="preserve">Molecular Confirmation of </w:t>
      </w:r>
      <w:r w:rsidRPr="005431C0">
        <w:rPr>
          <w:rFonts w:ascii="Arial" w:hAnsi="Arial" w:cs="Arial"/>
          <w:b/>
          <w:bCs/>
          <w:i/>
          <w:iCs/>
          <w:sz w:val="22"/>
        </w:rPr>
        <w:t xml:space="preserve">S. aureus </w:t>
      </w:r>
      <w:r w:rsidRPr="005431C0">
        <w:rPr>
          <w:rFonts w:ascii="Arial" w:hAnsi="Arial" w:cs="Arial"/>
          <w:b/>
          <w:bCs/>
          <w:sz w:val="22"/>
        </w:rPr>
        <w:t>by PCR</w:t>
      </w:r>
    </w:p>
    <w:p w14:paraId="12F00927" w14:textId="4CB9F642" w:rsidR="005431C0" w:rsidRDefault="005431C0" w:rsidP="005431C0">
      <w:pPr>
        <w:pStyle w:val="Body"/>
        <w:rPr>
          <w:rFonts w:ascii="Arial" w:hAnsi="Arial" w:cs="Arial"/>
          <w:bCs/>
          <w:iCs/>
        </w:rPr>
      </w:pPr>
      <w:r w:rsidRPr="005431C0">
        <w:rPr>
          <w:rFonts w:ascii="Arial" w:hAnsi="Arial" w:cs="Arial"/>
          <w:bCs/>
          <w:iCs/>
        </w:rPr>
        <w:t xml:space="preserve">The Isolates were further confirmed using the standardized PCR by targeting the species-specific </w:t>
      </w:r>
      <w:proofErr w:type="spellStart"/>
      <w:r w:rsidRPr="005431C0">
        <w:rPr>
          <w:rFonts w:ascii="Arial" w:hAnsi="Arial" w:cs="Arial"/>
          <w:bCs/>
          <w:i/>
          <w:iCs/>
        </w:rPr>
        <w:t>nuc</w:t>
      </w:r>
      <w:proofErr w:type="spellEnd"/>
      <w:r w:rsidRPr="005431C0">
        <w:rPr>
          <w:rFonts w:ascii="Arial" w:hAnsi="Arial" w:cs="Arial"/>
          <w:bCs/>
          <w:iCs/>
        </w:rPr>
        <w:t xml:space="preserve"> gene as described earlier (</w:t>
      </w:r>
      <w:proofErr w:type="spellStart"/>
      <w:r w:rsidR="00EC7FF0" w:rsidRPr="00EC7FF0">
        <w:rPr>
          <w:rFonts w:ascii="Arial" w:hAnsi="Arial" w:cs="Arial"/>
        </w:rPr>
        <w:t>Sahebnasagh</w:t>
      </w:r>
      <w:proofErr w:type="spellEnd"/>
      <w:r w:rsidR="00EC7FF0">
        <w:rPr>
          <w:rFonts w:ascii="Arial" w:hAnsi="Arial" w:cs="Arial"/>
        </w:rPr>
        <w:t xml:space="preserve"> et al., 2014</w:t>
      </w:r>
      <w:r w:rsidRPr="005431C0">
        <w:rPr>
          <w:rFonts w:ascii="Arial" w:hAnsi="Arial" w:cs="Arial"/>
          <w:bCs/>
          <w:iCs/>
        </w:rPr>
        <w:t>). Briefly, the PCR was performed using the standardized PCR cycling conditions with the 25 µl reaction mixture comprised of 2.5 µl of 10x PCR Buffer (100 mM Tris-HCl buffer pH-8.3 with 15 mM MgCl</w:t>
      </w:r>
      <w:r w:rsidRPr="005431C0">
        <w:rPr>
          <w:rFonts w:ascii="Arial" w:hAnsi="Arial" w:cs="Arial"/>
          <w:bCs/>
          <w:iCs/>
          <w:vertAlign w:val="subscript"/>
        </w:rPr>
        <w:t>2</w:t>
      </w:r>
      <w:r w:rsidRPr="005431C0">
        <w:rPr>
          <w:rFonts w:ascii="Arial" w:hAnsi="Arial" w:cs="Arial"/>
          <w:bCs/>
          <w:iCs/>
        </w:rPr>
        <w:t>, 500 mM KCl, and 0.01% gelatin), 1 µl of 25 mM MgCl</w:t>
      </w:r>
      <w:r w:rsidRPr="005431C0">
        <w:rPr>
          <w:rFonts w:ascii="Arial" w:hAnsi="Arial" w:cs="Arial"/>
          <w:bCs/>
          <w:iCs/>
          <w:vertAlign w:val="subscript"/>
        </w:rPr>
        <w:t xml:space="preserve">2, </w:t>
      </w:r>
      <w:r w:rsidRPr="005431C0">
        <w:rPr>
          <w:rFonts w:ascii="Arial" w:hAnsi="Arial" w:cs="Arial"/>
          <w:bCs/>
          <w:iCs/>
        </w:rPr>
        <w:t xml:space="preserve">1 µl of Taq Polymerase (1U/ µl), 1 µl of 10mM dNTPs, 1 µl of 10 </w:t>
      </w:r>
      <w:proofErr w:type="spellStart"/>
      <w:r w:rsidRPr="005431C0">
        <w:rPr>
          <w:rFonts w:ascii="Arial" w:hAnsi="Arial" w:cs="Arial"/>
          <w:bCs/>
          <w:iCs/>
        </w:rPr>
        <w:t>pM</w:t>
      </w:r>
      <w:proofErr w:type="spellEnd"/>
      <w:r w:rsidRPr="005431C0">
        <w:rPr>
          <w:rFonts w:ascii="Arial" w:hAnsi="Arial" w:cs="Arial"/>
          <w:bCs/>
          <w:iCs/>
        </w:rPr>
        <w:t xml:space="preserve"> specific forward and reverse primers (Table 1), 5 µl of  DNA Template and 12.5 µl of NFW (Nuclease Free water) in the PCR thermal cycler- C 1000 </w:t>
      </w:r>
      <w:proofErr w:type="spellStart"/>
      <w:r w:rsidRPr="005431C0">
        <w:rPr>
          <w:rFonts w:ascii="Arial" w:hAnsi="Arial" w:cs="Arial"/>
          <w:bCs/>
          <w:iCs/>
        </w:rPr>
        <w:t>Touch</w:t>
      </w:r>
      <w:r w:rsidRPr="005431C0">
        <w:rPr>
          <w:rFonts w:ascii="Arial" w:hAnsi="Arial" w:cs="Arial"/>
          <w:bCs/>
          <w:iCs/>
          <w:vertAlign w:val="superscript"/>
        </w:rPr>
        <w:t>TM</w:t>
      </w:r>
      <w:proofErr w:type="spellEnd"/>
      <w:r w:rsidRPr="005431C0">
        <w:rPr>
          <w:rFonts w:ascii="Arial" w:hAnsi="Arial" w:cs="Arial"/>
          <w:bCs/>
          <w:iCs/>
        </w:rPr>
        <w:t xml:space="preserve"> (Bio-Rad, USA). The standardized cycling conditions used for the amplification of the </w:t>
      </w:r>
      <w:proofErr w:type="spellStart"/>
      <w:r w:rsidRPr="005431C0">
        <w:rPr>
          <w:rFonts w:ascii="Arial" w:hAnsi="Arial" w:cs="Arial"/>
          <w:bCs/>
          <w:i/>
          <w:iCs/>
        </w:rPr>
        <w:t>nuc</w:t>
      </w:r>
      <w:proofErr w:type="spellEnd"/>
      <w:r w:rsidRPr="005431C0">
        <w:rPr>
          <w:rFonts w:ascii="Arial" w:hAnsi="Arial" w:cs="Arial"/>
          <w:bCs/>
          <w:i/>
          <w:iCs/>
        </w:rPr>
        <w:t xml:space="preserve"> </w:t>
      </w:r>
      <w:r w:rsidRPr="005431C0">
        <w:rPr>
          <w:rFonts w:ascii="Arial" w:hAnsi="Arial" w:cs="Arial"/>
          <w:bCs/>
          <w:iCs/>
        </w:rPr>
        <w:t xml:space="preserve">gene are described in Table 2. After the amplification, the PCR products were separated in a 1.5% agarose gel with Ethidium bromide in Tris-Acetate-EDTA (TAE) buffer using standard horizontal gel electrophoresis at 100 volts for 30 min. The DNA ladder of 100 bp was used as a marker for comparing the size of amplified PCR products. The amplified </w:t>
      </w:r>
      <w:proofErr w:type="spellStart"/>
      <w:r w:rsidRPr="005431C0">
        <w:rPr>
          <w:rFonts w:ascii="Arial" w:hAnsi="Arial" w:cs="Arial"/>
          <w:bCs/>
          <w:i/>
          <w:iCs/>
        </w:rPr>
        <w:t>nuc</w:t>
      </w:r>
      <w:proofErr w:type="spellEnd"/>
      <w:r w:rsidRPr="005431C0">
        <w:rPr>
          <w:rFonts w:ascii="Arial" w:hAnsi="Arial" w:cs="Arial"/>
          <w:bCs/>
          <w:iCs/>
        </w:rPr>
        <w:t xml:space="preserve"> gene fragments were visualized using an ultraviolet gel documentation system.  All the contaminants with the Ethidium bromide were disposed of by following the institutional biosafety guidelines for disposing of biohazardous materials. </w:t>
      </w:r>
    </w:p>
    <w:p w14:paraId="1D9BE267" w14:textId="77777777" w:rsidR="00151555" w:rsidRDefault="00151555" w:rsidP="005431C0">
      <w:pPr>
        <w:pStyle w:val="Body"/>
        <w:rPr>
          <w:rFonts w:ascii="Arial" w:hAnsi="Arial" w:cs="Arial"/>
          <w:bCs/>
          <w:iCs/>
        </w:rPr>
      </w:pPr>
    </w:p>
    <w:p w14:paraId="00495CF8" w14:textId="77777777" w:rsidR="005431C0" w:rsidRDefault="005431C0" w:rsidP="005431C0">
      <w:pPr>
        <w:tabs>
          <w:tab w:val="left" w:pos="1080"/>
        </w:tabs>
        <w:jc w:val="both"/>
        <w:rPr>
          <w:rFonts w:ascii="Arial" w:hAnsi="Arial"/>
          <w:b/>
          <w:bCs/>
        </w:rPr>
      </w:pPr>
      <w:r>
        <w:rPr>
          <w:rFonts w:ascii="Arial" w:hAnsi="Arial"/>
          <w:b/>
        </w:rPr>
        <w:t>Table 1.</w:t>
      </w:r>
      <w:r w:rsidRPr="00DC3180">
        <w:rPr>
          <w:rFonts w:ascii="Arial" w:hAnsi="Arial"/>
          <w:b/>
        </w:rPr>
        <w:tab/>
      </w:r>
      <w:r w:rsidRPr="005431C0">
        <w:rPr>
          <w:rFonts w:ascii="Arial" w:hAnsi="Arial"/>
          <w:b/>
          <w:bCs/>
        </w:rPr>
        <w:t xml:space="preserve">Nucleotide Sequence of </w:t>
      </w:r>
      <w:r w:rsidRPr="005431C0">
        <w:rPr>
          <w:rFonts w:ascii="Arial" w:hAnsi="Arial"/>
          <w:b/>
          <w:bCs/>
          <w:i/>
          <w:iCs/>
        </w:rPr>
        <w:t>S. aureus</w:t>
      </w:r>
      <w:r w:rsidRPr="005431C0">
        <w:rPr>
          <w:rFonts w:ascii="Arial" w:hAnsi="Arial"/>
          <w:b/>
          <w:bCs/>
        </w:rPr>
        <w:t xml:space="preserve"> specific </w:t>
      </w:r>
      <w:proofErr w:type="spellStart"/>
      <w:r w:rsidRPr="005431C0">
        <w:rPr>
          <w:rFonts w:ascii="Arial" w:hAnsi="Arial"/>
          <w:b/>
          <w:bCs/>
          <w:i/>
          <w:iCs/>
        </w:rPr>
        <w:t>nuc</w:t>
      </w:r>
      <w:proofErr w:type="spellEnd"/>
      <w:r w:rsidRPr="005431C0">
        <w:rPr>
          <w:rFonts w:ascii="Arial" w:hAnsi="Arial"/>
          <w:b/>
          <w:bCs/>
        </w:rPr>
        <w:t xml:space="preserve"> gene primer</w:t>
      </w:r>
    </w:p>
    <w:p w14:paraId="19803784" w14:textId="77777777" w:rsidR="005431C0" w:rsidRPr="005431C0" w:rsidRDefault="005431C0" w:rsidP="005431C0">
      <w:pPr>
        <w:tabs>
          <w:tab w:val="left" w:pos="1080"/>
        </w:tabs>
        <w:jc w:val="both"/>
        <w:rPr>
          <w:rFonts w:ascii="Arial" w:hAnsi="Arial" w:cs="Arial"/>
          <w:bCs/>
          <w:i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4703"/>
        <w:gridCol w:w="2420"/>
        <w:gridCol w:w="1641"/>
      </w:tblGrid>
      <w:tr w:rsidR="005431C0" w:rsidRPr="00DD4709" w14:paraId="6F413734" w14:textId="77777777" w:rsidTr="005431C0">
        <w:tc>
          <w:tcPr>
            <w:tcW w:w="1138" w:type="dxa"/>
            <w:tcBorders>
              <w:top w:val="single" w:sz="4" w:space="0" w:color="auto"/>
              <w:bottom w:val="single" w:sz="4" w:space="0" w:color="auto"/>
            </w:tcBorders>
          </w:tcPr>
          <w:p w14:paraId="66DE76E1"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Primers</w:t>
            </w:r>
          </w:p>
        </w:tc>
        <w:tc>
          <w:tcPr>
            <w:tcW w:w="4712" w:type="dxa"/>
            <w:tcBorders>
              <w:top w:val="single" w:sz="4" w:space="0" w:color="auto"/>
              <w:bottom w:val="single" w:sz="4" w:space="0" w:color="auto"/>
            </w:tcBorders>
          </w:tcPr>
          <w:p w14:paraId="7F837939"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Sequences (5’-3’)</w:t>
            </w:r>
          </w:p>
        </w:tc>
        <w:tc>
          <w:tcPr>
            <w:tcW w:w="2430" w:type="dxa"/>
            <w:tcBorders>
              <w:top w:val="single" w:sz="4" w:space="0" w:color="auto"/>
              <w:bottom w:val="single" w:sz="4" w:space="0" w:color="auto"/>
            </w:tcBorders>
          </w:tcPr>
          <w:p w14:paraId="71CE69CE"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Amplicon size (bp)</w:t>
            </w:r>
          </w:p>
          <w:p w14:paraId="16BDE578" w14:textId="77777777" w:rsidR="005431C0" w:rsidRPr="005431C0" w:rsidRDefault="005431C0" w:rsidP="005431C0">
            <w:pPr>
              <w:jc w:val="both"/>
              <w:rPr>
                <w:rFonts w:ascii="Arial" w:hAnsi="Arial"/>
                <w:b/>
                <w:bCs/>
                <w:sz w:val="20"/>
                <w:szCs w:val="20"/>
              </w:rPr>
            </w:pPr>
          </w:p>
        </w:tc>
        <w:tc>
          <w:tcPr>
            <w:tcW w:w="1620" w:type="dxa"/>
            <w:tcBorders>
              <w:top w:val="single" w:sz="4" w:space="0" w:color="auto"/>
              <w:bottom w:val="single" w:sz="4" w:space="0" w:color="auto"/>
            </w:tcBorders>
          </w:tcPr>
          <w:p w14:paraId="0E18FA26"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Reference</w:t>
            </w:r>
          </w:p>
        </w:tc>
      </w:tr>
      <w:tr w:rsidR="005431C0" w:rsidRPr="00DD4709" w14:paraId="2A10057E" w14:textId="77777777" w:rsidTr="005431C0">
        <w:tc>
          <w:tcPr>
            <w:tcW w:w="1138" w:type="dxa"/>
            <w:tcBorders>
              <w:top w:val="single" w:sz="4" w:space="0" w:color="auto"/>
              <w:bottom w:val="single" w:sz="4" w:space="0" w:color="auto"/>
            </w:tcBorders>
          </w:tcPr>
          <w:p w14:paraId="33EFB6F5" w14:textId="77777777" w:rsidR="005431C0" w:rsidRPr="005431C0" w:rsidRDefault="005431C0" w:rsidP="005431C0">
            <w:pPr>
              <w:jc w:val="both"/>
              <w:rPr>
                <w:rFonts w:ascii="Arial" w:eastAsia="Times New Roman" w:hAnsi="Arial"/>
                <w:i/>
                <w:iCs/>
                <w:sz w:val="20"/>
                <w:szCs w:val="20"/>
              </w:rPr>
            </w:pPr>
            <w:proofErr w:type="spellStart"/>
            <w:r w:rsidRPr="005431C0">
              <w:rPr>
                <w:rFonts w:ascii="Arial" w:eastAsia="Times New Roman" w:hAnsi="Arial"/>
                <w:i/>
                <w:iCs/>
                <w:sz w:val="20"/>
                <w:szCs w:val="20"/>
              </w:rPr>
              <w:t>nuc</w:t>
            </w:r>
            <w:proofErr w:type="spellEnd"/>
          </w:p>
        </w:tc>
        <w:tc>
          <w:tcPr>
            <w:tcW w:w="4712" w:type="dxa"/>
            <w:tcBorders>
              <w:top w:val="single" w:sz="4" w:space="0" w:color="auto"/>
              <w:bottom w:val="single" w:sz="4" w:space="0" w:color="auto"/>
            </w:tcBorders>
          </w:tcPr>
          <w:p w14:paraId="0E4AB298" w14:textId="77777777" w:rsidR="005431C0" w:rsidRPr="005431C0" w:rsidRDefault="005431C0" w:rsidP="005431C0">
            <w:pPr>
              <w:jc w:val="both"/>
              <w:rPr>
                <w:rFonts w:ascii="Arial" w:eastAsia="Times New Roman" w:hAnsi="Arial"/>
                <w:sz w:val="20"/>
                <w:szCs w:val="20"/>
              </w:rPr>
            </w:pPr>
            <w:r w:rsidRPr="005431C0">
              <w:rPr>
                <w:rFonts w:ascii="Arial" w:eastAsia="Times New Roman" w:hAnsi="Arial"/>
                <w:sz w:val="20"/>
                <w:szCs w:val="20"/>
              </w:rPr>
              <w:t>F: CGATTGATGGTGATACGGTT</w:t>
            </w:r>
          </w:p>
          <w:p w14:paraId="62B21FAC" w14:textId="77777777" w:rsidR="005431C0" w:rsidRPr="005431C0" w:rsidRDefault="005431C0" w:rsidP="005431C0">
            <w:pPr>
              <w:rPr>
                <w:rFonts w:ascii="Arial" w:eastAsia="Times New Roman" w:hAnsi="Arial"/>
                <w:sz w:val="20"/>
                <w:szCs w:val="20"/>
              </w:rPr>
            </w:pPr>
            <w:r w:rsidRPr="005431C0">
              <w:rPr>
                <w:rFonts w:ascii="Arial" w:eastAsia="Times New Roman" w:hAnsi="Arial"/>
                <w:sz w:val="20"/>
                <w:szCs w:val="20"/>
              </w:rPr>
              <w:t>R: ACGCAAGCCTTGACGAACTAAAGC</w:t>
            </w:r>
          </w:p>
        </w:tc>
        <w:tc>
          <w:tcPr>
            <w:tcW w:w="2430" w:type="dxa"/>
            <w:tcBorders>
              <w:top w:val="single" w:sz="4" w:space="0" w:color="auto"/>
              <w:bottom w:val="single" w:sz="4" w:space="0" w:color="auto"/>
            </w:tcBorders>
          </w:tcPr>
          <w:p w14:paraId="6675FB00" w14:textId="77777777" w:rsidR="005431C0" w:rsidRPr="005431C0" w:rsidRDefault="005431C0" w:rsidP="005431C0">
            <w:pPr>
              <w:rPr>
                <w:rFonts w:ascii="Arial" w:eastAsia="Times New Roman" w:hAnsi="Arial"/>
                <w:sz w:val="20"/>
                <w:szCs w:val="20"/>
              </w:rPr>
            </w:pPr>
            <w:r w:rsidRPr="005431C0">
              <w:rPr>
                <w:rFonts w:ascii="Arial" w:eastAsia="Times New Roman" w:hAnsi="Arial"/>
                <w:sz w:val="20"/>
                <w:szCs w:val="20"/>
              </w:rPr>
              <w:t>279</w:t>
            </w:r>
          </w:p>
        </w:tc>
        <w:tc>
          <w:tcPr>
            <w:tcW w:w="1620" w:type="dxa"/>
            <w:tcBorders>
              <w:top w:val="single" w:sz="4" w:space="0" w:color="auto"/>
              <w:bottom w:val="single" w:sz="4" w:space="0" w:color="auto"/>
            </w:tcBorders>
          </w:tcPr>
          <w:p w14:paraId="572B0FF5" w14:textId="7C4B932E" w:rsidR="005431C0" w:rsidRPr="005431C0" w:rsidRDefault="005431C0" w:rsidP="005431C0">
            <w:pPr>
              <w:rPr>
                <w:rFonts w:ascii="Arial" w:eastAsia="Times New Roman" w:hAnsi="Arial"/>
                <w:sz w:val="20"/>
                <w:szCs w:val="20"/>
              </w:rPr>
            </w:pPr>
            <w:r w:rsidRPr="005431C0">
              <w:rPr>
                <w:rFonts w:ascii="Arial" w:eastAsia="Times New Roman" w:hAnsi="Arial"/>
                <w:sz w:val="20"/>
                <w:szCs w:val="20"/>
              </w:rPr>
              <w:t>(</w:t>
            </w:r>
            <w:proofErr w:type="spellStart"/>
            <w:r w:rsidR="00EC7FF0" w:rsidRPr="00EC7FF0">
              <w:rPr>
                <w:rFonts w:ascii="Arial" w:hAnsi="Arial" w:cs="Arial"/>
              </w:rPr>
              <w:t>Sahebnasagh</w:t>
            </w:r>
            <w:proofErr w:type="spellEnd"/>
            <w:r w:rsidR="00EC7FF0">
              <w:rPr>
                <w:rFonts w:ascii="Arial" w:hAnsi="Arial" w:cs="Arial"/>
              </w:rPr>
              <w:t xml:space="preserve"> </w:t>
            </w:r>
            <w:r w:rsidRPr="005431C0">
              <w:rPr>
                <w:rFonts w:ascii="Arial" w:eastAsia="Times New Roman" w:hAnsi="Arial"/>
                <w:sz w:val="20"/>
                <w:szCs w:val="20"/>
              </w:rPr>
              <w:t xml:space="preserve">et al., </w:t>
            </w:r>
            <w:r w:rsidR="00EC7FF0">
              <w:rPr>
                <w:rFonts w:ascii="Arial" w:eastAsia="Times New Roman" w:hAnsi="Arial"/>
                <w:sz w:val="20"/>
                <w:szCs w:val="20"/>
              </w:rPr>
              <w:t>2014</w:t>
            </w:r>
            <w:r w:rsidR="00BA431A">
              <w:rPr>
                <w:rFonts w:ascii="Arial" w:eastAsia="Times New Roman" w:hAnsi="Arial"/>
                <w:sz w:val="20"/>
                <w:szCs w:val="20"/>
              </w:rPr>
              <w:t>)</w:t>
            </w:r>
          </w:p>
        </w:tc>
      </w:tr>
    </w:tbl>
    <w:p w14:paraId="43AF844C" w14:textId="77777777" w:rsidR="005431C0" w:rsidRDefault="005431C0" w:rsidP="005431C0">
      <w:pPr>
        <w:pStyle w:val="Body"/>
        <w:rPr>
          <w:rFonts w:ascii="Arial" w:hAnsi="Arial" w:cs="Arial"/>
          <w:iCs/>
        </w:rPr>
      </w:pPr>
    </w:p>
    <w:p w14:paraId="3F732310" w14:textId="77777777" w:rsidR="005431C0" w:rsidRDefault="005431C0" w:rsidP="005431C0">
      <w:pPr>
        <w:tabs>
          <w:tab w:val="left" w:pos="1080"/>
        </w:tabs>
        <w:jc w:val="both"/>
        <w:rPr>
          <w:rFonts w:ascii="Arial" w:hAnsi="Arial"/>
          <w:b/>
          <w:bCs/>
        </w:rPr>
      </w:pPr>
      <w:r>
        <w:rPr>
          <w:rFonts w:ascii="Arial" w:hAnsi="Arial"/>
          <w:b/>
        </w:rPr>
        <w:t>Table 2.</w:t>
      </w:r>
      <w:r w:rsidRPr="00DC3180">
        <w:rPr>
          <w:rFonts w:ascii="Arial" w:hAnsi="Arial"/>
          <w:b/>
        </w:rPr>
        <w:tab/>
      </w:r>
      <w:r w:rsidRPr="005431C0">
        <w:rPr>
          <w:rFonts w:ascii="Arial" w:hAnsi="Arial"/>
          <w:b/>
          <w:bCs/>
        </w:rPr>
        <w:t xml:space="preserve">Standard cycling conditions of the PCR targeting the </w:t>
      </w:r>
      <w:proofErr w:type="spellStart"/>
      <w:r w:rsidRPr="005431C0">
        <w:rPr>
          <w:rFonts w:ascii="Arial" w:hAnsi="Arial"/>
          <w:b/>
          <w:bCs/>
          <w:i/>
          <w:iCs/>
        </w:rPr>
        <w:t>nuc</w:t>
      </w:r>
      <w:proofErr w:type="spellEnd"/>
      <w:r w:rsidRPr="005431C0">
        <w:rPr>
          <w:rFonts w:ascii="Arial" w:hAnsi="Arial"/>
          <w:b/>
          <w:bCs/>
        </w:rPr>
        <w:t xml:space="preserve"> gene </w:t>
      </w:r>
    </w:p>
    <w:p w14:paraId="3F14F348" w14:textId="77777777" w:rsidR="005431C0" w:rsidRDefault="005431C0" w:rsidP="005431C0">
      <w:pPr>
        <w:tabs>
          <w:tab w:val="left" w:pos="1080"/>
        </w:tabs>
        <w:jc w:val="both"/>
        <w:rPr>
          <w:rFonts w:ascii="Arial" w:hAnsi="Arial"/>
          <w:b/>
          <w:bCs/>
        </w:rPr>
      </w:pPr>
    </w:p>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620"/>
        <w:gridCol w:w="1440"/>
        <w:gridCol w:w="1440"/>
        <w:gridCol w:w="1800"/>
      </w:tblGrid>
      <w:tr w:rsidR="00BA431A" w:rsidRPr="00201DF4" w14:paraId="7369C758" w14:textId="77777777" w:rsidTr="00BA431A">
        <w:trPr>
          <w:trHeight w:val="432"/>
          <w:jc w:val="center"/>
        </w:trPr>
        <w:tc>
          <w:tcPr>
            <w:tcW w:w="1548" w:type="dxa"/>
            <w:tcBorders>
              <w:top w:val="single" w:sz="4" w:space="0" w:color="auto"/>
              <w:bottom w:val="single" w:sz="4" w:space="0" w:color="auto"/>
            </w:tcBorders>
            <w:vAlign w:val="center"/>
          </w:tcPr>
          <w:p w14:paraId="21C5DC29"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Initial Denaturation</w:t>
            </w:r>
          </w:p>
        </w:tc>
        <w:tc>
          <w:tcPr>
            <w:tcW w:w="1620" w:type="dxa"/>
            <w:tcBorders>
              <w:top w:val="single" w:sz="4" w:space="0" w:color="auto"/>
              <w:bottom w:val="single" w:sz="4" w:space="0" w:color="auto"/>
            </w:tcBorders>
            <w:vAlign w:val="center"/>
          </w:tcPr>
          <w:p w14:paraId="3E9BE3EA"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Denaturation</w:t>
            </w:r>
          </w:p>
        </w:tc>
        <w:tc>
          <w:tcPr>
            <w:tcW w:w="1440" w:type="dxa"/>
            <w:tcBorders>
              <w:top w:val="single" w:sz="4" w:space="0" w:color="auto"/>
              <w:bottom w:val="single" w:sz="4" w:space="0" w:color="auto"/>
            </w:tcBorders>
            <w:vAlign w:val="center"/>
          </w:tcPr>
          <w:p w14:paraId="7D836BBC"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Annealing</w:t>
            </w:r>
          </w:p>
        </w:tc>
        <w:tc>
          <w:tcPr>
            <w:tcW w:w="1440" w:type="dxa"/>
            <w:tcBorders>
              <w:top w:val="single" w:sz="4" w:space="0" w:color="auto"/>
              <w:bottom w:val="single" w:sz="4" w:space="0" w:color="auto"/>
            </w:tcBorders>
            <w:vAlign w:val="center"/>
          </w:tcPr>
          <w:p w14:paraId="35C9026F"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Extension</w:t>
            </w:r>
          </w:p>
        </w:tc>
        <w:tc>
          <w:tcPr>
            <w:tcW w:w="1800" w:type="dxa"/>
            <w:tcBorders>
              <w:top w:val="single" w:sz="4" w:space="0" w:color="auto"/>
              <w:bottom w:val="single" w:sz="4" w:space="0" w:color="auto"/>
            </w:tcBorders>
            <w:vAlign w:val="center"/>
          </w:tcPr>
          <w:p w14:paraId="7B6F2EF8"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Final extension</w:t>
            </w:r>
          </w:p>
        </w:tc>
      </w:tr>
      <w:tr w:rsidR="00BA431A" w:rsidRPr="00201DF4" w14:paraId="0FC591B7" w14:textId="77777777" w:rsidTr="00BA431A">
        <w:trPr>
          <w:trHeight w:val="430"/>
          <w:jc w:val="center"/>
        </w:trPr>
        <w:tc>
          <w:tcPr>
            <w:tcW w:w="1548" w:type="dxa"/>
            <w:tcBorders>
              <w:top w:val="single" w:sz="4" w:space="0" w:color="auto"/>
              <w:bottom w:val="single" w:sz="4" w:space="0" w:color="auto"/>
            </w:tcBorders>
            <w:vAlign w:val="center"/>
          </w:tcPr>
          <w:p w14:paraId="3C11607F"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620" w:type="dxa"/>
            <w:tcBorders>
              <w:top w:val="single" w:sz="4" w:space="0" w:color="auto"/>
              <w:bottom w:val="single" w:sz="4" w:space="0" w:color="auto"/>
            </w:tcBorders>
            <w:vAlign w:val="center"/>
          </w:tcPr>
          <w:p w14:paraId="01AFC6C6"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440" w:type="dxa"/>
            <w:tcBorders>
              <w:top w:val="single" w:sz="4" w:space="0" w:color="auto"/>
              <w:bottom w:val="single" w:sz="4" w:space="0" w:color="auto"/>
            </w:tcBorders>
            <w:vAlign w:val="center"/>
          </w:tcPr>
          <w:p w14:paraId="4F695D37"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56°C</w:t>
            </w:r>
          </w:p>
        </w:tc>
        <w:tc>
          <w:tcPr>
            <w:tcW w:w="1440" w:type="dxa"/>
            <w:tcBorders>
              <w:top w:val="single" w:sz="4" w:space="0" w:color="auto"/>
              <w:bottom w:val="single" w:sz="4" w:space="0" w:color="auto"/>
            </w:tcBorders>
            <w:vAlign w:val="center"/>
          </w:tcPr>
          <w:p w14:paraId="1829E52C"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c>
          <w:tcPr>
            <w:tcW w:w="1800" w:type="dxa"/>
            <w:tcBorders>
              <w:top w:val="single" w:sz="4" w:space="0" w:color="auto"/>
              <w:bottom w:val="single" w:sz="4" w:space="0" w:color="auto"/>
            </w:tcBorders>
            <w:vAlign w:val="center"/>
          </w:tcPr>
          <w:p w14:paraId="1A497977"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r>
      <w:tr w:rsidR="00BA431A" w:rsidRPr="00201DF4" w14:paraId="15F287E8" w14:textId="77777777" w:rsidTr="00BA431A">
        <w:trPr>
          <w:trHeight w:val="377"/>
          <w:jc w:val="center"/>
        </w:trPr>
        <w:tc>
          <w:tcPr>
            <w:tcW w:w="1548" w:type="dxa"/>
            <w:vMerge w:val="restart"/>
            <w:tcBorders>
              <w:top w:val="single" w:sz="4" w:space="0" w:color="auto"/>
              <w:bottom w:val="single" w:sz="4" w:space="0" w:color="auto"/>
            </w:tcBorders>
            <w:vAlign w:val="center"/>
          </w:tcPr>
          <w:p w14:paraId="2973D7E6"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2 min</w:t>
            </w:r>
          </w:p>
        </w:tc>
        <w:tc>
          <w:tcPr>
            <w:tcW w:w="1620" w:type="dxa"/>
            <w:tcBorders>
              <w:top w:val="single" w:sz="4" w:space="0" w:color="auto"/>
              <w:bottom w:val="single" w:sz="4" w:space="0" w:color="auto"/>
            </w:tcBorders>
            <w:vAlign w:val="center"/>
          </w:tcPr>
          <w:p w14:paraId="5C2E51CB"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30 sec</w:t>
            </w:r>
          </w:p>
        </w:tc>
        <w:tc>
          <w:tcPr>
            <w:tcW w:w="1440" w:type="dxa"/>
            <w:tcBorders>
              <w:top w:val="single" w:sz="4" w:space="0" w:color="auto"/>
              <w:bottom w:val="single" w:sz="4" w:space="0" w:color="auto"/>
            </w:tcBorders>
            <w:vAlign w:val="center"/>
          </w:tcPr>
          <w:p w14:paraId="7804BE45"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 min</w:t>
            </w:r>
          </w:p>
        </w:tc>
        <w:tc>
          <w:tcPr>
            <w:tcW w:w="1440" w:type="dxa"/>
            <w:tcBorders>
              <w:top w:val="single" w:sz="4" w:space="0" w:color="auto"/>
              <w:bottom w:val="single" w:sz="4" w:space="0" w:color="auto"/>
            </w:tcBorders>
            <w:vAlign w:val="center"/>
          </w:tcPr>
          <w:p w14:paraId="690461FD"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1:30 min</w:t>
            </w:r>
          </w:p>
        </w:tc>
        <w:tc>
          <w:tcPr>
            <w:tcW w:w="1800" w:type="dxa"/>
            <w:vMerge w:val="restart"/>
            <w:tcBorders>
              <w:top w:val="single" w:sz="4" w:space="0" w:color="auto"/>
              <w:bottom w:val="single" w:sz="4" w:space="0" w:color="auto"/>
            </w:tcBorders>
            <w:vAlign w:val="center"/>
          </w:tcPr>
          <w:p w14:paraId="683009BD"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10 min</w:t>
            </w:r>
          </w:p>
        </w:tc>
      </w:tr>
      <w:tr w:rsidR="005431C0" w:rsidRPr="00201DF4" w14:paraId="44C90387" w14:textId="77777777" w:rsidTr="00BA431A">
        <w:trPr>
          <w:trHeight w:val="260"/>
          <w:jc w:val="center"/>
        </w:trPr>
        <w:tc>
          <w:tcPr>
            <w:tcW w:w="1548" w:type="dxa"/>
            <w:vMerge/>
            <w:tcBorders>
              <w:top w:val="single" w:sz="4" w:space="0" w:color="auto"/>
              <w:bottom w:val="single" w:sz="4" w:space="0" w:color="auto"/>
            </w:tcBorders>
          </w:tcPr>
          <w:p w14:paraId="14548682" w14:textId="77777777" w:rsidR="005431C0" w:rsidRPr="00201DF4" w:rsidRDefault="005431C0" w:rsidP="0027734E">
            <w:pPr>
              <w:spacing w:before="100" w:beforeAutospacing="1" w:after="100" w:afterAutospacing="1" w:line="480" w:lineRule="auto"/>
              <w:rPr>
                <w:rFonts w:ascii="Times New Roman" w:hAnsi="Times New Roman"/>
                <w:color w:val="000000" w:themeColor="text1"/>
                <w:sz w:val="24"/>
                <w:szCs w:val="24"/>
              </w:rPr>
            </w:pPr>
          </w:p>
        </w:tc>
        <w:tc>
          <w:tcPr>
            <w:tcW w:w="4500" w:type="dxa"/>
            <w:gridSpan w:val="3"/>
            <w:tcBorders>
              <w:top w:val="single" w:sz="4" w:space="0" w:color="auto"/>
              <w:bottom w:val="single" w:sz="4" w:space="0" w:color="auto"/>
            </w:tcBorders>
            <w:vAlign w:val="center"/>
          </w:tcPr>
          <w:p w14:paraId="09B8D7B0" w14:textId="77777777" w:rsidR="005431C0" w:rsidRPr="00201DF4" w:rsidRDefault="005431C0" w:rsidP="0027734E">
            <w:pPr>
              <w:spacing w:before="100" w:beforeAutospacing="1" w:after="100" w:afterAutospacing="1" w:line="480" w:lineRule="auto"/>
              <w:jc w:val="center"/>
              <w:rPr>
                <w:rFonts w:ascii="Times New Roman" w:hAnsi="Times New Roman"/>
                <w:color w:val="000000" w:themeColor="text1"/>
                <w:sz w:val="24"/>
                <w:szCs w:val="24"/>
              </w:rPr>
            </w:pPr>
            <w:r w:rsidRPr="00201DF4">
              <w:rPr>
                <w:rFonts w:ascii="Times New Roman" w:hAnsi="Times New Roman"/>
                <w:color w:val="000000" w:themeColor="text1"/>
                <w:sz w:val="24"/>
                <w:szCs w:val="24"/>
              </w:rPr>
              <w:t>35x</w:t>
            </w:r>
          </w:p>
        </w:tc>
        <w:tc>
          <w:tcPr>
            <w:tcW w:w="1800" w:type="dxa"/>
            <w:vMerge/>
            <w:tcBorders>
              <w:top w:val="single" w:sz="4" w:space="0" w:color="auto"/>
              <w:bottom w:val="single" w:sz="4" w:space="0" w:color="auto"/>
            </w:tcBorders>
          </w:tcPr>
          <w:p w14:paraId="13371FBB" w14:textId="77777777" w:rsidR="005431C0" w:rsidRPr="00201DF4" w:rsidRDefault="005431C0" w:rsidP="0027734E">
            <w:pPr>
              <w:spacing w:before="100" w:beforeAutospacing="1" w:after="100" w:afterAutospacing="1" w:line="480" w:lineRule="auto"/>
              <w:rPr>
                <w:rFonts w:ascii="Times New Roman" w:hAnsi="Times New Roman"/>
                <w:color w:val="000000" w:themeColor="text1"/>
                <w:sz w:val="24"/>
                <w:szCs w:val="24"/>
              </w:rPr>
            </w:pPr>
          </w:p>
        </w:tc>
      </w:tr>
    </w:tbl>
    <w:p w14:paraId="6E992D87" w14:textId="77777777" w:rsidR="005431C0" w:rsidRDefault="005431C0" w:rsidP="005431C0">
      <w:pPr>
        <w:pStyle w:val="Body"/>
        <w:rPr>
          <w:rFonts w:ascii="Arial" w:hAnsi="Arial" w:cs="Arial"/>
          <w:iCs/>
        </w:rPr>
      </w:pPr>
    </w:p>
    <w:p w14:paraId="05748BEF" w14:textId="77777777" w:rsidR="00BA431A" w:rsidRPr="005431C0" w:rsidRDefault="00BA431A" w:rsidP="00BA431A">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BA431A">
        <w:rPr>
          <w:rFonts w:ascii="Arial" w:hAnsi="Arial" w:cs="Arial"/>
          <w:b/>
          <w:bCs/>
          <w:sz w:val="22"/>
        </w:rPr>
        <w:t>Molecular Confirmation of Coagulase Production by PCR</w:t>
      </w:r>
    </w:p>
    <w:p w14:paraId="6328F4E9" w14:textId="35753EDA" w:rsidR="00BA431A" w:rsidRDefault="00BA431A" w:rsidP="00BA431A">
      <w:pPr>
        <w:pStyle w:val="Body"/>
        <w:rPr>
          <w:rFonts w:ascii="Arial" w:hAnsi="Arial" w:cs="Arial"/>
          <w:bCs/>
          <w:iCs/>
        </w:rPr>
      </w:pPr>
      <w:r w:rsidRPr="00BA431A">
        <w:rPr>
          <w:rFonts w:ascii="Arial" w:hAnsi="Arial" w:cs="Arial"/>
          <w:bCs/>
          <w:iCs/>
        </w:rPr>
        <w:t xml:space="preserve">The PCR confirmed </w:t>
      </w:r>
      <w:r w:rsidRPr="00BA431A">
        <w:rPr>
          <w:rFonts w:ascii="Arial" w:hAnsi="Arial" w:cs="Arial"/>
          <w:bCs/>
          <w:i/>
          <w:iCs/>
        </w:rPr>
        <w:t xml:space="preserve">S. aureus </w:t>
      </w:r>
      <w:r w:rsidRPr="00BA431A">
        <w:rPr>
          <w:rFonts w:ascii="Arial" w:hAnsi="Arial" w:cs="Arial"/>
          <w:bCs/>
          <w:iCs/>
        </w:rPr>
        <w:t xml:space="preserve">isolates were further confirmed for their Coagulase production using the standardized PCR by targeting the specific </w:t>
      </w:r>
      <w:r w:rsidRPr="00BA431A">
        <w:rPr>
          <w:rFonts w:ascii="Arial" w:hAnsi="Arial" w:cs="Arial"/>
          <w:bCs/>
          <w:i/>
          <w:iCs/>
        </w:rPr>
        <w:t>Coa</w:t>
      </w:r>
      <w:r w:rsidRPr="00BA431A">
        <w:rPr>
          <w:rFonts w:ascii="Arial" w:hAnsi="Arial" w:cs="Arial"/>
          <w:bCs/>
          <w:iCs/>
        </w:rPr>
        <w:t xml:space="preserve"> gene as described earlier (</w:t>
      </w:r>
      <w:r w:rsidR="00EA589D" w:rsidRPr="00EA589D">
        <w:t>El-</w:t>
      </w:r>
      <w:proofErr w:type="spellStart"/>
      <w:r w:rsidR="00EA589D" w:rsidRPr="00EA589D">
        <w:t>shenawy</w:t>
      </w:r>
      <w:proofErr w:type="spellEnd"/>
      <w:r w:rsidR="00EA589D">
        <w:t xml:space="preserve"> </w:t>
      </w:r>
      <w:r w:rsidRPr="00BA431A">
        <w:rPr>
          <w:rFonts w:ascii="Arial" w:hAnsi="Arial" w:cs="Arial"/>
          <w:bCs/>
          <w:iCs/>
        </w:rPr>
        <w:t>et al.,</w:t>
      </w:r>
      <w:r w:rsidR="00EA589D">
        <w:rPr>
          <w:rFonts w:ascii="Arial" w:hAnsi="Arial" w:cs="Arial"/>
          <w:bCs/>
          <w:iCs/>
        </w:rPr>
        <w:t xml:space="preserve"> 2025</w:t>
      </w:r>
      <w:r w:rsidRPr="00BA431A">
        <w:rPr>
          <w:rFonts w:ascii="Arial" w:hAnsi="Arial" w:cs="Arial"/>
          <w:bCs/>
          <w:iCs/>
        </w:rPr>
        <w:t>). Briefly, the PCR was performed using the standardized PCR cycling conditions with the 25 µl reaction mixture comprised of 2.5 µl of 10x PCR Buffer (100 mM Tris-HCl buffer pH-8.3 with 15 mM MgCl</w:t>
      </w:r>
      <w:r w:rsidRPr="00BA431A">
        <w:rPr>
          <w:rFonts w:ascii="Arial" w:hAnsi="Arial" w:cs="Arial"/>
          <w:bCs/>
          <w:iCs/>
          <w:vertAlign w:val="subscript"/>
        </w:rPr>
        <w:t>2</w:t>
      </w:r>
      <w:r w:rsidRPr="00BA431A">
        <w:rPr>
          <w:rFonts w:ascii="Arial" w:hAnsi="Arial" w:cs="Arial"/>
          <w:bCs/>
          <w:iCs/>
        </w:rPr>
        <w:t>, 500 mM KCl, and 0.01% gelatin), 1 µl of 25 mM MgCl</w:t>
      </w:r>
      <w:r w:rsidRPr="00BA431A">
        <w:rPr>
          <w:rFonts w:ascii="Arial" w:hAnsi="Arial" w:cs="Arial"/>
          <w:bCs/>
          <w:iCs/>
          <w:vertAlign w:val="subscript"/>
        </w:rPr>
        <w:t xml:space="preserve">2, </w:t>
      </w:r>
      <w:r w:rsidRPr="00BA431A">
        <w:rPr>
          <w:rFonts w:ascii="Arial" w:hAnsi="Arial" w:cs="Arial"/>
          <w:bCs/>
          <w:iCs/>
        </w:rPr>
        <w:t xml:space="preserve">1 µl of Taq Polymerase (1U/ µl), 1 µl of 10mM dNTPs, 1 µl of 10 </w:t>
      </w:r>
      <w:proofErr w:type="spellStart"/>
      <w:r w:rsidRPr="00BA431A">
        <w:rPr>
          <w:rFonts w:ascii="Arial" w:hAnsi="Arial" w:cs="Arial"/>
          <w:bCs/>
          <w:iCs/>
        </w:rPr>
        <w:t>pM</w:t>
      </w:r>
      <w:proofErr w:type="spellEnd"/>
      <w:r w:rsidRPr="00BA431A">
        <w:rPr>
          <w:rFonts w:ascii="Arial" w:hAnsi="Arial" w:cs="Arial"/>
          <w:bCs/>
          <w:iCs/>
        </w:rPr>
        <w:t xml:space="preserve"> specific forward and reverse primers (Table 3), 5 µl of  DNA Template and 12.5 µl of NFW (Nuclease Free water) in the PCR thermal cycler- C 1000 </w:t>
      </w:r>
      <w:proofErr w:type="spellStart"/>
      <w:r w:rsidRPr="00BA431A">
        <w:rPr>
          <w:rFonts w:ascii="Arial" w:hAnsi="Arial" w:cs="Arial"/>
          <w:bCs/>
          <w:iCs/>
        </w:rPr>
        <w:t>Touch</w:t>
      </w:r>
      <w:r w:rsidRPr="00BA431A">
        <w:rPr>
          <w:rFonts w:ascii="Arial" w:hAnsi="Arial" w:cs="Arial"/>
          <w:bCs/>
          <w:iCs/>
          <w:vertAlign w:val="superscript"/>
        </w:rPr>
        <w:t>TM</w:t>
      </w:r>
      <w:proofErr w:type="spellEnd"/>
      <w:r w:rsidRPr="00BA431A">
        <w:rPr>
          <w:rFonts w:ascii="Arial" w:hAnsi="Arial" w:cs="Arial"/>
          <w:bCs/>
          <w:iCs/>
        </w:rPr>
        <w:t xml:space="preserve"> (Bio-Rad, USA). The standardized cycling conditions used for the amplification of the </w:t>
      </w:r>
      <w:proofErr w:type="spellStart"/>
      <w:r w:rsidRPr="00BA431A">
        <w:rPr>
          <w:rFonts w:ascii="Arial" w:hAnsi="Arial" w:cs="Arial"/>
          <w:bCs/>
          <w:i/>
          <w:iCs/>
        </w:rPr>
        <w:t>nuc</w:t>
      </w:r>
      <w:proofErr w:type="spellEnd"/>
      <w:r w:rsidRPr="00BA431A">
        <w:rPr>
          <w:rFonts w:ascii="Arial" w:hAnsi="Arial" w:cs="Arial"/>
          <w:bCs/>
          <w:i/>
          <w:iCs/>
        </w:rPr>
        <w:t xml:space="preserve"> </w:t>
      </w:r>
      <w:r w:rsidRPr="00BA431A">
        <w:rPr>
          <w:rFonts w:ascii="Arial" w:hAnsi="Arial" w:cs="Arial"/>
          <w:bCs/>
          <w:iCs/>
        </w:rPr>
        <w:t>gene are described in Table 4. Finally, the amplified samples were separated and visualized under UV illumination as described earlier.</w:t>
      </w:r>
    </w:p>
    <w:p w14:paraId="35488B7A" w14:textId="1F397E6E" w:rsidR="00BA431A" w:rsidRDefault="00BA431A" w:rsidP="00BA431A">
      <w:pPr>
        <w:tabs>
          <w:tab w:val="left" w:pos="1080"/>
        </w:tabs>
        <w:jc w:val="both"/>
        <w:rPr>
          <w:rFonts w:ascii="Arial" w:hAnsi="Arial"/>
          <w:b/>
          <w:bCs/>
        </w:rPr>
      </w:pPr>
      <w:r>
        <w:rPr>
          <w:rFonts w:ascii="Arial" w:hAnsi="Arial"/>
          <w:b/>
        </w:rPr>
        <w:t>Table 3.</w:t>
      </w:r>
      <w:r w:rsidRPr="00DC3180">
        <w:rPr>
          <w:rFonts w:ascii="Arial" w:hAnsi="Arial"/>
          <w:b/>
        </w:rPr>
        <w:tab/>
      </w:r>
      <w:r w:rsidRPr="005431C0">
        <w:rPr>
          <w:rFonts w:ascii="Arial" w:hAnsi="Arial"/>
          <w:b/>
          <w:bCs/>
        </w:rPr>
        <w:t xml:space="preserve">Nucleotide Sequence of </w:t>
      </w:r>
      <w:r w:rsidRPr="005431C0">
        <w:rPr>
          <w:rFonts w:ascii="Arial" w:hAnsi="Arial"/>
          <w:b/>
          <w:bCs/>
          <w:i/>
          <w:iCs/>
        </w:rPr>
        <w:t>S. aureus</w:t>
      </w:r>
      <w:r w:rsidRPr="005431C0">
        <w:rPr>
          <w:rFonts w:ascii="Arial" w:hAnsi="Arial"/>
          <w:b/>
          <w:bCs/>
        </w:rPr>
        <w:t xml:space="preserve"> specific </w:t>
      </w:r>
      <w:proofErr w:type="spellStart"/>
      <w:r w:rsidR="00CD7F64">
        <w:rPr>
          <w:rFonts w:ascii="Arial" w:hAnsi="Arial"/>
          <w:b/>
          <w:bCs/>
          <w:i/>
          <w:iCs/>
        </w:rPr>
        <w:t>Coa</w:t>
      </w:r>
      <w:proofErr w:type="spellEnd"/>
      <w:r w:rsidRPr="005431C0">
        <w:rPr>
          <w:rFonts w:ascii="Arial" w:hAnsi="Arial"/>
          <w:b/>
          <w:bCs/>
        </w:rPr>
        <w:t xml:space="preserve"> gene primer</w:t>
      </w:r>
    </w:p>
    <w:p w14:paraId="3B1B9253" w14:textId="77777777" w:rsidR="00BA431A" w:rsidRDefault="00BA431A" w:rsidP="00BA431A">
      <w:pPr>
        <w:tabs>
          <w:tab w:val="left" w:pos="1080"/>
        </w:tabs>
        <w:jc w:val="both"/>
        <w:rPr>
          <w:rFonts w:ascii="Arial" w:hAnsi="Arial"/>
          <w:b/>
          <w:b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4712"/>
        <w:gridCol w:w="2430"/>
        <w:gridCol w:w="1620"/>
      </w:tblGrid>
      <w:tr w:rsidR="00BA431A" w:rsidRPr="00DD4709" w14:paraId="18B776AB" w14:textId="77777777" w:rsidTr="0027734E">
        <w:tc>
          <w:tcPr>
            <w:tcW w:w="1138" w:type="dxa"/>
            <w:tcBorders>
              <w:top w:val="single" w:sz="4" w:space="0" w:color="auto"/>
              <w:bottom w:val="single" w:sz="4" w:space="0" w:color="auto"/>
            </w:tcBorders>
          </w:tcPr>
          <w:p w14:paraId="2BC94D2D"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Primers</w:t>
            </w:r>
          </w:p>
        </w:tc>
        <w:tc>
          <w:tcPr>
            <w:tcW w:w="4712" w:type="dxa"/>
            <w:tcBorders>
              <w:top w:val="single" w:sz="4" w:space="0" w:color="auto"/>
              <w:bottom w:val="single" w:sz="4" w:space="0" w:color="auto"/>
            </w:tcBorders>
          </w:tcPr>
          <w:p w14:paraId="64A274B6"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Sequences (5’-3’)</w:t>
            </w:r>
          </w:p>
        </w:tc>
        <w:tc>
          <w:tcPr>
            <w:tcW w:w="2430" w:type="dxa"/>
            <w:tcBorders>
              <w:top w:val="single" w:sz="4" w:space="0" w:color="auto"/>
              <w:bottom w:val="single" w:sz="4" w:space="0" w:color="auto"/>
            </w:tcBorders>
          </w:tcPr>
          <w:p w14:paraId="47646141"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Amplicon size (bp)</w:t>
            </w:r>
          </w:p>
          <w:p w14:paraId="70F3CD1B" w14:textId="77777777" w:rsidR="00BA431A" w:rsidRPr="005431C0" w:rsidRDefault="00BA431A" w:rsidP="0027734E">
            <w:pPr>
              <w:jc w:val="both"/>
              <w:rPr>
                <w:rFonts w:ascii="Arial" w:hAnsi="Arial"/>
                <w:b/>
                <w:bCs/>
                <w:sz w:val="20"/>
                <w:szCs w:val="20"/>
              </w:rPr>
            </w:pPr>
          </w:p>
        </w:tc>
        <w:tc>
          <w:tcPr>
            <w:tcW w:w="1620" w:type="dxa"/>
            <w:tcBorders>
              <w:top w:val="single" w:sz="4" w:space="0" w:color="auto"/>
              <w:bottom w:val="single" w:sz="4" w:space="0" w:color="auto"/>
            </w:tcBorders>
          </w:tcPr>
          <w:p w14:paraId="5410847C"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Reference</w:t>
            </w:r>
          </w:p>
        </w:tc>
      </w:tr>
      <w:tr w:rsidR="00BA431A" w:rsidRPr="00DD4709" w14:paraId="47694931" w14:textId="77777777" w:rsidTr="0027734E">
        <w:tc>
          <w:tcPr>
            <w:tcW w:w="1138" w:type="dxa"/>
            <w:tcBorders>
              <w:top w:val="single" w:sz="4" w:space="0" w:color="auto"/>
              <w:bottom w:val="single" w:sz="4" w:space="0" w:color="auto"/>
            </w:tcBorders>
          </w:tcPr>
          <w:p w14:paraId="51504DFE" w14:textId="77777777" w:rsidR="00BA431A" w:rsidRPr="005431C0" w:rsidRDefault="00BA431A" w:rsidP="0027734E">
            <w:pPr>
              <w:jc w:val="both"/>
              <w:rPr>
                <w:rFonts w:ascii="Arial" w:eastAsia="Times New Roman" w:hAnsi="Arial"/>
                <w:i/>
                <w:iCs/>
                <w:sz w:val="20"/>
                <w:szCs w:val="20"/>
              </w:rPr>
            </w:pPr>
            <w:r>
              <w:rPr>
                <w:rFonts w:ascii="Arial" w:eastAsia="Times New Roman" w:hAnsi="Arial"/>
                <w:i/>
                <w:iCs/>
                <w:sz w:val="20"/>
                <w:szCs w:val="20"/>
              </w:rPr>
              <w:t>Coa</w:t>
            </w:r>
          </w:p>
        </w:tc>
        <w:tc>
          <w:tcPr>
            <w:tcW w:w="4712" w:type="dxa"/>
            <w:tcBorders>
              <w:top w:val="single" w:sz="4" w:space="0" w:color="auto"/>
              <w:bottom w:val="single" w:sz="4" w:space="0" w:color="auto"/>
            </w:tcBorders>
          </w:tcPr>
          <w:p w14:paraId="10CCFB3E" w14:textId="77777777" w:rsidR="00BA431A" w:rsidRPr="005431C0" w:rsidRDefault="00BA431A" w:rsidP="0027734E">
            <w:pPr>
              <w:jc w:val="both"/>
              <w:rPr>
                <w:rFonts w:ascii="Arial" w:eastAsia="Times New Roman" w:hAnsi="Arial"/>
                <w:sz w:val="20"/>
                <w:szCs w:val="20"/>
              </w:rPr>
            </w:pPr>
            <w:r w:rsidRPr="005431C0">
              <w:rPr>
                <w:rFonts w:ascii="Arial" w:eastAsia="Times New Roman" w:hAnsi="Arial"/>
                <w:sz w:val="20"/>
                <w:szCs w:val="20"/>
              </w:rPr>
              <w:t xml:space="preserve">F: </w:t>
            </w:r>
            <w:r w:rsidRPr="00BA431A">
              <w:rPr>
                <w:rFonts w:ascii="Arial" w:eastAsia="Times New Roman" w:hAnsi="Arial"/>
                <w:sz w:val="20"/>
                <w:szCs w:val="20"/>
              </w:rPr>
              <w:t>ATAGAGATGCTGGTACAGG</w:t>
            </w:r>
          </w:p>
          <w:p w14:paraId="22CF3791" w14:textId="77777777" w:rsidR="00BA431A" w:rsidRPr="005431C0" w:rsidRDefault="00BA431A" w:rsidP="0027734E">
            <w:pPr>
              <w:rPr>
                <w:rFonts w:ascii="Arial" w:eastAsia="Times New Roman" w:hAnsi="Arial"/>
                <w:sz w:val="20"/>
                <w:szCs w:val="20"/>
              </w:rPr>
            </w:pPr>
            <w:r w:rsidRPr="005431C0">
              <w:rPr>
                <w:rFonts w:ascii="Arial" w:eastAsia="Times New Roman" w:hAnsi="Arial"/>
                <w:sz w:val="20"/>
                <w:szCs w:val="20"/>
              </w:rPr>
              <w:t xml:space="preserve">R: </w:t>
            </w:r>
            <w:r w:rsidRPr="00BA431A">
              <w:rPr>
                <w:rFonts w:ascii="Arial" w:eastAsia="Times New Roman" w:hAnsi="Arial"/>
                <w:sz w:val="20"/>
                <w:szCs w:val="20"/>
              </w:rPr>
              <w:t>GCTTCCGATTGTTCGATGC</w:t>
            </w:r>
          </w:p>
        </w:tc>
        <w:tc>
          <w:tcPr>
            <w:tcW w:w="2430" w:type="dxa"/>
            <w:tcBorders>
              <w:top w:val="single" w:sz="4" w:space="0" w:color="auto"/>
              <w:bottom w:val="single" w:sz="4" w:space="0" w:color="auto"/>
            </w:tcBorders>
          </w:tcPr>
          <w:p w14:paraId="02937871" w14:textId="77777777" w:rsidR="00BA431A" w:rsidRPr="005431C0" w:rsidRDefault="00BA431A" w:rsidP="0027734E">
            <w:pPr>
              <w:rPr>
                <w:rFonts w:ascii="Arial" w:eastAsia="Times New Roman" w:hAnsi="Arial"/>
                <w:sz w:val="20"/>
                <w:szCs w:val="20"/>
              </w:rPr>
            </w:pPr>
            <w:r w:rsidRPr="00BA431A">
              <w:rPr>
                <w:rFonts w:ascii="Arial" w:eastAsia="Times New Roman" w:hAnsi="Arial"/>
                <w:sz w:val="20"/>
                <w:szCs w:val="20"/>
              </w:rPr>
              <w:t>Variable (600-800)</w:t>
            </w:r>
          </w:p>
        </w:tc>
        <w:tc>
          <w:tcPr>
            <w:tcW w:w="1620" w:type="dxa"/>
            <w:tcBorders>
              <w:top w:val="single" w:sz="4" w:space="0" w:color="auto"/>
              <w:bottom w:val="single" w:sz="4" w:space="0" w:color="auto"/>
            </w:tcBorders>
          </w:tcPr>
          <w:p w14:paraId="6E803474" w14:textId="2009E0F8" w:rsidR="00BA431A" w:rsidRPr="005431C0" w:rsidRDefault="00BA431A" w:rsidP="0027734E">
            <w:pPr>
              <w:rPr>
                <w:rFonts w:ascii="Arial" w:eastAsia="Times New Roman" w:hAnsi="Arial"/>
                <w:sz w:val="20"/>
                <w:szCs w:val="20"/>
              </w:rPr>
            </w:pPr>
            <w:r w:rsidRPr="00BA431A">
              <w:rPr>
                <w:rFonts w:ascii="Arial" w:eastAsia="Times New Roman" w:hAnsi="Arial"/>
                <w:sz w:val="20"/>
                <w:szCs w:val="20"/>
              </w:rPr>
              <w:t>(</w:t>
            </w:r>
            <w:r w:rsidR="00EA589D" w:rsidRPr="00EA589D">
              <w:t>El-</w:t>
            </w:r>
            <w:proofErr w:type="spellStart"/>
            <w:r w:rsidR="00EA589D" w:rsidRPr="00EA589D">
              <w:t>shenawy</w:t>
            </w:r>
            <w:proofErr w:type="spellEnd"/>
            <w:r w:rsidR="00EA589D">
              <w:t xml:space="preserve"> </w:t>
            </w:r>
            <w:r w:rsidRPr="00BA431A">
              <w:rPr>
                <w:rFonts w:ascii="Arial" w:eastAsia="Times New Roman" w:hAnsi="Arial"/>
                <w:sz w:val="20"/>
                <w:szCs w:val="20"/>
              </w:rPr>
              <w:t xml:space="preserve">et al., </w:t>
            </w:r>
            <w:r w:rsidR="00EA589D">
              <w:rPr>
                <w:rFonts w:ascii="Arial" w:eastAsia="Times New Roman" w:hAnsi="Arial"/>
                <w:sz w:val="20"/>
                <w:szCs w:val="20"/>
              </w:rPr>
              <w:t>2025</w:t>
            </w:r>
            <w:r w:rsidRPr="00BA431A">
              <w:rPr>
                <w:rFonts w:ascii="Arial" w:eastAsia="Times New Roman" w:hAnsi="Arial"/>
                <w:sz w:val="20"/>
                <w:szCs w:val="20"/>
              </w:rPr>
              <w:t>)</w:t>
            </w:r>
          </w:p>
        </w:tc>
      </w:tr>
    </w:tbl>
    <w:p w14:paraId="2D29C1BB" w14:textId="77777777" w:rsidR="00151555" w:rsidRDefault="00151555" w:rsidP="006411F1">
      <w:pPr>
        <w:tabs>
          <w:tab w:val="left" w:pos="1080"/>
        </w:tabs>
        <w:jc w:val="both"/>
        <w:rPr>
          <w:rFonts w:ascii="Arial" w:hAnsi="Arial"/>
          <w:b/>
        </w:rPr>
      </w:pPr>
    </w:p>
    <w:p w14:paraId="35F9F01C" w14:textId="77777777" w:rsidR="006411F1" w:rsidRDefault="006411F1" w:rsidP="006411F1">
      <w:pPr>
        <w:tabs>
          <w:tab w:val="left" w:pos="1080"/>
        </w:tabs>
        <w:jc w:val="both"/>
        <w:rPr>
          <w:rFonts w:ascii="Arial" w:hAnsi="Arial"/>
          <w:b/>
          <w:bCs/>
        </w:rPr>
      </w:pPr>
      <w:r>
        <w:rPr>
          <w:rFonts w:ascii="Arial" w:hAnsi="Arial"/>
          <w:b/>
        </w:rPr>
        <w:t>Table 4.</w:t>
      </w:r>
      <w:r w:rsidRPr="00DC3180">
        <w:rPr>
          <w:rFonts w:ascii="Arial" w:hAnsi="Arial"/>
          <w:b/>
        </w:rPr>
        <w:tab/>
      </w:r>
      <w:r w:rsidRPr="006411F1">
        <w:rPr>
          <w:rFonts w:ascii="Arial" w:hAnsi="Arial"/>
          <w:b/>
          <w:bCs/>
        </w:rPr>
        <w:t xml:space="preserve">Standard cycling conditions of the PCR targeting the </w:t>
      </w:r>
      <w:r w:rsidRPr="006411F1">
        <w:rPr>
          <w:rFonts w:ascii="Arial" w:hAnsi="Arial"/>
          <w:b/>
          <w:bCs/>
          <w:i/>
          <w:iCs/>
        </w:rPr>
        <w:t>Coa</w:t>
      </w:r>
      <w:r w:rsidRPr="006411F1">
        <w:rPr>
          <w:rFonts w:ascii="Arial" w:hAnsi="Arial"/>
          <w:b/>
          <w:bCs/>
        </w:rPr>
        <w:t xml:space="preserve"> gene </w:t>
      </w:r>
    </w:p>
    <w:p w14:paraId="507D3F75" w14:textId="77777777" w:rsidR="006411F1" w:rsidRDefault="006411F1" w:rsidP="006411F1">
      <w:pPr>
        <w:tabs>
          <w:tab w:val="left" w:pos="1080"/>
        </w:tabs>
        <w:jc w:val="both"/>
        <w:rPr>
          <w:rFonts w:ascii="Arial" w:hAnsi="Arial"/>
          <w:b/>
          <w:bCs/>
        </w:rPr>
      </w:pPr>
    </w:p>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620"/>
        <w:gridCol w:w="1440"/>
        <w:gridCol w:w="1440"/>
        <w:gridCol w:w="1800"/>
      </w:tblGrid>
      <w:tr w:rsidR="006411F1" w:rsidRPr="00201DF4" w14:paraId="7B6BEB96" w14:textId="77777777" w:rsidTr="0027734E">
        <w:trPr>
          <w:trHeight w:val="432"/>
          <w:jc w:val="center"/>
        </w:trPr>
        <w:tc>
          <w:tcPr>
            <w:tcW w:w="1548" w:type="dxa"/>
            <w:tcBorders>
              <w:top w:val="single" w:sz="4" w:space="0" w:color="auto"/>
              <w:bottom w:val="single" w:sz="4" w:space="0" w:color="auto"/>
            </w:tcBorders>
            <w:vAlign w:val="center"/>
          </w:tcPr>
          <w:p w14:paraId="6FF84ACF"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Initial Denaturation</w:t>
            </w:r>
          </w:p>
        </w:tc>
        <w:tc>
          <w:tcPr>
            <w:tcW w:w="1620" w:type="dxa"/>
            <w:tcBorders>
              <w:top w:val="single" w:sz="4" w:space="0" w:color="auto"/>
              <w:bottom w:val="single" w:sz="4" w:space="0" w:color="auto"/>
            </w:tcBorders>
            <w:vAlign w:val="center"/>
          </w:tcPr>
          <w:p w14:paraId="235AE934"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Denaturation</w:t>
            </w:r>
          </w:p>
        </w:tc>
        <w:tc>
          <w:tcPr>
            <w:tcW w:w="1440" w:type="dxa"/>
            <w:tcBorders>
              <w:top w:val="single" w:sz="4" w:space="0" w:color="auto"/>
              <w:bottom w:val="single" w:sz="4" w:space="0" w:color="auto"/>
            </w:tcBorders>
            <w:vAlign w:val="center"/>
          </w:tcPr>
          <w:p w14:paraId="71B1290F"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Annealing</w:t>
            </w:r>
          </w:p>
        </w:tc>
        <w:tc>
          <w:tcPr>
            <w:tcW w:w="1440" w:type="dxa"/>
            <w:tcBorders>
              <w:top w:val="single" w:sz="4" w:space="0" w:color="auto"/>
              <w:bottom w:val="single" w:sz="4" w:space="0" w:color="auto"/>
            </w:tcBorders>
            <w:vAlign w:val="center"/>
          </w:tcPr>
          <w:p w14:paraId="348114FE"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Extension</w:t>
            </w:r>
          </w:p>
        </w:tc>
        <w:tc>
          <w:tcPr>
            <w:tcW w:w="1800" w:type="dxa"/>
            <w:tcBorders>
              <w:top w:val="single" w:sz="4" w:space="0" w:color="auto"/>
              <w:bottom w:val="single" w:sz="4" w:space="0" w:color="auto"/>
            </w:tcBorders>
            <w:vAlign w:val="center"/>
          </w:tcPr>
          <w:p w14:paraId="570F2785"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Final extension</w:t>
            </w:r>
          </w:p>
        </w:tc>
      </w:tr>
      <w:tr w:rsidR="006411F1" w:rsidRPr="00201DF4" w14:paraId="1D739F20" w14:textId="77777777" w:rsidTr="0027734E">
        <w:trPr>
          <w:trHeight w:val="430"/>
          <w:jc w:val="center"/>
        </w:trPr>
        <w:tc>
          <w:tcPr>
            <w:tcW w:w="1548" w:type="dxa"/>
            <w:tcBorders>
              <w:top w:val="single" w:sz="4" w:space="0" w:color="auto"/>
              <w:bottom w:val="single" w:sz="4" w:space="0" w:color="auto"/>
            </w:tcBorders>
            <w:vAlign w:val="center"/>
          </w:tcPr>
          <w:p w14:paraId="7639C443"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620" w:type="dxa"/>
            <w:tcBorders>
              <w:top w:val="single" w:sz="4" w:space="0" w:color="auto"/>
              <w:bottom w:val="single" w:sz="4" w:space="0" w:color="auto"/>
            </w:tcBorders>
            <w:vAlign w:val="center"/>
          </w:tcPr>
          <w:p w14:paraId="212B3866"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440" w:type="dxa"/>
            <w:tcBorders>
              <w:top w:val="single" w:sz="4" w:space="0" w:color="auto"/>
              <w:bottom w:val="single" w:sz="4" w:space="0" w:color="auto"/>
            </w:tcBorders>
            <w:vAlign w:val="center"/>
          </w:tcPr>
          <w:p w14:paraId="121F76DA"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56°C</w:t>
            </w:r>
          </w:p>
        </w:tc>
        <w:tc>
          <w:tcPr>
            <w:tcW w:w="1440" w:type="dxa"/>
            <w:tcBorders>
              <w:top w:val="single" w:sz="4" w:space="0" w:color="auto"/>
              <w:bottom w:val="single" w:sz="4" w:space="0" w:color="auto"/>
            </w:tcBorders>
            <w:vAlign w:val="center"/>
          </w:tcPr>
          <w:p w14:paraId="5C1F3BD8"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c>
          <w:tcPr>
            <w:tcW w:w="1800" w:type="dxa"/>
            <w:tcBorders>
              <w:top w:val="single" w:sz="4" w:space="0" w:color="auto"/>
              <w:bottom w:val="single" w:sz="4" w:space="0" w:color="auto"/>
            </w:tcBorders>
            <w:vAlign w:val="center"/>
          </w:tcPr>
          <w:p w14:paraId="3547C594"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r>
      <w:tr w:rsidR="006411F1" w:rsidRPr="00201DF4" w14:paraId="18AF2CD3" w14:textId="77777777" w:rsidTr="0027734E">
        <w:trPr>
          <w:trHeight w:val="377"/>
          <w:jc w:val="center"/>
        </w:trPr>
        <w:tc>
          <w:tcPr>
            <w:tcW w:w="1548" w:type="dxa"/>
            <w:vMerge w:val="restart"/>
            <w:tcBorders>
              <w:top w:val="single" w:sz="4" w:space="0" w:color="auto"/>
              <w:bottom w:val="single" w:sz="4" w:space="0" w:color="auto"/>
            </w:tcBorders>
            <w:vAlign w:val="center"/>
          </w:tcPr>
          <w:p w14:paraId="77AC58BA"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2 min</w:t>
            </w:r>
          </w:p>
        </w:tc>
        <w:tc>
          <w:tcPr>
            <w:tcW w:w="1620" w:type="dxa"/>
            <w:tcBorders>
              <w:top w:val="single" w:sz="4" w:space="0" w:color="auto"/>
              <w:bottom w:val="single" w:sz="4" w:space="0" w:color="auto"/>
            </w:tcBorders>
            <w:vAlign w:val="center"/>
          </w:tcPr>
          <w:p w14:paraId="29D4CA10"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30 sec</w:t>
            </w:r>
          </w:p>
        </w:tc>
        <w:tc>
          <w:tcPr>
            <w:tcW w:w="1440" w:type="dxa"/>
            <w:tcBorders>
              <w:top w:val="single" w:sz="4" w:space="0" w:color="auto"/>
              <w:bottom w:val="single" w:sz="4" w:space="0" w:color="auto"/>
            </w:tcBorders>
            <w:vAlign w:val="center"/>
          </w:tcPr>
          <w:p w14:paraId="63589044"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 min</w:t>
            </w:r>
          </w:p>
        </w:tc>
        <w:tc>
          <w:tcPr>
            <w:tcW w:w="1440" w:type="dxa"/>
            <w:tcBorders>
              <w:top w:val="single" w:sz="4" w:space="0" w:color="auto"/>
              <w:bottom w:val="single" w:sz="4" w:space="0" w:color="auto"/>
            </w:tcBorders>
            <w:vAlign w:val="center"/>
          </w:tcPr>
          <w:p w14:paraId="57A37358"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1:30 min</w:t>
            </w:r>
          </w:p>
        </w:tc>
        <w:tc>
          <w:tcPr>
            <w:tcW w:w="1800" w:type="dxa"/>
            <w:vMerge w:val="restart"/>
            <w:tcBorders>
              <w:top w:val="single" w:sz="4" w:space="0" w:color="auto"/>
              <w:bottom w:val="single" w:sz="4" w:space="0" w:color="auto"/>
            </w:tcBorders>
            <w:vAlign w:val="center"/>
          </w:tcPr>
          <w:p w14:paraId="348CCD5D"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10 min</w:t>
            </w:r>
          </w:p>
        </w:tc>
      </w:tr>
      <w:tr w:rsidR="006411F1" w:rsidRPr="00201DF4" w14:paraId="666342F1" w14:textId="77777777" w:rsidTr="0027734E">
        <w:trPr>
          <w:trHeight w:val="260"/>
          <w:jc w:val="center"/>
        </w:trPr>
        <w:tc>
          <w:tcPr>
            <w:tcW w:w="1548" w:type="dxa"/>
            <w:vMerge/>
            <w:tcBorders>
              <w:top w:val="single" w:sz="4" w:space="0" w:color="auto"/>
              <w:bottom w:val="single" w:sz="4" w:space="0" w:color="auto"/>
            </w:tcBorders>
          </w:tcPr>
          <w:p w14:paraId="13574B6F" w14:textId="77777777" w:rsidR="006411F1" w:rsidRPr="00201DF4" w:rsidRDefault="006411F1" w:rsidP="0027734E">
            <w:pPr>
              <w:spacing w:before="100" w:beforeAutospacing="1" w:after="100" w:afterAutospacing="1" w:line="480" w:lineRule="auto"/>
              <w:rPr>
                <w:rFonts w:ascii="Times New Roman" w:hAnsi="Times New Roman"/>
                <w:color w:val="000000" w:themeColor="text1"/>
                <w:sz w:val="24"/>
                <w:szCs w:val="24"/>
              </w:rPr>
            </w:pPr>
          </w:p>
        </w:tc>
        <w:tc>
          <w:tcPr>
            <w:tcW w:w="4500" w:type="dxa"/>
            <w:gridSpan w:val="3"/>
            <w:tcBorders>
              <w:top w:val="single" w:sz="4" w:space="0" w:color="auto"/>
              <w:bottom w:val="single" w:sz="4" w:space="0" w:color="auto"/>
            </w:tcBorders>
            <w:vAlign w:val="center"/>
          </w:tcPr>
          <w:p w14:paraId="16F59E52" w14:textId="77777777" w:rsidR="006411F1" w:rsidRPr="00201DF4" w:rsidRDefault="006411F1" w:rsidP="0027734E">
            <w:pPr>
              <w:spacing w:before="100" w:beforeAutospacing="1" w:after="100" w:afterAutospacing="1" w:line="480" w:lineRule="auto"/>
              <w:jc w:val="center"/>
              <w:rPr>
                <w:rFonts w:ascii="Times New Roman" w:hAnsi="Times New Roman"/>
                <w:color w:val="000000" w:themeColor="text1"/>
                <w:sz w:val="24"/>
                <w:szCs w:val="24"/>
              </w:rPr>
            </w:pPr>
            <w:r w:rsidRPr="00201DF4">
              <w:rPr>
                <w:rFonts w:ascii="Times New Roman" w:hAnsi="Times New Roman"/>
                <w:color w:val="000000" w:themeColor="text1"/>
                <w:sz w:val="24"/>
                <w:szCs w:val="24"/>
              </w:rPr>
              <w:t>35x</w:t>
            </w:r>
          </w:p>
        </w:tc>
        <w:tc>
          <w:tcPr>
            <w:tcW w:w="1800" w:type="dxa"/>
            <w:vMerge/>
            <w:tcBorders>
              <w:top w:val="single" w:sz="4" w:space="0" w:color="auto"/>
              <w:bottom w:val="single" w:sz="4" w:space="0" w:color="auto"/>
            </w:tcBorders>
          </w:tcPr>
          <w:p w14:paraId="67C75DB8" w14:textId="77777777" w:rsidR="006411F1" w:rsidRPr="00201DF4" w:rsidRDefault="006411F1" w:rsidP="0027734E">
            <w:pPr>
              <w:spacing w:before="100" w:beforeAutospacing="1" w:after="100" w:afterAutospacing="1" w:line="480" w:lineRule="auto"/>
              <w:rPr>
                <w:rFonts w:ascii="Times New Roman" w:hAnsi="Times New Roman"/>
                <w:color w:val="000000" w:themeColor="text1"/>
                <w:sz w:val="24"/>
                <w:szCs w:val="24"/>
              </w:rPr>
            </w:pPr>
          </w:p>
        </w:tc>
      </w:tr>
    </w:tbl>
    <w:p w14:paraId="090C155C" w14:textId="77777777" w:rsidR="006411F1" w:rsidRDefault="006411F1" w:rsidP="006411F1">
      <w:pPr>
        <w:pStyle w:val="Body"/>
        <w:rPr>
          <w:rFonts w:ascii="Arial" w:hAnsi="Arial" w:cs="Arial"/>
          <w:iCs/>
        </w:rPr>
      </w:pPr>
    </w:p>
    <w:p w14:paraId="2F9C1CED" w14:textId="77777777" w:rsidR="006411F1" w:rsidRPr="005431C0" w:rsidRDefault="006411F1" w:rsidP="006411F1">
      <w:pPr>
        <w:pStyle w:val="Body"/>
        <w:spacing w:after="0"/>
        <w:rPr>
          <w:rFonts w:ascii="Arial" w:hAnsi="Arial" w:cs="Arial"/>
          <w:b/>
          <w:bCs/>
          <w:sz w:val="22"/>
        </w:rPr>
      </w:pPr>
      <w:r w:rsidRPr="00C30A0F">
        <w:rPr>
          <w:rFonts w:ascii="Arial" w:hAnsi="Arial" w:cs="Arial"/>
          <w:b/>
          <w:caps/>
          <w:sz w:val="22"/>
        </w:rPr>
        <w:lastRenderedPageBreak/>
        <w:t>2.</w:t>
      </w:r>
      <w:r>
        <w:rPr>
          <w:rFonts w:ascii="Arial" w:hAnsi="Arial" w:cs="Arial"/>
          <w:b/>
          <w:caps/>
          <w:sz w:val="22"/>
        </w:rPr>
        <w:t>6</w:t>
      </w:r>
      <w:r w:rsidRPr="00C30A0F">
        <w:rPr>
          <w:rFonts w:ascii="Arial" w:hAnsi="Arial" w:cs="Arial"/>
          <w:b/>
          <w:caps/>
          <w:sz w:val="22"/>
        </w:rPr>
        <w:t xml:space="preserve"> </w:t>
      </w:r>
      <w:r w:rsidRPr="006411F1">
        <w:rPr>
          <w:rFonts w:ascii="Arial" w:hAnsi="Arial" w:cs="Arial"/>
          <w:b/>
          <w:bCs/>
          <w:sz w:val="22"/>
        </w:rPr>
        <w:t>Antibiotic sensitivity test</w:t>
      </w:r>
    </w:p>
    <w:p w14:paraId="130E73E9" w14:textId="77777777" w:rsidR="006411F1" w:rsidRPr="006411F1" w:rsidRDefault="006411F1" w:rsidP="006411F1">
      <w:pPr>
        <w:pStyle w:val="Body"/>
        <w:rPr>
          <w:rFonts w:ascii="Arial" w:hAnsi="Arial" w:cs="Arial"/>
          <w:bCs/>
          <w:iCs/>
        </w:rPr>
      </w:pPr>
      <w:r w:rsidRPr="006411F1">
        <w:rPr>
          <w:rFonts w:ascii="Arial" w:hAnsi="Arial" w:cs="Arial"/>
          <w:bCs/>
          <w:iCs/>
        </w:rPr>
        <w:t xml:space="preserve">All molecularly confirmed </w:t>
      </w:r>
      <w:r w:rsidRPr="006411F1">
        <w:rPr>
          <w:rFonts w:ascii="Arial" w:hAnsi="Arial" w:cs="Arial"/>
          <w:bCs/>
          <w:i/>
          <w:iCs/>
        </w:rPr>
        <w:t>S. aureus</w:t>
      </w:r>
      <w:r w:rsidRPr="006411F1">
        <w:rPr>
          <w:rFonts w:ascii="Arial" w:hAnsi="Arial" w:cs="Arial"/>
          <w:bCs/>
          <w:iCs/>
        </w:rPr>
        <w:t xml:space="preserve"> isolates were tested for antibiotic susceptibility using the disc diffusion method according to CLSI guidelines (CLSI, 2018), as described by Bauer et al. (1966). The antibiotic discs used included Penicillin (P, 10U), Co-trimoxazole (SXT, 25 µg), Ciprofloxacin (CIP, 10 µg), Ampicillin (AMP, 10 µg), Tetracycline (TE, 10 µg), Chloramphenicol (C, 30 µg), Clindamycin (CD, µg), Gentamicin (GM, 30 µg), Linezolid (LZD, 15 µg), Norfloxacin (NX, 10 µg), Doxycycline (DO, 30 µg), Ofloxacin (OX, 5 µg), Erythromycin (E, 30 µg), and Nitrofurantoin (NIT, 300 µg). Briefly, a single colony of each isolate was inoculated into 2 ml of nutrient broth and incubated at 37°C overnight. From the incubated broth, 1 ml was centrifuged at 5000 rpm for 5 minutes to obtain a culture pellet. The pellets were resuspended in sterile normal saline solution (NSS) to achieve a 0.5 McFarland standard turbidity (approximately 1.50 × 10^8 CFU/ml). These diluted cultures were lawned on Mueller-Hinton (MH) agar plates using a sterile cotton swab. After the plates dried for 5 minutes, sterile forceps were used to place five antibiotic discs on each plate. The plates were then incubated at 37°C for 18–24 hours. Post-incubation, inhibition zone diameters were measured with a standard ABST ruler. The zones of inhibition were compared to the interpretative chart (CLSI, 2018) to determine whether each isolate was susceptible, intermediate, or resistant to the respective antibiotics. </w:t>
      </w:r>
    </w:p>
    <w:p w14:paraId="2C8173E2" w14:textId="77777777" w:rsidR="00790ADA" w:rsidRPr="00FB3A86" w:rsidRDefault="00790ADA" w:rsidP="00441B6F">
      <w:pPr>
        <w:pStyle w:val="Body"/>
        <w:spacing w:after="0"/>
        <w:rPr>
          <w:rFonts w:ascii="Arial" w:hAnsi="Arial" w:cs="Arial"/>
        </w:rPr>
      </w:pPr>
    </w:p>
    <w:p w14:paraId="7D476E7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6551AD" w14:textId="77777777" w:rsidR="00790ADA" w:rsidRPr="00FB3A86" w:rsidRDefault="00790ADA" w:rsidP="00441B6F">
      <w:pPr>
        <w:pStyle w:val="Head1"/>
        <w:spacing w:after="0"/>
        <w:jc w:val="both"/>
        <w:rPr>
          <w:rFonts w:ascii="Arial" w:hAnsi="Arial" w:cs="Arial"/>
        </w:rPr>
      </w:pPr>
    </w:p>
    <w:p w14:paraId="21FB254D" w14:textId="77777777" w:rsidR="006411F1" w:rsidRPr="006411F1" w:rsidRDefault="006411F1" w:rsidP="006411F1">
      <w:pPr>
        <w:pStyle w:val="Body"/>
        <w:spacing w:after="0"/>
        <w:rPr>
          <w:rFonts w:ascii="Arial" w:hAnsi="Arial" w:cs="Arial"/>
        </w:rPr>
      </w:pPr>
      <w:r w:rsidRPr="006411F1">
        <w:rPr>
          <w:rFonts w:ascii="Arial" w:hAnsi="Arial" w:cs="Arial"/>
        </w:rPr>
        <w:t xml:space="preserve">Coagulase-positive </w:t>
      </w:r>
      <w:r w:rsidRPr="006411F1">
        <w:rPr>
          <w:rFonts w:ascii="Arial" w:hAnsi="Arial" w:cs="Arial"/>
          <w:i/>
          <w:iCs/>
        </w:rPr>
        <w:t>S. aureus</w:t>
      </w:r>
      <w:r w:rsidRPr="006411F1">
        <w:rPr>
          <w:rFonts w:ascii="Arial" w:hAnsi="Arial" w:cs="Arial"/>
        </w:rPr>
        <w:t xml:space="preserve"> is one of the most common pathogens causing diseases in animals and humans. It causes a wide variety of skin infections, toxin-mediated acute food poisoning in humans, and various systemic pyogenic infections in animals (Kumar et al., 2024; Pal et al., 2023). The human nasal cavity and upper respiratory tract </w:t>
      </w:r>
      <w:proofErr w:type="spellStart"/>
      <w:r w:rsidRPr="006411F1">
        <w:rPr>
          <w:rFonts w:ascii="Arial" w:hAnsi="Arial" w:cs="Arial"/>
        </w:rPr>
        <w:t>harbours</w:t>
      </w:r>
      <w:proofErr w:type="spellEnd"/>
      <w:r w:rsidRPr="006411F1">
        <w:rPr>
          <w:rFonts w:ascii="Arial" w:hAnsi="Arial" w:cs="Arial"/>
        </w:rPr>
        <w:t xml:space="preserve"> this pathogen regularly as a commensal, and its contamination of food via improper handling leads to the spread of infection. </w:t>
      </w:r>
    </w:p>
    <w:p w14:paraId="3AD2D171" w14:textId="7F677A7E" w:rsidR="006411F1" w:rsidRDefault="006411F1" w:rsidP="006411F1">
      <w:pPr>
        <w:pStyle w:val="Body"/>
        <w:spacing w:after="0"/>
        <w:rPr>
          <w:rFonts w:ascii="Arial" w:hAnsi="Arial" w:cs="Arial"/>
        </w:rPr>
      </w:pPr>
      <w:r w:rsidRPr="006411F1">
        <w:rPr>
          <w:rFonts w:ascii="Arial" w:hAnsi="Arial" w:cs="Arial"/>
        </w:rPr>
        <w:t xml:space="preserve">In this study, 50 nasal swabs were collected from the slaughterhouse workers randomly from the Thoothukudi district of Tamil Nadu, and processed for isolation, identification, and evaluation of antibiotic sensitivity profiling of coagulase-positive </w:t>
      </w:r>
      <w:r w:rsidRPr="006411F1">
        <w:rPr>
          <w:rFonts w:ascii="Arial" w:hAnsi="Arial" w:cs="Arial"/>
          <w:i/>
          <w:iCs/>
        </w:rPr>
        <w:t xml:space="preserve">S. aureus. </w:t>
      </w:r>
      <w:r w:rsidRPr="006411F1">
        <w:rPr>
          <w:rFonts w:ascii="Arial" w:hAnsi="Arial" w:cs="Arial"/>
        </w:rPr>
        <w:t xml:space="preserve">Typical yellow colonies surrounded by a yellow zone in </w:t>
      </w:r>
      <w:r w:rsidR="00D85CC6" w:rsidRPr="006411F1">
        <w:rPr>
          <w:rFonts w:ascii="Arial" w:hAnsi="Arial" w:cs="Arial"/>
        </w:rPr>
        <w:t>Mannitol</w:t>
      </w:r>
      <w:r w:rsidRPr="006411F1">
        <w:rPr>
          <w:rFonts w:ascii="Arial" w:hAnsi="Arial" w:cs="Arial"/>
        </w:rPr>
        <w:t xml:space="preserve"> salt agar (Fig. 1) were observed with 6 samples out of 50 samples tested, and all these 6 presumptive isolates were found to be Gram-positive cocci in bunches (grape-like) under 100</w:t>
      </w:r>
      <w:r w:rsidR="00D85CC6">
        <w:rPr>
          <w:rFonts w:ascii="Arial" w:hAnsi="Arial" w:cs="Arial"/>
        </w:rPr>
        <w:t>0</w:t>
      </w:r>
      <w:r w:rsidRPr="006411F1">
        <w:rPr>
          <w:rFonts w:ascii="Arial" w:hAnsi="Arial" w:cs="Arial"/>
        </w:rPr>
        <w:t xml:space="preserve">x magnification. Further, all the isolates were confirmed using </w:t>
      </w:r>
      <w:r w:rsidRPr="006411F1">
        <w:rPr>
          <w:rFonts w:ascii="Arial" w:hAnsi="Arial" w:cs="Arial"/>
          <w:i/>
          <w:iCs/>
        </w:rPr>
        <w:t>S. aureus</w:t>
      </w:r>
      <w:r w:rsidRPr="006411F1">
        <w:rPr>
          <w:rFonts w:ascii="Arial" w:hAnsi="Arial" w:cs="Arial"/>
        </w:rPr>
        <w:t xml:space="preserve"> species-specific PCR; it was observed that all six isolates could amplify the </w:t>
      </w:r>
      <w:proofErr w:type="spellStart"/>
      <w:r w:rsidRPr="006411F1">
        <w:rPr>
          <w:rFonts w:ascii="Arial" w:hAnsi="Arial" w:cs="Arial"/>
          <w:i/>
          <w:iCs/>
        </w:rPr>
        <w:t>nuc</w:t>
      </w:r>
      <w:proofErr w:type="spellEnd"/>
      <w:r w:rsidRPr="006411F1">
        <w:rPr>
          <w:rFonts w:ascii="Arial" w:hAnsi="Arial" w:cs="Arial"/>
        </w:rPr>
        <w:t xml:space="preserve"> gene (product size 279 bp) (Fig. 2). The results observed revealed, out of 50 samples screened, 6 were positive for </w:t>
      </w:r>
      <w:r w:rsidRPr="006411F1">
        <w:rPr>
          <w:rFonts w:ascii="Arial" w:hAnsi="Arial" w:cs="Arial"/>
          <w:i/>
          <w:iCs/>
        </w:rPr>
        <w:t>S. aureus</w:t>
      </w:r>
      <w:r w:rsidRPr="006411F1">
        <w:rPr>
          <w:rFonts w:ascii="Arial" w:hAnsi="Arial" w:cs="Arial"/>
          <w:i/>
          <w:iCs/>
          <w:lang w:val="en-IN"/>
        </w:rPr>
        <w:t xml:space="preserve"> </w:t>
      </w:r>
      <w:r w:rsidRPr="006411F1">
        <w:rPr>
          <w:rFonts w:ascii="Arial" w:hAnsi="Arial" w:cs="Arial"/>
        </w:rPr>
        <w:t xml:space="preserve">(12% prevalence).  In an earlier study, similar findings were observed: 13.2% of </w:t>
      </w:r>
      <w:r w:rsidRPr="006411F1">
        <w:rPr>
          <w:rFonts w:ascii="Arial" w:hAnsi="Arial" w:cs="Arial"/>
          <w:i/>
          <w:iCs/>
        </w:rPr>
        <w:t>S. aureus</w:t>
      </w:r>
      <w:r w:rsidRPr="006411F1">
        <w:rPr>
          <w:rFonts w:ascii="Arial" w:hAnsi="Arial" w:cs="Arial"/>
        </w:rPr>
        <w:t xml:space="preserve"> was isolated from workers involved in dairy farm practices (Mekuria et al., 2013). Similar findings have been reported by Jakee and his colleagues, who reported a 20% </w:t>
      </w:r>
      <w:r w:rsidRPr="006411F1">
        <w:rPr>
          <w:rFonts w:ascii="Arial" w:hAnsi="Arial" w:cs="Arial"/>
          <w:i/>
          <w:iCs/>
        </w:rPr>
        <w:t>S. aureus</w:t>
      </w:r>
      <w:r w:rsidRPr="006411F1">
        <w:rPr>
          <w:rFonts w:ascii="Arial" w:hAnsi="Arial" w:cs="Arial"/>
        </w:rPr>
        <w:t xml:space="preserve"> prevalence rate from nasal swabs collected from hospital settings (El-Jakee et al., 2008). Our finding is slightly lower than that of </w:t>
      </w:r>
      <w:proofErr w:type="spellStart"/>
      <w:r w:rsidRPr="006411F1">
        <w:rPr>
          <w:rFonts w:ascii="Arial" w:hAnsi="Arial" w:cs="Arial"/>
        </w:rPr>
        <w:t>Kluytmans</w:t>
      </w:r>
      <w:proofErr w:type="spellEnd"/>
      <w:r w:rsidRPr="006411F1">
        <w:rPr>
          <w:rFonts w:ascii="Arial" w:hAnsi="Arial" w:cs="Arial"/>
        </w:rPr>
        <w:t xml:space="preserve"> and </w:t>
      </w:r>
      <w:proofErr w:type="spellStart"/>
      <w:r w:rsidRPr="006411F1">
        <w:rPr>
          <w:rFonts w:ascii="Arial" w:hAnsi="Arial" w:cs="Arial"/>
        </w:rPr>
        <w:t>Struelens</w:t>
      </w:r>
      <w:proofErr w:type="spellEnd"/>
      <w:r w:rsidRPr="006411F1">
        <w:rPr>
          <w:rFonts w:ascii="Arial" w:hAnsi="Arial" w:cs="Arial"/>
        </w:rPr>
        <w:t xml:space="preserve"> (2009), who stated approximately 20% of healthy humans </w:t>
      </w:r>
      <w:r w:rsidR="003B0776">
        <w:rPr>
          <w:rFonts w:ascii="Arial" w:hAnsi="Arial" w:cs="Arial"/>
        </w:rPr>
        <w:t>were</w:t>
      </w:r>
      <w:r w:rsidRPr="006411F1">
        <w:rPr>
          <w:rFonts w:ascii="Arial" w:hAnsi="Arial" w:cs="Arial"/>
        </w:rPr>
        <w:t xml:space="preserve"> persistent </w:t>
      </w:r>
      <w:r w:rsidRPr="006411F1">
        <w:rPr>
          <w:rFonts w:ascii="Arial" w:hAnsi="Arial" w:cs="Arial"/>
          <w:i/>
          <w:iCs/>
        </w:rPr>
        <w:t>S. aureus</w:t>
      </w:r>
      <w:r w:rsidRPr="006411F1">
        <w:rPr>
          <w:rFonts w:ascii="Arial" w:hAnsi="Arial" w:cs="Arial"/>
        </w:rPr>
        <w:t xml:space="preserve"> carriers, about 30% </w:t>
      </w:r>
      <w:r w:rsidR="003B0776">
        <w:rPr>
          <w:rFonts w:ascii="Arial" w:hAnsi="Arial" w:cs="Arial"/>
        </w:rPr>
        <w:t>were</w:t>
      </w:r>
      <w:r w:rsidRPr="006411F1">
        <w:rPr>
          <w:rFonts w:ascii="Arial" w:hAnsi="Arial" w:cs="Arial"/>
        </w:rPr>
        <w:t xml:space="preserve"> intermittent carriers, and around 50% </w:t>
      </w:r>
      <w:r w:rsidR="003B0776">
        <w:rPr>
          <w:rFonts w:ascii="Arial" w:hAnsi="Arial" w:cs="Arial"/>
        </w:rPr>
        <w:t>were</w:t>
      </w:r>
      <w:r w:rsidRPr="006411F1">
        <w:rPr>
          <w:rFonts w:ascii="Arial" w:hAnsi="Arial" w:cs="Arial"/>
        </w:rPr>
        <w:t xml:space="preserve"> never colonized with </w:t>
      </w:r>
      <w:r w:rsidRPr="006411F1">
        <w:rPr>
          <w:rFonts w:ascii="Arial" w:hAnsi="Arial" w:cs="Arial"/>
          <w:i/>
          <w:iCs/>
        </w:rPr>
        <w:t xml:space="preserve">S. aureus </w:t>
      </w:r>
      <w:r w:rsidRPr="006411F1">
        <w:rPr>
          <w:rFonts w:ascii="Arial" w:hAnsi="Arial" w:cs="Arial"/>
        </w:rPr>
        <w:t>(</w:t>
      </w:r>
      <w:proofErr w:type="spellStart"/>
      <w:r w:rsidRPr="006411F1">
        <w:rPr>
          <w:rFonts w:ascii="Arial" w:hAnsi="Arial" w:cs="Arial"/>
        </w:rPr>
        <w:t>Kluytmans</w:t>
      </w:r>
      <w:proofErr w:type="spellEnd"/>
      <w:r w:rsidRPr="006411F1">
        <w:rPr>
          <w:rFonts w:ascii="Arial" w:hAnsi="Arial" w:cs="Arial"/>
        </w:rPr>
        <w:t xml:space="preserve"> and </w:t>
      </w:r>
      <w:proofErr w:type="spellStart"/>
      <w:r w:rsidRPr="006411F1">
        <w:rPr>
          <w:rFonts w:ascii="Arial" w:hAnsi="Arial" w:cs="Arial"/>
        </w:rPr>
        <w:t>Struelens</w:t>
      </w:r>
      <w:proofErr w:type="spellEnd"/>
      <w:r w:rsidRPr="006411F1">
        <w:rPr>
          <w:rFonts w:ascii="Arial" w:hAnsi="Arial" w:cs="Arial"/>
        </w:rPr>
        <w:t>, 2009). The nasal carriage rates vary according to the different populations studied, for example, higher in children than in adults (Armstrong-Esther and Smith, 1976).</w:t>
      </w:r>
      <w:r w:rsidR="00786323">
        <w:rPr>
          <w:rFonts w:ascii="Arial" w:hAnsi="Arial" w:cs="Arial"/>
        </w:rPr>
        <w:t xml:space="preserve"> In an earlier study by </w:t>
      </w:r>
      <w:r w:rsidR="00786323" w:rsidRPr="00786323">
        <w:rPr>
          <w:rFonts w:ascii="Arial" w:hAnsi="Arial" w:cs="Arial"/>
        </w:rPr>
        <w:t>Muwonge</w:t>
      </w:r>
      <w:r w:rsidR="00786323">
        <w:rPr>
          <w:rFonts w:ascii="Arial" w:hAnsi="Arial" w:cs="Arial"/>
        </w:rPr>
        <w:t xml:space="preserve"> and his colleagues revealed that the healthy slaughterhouse attenders can spread MDR–S. aureus through meat (</w:t>
      </w:r>
      <w:r w:rsidR="00786323" w:rsidRPr="00786323">
        <w:rPr>
          <w:rFonts w:ascii="Arial" w:hAnsi="Arial" w:cs="Arial"/>
        </w:rPr>
        <w:t>Muwonge</w:t>
      </w:r>
      <w:r w:rsidR="00786323">
        <w:rPr>
          <w:rFonts w:ascii="Arial" w:hAnsi="Arial" w:cs="Arial"/>
        </w:rPr>
        <w:t xml:space="preserve"> et al., 2025).</w:t>
      </w:r>
    </w:p>
    <w:p w14:paraId="44B9A70E" w14:textId="77777777" w:rsidR="006411F1" w:rsidRDefault="006411F1" w:rsidP="006411F1">
      <w:pPr>
        <w:pStyle w:val="Body"/>
        <w:spacing w:after="0"/>
        <w:rPr>
          <w:rFonts w:ascii="Arial" w:hAnsi="Arial" w:cs="Arial"/>
        </w:rPr>
      </w:pPr>
    </w:p>
    <w:p w14:paraId="79783D94" w14:textId="77777777" w:rsidR="005E1CA8" w:rsidRDefault="005E1CA8" w:rsidP="006411F1">
      <w:pPr>
        <w:pStyle w:val="Body"/>
        <w:spacing w:after="0"/>
        <w:rPr>
          <w:rFonts w:ascii="Arial" w:hAnsi="Arial" w:cs="Arial"/>
        </w:rPr>
      </w:pPr>
    </w:p>
    <w:p w14:paraId="214A971C" w14:textId="77777777" w:rsidR="006411F1" w:rsidRPr="006411F1" w:rsidRDefault="006411F1" w:rsidP="006411F1">
      <w:pPr>
        <w:pStyle w:val="Body"/>
        <w:spacing w:after="0"/>
        <w:jc w:val="center"/>
        <w:rPr>
          <w:rFonts w:ascii="Arial" w:hAnsi="Arial" w:cs="Arial"/>
        </w:rPr>
      </w:pPr>
      <w:r>
        <w:rPr>
          <w:noProof/>
        </w:rPr>
        <w:lastRenderedPageBreak/>
        <w:drawing>
          <wp:inline distT="0" distB="0" distL="0" distR="0" wp14:anchorId="1851C237" wp14:editId="139480E4">
            <wp:extent cx="2635250" cy="1785842"/>
            <wp:effectExtent l="0" t="0" r="0" b="0"/>
            <wp:docPr id="114319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911" r="14389"/>
                    <a:stretch>
                      <a:fillRect/>
                    </a:stretch>
                  </pic:blipFill>
                  <pic:spPr bwMode="auto">
                    <a:xfrm>
                      <a:off x="0" y="0"/>
                      <a:ext cx="2638724" cy="1788196"/>
                    </a:xfrm>
                    <a:prstGeom prst="rect">
                      <a:avLst/>
                    </a:prstGeom>
                    <a:noFill/>
                    <a:ln>
                      <a:noFill/>
                    </a:ln>
                    <a:extLst>
                      <a:ext uri="{53640926-AAD7-44D8-BBD7-CCE9431645EC}">
                        <a14:shadowObscured xmlns:a14="http://schemas.microsoft.com/office/drawing/2010/main"/>
                      </a:ext>
                    </a:extLst>
                  </pic:spPr>
                </pic:pic>
              </a:graphicData>
            </a:graphic>
          </wp:inline>
        </w:drawing>
      </w:r>
    </w:p>
    <w:p w14:paraId="4593CA8A" w14:textId="77777777" w:rsidR="006411F1" w:rsidRDefault="006411F1" w:rsidP="006411F1">
      <w:pPr>
        <w:autoSpaceDE w:val="0"/>
        <w:autoSpaceDN w:val="0"/>
        <w:adjustRightInd w:val="0"/>
        <w:jc w:val="center"/>
        <w:rPr>
          <w:rFonts w:ascii="Arial" w:hAnsi="Arial" w:cs="Arial"/>
          <w:b/>
          <w:bCs/>
          <w:szCs w:val="22"/>
        </w:rPr>
      </w:pPr>
    </w:p>
    <w:p w14:paraId="51CDE0E8" w14:textId="77777777" w:rsidR="006411F1" w:rsidRDefault="006411F1" w:rsidP="006411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411F1">
        <w:rPr>
          <w:rFonts w:ascii="Arial" w:hAnsi="Arial" w:cs="Arial"/>
          <w:b/>
          <w:bCs/>
          <w:szCs w:val="22"/>
        </w:rPr>
        <w:t xml:space="preserve">Presumptive </w:t>
      </w:r>
      <w:r w:rsidRPr="006411F1">
        <w:rPr>
          <w:rFonts w:ascii="Arial" w:hAnsi="Arial" w:cs="Arial"/>
          <w:b/>
          <w:bCs/>
          <w:i/>
          <w:iCs/>
          <w:szCs w:val="22"/>
        </w:rPr>
        <w:t>S. aureus</w:t>
      </w:r>
      <w:r w:rsidRPr="006411F1">
        <w:rPr>
          <w:rFonts w:ascii="Arial" w:hAnsi="Arial" w:cs="Arial"/>
          <w:b/>
          <w:bCs/>
          <w:szCs w:val="22"/>
        </w:rPr>
        <w:t xml:space="preserve"> Colonies in Mannitol Salt agar</w:t>
      </w:r>
    </w:p>
    <w:p w14:paraId="6239F6C7" w14:textId="77777777" w:rsidR="006411F1" w:rsidRDefault="006411F1" w:rsidP="006411F1">
      <w:pPr>
        <w:autoSpaceDE w:val="0"/>
        <w:autoSpaceDN w:val="0"/>
        <w:adjustRightInd w:val="0"/>
        <w:jc w:val="center"/>
        <w:rPr>
          <w:rFonts w:ascii="Arial" w:hAnsi="Arial" w:cs="Arial"/>
          <w:b/>
          <w:bCs/>
          <w:szCs w:val="22"/>
        </w:rPr>
      </w:pPr>
    </w:p>
    <w:p w14:paraId="64BD099B" w14:textId="77777777" w:rsidR="006411F1" w:rsidRPr="006411F1" w:rsidRDefault="006411F1" w:rsidP="006411F1">
      <w:pPr>
        <w:autoSpaceDE w:val="0"/>
        <w:autoSpaceDN w:val="0"/>
        <w:adjustRightInd w:val="0"/>
        <w:jc w:val="center"/>
        <w:rPr>
          <w:rFonts w:ascii="Arial" w:hAnsi="Arial" w:cs="Arial"/>
          <w:b/>
          <w:bCs/>
          <w:szCs w:val="22"/>
        </w:rPr>
      </w:pPr>
      <w:r>
        <w:rPr>
          <w:noProof/>
        </w:rPr>
        <w:drawing>
          <wp:inline distT="0" distB="0" distL="0" distR="0" wp14:anchorId="43215430" wp14:editId="70A79977">
            <wp:extent cx="4533900" cy="2581910"/>
            <wp:effectExtent l="0" t="0" r="0" b="0"/>
            <wp:docPr id="186966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33900" cy="2581910"/>
                    </a:xfrm>
                    <a:prstGeom prst="rect">
                      <a:avLst/>
                    </a:prstGeom>
                    <a:noFill/>
                    <a:ln>
                      <a:noFill/>
                    </a:ln>
                  </pic:spPr>
                </pic:pic>
              </a:graphicData>
            </a:graphic>
          </wp:inline>
        </w:drawing>
      </w:r>
    </w:p>
    <w:p w14:paraId="43266CEE" w14:textId="77777777" w:rsidR="006411F1" w:rsidRDefault="006411F1" w:rsidP="00441B6F">
      <w:pPr>
        <w:jc w:val="both"/>
        <w:rPr>
          <w:rFonts w:ascii="Arial" w:hAnsi="Arial" w:cs="Arial"/>
          <w:u w:val="single"/>
          <w:lang w:val="en-GB" w:eastAsia="en-GB"/>
        </w:rPr>
      </w:pPr>
    </w:p>
    <w:p w14:paraId="342DB656" w14:textId="77777777" w:rsidR="006411F1" w:rsidRDefault="006411F1" w:rsidP="00441B6F">
      <w:pPr>
        <w:jc w:val="both"/>
        <w:rPr>
          <w:rFonts w:ascii="Arial" w:hAnsi="Arial" w:cs="Arial"/>
          <w:u w:val="single"/>
          <w:lang w:val="en-GB" w:eastAsia="en-GB"/>
        </w:rPr>
      </w:pPr>
    </w:p>
    <w:p w14:paraId="58B8CCD8" w14:textId="77777777" w:rsidR="006411F1" w:rsidRDefault="006411F1" w:rsidP="006411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411F1">
        <w:rPr>
          <w:rFonts w:ascii="Arial" w:hAnsi="Arial" w:cs="Arial"/>
          <w:b/>
          <w:bCs/>
          <w:szCs w:val="22"/>
        </w:rPr>
        <w:t xml:space="preserve">Results of </w:t>
      </w:r>
      <w:r w:rsidRPr="006411F1">
        <w:rPr>
          <w:rFonts w:ascii="Arial" w:hAnsi="Arial" w:cs="Arial"/>
          <w:b/>
          <w:bCs/>
          <w:i/>
          <w:iCs/>
          <w:szCs w:val="22"/>
        </w:rPr>
        <w:t>S. aureus</w:t>
      </w:r>
      <w:r w:rsidRPr="006411F1">
        <w:rPr>
          <w:rFonts w:ascii="Arial" w:hAnsi="Arial" w:cs="Arial"/>
          <w:b/>
          <w:bCs/>
          <w:szCs w:val="22"/>
        </w:rPr>
        <w:t xml:space="preserve"> species-specific PCR (</w:t>
      </w:r>
      <w:proofErr w:type="spellStart"/>
      <w:r w:rsidRPr="006411F1">
        <w:rPr>
          <w:rFonts w:ascii="Arial" w:hAnsi="Arial" w:cs="Arial"/>
          <w:b/>
          <w:bCs/>
          <w:i/>
          <w:iCs/>
          <w:szCs w:val="22"/>
        </w:rPr>
        <w:t>nuc</w:t>
      </w:r>
      <w:proofErr w:type="spellEnd"/>
      <w:r w:rsidRPr="006411F1">
        <w:rPr>
          <w:rFonts w:ascii="Arial" w:hAnsi="Arial" w:cs="Arial"/>
          <w:b/>
          <w:bCs/>
          <w:szCs w:val="22"/>
        </w:rPr>
        <w:t xml:space="preserve"> gene)</w:t>
      </w:r>
    </w:p>
    <w:p w14:paraId="44975EDF" w14:textId="77777777" w:rsidR="006411F1" w:rsidRPr="002D1B71" w:rsidRDefault="006411F1" w:rsidP="006411F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S1-S6 – Samples (</w:t>
      </w:r>
      <w:r>
        <w:rPr>
          <w:rFonts w:ascii="Arial" w:hAnsi="Arial" w:cs="Arial"/>
          <w:i/>
          <w:sz w:val="18"/>
        </w:rPr>
        <w:t>279</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-Ve – Negative Control</w:t>
      </w:r>
      <w:r>
        <w:rPr>
          <w:rFonts w:ascii="Arial" w:hAnsi="Arial" w:cs="Arial"/>
          <w:i/>
          <w:sz w:val="18"/>
        </w:rPr>
        <w:t xml:space="preserve">; </w:t>
      </w:r>
      <w:r w:rsidRPr="002D1B71">
        <w:rPr>
          <w:rFonts w:ascii="Arial" w:hAnsi="Arial" w:cs="Arial"/>
          <w:i/>
          <w:sz w:val="18"/>
        </w:rPr>
        <w:t>+Ve – Positive Control</w:t>
      </w:r>
    </w:p>
    <w:p w14:paraId="7E1F7A22" w14:textId="77777777" w:rsidR="006411F1" w:rsidRDefault="006411F1" w:rsidP="006411F1">
      <w:pPr>
        <w:autoSpaceDE w:val="0"/>
        <w:autoSpaceDN w:val="0"/>
        <w:adjustRightInd w:val="0"/>
        <w:jc w:val="center"/>
        <w:rPr>
          <w:rFonts w:ascii="Arial" w:hAnsi="Arial" w:cs="Arial"/>
          <w:b/>
          <w:bCs/>
          <w:szCs w:val="22"/>
        </w:rPr>
      </w:pPr>
    </w:p>
    <w:p w14:paraId="189D647D" w14:textId="58C85F10" w:rsidR="006411F1" w:rsidRDefault="006411F1" w:rsidP="006411F1">
      <w:pPr>
        <w:jc w:val="both"/>
        <w:rPr>
          <w:rFonts w:ascii="Arial" w:hAnsi="Arial" w:cs="Arial"/>
        </w:rPr>
      </w:pPr>
      <w:r w:rsidRPr="006411F1">
        <w:rPr>
          <w:rFonts w:ascii="Arial" w:hAnsi="Arial" w:cs="Arial"/>
        </w:rPr>
        <w:t xml:space="preserve">Coagulase production is one of the important characteristics of </w:t>
      </w:r>
      <w:r w:rsidRPr="006411F1">
        <w:rPr>
          <w:rFonts w:ascii="Arial" w:hAnsi="Arial" w:cs="Arial"/>
          <w:i/>
          <w:iCs/>
        </w:rPr>
        <w:t>S. aureus,</w:t>
      </w:r>
      <w:r w:rsidRPr="006411F1">
        <w:rPr>
          <w:rFonts w:ascii="Arial" w:hAnsi="Arial" w:cs="Arial"/>
        </w:rPr>
        <w:t xml:space="preserve"> as it is highly correlated with the production of enterotoxins, which in turn confirms the food poisoning ability of the pathogen in humans </w:t>
      </w:r>
      <w:r w:rsidRPr="006411F1">
        <w:rPr>
          <w:rFonts w:ascii="Arial" w:hAnsi="Arial" w:cs="Arial"/>
          <w:iCs/>
        </w:rPr>
        <w:t xml:space="preserve">(Ben </w:t>
      </w:r>
      <w:proofErr w:type="spellStart"/>
      <w:r w:rsidRPr="006411F1">
        <w:rPr>
          <w:rFonts w:ascii="Arial" w:hAnsi="Arial" w:cs="Arial"/>
          <w:iCs/>
        </w:rPr>
        <w:t>Chehida</w:t>
      </w:r>
      <w:proofErr w:type="spellEnd"/>
      <w:r w:rsidRPr="006411F1">
        <w:rPr>
          <w:rFonts w:ascii="Arial" w:hAnsi="Arial" w:cs="Arial"/>
          <w:iCs/>
        </w:rPr>
        <w:t xml:space="preserve"> et al., 2024)</w:t>
      </w:r>
      <w:r w:rsidRPr="006411F1">
        <w:rPr>
          <w:rFonts w:ascii="Arial" w:hAnsi="Arial" w:cs="Arial"/>
        </w:rPr>
        <w:t xml:space="preserve">. All six isolates were evaluated for their ability to produce coagulase using specific PCR targeting the </w:t>
      </w:r>
      <w:r w:rsidRPr="006411F1">
        <w:rPr>
          <w:rFonts w:ascii="Arial" w:hAnsi="Arial" w:cs="Arial"/>
          <w:i/>
          <w:iCs/>
        </w:rPr>
        <w:t>Coa</w:t>
      </w:r>
      <w:r w:rsidRPr="006411F1">
        <w:rPr>
          <w:rFonts w:ascii="Arial" w:hAnsi="Arial" w:cs="Arial"/>
        </w:rPr>
        <w:t xml:space="preserve"> gene, which is responsible for coagulase production; it was observed that all six isolates could amplify the </w:t>
      </w:r>
      <w:r w:rsidRPr="006411F1">
        <w:rPr>
          <w:rFonts w:ascii="Arial" w:hAnsi="Arial" w:cs="Arial"/>
          <w:i/>
          <w:iCs/>
        </w:rPr>
        <w:t>Coa</w:t>
      </w:r>
      <w:r w:rsidRPr="006411F1">
        <w:rPr>
          <w:rFonts w:ascii="Arial" w:hAnsi="Arial" w:cs="Arial"/>
        </w:rPr>
        <w:t xml:space="preserve"> gene (product size 600 bp) (Fig. 3). </w:t>
      </w:r>
    </w:p>
    <w:p w14:paraId="6924C5E1" w14:textId="77777777" w:rsidR="006411F1" w:rsidRPr="006411F1" w:rsidRDefault="006411F1" w:rsidP="006411F1">
      <w:pPr>
        <w:jc w:val="both"/>
        <w:rPr>
          <w:rFonts w:ascii="Arial" w:hAnsi="Arial" w:cs="Arial"/>
        </w:rPr>
      </w:pPr>
    </w:p>
    <w:p w14:paraId="42C84AF7" w14:textId="77777777" w:rsidR="006411F1" w:rsidRDefault="006411F1" w:rsidP="006411F1">
      <w:pPr>
        <w:jc w:val="center"/>
        <w:rPr>
          <w:rFonts w:ascii="Arial" w:hAnsi="Arial" w:cs="Arial"/>
          <w:u w:val="single"/>
          <w:lang w:val="en-GB" w:eastAsia="en-GB"/>
        </w:rPr>
      </w:pPr>
      <w:r w:rsidRPr="006411F1">
        <w:rPr>
          <w:rFonts w:ascii="Arial" w:hAnsi="Arial" w:cs="Arial"/>
          <w:noProof/>
        </w:rPr>
        <w:lastRenderedPageBreak/>
        <w:drawing>
          <wp:inline distT="0" distB="0" distL="0" distR="0" wp14:anchorId="68B756E0" wp14:editId="5C8CB7E6">
            <wp:extent cx="4324682" cy="2273935"/>
            <wp:effectExtent l="0" t="0" r="0" b="0"/>
            <wp:docPr id="2141346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9517" cy="2276477"/>
                    </a:xfrm>
                    <a:prstGeom prst="rect">
                      <a:avLst/>
                    </a:prstGeom>
                    <a:noFill/>
                    <a:ln>
                      <a:noFill/>
                    </a:ln>
                  </pic:spPr>
                </pic:pic>
              </a:graphicData>
            </a:graphic>
          </wp:inline>
        </w:drawing>
      </w:r>
    </w:p>
    <w:p w14:paraId="18F0B3BC" w14:textId="77777777" w:rsidR="006411F1" w:rsidRDefault="006411F1" w:rsidP="00441B6F">
      <w:pPr>
        <w:jc w:val="both"/>
        <w:rPr>
          <w:rFonts w:ascii="Arial" w:hAnsi="Arial" w:cs="Arial"/>
          <w:u w:val="single"/>
          <w:lang w:val="en-GB" w:eastAsia="en-GB"/>
        </w:rPr>
      </w:pPr>
    </w:p>
    <w:p w14:paraId="652BEA24" w14:textId="77777777" w:rsidR="006411F1" w:rsidRDefault="006411F1" w:rsidP="006411F1">
      <w:pPr>
        <w:jc w:val="both"/>
        <w:rPr>
          <w:rFonts w:ascii="Arial" w:hAnsi="Arial" w:cs="Arial"/>
          <w:u w:val="single"/>
          <w:lang w:val="en-GB" w:eastAsia="en-GB"/>
        </w:rPr>
      </w:pPr>
    </w:p>
    <w:p w14:paraId="60C265C8" w14:textId="77777777" w:rsidR="006411F1" w:rsidRDefault="006411F1" w:rsidP="006411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6411F1">
        <w:rPr>
          <w:rFonts w:ascii="Arial" w:hAnsi="Arial" w:cs="Arial"/>
          <w:b/>
          <w:bCs/>
          <w:szCs w:val="22"/>
        </w:rPr>
        <w:t xml:space="preserve">Results of </w:t>
      </w:r>
      <w:r w:rsidRPr="006411F1">
        <w:rPr>
          <w:rFonts w:ascii="Arial" w:hAnsi="Arial" w:cs="Arial"/>
          <w:b/>
          <w:bCs/>
          <w:i/>
          <w:iCs/>
          <w:szCs w:val="22"/>
        </w:rPr>
        <w:t>S. aureus</w:t>
      </w:r>
      <w:r w:rsidRPr="006411F1">
        <w:rPr>
          <w:rFonts w:ascii="Arial" w:hAnsi="Arial" w:cs="Arial"/>
          <w:b/>
          <w:bCs/>
          <w:szCs w:val="22"/>
        </w:rPr>
        <w:t xml:space="preserve"> </w:t>
      </w:r>
      <w:r w:rsidRPr="006411F1">
        <w:rPr>
          <w:rFonts w:ascii="Arial" w:hAnsi="Arial" w:cs="Arial"/>
          <w:b/>
          <w:bCs/>
          <w:i/>
          <w:iCs/>
          <w:szCs w:val="22"/>
        </w:rPr>
        <w:t>Coa</w:t>
      </w:r>
      <w:r w:rsidRPr="006411F1">
        <w:rPr>
          <w:rFonts w:ascii="Arial" w:hAnsi="Arial" w:cs="Arial"/>
          <w:b/>
          <w:bCs/>
          <w:szCs w:val="22"/>
        </w:rPr>
        <w:t xml:space="preserve"> gene PCR</w:t>
      </w:r>
    </w:p>
    <w:p w14:paraId="1CC7896B" w14:textId="77777777" w:rsidR="006411F1" w:rsidRPr="002D1B71" w:rsidRDefault="006411F1" w:rsidP="006411F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S1-S6 – Samples (</w:t>
      </w:r>
      <w:r>
        <w:rPr>
          <w:rFonts w:ascii="Arial" w:hAnsi="Arial" w:cs="Arial"/>
          <w:i/>
          <w:sz w:val="18"/>
        </w:rPr>
        <w:t>600</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-Ve – Negative Control</w:t>
      </w:r>
      <w:r>
        <w:rPr>
          <w:rFonts w:ascii="Arial" w:hAnsi="Arial" w:cs="Arial"/>
          <w:i/>
          <w:sz w:val="18"/>
        </w:rPr>
        <w:t xml:space="preserve">; </w:t>
      </w:r>
      <w:r w:rsidRPr="002D1B71">
        <w:rPr>
          <w:rFonts w:ascii="Arial" w:hAnsi="Arial" w:cs="Arial"/>
          <w:i/>
          <w:sz w:val="18"/>
        </w:rPr>
        <w:t>+Ve – Positive Control</w:t>
      </w:r>
    </w:p>
    <w:p w14:paraId="2DEF8698" w14:textId="77777777" w:rsidR="006411F1" w:rsidRDefault="006411F1" w:rsidP="00441B6F">
      <w:pPr>
        <w:jc w:val="both"/>
        <w:rPr>
          <w:rFonts w:ascii="Arial" w:hAnsi="Arial" w:cs="Arial"/>
          <w:u w:val="single"/>
          <w:lang w:val="en-GB" w:eastAsia="en-GB"/>
        </w:rPr>
      </w:pPr>
    </w:p>
    <w:p w14:paraId="590B3BF3" w14:textId="670E61B9" w:rsidR="006411F1" w:rsidRDefault="009E3970" w:rsidP="00441B6F">
      <w:pPr>
        <w:jc w:val="both"/>
        <w:rPr>
          <w:rFonts w:ascii="Arial" w:hAnsi="Arial" w:cs="Arial"/>
        </w:rPr>
      </w:pPr>
      <w:r w:rsidRPr="009E3970">
        <w:rPr>
          <w:rFonts w:ascii="Arial" w:hAnsi="Arial" w:cs="Arial"/>
        </w:rPr>
        <w:t xml:space="preserve">The emergence of drug resistance against the commonly used antibiotics in common pathogens warranted elaborate work on AMR. In this study, the antibiotic sensitivity profile of the isolates was evaluated using the standard disc diffusion method. It revealed </w:t>
      </w:r>
      <w:r w:rsidRPr="009E3970">
        <w:rPr>
          <w:rFonts w:ascii="Arial" w:hAnsi="Arial" w:cs="Arial"/>
          <w:lang w:val="en-IN"/>
        </w:rPr>
        <w:t>that all six isolates tested were completely</w:t>
      </w:r>
      <w:r w:rsidR="00A16AC5">
        <w:rPr>
          <w:rFonts w:ascii="Arial" w:hAnsi="Arial" w:cs="Arial"/>
          <w:lang w:val="en-IN"/>
        </w:rPr>
        <w:t xml:space="preserve"> (</w:t>
      </w:r>
      <w:r w:rsidR="0046567C">
        <w:rPr>
          <w:rFonts w:ascii="Arial" w:hAnsi="Arial" w:cs="Arial"/>
          <w:lang w:val="en-IN"/>
        </w:rPr>
        <w:t>6/6;</w:t>
      </w:r>
      <w:r w:rsidR="00A16AC5">
        <w:rPr>
          <w:rFonts w:ascii="Arial" w:hAnsi="Arial" w:cs="Arial"/>
          <w:lang w:val="en-IN"/>
        </w:rPr>
        <w:t>100%)</w:t>
      </w:r>
      <w:r w:rsidRPr="009E3970">
        <w:rPr>
          <w:rFonts w:ascii="Arial" w:hAnsi="Arial" w:cs="Arial"/>
          <w:lang w:val="en-IN"/>
        </w:rPr>
        <w:t xml:space="preserve"> resistant to Ampicillin and Penicillin. Some were resistant to </w:t>
      </w:r>
      <w:r w:rsidRPr="009E3970">
        <w:rPr>
          <w:rFonts w:ascii="Arial" w:hAnsi="Arial" w:cs="Arial"/>
        </w:rPr>
        <w:t>Chloramphenicol</w:t>
      </w:r>
      <w:r w:rsidR="0046567C">
        <w:rPr>
          <w:rFonts w:ascii="Arial" w:hAnsi="Arial" w:cs="Arial"/>
        </w:rPr>
        <w:t xml:space="preserve"> (2/6;</w:t>
      </w:r>
      <w:r w:rsidR="009A0CEC">
        <w:rPr>
          <w:rFonts w:ascii="Arial" w:hAnsi="Arial" w:cs="Arial"/>
        </w:rPr>
        <w:t xml:space="preserve"> </w:t>
      </w:r>
      <w:r w:rsidR="0046567C">
        <w:rPr>
          <w:rFonts w:ascii="Arial" w:hAnsi="Arial" w:cs="Arial"/>
        </w:rPr>
        <w:t>33</w:t>
      </w:r>
      <w:r w:rsidR="009A0CEC">
        <w:rPr>
          <w:rFonts w:ascii="Arial" w:hAnsi="Arial" w:cs="Arial"/>
        </w:rPr>
        <w:t>.3</w:t>
      </w:r>
      <w:r w:rsidR="0046567C">
        <w:rPr>
          <w:rFonts w:ascii="Arial" w:hAnsi="Arial" w:cs="Arial"/>
        </w:rPr>
        <w:t>%)</w:t>
      </w:r>
      <w:r w:rsidRPr="009E3970">
        <w:rPr>
          <w:rFonts w:ascii="Arial" w:hAnsi="Arial" w:cs="Arial"/>
        </w:rPr>
        <w:t>, Clindamycin</w:t>
      </w:r>
      <w:r w:rsidR="0046567C">
        <w:rPr>
          <w:rFonts w:ascii="Arial" w:hAnsi="Arial" w:cs="Arial"/>
        </w:rPr>
        <w:t xml:space="preserve"> (2/6;</w:t>
      </w:r>
      <w:r w:rsidR="009A0CEC">
        <w:rPr>
          <w:rFonts w:ascii="Arial" w:hAnsi="Arial" w:cs="Arial"/>
        </w:rPr>
        <w:t xml:space="preserve"> </w:t>
      </w:r>
      <w:r w:rsidR="0046567C">
        <w:rPr>
          <w:rFonts w:ascii="Arial" w:hAnsi="Arial" w:cs="Arial"/>
        </w:rPr>
        <w:t>33</w:t>
      </w:r>
      <w:r w:rsidR="009A0CEC">
        <w:rPr>
          <w:rFonts w:ascii="Arial" w:hAnsi="Arial" w:cs="Arial"/>
        </w:rPr>
        <w:t>.3</w:t>
      </w:r>
      <w:r w:rsidR="0046567C">
        <w:rPr>
          <w:rFonts w:ascii="Arial" w:hAnsi="Arial" w:cs="Arial"/>
        </w:rPr>
        <w:t>%)</w:t>
      </w:r>
      <w:r w:rsidRPr="009E3970">
        <w:rPr>
          <w:rFonts w:ascii="Arial" w:hAnsi="Arial" w:cs="Arial"/>
        </w:rPr>
        <w:t>, Gentamicin</w:t>
      </w:r>
      <w:r w:rsidR="009A0CEC">
        <w:rPr>
          <w:rFonts w:ascii="Arial" w:hAnsi="Arial" w:cs="Arial"/>
        </w:rPr>
        <w:t xml:space="preserve"> (3/6; 50%)</w:t>
      </w:r>
      <w:r w:rsidRPr="009E3970">
        <w:rPr>
          <w:rFonts w:ascii="Arial" w:hAnsi="Arial" w:cs="Arial"/>
        </w:rPr>
        <w:t>, and Ofloxacin</w:t>
      </w:r>
      <w:r w:rsidR="009A0CEC">
        <w:rPr>
          <w:rFonts w:ascii="Arial" w:hAnsi="Arial" w:cs="Arial"/>
        </w:rPr>
        <w:t xml:space="preserve"> (4/6;</w:t>
      </w:r>
      <w:r w:rsidR="00500D16">
        <w:rPr>
          <w:rFonts w:ascii="Arial" w:hAnsi="Arial" w:cs="Arial"/>
        </w:rPr>
        <w:t xml:space="preserve"> </w:t>
      </w:r>
      <w:r w:rsidR="009A0CEC">
        <w:rPr>
          <w:rFonts w:ascii="Arial" w:hAnsi="Arial" w:cs="Arial"/>
        </w:rPr>
        <w:t>66.6%)</w:t>
      </w:r>
      <w:r w:rsidRPr="009E3970">
        <w:rPr>
          <w:rFonts w:ascii="Arial" w:hAnsi="Arial" w:cs="Arial"/>
        </w:rPr>
        <w:t xml:space="preserve">. However, other antibiotics such as Co-trimoxazole, Ciprofloxacin, Tetracycline, Linezolid, </w:t>
      </w:r>
      <w:r w:rsidR="004D15A3" w:rsidRPr="009E3970">
        <w:rPr>
          <w:rFonts w:ascii="Arial" w:hAnsi="Arial" w:cs="Arial"/>
        </w:rPr>
        <w:t>Doxycycline</w:t>
      </w:r>
      <w:r w:rsidRPr="009E3970">
        <w:rPr>
          <w:rFonts w:ascii="Arial" w:hAnsi="Arial" w:cs="Arial"/>
        </w:rPr>
        <w:t xml:space="preserve">, and </w:t>
      </w:r>
      <w:r w:rsidR="004D15A3" w:rsidRPr="009E3970">
        <w:rPr>
          <w:rFonts w:ascii="Arial" w:hAnsi="Arial" w:cs="Arial"/>
        </w:rPr>
        <w:t>Nitrofurantoin</w:t>
      </w:r>
      <w:r w:rsidRPr="009E3970">
        <w:rPr>
          <w:rFonts w:ascii="Arial" w:hAnsi="Arial" w:cs="Arial"/>
        </w:rPr>
        <w:t xml:space="preserve"> were found to be effective.  The ABST results obtained were depicted in Table 5. To support our findings, similar ABST results were obtained in an earlier study; A complete resistant pattern to Penicillin groups and a variable resistant pattern to other groups were observed against </w:t>
      </w:r>
      <w:r w:rsidRPr="00C858F7">
        <w:rPr>
          <w:rFonts w:ascii="Arial" w:hAnsi="Arial" w:cs="Arial"/>
          <w:i/>
          <w:iCs/>
        </w:rPr>
        <w:t>S. aureus</w:t>
      </w:r>
      <w:r w:rsidRPr="009E3970">
        <w:rPr>
          <w:rFonts w:ascii="Arial" w:hAnsi="Arial" w:cs="Arial"/>
        </w:rPr>
        <w:t xml:space="preserve"> isolated from the dairy sector (</w:t>
      </w:r>
      <w:proofErr w:type="spellStart"/>
      <w:r w:rsidRPr="009E3970">
        <w:rPr>
          <w:rFonts w:ascii="Arial" w:hAnsi="Arial" w:cs="Arial"/>
        </w:rPr>
        <w:t>Berhilevych</w:t>
      </w:r>
      <w:proofErr w:type="spellEnd"/>
      <w:r w:rsidRPr="009E3970">
        <w:rPr>
          <w:rFonts w:ascii="Arial" w:hAnsi="Arial" w:cs="Arial"/>
        </w:rPr>
        <w:t xml:space="preserve"> et al., 2017).</w:t>
      </w:r>
    </w:p>
    <w:p w14:paraId="1F07C51A" w14:textId="77777777" w:rsidR="009E3970" w:rsidRDefault="009E3970" w:rsidP="00441B6F">
      <w:pPr>
        <w:jc w:val="both"/>
        <w:rPr>
          <w:rFonts w:ascii="Arial" w:hAnsi="Arial" w:cs="Arial"/>
          <w:u w:val="single"/>
          <w:lang w:val="en-GB" w:eastAsia="en-GB"/>
        </w:rPr>
      </w:pPr>
    </w:p>
    <w:p w14:paraId="08213889" w14:textId="77EC2AD2" w:rsidR="009E3970" w:rsidRDefault="009E3970" w:rsidP="009E3970">
      <w:pPr>
        <w:tabs>
          <w:tab w:val="left" w:pos="1080"/>
        </w:tabs>
        <w:jc w:val="both"/>
        <w:rPr>
          <w:rFonts w:ascii="Arial" w:hAnsi="Arial"/>
          <w:b/>
          <w:bCs/>
        </w:rPr>
      </w:pPr>
      <w:r>
        <w:rPr>
          <w:rFonts w:ascii="Arial" w:hAnsi="Arial"/>
          <w:b/>
        </w:rPr>
        <w:t>Table 5.</w:t>
      </w:r>
      <w:r w:rsidRPr="00DC3180">
        <w:rPr>
          <w:rFonts w:ascii="Arial" w:hAnsi="Arial"/>
          <w:b/>
        </w:rPr>
        <w:tab/>
      </w:r>
      <w:r w:rsidRPr="009E3970">
        <w:rPr>
          <w:rFonts w:ascii="Arial" w:hAnsi="Arial"/>
          <w:b/>
          <w:bCs/>
        </w:rPr>
        <w:t xml:space="preserve">Antibiotic sensitivity Profile of </w:t>
      </w:r>
      <w:r w:rsidRPr="009E3970">
        <w:rPr>
          <w:rFonts w:ascii="Arial" w:hAnsi="Arial"/>
          <w:b/>
          <w:bCs/>
          <w:i/>
          <w:iCs/>
        </w:rPr>
        <w:t>S. aureus</w:t>
      </w:r>
      <w:r w:rsidRPr="009E3970">
        <w:rPr>
          <w:rFonts w:ascii="Arial" w:hAnsi="Arial"/>
          <w:b/>
          <w:bCs/>
        </w:rPr>
        <w:t xml:space="preserve"> isolates</w:t>
      </w:r>
    </w:p>
    <w:p w14:paraId="7D829B2F" w14:textId="77777777" w:rsidR="006411F1" w:rsidRDefault="006411F1" w:rsidP="00441B6F">
      <w:pPr>
        <w:jc w:val="both"/>
        <w:rPr>
          <w:rFonts w:ascii="Arial" w:hAnsi="Arial" w:cs="Arial"/>
          <w:u w:val="single"/>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1031"/>
        <w:gridCol w:w="1031"/>
        <w:gridCol w:w="959"/>
        <w:gridCol w:w="959"/>
        <w:gridCol w:w="1031"/>
        <w:gridCol w:w="1027"/>
      </w:tblGrid>
      <w:tr w:rsidR="009E3970" w14:paraId="75110951" w14:textId="77777777" w:rsidTr="00996EBF">
        <w:trPr>
          <w:trHeight w:val="314"/>
        </w:trPr>
        <w:tc>
          <w:tcPr>
            <w:tcW w:w="2515" w:type="dxa"/>
            <w:tcBorders>
              <w:top w:val="single" w:sz="4" w:space="0" w:color="auto"/>
              <w:bottom w:val="single" w:sz="4" w:space="0" w:color="auto"/>
            </w:tcBorders>
          </w:tcPr>
          <w:p w14:paraId="16885BDA"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Antibiotics</w:t>
            </w:r>
          </w:p>
        </w:tc>
        <w:tc>
          <w:tcPr>
            <w:tcW w:w="1170" w:type="dxa"/>
            <w:tcBorders>
              <w:top w:val="single" w:sz="4" w:space="0" w:color="auto"/>
              <w:bottom w:val="single" w:sz="4" w:space="0" w:color="auto"/>
            </w:tcBorders>
          </w:tcPr>
          <w:p w14:paraId="083884C1"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S1</w:t>
            </w:r>
          </w:p>
        </w:tc>
        <w:tc>
          <w:tcPr>
            <w:tcW w:w="1170" w:type="dxa"/>
            <w:tcBorders>
              <w:top w:val="single" w:sz="4" w:space="0" w:color="auto"/>
              <w:bottom w:val="single" w:sz="4" w:space="0" w:color="auto"/>
            </w:tcBorders>
          </w:tcPr>
          <w:p w14:paraId="7B498952"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S2</w:t>
            </w:r>
          </w:p>
        </w:tc>
        <w:tc>
          <w:tcPr>
            <w:tcW w:w="1080" w:type="dxa"/>
            <w:tcBorders>
              <w:top w:val="single" w:sz="4" w:space="0" w:color="auto"/>
              <w:bottom w:val="single" w:sz="4" w:space="0" w:color="auto"/>
            </w:tcBorders>
          </w:tcPr>
          <w:p w14:paraId="4F260B3F"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S3</w:t>
            </w:r>
          </w:p>
        </w:tc>
        <w:tc>
          <w:tcPr>
            <w:tcW w:w="1080" w:type="dxa"/>
            <w:tcBorders>
              <w:top w:val="single" w:sz="4" w:space="0" w:color="auto"/>
              <w:bottom w:val="single" w:sz="4" w:space="0" w:color="auto"/>
            </w:tcBorders>
          </w:tcPr>
          <w:p w14:paraId="018A3E7E"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S4</w:t>
            </w:r>
          </w:p>
        </w:tc>
        <w:tc>
          <w:tcPr>
            <w:tcW w:w="1170" w:type="dxa"/>
            <w:tcBorders>
              <w:top w:val="single" w:sz="4" w:space="0" w:color="auto"/>
              <w:bottom w:val="single" w:sz="4" w:space="0" w:color="auto"/>
            </w:tcBorders>
          </w:tcPr>
          <w:p w14:paraId="2F8C09A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S5</w:t>
            </w:r>
          </w:p>
        </w:tc>
        <w:tc>
          <w:tcPr>
            <w:tcW w:w="1165" w:type="dxa"/>
            <w:tcBorders>
              <w:top w:val="single" w:sz="4" w:space="0" w:color="auto"/>
              <w:bottom w:val="single" w:sz="4" w:space="0" w:color="auto"/>
            </w:tcBorders>
          </w:tcPr>
          <w:p w14:paraId="2A5AB651"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S6</w:t>
            </w:r>
          </w:p>
        </w:tc>
      </w:tr>
      <w:tr w:rsidR="009E3970" w14:paraId="270ABC68" w14:textId="77777777" w:rsidTr="009E3970">
        <w:tc>
          <w:tcPr>
            <w:tcW w:w="2515" w:type="dxa"/>
            <w:tcBorders>
              <w:top w:val="single" w:sz="4" w:space="0" w:color="auto"/>
            </w:tcBorders>
          </w:tcPr>
          <w:p w14:paraId="299F605A"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Penicillin</w:t>
            </w:r>
          </w:p>
          <w:p w14:paraId="6240189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(P-10U)</w:t>
            </w:r>
          </w:p>
        </w:tc>
        <w:tc>
          <w:tcPr>
            <w:tcW w:w="1170" w:type="dxa"/>
            <w:tcBorders>
              <w:top w:val="single" w:sz="4" w:space="0" w:color="auto"/>
            </w:tcBorders>
          </w:tcPr>
          <w:p w14:paraId="4FFB2B2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Borders>
              <w:top w:val="single" w:sz="4" w:space="0" w:color="auto"/>
            </w:tcBorders>
          </w:tcPr>
          <w:p w14:paraId="71B40F2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Borders>
              <w:top w:val="single" w:sz="4" w:space="0" w:color="auto"/>
            </w:tcBorders>
          </w:tcPr>
          <w:p w14:paraId="23B7032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Borders>
              <w:top w:val="single" w:sz="4" w:space="0" w:color="auto"/>
            </w:tcBorders>
          </w:tcPr>
          <w:p w14:paraId="3F016FF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Borders>
              <w:top w:val="single" w:sz="4" w:space="0" w:color="auto"/>
            </w:tcBorders>
          </w:tcPr>
          <w:p w14:paraId="3530834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Borders>
              <w:top w:val="single" w:sz="4" w:space="0" w:color="auto"/>
            </w:tcBorders>
          </w:tcPr>
          <w:p w14:paraId="21286DD8"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r>
      <w:tr w:rsidR="009E3970" w14:paraId="5D1FB4C4" w14:textId="77777777" w:rsidTr="009E3970">
        <w:tc>
          <w:tcPr>
            <w:tcW w:w="2515" w:type="dxa"/>
          </w:tcPr>
          <w:p w14:paraId="61EA997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Co-trimoxazole</w:t>
            </w:r>
          </w:p>
          <w:p w14:paraId="000DCF69"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(SXT-25 µg)</w:t>
            </w:r>
          </w:p>
        </w:tc>
        <w:tc>
          <w:tcPr>
            <w:tcW w:w="1170" w:type="dxa"/>
          </w:tcPr>
          <w:p w14:paraId="2CDAA193"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5A75413F"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F54E1E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66A6654"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AE48C7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3CECA26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14:paraId="4FF8DF26" w14:textId="77777777" w:rsidTr="009E3970">
        <w:tc>
          <w:tcPr>
            <w:tcW w:w="2515" w:type="dxa"/>
          </w:tcPr>
          <w:p w14:paraId="2466B18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Ciprofloxacin</w:t>
            </w:r>
          </w:p>
          <w:p w14:paraId="12B43D5D"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(CIP-10 µg)</w:t>
            </w:r>
          </w:p>
        </w:tc>
        <w:tc>
          <w:tcPr>
            <w:tcW w:w="1170" w:type="dxa"/>
          </w:tcPr>
          <w:p w14:paraId="27A2E5A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2F516C2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61AF9D6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936C5A6"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3549387D"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5508DC5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14:paraId="392BC6B3" w14:textId="77777777" w:rsidTr="009E3970">
        <w:tc>
          <w:tcPr>
            <w:tcW w:w="2515" w:type="dxa"/>
          </w:tcPr>
          <w:p w14:paraId="199598D6" w14:textId="77777777" w:rsidR="009E3970" w:rsidRPr="009E3970" w:rsidRDefault="009E3970" w:rsidP="009E3970">
            <w:pPr>
              <w:jc w:val="center"/>
              <w:rPr>
                <w:rFonts w:ascii="Arial" w:hAnsi="Arial"/>
                <w:b/>
                <w:bCs/>
                <w:sz w:val="20"/>
                <w:szCs w:val="20"/>
              </w:rPr>
            </w:pPr>
            <w:r w:rsidRPr="004C62EB">
              <w:rPr>
                <w:rFonts w:ascii="Arial" w:hAnsi="Arial"/>
                <w:b/>
                <w:bCs/>
                <w:sz w:val="20"/>
                <w:szCs w:val="20"/>
              </w:rPr>
              <w:t>Ampicillin</w:t>
            </w:r>
          </w:p>
          <w:p w14:paraId="1B151007"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(AMP-10µg)</w:t>
            </w:r>
          </w:p>
        </w:tc>
        <w:tc>
          <w:tcPr>
            <w:tcW w:w="1170" w:type="dxa"/>
          </w:tcPr>
          <w:p w14:paraId="12149E8F"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3C13886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5464909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310BBB09"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2A131B5E"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Pr>
          <w:p w14:paraId="3A0DA97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r>
      <w:tr w:rsidR="009E3970" w14:paraId="0737FED9" w14:textId="77777777" w:rsidTr="009E3970">
        <w:tc>
          <w:tcPr>
            <w:tcW w:w="2515" w:type="dxa"/>
          </w:tcPr>
          <w:p w14:paraId="5F7293E5"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Tetracycline</w:t>
            </w:r>
          </w:p>
          <w:p w14:paraId="49A0B459"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(TE-10 µg)</w:t>
            </w:r>
          </w:p>
        </w:tc>
        <w:tc>
          <w:tcPr>
            <w:tcW w:w="1170" w:type="dxa"/>
          </w:tcPr>
          <w:p w14:paraId="3533935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16A88F15"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B85D29F"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37EE0E3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2A4B99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446F91C5"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14:paraId="1FEA9169" w14:textId="77777777" w:rsidTr="009E3970">
        <w:tc>
          <w:tcPr>
            <w:tcW w:w="2515" w:type="dxa"/>
          </w:tcPr>
          <w:p w14:paraId="0A387ADD"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Chloramphenicol</w:t>
            </w:r>
          </w:p>
          <w:p w14:paraId="33CE3452" w14:textId="77777777" w:rsidR="009E3970" w:rsidRPr="0011638E" w:rsidRDefault="009E3970" w:rsidP="009E3970">
            <w:pPr>
              <w:jc w:val="center"/>
              <w:rPr>
                <w:rFonts w:ascii="Times New Roman" w:hAnsi="Times New Roman"/>
                <w:sz w:val="24"/>
                <w:szCs w:val="24"/>
              </w:rPr>
            </w:pPr>
            <w:r w:rsidRPr="009E3970">
              <w:rPr>
                <w:rFonts w:ascii="Arial" w:hAnsi="Arial"/>
                <w:b/>
                <w:bCs/>
                <w:sz w:val="20"/>
                <w:szCs w:val="20"/>
              </w:rPr>
              <w:t>(C-30 µg)</w:t>
            </w:r>
          </w:p>
        </w:tc>
        <w:tc>
          <w:tcPr>
            <w:tcW w:w="1170" w:type="dxa"/>
          </w:tcPr>
          <w:p w14:paraId="08BA04EF"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635C01D0"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5BBE8338"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36BCE272"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074806D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713BD86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36DCA864" w14:textId="77777777" w:rsidTr="009E3970">
        <w:tc>
          <w:tcPr>
            <w:tcW w:w="2515" w:type="dxa"/>
          </w:tcPr>
          <w:p w14:paraId="04D92B76"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Clindamycin</w:t>
            </w:r>
          </w:p>
          <w:p w14:paraId="1A64F7D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(CD-µg)</w:t>
            </w:r>
          </w:p>
        </w:tc>
        <w:tc>
          <w:tcPr>
            <w:tcW w:w="1170" w:type="dxa"/>
          </w:tcPr>
          <w:p w14:paraId="2E844F1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24DA0AD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BDF389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1D89F7AE"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50EFA25B"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Pr>
          <w:p w14:paraId="1434563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7659201E" w14:textId="77777777" w:rsidTr="009E3970">
        <w:tc>
          <w:tcPr>
            <w:tcW w:w="2515" w:type="dxa"/>
          </w:tcPr>
          <w:p w14:paraId="4A34DC72"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Gentamicin</w:t>
            </w:r>
          </w:p>
          <w:p w14:paraId="68F9CC4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(GM-30 µg)</w:t>
            </w:r>
          </w:p>
        </w:tc>
        <w:tc>
          <w:tcPr>
            <w:tcW w:w="1170" w:type="dxa"/>
          </w:tcPr>
          <w:p w14:paraId="521E382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70" w:type="dxa"/>
          </w:tcPr>
          <w:p w14:paraId="6C5CF5C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454DA351"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4E7F33F7"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00F966E5"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7AED22B3"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619F6C72" w14:textId="77777777" w:rsidTr="00996EBF">
        <w:tc>
          <w:tcPr>
            <w:tcW w:w="2515" w:type="dxa"/>
          </w:tcPr>
          <w:p w14:paraId="54320447"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Linezolid</w:t>
            </w:r>
          </w:p>
          <w:p w14:paraId="1DDAE87E"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lastRenderedPageBreak/>
              <w:t>(LZD-15 µg)</w:t>
            </w:r>
          </w:p>
        </w:tc>
        <w:tc>
          <w:tcPr>
            <w:tcW w:w="1170" w:type="dxa"/>
          </w:tcPr>
          <w:p w14:paraId="7215F54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lastRenderedPageBreak/>
              <w:t>S</w:t>
            </w:r>
          </w:p>
        </w:tc>
        <w:tc>
          <w:tcPr>
            <w:tcW w:w="1170" w:type="dxa"/>
          </w:tcPr>
          <w:p w14:paraId="4F706868"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6624B1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3E7FED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1627274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771AFE6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5FDA391C" w14:textId="77777777" w:rsidTr="00996EBF">
        <w:tc>
          <w:tcPr>
            <w:tcW w:w="2515" w:type="dxa"/>
          </w:tcPr>
          <w:p w14:paraId="3C102AF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Norfloxacin</w:t>
            </w:r>
          </w:p>
          <w:p w14:paraId="534CAECD"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(NX-10 µg)</w:t>
            </w:r>
          </w:p>
        </w:tc>
        <w:tc>
          <w:tcPr>
            <w:tcW w:w="1170" w:type="dxa"/>
          </w:tcPr>
          <w:p w14:paraId="3FDAD85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9AA9B0F"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080" w:type="dxa"/>
          </w:tcPr>
          <w:p w14:paraId="310B684A"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080" w:type="dxa"/>
          </w:tcPr>
          <w:p w14:paraId="1DACB08F"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70" w:type="dxa"/>
          </w:tcPr>
          <w:p w14:paraId="04FE10F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21DE150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11003734" w14:textId="77777777" w:rsidTr="009E3970">
        <w:tc>
          <w:tcPr>
            <w:tcW w:w="2515" w:type="dxa"/>
          </w:tcPr>
          <w:p w14:paraId="51CDD983" w14:textId="4F7A1A4E" w:rsidR="009E3970" w:rsidRPr="009E3970" w:rsidRDefault="004D15A3" w:rsidP="009E3970">
            <w:pPr>
              <w:jc w:val="center"/>
              <w:rPr>
                <w:rFonts w:ascii="Arial" w:hAnsi="Arial"/>
                <w:b/>
                <w:bCs/>
                <w:sz w:val="20"/>
                <w:szCs w:val="20"/>
              </w:rPr>
            </w:pPr>
            <w:r w:rsidRPr="009E3970">
              <w:rPr>
                <w:rFonts w:ascii="Arial" w:hAnsi="Arial"/>
                <w:b/>
                <w:bCs/>
                <w:sz w:val="20"/>
                <w:szCs w:val="20"/>
              </w:rPr>
              <w:t>Doxycycline</w:t>
            </w:r>
          </w:p>
          <w:p w14:paraId="611E5778"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(DO-30 µg)</w:t>
            </w:r>
          </w:p>
        </w:tc>
        <w:tc>
          <w:tcPr>
            <w:tcW w:w="1170" w:type="dxa"/>
          </w:tcPr>
          <w:p w14:paraId="640E917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1DEFCAF7"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134A30D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03F4F3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37CDC40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6BE6D18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302EA9A4" w14:textId="77777777" w:rsidTr="009E3970">
        <w:tc>
          <w:tcPr>
            <w:tcW w:w="2515" w:type="dxa"/>
          </w:tcPr>
          <w:p w14:paraId="50528AC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Ofloxacin</w:t>
            </w:r>
          </w:p>
          <w:p w14:paraId="09A1BED2"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(OX-5 µg)</w:t>
            </w:r>
          </w:p>
        </w:tc>
        <w:tc>
          <w:tcPr>
            <w:tcW w:w="1170" w:type="dxa"/>
          </w:tcPr>
          <w:p w14:paraId="1D223451"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443DB97A"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0F01640D"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080" w:type="dxa"/>
          </w:tcPr>
          <w:p w14:paraId="4367FB5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0721664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Pr>
          <w:p w14:paraId="275CDA47"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0FF860BF" w14:textId="77777777" w:rsidTr="009E3970">
        <w:tc>
          <w:tcPr>
            <w:tcW w:w="2515" w:type="dxa"/>
          </w:tcPr>
          <w:p w14:paraId="092EB5E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Erythromycin</w:t>
            </w:r>
          </w:p>
          <w:p w14:paraId="6003F5D1"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(E-30 µg)</w:t>
            </w:r>
          </w:p>
        </w:tc>
        <w:tc>
          <w:tcPr>
            <w:tcW w:w="1170" w:type="dxa"/>
          </w:tcPr>
          <w:p w14:paraId="12FA298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2218927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3B69D78"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FC3C2B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70" w:type="dxa"/>
          </w:tcPr>
          <w:p w14:paraId="041189DA"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65" w:type="dxa"/>
          </w:tcPr>
          <w:p w14:paraId="2FE2197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7718E78C" w14:textId="77777777" w:rsidTr="009E3970">
        <w:trPr>
          <w:trHeight w:val="693"/>
        </w:trPr>
        <w:tc>
          <w:tcPr>
            <w:tcW w:w="2515" w:type="dxa"/>
            <w:tcBorders>
              <w:bottom w:val="single" w:sz="4" w:space="0" w:color="auto"/>
            </w:tcBorders>
          </w:tcPr>
          <w:p w14:paraId="46A449CA" w14:textId="1C31307F" w:rsidR="009E3970" w:rsidRPr="009E3970" w:rsidRDefault="004D15A3" w:rsidP="009E3970">
            <w:pPr>
              <w:jc w:val="center"/>
              <w:rPr>
                <w:rFonts w:ascii="Arial" w:hAnsi="Arial"/>
                <w:b/>
                <w:bCs/>
                <w:sz w:val="20"/>
                <w:szCs w:val="20"/>
              </w:rPr>
            </w:pPr>
            <w:r w:rsidRPr="009E3970">
              <w:rPr>
                <w:rFonts w:ascii="Arial" w:hAnsi="Arial"/>
                <w:b/>
                <w:bCs/>
                <w:sz w:val="20"/>
                <w:szCs w:val="20"/>
              </w:rPr>
              <w:t>Nitrofurantoin</w:t>
            </w:r>
          </w:p>
          <w:p w14:paraId="27AFB263"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(NIT-300 µg)</w:t>
            </w:r>
          </w:p>
        </w:tc>
        <w:tc>
          <w:tcPr>
            <w:tcW w:w="1170" w:type="dxa"/>
            <w:tcBorders>
              <w:bottom w:val="single" w:sz="4" w:space="0" w:color="auto"/>
            </w:tcBorders>
          </w:tcPr>
          <w:p w14:paraId="1A5B37F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Borders>
              <w:bottom w:val="single" w:sz="4" w:space="0" w:color="auto"/>
            </w:tcBorders>
          </w:tcPr>
          <w:p w14:paraId="387DBFF7"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Borders>
              <w:bottom w:val="single" w:sz="4" w:space="0" w:color="auto"/>
            </w:tcBorders>
          </w:tcPr>
          <w:p w14:paraId="4B3A2F0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Borders>
              <w:bottom w:val="single" w:sz="4" w:space="0" w:color="auto"/>
            </w:tcBorders>
          </w:tcPr>
          <w:p w14:paraId="122B50F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Borders>
              <w:bottom w:val="single" w:sz="4" w:space="0" w:color="auto"/>
            </w:tcBorders>
          </w:tcPr>
          <w:p w14:paraId="22CE3F18"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Borders>
              <w:bottom w:val="single" w:sz="4" w:space="0" w:color="auto"/>
            </w:tcBorders>
          </w:tcPr>
          <w:p w14:paraId="5D573F0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bl>
    <w:p w14:paraId="1177CC11" w14:textId="77777777" w:rsidR="009E3970" w:rsidRPr="009E3970" w:rsidRDefault="009E3970" w:rsidP="009E3970">
      <w:pPr>
        <w:jc w:val="center"/>
        <w:rPr>
          <w:rFonts w:ascii="Arial" w:eastAsia="Calibri" w:hAnsi="Arial"/>
          <w:b/>
          <w:bCs/>
        </w:rPr>
      </w:pPr>
    </w:p>
    <w:p w14:paraId="3BDC525C" w14:textId="77777777" w:rsidR="006411F1" w:rsidRDefault="009E3970" w:rsidP="00441B6F">
      <w:pPr>
        <w:jc w:val="both"/>
        <w:rPr>
          <w:rFonts w:ascii="Arial" w:hAnsi="Arial" w:cs="Arial"/>
          <w:u w:val="single"/>
          <w:lang w:val="en-GB" w:eastAsia="en-GB"/>
        </w:rPr>
      </w:pPr>
      <w:r w:rsidRPr="002D1B71">
        <w:rPr>
          <w:rFonts w:ascii="Arial" w:hAnsi="Arial" w:cs="Arial"/>
          <w:i/>
          <w:sz w:val="18"/>
        </w:rPr>
        <w:t xml:space="preserve">S1-S6 – </w:t>
      </w:r>
      <w:r>
        <w:rPr>
          <w:rFonts w:ascii="Arial" w:hAnsi="Arial" w:cs="Arial"/>
          <w:i/>
          <w:sz w:val="18"/>
        </w:rPr>
        <w:t>Isolates</w:t>
      </w:r>
      <w:r w:rsidRPr="002D1B71">
        <w:rPr>
          <w:rFonts w:ascii="Arial" w:hAnsi="Arial" w:cs="Arial"/>
          <w:i/>
          <w:sz w:val="18"/>
        </w:rPr>
        <w:t xml:space="preserve"> </w:t>
      </w:r>
    </w:p>
    <w:p w14:paraId="0E507761" w14:textId="77777777" w:rsidR="006411F1" w:rsidRDefault="006411F1" w:rsidP="00441B6F">
      <w:pPr>
        <w:jc w:val="both"/>
        <w:rPr>
          <w:rFonts w:ascii="Arial" w:hAnsi="Arial" w:cs="Arial"/>
          <w:u w:val="single"/>
          <w:lang w:val="en-GB" w:eastAsia="en-GB"/>
        </w:rPr>
      </w:pPr>
    </w:p>
    <w:p w14:paraId="4000838E" w14:textId="77777777" w:rsidR="009E3970" w:rsidRPr="009E3970" w:rsidRDefault="009E3970" w:rsidP="009E3970">
      <w:pPr>
        <w:jc w:val="both"/>
        <w:rPr>
          <w:rFonts w:ascii="Arial" w:hAnsi="Arial" w:cs="Arial"/>
          <w:b/>
          <w:bCs/>
        </w:rPr>
      </w:pPr>
      <w:r w:rsidRPr="009E3970">
        <w:rPr>
          <w:rFonts w:ascii="Arial" w:hAnsi="Arial" w:cs="Arial"/>
        </w:rPr>
        <w:t xml:space="preserve">To overcome the spread of </w:t>
      </w:r>
      <w:r w:rsidRPr="009E3970">
        <w:rPr>
          <w:rFonts w:ascii="Arial" w:hAnsi="Arial" w:cs="Arial"/>
          <w:i/>
          <w:iCs/>
        </w:rPr>
        <w:t>S. aureus</w:t>
      </w:r>
      <w:r w:rsidRPr="009E3970">
        <w:rPr>
          <w:rFonts w:ascii="Arial" w:hAnsi="Arial" w:cs="Arial"/>
        </w:rPr>
        <w:t xml:space="preserve"> through meat and food, intensive education of the public, slaughterhouse workers, and food handlers to follow strict hygienic measures in the working environment and at home. Also, further research in the field of development of alternative therapeutics, such as herbs, antimicrobial peptides, lysins, bacteriophages, and nanoparticles, is warranted to overcome the AMR issues. </w:t>
      </w:r>
    </w:p>
    <w:p w14:paraId="6EC3A4B7" w14:textId="77777777" w:rsidR="00790ADA" w:rsidRPr="00FB3A86" w:rsidRDefault="00790ADA" w:rsidP="00441B6F">
      <w:pPr>
        <w:pStyle w:val="Body"/>
        <w:spacing w:after="0"/>
        <w:rPr>
          <w:rFonts w:ascii="Arial" w:hAnsi="Arial" w:cs="Arial"/>
        </w:rPr>
      </w:pPr>
    </w:p>
    <w:p w14:paraId="6293014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A50A49" w14:textId="77777777" w:rsidR="00790ADA" w:rsidRPr="00FB3A86" w:rsidRDefault="00790ADA" w:rsidP="00441B6F">
      <w:pPr>
        <w:pStyle w:val="ConcHead"/>
        <w:spacing w:after="0"/>
        <w:jc w:val="both"/>
        <w:rPr>
          <w:rFonts w:ascii="Arial" w:hAnsi="Arial" w:cs="Arial"/>
        </w:rPr>
      </w:pPr>
    </w:p>
    <w:p w14:paraId="22887846" w14:textId="3D051158" w:rsidR="006A586F" w:rsidRDefault="006A586F" w:rsidP="006A586F">
      <w:pPr>
        <w:pStyle w:val="Body"/>
        <w:rPr>
          <w:rFonts w:ascii="Arial" w:hAnsi="Arial" w:cs="Arial"/>
        </w:rPr>
      </w:pPr>
      <w:r w:rsidRPr="006A586F">
        <w:rPr>
          <w:rFonts w:ascii="Arial" w:hAnsi="Arial" w:cs="Arial"/>
        </w:rPr>
        <w:t xml:space="preserve">To conclude, </w:t>
      </w:r>
      <w:r w:rsidRPr="00C858F7">
        <w:rPr>
          <w:rFonts w:ascii="Arial" w:hAnsi="Arial" w:cs="Arial"/>
          <w:i/>
          <w:iCs/>
        </w:rPr>
        <w:t>Staphylococcus aureus</w:t>
      </w:r>
      <w:r w:rsidRPr="006A586F">
        <w:rPr>
          <w:rFonts w:ascii="Arial" w:hAnsi="Arial" w:cs="Arial"/>
        </w:rPr>
        <w:t xml:space="preserve"> is a common commensal bacterium on the skin, as well as an important pathogen in</w:t>
      </w:r>
      <w:r w:rsidR="00DB5418">
        <w:rPr>
          <w:rFonts w:ascii="Arial" w:hAnsi="Arial" w:cs="Arial"/>
        </w:rPr>
        <w:t xml:space="preserve"> contaminated</w:t>
      </w:r>
      <w:r w:rsidRPr="006A586F">
        <w:rPr>
          <w:rFonts w:ascii="Arial" w:hAnsi="Arial" w:cs="Arial"/>
        </w:rPr>
        <w:t xml:space="preserve"> </w:t>
      </w:r>
      <w:r w:rsidR="00DB5418">
        <w:rPr>
          <w:rFonts w:ascii="Arial" w:hAnsi="Arial" w:cs="Arial"/>
        </w:rPr>
        <w:t>wound</w:t>
      </w:r>
      <w:r w:rsidRPr="006A586F">
        <w:rPr>
          <w:rFonts w:ascii="Arial" w:hAnsi="Arial" w:cs="Arial"/>
        </w:rPr>
        <w:t xml:space="preserve"> infections. In addition, it is also an economically important pathogen of animals and is responsible for causing mastitis in dairy animals, which often leads to early culling of animals and thereby incurring heavy economic loss to the owner. On the </w:t>
      </w:r>
      <w:r w:rsidR="00C358A5">
        <w:rPr>
          <w:rFonts w:ascii="Arial" w:hAnsi="Arial" w:cs="Arial"/>
        </w:rPr>
        <w:t>o</w:t>
      </w:r>
      <w:r w:rsidRPr="006A586F">
        <w:rPr>
          <w:rFonts w:ascii="Arial" w:hAnsi="Arial" w:cs="Arial"/>
        </w:rPr>
        <w:t xml:space="preserve">ther </w:t>
      </w:r>
      <w:r w:rsidR="009B1894" w:rsidRPr="006A586F">
        <w:rPr>
          <w:rFonts w:ascii="Arial" w:hAnsi="Arial" w:cs="Arial"/>
        </w:rPr>
        <w:t>hand,</w:t>
      </w:r>
      <w:r w:rsidRPr="006A586F">
        <w:rPr>
          <w:rFonts w:ascii="Arial" w:hAnsi="Arial" w:cs="Arial"/>
        </w:rPr>
        <w:t xml:space="preserve"> emergence of antimicrobial resistance is a serious public health threat, and therefore, to overcome this emerging crisis, an alternative approach, such effective vaccine, phage therapy, herbal/homeopathy therapy, antimicrobial peptides, etc., should be in place.  In the present study, isolation and identification of Coagulase-positive </w:t>
      </w:r>
      <w:r w:rsidRPr="006A586F">
        <w:rPr>
          <w:rFonts w:ascii="Arial" w:hAnsi="Arial" w:cs="Arial"/>
          <w:i/>
          <w:iCs/>
        </w:rPr>
        <w:t>S. aureus</w:t>
      </w:r>
      <w:r w:rsidRPr="006A586F">
        <w:rPr>
          <w:rFonts w:ascii="Arial" w:hAnsi="Arial" w:cs="Arial"/>
        </w:rPr>
        <w:t xml:space="preserve"> was attempted from the nasal swabs of slaughterhouse workers (n=50) by cultural, Gram staining, and molecular assays (amplification of </w:t>
      </w:r>
      <w:proofErr w:type="spellStart"/>
      <w:r w:rsidRPr="006A586F">
        <w:rPr>
          <w:rFonts w:ascii="Arial" w:hAnsi="Arial" w:cs="Arial"/>
        </w:rPr>
        <w:t>nuc</w:t>
      </w:r>
      <w:proofErr w:type="spellEnd"/>
      <w:r w:rsidRPr="006A586F">
        <w:rPr>
          <w:rFonts w:ascii="Arial" w:hAnsi="Arial" w:cs="Arial"/>
        </w:rPr>
        <w:t xml:space="preserve"> and </w:t>
      </w:r>
      <w:proofErr w:type="spellStart"/>
      <w:r>
        <w:rPr>
          <w:rFonts w:ascii="Arial" w:hAnsi="Arial" w:cs="Arial"/>
          <w:i/>
          <w:iCs/>
        </w:rPr>
        <w:t>C</w:t>
      </w:r>
      <w:r w:rsidRPr="006A586F">
        <w:rPr>
          <w:rFonts w:ascii="Arial" w:hAnsi="Arial" w:cs="Arial"/>
          <w:i/>
          <w:iCs/>
        </w:rPr>
        <w:t>oa</w:t>
      </w:r>
      <w:proofErr w:type="spellEnd"/>
      <w:r w:rsidRPr="006A586F">
        <w:rPr>
          <w:rFonts w:ascii="Arial" w:hAnsi="Arial" w:cs="Arial"/>
        </w:rPr>
        <w:t xml:space="preserve"> gene by PCR).  6 isolates were obtained and evaluated for their antibiotic sensitivity profile, which shows resistance to multiple groups of antibiotics, </w:t>
      </w:r>
      <w:r w:rsidRPr="00C358A5">
        <w:rPr>
          <w:rFonts w:ascii="Arial" w:hAnsi="Arial" w:cs="Arial"/>
          <w:i/>
          <w:iCs/>
        </w:rPr>
        <w:t>viz</w:t>
      </w:r>
      <w:r w:rsidRPr="006A586F">
        <w:rPr>
          <w:rFonts w:ascii="Arial" w:hAnsi="Arial" w:cs="Arial"/>
        </w:rPr>
        <w:t xml:space="preserve">. Ampicillin, Penicillin, Chloramphenicol, Clindamycin, Gentamicin, and Ofloxacin in </w:t>
      </w:r>
      <w:r w:rsidRPr="00C358A5">
        <w:rPr>
          <w:rFonts w:ascii="Arial" w:hAnsi="Arial" w:cs="Arial"/>
          <w:i/>
          <w:iCs/>
        </w:rPr>
        <w:t>in vitro</w:t>
      </w:r>
      <w:r w:rsidRPr="006A586F">
        <w:rPr>
          <w:rFonts w:ascii="Arial" w:hAnsi="Arial" w:cs="Arial"/>
        </w:rPr>
        <w:t xml:space="preserve"> antibiotic sensitivity analysis. This alarming increase in AMR among </w:t>
      </w:r>
      <w:r w:rsidRPr="006A586F">
        <w:rPr>
          <w:rFonts w:ascii="Arial" w:hAnsi="Arial" w:cs="Arial"/>
          <w:i/>
          <w:iCs/>
        </w:rPr>
        <w:t>S. aureus</w:t>
      </w:r>
      <w:r w:rsidRPr="006A586F">
        <w:rPr>
          <w:rFonts w:ascii="Arial" w:hAnsi="Arial" w:cs="Arial"/>
        </w:rPr>
        <w:t xml:space="preserve"> needs exhaustive research and community education for the public, slaughterhouse workers, and food handlers to overcome the problems in the future. In research, emphasis should be given to the One Health approach to prevent the spread of pathogens between animals, humans, and the environment. </w:t>
      </w:r>
    </w:p>
    <w:p w14:paraId="687AE287" w14:textId="77777777" w:rsidR="00C2703B" w:rsidRPr="00DB1A6D" w:rsidRDefault="00C2703B" w:rsidP="00C2703B">
      <w:pPr>
        <w:pStyle w:val="AcknHead"/>
        <w:jc w:val="both"/>
        <w:rPr>
          <w:rFonts w:ascii="Arial" w:hAnsi="Arial" w:cs="Arial"/>
          <w:bCs/>
        </w:rPr>
      </w:pPr>
      <w:r w:rsidRPr="00DB1A6D">
        <w:rPr>
          <w:rFonts w:ascii="Arial" w:hAnsi="Arial" w:cs="Arial"/>
          <w:bCs/>
        </w:rPr>
        <w:t>DISCLAIMER (ARTIFICIAL INTELLIGENCE)</w:t>
      </w:r>
    </w:p>
    <w:p w14:paraId="4D5151B9" w14:textId="77777777" w:rsidR="00C2703B" w:rsidRDefault="00C2703B" w:rsidP="00C2703B">
      <w:pPr>
        <w:ind w:right="18"/>
        <w:jc w:val="both"/>
        <w:rPr>
          <w:rFonts w:ascii="Arial" w:hAnsi="Arial" w:cs="Arial"/>
        </w:rPr>
      </w:pPr>
      <w:r w:rsidRPr="00DB1A6D">
        <w:rPr>
          <w:rFonts w:ascii="Arial" w:hAnsi="Arial" w:cs="Arial"/>
        </w:rPr>
        <w:t>Author(s) hereby declare that NO generative AI technologies such as Large Language Models (</w:t>
      </w:r>
      <w:proofErr w:type="spellStart"/>
      <w:r w:rsidRPr="00DB1A6D">
        <w:rPr>
          <w:rFonts w:ascii="Arial" w:hAnsi="Arial" w:cs="Arial"/>
        </w:rPr>
        <w:t>ChatGPT</w:t>
      </w:r>
      <w:proofErr w:type="spellEnd"/>
      <w:r w:rsidRPr="00DB1A6D">
        <w:rPr>
          <w:rFonts w:ascii="Arial" w:hAnsi="Arial" w:cs="Arial"/>
        </w:rPr>
        <w:t xml:space="preserve">, COPILOT, </w:t>
      </w:r>
      <w:proofErr w:type="spellStart"/>
      <w:r w:rsidRPr="00DB1A6D">
        <w:rPr>
          <w:rFonts w:ascii="Arial" w:hAnsi="Arial" w:cs="Arial"/>
        </w:rPr>
        <w:t>etc</w:t>
      </w:r>
      <w:proofErr w:type="spellEnd"/>
      <w:r w:rsidRPr="00DB1A6D">
        <w:rPr>
          <w:rFonts w:ascii="Arial" w:hAnsi="Arial" w:cs="Arial"/>
        </w:rPr>
        <w:t>) and text-to-image generators have been used during the writing or editing of this manuscript.</w:t>
      </w:r>
    </w:p>
    <w:p w14:paraId="28571E72" w14:textId="77777777" w:rsidR="003C66E1" w:rsidRDefault="003C66E1" w:rsidP="00C2703B">
      <w:pPr>
        <w:ind w:right="18"/>
        <w:jc w:val="both"/>
        <w:rPr>
          <w:rFonts w:ascii="Arial" w:hAnsi="Arial" w:cs="Arial"/>
        </w:rPr>
      </w:pPr>
    </w:p>
    <w:p w14:paraId="000FF3E1" w14:textId="77777777" w:rsidR="003C66E1" w:rsidRDefault="003C66E1" w:rsidP="00C2703B">
      <w:pPr>
        <w:ind w:right="18"/>
        <w:jc w:val="both"/>
        <w:rPr>
          <w:rFonts w:ascii="Arial" w:hAnsi="Arial" w:cs="Arial"/>
        </w:rPr>
      </w:pPr>
      <w:bookmarkStart w:id="1" w:name="_GoBack"/>
      <w:bookmarkEnd w:id="1"/>
    </w:p>
    <w:p w14:paraId="43B909A3" w14:textId="77777777" w:rsidR="00C2703B" w:rsidRPr="00DB1A6D" w:rsidRDefault="00C2703B" w:rsidP="00C2703B">
      <w:pPr>
        <w:rPr>
          <w:rFonts w:ascii="Arial" w:hAnsi="Arial" w:cs="Arial"/>
          <w:b/>
          <w:bCs/>
          <w:caps/>
          <w:sz w:val="22"/>
        </w:rPr>
      </w:pPr>
    </w:p>
    <w:p w14:paraId="2CB38D7B" w14:textId="77777777" w:rsidR="00860000" w:rsidRDefault="00860000" w:rsidP="00441B6F">
      <w:pPr>
        <w:pStyle w:val="ReferHead"/>
        <w:spacing w:after="0"/>
        <w:jc w:val="both"/>
        <w:rPr>
          <w:rFonts w:ascii="Arial" w:hAnsi="Arial" w:cs="Arial"/>
        </w:rPr>
      </w:pPr>
    </w:p>
    <w:p w14:paraId="7F47644C" w14:textId="77777777" w:rsidR="00C2703B" w:rsidRDefault="00C2703B" w:rsidP="00441B6F">
      <w:pPr>
        <w:pStyle w:val="ReferHead"/>
        <w:spacing w:after="0"/>
        <w:jc w:val="both"/>
        <w:rPr>
          <w:rFonts w:ascii="Arial" w:hAnsi="Arial" w:cs="Arial"/>
        </w:rPr>
      </w:pPr>
    </w:p>
    <w:p w14:paraId="70DFB5C9" w14:textId="77777777" w:rsidR="00C2703B" w:rsidRDefault="00C2703B" w:rsidP="00441B6F">
      <w:pPr>
        <w:pStyle w:val="ReferHead"/>
        <w:spacing w:after="0"/>
        <w:jc w:val="both"/>
        <w:rPr>
          <w:rFonts w:ascii="Arial" w:hAnsi="Arial" w:cs="Arial"/>
        </w:rPr>
      </w:pPr>
    </w:p>
    <w:p w14:paraId="514DDB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B8086F" w14:textId="77777777" w:rsidR="00E94A1F" w:rsidRDefault="00E94A1F" w:rsidP="00E94A1F">
      <w:pPr>
        <w:pStyle w:val="Body"/>
        <w:spacing w:after="0"/>
        <w:rPr>
          <w:rFonts w:ascii="Arial" w:hAnsi="Arial" w:cs="Arial"/>
        </w:rPr>
      </w:pPr>
    </w:p>
    <w:p w14:paraId="07F5F17B" w14:textId="32BF449D" w:rsidR="00E94A1F" w:rsidRDefault="00E94A1F" w:rsidP="00E94A1F">
      <w:pPr>
        <w:pStyle w:val="Body"/>
        <w:spacing w:after="0"/>
        <w:ind w:left="720" w:hanging="720"/>
        <w:rPr>
          <w:rFonts w:ascii="Arial" w:hAnsi="Arial" w:cs="Arial"/>
        </w:rPr>
      </w:pPr>
      <w:r w:rsidRPr="00A56A4D">
        <w:rPr>
          <w:rFonts w:ascii="Arial" w:hAnsi="Arial" w:cs="Arial"/>
        </w:rPr>
        <w:t>Abdallah, E. M., &amp; Sulieman, A. M. E. (2024). Staphylococcus aureus. </w:t>
      </w:r>
      <w:r w:rsidRPr="00A56A4D">
        <w:rPr>
          <w:rFonts w:ascii="Arial" w:hAnsi="Arial" w:cs="Arial"/>
          <w:i/>
          <w:iCs/>
        </w:rPr>
        <w:t>Microbial Toxins in Food Systems: Causes, Mechanisms, Complications, and Metabolism</w:t>
      </w:r>
      <w:r w:rsidRPr="00A56A4D">
        <w:rPr>
          <w:rFonts w:ascii="Arial" w:hAnsi="Arial" w:cs="Arial"/>
        </w:rPr>
        <w:t>, </w:t>
      </w:r>
      <w:r w:rsidRPr="00A56A4D">
        <w:rPr>
          <w:rFonts w:ascii="Arial" w:hAnsi="Arial" w:cs="Arial"/>
          <w:i/>
          <w:iCs/>
        </w:rPr>
        <w:t>235</w:t>
      </w:r>
      <w:r w:rsidRPr="00A56A4D">
        <w:rPr>
          <w:rFonts w:ascii="Arial" w:hAnsi="Arial" w:cs="Arial"/>
        </w:rPr>
        <w:t>.</w:t>
      </w:r>
    </w:p>
    <w:p w14:paraId="7C2D2C58" w14:textId="77777777" w:rsidR="00E94A1F" w:rsidRDefault="00E94A1F" w:rsidP="00E94A1F">
      <w:pPr>
        <w:pStyle w:val="Body"/>
        <w:spacing w:after="0"/>
        <w:ind w:left="720" w:hanging="720"/>
        <w:rPr>
          <w:rFonts w:ascii="Arial" w:hAnsi="Arial" w:cs="Arial"/>
        </w:rPr>
      </w:pPr>
    </w:p>
    <w:p w14:paraId="013DC14C" w14:textId="77777777" w:rsidR="00E94A1F" w:rsidRDefault="00E94A1F" w:rsidP="00A56A4D">
      <w:pPr>
        <w:pStyle w:val="Body"/>
        <w:spacing w:after="0"/>
        <w:ind w:left="720" w:hanging="720"/>
        <w:rPr>
          <w:rFonts w:ascii="Arial" w:hAnsi="Arial" w:cs="Arial"/>
        </w:rPr>
      </w:pPr>
      <w:r w:rsidRPr="00A56A4D">
        <w:rPr>
          <w:rFonts w:ascii="Arial" w:hAnsi="Arial" w:cs="Arial"/>
        </w:rPr>
        <w:t>Alam, M. T., Petit III, R. A., Crispell, E. K., Thornton, T. A., Conneely, K. N., Jiang, Y., ... &amp; Read, T. D. (2014). Dissecting vancomycin-intermediate resistance in Staphylococcus aureus using genome-wide association. </w:t>
      </w:r>
      <w:r w:rsidRPr="00A56A4D">
        <w:rPr>
          <w:rFonts w:ascii="Arial" w:hAnsi="Arial" w:cs="Arial"/>
          <w:i/>
          <w:iCs/>
        </w:rPr>
        <w:t>Genome biology and evolution</w:t>
      </w:r>
      <w:r w:rsidRPr="00A56A4D">
        <w:rPr>
          <w:rFonts w:ascii="Arial" w:hAnsi="Arial" w:cs="Arial"/>
        </w:rPr>
        <w:t>, </w:t>
      </w:r>
      <w:r w:rsidRPr="00A56A4D">
        <w:rPr>
          <w:rFonts w:ascii="Arial" w:hAnsi="Arial" w:cs="Arial"/>
          <w:i/>
          <w:iCs/>
        </w:rPr>
        <w:t>6</w:t>
      </w:r>
      <w:r w:rsidRPr="00A56A4D">
        <w:rPr>
          <w:rFonts w:ascii="Arial" w:hAnsi="Arial" w:cs="Arial"/>
        </w:rPr>
        <w:t>(5), 1174-1185.</w:t>
      </w:r>
    </w:p>
    <w:p w14:paraId="02CFEF90" w14:textId="77777777" w:rsidR="00E94A1F" w:rsidRDefault="00E94A1F" w:rsidP="00A56A4D">
      <w:pPr>
        <w:pStyle w:val="Body"/>
        <w:spacing w:after="0"/>
        <w:ind w:left="720" w:hanging="720"/>
        <w:rPr>
          <w:rFonts w:ascii="Arial" w:hAnsi="Arial" w:cs="Arial"/>
        </w:rPr>
      </w:pPr>
    </w:p>
    <w:p w14:paraId="392D2A45" w14:textId="77777777" w:rsidR="00E94A1F" w:rsidRDefault="00E94A1F" w:rsidP="00A56A4D">
      <w:pPr>
        <w:pStyle w:val="Body"/>
        <w:spacing w:after="0"/>
        <w:ind w:left="720" w:hanging="720"/>
        <w:rPr>
          <w:rFonts w:ascii="Arial" w:hAnsi="Arial" w:cs="Arial"/>
        </w:rPr>
      </w:pPr>
      <w:r w:rsidRPr="00A56A4D">
        <w:rPr>
          <w:rFonts w:ascii="Arial" w:hAnsi="Arial" w:cs="Arial"/>
        </w:rPr>
        <w:t>Alara, J. A., &amp; Alara, O. R. (2024). An overview of the global alarming increase of multiple drug resistant: a major challenge in clinical diagnosis. </w:t>
      </w:r>
      <w:r w:rsidRPr="00A56A4D">
        <w:rPr>
          <w:rFonts w:ascii="Arial" w:hAnsi="Arial" w:cs="Arial"/>
          <w:i/>
          <w:iCs/>
        </w:rPr>
        <w:t xml:space="preserve">Infectious Disorders-Drug </w:t>
      </w:r>
      <w:proofErr w:type="spellStart"/>
      <w:r w:rsidRPr="00A56A4D">
        <w:rPr>
          <w:rFonts w:ascii="Arial" w:hAnsi="Arial" w:cs="Arial"/>
          <w:i/>
          <w:iCs/>
        </w:rPr>
        <w:t>TargetsDisorders</w:t>
      </w:r>
      <w:proofErr w:type="spellEnd"/>
      <w:r w:rsidRPr="00A56A4D">
        <w:rPr>
          <w:rFonts w:ascii="Arial" w:hAnsi="Arial" w:cs="Arial"/>
          <w:i/>
          <w:iCs/>
        </w:rPr>
        <w:t>)</w:t>
      </w:r>
      <w:r w:rsidRPr="00A56A4D">
        <w:rPr>
          <w:rFonts w:ascii="Arial" w:hAnsi="Arial" w:cs="Arial"/>
        </w:rPr>
        <w:t>, </w:t>
      </w:r>
      <w:r w:rsidRPr="00A56A4D">
        <w:rPr>
          <w:rFonts w:ascii="Arial" w:hAnsi="Arial" w:cs="Arial"/>
          <w:i/>
          <w:iCs/>
        </w:rPr>
        <w:t>24</w:t>
      </w:r>
      <w:r w:rsidRPr="00A56A4D">
        <w:rPr>
          <w:rFonts w:ascii="Arial" w:hAnsi="Arial" w:cs="Arial"/>
        </w:rPr>
        <w:t>(3), 26-42.</w:t>
      </w:r>
    </w:p>
    <w:p w14:paraId="18CCF2D1" w14:textId="77777777" w:rsidR="00E94A1F" w:rsidRDefault="00E94A1F" w:rsidP="00A56A4D">
      <w:pPr>
        <w:pStyle w:val="Body"/>
        <w:spacing w:after="0"/>
        <w:ind w:left="720" w:hanging="720"/>
        <w:rPr>
          <w:rFonts w:ascii="Arial" w:hAnsi="Arial" w:cs="Arial"/>
        </w:rPr>
      </w:pPr>
    </w:p>
    <w:p w14:paraId="14BB729C" w14:textId="77777777" w:rsidR="00E94A1F" w:rsidRDefault="00E94A1F" w:rsidP="00A56A4D">
      <w:pPr>
        <w:pStyle w:val="Body"/>
        <w:spacing w:after="0"/>
        <w:ind w:left="720" w:hanging="720"/>
        <w:rPr>
          <w:rFonts w:ascii="Arial" w:hAnsi="Arial" w:cs="Arial"/>
        </w:rPr>
      </w:pPr>
      <w:r w:rsidRPr="00A56A4D">
        <w:rPr>
          <w:rFonts w:ascii="Arial" w:hAnsi="Arial" w:cs="Arial"/>
        </w:rPr>
        <w:t>Ali, S., Nazir, F., Ahmad, M. U., Sarfraz, H., Sarwar, A., Aziz, T., ... &amp; Al-</w:t>
      </w:r>
      <w:proofErr w:type="spellStart"/>
      <w:r w:rsidRPr="00A56A4D">
        <w:rPr>
          <w:rFonts w:ascii="Arial" w:hAnsi="Arial" w:cs="Arial"/>
        </w:rPr>
        <w:t>Joufi</w:t>
      </w:r>
      <w:proofErr w:type="spellEnd"/>
      <w:r w:rsidRPr="00A56A4D">
        <w:rPr>
          <w:rFonts w:ascii="Arial" w:hAnsi="Arial" w:cs="Arial"/>
        </w:rPr>
        <w:t>, F. A. (2025). Isolation, Identification, biochemical and molecular characterization of potential source of enterotoxigenic strains of Staphylococcus aureus from the bovine raw and mastitis milk. </w:t>
      </w:r>
      <w:r w:rsidRPr="00A56A4D">
        <w:rPr>
          <w:rFonts w:ascii="Arial" w:hAnsi="Arial" w:cs="Arial"/>
          <w:i/>
          <w:iCs/>
        </w:rPr>
        <w:t>International Dairy Journal</w:t>
      </w:r>
      <w:r w:rsidRPr="00A56A4D">
        <w:rPr>
          <w:rFonts w:ascii="Arial" w:hAnsi="Arial" w:cs="Arial"/>
        </w:rPr>
        <w:t>, 106306.</w:t>
      </w:r>
    </w:p>
    <w:p w14:paraId="5912CC96" w14:textId="77777777" w:rsidR="00E94A1F" w:rsidRDefault="00E94A1F" w:rsidP="00A56A4D">
      <w:pPr>
        <w:pStyle w:val="Body"/>
        <w:spacing w:after="0"/>
        <w:ind w:left="720" w:hanging="720"/>
        <w:rPr>
          <w:rFonts w:ascii="Arial" w:hAnsi="Arial" w:cs="Arial"/>
        </w:rPr>
      </w:pPr>
    </w:p>
    <w:p w14:paraId="76288BEE" w14:textId="77777777" w:rsidR="00E94A1F" w:rsidRDefault="00E94A1F" w:rsidP="00A56A4D">
      <w:pPr>
        <w:pStyle w:val="Body"/>
        <w:spacing w:after="0"/>
        <w:ind w:left="720" w:hanging="720"/>
        <w:rPr>
          <w:rFonts w:ascii="Arial" w:hAnsi="Arial" w:cs="Arial"/>
        </w:rPr>
      </w:pPr>
      <w:r w:rsidRPr="00A56A4D">
        <w:rPr>
          <w:rFonts w:ascii="Arial" w:hAnsi="Arial" w:cs="Arial"/>
        </w:rPr>
        <w:t>Argaw, S., &amp; Addis, M. (2015). A review on staphylococcal food poisoning. </w:t>
      </w:r>
      <w:r w:rsidRPr="00A56A4D">
        <w:rPr>
          <w:rFonts w:ascii="Arial" w:hAnsi="Arial" w:cs="Arial"/>
          <w:i/>
          <w:iCs/>
        </w:rPr>
        <w:t>Food Science and Quality Management</w:t>
      </w:r>
      <w:r w:rsidRPr="00A56A4D">
        <w:rPr>
          <w:rFonts w:ascii="Arial" w:hAnsi="Arial" w:cs="Arial"/>
        </w:rPr>
        <w:t>, </w:t>
      </w:r>
      <w:r w:rsidRPr="00A56A4D">
        <w:rPr>
          <w:rFonts w:ascii="Arial" w:hAnsi="Arial" w:cs="Arial"/>
          <w:i/>
          <w:iCs/>
        </w:rPr>
        <w:t>40</w:t>
      </w:r>
      <w:r w:rsidRPr="00A56A4D">
        <w:rPr>
          <w:rFonts w:ascii="Arial" w:hAnsi="Arial" w:cs="Arial"/>
        </w:rPr>
        <w:t>(2015), 59-72.</w:t>
      </w:r>
    </w:p>
    <w:p w14:paraId="3E208C5F" w14:textId="77777777" w:rsidR="00E94A1F" w:rsidRDefault="00E94A1F" w:rsidP="00A56A4D">
      <w:pPr>
        <w:pStyle w:val="Body"/>
        <w:spacing w:after="0"/>
        <w:ind w:left="720" w:hanging="720"/>
        <w:rPr>
          <w:rFonts w:ascii="Arial" w:hAnsi="Arial" w:cs="Arial"/>
        </w:rPr>
      </w:pPr>
    </w:p>
    <w:p w14:paraId="0C8D31AF" w14:textId="77777777" w:rsidR="00E94A1F" w:rsidRDefault="00E94A1F" w:rsidP="00A56A4D">
      <w:pPr>
        <w:pStyle w:val="Body"/>
        <w:spacing w:after="0"/>
        <w:ind w:left="720" w:hanging="720"/>
        <w:rPr>
          <w:rFonts w:ascii="Arial" w:hAnsi="Arial" w:cs="Arial"/>
        </w:rPr>
      </w:pPr>
      <w:proofErr w:type="spellStart"/>
      <w:r w:rsidRPr="00A56A4D">
        <w:rPr>
          <w:rFonts w:ascii="Arial" w:hAnsi="Arial" w:cs="Arial"/>
        </w:rPr>
        <w:t>Argudín</w:t>
      </w:r>
      <w:proofErr w:type="spellEnd"/>
      <w:r w:rsidRPr="00A56A4D">
        <w:rPr>
          <w:rFonts w:ascii="Arial" w:hAnsi="Arial" w:cs="Arial"/>
        </w:rPr>
        <w:t xml:space="preserve">, M. A., Cariou, N., </w:t>
      </w:r>
      <w:proofErr w:type="spellStart"/>
      <w:r w:rsidRPr="00A56A4D">
        <w:rPr>
          <w:rFonts w:ascii="Arial" w:hAnsi="Arial" w:cs="Arial"/>
        </w:rPr>
        <w:t>Salandre</w:t>
      </w:r>
      <w:proofErr w:type="spellEnd"/>
      <w:r w:rsidRPr="00A56A4D">
        <w:rPr>
          <w:rFonts w:ascii="Arial" w:hAnsi="Arial" w:cs="Arial"/>
        </w:rPr>
        <w:t xml:space="preserve">, O., Le </w:t>
      </w:r>
      <w:proofErr w:type="spellStart"/>
      <w:r w:rsidRPr="00A56A4D">
        <w:rPr>
          <w:rFonts w:ascii="Arial" w:hAnsi="Arial" w:cs="Arial"/>
        </w:rPr>
        <w:t>Guennec</w:t>
      </w:r>
      <w:proofErr w:type="spellEnd"/>
      <w:r w:rsidRPr="00A56A4D">
        <w:rPr>
          <w:rFonts w:ascii="Arial" w:hAnsi="Arial" w:cs="Arial"/>
        </w:rPr>
        <w:t xml:space="preserve">, J., </w:t>
      </w:r>
      <w:proofErr w:type="spellStart"/>
      <w:r w:rsidRPr="00A56A4D">
        <w:rPr>
          <w:rFonts w:ascii="Arial" w:hAnsi="Arial" w:cs="Arial"/>
        </w:rPr>
        <w:t>Nemeghaire</w:t>
      </w:r>
      <w:proofErr w:type="spellEnd"/>
      <w:r w:rsidRPr="00A56A4D">
        <w:rPr>
          <w:rFonts w:ascii="Arial" w:hAnsi="Arial" w:cs="Arial"/>
        </w:rPr>
        <w:t xml:space="preserve">, S., &amp; </w:t>
      </w:r>
      <w:proofErr w:type="spellStart"/>
      <w:r w:rsidRPr="00A56A4D">
        <w:rPr>
          <w:rFonts w:ascii="Arial" w:hAnsi="Arial" w:cs="Arial"/>
        </w:rPr>
        <w:t>Butaye</w:t>
      </w:r>
      <w:proofErr w:type="spellEnd"/>
      <w:r w:rsidRPr="00A56A4D">
        <w:rPr>
          <w:rFonts w:ascii="Arial" w:hAnsi="Arial" w:cs="Arial"/>
        </w:rPr>
        <w:t>, P. (2013). Genotyping and antimicrobial resistance of Staphylococcus aureus isolates from diseased turkeys. </w:t>
      </w:r>
      <w:r w:rsidRPr="00A56A4D">
        <w:rPr>
          <w:rFonts w:ascii="Arial" w:hAnsi="Arial" w:cs="Arial"/>
          <w:i/>
          <w:iCs/>
        </w:rPr>
        <w:t>Avian pathology</w:t>
      </w:r>
      <w:r w:rsidRPr="00A56A4D">
        <w:rPr>
          <w:rFonts w:ascii="Arial" w:hAnsi="Arial" w:cs="Arial"/>
        </w:rPr>
        <w:t>, </w:t>
      </w:r>
      <w:r w:rsidRPr="00A56A4D">
        <w:rPr>
          <w:rFonts w:ascii="Arial" w:hAnsi="Arial" w:cs="Arial"/>
          <w:i/>
          <w:iCs/>
        </w:rPr>
        <w:t>42</w:t>
      </w:r>
      <w:r w:rsidRPr="00A56A4D">
        <w:rPr>
          <w:rFonts w:ascii="Arial" w:hAnsi="Arial" w:cs="Arial"/>
        </w:rPr>
        <w:t>(6), 572-580.</w:t>
      </w:r>
    </w:p>
    <w:p w14:paraId="3DE563EF" w14:textId="77777777" w:rsidR="00E94A1F" w:rsidRDefault="00E94A1F" w:rsidP="00A56A4D">
      <w:pPr>
        <w:pStyle w:val="Body"/>
        <w:spacing w:after="0"/>
        <w:ind w:left="720" w:hanging="720"/>
        <w:rPr>
          <w:rFonts w:ascii="Arial" w:hAnsi="Arial" w:cs="Arial"/>
        </w:rPr>
      </w:pPr>
    </w:p>
    <w:p w14:paraId="1FB7C2BE"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Beaumont, M., Subramanian, B., </w:t>
      </w:r>
      <w:proofErr w:type="spellStart"/>
      <w:r w:rsidRPr="00A56A4D">
        <w:rPr>
          <w:rFonts w:ascii="Arial" w:hAnsi="Arial" w:cs="Arial"/>
        </w:rPr>
        <w:t>Agwuh</w:t>
      </w:r>
      <w:proofErr w:type="spellEnd"/>
      <w:r w:rsidRPr="00A56A4D">
        <w:rPr>
          <w:rFonts w:ascii="Arial" w:hAnsi="Arial" w:cs="Arial"/>
        </w:rPr>
        <w:t xml:space="preserve">, K., Ryan, Y., &amp; Pichon, B. (2024). Clinical impact and public health challenges of a PVL-MRSA </w:t>
      </w:r>
      <w:proofErr w:type="spellStart"/>
      <w:r w:rsidRPr="00A56A4D">
        <w:rPr>
          <w:rFonts w:ascii="Arial" w:hAnsi="Arial" w:cs="Arial"/>
        </w:rPr>
        <w:t>bacteraemia</w:t>
      </w:r>
      <w:proofErr w:type="spellEnd"/>
      <w:r w:rsidRPr="00A56A4D">
        <w:rPr>
          <w:rFonts w:ascii="Arial" w:hAnsi="Arial" w:cs="Arial"/>
        </w:rPr>
        <w:t xml:space="preserve"> outbreak amongst people who inject drugs in South Yorkshire, UK. </w:t>
      </w:r>
      <w:r w:rsidRPr="00A56A4D">
        <w:rPr>
          <w:rFonts w:ascii="Arial" w:hAnsi="Arial" w:cs="Arial"/>
          <w:i/>
          <w:iCs/>
        </w:rPr>
        <w:t>Access Microbiology</w:t>
      </w:r>
      <w:r w:rsidRPr="00A56A4D">
        <w:rPr>
          <w:rFonts w:ascii="Arial" w:hAnsi="Arial" w:cs="Arial"/>
        </w:rPr>
        <w:t>, </w:t>
      </w:r>
      <w:r w:rsidRPr="00A56A4D">
        <w:rPr>
          <w:rFonts w:ascii="Arial" w:hAnsi="Arial" w:cs="Arial"/>
          <w:i/>
          <w:iCs/>
        </w:rPr>
        <w:t>6</w:t>
      </w:r>
      <w:r w:rsidRPr="00A56A4D">
        <w:rPr>
          <w:rFonts w:ascii="Arial" w:hAnsi="Arial" w:cs="Arial"/>
        </w:rPr>
        <w:t>(2), 000642-v3.</w:t>
      </w:r>
    </w:p>
    <w:p w14:paraId="0558DE67" w14:textId="77777777" w:rsidR="00E94A1F" w:rsidRDefault="00E94A1F" w:rsidP="00A56A4D">
      <w:pPr>
        <w:pStyle w:val="Body"/>
        <w:spacing w:after="0"/>
        <w:ind w:left="720" w:hanging="720"/>
        <w:rPr>
          <w:rFonts w:ascii="Arial" w:hAnsi="Arial" w:cs="Arial"/>
        </w:rPr>
      </w:pPr>
    </w:p>
    <w:p w14:paraId="67B6C764"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Ben Chehida, F., Tombari, W., </w:t>
      </w:r>
      <w:proofErr w:type="spellStart"/>
      <w:r w:rsidRPr="00A56A4D">
        <w:rPr>
          <w:rFonts w:ascii="Arial" w:hAnsi="Arial" w:cs="Arial"/>
        </w:rPr>
        <w:t>Gharsa</w:t>
      </w:r>
      <w:proofErr w:type="spellEnd"/>
      <w:r w:rsidRPr="00A56A4D">
        <w:rPr>
          <w:rFonts w:ascii="Arial" w:hAnsi="Arial" w:cs="Arial"/>
        </w:rPr>
        <w:t xml:space="preserve">, H., Rabia, Y., </w:t>
      </w:r>
      <w:proofErr w:type="spellStart"/>
      <w:r w:rsidRPr="00A56A4D">
        <w:rPr>
          <w:rFonts w:ascii="Arial" w:hAnsi="Arial" w:cs="Arial"/>
        </w:rPr>
        <w:t>Ferhi</w:t>
      </w:r>
      <w:proofErr w:type="spellEnd"/>
      <w:r w:rsidRPr="00A56A4D">
        <w:rPr>
          <w:rFonts w:ascii="Arial" w:hAnsi="Arial" w:cs="Arial"/>
        </w:rPr>
        <w:t xml:space="preserve">, S., </w:t>
      </w:r>
      <w:proofErr w:type="spellStart"/>
      <w:r w:rsidRPr="00A56A4D">
        <w:rPr>
          <w:rFonts w:ascii="Arial" w:hAnsi="Arial" w:cs="Arial"/>
        </w:rPr>
        <w:t>Jrad</w:t>
      </w:r>
      <w:proofErr w:type="spellEnd"/>
      <w:r w:rsidRPr="00A56A4D">
        <w:rPr>
          <w:rFonts w:ascii="Arial" w:hAnsi="Arial" w:cs="Arial"/>
        </w:rPr>
        <w:t>, M., &amp; Messadi, L. (2024). New Insights into Molecular Characterization, Antimicrobial Resistance and Virulence Factors of Methicillin-Sensitive Coagulase-Positive Staphylococcus spp. from Dogs with Pyoderma and Otitis Externa. </w:t>
      </w:r>
      <w:r w:rsidRPr="00A56A4D">
        <w:rPr>
          <w:rFonts w:ascii="Arial" w:hAnsi="Arial" w:cs="Arial"/>
          <w:i/>
          <w:iCs/>
        </w:rPr>
        <w:t>Microbiology Research</w:t>
      </w:r>
      <w:r w:rsidRPr="00A56A4D">
        <w:rPr>
          <w:rFonts w:ascii="Arial" w:hAnsi="Arial" w:cs="Arial"/>
        </w:rPr>
        <w:t>, </w:t>
      </w:r>
      <w:r w:rsidRPr="00A56A4D">
        <w:rPr>
          <w:rFonts w:ascii="Arial" w:hAnsi="Arial" w:cs="Arial"/>
          <w:i/>
          <w:iCs/>
        </w:rPr>
        <w:t>15</w:t>
      </w:r>
      <w:r w:rsidRPr="00A56A4D">
        <w:rPr>
          <w:rFonts w:ascii="Arial" w:hAnsi="Arial" w:cs="Arial"/>
        </w:rPr>
        <w:t>(3).</w:t>
      </w:r>
    </w:p>
    <w:p w14:paraId="1181B1FB" w14:textId="77777777" w:rsidR="00E94A1F" w:rsidRDefault="00E94A1F" w:rsidP="00A56A4D">
      <w:pPr>
        <w:pStyle w:val="Body"/>
        <w:spacing w:after="0"/>
        <w:ind w:left="720" w:hanging="720"/>
        <w:rPr>
          <w:rFonts w:ascii="Arial" w:hAnsi="Arial" w:cs="Arial"/>
        </w:rPr>
      </w:pPr>
    </w:p>
    <w:p w14:paraId="6A0C3565" w14:textId="77777777" w:rsidR="00E94A1F" w:rsidRDefault="00E94A1F" w:rsidP="00A56A4D">
      <w:pPr>
        <w:pStyle w:val="Body"/>
        <w:spacing w:after="0"/>
        <w:ind w:left="720" w:hanging="720"/>
        <w:rPr>
          <w:rFonts w:ascii="Arial" w:hAnsi="Arial" w:cs="Arial"/>
        </w:rPr>
      </w:pPr>
      <w:proofErr w:type="spellStart"/>
      <w:r w:rsidRPr="00A56A4D">
        <w:rPr>
          <w:rFonts w:ascii="Arial" w:hAnsi="Arial" w:cs="Arial"/>
        </w:rPr>
        <w:t>Berhilevych</w:t>
      </w:r>
      <w:proofErr w:type="spellEnd"/>
      <w:r w:rsidRPr="00A56A4D">
        <w:rPr>
          <w:rFonts w:ascii="Arial" w:hAnsi="Arial" w:cs="Arial"/>
        </w:rPr>
        <w:t>, O. М., Kasianchuk, V. V., Lotskin, I. М., Garkavenko, T. O., &amp; Shubin, P. A. (2017). Characteristics of antibiotic sensitivity of Staphylococcus aureus isolated from dairy farms in Ukraine. </w:t>
      </w:r>
      <w:r w:rsidRPr="00A56A4D">
        <w:rPr>
          <w:rFonts w:ascii="Arial" w:hAnsi="Arial" w:cs="Arial"/>
          <w:i/>
          <w:iCs/>
        </w:rPr>
        <w:t>Regulatory Mechanisms in Biosystems</w:t>
      </w:r>
      <w:r w:rsidRPr="00A56A4D">
        <w:rPr>
          <w:rFonts w:ascii="Arial" w:hAnsi="Arial" w:cs="Arial"/>
        </w:rPr>
        <w:t>, </w:t>
      </w:r>
      <w:r w:rsidRPr="00A56A4D">
        <w:rPr>
          <w:rFonts w:ascii="Arial" w:hAnsi="Arial" w:cs="Arial"/>
          <w:i/>
          <w:iCs/>
        </w:rPr>
        <w:t>4</w:t>
      </w:r>
      <w:r w:rsidRPr="00A56A4D">
        <w:rPr>
          <w:rFonts w:ascii="Arial" w:hAnsi="Arial" w:cs="Arial"/>
        </w:rPr>
        <w:t>(8), 559-563.</w:t>
      </w:r>
    </w:p>
    <w:p w14:paraId="0135D4ED" w14:textId="77777777" w:rsidR="00E94A1F" w:rsidRDefault="00E94A1F" w:rsidP="00A56A4D">
      <w:pPr>
        <w:pStyle w:val="Body"/>
        <w:spacing w:after="0"/>
        <w:ind w:left="720" w:hanging="720"/>
        <w:rPr>
          <w:rFonts w:ascii="Arial" w:hAnsi="Arial" w:cs="Arial"/>
        </w:rPr>
      </w:pPr>
    </w:p>
    <w:p w14:paraId="71695D5F"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Brakstad, O. G., </w:t>
      </w:r>
      <w:proofErr w:type="spellStart"/>
      <w:r w:rsidRPr="00A56A4D">
        <w:rPr>
          <w:rFonts w:ascii="Arial" w:hAnsi="Arial" w:cs="Arial"/>
        </w:rPr>
        <w:t>Aasbakk</w:t>
      </w:r>
      <w:proofErr w:type="spellEnd"/>
      <w:r w:rsidRPr="00A56A4D">
        <w:rPr>
          <w:rFonts w:ascii="Arial" w:hAnsi="Arial" w:cs="Arial"/>
        </w:rPr>
        <w:t xml:space="preserve">, K., &amp; </w:t>
      </w:r>
      <w:proofErr w:type="spellStart"/>
      <w:r w:rsidRPr="00A56A4D">
        <w:rPr>
          <w:rFonts w:ascii="Arial" w:hAnsi="Arial" w:cs="Arial"/>
        </w:rPr>
        <w:t>Maeland</w:t>
      </w:r>
      <w:proofErr w:type="spellEnd"/>
      <w:r w:rsidRPr="00A56A4D">
        <w:rPr>
          <w:rFonts w:ascii="Arial" w:hAnsi="Arial" w:cs="Arial"/>
        </w:rPr>
        <w:t xml:space="preserve">, J. A. (1992). Detection of Staphylococcus aureus by polymerase chain reaction amplification of the </w:t>
      </w:r>
      <w:proofErr w:type="spellStart"/>
      <w:r w:rsidRPr="00A56A4D">
        <w:rPr>
          <w:rFonts w:ascii="Arial" w:hAnsi="Arial" w:cs="Arial"/>
        </w:rPr>
        <w:t>nuc</w:t>
      </w:r>
      <w:proofErr w:type="spellEnd"/>
      <w:r w:rsidRPr="00A56A4D">
        <w:rPr>
          <w:rFonts w:ascii="Arial" w:hAnsi="Arial" w:cs="Arial"/>
        </w:rPr>
        <w:t xml:space="preserve"> gene. </w:t>
      </w:r>
      <w:r w:rsidRPr="00A56A4D">
        <w:rPr>
          <w:rFonts w:ascii="Arial" w:hAnsi="Arial" w:cs="Arial"/>
          <w:i/>
          <w:iCs/>
        </w:rPr>
        <w:t>Journal of clinical microbiology</w:t>
      </w:r>
      <w:r w:rsidRPr="00A56A4D">
        <w:rPr>
          <w:rFonts w:ascii="Arial" w:hAnsi="Arial" w:cs="Arial"/>
        </w:rPr>
        <w:t>, </w:t>
      </w:r>
      <w:r w:rsidRPr="00A56A4D">
        <w:rPr>
          <w:rFonts w:ascii="Arial" w:hAnsi="Arial" w:cs="Arial"/>
          <w:i/>
          <w:iCs/>
        </w:rPr>
        <w:t>30</w:t>
      </w:r>
      <w:r w:rsidRPr="00A56A4D">
        <w:rPr>
          <w:rFonts w:ascii="Arial" w:hAnsi="Arial" w:cs="Arial"/>
        </w:rPr>
        <w:t>(7), 1654-1660.</w:t>
      </w:r>
    </w:p>
    <w:p w14:paraId="7EC3BD27" w14:textId="77777777" w:rsidR="00E94A1F" w:rsidRDefault="00E94A1F" w:rsidP="00A56A4D">
      <w:pPr>
        <w:pStyle w:val="Body"/>
        <w:spacing w:after="0"/>
        <w:ind w:left="720" w:hanging="720"/>
        <w:rPr>
          <w:rFonts w:ascii="Arial" w:hAnsi="Arial" w:cs="Arial"/>
        </w:rPr>
      </w:pPr>
    </w:p>
    <w:p w14:paraId="7230051D" w14:textId="77777777" w:rsidR="00E94A1F" w:rsidRDefault="00E94A1F" w:rsidP="00A56A4D">
      <w:pPr>
        <w:pStyle w:val="Body"/>
        <w:spacing w:after="0"/>
        <w:ind w:left="720" w:hanging="720"/>
        <w:rPr>
          <w:rFonts w:ascii="Arial" w:hAnsi="Arial" w:cs="Arial"/>
        </w:rPr>
      </w:pPr>
      <w:r w:rsidRPr="00A56A4D">
        <w:rPr>
          <w:rFonts w:ascii="Arial" w:hAnsi="Arial" w:cs="Arial"/>
        </w:rPr>
        <w:t>Brown, D. F., Edwards, D. I., Hawkey, P. M., Morrison, D., Ridgway, G. L., Towner, K. J., &amp; Wren, M. W. (2005). Guidelines for the laboratory diagnosis and susceptibility testing of methicillin-resistant Staphylococcus aureus (MRSA). </w:t>
      </w:r>
      <w:r w:rsidRPr="00A56A4D">
        <w:rPr>
          <w:rFonts w:ascii="Arial" w:hAnsi="Arial" w:cs="Arial"/>
          <w:i/>
          <w:iCs/>
        </w:rPr>
        <w:t>Journal of antimicrobial chemotherapy</w:t>
      </w:r>
      <w:r w:rsidRPr="00A56A4D">
        <w:rPr>
          <w:rFonts w:ascii="Arial" w:hAnsi="Arial" w:cs="Arial"/>
        </w:rPr>
        <w:t>, </w:t>
      </w:r>
      <w:r w:rsidRPr="00A56A4D">
        <w:rPr>
          <w:rFonts w:ascii="Arial" w:hAnsi="Arial" w:cs="Arial"/>
          <w:i/>
          <w:iCs/>
        </w:rPr>
        <w:t>56</w:t>
      </w:r>
      <w:r w:rsidRPr="00A56A4D">
        <w:rPr>
          <w:rFonts w:ascii="Arial" w:hAnsi="Arial" w:cs="Arial"/>
        </w:rPr>
        <w:t>(6), 1000-1018.</w:t>
      </w:r>
    </w:p>
    <w:p w14:paraId="4912689B" w14:textId="77777777" w:rsidR="00E94A1F" w:rsidRDefault="00E94A1F" w:rsidP="00A56A4D">
      <w:pPr>
        <w:pStyle w:val="Body"/>
        <w:spacing w:after="0"/>
        <w:ind w:left="720" w:hanging="720"/>
        <w:rPr>
          <w:rFonts w:ascii="Arial" w:hAnsi="Arial" w:cs="Arial"/>
        </w:rPr>
      </w:pPr>
    </w:p>
    <w:p w14:paraId="37411043" w14:textId="77777777" w:rsidR="00E94A1F" w:rsidRDefault="00E94A1F" w:rsidP="00A56A4D">
      <w:pPr>
        <w:pStyle w:val="Body"/>
        <w:spacing w:after="0"/>
        <w:ind w:left="720" w:hanging="720"/>
        <w:rPr>
          <w:rFonts w:ascii="Arial" w:hAnsi="Arial" w:cs="Arial"/>
        </w:rPr>
      </w:pPr>
      <w:r w:rsidRPr="00A56A4D">
        <w:rPr>
          <w:rFonts w:ascii="Arial" w:hAnsi="Arial" w:cs="Arial"/>
        </w:rPr>
        <w:lastRenderedPageBreak/>
        <w:t>Chan, K. S., &amp; Shelat, V. G. (2024). The Ongoing Debate on the Use of Prophylactic Antibiotics in Acute Pancreatitis—Is There a Conclusion? A Comprehensive Narrative Review. </w:t>
      </w:r>
      <w:r w:rsidRPr="00A56A4D">
        <w:rPr>
          <w:rFonts w:ascii="Arial" w:hAnsi="Arial" w:cs="Arial"/>
          <w:i/>
          <w:iCs/>
        </w:rPr>
        <w:t>Antibiotics</w:t>
      </w:r>
      <w:r w:rsidRPr="00A56A4D">
        <w:rPr>
          <w:rFonts w:ascii="Arial" w:hAnsi="Arial" w:cs="Arial"/>
        </w:rPr>
        <w:t>, </w:t>
      </w:r>
      <w:r w:rsidRPr="00A56A4D">
        <w:rPr>
          <w:rFonts w:ascii="Arial" w:hAnsi="Arial" w:cs="Arial"/>
          <w:i/>
          <w:iCs/>
        </w:rPr>
        <w:t>13</w:t>
      </w:r>
      <w:r w:rsidRPr="00A56A4D">
        <w:rPr>
          <w:rFonts w:ascii="Arial" w:hAnsi="Arial" w:cs="Arial"/>
        </w:rPr>
        <w:t>(5), 411.</w:t>
      </w:r>
    </w:p>
    <w:p w14:paraId="6183C26A" w14:textId="77777777" w:rsidR="00E94A1F" w:rsidRDefault="00E94A1F" w:rsidP="00A56A4D">
      <w:pPr>
        <w:pStyle w:val="Body"/>
        <w:spacing w:after="0"/>
        <w:ind w:left="720" w:hanging="720"/>
        <w:rPr>
          <w:rFonts w:ascii="Arial" w:hAnsi="Arial" w:cs="Arial"/>
        </w:rPr>
      </w:pPr>
    </w:p>
    <w:p w14:paraId="5619B560" w14:textId="77777777" w:rsidR="00E94A1F" w:rsidRDefault="00E94A1F" w:rsidP="00A56A4D">
      <w:pPr>
        <w:pStyle w:val="Body"/>
        <w:spacing w:after="0"/>
        <w:ind w:left="720" w:hanging="720"/>
        <w:rPr>
          <w:rFonts w:ascii="Arial" w:hAnsi="Arial" w:cs="Arial"/>
        </w:rPr>
      </w:pPr>
      <w:r w:rsidRPr="00A56A4D">
        <w:rPr>
          <w:rFonts w:ascii="Arial" w:hAnsi="Arial" w:cs="Arial"/>
        </w:rPr>
        <w:t>Clinical and Laboratory Standards Institute, Methods for dilution antimicrobial susceptibility tests for bacteria that grow aerobically. M07 standard, 12th ed. Clinical and Laboratory Standards Institute, Wayne, PA, (2018)</w:t>
      </w:r>
    </w:p>
    <w:p w14:paraId="4DEBDCD2" w14:textId="77777777" w:rsidR="00E94A1F" w:rsidRDefault="00E94A1F" w:rsidP="00A56A4D">
      <w:pPr>
        <w:pStyle w:val="Body"/>
        <w:spacing w:after="0"/>
        <w:ind w:left="720" w:hanging="720"/>
        <w:rPr>
          <w:rFonts w:ascii="Arial" w:hAnsi="Arial" w:cs="Arial"/>
        </w:rPr>
      </w:pPr>
    </w:p>
    <w:p w14:paraId="33501851"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El-Jakee, J., Nagwa, A. S., Bakry, M., </w:t>
      </w:r>
      <w:proofErr w:type="spellStart"/>
      <w:r w:rsidRPr="00A56A4D">
        <w:rPr>
          <w:rFonts w:ascii="Arial" w:hAnsi="Arial" w:cs="Arial"/>
        </w:rPr>
        <w:t>Zouelfakar</w:t>
      </w:r>
      <w:proofErr w:type="spellEnd"/>
      <w:r w:rsidRPr="00A56A4D">
        <w:rPr>
          <w:rFonts w:ascii="Arial" w:hAnsi="Arial" w:cs="Arial"/>
        </w:rPr>
        <w:t xml:space="preserve">, S. A., </w:t>
      </w:r>
      <w:proofErr w:type="spellStart"/>
      <w:r w:rsidRPr="00A56A4D">
        <w:rPr>
          <w:rFonts w:ascii="Arial" w:hAnsi="Arial" w:cs="Arial"/>
        </w:rPr>
        <w:t>Elgabry</w:t>
      </w:r>
      <w:proofErr w:type="spellEnd"/>
      <w:r w:rsidRPr="00A56A4D">
        <w:rPr>
          <w:rFonts w:ascii="Arial" w:hAnsi="Arial" w:cs="Arial"/>
        </w:rPr>
        <w:t>, E., &amp; El-Said, W. G. (2008). Characteristics of Staphylococcus aureus strains isolated from human and animal sources. </w:t>
      </w:r>
      <w:r w:rsidRPr="00A56A4D">
        <w:rPr>
          <w:rFonts w:ascii="Arial" w:hAnsi="Arial" w:cs="Arial"/>
          <w:i/>
          <w:iCs/>
        </w:rPr>
        <w:t>American-Eurasian Journal of Agricultural &amp; Environmental Sciences</w:t>
      </w:r>
      <w:r w:rsidRPr="00A56A4D">
        <w:rPr>
          <w:rFonts w:ascii="Arial" w:hAnsi="Arial" w:cs="Arial"/>
        </w:rPr>
        <w:t>, </w:t>
      </w:r>
      <w:r w:rsidRPr="00A56A4D">
        <w:rPr>
          <w:rFonts w:ascii="Arial" w:hAnsi="Arial" w:cs="Arial"/>
          <w:i/>
          <w:iCs/>
        </w:rPr>
        <w:t>4</w:t>
      </w:r>
      <w:r w:rsidRPr="00A56A4D">
        <w:rPr>
          <w:rFonts w:ascii="Arial" w:hAnsi="Arial" w:cs="Arial"/>
        </w:rPr>
        <w:t>(2), 221-229.</w:t>
      </w:r>
    </w:p>
    <w:p w14:paraId="040711BD" w14:textId="77777777" w:rsidR="00E94A1F" w:rsidRDefault="00E94A1F" w:rsidP="00A56A4D">
      <w:pPr>
        <w:pStyle w:val="Body"/>
        <w:spacing w:after="0"/>
        <w:ind w:left="720" w:hanging="720"/>
        <w:rPr>
          <w:rFonts w:ascii="Arial" w:hAnsi="Arial" w:cs="Arial"/>
        </w:rPr>
      </w:pPr>
    </w:p>
    <w:p w14:paraId="22C1993E" w14:textId="77777777" w:rsidR="00E94A1F" w:rsidRDefault="00E94A1F" w:rsidP="00EA589D">
      <w:pPr>
        <w:pStyle w:val="Body"/>
        <w:spacing w:after="0"/>
        <w:ind w:left="720" w:hanging="720"/>
      </w:pPr>
      <w:r w:rsidRPr="00EA589D">
        <w:t>El-</w:t>
      </w:r>
      <w:proofErr w:type="spellStart"/>
      <w:r w:rsidRPr="00EA589D">
        <w:t>shenawy</w:t>
      </w:r>
      <w:proofErr w:type="spellEnd"/>
      <w:r w:rsidRPr="00EA589D">
        <w:t>, F., Ahmed, H. A., El-</w:t>
      </w:r>
      <w:proofErr w:type="spellStart"/>
      <w:r w:rsidRPr="00EA589D">
        <w:t>Shemy</w:t>
      </w:r>
      <w:proofErr w:type="spellEnd"/>
      <w:r w:rsidRPr="00EA589D">
        <w:t xml:space="preserve">, M. M., &amp; </w:t>
      </w:r>
      <w:proofErr w:type="spellStart"/>
      <w:r w:rsidRPr="00EA589D">
        <w:t>Talayea</w:t>
      </w:r>
      <w:proofErr w:type="spellEnd"/>
      <w:r w:rsidRPr="00EA589D">
        <w:t xml:space="preserve">, A. (2025). Genotyping of Methicillin-Resistant Staphylococcus aureus (MRSA) Isolated </w:t>
      </w:r>
      <w:proofErr w:type="gramStart"/>
      <w:r w:rsidRPr="00EA589D">
        <w:t>From</w:t>
      </w:r>
      <w:proofErr w:type="gramEnd"/>
      <w:r w:rsidRPr="00EA589D">
        <w:t xml:space="preserve"> Bovine Mastitis. </w:t>
      </w:r>
      <w:r w:rsidRPr="00EA589D">
        <w:rPr>
          <w:i/>
          <w:iCs/>
        </w:rPr>
        <w:t>Egyptian Journal of Veterinary Sciences</w:t>
      </w:r>
      <w:r w:rsidRPr="00EA589D">
        <w:t>, 1-12.</w:t>
      </w:r>
    </w:p>
    <w:p w14:paraId="20A30FA1" w14:textId="77777777" w:rsidR="00E94A1F" w:rsidRDefault="00E94A1F" w:rsidP="00EA589D">
      <w:pPr>
        <w:pStyle w:val="Body"/>
        <w:spacing w:after="0"/>
        <w:ind w:left="720" w:hanging="720"/>
      </w:pPr>
    </w:p>
    <w:p w14:paraId="7820B3BD" w14:textId="77777777" w:rsidR="00E94A1F" w:rsidRDefault="00E94A1F" w:rsidP="00A56A4D">
      <w:pPr>
        <w:pStyle w:val="Body"/>
        <w:spacing w:after="0"/>
        <w:ind w:left="720" w:hanging="720"/>
        <w:rPr>
          <w:rFonts w:ascii="Arial" w:hAnsi="Arial" w:cs="Arial"/>
        </w:rPr>
      </w:pPr>
      <w:r w:rsidRPr="00FB2BD8">
        <w:rPr>
          <w:rFonts w:ascii="Arial" w:hAnsi="Arial" w:cs="Arial"/>
        </w:rPr>
        <w:t>Freitas, J.K.G.R., de Assis, C.F., de Oliveira, T.R.M., de Sousa, B.J., de Medeiros Maia, C.M., Pereira, A.S.,</w:t>
      </w:r>
      <w:r>
        <w:rPr>
          <w:rFonts w:ascii="Arial" w:hAnsi="Arial" w:cs="Arial"/>
        </w:rPr>
        <w:t xml:space="preserve"> et al. </w:t>
      </w:r>
      <w:r w:rsidRPr="00A56A4D">
        <w:rPr>
          <w:rFonts w:ascii="Arial" w:hAnsi="Arial" w:cs="Arial"/>
        </w:rPr>
        <w:t>(2024). Global prevalence of staphylococcal enterotoxins in food contaminated by Staphylococcus spp.—Systematic review and meta</w:t>
      </w:r>
      <w:r w:rsidRPr="00A56A4D">
        <w:rPr>
          <w:rFonts w:ascii="Cambria Math" w:hAnsi="Cambria Math" w:cs="Cambria Math"/>
        </w:rPr>
        <w:t>‐</w:t>
      </w:r>
      <w:r w:rsidRPr="00A56A4D">
        <w:rPr>
          <w:rFonts w:ascii="Arial" w:hAnsi="Arial" w:cs="Arial"/>
        </w:rPr>
        <w:t>analysis. </w:t>
      </w:r>
      <w:r w:rsidRPr="00A56A4D">
        <w:rPr>
          <w:rFonts w:ascii="Arial" w:hAnsi="Arial" w:cs="Arial"/>
          <w:i/>
          <w:iCs/>
        </w:rPr>
        <w:t>Journal of Food Safety</w:t>
      </w:r>
      <w:r w:rsidRPr="00A56A4D">
        <w:rPr>
          <w:rFonts w:ascii="Arial" w:hAnsi="Arial" w:cs="Arial"/>
        </w:rPr>
        <w:t>, </w:t>
      </w:r>
      <w:r w:rsidRPr="00A56A4D">
        <w:rPr>
          <w:rFonts w:ascii="Arial" w:hAnsi="Arial" w:cs="Arial"/>
          <w:i/>
          <w:iCs/>
        </w:rPr>
        <w:t>44</w:t>
      </w:r>
      <w:r w:rsidRPr="00A56A4D">
        <w:rPr>
          <w:rFonts w:ascii="Arial" w:hAnsi="Arial" w:cs="Arial"/>
        </w:rPr>
        <w:t>(4), e13154.</w:t>
      </w:r>
    </w:p>
    <w:p w14:paraId="251D5F74" w14:textId="77777777" w:rsidR="00E94A1F" w:rsidRDefault="00E94A1F" w:rsidP="00A56A4D">
      <w:pPr>
        <w:pStyle w:val="Body"/>
        <w:spacing w:after="0"/>
        <w:ind w:left="720" w:hanging="720"/>
        <w:rPr>
          <w:rFonts w:ascii="Arial" w:hAnsi="Arial" w:cs="Arial"/>
        </w:rPr>
      </w:pPr>
    </w:p>
    <w:p w14:paraId="199C6029"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Grema, H. A., </w:t>
      </w:r>
      <w:proofErr w:type="spellStart"/>
      <w:r w:rsidRPr="00A56A4D">
        <w:rPr>
          <w:rFonts w:ascii="Arial" w:hAnsi="Arial" w:cs="Arial"/>
        </w:rPr>
        <w:t>Geidam</w:t>
      </w:r>
      <w:proofErr w:type="spellEnd"/>
      <w:r w:rsidRPr="00A56A4D">
        <w:rPr>
          <w:rFonts w:ascii="Arial" w:hAnsi="Arial" w:cs="Arial"/>
        </w:rPr>
        <w:t xml:space="preserve">, Y. A., </w:t>
      </w:r>
      <w:proofErr w:type="spellStart"/>
      <w:r w:rsidRPr="00A56A4D">
        <w:rPr>
          <w:rFonts w:ascii="Arial" w:hAnsi="Arial" w:cs="Arial"/>
        </w:rPr>
        <w:t>Gadzama</w:t>
      </w:r>
      <w:proofErr w:type="spellEnd"/>
      <w:r w:rsidRPr="00A56A4D">
        <w:rPr>
          <w:rFonts w:ascii="Arial" w:hAnsi="Arial" w:cs="Arial"/>
        </w:rPr>
        <w:t>, G. B., Ameh, J. A., &amp; Suleiman, A. (2015). Methicillin resistant Staphylococcus aureus (MRSA): a review.</w:t>
      </w:r>
    </w:p>
    <w:p w14:paraId="692E7367" w14:textId="77777777" w:rsidR="00E94A1F" w:rsidRDefault="00E94A1F" w:rsidP="00E94A1F">
      <w:pPr>
        <w:pStyle w:val="Body"/>
        <w:spacing w:after="0"/>
        <w:rPr>
          <w:rFonts w:ascii="Arial" w:hAnsi="Arial" w:cs="Arial"/>
        </w:rPr>
      </w:pPr>
    </w:p>
    <w:p w14:paraId="6BEFE314" w14:textId="77777777" w:rsidR="00E94A1F" w:rsidRDefault="00E94A1F" w:rsidP="00A56A4D">
      <w:pPr>
        <w:pStyle w:val="Body"/>
        <w:spacing w:after="0"/>
        <w:ind w:left="720" w:hanging="720"/>
        <w:rPr>
          <w:rFonts w:ascii="Arial" w:hAnsi="Arial" w:cs="Arial"/>
        </w:rPr>
      </w:pPr>
      <w:r w:rsidRPr="00A56A4D">
        <w:rPr>
          <w:rFonts w:ascii="Arial" w:hAnsi="Arial" w:cs="Arial"/>
        </w:rPr>
        <w:t>Jevons, M. P. (1961). “</w:t>
      </w:r>
      <w:proofErr w:type="spellStart"/>
      <w:r w:rsidRPr="00A56A4D">
        <w:rPr>
          <w:rFonts w:ascii="Arial" w:hAnsi="Arial" w:cs="Arial"/>
        </w:rPr>
        <w:t>Celbenin</w:t>
      </w:r>
      <w:proofErr w:type="spellEnd"/>
      <w:r w:rsidRPr="00A56A4D">
        <w:rPr>
          <w:rFonts w:ascii="Arial" w:hAnsi="Arial" w:cs="Arial"/>
        </w:rPr>
        <w:t>”-resistant staphylococci. </w:t>
      </w:r>
      <w:r w:rsidRPr="00A56A4D">
        <w:rPr>
          <w:rFonts w:ascii="Arial" w:hAnsi="Arial" w:cs="Arial"/>
          <w:i/>
          <w:iCs/>
        </w:rPr>
        <w:t>British medical journal</w:t>
      </w:r>
      <w:r w:rsidRPr="00A56A4D">
        <w:rPr>
          <w:rFonts w:ascii="Arial" w:hAnsi="Arial" w:cs="Arial"/>
        </w:rPr>
        <w:t>, </w:t>
      </w:r>
      <w:r w:rsidRPr="00A56A4D">
        <w:rPr>
          <w:rFonts w:ascii="Arial" w:hAnsi="Arial" w:cs="Arial"/>
          <w:i/>
          <w:iCs/>
        </w:rPr>
        <w:t>1</w:t>
      </w:r>
      <w:r w:rsidRPr="00A56A4D">
        <w:rPr>
          <w:rFonts w:ascii="Arial" w:hAnsi="Arial" w:cs="Arial"/>
        </w:rPr>
        <w:t>(5219), 124.</w:t>
      </w:r>
    </w:p>
    <w:p w14:paraId="57B1A1B2" w14:textId="77777777" w:rsidR="00E94A1F" w:rsidRDefault="00E94A1F" w:rsidP="00A56A4D">
      <w:pPr>
        <w:pStyle w:val="Body"/>
        <w:spacing w:after="0"/>
        <w:ind w:left="720" w:hanging="720"/>
        <w:rPr>
          <w:rFonts w:ascii="Arial" w:hAnsi="Arial" w:cs="Arial"/>
        </w:rPr>
      </w:pPr>
    </w:p>
    <w:p w14:paraId="6CE75FD6" w14:textId="77777777" w:rsidR="00E94A1F" w:rsidRDefault="00E94A1F" w:rsidP="00A56A4D">
      <w:pPr>
        <w:pStyle w:val="Body"/>
        <w:spacing w:after="0"/>
        <w:ind w:left="720" w:hanging="720"/>
        <w:rPr>
          <w:rFonts w:ascii="Arial" w:hAnsi="Arial" w:cs="Arial"/>
        </w:rPr>
      </w:pPr>
      <w:proofErr w:type="spellStart"/>
      <w:r w:rsidRPr="00A56A4D">
        <w:rPr>
          <w:rFonts w:ascii="Arial" w:hAnsi="Arial" w:cs="Arial"/>
        </w:rPr>
        <w:t>Kluytmans</w:t>
      </w:r>
      <w:proofErr w:type="spellEnd"/>
      <w:r w:rsidRPr="00A56A4D">
        <w:rPr>
          <w:rFonts w:ascii="Arial" w:hAnsi="Arial" w:cs="Arial"/>
        </w:rPr>
        <w:t xml:space="preserve">, J., &amp; </w:t>
      </w:r>
      <w:proofErr w:type="spellStart"/>
      <w:r w:rsidRPr="00A56A4D">
        <w:rPr>
          <w:rFonts w:ascii="Arial" w:hAnsi="Arial" w:cs="Arial"/>
        </w:rPr>
        <w:t>Struelens</w:t>
      </w:r>
      <w:proofErr w:type="spellEnd"/>
      <w:r w:rsidRPr="00A56A4D">
        <w:rPr>
          <w:rFonts w:ascii="Arial" w:hAnsi="Arial" w:cs="Arial"/>
        </w:rPr>
        <w:t xml:space="preserve">, M. (2009). </w:t>
      </w:r>
      <w:proofErr w:type="spellStart"/>
      <w:r w:rsidRPr="00A56A4D">
        <w:rPr>
          <w:rFonts w:ascii="Arial" w:hAnsi="Arial" w:cs="Arial"/>
        </w:rPr>
        <w:t>Meticillin</w:t>
      </w:r>
      <w:proofErr w:type="spellEnd"/>
      <w:r w:rsidRPr="00A56A4D">
        <w:rPr>
          <w:rFonts w:ascii="Arial" w:hAnsi="Arial" w:cs="Arial"/>
        </w:rPr>
        <w:t xml:space="preserve"> resistant Staphylococcus aureus in the hospital. </w:t>
      </w:r>
      <w:proofErr w:type="spellStart"/>
      <w:r w:rsidRPr="00A56A4D">
        <w:rPr>
          <w:rFonts w:ascii="Arial" w:hAnsi="Arial" w:cs="Arial"/>
          <w:i/>
          <w:iCs/>
        </w:rPr>
        <w:t>Bmj</w:t>
      </w:r>
      <w:proofErr w:type="spellEnd"/>
      <w:r w:rsidRPr="00A56A4D">
        <w:rPr>
          <w:rFonts w:ascii="Arial" w:hAnsi="Arial" w:cs="Arial"/>
        </w:rPr>
        <w:t>, </w:t>
      </w:r>
      <w:r w:rsidRPr="00A56A4D">
        <w:rPr>
          <w:rFonts w:ascii="Arial" w:hAnsi="Arial" w:cs="Arial"/>
          <w:i/>
          <w:iCs/>
        </w:rPr>
        <w:t>338</w:t>
      </w:r>
      <w:r w:rsidRPr="00A56A4D">
        <w:rPr>
          <w:rFonts w:ascii="Arial" w:hAnsi="Arial" w:cs="Arial"/>
        </w:rPr>
        <w:t>.</w:t>
      </w:r>
    </w:p>
    <w:p w14:paraId="746C3541" w14:textId="77777777" w:rsidR="00E94A1F" w:rsidRDefault="00E94A1F" w:rsidP="00A56A4D">
      <w:pPr>
        <w:pStyle w:val="Body"/>
        <w:spacing w:after="0"/>
        <w:ind w:left="720" w:hanging="720"/>
        <w:rPr>
          <w:rFonts w:ascii="Arial" w:hAnsi="Arial" w:cs="Arial"/>
        </w:rPr>
      </w:pPr>
    </w:p>
    <w:p w14:paraId="03549267"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Kumar, R., </w:t>
      </w:r>
      <w:proofErr w:type="spellStart"/>
      <w:r w:rsidRPr="00A56A4D">
        <w:rPr>
          <w:rFonts w:ascii="Arial" w:hAnsi="Arial" w:cs="Arial"/>
        </w:rPr>
        <w:t>Bhoker</w:t>
      </w:r>
      <w:proofErr w:type="spellEnd"/>
      <w:r w:rsidRPr="00A56A4D">
        <w:rPr>
          <w:rFonts w:ascii="Arial" w:hAnsi="Arial" w:cs="Arial"/>
        </w:rPr>
        <w:t xml:space="preserve">, A., Priya, B., &amp; Kumar, A. (2024). Ulcerative </w:t>
      </w:r>
      <w:proofErr w:type="spellStart"/>
      <w:r w:rsidRPr="00A56A4D">
        <w:rPr>
          <w:rFonts w:ascii="Arial" w:hAnsi="Arial" w:cs="Arial"/>
        </w:rPr>
        <w:t>Mammillitis</w:t>
      </w:r>
      <w:proofErr w:type="spellEnd"/>
      <w:r w:rsidRPr="00A56A4D">
        <w:rPr>
          <w:rFonts w:ascii="Arial" w:hAnsi="Arial" w:cs="Arial"/>
        </w:rPr>
        <w:t>. </w:t>
      </w:r>
      <w:r w:rsidRPr="00A56A4D">
        <w:rPr>
          <w:rFonts w:ascii="Arial" w:hAnsi="Arial" w:cs="Arial"/>
          <w:i/>
          <w:iCs/>
        </w:rPr>
        <w:t>Periparturient Diseases of Cattle</w:t>
      </w:r>
      <w:r w:rsidRPr="00A56A4D">
        <w:rPr>
          <w:rFonts w:ascii="Arial" w:hAnsi="Arial" w:cs="Arial"/>
        </w:rPr>
        <w:t>, 321-330.</w:t>
      </w:r>
    </w:p>
    <w:p w14:paraId="2A3A222C" w14:textId="77777777" w:rsidR="00E94A1F" w:rsidRDefault="00E94A1F" w:rsidP="00A56A4D">
      <w:pPr>
        <w:pStyle w:val="Body"/>
        <w:spacing w:after="0"/>
        <w:ind w:left="720" w:hanging="720"/>
        <w:rPr>
          <w:rFonts w:ascii="Arial" w:hAnsi="Arial" w:cs="Arial"/>
        </w:rPr>
      </w:pPr>
    </w:p>
    <w:p w14:paraId="5E811E0E"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Lindsay, J. A., &amp; Holden, M. T. (2004). Staphylococcus aureus: superbug, super </w:t>
      </w:r>
      <w:proofErr w:type="gramStart"/>
      <w:r w:rsidRPr="00A56A4D">
        <w:rPr>
          <w:rFonts w:ascii="Arial" w:hAnsi="Arial" w:cs="Arial"/>
        </w:rPr>
        <w:t>genome?.</w:t>
      </w:r>
      <w:proofErr w:type="gramEnd"/>
      <w:r w:rsidRPr="00A56A4D">
        <w:rPr>
          <w:rFonts w:ascii="Arial" w:hAnsi="Arial" w:cs="Arial"/>
        </w:rPr>
        <w:t> </w:t>
      </w:r>
      <w:r w:rsidRPr="00A56A4D">
        <w:rPr>
          <w:rFonts w:ascii="Arial" w:hAnsi="Arial" w:cs="Arial"/>
          <w:i/>
          <w:iCs/>
        </w:rPr>
        <w:t>Trends in microbiology</w:t>
      </w:r>
      <w:r w:rsidRPr="00A56A4D">
        <w:rPr>
          <w:rFonts w:ascii="Arial" w:hAnsi="Arial" w:cs="Arial"/>
        </w:rPr>
        <w:t>, </w:t>
      </w:r>
      <w:r w:rsidRPr="00A56A4D">
        <w:rPr>
          <w:rFonts w:ascii="Arial" w:hAnsi="Arial" w:cs="Arial"/>
          <w:i/>
          <w:iCs/>
        </w:rPr>
        <w:t>12</w:t>
      </w:r>
      <w:r w:rsidRPr="00A56A4D">
        <w:rPr>
          <w:rFonts w:ascii="Arial" w:hAnsi="Arial" w:cs="Arial"/>
        </w:rPr>
        <w:t>(8), 378-385.</w:t>
      </w:r>
    </w:p>
    <w:p w14:paraId="446AF334" w14:textId="77777777" w:rsidR="00E94A1F" w:rsidRDefault="00E94A1F" w:rsidP="00A56A4D">
      <w:pPr>
        <w:pStyle w:val="Body"/>
        <w:spacing w:after="0"/>
        <w:ind w:left="720" w:hanging="720"/>
        <w:rPr>
          <w:rFonts w:ascii="Arial" w:hAnsi="Arial" w:cs="Arial"/>
        </w:rPr>
      </w:pPr>
    </w:p>
    <w:p w14:paraId="1A6AF87A" w14:textId="77777777" w:rsidR="00E94A1F" w:rsidRDefault="00E94A1F" w:rsidP="00A56A4D">
      <w:pPr>
        <w:pStyle w:val="Body"/>
        <w:spacing w:after="0"/>
        <w:ind w:left="720" w:hanging="720"/>
        <w:rPr>
          <w:rFonts w:ascii="Arial" w:hAnsi="Arial" w:cs="Arial"/>
        </w:rPr>
      </w:pPr>
      <w:r w:rsidRPr="00A56A4D">
        <w:rPr>
          <w:rFonts w:ascii="Arial" w:hAnsi="Arial" w:cs="Arial"/>
        </w:rPr>
        <w:t>Linz, M. S., Mattappallil, A., Finkel, D., &amp; Parker, D. (2023). Clinical impact of Staphylococcus aureus skin and soft tissue infections. </w:t>
      </w:r>
      <w:r w:rsidRPr="00A56A4D">
        <w:rPr>
          <w:rFonts w:ascii="Arial" w:hAnsi="Arial" w:cs="Arial"/>
          <w:i/>
          <w:iCs/>
        </w:rPr>
        <w:t>Antibiotics</w:t>
      </w:r>
      <w:r w:rsidRPr="00A56A4D">
        <w:rPr>
          <w:rFonts w:ascii="Arial" w:hAnsi="Arial" w:cs="Arial"/>
        </w:rPr>
        <w:t>, </w:t>
      </w:r>
      <w:r w:rsidRPr="00A56A4D">
        <w:rPr>
          <w:rFonts w:ascii="Arial" w:hAnsi="Arial" w:cs="Arial"/>
          <w:i/>
          <w:iCs/>
        </w:rPr>
        <w:t>12</w:t>
      </w:r>
      <w:r w:rsidRPr="00A56A4D">
        <w:rPr>
          <w:rFonts w:ascii="Arial" w:hAnsi="Arial" w:cs="Arial"/>
        </w:rPr>
        <w:t>(3), 557.</w:t>
      </w:r>
    </w:p>
    <w:p w14:paraId="7D96A8A3" w14:textId="77777777" w:rsidR="00E94A1F" w:rsidRDefault="00E94A1F" w:rsidP="00A56A4D">
      <w:pPr>
        <w:pStyle w:val="Body"/>
        <w:spacing w:after="0"/>
        <w:ind w:left="720" w:hanging="720"/>
        <w:rPr>
          <w:rFonts w:ascii="Arial" w:hAnsi="Arial" w:cs="Arial"/>
        </w:rPr>
      </w:pPr>
    </w:p>
    <w:p w14:paraId="14CB0E54"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Mekuria, A., Asrat, D., </w:t>
      </w:r>
      <w:proofErr w:type="spellStart"/>
      <w:r w:rsidRPr="00A56A4D">
        <w:rPr>
          <w:rFonts w:ascii="Arial" w:hAnsi="Arial" w:cs="Arial"/>
        </w:rPr>
        <w:t>Woldeamanuel</w:t>
      </w:r>
      <w:proofErr w:type="spellEnd"/>
      <w:r w:rsidRPr="00A56A4D">
        <w:rPr>
          <w:rFonts w:ascii="Arial" w:hAnsi="Arial" w:cs="Arial"/>
        </w:rPr>
        <w:t>, Y., &amp; Tefera, G. (2013). Identification and antimicrobial susceptibility of Staphylococcus aureus isolated from milk samples of dairy cows and nasal swabs of farm workers in selected dairy farms around Addis Ababa, Ethiopia. </w:t>
      </w:r>
      <w:proofErr w:type="spellStart"/>
      <w:r w:rsidRPr="00A56A4D">
        <w:rPr>
          <w:rFonts w:ascii="Arial" w:hAnsi="Arial" w:cs="Arial"/>
          <w:i/>
          <w:iCs/>
        </w:rPr>
        <w:t>Afr</w:t>
      </w:r>
      <w:proofErr w:type="spellEnd"/>
      <w:r w:rsidRPr="00A56A4D">
        <w:rPr>
          <w:rFonts w:ascii="Arial" w:hAnsi="Arial" w:cs="Arial"/>
          <w:i/>
          <w:iCs/>
        </w:rPr>
        <w:t xml:space="preserve"> J Microbiol Res</w:t>
      </w:r>
      <w:r w:rsidRPr="00A56A4D">
        <w:rPr>
          <w:rFonts w:ascii="Arial" w:hAnsi="Arial" w:cs="Arial"/>
        </w:rPr>
        <w:t>, </w:t>
      </w:r>
      <w:r w:rsidRPr="00A56A4D">
        <w:rPr>
          <w:rFonts w:ascii="Arial" w:hAnsi="Arial" w:cs="Arial"/>
          <w:i/>
          <w:iCs/>
        </w:rPr>
        <w:t>7</w:t>
      </w:r>
      <w:r w:rsidRPr="00A56A4D">
        <w:rPr>
          <w:rFonts w:ascii="Arial" w:hAnsi="Arial" w:cs="Arial"/>
        </w:rPr>
        <w:t>(27), 3501-3510.</w:t>
      </w:r>
    </w:p>
    <w:p w14:paraId="2FAEC43A" w14:textId="77777777" w:rsidR="00E94A1F" w:rsidRDefault="00E94A1F" w:rsidP="00A56A4D">
      <w:pPr>
        <w:pStyle w:val="Body"/>
        <w:spacing w:after="0"/>
        <w:ind w:left="720" w:hanging="720"/>
        <w:rPr>
          <w:rFonts w:ascii="Arial" w:hAnsi="Arial" w:cs="Arial"/>
        </w:rPr>
      </w:pPr>
    </w:p>
    <w:p w14:paraId="4CF17439" w14:textId="77777777" w:rsidR="00E94A1F" w:rsidRDefault="00E94A1F" w:rsidP="00EA589D">
      <w:pPr>
        <w:pStyle w:val="Body"/>
        <w:spacing w:after="0"/>
        <w:ind w:left="720" w:hanging="720"/>
        <w:rPr>
          <w:rFonts w:ascii="Arial" w:hAnsi="Arial" w:cs="Arial"/>
        </w:rPr>
      </w:pPr>
      <w:r w:rsidRPr="00786323">
        <w:rPr>
          <w:rFonts w:ascii="Arial" w:hAnsi="Arial" w:cs="Arial"/>
        </w:rPr>
        <w:t>Muwonge, K. M., Ndagire, H., Mulindwa, J., &amp; Twesigye, C. K. (2025). Multiple antimicrobial resistance indices of Staphylococcus aureus from the nares of goats and slaughterhouse attendants in Kampala city, Uganda–a cross sectional study. </w:t>
      </w:r>
      <w:r w:rsidRPr="00786323">
        <w:rPr>
          <w:rFonts w:ascii="Arial" w:hAnsi="Arial" w:cs="Arial"/>
          <w:i/>
          <w:iCs/>
        </w:rPr>
        <w:t>BMC microbiology</w:t>
      </w:r>
      <w:r w:rsidRPr="00786323">
        <w:rPr>
          <w:rFonts w:ascii="Arial" w:hAnsi="Arial" w:cs="Arial"/>
        </w:rPr>
        <w:t>, </w:t>
      </w:r>
      <w:r w:rsidRPr="00786323">
        <w:rPr>
          <w:rFonts w:ascii="Arial" w:hAnsi="Arial" w:cs="Arial"/>
          <w:i/>
          <w:iCs/>
        </w:rPr>
        <w:t>25</w:t>
      </w:r>
      <w:r w:rsidRPr="00786323">
        <w:rPr>
          <w:rFonts w:ascii="Arial" w:hAnsi="Arial" w:cs="Arial"/>
        </w:rPr>
        <w:t>(1), 162.</w:t>
      </w:r>
    </w:p>
    <w:p w14:paraId="56D828E9" w14:textId="77777777" w:rsidR="00E94A1F" w:rsidRPr="00EA589D" w:rsidRDefault="00E94A1F" w:rsidP="00EA589D">
      <w:pPr>
        <w:pStyle w:val="Body"/>
        <w:spacing w:after="0"/>
        <w:ind w:left="720" w:hanging="720"/>
        <w:rPr>
          <w:rFonts w:ascii="Arial" w:hAnsi="Arial" w:cs="Arial"/>
        </w:rPr>
      </w:pPr>
    </w:p>
    <w:p w14:paraId="66048206"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Nema, V., Agrawal, R., Kamboj, D. V., Goel, A. K., &amp; Singh, L. (2007). Isolation and characterization of heat resistant enterotoxigenic Staphylococcus aureus from a </w:t>
      </w:r>
      <w:r w:rsidRPr="00A56A4D">
        <w:rPr>
          <w:rFonts w:ascii="Arial" w:hAnsi="Arial" w:cs="Arial"/>
        </w:rPr>
        <w:lastRenderedPageBreak/>
        <w:t>food poisoning outbreak in Indian subcontinent.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117</w:t>
      </w:r>
      <w:r w:rsidRPr="00A56A4D">
        <w:rPr>
          <w:rFonts w:ascii="Arial" w:hAnsi="Arial" w:cs="Arial"/>
        </w:rPr>
        <w:t>(1), 29-35.</w:t>
      </w:r>
    </w:p>
    <w:p w14:paraId="328003D0" w14:textId="77777777" w:rsidR="00E94A1F" w:rsidRDefault="00E94A1F" w:rsidP="00A56A4D">
      <w:pPr>
        <w:pStyle w:val="Body"/>
        <w:spacing w:after="0"/>
        <w:ind w:left="720" w:hanging="720"/>
        <w:rPr>
          <w:rFonts w:ascii="Arial" w:hAnsi="Arial" w:cs="Arial"/>
        </w:rPr>
      </w:pPr>
    </w:p>
    <w:p w14:paraId="55FD1FC8" w14:textId="77777777" w:rsidR="00E94A1F" w:rsidRDefault="00E94A1F" w:rsidP="00A56A4D">
      <w:pPr>
        <w:pStyle w:val="Body"/>
        <w:spacing w:after="0"/>
        <w:ind w:left="720" w:hanging="720"/>
        <w:rPr>
          <w:rFonts w:ascii="Arial" w:hAnsi="Arial" w:cs="Arial"/>
        </w:rPr>
      </w:pPr>
      <w:r w:rsidRPr="00A56A4D">
        <w:rPr>
          <w:rFonts w:ascii="Arial" w:hAnsi="Arial" w:cs="Arial"/>
        </w:rPr>
        <w:t>Nema, V., Agrawal, R., Kamboj, D. V., Goel, A. K., &amp; Singh, L. (2007). Isolation and characterization of heat resistant enterotoxigenic Staphylococcus aureus from a food poisoning outbreak in Indian subcontinent.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117</w:t>
      </w:r>
      <w:r w:rsidRPr="00A56A4D">
        <w:rPr>
          <w:rFonts w:ascii="Arial" w:hAnsi="Arial" w:cs="Arial"/>
        </w:rPr>
        <w:t>(1), 29-35.</w:t>
      </w:r>
    </w:p>
    <w:p w14:paraId="64A07A7B" w14:textId="77777777" w:rsidR="00E94A1F" w:rsidRDefault="00E94A1F" w:rsidP="00A56A4D">
      <w:pPr>
        <w:pStyle w:val="Body"/>
        <w:spacing w:after="0"/>
        <w:ind w:left="720" w:hanging="720"/>
        <w:rPr>
          <w:rFonts w:ascii="Arial" w:hAnsi="Arial" w:cs="Arial"/>
        </w:rPr>
      </w:pPr>
    </w:p>
    <w:p w14:paraId="6AB9224E" w14:textId="77777777" w:rsidR="00E94A1F" w:rsidRDefault="00E94A1F" w:rsidP="00A56A4D">
      <w:pPr>
        <w:pStyle w:val="Body"/>
        <w:spacing w:after="0"/>
        <w:ind w:left="720" w:hanging="720"/>
        <w:rPr>
          <w:rFonts w:ascii="Arial" w:hAnsi="Arial" w:cs="Arial"/>
        </w:rPr>
      </w:pPr>
      <w:r w:rsidRPr="00A56A4D">
        <w:rPr>
          <w:rFonts w:ascii="Arial" w:hAnsi="Arial" w:cs="Arial"/>
        </w:rPr>
        <w:t>Normanno, G., Corrente, M., La Salandra, G., Dambrosio, A. N. G. E. L. A., Quaglia, N. C., Parisi, A., ... &amp; Celano, G. V. (2007). Methicillin-resistant Staphylococcus aureus (MRSA) in foods of animal origin product in Italy.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117</w:t>
      </w:r>
      <w:r w:rsidRPr="00A56A4D">
        <w:rPr>
          <w:rFonts w:ascii="Arial" w:hAnsi="Arial" w:cs="Arial"/>
        </w:rPr>
        <w:t>(2), 219-222.</w:t>
      </w:r>
    </w:p>
    <w:p w14:paraId="203F2A50" w14:textId="77777777" w:rsidR="00E94A1F" w:rsidRDefault="00E94A1F" w:rsidP="00A56A4D">
      <w:pPr>
        <w:pStyle w:val="Body"/>
        <w:spacing w:after="0"/>
        <w:ind w:left="720" w:hanging="720"/>
        <w:rPr>
          <w:rFonts w:ascii="Arial" w:hAnsi="Arial" w:cs="Arial"/>
        </w:rPr>
      </w:pPr>
    </w:p>
    <w:p w14:paraId="5B6604B1"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Normanno, G., </w:t>
      </w:r>
      <w:proofErr w:type="spellStart"/>
      <w:r w:rsidRPr="00A56A4D">
        <w:rPr>
          <w:rFonts w:ascii="Arial" w:hAnsi="Arial" w:cs="Arial"/>
        </w:rPr>
        <w:t>Firinu</w:t>
      </w:r>
      <w:proofErr w:type="spellEnd"/>
      <w:r w:rsidRPr="00A56A4D">
        <w:rPr>
          <w:rFonts w:ascii="Arial" w:hAnsi="Arial" w:cs="Arial"/>
        </w:rPr>
        <w:t xml:space="preserve">, A., Virgilio, S., Mula, G., Dambrosio, A., </w:t>
      </w:r>
      <w:proofErr w:type="spellStart"/>
      <w:r w:rsidRPr="00A56A4D">
        <w:rPr>
          <w:rFonts w:ascii="Arial" w:hAnsi="Arial" w:cs="Arial"/>
        </w:rPr>
        <w:t>Poggiu</w:t>
      </w:r>
      <w:proofErr w:type="spellEnd"/>
      <w:r w:rsidRPr="00A56A4D">
        <w:rPr>
          <w:rFonts w:ascii="Arial" w:hAnsi="Arial" w:cs="Arial"/>
        </w:rPr>
        <w:t>, A., ... &amp; Celano, G. V. (2005). Coagulase-positive Staphylococci and Staphylococcus aureus in food products marketed in Italy.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98</w:t>
      </w:r>
      <w:r w:rsidRPr="00A56A4D">
        <w:rPr>
          <w:rFonts w:ascii="Arial" w:hAnsi="Arial" w:cs="Arial"/>
        </w:rPr>
        <w:t>(1), 73-79.</w:t>
      </w:r>
    </w:p>
    <w:p w14:paraId="6B233824" w14:textId="77777777" w:rsidR="00E94A1F" w:rsidRDefault="00E94A1F" w:rsidP="00A56A4D">
      <w:pPr>
        <w:pStyle w:val="Body"/>
        <w:spacing w:after="0"/>
        <w:ind w:left="720" w:hanging="720"/>
        <w:rPr>
          <w:rFonts w:ascii="Arial" w:hAnsi="Arial" w:cs="Arial"/>
        </w:rPr>
      </w:pPr>
    </w:p>
    <w:p w14:paraId="73CEEBE4"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Pal, M., </w:t>
      </w:r>
      <w:proofErr w:type="spellStart"/>
      <w:r w:rsidRPr="00A56A4D">
        <w:rPr>
          <w:rFonts w:ascii="Arial" w:hAnsi="Arial" w:cs="Arial"/>
        </w:rPr>
        <w:t>Kerorsa</w:t>
      </w:r>
      <w:proofErr w:type="spellEnd"/>
      <w:r w:rsidRPr="00A56A4D">
        <w:rPr>
          <w:rFonts w:ascii="Arial" w:hAnsi="Arial" w:cs="Arial"/>
        </w:rPr>
        <w:t>, G. B., Marami, L. M., &amp; Kandi, V. (2020). Epidemiology, pathogenicity, animal infections, antibiotic resistance, public health significance, and economic impact of staphylococcus aureus: a comprehensive review. </w:t>
      </w:r>
      <w:r w:rsidRPr="00A56A4D">
        <w:rPr>
          <w:rFonts w:ascii="Arial" w:hAnsi="Arial" w:cs="Arial"/>
          <w:i/>
          <w:iCs/>
        </w:rPr>
        <w:t>American Journal of Public Health Research</w:t>
      </w:r>
      <w:r w:rsidRPr="00A56A4D">
        <w:rPr>
          <w:rFonts w:ascii="Arial" w:hAnsi="Arial" w:cs="Arial"/>
        </w:rPr>
        <w:t>, </w:t>
      </w:r>
      <w:r w:rsidRPr="00A56A4D">
        <w:rPr>
          <w:rFonts w:ascii="Arial" w:hAnsi="Arial" w:cs="Arial"/>
          <w:i/>
          <w:iCs/>
        </w:rPr>
        <w:t>8</w:t>
      </w:r>
      <w:r w:rsidRPr="00A56A4D">
        <w:rPr>
          <w:rFonts w:ascii="Arial" w:hAnsi="Arial" w:cs="Arial"/>
        </w:rPr>
        <w:t>(1), 14-21.</w:t>
      </w:r>
    </w:p>
    <w:p w14:paraId="1142163C" w14:textId="77777777" w:rsidR="00E94A1F" w:rsidRDefault="00E94A1F" w:rsidP="00A56A4D">
      <w:pPr>
        <w:pStyle w:val="Body"/>
        <w:spacing w:after="0"/>
        <w:ind w:left="720" w:hanging="720"/>
        <w:rPr>
          <w:rFonts w:ascii="Arial" w:hAnsi="Arial" w:cs="Arial"/>
        </w:rPr>
      </w:pPr>
    </w:p>
    <w:p w14:paraId="643C71C0"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Pal, M., </w:t>
      </w:r>
      <w:proofErr w:type="spellStart"/>
      <w:r w:rsidRPr="00A56A4D">
        <w:rPr>
          <w:rFonts w:ascii="Arial" w:hAnsi="Arial" w:cs="Arial"/>
        </w:rPr>
        <w:t>Shuramo</w:t>
      </w:r>
      <w:proofErr w:type="spellEnd"/>
      <w:r w:rsidRPr="00A56A4D">
        <w:rPr>
          <w:rFonts w:ascii="Arial" w:hAnsi="Arial" w:cs="Arial"/>
        </w:rPr>
        <w:t>, M. Y., Tewari, A., Srivastava, J. P., &amp; Steinmetz, C. H. (2023). Staphylococcus aureus from a commensal to zoonotic pathogen: a critical appraisal. </w:t>
      </w:r>
      <w:r w:rsidRPr="00A56A4D">
        <w:rPr>
          <w:rFonts w:ascii="Arial" w:hAnsi="Arial" w:cs="Arial"/>
          <w:i/>
          <w:iCs/>
        </w:rPr>
        <w:t>International Journal of Clinical and Experimental Medicine Research</w:t>
      </w:r>
      <w:r w:rsidRPr="00A56A4D">
        <w:rPr>
          <w:rFonts w:ascii="Arial" w:hAnsi="Arial" w:cs="Arial"/>
        </w:rPr>
        <w:t>, </w:t>
      </w:r>
      <w:r w:rsidRPr="00A56A4D">
        <w:rPr>
          <w:rFonts w:ascii="Arial" w:hAnsi="Arial" w:cs="Arial"/>
          <w:i/>
          <w:iCs/>
        </w:rPr>
        <w:t>7</w:t>
      </w:r>
      <w:r w:rsidRPr="00A56A4D">
        <w:rPr>
          <w:rFonts w:ascii="Arial" w:hAnsi="Arial" w:cs="Arial"/>
        </w:rPr>
        <w:t>(2).</w:t>
      </w:r>
    </w:p>
    <w:p w14:paraId="6E9E9CB9" w14:textId="77777777" w:rsidR="00E94A1F" w:rsidRDefault="00E94A1F" w:rsidP="00A56A4D">
      <w:pPr>
        <w:pStyle w:val="Body"/>
        <w:spacing w:after="0"/>
        <w:ind w:left="720" w:hanging="720"/>
        <w:rPr>
          <w:rFonts w:ascii="Arial" w:hAnsi="Arial" w:cs="Arial"/>
        </w:rPr>
      </w:pPr>
    </w:p>
    <w:p w14:paraId="7DE4D08D"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Papadopoulos, P., Papadopoulos, T., Angelidis, A. S., </w:t>
      </w:r>
      <w:proofErr w:type="spellStart"/>
      <w:r w:rsidRPr="00A56A4D">
        <w:rPr>
          <w:rFonts w:ascii="Arial" w:hAnsi="Arial" w:cs="Arial"/>
        </w:rPr>
        <w:t>Boukouvala</w:t>
      </w:r>
      <w:proofErr w:type="spellEnd"/>
      <w:r w:rsidRPr="00A56A4D">
        <w:rPr>
          <w:rFonts w:ascii="Arial" w:hAnsi="Arial" w:cs="Arial"/>
        </w:rPr>
        <w:t xml:space="preserve">, E., </w:t>
      </w:r>
      <w:proofErr w:type="spellStart"/>
      <w:r w:rsidRPr="00A56A4D">
        <w:rPr>
          <w:rFonts w:ascii="Arial" w:hAnsi="Arial" w:cs="Arial"/>
        </w:rPr>
        <w:t>Zdragas</w:t>
      </w:r>
      <w:proofErr w:type="spellEnd"/>
      <w:r w:rsidRPr="00A56A4D">
        <w:rPr>
          <w:rFonts w:ascii="Arial" w:hAnsi="Arial" w:cs="Arial"/>
        </w:rPr>
        <w:t xml:space="preserve">, A., Papa, A., ... &amp; </w:t>
      </w:r>
      <w:proofErr w:type="spellStart"/>
      <w:r w:rsidRPr="00A56A4D">
        <w:rPr>
          <w:rFonts w:ascii="Arial" w:hAnsi="Arial" w:cs="Arial"/>
        </w:rPr>
        <w:t>Sergelidis</w:t>
      </w:r>
      <w:proofErr w:type="spellEnd"/>
      <w:r w:rsidRPr="00A56A4D">
        <w:rPr>
          <w:rFonts w:ascii="Arial" w:hAnsi="Arial" w:cs="Arial"/>
        </w:rPr>
        <w:t>, D. (2018). Prevalence of Staphylococcus aureus and of methicillin-resistant S. aureus (MRSA) along the production chain of dairy products in north-western Greece. </w:t>
      </w:r>
      <w:r w:rsidRPr="00A56A4D">
        <w:rPr>
          <w:rFonts w:ascii="Arial" w:hAnsi="Arial" w:cs="Arial"/>
          <w:i/>
          <w:iCs/>
        </w:rPr>
        <w:t>Food microbiology</w:t>
      </w:r>
      <w:r w:rsidRPr="00A56A4D">
        <w:rPr>
          <w:rFonts w:ascii="Arial" w:hAnsi="Arial" w:cs="Arial"/>
        </w:rPr>
        <w:t>, </w:t>
      </w:r>
      <w:r w:rsidRPr="00A56A4D">
        <w:rPr>
          <w:rFonts w:ascii="Arial" w:hAnsi="Arial" w:cs="Arial"/>
          <w:i/>
          <w:iCs/>
        </w:rPr>
        <w:t>69</w:t>
      </w:r>
      <w:r w:rsidRPr="00A56A4D">
        <w:rPr>
          <w:rFonts w:ascii="Arial" w:hAnsi="Arial" w:cs="Arial"/>
        </w:rPr>
        <w:t>, 43-50.</w:t>
      </w:r>
    </w:p>
    <w:p w14:paraId="5BBEE2B7" w14:textId="77777777" w:rsidR="00E94A1F" w:rsidRDefault="00E94A1F" w:rsidP="00A56A4D">
      <w:pPr>
        <w:pStyle w:val="Body"/>
        <w:spacing w:after="0"/>
        <w:ind w:left="720" w:hanging="720"/>
        <w:rPr>
          <w:rFonts w:ascii="Arial" w:hAnsi="Arial" w:cs="Arial"/>
        </w:rPr>
      </w:pPr>
    </w:p>
    <w:p w14:paraId="4E21B073" w14:textId="77777777" w:rsidR="00E94A1F" w:rsidRDefault="00E94A1F" w:rsidP="00A56A4D">
      <w:pPr>
        <w:pStyle w:val="Body"/>
        <w:spacing w:after="0"/>
        <w:ind w:left="720" w:hanging="720"/>
        <w:rPr>
          <w:rFonts w:ascii="Arial" w:hAnsi="Arial" w:cs="Arial"/>
        </w:rPr>
      </w:pPr>
      <w:r w:rsidRPr="00A56A4D">
        <w:rPr>
          <w:rFonts w:ascii="Arial" w:hAnsi="Arial" w:cs="Arial"/>
        </w:rPr>
        <w:t>Parasuraman, P., Busi, S., &amp; Lee, J. K. (2024). Standard microbiological techniques (staining, morphological and cultural characteristics, biochemical properties, and serotyping) in the detection of ESKAPE pathogens. In </w:t>
      </w:r>
      <w:r w:rsidRPr="00A56A4D">
        <w:rPr>
          <w:rFonts w:ascii="Arial" w:hAnsi="Arial" w:cs="Arial"/>
          <w:i/>
          <w:iCs/>
        </w:rPr>
        <w:t>ESKAPE Pathogens: Detection, Mechanisms and Treatment Strategies</w:t>
      </w:r>
      <w:r w:rsidRPr="00A56A4D">
        <w:rPr>
          <w:rFonts w:ascii="Arial" w:hAnsi="Arial" w:cs="Arial"/>
        </w:rPr>
        <w:t> (pp. 119-155). Singapore: Springer Nature Singapore.</w:t>
      </w:r>
    </w:p>
    <w:p w14:paraId="0986FC8E" w14:textId="77777777" w:rsidR="00E94A1F" w:rsidRDefault="00E94A1F" w:rsidP="00A56A4D">
      <w:pPr>
        <w:pStyle w:val="Body"/>
        <w:spacing w:after="0"/>
        <w:ind w:left="720" w:hanging="720"/>
        <w:rPr>
          <w:rFonts w:ascii="Arial" w:hAnsi="Arial" w:cs="Arial"/>
        </w:rPr>
      </w:pPr>
    </w:p>
    <w:p w14:paraId="7D7B1619" w14:textId="77777777" w:rsidR="00E94A1F" w:rsidRDefault="00E94A1F" w:rsidP="00A56A4D">
      <w:pPr>
        <w:pStyle w:val="Body"/>
        <w:spacing w:after="0"/>
        <w:ind w:left="720" w:hanging="720"/>
        <w:rPr>
          <w:rFonts w:ascii="Arial" w:hAnsi="Arial" w:cs="Arial"/>
        </w:rPr>
      </w:pPr>
      <w:r w:rsidRPr="00A56A4D">
        <w:rPr>
          <w:rFonts w:ascii="Arial" w:hAnsi="Arial" w:cs="Arial"/>
        </w:rPr>
        <w:t>Peacock, S. J., &amp; Paterson, G. K. (2015). Mechanisms of methicillin resistance in Staphylococcus aureus. </w:t>
      </w:r>
      <w:r w:rsidRPr="00A56A4D">
        <w:rPr>
          <w:rFonts w:ascii="Arial" w:hAnsi="Arial" w:cs="Arial"/>
          <w:i/>
          <w:iCs/>
        </w:rPr>
        <w:t>Annual review of biochemistry</w:t>
      </w:r>
      <w:r w:rsidRPr="00A56A4D">
        <w:rPr>
          <w:rFonts w:ascii="Arial" w:hAnsi="Arial" w:cs="Arial"/>
        </w:rPr>
        <w:t>, </w:t>
      </w:r>
      <w:r w:rsidRPr="00A56A4D">
        <w:rPr>
          <w:rFonts w:ascii="Arial" w:hAnsi="Arial" w:cs="Arial"/>
          <w:i/>
          <w:iCs/>
        </w:rPr>
        <w:t>84</w:t>
      </w:r>
      <w:r w:rsidRPr="00A56A4D">
        <w:rPr>
          <w:rFonts w:ascii="Arial" w:hAnsi="Arial" w:cs="Arial"/>
        </w:rPr>
        <w:t>(1), 577-601.</w:t>
      </w:r>
    </w:p>
    <w:p w14:paraId="2A800DAA" w14:textId="77777777" w:rsidR="00E94A1F" w:rsidRDefault="00E94A1F" w:rsidP="00A56A4D">
      <w:pPr>
        <w:pStyle w:val="Body"/>
        <w:spacing w:after="0"/>
        <w:ind w:left="720" w:hanging="720"/>
        <w:rPr>
          <w:rFonts w:ascii="Arial" w:hAnsi="Arial" w:cs="Arial"/>
        </w:rPr>
      </w:pPr>
    </w:p>
    <w:p w14:paraId="760BB39E" w14:textId="77777777" w:rsidR="00E94A1F" w:rsidRDefault="00E94A1F" w:rsidP="00A56A4D">
      <w:pPr>
        <w:pStyle w:val="Body"/>
        <w:spacing w:after="0"/>
        <w:ind w:left="720" w:hanging="720"/>
        <w:rPr>
          <w:rFonts w:ascii="Arial" w:hAnsi="Arial" w:cs="Arial"/>
        </w:rPr>
      </w:pPr>
      <w:r w:rsidRPr="00A56A4D">
        <w:rPr>
          <w:rFonts w:ascii="Arial" w:hAnsi="Arial" w:cs="Arial"/>
        </w:rPr>
        <w:t>Phan, A., Mijar, S., Harvey, C., &amp; Biswas, D. (2025). Staphylococcus aureus in Foodborne Diseases and Alternative Intervention Strategies to Overcome Antibiotic Resistance by Using Natural Antimicrobials. </w:t>
      </w:r>
      <w:r w:rsidRPr="00A56A4D">
        <w:rPr>
          <w:rFonts w:ascii="Arial" w:hAnsi="Arial" w:cs="Arial"/>
          <w:i/>
          <w:iCs/>
        </w:rPr>
        <w:t>Microorganisms</w:t>
      </w:r>
      <w:r w:rsidRPr="00A56A4D">
        <w:rPr>
          <w:rFonts w:ascii="Arial" w:hAnsi="Arial" w:cs="Arial"/>
        </w:rPr>
        <w:t>, </w:t>
      </w:r>
      <w:r w:rsidRPr="00A56A4D">
        <w:rPr>
          <w:rFonts w:ascii="Arial" w:hAnsi="Arial" w:cs="Arial"/>
          <w:i/>
          <w:iCs/>
        </w:rPr>
        <w:t>13</w:t>
      </w:r>
      <w:r w:rsidRPr="00A56A4D">
        <w:rPr>
          <w:rFonts w:ascii="Arial" w:hAnsi="Arial" w:cs="Arial"/>
        </w:rPr>
        <w:t>(8), 1732.</w:t>
      </w:r>
    </w:p>
    <w:p w14:paraId="41C1CF8F" w14:textId="77777777" w:rsidR="00E94A1F" w:rsidRDefault="00E94A1F" w:rsidP="00A56A4D">
      <w:pPr>
        <w:pStyle w:val="Body"/>
        <w:spacing w:after="0"/>
        <w:ind w:left="720" w:hanging="720"/>
        <w:rPr>
          <w:rFonts w:ascii="Arial" w:hAnsi="Arial" w:cs="Arial"/>
        </w:rPr>
      </w:pPr>
    </w:p>
    <w:p w14:paraId="39F69C06" w14:textId="77777777" w:rsidR="00E94A1F" w:rsidRDefault="00E94A1F" w:rsidP="00A56A4D">
      <w:pPr>
        <w:pStyle w:val="Body"/>
        <w:spacing w:after="0"/>
        <w:ind w:left="720" w:hanging="720"/>
        <w:rPr>
          <w:rFonts w:ascii="Arial" w:hAnsi="Arial" w:cs="Arial"/>
        </w:rPr>
      </w:pPr>
      <w:r w:rsidRPr="00A56A4D">
        <w:rPr>
          <w:rFonts w:ascii="Arial" w:hAnsi="Arial" w:cs="Arial"/>
        </w:rPr>
        <w:t>Pillsbury, A., Chiew, M., Bates, J., &amp; Sheppeard, V. (2013). An outbreak of staphylococcal food poisoning in a commercially catered buffet. </w:t>
      </w:r>
      <w:r w:rsidRPr="00A56A4D">
        <w:rPr>
          <w:rFonts w:ascii="Arial" w:hAnsi="Arial" w:cs="Arial"/>
          <w:i/>
          <w:iCs/>
        </w:rPr>
        <w:t>Communicable Diseases Intelligence</w:t>
      </w:r>
      <w:r w:rsidRPr="00A56A4D">
        <w:rPr>
          <w:rFonts w:ascii="Arial" w:hAnsi="Arial" w:cs="Arial"/>
        </w:rPr>
        <w:t>, </w:t>
      </w:r>
      <w:r w:rsidRPr="00A56A4D">
        <w:rPr>
          <w:rFonts w:ascii="Arial" w:hAnsi="Arial" w:cs="Arial"/>
          <w:i/>
          <w:iCs/>
        </w:rPr>
        <w:t>37</w:t>
      </w:r>
      <w:r w:rsidRPr="00A56A4D">
        <w:rPr>
          <w:rFonts w:ascii="Arial" w:hAnsi="Arial" w:cs="Arial"/>
        </w:rPr>
        <w:t>, 144-148.</w:t>
      </w:r>
    </w:p>
    <w:p w14:paraId="344FD2C1" w14:textId="77777777" w:rsidR="00E94A1F" w:rsidRDefault="00E94A1F" w:rsidP="00A56A4D">
      <w:pPr>
        <w:pStyle w:val="Body"/>
        <w:spacing w:after="0"/>
        <w:ind w:left="720" w:hanging="720"/>
        <w:rPr>
          <w:rFonts w:ascii="Arial" w:hAnsi="Arial" w:cs="Arial"/>
        </w:rPr>
      </w:pPr>
    </w:p>
    <w:p w14:paraId="44CC741C"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Rall, V. L. M., Sforcin, J. M., Augustini, V. C. M., Watanabe, M. T., Fernandes Jr, A., Rall, R., ... &amp; Araújo Jr, J. P. (2010). Detection of enterotoxin genes of Staphylococcus </w:t>
      </w:r>
      <w:proofErr w:type="spellStart"/>
      <w:r w:rsidRPr="00A56A4D">
        <w:rPr>
          <w:rFonts w:ascii="Arial" w:hAnsi="Arial" w:cs="Arial"/>
        </w:rPr>
        <w:t>sp</w:t>
      </w:r>
      <w:proofErr w:type="spellEnd"/>
      <w:r w:rsidRPr="00A56A4D">
        <w:rPr>
          <w:rFonts w:ascii="Arial" w:hAnsi="Arial" w:cs="Arial"/>
        </w:rPr>
        <w:t xml:space="preserve"> isolated from nasal cavities and hands of food handlers. </w:t>
      </w:r>
      <w:r w:rsidRPr="00A56A4D">
        <w:rPr>
          <w:rFonts w:ascii="Arial" w:hAnsi="Arial" w:cs="Arial"/>
          <w:i/>
          <w:iCs/>
        </w:rPr>
        <w:t>Brazilian Journal of Microbiology</w:t>
      </w:r>
      <w:r w:rsidRPr="00A56A4D">
        <w:rPr>
          <w:rFonts w:ascii="Arial" w:hAnsi="Arial" w:cs="Arial"/>
        </w:rPr>
        <w:t>, </w:t>
      </w:r>
      <w:r w:rsidRPr="00A56A4D">
        <w:rPr>
          <w:rFonts w:ascii="Arial" w:hAnsi="Arial" w:cs="Arial"/>
          <w:i/>
          <w:iCs/>
        </w:rPr>
        <w:t>41</w:t>
      </w:r>
      <w:r w:rsidRPr="00A56A4D">
        <w:rPr>
          <w:rFonts w:ascii="Arial" w:hAnsi="Arial" w:cs="Arial"/>
        </w:rPr>
        <w:t>, 59-65.</w:t>
      </w:r>
    </w:p>
    <w:p w14:paraId="728F3F85" w14:textId="77777777" w:rsidR="00E94A1F" w:rsidRDefault="00E94A1F" w:rsidP="00A56A4D">
      <w:pPr>
        <w:pStyle w:val="Body"/>
        <w:spacing w:after="0"/>
        <w:ind w:left="720" w:hanging="720"/>
        <w:rPr>
          <w:rFonts w:ascii="Arial" w:hAnsi="Arial" w:cs="Arial"/>
        </w:rPr>
      </w:pPr>
      <w:proofErr w:type="spellStart"/>
      <w:r w:rsidRPr="00A56A4D">
        <w:rPr>
          <w:rFonts w:ascii="Arial" w:hAnsi="Arial" w:cs="Arial"/>
        </w:rPr>
        <w:lastRenderedPageBreak/>
        <w:t>Rammelkamp</w:t>
      </w:r>
      <w:proofErr w:type="spellEnd"/>
      <w:r w:rsidRPr="00A56A4D">
        <w:rPr>
          <w:rFonts w:ascii="Arial" w:hAnsi="Arial" w:cs="Arial"/>
        </w:rPr>
        <w:t>, C. H., &amp; Maxon, T. (1942). Resistance of Staphylococcus aureus to the action of penicillin. </w:t>
      </w:r>
      <w:r w:rsidRPr="00A56A4D">
        <w:rPr>
          <w:rFonts w:ascii="Arial" w:hAnsi="Arial" w:cs="Arial"/>
          <w:i/>
          <w:iCs/>
        </w:rPr>
        <w:t>Proceedings of the Society for Experimental Biology and Medicine</w:t>
      </w:r>
      <w:r w:rsidRPr="00A56A4D">
        <w:rPr>
          <w:rFonts w:ascii="Arial" w:hAnsi="Arial" w:cs="Arial"/>
        </w:rPr>
        <w:t>, </w:t>
      </w:r>
      <w:r w:rsidRPr="00A56A4D">
        <w:rPr>
          <w:rFonts w:ascii="Arial" w:hAnsi="Arial" w:cs="Arial"/>
          <w:i/>
          <w:iCs/>
        </w:rPr>
        <w:t>51</w:t>
      </w:r>
      <w:r w:rsidRPr="00A56A4D">
        <w:rPr>
          <w:rFonts w:ascii="Arial" w:hAnsi="Arial" w:cs="Arial"/>
        </w:rPr>
        <w:t>(3), 386-389.</w:t>
      </w:r>
    </w:p>
    <w:p w14:paraId="5B93F256" w14:textId="77777777" w:rsidR="00E94A1F" w:rsidRPr="00A56A4D" w:rsidRDefault="00E94A1F" w:rsidP="00A56A4D">
      <w:pPr>
        <w:pStyle w:val="Body"/>
        <w:spacing w:after="0"/>
        <w:ind w:left="720" w:hanging="720"/>
        <w:rPr>
          <w:rFonts w:ascii="Arial" w:hAnsi="Arial" w:cs="Arial"/>
        </w:rPr>
      </w:pPr>
    </w:p>
    <w:p w14:paraId="7C84B9FD" w14:textId="77777777" w:rsidR="00E94A1F" w:rsidRDefault="00E94A1F" w:rsidP="00A56A4D">
      <w:pPr>
        <w:pStyle w:val="Body"/>
        <w:spacing w:after="0"/>
        <w:ind w:left="720" w:hanging="720"/>
        <w:rPr>
          <w:rFonts w:ascii="Arial" w:hAnsi="Arial" w:cs="Arial"/>
        </w:rPr>
      </w:pPr>
      <w:r w:rsidRPr="00A56A4D">
        <w:rPr>
          <w:rFonts w:ascii="Arial" w:hAnsi="Arial" w:cs="Arial"/>
        </w:rPr>
        <w:t>Rasquel-Oliveira, F. S., Ribeiro, J. M., Martelossi-Cebinelli, G., Costa, F. B., Nakazato, G., Casagrande, R., &amp; Verri, W. A. (2025). Staphylococcus aureus in inflammation and pain: update on pathologic mechanisms. </w:t>
      </w:r>
      <w:r w:rsidRPr="00A56A4D">
        <w:rPr>
          <w:rFonts w:ascii="Arial" w:hAnsi="Arial" w:cs="Arial"/>
          <w:i/>
          <w:iCs/>
        </w:rPr>
        <w:t>Pathogens</w:t>
      </w:r>
      <w:r w:rsidRPr="00A56A4D">
        <w:rPr>
          <w:rFonts w:ascii="Arial" w:hAnsi="Arial" w:cs="Arial"/>
        </w:rPr>
        <w:t>, </w:t>
      </w:r>
      <w:r w:rsidRPr="00A56A4D">
        <w:rPr>
          <w:rFonts w:ascii="Arial" w:hAnsi="Arial" w:cs="Arial"/>
          <w:i/>
          <w:iCs/>
        </w:rPr>
        <w:t>14</w:t>
      </w:r>
      <w:r w:rsidRPr="00A56A4D">
        <w:rPr>
          <w:rFonts w:ascii="Arial" w:hAnsi="Arial" w:cs="Arial"/>
        </w:rPr>
        <w:t>(2), 185.</w:t>
      </w:r>
    </w:p>
    <w:p w14:paraId="77473FE6" w14:textId="77777777" w:rsidR="00E94A1F" w:rsidRDefault="00E94A1F" w:rsidP="00A56A4D">
      <w:pPr>
        <w:pStyle w:val="Body"/>
        <w:spacing w:after="0"/>
        <w:ind w:left="720" w:hanging="720"/>
        <w:rPr>
          <w:rFonts w:ascii="Arial" w:hAnsi="Arial" w:cs="Arial"/>
        </w:rPr>
      </w:pPr>
    </w:p>
    <w:p w14:paraId="0AE015AD" w14:textId="77777777" w:rsidR="00E94A1F" w:rsidRDefault="00E94A1F" w:rsidP="00A56A4D">
      <w:pPr>
        <w:pStyle w:val="Body"/>
        <w:spacing w:after="0"/>
        <w:ind w:left="720" w:hanging="720"/>
        <w:rPr>
          <w:rFonts w:ascii="Arial" w:hAnsi="Arial" w:cs="Arial"/>
        </w:rPr>
      </w:pPr>
      <w:proofErr w:type="spellStart"/>
      <w:r w:rsidRPr="00A56A4D">
        <w:rPr>
          <w:rFonts w:ascii="Arial" w:hAnsi="Arial" w:cs="Arial"/>
        </w:rPr>
        <w:t>Reverter</w:t>
      </w:r>
      <w:proofErr w:type="spellEnd"/>
      <w:r w:rsidRPr="00A56A4D">
        <w:rPr>
          <w:rFonts w:ascii="Arial" w:hAnsi="Arial" w:cs="Arial"/>
        </w:rPr>
        <w:t>, M., Vega-Heredia, S., &amp; Warburton, P. J. (2025). Historical Perspective and Contribution of Aquaculture to the AMR Global Pandemic. In </w:t>
      </w:r>
      <w:r w:rsidRPr="00A56A4D">
        <w:rPr>
          <w:rFonts w:ascii="Arial" w:hAnsi="Arial" w:cs="Arial"/>
          <w:i/>
          <w:iCs/>
        </w:rPr>
        <w:t>Antimicrobial Resistance in Aquaculture and Aquatic Environments</w:t>
      </w:r>
      <w:r w:rsidRPr="00A56A4D">
        <w:rPr>
          <w:rFonts w:ascii="Arial" w:hAnsi="Arial" w:cs="Arial"/>
        </w:rPr>
        <w:t> (pp. 17-38). Singapore: Springer Nature Singapore.</w:t>
      </w:r>
    </w:p>
    <w:p w14:paraId="45273D05" w14:textId="77777777" w:rsidR="00E94A1F" w:rsidRDefault="00E94A1F" w:rsidP="00A56A4D">
      <w:pPr>
        <w:pStyle w:val="Body"/>
        <w:spacing w:after="0"/>
        <w:ind w:left="720" w:hanging="720"/>
        <w:rPr>
          <w:rFonts w:ascii="Arial" w:hAnsi="Arial" w:cs="Arial"/>
        </w:rPr>
      </w:pPr>
    </w:p>
    <w:p w14:paraId="51AC3D94" w14:textId="77777777" w:rsidR="00E94A1F" w:rsidRDefault="00E94A1F" w:rsidP="00EA589D">
      <w:pPr>
        <w:pStyle w:val="Body"/>
        <w:spacing w:after="0"/>
        <w:ind w:left="720" w:hanging="720"/>
        <w:rPr>
          <w:rFonts w:ascii="Arial" w:hAnsi="Arial" w:cs="Arial"/>
        </w:rPr>
      </w:pPr>
      <w:proofErr w:type="spellStart"/>
      <w:r w:rsidRPr="00EC7FF0">
        <w:rPr>
          <w:rFonts w:ascii="Arial" w:hAnsi="Arial" w:cs="Arial"/>
        </w:rPr>
        <w:t>Sahebnasagh</w:t>
      </w:r>
      <w:proofErr w:type="spellEnd"/>
      <w:r w:rsidRPr="00EC7FF0">
        <w:rPr>
          <w:rFonts w:ascii="Arial" w:hAnsi="Arial" w:cs="Arial"/>
        </w:rPr>
        <w:t xml:space="preserve">, R., </w:t>
      </w:r>
      <w:proofErr w:type="spellStart"/>
      <w:r w:rsidRPr="00EC7FF0">
        <w:rPr>
          <w:rFonts w:ascii="Arial" w:hAnsi="Arial" w:cs="Arial"/>
        </w:rPr>
        <w:t>Saderi</w:t>
      </w:r>
      <w:proofErr w:type="spellEnd"/>
      <w:r w:rsidRPr="00EC7FF0">
        <w:rPr>
          <w:rFonts w:ascii="Arial" w:hAnsi="Arial" w:cs="Arial"/>
        </w:rPr>
        <w:t xml:space="preserve">, H., &amp; </w:t>
      </w:r>
      <w:proofErr w:type="spellStart"/>
      <w:r w:rsidRPr="00EC7FF0">
        <w:rPr>
          <w:rFonts w:ascii="Arial" w:hAnsi="Arial" w:cs="Arial"/>
        </w:rPr>
        <w:t>Owlia</w:t>
      </w:r>
      <w:proofErr w:type="spellEnd"/>
      <w:r w:rsidRPr="00EC7FF0">
        <w:rPr>
          <w:rFonts w:ascii="Arial" w:hAnsi="Arial" w:cs="Arial"/>
        </w:rPr>
        <w:t xml:space="preserve">, P. (2014). The Prevalence of Resistance to Methicillin in Staphylococcus aureus Strains Isolated from Patients by PCR Method for </w:t>
      </w:r>
      <w:proofErr w:type="spellStart"/>
      <w:r w:rsidRPr="00EC7FF0">
        <w:rPr>
          <w:rFonts w:ascii="Arial" w:hAnsi="Arial" w:cs="Arial"/>
        </w:rPr>
        <w:t>Detec-tion</w:t>
      </w:r>
      <w:proofErr w:type="spellEnd"/>
      <w:r w:rsidRPr="00EC7FF0">
        <w:rPr>
          <w:rFonts w:ascii="Arial" w:hAnsi="Arial" w:cs="Arial"/>
        </w:rPr>
        <w:t xml:space="preserve"> of </w:t>
      </w:r>
      <w:proofErr w:type="spellStart"/>
      <w:r w:rsidRPr="00EC7FF0">
        <w:rPr>
          <w:rFonts w:ascii="Arial" w:hAnsi="Arial" w:cs="Arial"/>
        </w:rPr>
        <w:t>mecA</w:t>
      </w:r>
      <w:proofErr w:type="spellEnd"/>
      <w:r w:rsidRPr="00EC7FF0">
        <w:rPr>
          <w:rFonts w:ascii="Arial" w:hAnsi="Arial" w:cs="Arial"/>
        </w:rPr>
        <w:t xml:space="preserve"> and </w:t>
      </w:r>
      <w:proofErr w:type="spellStart"/>
      <w:r w:rsidRPr="00EC7FF0">
        <w:rPr>
          <w:rFonts w:ascii="Arial" w:hAnsi="Arial" w:cs="Arial"/>
        </w:rPr>
        <w:t>nuc</w:t>
      </w:r>
      <w:proofErr w:type="spellEnd"/>
      <w:r w:rsidRPr="00EC7FF0">
        <w:rPr>
          <w:rFonts w:ascii="Arial" w:hAnsi="Arial" w:cs="Arial"/>
        </w:rPr>
        <w:t xml:space="preserve"> Genes. </w:t>
      </w:r>
      <w:r w:rsidRPr="00EC7FF0">
        <w:rPr>
          <w:rFonts w:ascii="Arial" w:hAnsi="Arial" w:cs="Arial"/>
          <w:i/>
          <w:iCs/>
        </w:rPr>
        <w:t>Iranian journal of public health</w:t>
      </w:r>
      <w:r w:rsidRPr="00EC7FF0">
        <w:rPr>
          <w:rFonts w:ascii="Arial" w:hAnsi="Arial" w:cs="Arial"/>
        </w:rPr>
        <w:t>, </w:t>
      </w:r>
      <w:r w:rsidRPr="00EC7FF0">
        <w:rPr>
          <w:rFonts w:ascii="Arial" w:hAnsi="Arial" w:cs="Arial"/>
          <w:i/>
          <w:iCs/>
        </w:rPr>
        <w:t>43</w:t>
      </w:r>
      <w:r w:rsidRPr="00EC7FF0">
        <w:rPr>
          <w:rFonts w:ascii="Arial" w:hAnsi="Arial" w:cs="Arial"/>
        </w:rPr>
        <w:t>(1), 84.</w:t>
      </w:r>
    </w:p>
    <w:p w14:paraId="3CEBFE73" w14:textId="77777777" w:rsidR="00E94A1F" w:rsidRDefault="00E94A1F" w:rsidP="00EA589D">
      <w:pPr>
        <w:pStyle w:val="Body"/>
        <w:spacing w:after="0"/>
        <w:ind w:left="720" w:hanging="720"/>
        <w:rPr>
          <w:rFonts w:ascii="Arial" w:hAnsi="Arial" w:cs="Arial"/>
        </w:rPr>
      </w:pPr>
    </w:p>
    <w:p w14:paraId="57C3254A" w14:textId="77777777" w:rsidR="00E94A1F" w:rsidRDefault="00E94A1F" w:rsidP="00A56A4D">
      <w:pPr>
        <w:pStyle w:val="Body"/>
        <w:spacing w:after="0"/>
        <w:ind w:left="720" w:hanging="720"/>
        <w:rPr>
          <w:rFonts w:ascii="Arial" w:hAnsi="Arial" w:cs="Arial"/>
        </w:rPr>
      </w:pPr>
      <w:r w:rsidRPr="00A56A4D">
        <w:rPr>
          <w:rFonts w:ascii="Arial" w:hAnsi="Arial" w:cs="Arial"/>
        </w:rPr>
        <w:t xml:space="preserve">Singh, A., Walker, M., Rousseau, J., &amp; Weese, J. S. (2013). Characterization of the biofilm forming ability of S </w:t>
      </w:r>
      <w:proofErr w:type="spellStart"/>
      <w:r w:rsidRPr="00A56A4D">
        <w:rPr>
          <w:rFonts w:ascii="Arial" w:hAnsi="Arial" w:cs="Arial"/>
        </w:rPr>
        <w:t>taphylococcus</w:t>
      </w:r>
      <w:proofErr w:type="spellEnd"/>
      <w:r w:rsidRPr="00A56A4D">
        <w:rPr>
          <w:rFonts w:ascii="Arial" w:hAnsi="Arial" w:cs="Arial"/>
        </w:rPr>
        <w:t xml:space="preserve"> </w:t>
      </w:r>
      <w:proofErr w:type="spellStart"/>
      <w:r w:rsidRPr="00A56A4D">
        <w:rPr>
          <w:rFonts w:ascii="Arial" w:hAnsi="Arial" w:cs="Arial"/>
        </w:rPr>
        <w:t>pseudintermedius</w:t>
      </w:r>
      <w:proofErr w:type="spellEnd"/>
      <w:r w:rsidRPr="00A56A4D">
        <w:rPr>
          <w:rFonts w:ascii="Arial" w:hAnsi="Arial" w:cs="Arial"/>
        </w:rPr>
        <w:t xml:space="preserve"> from dogs. </w:t>
      </w:r>
      <w:r w:rsidRPr="00A56A4D">
        <w:rPr>
          <w:rFonts w:ascii="Arial" w:hAnsi="Arial" w:cs="Arial"/>
          <w:i/>
          <w:iCs/>
        </w:rPr>
        <w:t>BMC veterinary research</w:t>
      </w:r>
      <w:r w:rsidRPr="00A56A4D">
        <w:rPr>
          <w:rFonts w:ascii="Arial" w:hAnsi="Arial" w:cs="Arial"/>
        </w:rPr>
        <w:t>, </w:t>
      </w:r>
      <w:r w:rsidRPr="00A56A4D">
        <w:rPr>
          <w:rFonts w:ascii="Arial" w:hAnsi="Arial" w:cs="Arial"/>
          <w:i/>
          <w:iCs/>
        </w:rPr>
        <w:t>9</w:t>
      </w:r>
      <w:r w:rsidRPr="00A56A4D">
        <w:rPr>
          <w:rFonts w:ascii="Arial" w:hAnsi="Arial" w:cs="Arial"/>
        </w:rPr>
        <w:t>(1), 93.</w:t>
      </w:r>
    </w:p>
    <w:p w14:paraId="7F0BE20A" w14:textId="77777777" w:rsidR="00E94A1F" w:rsidRDefault="00E94A1F" w:rsidP="00A56A4D">
      <w:pPr>
        <w:pStyle w:val="Body"/>
        <w:spacing w:after="0"/>
        <w:ind w:left="720" w:hanging="720"/>
        <w:rPr>
          <w:rFonts w:ascii="Arial" w:hAnsi="Arial" w:cs="Arial"/>
        </w:rPr>
      </w:pPr>
    </w:p>
    <w:p w14:paraId="747A6F81" w14:textId="77777777" w:rsidR="00E94A1F" w:rsidRDefault="00E94A1F" w:rsidP="00A56A4D">
      <w:pPr>
        <w:pStyle w:val="Body"/>
        <w:spacing w:after="0"/>
        <w:ind w:left="720" w:hanging="720"/>
        <w:rPr>
          <w:rFonts w:ascii="Arial" w:hAnsi="Arial" w:cs="Arial"/>
        </w:rPr>
      </w:pPr>
      <w:r w:rsidRPr="00A56A4D">
        <w:rPr>
          <w:rFonts w:ascii="Arial" w:hAnsi="Arial" w:cs="Arial"/>
        </w:rPr>
        <w:t>Skinner, D., &amp; Keefer, C. S. (1941). Significance of bacteremia caused by Staphylococcus aureus: a study of one hundred and twenty-two cases and a review of the literature concerned with experimental infection in animals. </w:t>
      </w:r>
      <w:r w:rsidRPr="00A56A4D">
        <w:rPr>
          <w:rFonts w:ascii="Arial" w:hAnsi="Arial" w:cs="Arial"/>
          <w:i/>
          <w:iCs/>
        </w:rPr>
        <w:t>Archives of internal medicine</w:t>
      </w:r>
      <w:r w:rsidRPr="00A56A4D">
        <w:rPr>
          <w:rFonts w:ascii="Arial" w:hAnsi="Arial" w:cs="Arial"/>
        </w:rPr>
        <w:t>, </w:t>
      </w:r>
      <w:r w:rsidRPr="00A56A4D">
        <w:rPr>
          <w:rFonts w:ascii="Arial" w:hAnsi="Arial" w:cs="Arial"/>
          <w:i/>
          <w:iCs/>
        </w:rPr>
        <w:t>68</w:t>
      </w:r>
      <w:r w:rsidRPr="00A56A4D">
        <w:rPr>
          <w:rFonts w:ascii="Arial" w:hAnsi="Arial" w:cs="Arial"/>
        </w:rPr>
        <w:t>(5), 851-875.</w:t>
      </w:r>
    </w:p>
    <w:p w14:paraId="3A7698B2" w14:textId="77777777" w:rsidR="00E94A1F" w:rsidRDefault="00E94A1F" w:rsidP="00A56A4D">
      <w:pPr>
        <w:pStyle w:val="Body"/>
        <w:spacing w:after="0"/>
        <w:ind w:left="720" w:hanging="720"/>
        <w:rPr>
          <w:rFonts w:ascii="Arial" w:hAnsi="Arial" w:cs="Arial"/>
        </w:rPr>
      </w:pPr>
    </w:p>
    <w:p w14:paraId="1814B016" w14:textId="77777777" w:rsidR="00E94A1F" w:rsidRDefault="00E94A1F" w:rsidP="00A56A4D">
      <w:pPr>
        <w:pStyle w:val="Body"/>
        <w:spacing w:after="0"/>
        <w:ind w:left="720" w:hanging="720"/>
        <w:rPr>
          <w:rFonts w:ascii="Arial" w:hAnsi="Arial" w:cs="Arial"/>
        </w:rPr>
      </w:pPr>
      <w:r w:rsidRPr="00A56A4D">
        <w:rPr>
          <w:rFonts w:ascii="Arial" w:hAnsi="Arial" w:cs="Arial"/>
        </w:rPr>
        <w:t>Todd, J. K. (2005). Staphylococcal infections. </w:t>
      </w:r>
      <w:r w:rsidRPr="00A56A4D">
        <w:rPr>
          <w:rFonts w:ascii="Arial" w:hAnsi="Arial" w:cs="Arial"/>
          <w:i/>
          <w:iCs/>
        </w:rPr>
        <w:t>Pediatrics in review</w:t>
      </w:r>
      <w:r w:rsidRPr="00A56A4D">
        <w:rPr>
          <w:rFonts w:ascii="Arial" w:hAnsi="Arial" w:cs="Arial"/>
        </w:rPr>
        <w:t>, </w:t>
      </w:r>
      <w:r w:rsidRPr="00A56A4D">
        <w:rPr>
          <w:rFonts w:ascii="Arial" w:hAnsi="Arial" w:cs="Arial"/>
          <w:i/>
          <w:iCs/>
        </w:rPr>
        <w:t>26</w:t>
      </w:r>
      <w:r w:rsidRPr="00A56A4D">
        <w:rPr>
          <w:rFonts w:ascii="Arial" w:hAnsi="Arial" w:cs="Arial"/>
        </w:rPr>
        <w:t>(12), 444-450.</w:t>
      </w:r>
    </w:p>
    <w:p w14:paraId="3098F05C" w14:textId="77777777" w:rsidR="00E94A1F" w:rsidRDefault="00E94A1F" w:rsidP="00A56A4D">
      <w:pPr>
        <w:pStyle w:val="Body"/>
        <w:spacing w:after="0"/>
        <w:ind w:left="720" w:hanging="720"/>
        <w:rPr>
          <w:rFonts w:ascii="Arial" w:hAnsi="Arial" w:cs="Arial"/>
        </w:rPr>
      </w:pPr>
    </w:p>
    <w:p w14:paraId="6CB3F828" w14:textId="77777777" w:rsidR="00E94A1F" w:rsidRDefault="00E94A1F" w:rsidP="00A56A4D">
      <w:pPr>
        <w:pStyle w:val="Body"/>
        <w:spacing w:after="0"/>
        <w:ind w:left="720" w:hanging="720"/>
        <w:rPr>
          <w:rFonts w:ascii="Arial" w:hAnsi="Arial" w:cs="Arial"/>
        </w:rPr>
      </w:pPr>
      <w:r w:rsidRPr="00A56A4D">
        <w:rPr>
          <w:rFonts w:ascii="Arial" w:hAnsi="Arial" w:cs="Arial"/>
        </w:rPr>
        <w:t>Verma, S., Malik, Y. S., Singh, G., Dhar, P., &amp; Singla, A. K. (2024). Comprehensive Knowledge About Major Infectious Diseases of Livestock, Poultry, Pets, and Wildlife Species. In </w:t>
      </w:r>
      <w:r w:rsidRPr="00A56A4D">
        <w:rPr>
          <w:rFonts w:ascii="Arial" w:hAnsi="Arial" w:cs="Arial"/>
          <w:i/>
          <w:iCs/>
        </w:rPr>
        <w:t>Core Competencies of a Veterinary Graduate</w:t>
      </w:r>
      <w:r w:rsidRPr="00A56A4D">
        <w:rPr>
          <w:rFonts w:ascii="Arial" w:hAnsi="Arial" w:cs="Arial"/>
        </w:rPr>
        <w:t> (pp. 77-99). Singapore: Springer Nature Singapore.</w:t>
      </w:r>
    </w:p>
    <w:p w14:paraId="07C4D3D4" w14:textId="77777777" w:rsidR="00E94A1F" w:rsidRDefault="00E94A1F" w:rsidP="00A56A4D">
      <w:pPr>
        <w:pStyle w:val="Body"/>
        <w:spacing w:after="0"/>
        <w:ind w:left="720" w:hanging="720"/>
        <w:rPr>
          <w:rFonts w:ascii="Arial" w:hAnsi="Arial" w:cs="Arial"/>
        </w:rPr>
      </w:pPr>
    </w:p>
    <w:p w14:paraId="4F441143" w14:textId="77777777" w:rsidR="00E94A1F" w:rsidRDefault="00E94A1F" w:rsidP="00A56A4D">
      <w:pPr>
        <w:pStyle w:val="Body"/>
        <w:spacing w:after="0"/>
        <w:ind w:left="720" w:hanging="720"/>
        <w:rPr>
          <w:rFonts w:ascii="Arial" w:hAnsi="Arial" w:cs="Arial"/>
        </w:rPr>
      </w:pPr>
      <w:r w:rsidRPr="00A56A4D">
        <w:rPr>
          <w:rFonts w:ascii="Arial" w:hAnsi="Arial" w:cs="Arial"/>
        </w:rPr>
        <w:t>Vinu, W., Kabeer, D. A., Khan, R. T., Ashif Ali, N. K., Ajmal, P. M., Fuad Sharaf, V. C., &amp; Reddy, B. S. (2025). Introduction to Physiological Aspects of Food Safety. In </w:t>
      </w:r>
      <w:r w:rsidRPr="00A56A4D">
        <w:rPr>
          <w:rFonts w:ascii="Arial" w:hAnsi="Arial" w:cs="Arial"/>
          <w:i/>
          <w:iCs/>
        </w:rPr>
        <w:t>Physiological Perspectives on Food Safety: Exploring the Intersection of Health and Nutrition</w:t>
      </w:r>
      <w:r w:rsidRPr="00A56A4D">
        <w:rPr>
          <w:rFonts w:ascii="Arial" w:hAnsi="Arial" w:cs="Arial"/>
        </w:rPr>
        <w:t> (pp. 1-63). Cham: Springer Nature Switzerland.</w:t>
      </w:r>
    </w:p>
    <w:p w14:paraId="6A22F98C" w14:textId="77777777" w:rsidR="00E94A1F" w:rsidRDefault="00E94A1F" w:rsidP="00A56A4D">
      <w:pPr>
        <w:pStyle w:val="Body"/>
        <w:spacing w:after="0"/>
        <w:ind w:left="720" w:hanging="720"/>
        <w:rPr>
          <w:rFonts w:ascii="Arial" w:hAnsi="Arial" w:cs="Arial"/>
        </w:rPr>
      </w:pPr>
    </w:p>
    <w:p w14:paraId="01572590" w14:textId="77777777" w:rsidR="00E94A1F" w:rsidRDefault="00E94A1F" w:rsidP="00A56A4D">
      <w:pPr>
        <w:pStyle w:val="Body"/>
        <w:spacing w:after="0"/>
        <w:ind w:left="720" w:hanging="720"/>
        <w:rPr>
          <w:rFonts w:ascii="Arial" w:hAnsi="Arial" w:cs="Arial"/>
        </w:rPr>
      </w:pPr>
      <w:r w:rsidRPr="00A56A4D">
        <w:rPr>
          <w:rFonts w:ascii="Arial" w:hAnsi="Arial" w:cs="Arial"/>
        </w:rPr>
        <w:t>Zhang, Y., Li, R., Zou, G., Guo, Y., Wu, R., Zhou, Y., ... &amp; Li, J. (2024). Discovery of antimicrobial lysins from the “dark matter” of uncharacterized phages using artificial intelligence. </w:t>
      </w:r>
      <w:r w:rsidRPr="00A56A4D">
        <w:rPr>
          <w:rFonts w:ascii="Arial" w:hAnsi="Arial" w:cs="Arial"/>
          <w:i/>
          <w:iCs/>
        </w:rPr>
        <w:t>Advanced Science</w:t>
      </w:r>
      <w:r w:rsidRPr="00A56A4D">
        <w:rPr>
          <w:rFonts w:ascii="Arial" w:hAnsi="Arial" w:cs="Arial"/>
        </w:rPr>
        <w:t>, </w:t>
      </w:r>
      <w:r w:rsidRPr="00A56A4D">
        <w:rPr>
          <w:rFonts w:ascii="Arial" w:hAnsi="Arial" w:cs="Arial"/>
          <w:i/>
          <w:iCs/>
        </w:rPr>
        <w:t>11</w:t>
      </w:r>
      <w:r w:rsidRPr="00A56A4D">
        <w:rPr>
          <w:rFonts w:ascii="Arial" w:hAnsi="Arial" w:cs="Arial"/>
        </w:rPr>
        <w:t>(32), 2404049.</w:t>
      </w:r>
    </w:p>
    <w:p w14:paraId="48BD42E2" w14:textId="77777777" w:rsidR="000D689F" w:rsidRDefault="000D689F" w:rsidP="00441B6F">
      <w:pPr>
        <w:pStyle w:val="Body"/>
        <w:spacing w:after="0"/>
      </w:pPr>
    </w:p>
    <w:p w14:paraId="1FBBBB4F" w14:textId="77777777" w:rsidR="004D4277" w:rsidRPr="00C2703B" w:rsidRDefault="004D4277" w:rsidP="00C2703B">
      <w:pPr>
        <w:pStyle w:val="Body"/>
        <w:spacing w:after="0"/>
        <w:rPr>
          <w:rFonts w:ascii="Arial" w:hAnsi="Arial" w:cs="Arial"/>
          <w:sz w:val="24"/>
        </w:rPr>
        <w:sectPr w:rsidR="004D4277" w:rsidRPr="00C2703B" w:rsidSect="00B11B70">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000D8C10" w14:textId="77777777" w:rsidR="00B01FCD" w:rsidRPr="00FB3A86" w:rsidRDefault="00B01FCD" w:rsidP="00441B6F">
      <w:pPr>
        <w:pStyle w:val="Appendix"/>
        <w:spacing w:after="0"/>
        <w:jc w:val="both"/>
        <w:rPr>
          <w:rFonts w:ascii="Arial" w:hAnsi="Arial" w:cs="Arial"/>
          <w:b w:val="0"/>
        </w:rPr>
      </w:pPr>
    </w:p>
    <w:sectPr w:rsidR="00B01FCD" w:rsidRPr="00FB3A86" w:rsidSect="00B11B7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73F03" w14:textId="77777777" w:rsidR="00ED1EFA" w:rsidRDefault="00ED1EFA" w:rsidP="00C37E61">
      <w:r>
        <w:separator/>
      </w:r>
    </w:p>
  </w:endnote>
  <w:endnote w:type="continuationSeparator" w:id="0">
    <w:p w14:paraId="69A8ECAD" w14:textId="77777777" w:rsidR="00ED1EFA" w:rsidRDefault="00ED1E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C9FF" w14:textId="77777777" w:rsidR="00B11B70" w:rsidRDefault="00B11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AE77" w14:textId="77777777" w:rsidR="00B11B70" w:rsidRDefault="00B11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D590" w14:textId="7A968359" w:rsidR="00754C9A" w:rsidRPr="000B42FA" w:rsidRDefault="00754C9A" w:rsidP="000B4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7F7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BD851" w14:textId="77777777" w:rsidR="00ED1EFA" w:rsidRDefault="00ED1EFA" w:rsidP="00C37E61">
      <w:r>
        <w:separator/>
      </w:r>
    </w:p>
  </w:footnote>
  <w:footnote w:type="continuationSeparator" w:id="0">
    <w:p w14:paraId="6CA8B1FD" w14:textId="77777777" w:rsidR="00ED1EFA" w:rsidRDefault="00ED1E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36CE" w14:textId="34494286" w:rsidR="00B11B70" w:rsidRDefault="00ED1EFA">
    <w:pPr>
      <w:pStyle w:val="Header"/>
    </w:pPr>
    <w:r>
      <w:rPr>
        <w:noProof/>
      </w:rPr>
      <w:pict w14:anchorId="474B7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306C" w14:textId="15895E93" w:rsidR="00B11B70" w:rsidRDefault="00ED1EFA">
    <w:pPr>
      <w:pStyle w:val="Header"/>
    </w:pPr>
    <w:r>
      <w:rPr>
        <w:noProof/>
      </w:rPr>
      <w:pict w14:anchorId="4CF2B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56DF" w14:textId="20485C09" w:rsidR="00296529" w:rsidRPr="00296529" w:rsidRDefault="00ED1EFA" w:rsidP="00296529">
    <w:pPr>
      <w:ind w:left="2160"/>
      <w:jc w:val="center"/>
      <w:rPr>
        <w:rFonts w:ascii="Times New Roman" w:eastAsia="Calibri" w:hAnsi="Times New Roman"/>
        <w:i/>
        <w:sz w:val="18"/>
        <w:szCs w:val="22"/>
      </w:rPr>
    </w:pPr>
    <w:r>
      <w:rPr>
        <w:noProof/>
      </w:rPr>
      <w:pict w14:anchorId="1660F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9851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7A6C1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91A61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9DA4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B270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95D55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F554" w14:textId="61E6E732" w:rsidR="00B11B70" w:rsidRDefault="00ED1EFA">
    <w:pPr>
      <w:pStyle w:val="Header"/>
    </w:pPr>
    <w:r>
      <w:rPr>
        <w:noProof/>
      </w:rPr>
      <w:pict w14:anchorId="44393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DD1E" w14:textId="0B7CF3AD" w:rsidR="00B11B70" w:rsidRDefault="00ED1EFA">
    <w:pPr>
      <w:pStyle w:val="Header"/>
    </w:pPr>
    <w:r>
      <w:rPr>
        <w:noProof/>
      </w:rPr>
      <w:pict w14:anchorId="27693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28A3" w14:textId="75A061B1" w:rsidR="00B11B70" w:rsidRDefault="00ED1EFA">
    <w:pPr>
      <w:pStyle w:val="Header"/>
    </w:pPr>
    <w:r>
      <w:rPr>
        <w:noProof/>
      </w:rPr>
      <w:pict w14:anchorId="374BE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D647BB"/>
    <w:multiLevelType w:val="multilevel"/>
    <w:tmpl w:val="D1F2A9F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1NTMyMDYzMrE0NDNX0lEKTi0uzszPAykwrAUATnubGSwAAAA="/>
  </w:docVars>
  <w:rsids>
    <w:rsidRoot w:val="00AA6219"/>
    <w:rsid w:val="00000F8F"/>
    <w:rsid w:val="000027CA"/>
    <w:rsid w:val="00003BE8"/>
    <w:rsid w:val="000227E6"/>
    <w:rsid w:val="00030174"/>
    <w:rsid w:val="000351C3"/>
    <w:rsid w:val="0004579C"/>
    <w:rsid w:val="000736D6"/>
    <w:rsid w:val="00081E48"/>
    <w:rsid w:val="000A47FA"/>
    <w:rsid w:val="000A65D3"/>
    <w:rsid w:val="000B1E33"/>
    <w:rsid w:val="000B42FA"/>
    <w:rsid w:val="000D2E65"/>
    <w:rsid w:val="000D689F"/>
    <w:rsid w:val="000E7B44"/>
    <w:rsid w:val="000E7B7B"/>
    <w:rsid w:val="000E7D62"/>
    <w:rsid w:val="00103357"/>
    <w:rsid w:val="00111389"/>
    <w:rsid w:val="00123C9F"/>
    <w:rsid w:val="00126190"/>
    <w:rsid w:val="00130F17"/>
    <w:rsid w:val="001320BF"/>
    <w:rsid w:val="00151555"/>
    <w:rsid w:val="00163BC4"/>
    <w:rsid w:val="00191062"/>
    <w:rsid w:val="00192B72"/>
    <w:rsid w:val="001A29D8"/>
    <w:rsid w:val="001A5CAA"/>
    <w:rsid w:val="001B0427"/>
    <w:rsid w:val="001C1939"/>
    <w:rsid w:val="001D3A51"/>
    <w:rsid w:val="001E10D2"/>
    <w:rsid w:val="001E25B4"/>
    <w:rsid w:val="001E4374"/>
    <w:rsid w:val="001E44FE"/>
    <w:rsid w:val="001F1286"/>
    <w:rsid w:val="001F424A"/>
    <w:rsid w:val="001F6790"/>
    <w:rsid w:val="00200595"/>
    <w:rsid w:val="00204835"/>
    <w:rsid w:val="0020512C"/>
    <w:rsid w:val="00223633"/>
    <w:rsid w:val="00231920"/>
    <w:rsid w:val="0023195C"/>
    <w:rsid w:val="0024282C"/>
    <w:rsid w:val="002460DC"/>
    <w:rsid w:val="00250985"/>
    <w:rsid w:val="002556F6"/>
    <w:rsid w:val="00270262"/>
    <w:rsid w:val="00283105"/>
    <w:rsid w:val="00284C4C"/>
    <w:rsid w:val="00287E68"/>
    <w:rsid w:val="00296529"/>
    <w:rsid w:val="002A4862"/>
    <w:rsid w:val="002B27FB"/>
    <w:rsid w:val="002B685A"/>
    <w:rsid w:val="002B7EA4"/>
    <w:rsid w:val="002C1B1E"/>
    <w:rsid w:val="002C57D2"/>
    <w:rsid w:val="002E0D56"/>
    <w:rsid w:val="002E3C28"/>
    <w:rsid w:val="00315186"/>
    <w:rsid w:val="0033343E"/>
    <w:rsid w:val="003512C2"/>
    <w:rsid w:val="00371FB6"/>
    <w:rsid w:val="003763C1"/>
    <w:rsid w:val="00376BBE"/>
    <w:rsid w:val="0039224F"/>
    <w:rsid w:val="003A43A4"/>
    <w:rsid w:val="003A5493"/>
    <w:rsid w:val="003A7E18"/>
    <w:rsid w:val="003B0776"/>
    <w:rsid w:val="003C4C86"/>
    <w:rsid w:val="003C6258"/>
    <w:rsid w:val="003C66E1"/>
    <w:rsid w:val="003E2904"/>
    <w:rsid w:val="003F06DB"/>
    <w:rsid w:val="00401927"/>
    <w:rsid w:val="0041027F"/>
    <w:rsid w:val="00412475"/>
    <w:rsid w:val="00423789"/>
    <w:rsid w:val="00430AC4"/>
    <w:rsid w:val="00440F43"/>
    <w:rsid w:val="00441B6F"/>
    <w:rsid w:val="00446221"/>
    <w:rsid w:val="00447076"/>
    <w:rsid w:val="00450E62"/>
    <w:rsid w:val="004539DB"/>
    <w:rsid w:val="00457B76"/>
    <w:rsid w:val="00464ED5"/>
    <w:rsid w:val="0046567C"/>
    <w:rsid w:val="00471A80"/>
    <w:rsid w:val="004D15A3"/>
    <w:rsid w:val="004D305E"/>
    <w:rsid w:val="004D4277"/>
    <w:rsid w:val="004D59C7"/>
    <w:rsid w:val="004D79F7"/>
    <w:rsid w:val="004F03DA"/>
    <w:rsid w:val="00500D16"/>
    <w:rsid w:val="00502516"/>
    <w:rsid w:val="00502DB8"/>
    <w:rsid w:val="0050323E"/>
    <w:rsid w:val="00505F06"/>
    <w:rsid w:val="00506828"/>
    <w:rsid w:val="005214B1"/>
    <w:rsid w:val="0053056E"/>
    <w:rsid w:val="005431C0"/>
    <w:rsid w:val="00554FDA"/>
    <w:rsid w:val="00565C6C"/>
    <w:rsid w:val="005B2FF6"/>
    <w:rsid w:val="005C784C"/>
    <w:rsid w:val="005D17F6"/>
    <w:rsid w:val="005E1CA8"/>
    <w:rsid w:val="005E5539"/>
    <w:rsid w:val="00602BF5"/>
    <w:rsid w:val="00614769"/>
    <w:rsid w:val="00617FDD"/>
    <w:rsid w:val="00621E0C"/>
    <w:rsid w:val="00633614"/>
    <w:rsid w:val="00633F68"/>
    <w:rsid w:val="00635B87"/>
    <w:rsid w:val="00636EB2"/>
    <w:rsid w:val="006375B8"/>
    <w:rsid w:val="0063787A"/>
    <w:rsid w:val="006411F1"/>
    <w:rsid w:val="0066510A"/>
    <w:rsid w:val="00673F9F"/>
    <w:rsid w:val="00684255"/>
    <w:rsid w:val="00686953"/>
    <w:rsid w:val="00687DEA"/>
    <w:rsid w:val="00687E67"/>
    <w:rsid w:val="006967F7"/>
    <w:rsid w:val="006A250C"/>
    <w:rsid w:val="006A586F"/>
    <w:rsid w:val="006B21D3"/>
    <w:rsid w:val="006B57D0"/>
    <w:rsid w:val="006D30FF"/>
    <w:rsid w:val="006D6940"/>
    <w:rsid w:val="006F11EC"/>
    <w:rsid w:val="006F6634"/>
    <w:rsid w:val="006F6A61"/>
    <w:rsid w:val="0070082C"/>
    <w:rsid w:val="007369E6"/>
    <w:rsid w:val="00746E59"/>
    <w:rsid w:val="00754C9A"/>
    <w:rsid w:val="0075599A"/>
    <w:rsid w:val="00761D52"/>
    <w:rsid w:val="0077749E"/>
    <w:rsid w:val="00786323"/>
    <w:rsid w:val="00790ADA"/>
    <w:rsid w:val="00797BB2"/>
    <w:rsid w:val="007D2288"/>
    <w:rsid w:val="007E088F"/>
    <w:rsid w:val="007E1A9E"/>
    <w:rsid w:val="007F7B32"/>
    <w:rsid w:val="00804BC2"/>
    <w:rsid w:val="0081431A"/>
    <w:rsid w:val="00827DE5"/>
    <w:rsid w:val="0083216F"/>
    <w:rsid w:val="00843394"/>
    <w:rsid w:val="00850127"/>
    <w:rsid w:val="00860000"/>
    <w:rsid w:val="00863BD3"/>
    <w:rsid w:val="008641ED"/>
    <w:rsid w:val="00866D66"/>
    <w:rsid w:val="008671C6"/>
    <w:rsid w:val="00875803"/>
    <w:rsid w:val="00897EDF"/>
    <w:rsid w:val="008B459E"/>
    <w:rsid w:val="008B7BAA"/>
    <w:rsid w:val="008E13AE"/>
    <w:rsid w:val="008E1506"/>
    <w:rsid w:val="008E710C"/>
    <w:rsid w:val="008E7B59"/>
    <w:rsid w:val="008F69D6"/>
    <w:rsid w:val="00902823"/>
    <w:rsid w:val="00913B3A"/>
    <w:rsid w:val="00915CA6"/>
    <w:rsid w:val="00927834"/>
    <w:rsid w:val="009500A6"/>
    <w:rsid w:val="00957C18"/>
    <w:rsid w:val="009602E8"/>
    <w:rsid w:val="009659BA"/>
    <w:rsid w:val="009732BD"/>
    <w:rsid w:val="00983040"/>
    <w:rsid w:val="00996EBF"/>
    <w:rsid w:val="009A0CEC"/>
    <w:rsid w:val="009B1894"/>
    <w:rsid w:val="009B3FB9"/>
    <w:rsid w:val="009C2465"/>
    <w:rsid w:val="009C2D6B"/>
    <w:rsid w:val="009D1B9D"/>
    <w:rsid w:val="009D35A0"/>
    <w:rsid w:val="009D7EB7"/>
    <w:rsid w:val="009E048A"/>
    <w:rsid w:val="009E08E9"/>
    <w:rsid w:val="009E3970"/>
    <w:rsid w:val="009E3DB9"/>
    <w:rsid w:val="009E6E35"/>
    <w:rsid w:val="009F0EDA"/>
    <w:rsid w:val="00A03B96"/>
    <w:rsid w:val="00A05B19"/>
    <w:rsid w:val="00A1134E"/>
    <w:rsid w:val="00A16AC5"/>
    <w:rsid w:val="00A24E7E"/>
    <w:rsid w:val="00A258C3"/>
    <w:rsid w:val="00A347C0"/>
    <w:rsid w:val="00A51431"/>
    <w:rsid w:val="00A539AD"/>
    <w:rsid w:val="00A56A4D"/>
    <w:rsid w:val="00A67C08"/>
    <w:rsid w:val="00A7482C"/>
    <w:rsid w:val="00A94063"/>
    <w:rsid w:val="00AA6219"/>
    <w:rsid w:val="00AA74E0"/>
    <w:rsid w:val="00AB703F"/>
    <w:rsid w:val="00AC2927"/>
    <w:rsid w:val="00AC5F44"/>
    <w:rsid w:val="00AC6BB8"/>
    <w:rsid w:val="00AE008F"/>
    <w:rsid w:val="00B01FCD"/>
    <w:rsid w:val="00B074D9"/>
    <w:rsid w:val="00B11B70"/>
    <w:rsid w:val="00B1776C"/>
    <w:rsid w:val="00B2650E"/>
    <w:rsid w:val="00B52583"/>
    <w:rsid w:val="00B52896"/>
    <w:rsid w:val="00B8063A"/>
    <w:rsid w:val="00B81D64"/>
    <w:rsid w:val="00B95236"/>
    <w:rsid w:val="00B96BD9"/>
    <w:rsid w:val="00BA1B01"/>
    <w:rsid w:val="00BA2641"/>
    <w:rsid w:val="00BA431A"/>
    <w:rsid w:val="00BB37AA"/>
    <w:rsid w:val="00BC53A0"/>
    <w:rsid w:val="00BD66F4"/>
    <w:rsid w:val="00BE237F"/>
    <w:rsid w:val="00BE62AD"/>
    <w:rsid w:val="00BF121F"/>
    <w:rsid w:val="00BF1F80"/>
    <w:rsid w:val="00C075C6"/>
    <w:rsid w:val="00C166EF"/>
    <w:rsid w:val="00C17EB0"/>
    <w:rsid w:val="00C2703B"/>
    <w:rsid w:val="00C27F5F"/>
    <w:rsid w:val="00C30A0F"/>
    <w:rsid w:val="00C358A5"/>
    <w:rsid w:val="00C37E61"/>
    <w:rsid w:val="00C70F1B"/>
    <w:rsid w:val="00C71A47"/>
    <w:rsid w:val="00C7464C"/>
    <w:rsid w:val="00C85588"/>
    <w:rsid w:val="00C858F7"/>
    <w:rsid w:val="00CA2C1F"/>
    <w:rsid w:val="00CD3155"/>
    <w:rsid w:val="00CD6755"/>
    <w:rsid w:val="00CD6856"/>
    <w:rsid w:val="00CD7F64"/>
    <w:rsid w:val="00CE0089"/>
    <w:rsid w:val="00CE793C"/>
    <w:rsid w:val="00CF193C"/>
    <w:rsid w:val="00D00154"/>
    <w:rsid w:val="00D173F1"/>
    <w:rsid w:val="00D74CB0"/>
    <w:rsid w:val="00D8295D"/>
    <w:rsid w:val="00D85CC6"/>
    <w:rsid w:val="00D97863"/>
    <w:rsid w:val="00DB5418"/>
    <w:rsid w:val="00DC2A65"/>
    <w:rsid w:val="00DE15F0"/>
    <w:rsid w:val="00DE4E5C"/>
    <w:rsid w:val="00DE5663"/>
    <w:rsid w:val="00DE6661"/>
    <w:rsid w:val="00DE78AA"/>
    <w:rsid w:val="00E04C9A"/>
    <w:rsid w:val="00E053D0"/>
    <w:rsid w:val="00E15994"/>
    <w:rsid w:val="00E3114E"/>
    <w:rsid w:val="00E31A70"/>
    <w:rsid w:val="00E35B02"/>
    <w:rsid w:val="00E41EC7"/>
    <w:rsid w:val="00E66496"/>
    <w:rsid w:val="00E66B35"/>
    <w:rsid w:val="00E66E10"/>
    <w:rsid w:val="00E769F6"/>
    <w:rsid w:val="00E77DA3"/>
    <w:rsid w:val="00E77FFB"/>
    <w:rsid w:val="00E8407C"/>
    <w:rsid w:val="00E84F3C"/>
    <w:rsid w:val="00E94A1F"/>
    <w:rsid w:val="00E97DB2"/>
    <w:rsid w:val="00EA012C"/>
    <w:rsid w:val="00EA589D"/>
    <w:rsid w:val="00EC6A55"/>
    <w:rsid w:val="00EC7FF0"/>
    <w:rsid w:val="00ED0288"/>
    <w:rsid w:val="00ED1EFA"/>
    <w:rsid w:val="00ED1F80"/>
    <w:rsid w:val="00EE0694"/>
    <w:rsid w:val="00EE52CB"/>
    <w:rsid w:val="00EF581D"/>
    <w:rsid w:val="00EF7FD8"/>
    <w:rsid w:val="00F06F59"/>
    <w:rsid w:val="00F078D1"/>
    <w:rsid w:val="00F17988"/>
    <w:rsid w:val="00F469F0"/>
    <w:rsid w:val="00F53273"/>
    <w:rsid w:val="00F755E4"/>
    <w:rsid w:val="00F77D02"/>
    <w:rsid w:val="00FB2BD8"/>
    <w:rsid w:val="00FB2C6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88155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431C0"/>
    <w:pPr>
      <w:spacing w:after="160" w:line="278" w:lineRule="auto"/>
      <w:ind w:left="720"/>
      <w:contextualSpacing/>
    </w:pPr>
    <w:rPr>
      <w:rFonts w:asciiTheme="minorHAnsi" w:eastAsiaTheme="minorHAnsi" w:hAnsiTheme="minorHAnsi" w:cstheme="minorBidi"/>
      <w:kern w:val="2"/>
      <w:sz w:val="24"/>
      <w:szCs w:val="24"/>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2284-666B-44E1-B4CE-1785B7EF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178</TotalTime>
  <Pages>1</Pages>
  <Words>4782</Words>
  <Characters>27261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181</cp:revision>
  <cp:lastPrinted>1999-07-06T11:00:00Z</cp:lastPrinted>
  <dcterms:created xsi:type="dcterms:W3CDTF">2014-10-25T14:34:00Z</dcterms:created>
  <dcterms:modified xsi:type="dcterms:W3CDTF">2025-11-08T12:57:00Z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b51569de-6add-4271-b663-a390f3612027</vt:lpwstr>
  </property>
</Properties>
</file>