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39358" w14:textId="322F7BB0" w:rsidR="00BA2550" w:rsidRDefault="004B308F" w:rsidP="00A05CFE">
      <w:pPr>
        <w:spacing w:after="0" w:line="360" w:lineRule="auto"/>
        <w:jc w:val="center"/>
        <w:rPr>
          <w:rFonts w:ascii="Times New Roman" w:hAnsi="Times New Roman" w:cs="Times New Roman"/>
          <w:b/>
          <w:sz w:val="32"/>
          <w:szCs w:val="40"/>
        </w:rPr>
      </w:pPr>
      <w:r w:rsidRPr="004B308F">
        <w:rPr>
          <w:rFonts w:ascii="Times New Roman" w:hAnsi="Times New Roman" w:cs="Times New Roman"/>
          <w:b/>
          <w:bCs/>
          <w:color w:val="000000" w:themeColor="text1"/>
          <w:sz w:val="32"/>
          <w:szCs w:val="32"/>
        </w:rPr>
        <w:t xml:space="preserve">Participatory Demonstration of </w:t>
      </w:r>
      <w:r w:rsidR="002F1C15" w:rsidRPr="004B308F">
        <w:rPr>
          <w:rFonts w:ascii="Times New Roman" w:hAnsi="Times New Roman" w:cs="Times New Roman"/>
          <w:b/>
          <w:bCs/>
          <w:color w:val="000000" w:themeColor="text1"/>
          <w:sz w:val="32"/>
          <w:szCs w:val="32"/>
        </w:rPr>
        <w:t xml:space="preserve">Fattening </w:t>
      </w:r>
      <w:r w:rsidRPr="004B308F">
        <w:rPr>
          <w:rFonts w:ascii="Times New Roman" w:hAnsi="Times New Roman" w:cs="Times New Roman"/>
          <w:b/>
          <w:bCs/>
          <w:color w:val="000000" w:themeColor="text1"/>
          <w:sz w:val="32"/>
          <w:szCs w:val="32"/>
        </w:rPr>
        <w:t xml:space="preserve">Sheep </w:t>
      </w:r>
      <w:r w:rsidRPr="004B308F">
        <w:rPr>
          <w:rFonts w:ascii="Times New Roman" w:eastAsia="Times New Roman" w:hAnsi="Times New Roman" w:cs="Times New Roman"/>
          <w:b/>
          <w:bCs/>
          <w:color w:val="000000" w:themeColor="text1"/>
          <w:sz w:val="32"/>
          <w:szCs w:val="32"/>
        </w:rPr>
        <w:t xml:space="preserve">Supplemented </w:t>
      </w:r>
      <w:r w:rsidR="005022E2" w:rsidRPr="004B308F">
        <w:rPr>
          <w:rFonts w:ascii="Times New Roman" w:eastAsia="Times New Roman" w:hAnsi="Times New Roman" w:cs="Times New Roman"/>
          <w:b/>
          <w:bCs/>
          <w:color w:val="000000" w:themeColor="text1"/>
          <w:sz w:val="32"/>
          <w:szCs w:val="32"/>
        </w:rPr>
        <w:t>with</w:t>
      </w:r>
      <w:r w:rsidRPr="004B308F">
        <w:rPr>
          <w:rFonts w:ascii="Times New Roman" w:eastAsia="Times New Roman" w:hAnsi="Times New Roman" w:cs="Times New Roman"/>
          <w:b/>
          <w:bCs/>
          <w:color w:val="000000" w:themeColor="text1"/>
          <w:sz w:val="32"/>
          <w:szCs w:val="32"/>
        </w:rPr>
        <w:t xml:space="preserve"> Improved Forage Species</w:t>
      </w:r>
      <w:r w:rsidR="0079501E">
        <w:rPr>
          <w:rFonts w:ascii="Times New Roman" w:hAnsi="Times New Roman" w:cs="Times New Roman"/>
          <w:b/>
          <w:sz w:val="32"/>
          <w:szCs w:val="32"/>
        </w:rPr>
        <w:t xml:space="preserve"> i</w:t>
      </w:r>
      <w:r w:rsidR="00BA2550" w:rsidRPr="004B308F">
        <w:rPr>
          <w:rFonts w:ascii="Times New Roman" w:hAnsi="Times New Roman" w:cs="Times New Roman"/>
          <w:b/>
          <w:sz w:val="32"/>
          <w:szCs w:val="32"/>
        </w:rPr>
        <w:t xml:space="preserve">n </w:t>
      </w:r>
      <w:proofErr w:type="spellStart"/>
      <w:r w:rsidR="00BA2550" w:rsidRPr="004B308F">
        <w:rPr>
          <w:rFonts w:ascii="Times New Roman" w:hAnsi="Times New Roman" w:cs="Times New Roman"/>
          <w:b/>
          <w:sz w:val="32"/>
          <w:szCs w:val="32"/>
        </w:rPr>
        <w:t>Dabafayd</w:t>
      </w:r>
      <w:proofErr w:type="spellEnd"/>
      <w:r w:rsidR="00BA2550" w:rsidRPr="004B308F">
        <w:rPr>
          <w:rFonts w:ascii="Times New Roman" w:hAnsi="Times New Roman" w:cs="Times New Roman"/>
          <w:b/>
          <w:sz w:val="32"/>
          <w:szCs w:val="32"/>
        </w:rPr>
        <w:t xml:space="preserve"> </w:t>
      </w:r>
      <w:proofErr w:type="spellStart"/>
      <w:r w:rsidR="00BA2550" w:rsidRPr="004B308F">
        <w:rPr>
          <w:rFonts w:ascii="Times New Roman" w:hAnsi="Times New Roman" w:cs="Times New Roman"/>
          <w:b/>
          <w:sz w:val="32"/>
          <w:szCs w:val="32"/>
        </w:rPr>
        <w:t>Kebelle</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Adadle</w:t>
      </w:r>
      <w:proofErr w:type="spellEnd"/>
      <w:r w:rsidR="00BA2550" w:rsidRPr="004B308F">
        <w:rPr>
          <w:rFonts w:ascii="Times New Roman" w:hAnsi="Times New Roman" w:cs="Times New Roman"/>
          <w:b/>
          <w:sz w:val="32"/>
          <w:szCs w:val="32"/>
        </w:rPr>
        <w:t xml:space="preserve"> </w:t>
      </w:r>
      <w:r w:rsidR="00B22A6F">
        <w:rPr>
          <w:rFonts w:ascii="Times New Roman" w:hAnsi="Times New Roman" w:cs="Times New Roman"/>
          <w:b/>
          <w:sz w:val="32"/>
          <w:szCs w:val="32"/>
        </w:rPr>
        <w:t>District</w:t>
      </w:r>
      <w:r w:rsidR="00BA2550" w:rsidRPr="004B308F">
        <w:rPr>
          <w:rFonts w:ascii="Times New Roman" w:hAnsi="Times New Roman" w:cs="Times New Roman"/>
          <w:b/>
          <w:sz w:val="32"/>
          <w:szCs w:val="32"/>
        </w:rPr>
        <w:t>,</w:t>
      </w:r>
      <w:r>
        <w:rPr>
          <w:rFonts w:ascii="Times New Roman" w:hAnsi="Times New Roman" w:cs="Times New Roman"/>
          <w:b/>
          <w:sz w:val="32"/>
          <w:szCs w:val="32"/>
        </w:rPr>
        <w:t xml:space="preserve"> Shebelle Zone,</w:t>
      </w:r>
      <w:r w:rsidR="00BA2550" w:rsidRPr="004B308F">
        <w:rPr>
          <w:rFonts w:ascii="Times New Roman" w:hAnsi="Times New Roman" w:cs="Times New Roman"/>
          <w:b/>
          <w:sz w:val="32"/>
          <w:szCs w:val="32"/>
        </w:rPr>
        <w:t xml:space="preserve"> Somali</w:t>
      </w:r>
      <w:r w:rsidR="00BA2550" w:rsidRPr="00BA2550">
        <w:rPr>
          <w:rFonts w:ascii="Times New Roman" w:hAnsi="Times New Roman" w:cs="Times New Roman"/>
          <w:b/>
          <w:sz w:val="32"/>
          <w:szCs w:val="40"/>
        </w:rPr>
        <w:t xml:space="preserve"> Regional State</w:t>
      </w:r>
      <w:r w:rsidR="00FE4EC6">
        <w:rPr>
          <w:rFonts w:ascii="Times New Roman" w:hAnsi="Times New Roman" w:cs="Times New Roman"/>
          <w:b/>
          <w:sz w:val="32"/>
          <w:szCs w:val="40"/>
        </w:rPr>
        <w:t>,</w:t>
      </w:r>
      <w:r w:rsidR="00FE4EC6" w:rsidRPr="00FE4EC6">
        <w:t xml:space="preserve"> </w:t>
      </w:r>
      <w:r w:rsidR="00FE4EC6" w:rsidRPr="00FE4EC6">
        <w:rPr>
          <w:rFonts w:ascii="Times New Roman" w:hAnsi="Times New Roman" w:cs="Times New Roman"/>
          <w:b/>
          <w:sz w:val="32"/>
          <w:szCs w:val="40"/>
        </w:rPr>
        <w:t>Ethiopia</w:t>
      </w:r>
    </w:p>
    <w:p w14:paraId="736655B5" w14:textId="77777777" w:rsidR="00636396" w:rsidRDefault="00636396" w:rsidP="009B41C0">
      <w:pPr>
        <w:spacing w:after="0" w:line="240" w:lineRule="auto"/>
        <w:jc w:val="center"/>
        <w:rPr>
          <w:rFonts w:ascii="Times New Roman" w:hAnsi="Times New Roman" w:cs="Times New Roman"/>
          <w:b/>
          <w:sz w:val="32"/>
          <w:szCs w:val="40"/>
        </w:rPr>
      </w:pPr>
    </w:p>
    <w:p w14:paraId="683BD3DC" w14:textId="3A5E13C5" w:rsidR="009F3974" w:rsidRDefault="009F3974" w:rsidP="009B41C0">
      <w:pPr>
        <w:pStyle w:val="Default"/>
        <w:spacing w:line="360" w:lineRule="auto"/>
        <w:jc w:val="center"/>
        <w:rPr>
          <w:b/>
          <w:bCs/>
        </w:rPr>
      </w:pPr>
      <w:bookmarkStart w:id="0" w:name="_Toc421109737"/>
      <w:r w:rsidRPr="004415D0">
        <w:rPr>
          <w:b/>
          <w:bCs/>
        </w:rPr>
        <w:t>ABSTRACT</w:t>
      </w:r>
    </w:p>
    <w:p w14:paraId="205580B9" w14:textId="77777777" w:rsidR="009B41C0" w:rsidRDefault="009B41C0" w:rsidP="009B41C0">
      <w:pPr>
        <w:pStyle w:val="Default"/>
        <w:jc w:val="both"/>
        <w:rPr>
          <w:b/>
          <w:bCs/>
        </w:rPr>
      </w:pPr>
    </w:p>
    <w:p w14:paraId="4A1D76BA" w14:textId="43A4EA2D" w:rsidR="009B41C0" w:rsidRDefault="009B41C0" w:rsidP="009B41C0">
      <w:pPr>
        <w:spacing w:after="0"/>
        <w:jc w:val="both"/>
        <w:rPr>
          <w:rFonts w:ascii="Times New Roman" w:hAnsi="Times New Roman" w:cs="Times New Roman"/>
          <w:i/>
          <w:iCs/>
          <w:color w:val="000000"/>
          <w:sz w:val="24"/>
          <w:szCs w:val="24"/>
        </w:rPr>
      </w:pPr>
      <w:r w:rsidRPr="00A974C9">
        <w:rPr>
          <w:rFonts w:ascii="Times New Roman" w:hAnsi="Times New Roman" w:cs="Times New Roman"/>
          <w:i/>
          <w:iCs/>
          <w:color w:val="000000"/>
          <w:sz w:val="24"/>
          <w:szCs w:val="24"/>
          <w:highlight w:val="yellow"/>
        </w:rPr>
        <w:t xml:space="preserve">This study was conducted in </w:t>
      </w:r>
      <w:r w:rsidR="00A974C9" w:rsidRPr="00A974C9">
        <w:rPr>
          <w:rFonts w:ascii="Times New Roman" w:hAnsi="Times New Roman" w:cs="Times New Roman"/>
          <w:i/>
          <w:iCs/>
          <w:color w:val="000000"/>
          <w:sz w:val="24"/>
          <w:szCs w:val="24"/>
          <w:highlight w:val="yellow"/>
        </w:rPr>
        <w:t>Adadle</w:t>
      </w:r>
      <w:r w:rsidRPr="00A974C9">
        <w:rPr>
          <w:rFonts w:ascii="Times New Roman" w:hAnsi="Times New Roman" w:cs="Times New Roman"/>
          <w:i/>
          <w:iCs/>
          <w:color w:val="000000"/>
          <w:sz w:val="24"/>
          <w:szCs w:val="24"/>
          <w:highlight w:val="yellow"/>
        </w:rPr>
        <w:t xml:space="preserve"> District, Somali Regional State, Ethiopia, to evaluate participatory sheep and goat fattening using improved forage-based supplementary feeding for yearlings. Twenty-seven model agro-pastoralists, each with ten yearlings</w:t>
      </w:r>
      <w:r w:rsidR="00A974C9">
        <w:rPr>
          <w:rFonts w:ascii="Times New Roman" w:hAnsi="Times New Roman" w:cs="Times New Roman"/>
          <w:i/>
          <w:iCs/>
          <w:color w:val="000000"/>
          <w:sz w:val="24"/>
          <w:szCs w:val="24"/>
          <w:highlight w:val="yellow"/>
        </w:rPr>
        <w:t xml:space="preserve">, </w:t>
      </w:r>
      <w:r w:rsidRPr="00A974C9">
        <w:rPr>
          <w:rFonts w:ascii="Times New Roman" w:hAnsi="Times New Roman" w:cs="Times New Roman"/>
          <w:i/>
          <w:iCs/>
          <w:color w:val="000000"/>
          <w:sz w:val="24"/>
          <w:szCs w:val="24"/>
          <w:highlight w:val="yellow"/>
        </w:rPr>
        <w:t>five Black Head Somali (BHS) and five Local Ethiopian Somali Goats (LESG)</w:t>
      </w:r>
      <w:r w:rsidR="00A974C9">
        <w:rPr>
          <w:rFonts w:ascii="Times New Roman" w:hAnsi="Times New Roman" w:cs="Times New Roman"/>
          <w:i/>
          <w:iCs/>
          <w:color w:val="000000"/>
          <w:sz w:val="24"/>
          <w:szCs w:val="24"/>
          <w:highlight w:val="yellow"/>
        </w:rPr>
        <w:t xml:space="preserve">, </w:t>
      </w:r>
      <w:r w:rsidRPr="00A974C9">
        <w:rPr>
          <w:rFonts w:ascii="Times New Roman" w:hAnsi="Times New Roman" w:cs="Times New Roman"/>
          <w:i/>
          <w:iCs/>
          <w:color w:val="000000"/>
          <w:sz w:val="24"/>
          <w:szCs w:val="24"/>
          <w:highlight w:val="yellow"/>
        </w:rPr>
        <w:t xml:space="preserve">were selected based on their prior experience in small ruminant fattening and willingness to participate. Participants were randomly assigned </w:t>
      </w:r>
      <w:r w:rsidR="00A974C9">
        <w:rPr>
          <w:rFonts w:ascii="Times New Roman" w:hAnsi="Times New Roman" w:cs="Times New Roman"/>
          <w:i/>
          <w:iCs/>
          <w:color w:val="000000"/>
          <w:sz w:val="24"/>
          <w:szCs w:val="24"/>
          <w:highlight w:val="yellow"/>
        </w:rPr>
        <w:t>to</w:t>
      </w:r>
      <w:r w:rsidRPr="00A974C9">
        <w:rPr>
          <w:rFonts w:ascii="Times New Roman" w:hAnsi="Times New Roman" w:cs="Times New Roman"/>
          <w:i/>
          <w:iCs/>
          <w:color w:val="000000"/>
          <w:sz w:val="24"/>
          <w:szCs w:val="24"/>
          <w:highlight w:val="yellow"/>
        </w:rPr>
        <w:t xml:space="preserve"> two groups for BHS and LESG finishing and provided with supplementary rations of locally available feed ingredients, including 1% common salt. Training on improved fattening practices and feeding management was delivered to agro-pastoralists, development agents, and livestock experts to enhance capacity and awareness. Supplementary feed was introduced gradually at 3 kg per head per day over fifteen days, and initial live body weights were recorded. Fortnightly weight measurements were conducted over </w:t>
      </w:r>
      <w:r w:rsidR="00A974C9">
        <w:rPr>
          <w:rFonts w:ascii="Times New Roman" w:hAnsi="Times New Roman" w:cs="Times New Roman"/>
          <w:i/>
          <w:iCs/>
          <w:color w:val="000000"/>
          <w:sz w:val="24"/>
          <w:szCs w:val="24"/>
          <w:highlight w:val="yellow"/>
        </w:rPr>
        <w:t>90 days</w:t>
      </w:r>
      <w:r w:rsidRPr="00A974C9">
        <w:rPr>
          <w:rFonts w:ascii="Times New Roman" w:hAnsi="Times New Roman" w:cs="Times New Roman"/>
          <w:i/>
          <w:iCs/>
          <w:color w:val="000000"/>
          <w:sz w:val="24"/>
          <w:szCs w:val="24"/>
          <w:highlight w:val="yellow"/>
        </w:rPr>
        <w:t>, and data were analyzed using ANOVA and the GLM procedure of SAS (2002). Results showed significant (P &lt; 0.05) increases in live body weights for both BHS and LESG yearlings. Economic analysis revealed high returns from selling the finished animals, indicating the profitability of the feeding strategies. The study concludes that these improved forage-based supplementary feeding technologies are effective and recommends their wider adoption to enhance small ruminant production, improve agro-pastoralist livelihoods, and strengthen food security in the region.</w:t>
      </w:r>
    </w:p>
    <w:p w14:paraId="089B0463" w14:textId="77777777" w:rsidR="009B41C0" w:rsidRPr="009B41C0" w:rsidRDefault="009B41C0" w:rsidP="009B41C0">
      <w:pPr>
        <w:spacing w:after="0" w:line="240" w:lineRule="auto"/>
        <w:jc w:val="both"/>
        <w:rPr>
          <w:rFonts w:ascii="Times New Roman" w:hAnsi="Times New Roman" w:cs="Times New Roman"/>
          <w:i/>
          <w:iCs/>
          <w:color w:val="000000"/>
          <w:sz w:val="24"/>
          <w:szCs w:val="24"/>
        </w:rPr>
      </w:pPr>
    </w:p>
    <w:p w14:paraId="39CABD86" w14:textId="42A4DF75" w:rsidR="009F3974" w:rsidRPr="004415D0" w:rsidRDefault="009F3974" w:rsidP="009B41C0">
      <w:pPr>
        <w:spacing w:line="360" w:lineRule="auto"/>
        <w:jc w:val="both"/>
        <w:rPr>
          <w:rFonts w:ascii="Times New Roman" w:hAnsi="Times New Roman" w:cs="Times New Roman"/>
          <w:sz w:val="24"/>
          <w:szCs w:val="24"/>
        </w:rPr>
      </w:pPr>
      <w:r w:rsidRPr="004415D0">
        <w:rPr>
          <w:rFonts w:ascii="Times New Roman" w:hAnsi="Times New Roman" w:cs="Times New Roman"/>
          <w:b/>
          <w:bCs/>
          <w:i/>
          <w:iCs/>
          <w:sz w:val="24"/>
          <w:szCs w:val="24"/>
        </w:rPr>
        <w:t>Keywords:</w:t>
      </w:r>
      <w:r w:rsidRPr="009F3974">
        <w:rPr>
          <w:rFonts w:ascii="Times New Roman" w:hAnsi="Times New Roman" w:cs="Times New Roman"/>
          <w:i/>
          <w:iCs/>
          <w:sz w:val="24"/>
          <w:szCs w:val="24"/>
        </w:rPr>
        <w:t xml:space="preserve"> </w:t>
      </w:r>
      <w:r>
        <w:rPr>
          <w:rFonts w:ascii="Times New Roman" w:hAnsi="Times New Roman" w:cs="Times New Roman"/>
          <w:i/>
          <w:iCs/>
          <w:sz w:val="24"/>
          <w:szCs w:val="24"/>
        </w:rPr>
        <w:t>Participatory</w:t>
      </w:r>
      <w:r w:rsidRPr="004415D0">
        <w:rPr>
          <w:rFonts w:ascii="Times New Roman" w:hAnsi="Times New Roman" w:cs="Times New Roman"/>
          <w:i/>
          <w:iCs/>
          <w:sz w:val="24"/>
          <w:szCs w:val="24"/>
        </w:rPr>
        <w:t>,</w:t>
      </w:r>
      <w:r w:rsidRPr="004415D0">
        <w:rPr>
          <w:rFonts w:ascii="Times New Roman" w:hAnsi="Times New Roman" w:cs="Times New Roman"/>
          <w:b/>
          <w:bCs/>
          <w:i/>
          <w:iCs/>
          <w:sz w:val="24"/>
          <w:szCs w:val="24"/>
        </w:rPr>
        <w:t xml:space="preserve"> </w:t>
      </w:r>
      <w:r>
        <w:rPr>
          <w:rFonts w:ascii="Times New Roman" w:hAnsi="Times New Roman" w:cs="Times New Roman"/>
          <w:i/>
          <w:iCs/>
          <w:sz w:val="24"/>
          <w:szCs w:val="24"/>
        </w:rPr>
        <w:t xml:space="preserve">Demonstration, </w:t>
      </w:r>
      <w:r w:rsidRPr="004415D0">
        <w:rPr>
          <w:rFonts w:ascii="Times New Roman" w:hAnsi="Times New Roman" w:cs="Times New Roman"/>
          <w:i/>
          <w:iCs/>
          <w:sz w:val="24"/>
          <w:szCs w:val="24"/>
        </w:rPr>
        <w:t>BHS, LESG, Fattening, Technologies.</w:t>
      </w:r>
    </w:p>
    <w:p w14:paraId="31D5A1B6" w14:textId="77777777" w:rsidR="009F3974" w:rsidRDefault="009F3974" w:rsidP="00B35CD2">
      <w:pPr>
        <w:spacing w:line="360" w:lineRule="auto"/>
        <w:jc w:val="both"/>
        <w:rPr>
          <w:rFonts w:ascii="Times New Roman" w:hAnsi="Times New Roman" w:cs="Times New Roman"/>
          <w:b/>
          <w:sz w:val="24"/>
        </w:rPr>
        <w:sectPr w:rsidR="009F3974">
          <w:headerReference w:type="even" r:id="rId8"/>
          <w:headerReference w:type="default" r:id="rId9"/>
          <w:headerReference w:type="first" r:id="rId10"/>
          <w:pgSz w:w="12240" w:h="15840"/>
          <w:pgMar w:top="1440" w:right="1440" w:bottom="1440" w:left="1440" w:header="720" w:footer="720" w:gutter="0"/>
          <w:cols w:space="720"/>
          <w:docGrid w:linePitch="360"/>
        </w:sectPr>
      </w:pPr>
    </w:p>
    <w:bookmarkEnd w:id="0"/>
    <w:p w14:paraId="15E15587" w14:textId="7B22B9DE" w:rsidR="0047169A" w:rsidRPr="00D62025" w:rsidRDefault="00946264" w:rsidP="00D62025">
      <w:pPr>
        <w:pStyle w:val="ListParagraph"/>
        <w:numPr>
          <w:ilvl w:val="0"/>
          <w:numId w:val="8"/>
        </w:numPr>
        <w:spacing w:after="0" w:line="240" w:lineRule="auto"/>
        <w:jc w:val="both"/>
        <w:rPr>
          <w:rFonts w:ascii="Times New Roman" w:hAnsi="Times New Roman" w:cs="Times New Roman"/>
          <w:b/>
          <w:sz w:val="24"/>
        </w:rPr>
      </w:pPr>
      <w:r>
        <w:rPr>
          <w:rFonts w:ascii="Times New Roman" w:hAnsi="Times New Roman" w:cs="Times New Roman"/>
          <w:b/>
          <w:sz w:val="24"/>
        </w:rPr>
        <w:lastRenderedPageBreak/>
        <w:t xml:space="preserve">Introduction </w:t>
      </w:r>
      <w:bookmarkStart w:id="1" w:name="_GoBack"/>
      <w:bookmarkEnd w:id="1"/>
    </w:p>
    <w:p w14:paraId="209AA27A" w14:textId="77777777" w:rsidR="00D62025" w:rsidRDefault="00D62025" w:rsidP="00005D14">
      <w:pPr>
        <w:spacing w:after="0" w:line="240" w:lineRule="auto"/>
        <w:jc w:val="both"/>
        <w:rPr>
          <w:rFonts w:ascii="Times New Roman" w:hAnsi="Times New Roman" w:cs="Times New Roman"/>
          <w:b/>
          <w:sz w:val="24"/>
        </w:rPr>
      </w:pPr>
    </w:p>
    <w:p w14:paraId="4853E580" w14:textId="77777777" w:rsidR="00D62025" w:rsidRPr="00D62025" w:rsidRDefault="00D62025" w:rsidP="004F6ABF">
      <w:pPr>
        <w:spacing w:after="0"/>
        <w:jc w:val="both"/>
        <w:rPr>
          <w:rFonts w:ascii="Times New Roman" w:hAnsi="Times New Roman" w:cs="Times New Roman"/>
          <w:sz w:val="23"/>
          <w:szCs w:val="23"/>
          <w:highlight w:val="yellow"/>
        </w:rPr>
      </w:pPr>
      <w:r w:rsidRPr="00D62025">
        <w:rPr>
          <w:rFonts w:ascii="Times New Roman" w:hAnsi="Times New Roman" w:cs="Times New Roman"/>
          <w:sz w:val="23"/>
          <w:szCs w:val="23"/>
          <w:highlight w:val="yellow"/>
        </w:rPr>
        <w:t>Ethiopia’s diverse agro-ecological zones support the largest livestock population in Africa, with approximately 70.3 million cattle, 42.9 million sheep, 52.5 million goats, and 8.1 million camels (CSA, 2021). The livestock sector contributes 18–20% of the national GDP and 35–40% of the agricultural GDP, providing livelihoods for 60–70% of the rural population (ILRI, 2022). Nearly all small ruminants are indigenous breeds, with 99.56% of sheep and 99.88% of goats being local genotypes (FAO, 2021).</w:t>
      </w:r>
    </w:p>
    <w:p w14:paraId="55984AB9" w14:textId="77777777" w:rsidR="00D62025" w:rsidRPr="00D62025" w:rsidRDefault="00D62025" w:rsidP="004F6ABF">
      <w:pPr>
        <w:spacing w:after="0"/>
        <w:jc w:val="both"/>
        <w:rPr>
          <w:rFonts w:ascii="Times New Roman" w:hAnsi="Times New Roman" w:cs="Times New Roman"/>
          <w:sz w:val="23"/>
          <w:szCs w:val="23"/>
          <w:highlight w:val="yellow"/>
        </w:rPr>
      </w:pPr>
      <w:r w:rsidRPr="00D62025">
        <w:rPr>
          <w:rFonts w:ascii="Times New Roman" w:hAnsi="Times New Roman" w:cs="Times New Roman"/>
          <w:sz w:val="23"/>
          <w:szCs w:val="23"/>
          <w:highlight w:val="yellow"/>
        </w:rPr>
        <w:t>The Somali Regional State (SRS) is predominantly inhabited by pastoralist and agro-pastoralist communities, with extensive rangelands that support livestock-based livelihoods (Shapiro et al., 2017; MOA &amp; ILRI, 2013). Pastoralism is the dominant land use system across the semi-arid and arid zones, but recurrent droughts, seasonal variability in water and feed, limited animal health services, and environmental degradation constrain productivity (FAO, 2024).</w:t>
      </w:r>
    </w:p>
    <w:p w14:paraId="4E777246" w14:textId="77777777" w:rsidR="00D62025" w:rsidRPr="00D62025" w:rsidRDefault="00D62025" w:rsidP="004F6ABF">
      <w:pPr>
        <w:spacing w:after="0"/>
        <w:jc w:val="both"/>
        <w:rPr>
          <w:rFonts w:ascii="Times New Roman" w:hAnsi="Times New Roman" w:cs="Times New Roman"/>
          <w:sz w:val="23"/>
          <w:szCs w:val="23"/>
          <w:highlight w:val="yellow"/>
        </w:rPr>
      </w:pPr>
      <w:r w:rsidRPr="00D62025">
        <w:rPr>
          <w:rFonts w:ascii="Times New Roman" w:hAnsi="Times New Roman" w:cs="Times New Roman"/>
          <w:sz w:val="23"/>
          <w:szCs w:val="23"/>
          <w:highlight w:val="yellow"/>
        </w:rPr>
        <w:t>Feed scarcity, poor knowledge of feed production and management, and inadequate conservation practices are major technical constraints limiting livestock productivity. Ethiopian sheep productivity remains low, with an average carcass yield of 8 kg, below East African (11 kg) and global (12 kg) averages (Getahun, 2008). Per capita meat consumption is also low at 9 kg/year, compared to the African (27 kg/year) and global (100 kg/year) averages (FAO, 2023). Traditional livestock fattening practices rely primarily on natural pasture and often fail to meet animals’ nutritional requirements, resulting in production that depends more on herd size than on individual productivity (World Bank, 2024).</w:t>
      </w:r>
    </w:p>
    <w:p w14:paraId="5767C3D1" w14:textId="77777777" w:rsidR="00D62025" w:rsidRPr="00D62025" w:rsidRDefault="00D62025" w:rsidP="004F6ABF">
      <w:pPr>
        <w:spacing w:after="0"/>
        <w:jc w:val="both"/>
        <w:rPr>
          <w:rFonts w:ascii="Times New Roman" w:hAnsi="Times New Roman" w:cs="Times New Roman"/>
          <w:sz w:val="23"/>
          <w:szCs w:val="23"/>
          <w:highlight w:val="yellow"/>
        </w:rPr>
      </w:pPr>
      <w:r w:rsidRPr="00D62025">
        <w:rPr>
          <w:rFonts w:ascii="Times New Roman" w:hAnsi="Times New Roman" w:cs="Times New Roman"/>
          <w:sz w:val="23"/>
          <w:szCs w:val="23"/>
          <w:highlight w:val="yellow"/>
        </w:rPr>
        <w:t>Animal fattening offers employment and income-generating opportunities, particularly for marginalized groups such as landless households and widowed women. Rams fattening is a profitable activity for small-scale farmers, and women often exhibit superior sheep husbandry skills compared to men (</w:t>
      </w:r>
      <w:proofErr w:type="spellStart"/>
      <w:r w:rsidRPr="00D62025">
        <w:rPr>
          <w:rFonts w:ascii="Times New Roman" w:hAnsi="Times New Roman" w:cs="Times New Roman"/>
          <w:sz w:val="23"/>
          <w:szCs w:val="23"/>
          <w:highlight w:val="yellow"/>
        </w:rPr>
        <w:t>Wamatu</w:t>
      </w:r>
      <w:proofErr w:type="spellEnd"/>
      <w:r w:rsidRPr="00D62025">
        <w:rPr>
          <w:rFonts w:ascii="Times New Roman" w:hAnsi="Times New Roman" w:cs="Times New Roman"/>
          <w:sz w:val="23"/>
          <w:szCs w:val="23"/>
          <w:highlight w:val="yellow"/>
        </w:rPr>
        <w:t xml:space="preserve"> et al., 2025). Nevertheless, women face challenges due to limited business experience, restricted access to technology, domestic workload, and low participation in local markets.</w:t>
      </w:r>
    </w:p>
    <w:p w14:paraId="42D00157" w14:textId="77777777" w:rsidR="00D62025" w:rsidRPr="00D62025" w:rsidRDefault="00D62025" w:rsidP="004F6ABF">
      <w:pPr>
        <w:spacing w:after="0"/>
        <w:jc w:val="both"/>
        <w:rPr>
          <w:rFonts w:ascii="Times New Roman" w:hAnsi="Times New Roman" w:cs="Times New Roman"/>
          <w:sz w:val="23"/>
          <w:szCs w:val="23"/>
          <w:highlight w:val="yellow"/>
        </w:rPr>
      </w:pPr>
      <w:r w:rsidRPr="00D62025">
        <w:rPr>
          <w:rFonts w:ascii="Times New Roman" w:hAnsi="Times New Roman" w:cs="Times New Roman"/>
          <w:sz w:val="23"/>
          <w:szCs w:val="23"/>
          <w:highlight w:val="yellow"/>
        </w:rPr>
        <w:t>Historically, livestock technologies were developed with minimal participation from pastoralists and agro-pastoralists, resulting in low adoption and limited returns on research investments. Participatory methodologies, such as the Pastoralist and Agro-Pastoralist Research Group (PRGs) approach, have been introduced to actively involve communities in testing, adapting, and applying new technologies. This approach fosters collaborative solutions to specific production and business challenges, enhancing the relevance and adoption of research outcomes.</w:t>
      </w:r>
    </w:p>
    <w:p w14:paraId="4D7FC05F" w14:textId="77777777" w:rsidR="00D62025" w:rsidRDefault="00D62025" w:rsidP="00B22A6F">
      <w:pPr>
        <w:spacing w:after="0" w:line="240" w:lineRule="auto"/>
        <w:jc w:val="both"/>
        <w:rPr>
          <w:rFonts w:ascii="Times New Roman" w:hAnsi="Times New Roman" w:cs="Times New Roman"/>
          <w:b/>
          <w:sz w:val="24"/>
          <w:szCs w:val="24"/>
        </w:rPr>
      </w:pPr>
    </w:p>
    <w:p w14:paraId="7F82B5BF" w14:textId="67366247" w:rsidR="00C8286E" w:rsidRDefault="00D62025" w:rsidP="00D62025">
      <w:pPr>
        <w:pStyle w:val="ListParagraph"/>
        <w:numPr>
          <w:ilvl w:val="0"/>
          <w:numId w:val="8"/>
        </w:numPr>
        <w:spacing w:after="0" w:line="240" w:lineRule="auto"/>
        <w:jc w:val="both"/>
        <w:rPr>
          <w:rFonts w:ascii="Times New Roman" w:hAnsi="Times New Roman" w:cs="Times New Roman"/>
          <w:b/>
          <w:sz w:val="24"/>
          <w:szCs w:val="24"/>
        </w:rPr>
      </w:pPr>
      <w:r w:rsidRPr="00D62025">
        <w:rPr>
          <w:rFonts w:ascii="Times New Roman" w:hAnsi="Times New Roman" w:cs="Times New Roman"/>
          <w:b/>
          <w:sz w:val="24"/>
          <w:szCs w:val="24"/>
        </w:rPr>
        <w:t>Materials and Methods</w:t>
      </w:r>
    </w:p>
    <w:p w14:paraId="2219A7EF" w14:textId="77777777" w:rsidR="00D62025" w:rsidRPr="00D62025" w:rsidRDefault="00D62025" w:rsidP="00D62025">
      <w:pPr>
        <w:pStyle w:val="ListParagraph"/>
        <w:spacing w:after="0" w:line="240" w:lineRule="auto"/>
        <w:jc w:val="both"/>
        <w:rPr>
          <w:rFonts w:ascii="Times New Roman" w:hAnsi="Times New Roman" w:cs="Times New Roman"/>
          <w:b/>
          <w:sz w:val="24"/>
          <w:szCs w:val="24"/>
        </w:rPr>
      </w:pPr>
    </w:p>
    <w:p w14:paraId="54836861" w14:textId="1B9FA453" w:rsidR="00C8286E" w:rsidRPr="00D62025" w:rsidRDefault="00D62025" w:rsidP="00D62025">
      <w:pPr>
        <w:pStyle w:val="ListParagraph"/>
        <w:numPr>
          <w:ilvl w:val="1"/>
          <w:numId w:val="9"/>
        </w:numPr>
        <w:spacing w:after="0" w:line="240" w:lineRule="auto"/>
        <w:jc w:val="both"/>
        <w:rPr>
          <w:rFonts w:ascii="Times New Roman" w:hAnsi="Times New Roman" w:cs="Times New Roman"/>
          <w:b/>
          <w:sz w:val="24"/>
          <w:szCs w:val="24"/>
        </w:rPr>
      </w:pPr>
      <w:bookmarkStart w:id="2" w:name="_Toc123589068"/>
      <w:r>
        <w:rPr>
          <w:rFonts w:ascii="Times New Roman" w:hAnsi="Times New Roman" w:cs="Times New Roman"/>
          <w:b/>
          <w:sz w:val="24"/>
          <w:szCs w:val="24"/>
        </w:rPr>
        <w:t xml:space="preserve"> </w:t>
      </w:r>
      <w:r w:rsidR="00C8286E" w:rsidRPr="00D62025">
        <w:rPr>
          <w:rFonts w:ascii="Times New Roman" w:hAnsi="Times New Roman" w:cs="Times New Roman"/>
          <w:b/>
          <w:sz w:val="24"/>
          <w:szCs w:val="24"/>
        </w:rPr>
        <w:t>Description of the study area</w:t>
      </w:r>
      <w:bookmarkEnd w:id="2"/>
    </w:p>
    <w:p w14:paraId="05E4A2D5" w14:textId="77777777" w:rsidR="00D62025" w:rsidRPr="00D62025" w:rsidRDefault="00D62025" w:rsidP="00D62025">
      <w:pPr>
        <w:spacing w:after="0" w:line="240" w:lineRule="auto"/>
        <w:rPr>
          <w:lang w:val="en-GB"/>
        </w:rPr>
      </w:pPr>
    </w:p>
    <w:p w14:paraId="55CDA2E0" w14:textId="77777777" w:rsidR="00894753" w:rsidRPr="00894753" w:rsidRDefault="00894753" w:rsidP="00894753">
      <w:pPr>
        <w:contextualSpacing/>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 xml:space="preserve">This study, along with the associated capacity-building activities, was conducted among agro-pastoralists in Dabafayd Kebele, located in Adadle District, Shebelle Zone, Somali Regional State, Ethiopia. Shebelle is one of the eleven zones of the Somali Region. It was formerly known as Godey Zone, named after its largest town, Godey. The zone is bordered by Afder to the west, </w:t>
      </w:r>
      <w:proofErr w:type="spellStart"/>
      <w:r w:rsidRPr="00894753">
        <w:rPr>
          <w:rFonts w:ascii="Times New Roman" w:hAnsi="Times New Roman" w:cs="Times New Roman"/>
          <w:sz w:val="24"/>
          <w:szCs w:val="24"/>
          <w:highlight w:val="yellow"/>
        </w:rPr>
        <w:t>Nogob</w:t>
      </w:r>
      <w:proofErr w:type="spellEnd"/>
      <w:r w:rsidRPr="00894753">
        <w:rPr>
          <w:rFonts w:ascii="Times New Roman" w:hAnsi="Times New Roman" w:cs="Times New Roman"/>
          <w:sz w:val="24"/>
          <w:szCs w:val="24"/>
          <w:highlight w:val="yellow"/>
        </w:rPr>
        <w:t xml:space="preserve"> to the north, </w:t>
      </w:r>
      <w:proofErr w:type="spellStart"/>
      <w:r w:rsidRPr="00894753">
        <w:rPr>
          <w:rFonts w:ascii="Times New Roman" w:hAnsi="Times New Roman" w:cs="Times New Roman"/>
          <w:sz w:val="24"/>
          <w:szCs w:val="24"/>
          <w:highlight w:val="yellow"/>
        </w:rPr>
        <w:t>Korahey</w:t>
      </w:r>
      <w:proofErr w:type="spellEnd"/>
      <w:r w:rsidRPr="00894753">
        <w:rPr>
          <w:rFonts w:ascii="Times New Roman" w:hAnsi="Times New Roman" w:cs="Times New Roman"/>
          <w:sz w:val="24"/>
          <w:szCs w:val="24"/>
          <w:highlight w:val="yellow"/>
        </w:rPr>
        <w:t xml:space="preserve"> to the northeast, and by the Provisional Administrative Line of Somalia along the border of the </w:t>
      </w:r>
      <w:proofErr w:type="spellStart"/>
      <w:r w:rsidRPr="00894753">
        <w:rPr>
          <w:rFonts w:ascii="Times New Roman" w:hAnsi="Times New Roman" w:cs="Times New Roman"/>
          <w:sz w:val="24"/>
          <w:szCs w:val="24"/>
          <w:highlight w:val="yellow"/>
        </w:rPr>
        <w:t>Hirshabelle</w:t>
      </w:r>
      <w:proofErr w:type="spellEnd"/>
      <w:r w:rsidRPr="00894753">
        <w:rPr>
          <w:rFonts w:ascii="Times New Roman" w:hAnsi="Times New Roman" w:cs="Times New Roman"/>
          <w:sz w:val="24"/>
          <w:szCs w:val="24"/>
          <w:highlight w:val="yellow"/>
        </w:rPr>
        <w:t xml:space="preserve"> Federal State to the south.</w:t>
      </w:r>
    </w:p>
    <w:p w14:paraId="4CEE6189" w14:textId="1737904B" w:rsidR="00894753" w:rsidRPr="00894753" w:rsidRDefault="00894753" w:rsidP="00894753">
      <w:pPr>
        <w:contextualSpacing/>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lastRenderedPageBreak/>
        <w:t xml:space="preserve">The major livestock species reared in the area include camels, goats, and sheep </w:t>
      </w:r>
      <w:proofErr w:type="gramStart"/>
      <w:r w:rsidRPr="00894753">
        <w:rPr>
          <w:rFonts w:ascii="Times New Roman" w:hAnsi="Times New Roman" w:cs="Times New Roman"/>
          <w:sz w:val="24"/>
          <w:szCs w:val="24"/>
          <w:highlight w:val="yellow"/>
        </w:rPr>
        <w:t>(</w:t>
      </w:r>
      <w:r w:rsidR="00C032FC">
        <w:rPr>
          <w:rFonts w:ascii="Times New Roman" w:hAnsi="Times New Roman" w:cs="Times New Roman"/>
          <w:sz w:val="24"/>
          <w:szCs w:val="24"/>
          <w:highlight w:val="yellow"/>
        </w:rPr>
        <w:t xml:space="preserve"> </w:t>
      </w:r>
      <w:proofErr w:type="spellStart"/>
      <w:r w:rsidR="00C032FC">
        <w:rPr>
          <w:rFonts w:ascii="Times New Roman" w:hAnsi="Times New Roman" w:cs="Times New Roman"/>
          <w:sz w:val="24"/>
          <w:szCs w:val="24"/>
          <w:highlight w:val="yellow"/>
        </w:rPr>
        <w:t>Sheep</w:t>
      </w:r>
      <w:r w:rsidRPr="00894753">
        <w:rPr>
          <w:rFonts w:ascii="Times New Roman" w:hAnsi="Times New Roman" w:cs="Times New Roman"/>
          <w:sz w:val="24"/>
          <w:szCs w:val="24"/>
          <w:highlight w:val="yellow"/>
        </w:rPr>
        <w:t>s</w:t>
      </w:r>
      <w:proofErr w:type="spellEnd"/>
      <w:proofErr w:type="gramEnd"/>
      <w:r w:rsidRPr="00894753">
        <w:rPr>
          <w:rFonts w:ascii="Times New Roman" w:hAnsi="Times New Roman" w:cs="Times New Roman"/>
          <w:sz w:val="24"/>
          <w:szCs w:val="24"/>
          <w:highlight w:val="yellow"/>
        </w:rPr>
        <w:t xml:space="preserve">), while cattle are less common except around the Kenya–Somalia border near Godey. Wealth in the Shebelle Zone is primarily determined by livestock ownership, particularly camels </w:t>
      </w:r>
      <w:proofErr w:type="gramStart"/>
      <w:r w:rsidRPr="00894753">
        <w:rPr>
          <w:rFonts w:ascii="Times New Roman" w:hAnsi="Times New Roman" w:cs="Times New Roman"/>
          <w:sz w:val="24"/>
          <w:szCs w:val="24"/>
          <w:highlight w:val="yellow"/>
        </w:rPr>
        <w:t xml:space="preserve">and </w:t>
      </w:r>
      <w:r w:rsidR="00C032FC">
        <w:rPr>
          <w:rFonts w:ascii="Times New Roman" w:hAnsi="Times New Roman" w:cs="Times New Roman"/>
          <w:sz w:val="24"/>
          <w:szCs w:val="24"/>
          <w:highlight w:val="yellow"/>
        </w:rPr>
        <w:t xml:space="preserve"> </w:t>
      </w:r>
      <w:proofErr w:type="spellStart"/>
      <w:r w:rsidR="00C032FC">
        <w:rPr>
          <w:rFonts w:ascii="Times New Roman" w:hAnsi="Times New Roman" w:cs="Times New Roman"/>
          <w:sz w:val="24"/>
          <w:szCs w:val="24"/>
          <w:highlight w:val="yellow"/>
        </w:rPr>
        <w:t>Sheep</w:t>
      </w:r>
      <w:r w:rsidRPr="00894753">
        <w:rPr>
          <w:rFonts w:ascii="Times New Roman" w:hAnsi="Times New Roman" w:cs="Times New Roman"/>
          <w:sz w:val="24"/>
          <w:szCs w:val="24"/>
          <w:highlight w:val="yellow"/>
        </w:rPr>
        <w:t>s</w:t>
      </w:r>
      <w:proofErr w:type="spellEnd"/>
      <w:proofErr w:type="gramEnd"/>
      <w:r w:rsidRPr="00894753">
        <w:rPr>
          <w:rFonts w:ascii="Times New Roman" w:hAnsi="Times New Roman" w:cs="Times New Roman"/>
          <w:sz w:val="24"/>
          <w:szCs w:val="24"/>
          <w:highlight w:val="yellow"/>
        </w:rPr>
        <w:t>.</w:t>
      </w:r>
    </w:p>
    <w:p w14:paraId="7020AFC4" w14:textId="312B6237" w:rsidR="00894753" w:rsidRPr="00894753" w:rsidRDefault="00894753" w:rsidP="00894753">
      <w:pPr>
        <w:spacing w:after="0"/>
        <w:contextualSpacing/>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 xml:space="preserve">Despite its potential for livestock production, the zone has not achieved optimal productivity. Introducing economically </w:t>
      </w:r>
      <w:proofErr w:type="gramStart"/>
      <w:r w:rsidRPr="00894753">
        <w:rPr>
          <w:rFonts w:ascii="Times New Roman" w:hAnsi="Times New Roman" w:cs="Times New Roman"/>
          <w:sz w:val="24"/>
          <w:szCs w:val="24"/>
          <w:highlight w:val="yellow"/>
        </w:rPr>
        <w:t xml:space="preserve">feasible </w:t>
      </w:r>
      <w:r w:rsidR="00C032FC">
        <w:rPr>
          <w:rFonts w:ascii="Times New Roman" w:hAnsi="Times New Roman" w:cs="Times New Roman"/>
          <w:sz w:val="24"/>
          <w:szCs w:val="24"/>
          <w:highlight w:val="yellow"/>
        </w:rPr>
        <w:t xml:space="preserve"> Sheep</w:t>
      </w:r>
      <w:proofErr w:type="gramEnd"/>
      <w:r w:rsidRPr="00894753">
        <w:rPr>
          <w:rFonts w:ascii="Times New Roman" w:hAnsi="Times New Roman" w:cs="Times New Roman"/>
          <w:sz w:val="24"/>
          <w:szCs w:val="24"/>
          <w:highlight w:val="yellow"/>
        </w:rPr>
        <w:t xml:space="preserve"> fattening technologies in this area is expected to significantly improve community livelihoods and promote legal cross-border trade in fattened livestock.</w:t>
      </w:r>
    </w:p>
    <w:p w14:paraId="0FDF1BF0" w14:textId="77777777" w:rsidR="004F6ABF" w:rsidRDefault="004F6ABF" w:rsidP="004F6ABF">
      <w:pPr>
        <w:pStyle w:val="Default"/>
        <w:ind w:left="360"/>
        <w:jc w:val="both"/>
        <w:rPr>
          <w:b/>
        </w:rPr>
      </w:pPr>
    </w:p>
    <w:p w14:paraId="01EB7B51" w14:textId="70995246" w:rsidR="00191749" w:rsidRDefault="00191749" w:rsidP="00191749">
      <w:pPr>
        <w:pStyle w:val="Default"/>
        <w:ind w:left="360"/>
        <w:jc w:val="both"/>
        <w:rPr>
          <w:b/>
        </w:rPr>
      </w:pPr>
      <w:r>
        <w:rPr>
          <w:b/>
          <w:noProof/>
        </w:rPr>
        <w:drawing>
          <wp:inline distT="0" distB="0" distL="0" distR="0" wp14:anchorId="44F62F81" wp14:editId="24ADDD16">
            <wp:extent cx="3365500" cy="2085340"/>
            <wp:effectExtent l="0" t="0" r="6350" b="0"/>
            <wp:docPr id="2049729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29126" name="Picture 20497291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5500" cy="2085340"/>
                    </a:xfrm>
                    <a:prstGeom prst="rect">
                      <a:avLst/>
                    </a:prstGeom>
                  </pic:spPr>
                </pic:pic>
              </a:graphicData>
            </a:graphic>
          </wp:inline>
        </w:drawing>
      </w:r>
    </w:p>
    <w:p w14:paraId="07C45055" w14:textId="717577E3" w:rsidR="00D62025" w:rsidRPr="00C73FA0" w:rsidRDefault="00191749" w:rsidP="00D62025">
      <w:pPr>
        <w:pStyle w:val="Default"/>
        <w:spacing w:line="360" w:lineRule="auto"/>
        <w:jc w:val="both"/>
        <w:rPr>
          <w:color w:val="auto"/>
        </w:rPr>
      </w:pPr>
      <w:r>
        <w:rPr>
          <w:color w:val="auto"/>
        </w:rPr>
        <w:t xml:space="preserve">       </w:t>
      </w:r>
      <w:r w:rsidR="003017A7">
        <w:rPr>
          <w:color w:val="auto"/>
        </w:rPr>
        <w:t xml:space="preserve">Figure 1. </w:t>
      </w:r>
      <w:r>
        <w:rPr>
          <w:color w:val="auto"/>
        </w:rPr>
        <w:t>Study area of Adadle District, Somali Region, Ethiopia</w:t>
      </w:r>
    </w:p>
    <w:p w14:paraId="7643856C" w14:textId="77777777" w:rsidR="00E22B89" w:rsidRDefault="00E22B89" w:rsidP="00E22B89">
      <w:pPr>
        <w:spacing w:after="0" w:line="240" w:lineRule="auto"/>
        <w:jc w:val="both"/>
        <w:rPr>
          <w:rFonts w:ascii="Times New Roman" w:hAnsi="Times New Roman" w:cs="Times New Roman"/>
          <w:sz w:val="24"/>
          <w:szCs w:val="24"/>
        </w:rPr>
      </w:pPr>
    </w:p>
    <w:p w14:paraId="11F8D95D" w14:textId="2812C232" w:rsidR="00894753" w:rsidRDefault="00894753" w:rsidP="00894753">
      <w:pPr>
        <w:pStyle w:val="ListParagraph"/>
        <w:numPr>
          <w:ilvl w:val="1"/>
          <w:numId w:val="9"/>
        </w:numPr>
        <w:spacing w:after="0" w:line="240" w:lineRule="auto"/>
        <w:jc w:val="both"/>
        <w:rPr>
          <w:rFonts w:ascii="Times New Roman" w:hAnsi="Times New Roman" w:cs="Times New Roman"/>
          <w:b/>
          <w:bCs/>
          <w:sz w:val="24"/>
          <w:szCs w:val="24"/>
        </w:rPr>
      </w:pPr>
      <w:r w:rsidRPr="00894753">
        <w:rPr>
          <w:rFonts w:ascii="Times New Roman" w:hAnsi="Times New Roman" w:cs="Times New Roman"/>
          <w:b/>
          <w:bCs/>
          <w:sz w:val="24"/>
          <w:szCs w:val="24"/>
        </w:rPr>
        <w:t>Establishment of Target Beneficiaries</w:t>
      </w:r>
    </w:p>
    <w:p w14:paraId="44AD4710" w14:textId="77777777" w:rsidR="00894753" w:rsidRPr="00894753" w:rsidRDefault="00894753" w:rsidP="00894753">
      <w:pPr>
        <w:pStyle w:val="ListParagraph"/>
        <w:spacing w:after="0" w:line="240" w:lineRule="auto"/>
        <w:ind w:left="360"/>
        <w:jc w:val="both"/>
        <w:rPr>
          <w:rFonts w:ascii="Times New Roman" w:hAnsi="Times New Roman" w:cs="Times New Roman"/>
          <w:b/>
          <w:bCs/>
          <w:sz w:val="24"/>
          <w:szCs w:val="24"/>
        </w:rPr>
      </w:pPr>
    </w:p>
    <w:p w14:paraId="12B776FD" w14:textId="77777777" w:rsidR="00894753" w:rsidRPr="00894753" w:rsidRDefault="00894753" w:rsidP="00894753">
      <w:pPr>
        <w:contextualSpacing/>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Dabafayd Kebele is situated approximately 18 km north of Adadle Woreda and 18 km from Gode Town. The majority of the population are agro-pastoralists who depend primarily on livestock rearing for their livelihood. The Godey Pastoral and Agro-Pastoral Research Centre (</w:t>
      </w:r>
      <w:proofErr w:type="spellStart"/>
      <w:r w:rsidRPr="00894753">
        <w:rPr>
          <w:rFonts w:ascii="Times New Roman" w:hAnsi="Times New Roman" w:cs="Times New Roman"/>
          <w:sz w:val="24"/>
          <w:szCs w:val="24"/>
          <w:highlight w:val="yellow"/>
        </w:rPr>
        <w:t>GoPARC</w:t>
      </w:r>
      <w:proofErr w:type="spellEnd"/>
      <w:r w:rsidRPr="00894753">
        <w:rPr>
          <w:rFonts w:ascii="Times New Roman" w:hAnsi="Times New Roman" w:cs="Times New Roman"/>
          <w:sz w:val="24"/>
          <w:szCs w:val="24"/>
          <w:highlight w:val="yellow"/>
        </w:rPr>
        <w:t>) maintains a livestock and natural resource sub-center in the kebele, which supports community adaptation and the promotion of sheep rearing practices.</w:t>
      </w:r>
    </w:p>
    <w:p w14:paraId="235C9636" w14:textId="77777777" w:rsidR="00894753" w:rsidRPr="00894753" w:rsidRDefault="00894753" w:rsidP="00894753">
      <w:pPr>
        <w:contextualSpacing/>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The area’s proximity to Gode City provides favorable market access and transportation facilities, as demand for sheep and goats is particularly high. Therefore, the introduction of economically viable sheep fattening practices through improved forage technologies is expected to have a substantial positive impact on the livelihoods of agro-pastoral households and enhance overall livestock productivity.</w:t>
      </w:r>
    </w:p>
    <w:p w14:paraId="31FB6857" w14:textId="77777777" w:rsidR="00894753" w:rsidRPr="00894753" w:rsidRDefault="00894753" w:rsidP="00894753">
      <w:pPr>
        <w:spacing w:after="0"/>
        <w:contextualSpacing/>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 xml:space="preserve">This activity involved twenty-five (25) agro-pastoralists (10 females and 15 males) from </w:t>
      </w:r>
      <w:proofErr w:type="spellStart"/>
      <w:r w:rsidRPr="00894753">
        <w:rPr>
          <w:rFonts w:ascii="Times New Roman" w:hAnsi="Times New Roman" w:cs="Times New Roman"/>
          <w:sz w:val="24"/>
          <w:szCs w:val="24"/>
          <w:highlight w:val="yellow"/>
        </w:rPr>
        <w:t>Dabafayd</w:t>
      </w:r>
      <w:proofErr w:type="spellEnd"/>
      <w:r w:rsidRPr="00894753">
        <w:rPr>
          <w:rFonts w:ascii="Times New Roman" w:hAnsi="Times New Roman" w:cs="Times New Roman"/>
          <w:sz w:val="24"/>
          <w:szCs w:val="24"/>
          <w:highlight w:val="yellow"/>
        </w:rPr>
        <w:t xml:space="preserve"> Kebele. Participants were selected based on:</w:t>
      </w:r>
    </w:p>
    <w:p w14:paraId="14DE9977" w14:textId="77777777" w:rsidR="00894753" w:rsidRPr="00894753" w:rsidRDefault="00894753" w:rsidP="00894753">
      <w:pPr>
        <w:pStyle w:val="ListParagraph"/>
        <w:numPr>
          <w:ilvl w:val="0"/>
          <w:numId w:val="12"/>
        </w:numPr>
        <w:tabs>
          <w:tab w:val="num" w:pos="720"/>
        </w:tabs>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Prior experience in livestock fattening,</w:t>
      </w:r>
    </w:p>
    <w:p w14:paraId="3AB22520" w14:textId="77777777" w:rsidR="00894753" w:rsidRPr="00894753" w:rsidRDefault="00894753" w:rsidP="00894753">
      <w:pPr>
        <w:pStyle w:val="ListParagraph"/>
        <w:numPr>
          <w:ilvl w:val="0"/>
          <w:numId w:val="12"/>
        </w:numPr>
        <w:tabs>
          <w:tab w:val="num" w:pos="720"/>
        </w:tabs>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Ownership of at least ten male Blackhead Somali sheep yearlings,</w:t>
      </w:r>
    </w:p>
    <w:p w14:paraId="5F470D9F" w14:textId="77777777" w:rsidR="00894753" w:rsidRPr="00894753" w:rsidRDefault="00894753" w:rsidP="00894753">
      <w:pPr>
        <w:pStyle w:val="ListParagraph"/>
        <w:numPr>
          <w:ilvl w:val="0"/>
          <w:numId w:val="12"/>
        </w:numPr>
        <w:tabs>
          <w:tab w:val="num" w:pos="720"/>
        </w:tabs>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Willingness to collaborate with researchers, and</w:t>
      </w:r>
    </w:p>
    <w:p w14:paraId="43E2742A" w14:textId="77777777" w:rsidR="00894753" w:rsidRDefault="00894753" w:rsidP="00894753">
      <w:pPr>
        <w:pStyle w:val="ListParagraph"/>
        <w:numPr>
          <w:ilvl w:val="0"/>
          <w:numId w:val="12"/>
        </w:numPr>
        <w:tabs>
          <w:tab w:val="num" w:pos="720"/>
        </w:tabs>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Commitment to sharing knowledge and disseminating the technology to fellow agro-pastoralists.</w:t>
      </w:r>
    </w:p>
    <w:p w14:paraId="388B0BCE" w14:textId="77777777" w:rsidR="00894753" w:rsidRPr="00894753" w:rsidRDefault="00894753" w:rsidP="00894753">
      <w:pPr>
        <w:pStyle w:val="ListParagraph"/>
        <w:tabs>
          <w:tab w:val="num" w:pos="720"/>
        </w:tabs>
        <w:spacing w:after="0" w:line="240" w:lineRule="auto"/>
        <w:jc w:val="both"/>
        <w:rPr>
          <w:rFonts w:ascii="Times New Roman" w:hAnsi="Times New Roman" w:cs="Times New Roman"/>
          <w:sz w:val="24"/>
          <w:szCs w:val="24"/>
          <w:highlight w:val="yellow"/>
        </w:rPr>
      </w:pPr>
    </w:p>
    <w:p w14:paraId="47BE8754" w14:textId="4C28DD3A" w:rsidR="00D61FA8" w:rsidRPr="00B22A6F" w:rsidRDefault="00D61FA8" w:rsidP="00B22A6F">
      <w:pPr>
        <w:pStyle w:val="ListParagraph"/>
        <w:numPr>
          <w:ilvl w:val="1"/>
          <w:numId w:val="9"/>
        </w:numPr>
        <w:spacing w:after="0"/>
        <w:jc w:val="both"/>
        <w:rPr>
          <w:rFonts w:ascii="Times New Roman" w:hAnsi="Times New Roman" w:cs="Times New Roman"/>
          <w:b/>
          <w:sz w:val="24"/>
          <w:szCs w:val="24"/>
          <w:highlight w:val="yellow"/>
        </w:rPr>
      </w:pPr>
      <w:bookmarkStart w:id="3" w:name="_Toc421109754"/>
      <w:r w:rsidRPr="00B22A6F">
        <w:rPr>
          <w:rFonts w:ascii="Times New Roman" w:hAnsi="Times New Roman" w:cs="Times New Roman"/>
          <w:b/>
          <w:sz w:val="24"/>
          <w:szCs w:val="24"/>
          <w:highlight w:val="yellow"/>
        </w:rPr>
        <w:lastRenderedPageBreak/>
        <w:t>Experimental Design</w:t>
      </w:r>
    </w:p>
    <w:p w14:paraId="70974B19" w14:textId="77777777" w:rsidR="00D61FA8" w:rsidRPr="00FD1B52" w:rsidRDefault="00D61FA8" w:rsidP="00D61FA8">
      <w:pPr>
        <w:spacing w:after="0"/>
        <w:jc w:val="both"/>
        <w:rPr>
          <w:rFonts w:ascii="Times New Roman" w:eastAsiaTheme="minorEastAsia" w:hAnsi="Times New Roman" w:cs="Times New Roman"/>
          <w:b/>
          <w:sz w:val="24"/>
          <w:szCs w:val="24"/>
          <w:highlight w:val="yellow"/>
        </w:rPr>
      </w:pPr>
    </w:p>
    <w:p w14:paraId="0E5929A4" w14:textId="527604CC" w:rsidR="00894753" w:rsidRPr="00894753" w:rsidRDefault="00894753" w:rsidP="00894753">
      <w:pPr>
        <w:contextualSpacing/>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 xml:space="preserve">In addition to the 25 model agro-pastoralists, four researchers (enumerators), two extension agents, and two experts from the district agricultural bureau were trained on improved feeding methods for small ruminant fattening. A training manual </w:t>
      </w:r>
      <w:proofErr w:type="gramStart"/>
      <w:r w:rsidRPr="00894753">
        <w:rPr>
          <w:rFonts w:ascii="Times New Roman" w:hAnsi="Times New Roman" w:cs="Times New Roman"/>
          <w:sz w:val="24"/>
          <w:szCs w:val="24"/>
          <w:highlight w:val="yellow"/>
        </w:rPr>
        <w:t xml:space="preserve">on </w:t>
      </w:r>
      <w:r w:rsidR="00C032FC">
        <w:rPr>
          <w:rFonts w:ascii="Times New Roman" w:hAnsi="Times New Roman" w:cs="Times New Roman"/>
          <w:sz w:val="24"/>
          <w:szCs w:val="24"/>
          <w:highlight w:val="yellow"/>
        </w:rPr>
        <w:t xml:space="preserve"> Sheep</w:t>
      </w:r>
      <w:proofErr w:type="gramEnd"/>
      <w:r w:rsidRPr="00894753">
        <w:rPr>
          <w:rFonts w:ascii="Times New Roman" w:hAnsi="Times New Roman" w:cs="Times New Roman"/>
          <w:sz w:val="24"/>
          <w:szCs w:val="24"/>
          <w:highlight w:val="yellow"/>
        </w:rPr>
        <w:t xml:space="preserve"> fattening and management practices, translated into the Somali language, was prepared and distributed to all participants for reference.</w:t>
      </w:r>
    </w:p>
    <w:p w14:paraId="31BCC07B" w14:textId="1C2C2680" w:rsidR="00894753" w:rsidRPr="00894753" w:rsidRDefault="00894753" w:rsidP="00894753">
      <w:pPr>
        <w:contextualSpacing/>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The agro-pastoralists were randomly assigned to two treatment groups</w:t>
      </w:r>
      <w:r>
        <w:rPr>
          <w:rFonts w:ascii="Times New Roman" w:hAnsi="Times New Roman" w:cs="Times New Roman"/>
          <w:sz w:val="24"/>
          <w:szCs w:val="24"/>
          <w:highlight w:val="yellow"/>
        </w:rPr>
        <w:t xml:space="preserve">, </w:t>
      </w:r>
      <w:r w:rsidRPr="00894753">
        <w:rPr>
          <w:rFonts w:ascii="Times New Roman" w:hAnsi="Times New Roman" w:cs="Times New Roman"/>
          <w:sz w:val="24"/>
          <w:szCs w:val="24"/>
          <w:highlight w:val="yellow"/>
        </w:rPr>
        <w:t>control and finishing</w:t>
      </w:r>
      <w:r>
        <w:rPr>
          <w:rFonts w:ascii="Times New Roman" w:hAnsi="Times New Roman" w:cs="Times New Roman"/>
          <w:sz w:val="24"/>
          <w:szCs w:val="24"/>
          <w:highlight w:val="yellow"/>
        </w:rPr>
        <w:t xml:space="preserve">, </w:t>
      </w:r>
      <w:r w:rsidRPr="00894753">
        <w:rPr>
          <w:rFonts w:ascii="Times New Roman" w:hAnsi="Times New Roman" w:cs="Times New Roman"/>
          <w:sz w:val="24"/>
          <w:szCs w:val="24"/>
          <w:highlight w:val="yellow"/>
        </w:rPr>
        <w:t>by drawing lots. Each participant provided ten rams, resulting in a total of 100 sheep for the study. Upon arrival at the kebele, all animals were treated against internal and external parasites.</w:t>
      </w:r>
      <w:r>
        <w:rPr>
          <w:rFonts w:ascii="Times New Roman" w:hAnsi="Times New Roman" w:cs="Times New Roman"/>
          <w:sz w:val="24"/>
          <w:szCs w:val="24"/>
          <w:highlight w:val="yellow"/>
        </w:rPr>
        <w:t xml:space="preserve"> </w:t>
      </w:r>
      <w:r w:rsidRPr="00894753">
        <w:rPr>
          <w:rFonts w:ascii="Times New Roman" w:hAnsi="Times New Roman" w:cs="Times New Roman"/>
          <w:sz w:val="24"/>
          <w:szCs w:val="24"/>
          <w:highlight w:val="yellow"/>
        </w:rPr>
        <w:t xml:space="preserve">Prior to the experiment, forage plantations were established by participating agro-pastoralists, coordinated by technical staff from </w:t>
      </w:r>
      <w:proofErr w:type="spellStart"/>
      <w:r w:rsidRPr="00894753">
        <w:rPr>
          <w:rFonts w:ascii="Times New Roman" w:hAnsi="Times New Roman" w:cs="Times New Roman"/>
          <w:sz w:val="24"/>
          <w:szCs w:val="24"/>
          <w:highlight w:val="yellow"/>
        </w:rPr>
        <w:t>GoPARC</w:t>
      </w:r>
      <w:proofErr w:type="spellEnd"/>
      <w:r w:rsidRPr="00894753">
        <w:rPr>
          <w:rFonts w:ascii="Times New Roman" w:hAnsi="Times New Roman" w:cs="Times New Roman"/>
          <w:sz w:val="24"/>
          <w:szCs w:val="24"/>
          <w:highlight w:val="yellow"/>
        </w:rPr>
        <w:t>.</w:t>
      </w:r>
    </w:p>
    <w:p w14:paraId="0D28C9EC" w14:textId="77777777" w:rsidR="00191749" w:rsidRPr="00191749" w:rsidRDefault="00191749" w:rsidP="004F4F58">
      <w:pPr>
        <w:spacing w:after="0" w:line="240" w:lineRule="auto"/>
        <w:jc w:val="both"/>
        <w:rPr>
          <w:rFonts w:ascii="Times New Roman" w:hAnsi="Times New Roman" w:cs="Times New Roman"/>
          <w:sz w:val="24"/>
          <w:szCs w:val="24"/>
          <w:highlight w:val="yellow"/>
        </w:rPr>
      </w:pPr>
    </w:p>
    <w:bookmarkEnd w:id="3"/>
    <w:p w14:paraId="73CC019A" w14:textId="33B93995" w:rsidR="004F4F58" w:rsidRPr="00B22A6F" w:rsidRDefault="004F4F58" w:rsidP="00B22A6F">
      <w:pPr>
        <w:pStyle w:val="ListParagraph"/>
        <w:numPr>
          <w:ilvl w:val="1"/>
          <w:numId w:val="9"/>
        </w:numPr>
        <w:spacing w:after="0" w:line="240" w:lineRule="auto"/>
        <w:jc w:val="both"/>
        <w:rPr>
          <w:rFonts w:ascii="Times New Roman" w:hAnsi="Times New Roman" w:cs="Times New Roman"/>
          <w:b/>
          <w:bCs/>
          <w:sz w:val="24"/>
          <w:szCs w:val="24"/>
          <w:highlight w:val="yellow"/>
        </w:rPr>
      </w:pPr>
      <w:r w:rsidRPr="00B22A6F">
        <w:rPr>
          <w:rFonts w:ascii="Times New Roman" w:hAnsi="Times New Roman" w:cs="Times New Roman"/>
          <w:b/>
          <w:bCs/>
          <w:sz w:val="24"/>
          <w:szCs w:val="24"/>
          <w:highlight w:val="yellow"/>
        </w:rPr>
        <w:t>Forage Production</w:t>
      </w:r>
    </w:p>
    <w:p w14:paraId="098A4E81" w14:textId="77777777" w:rsidR="004F4F58" w:rsidRPr="004F4F58" w:rsidRDefault="004F4F58" w:rsidP="004F4F58">
      <w:pPr>
        <w:spacing w:after="0" w:line="240" w:lineRule="auto"/>
        <w:jc w:val="both"/>
        <w:rPr>
          <w:rFonts w:ascii="Times New Roman" w:hAnsi="Times New Roman" w:cs="Times New Roman"/>
          <w:b/>
          <w:bCs/>
          <w:sz w:val="24"/>
          <w:szCs w:val="24"/>
          <w:highlight w:val="yellow"/>
        </w:rPr>
      </w:pPr>
    </w:p>
    <w:p w14:paraId="5930F0F4" w14:textId="7B1E0CB7" w:rsidR="00894753" w:rsidRPr="00894753" w:rsidRDefault="00894753" w:rsidP="00894753">
      <w:pPr>
        <w:contextualSpacing/>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t xml:space="preserve">The land was cultivated once before the onset of the rainy season and again during planting to ensure a fine seedbed. Two grass species and two legume species were provided by </w:t>
      </w:r>
      <w:proofErr w:type="spellStart"/>
      <w:r w:rsidRPr="00894753">
        <w:rPr>
          <w:rFonts w:ascii="Times New Roman" w:hAnsi="Times New Roman" w:cs="Times New Roman"/>
          <w:sz w:val="24"/>
          <w:szCs w:val="24"/>
          <w:highlight w:val="yellow"/>
        </w:rPr>
        <w:t>GoPARC</w:t>
      </w:r>
      <w:proofErr w:type="spellEnd"/>
      <w:r w:rsidRPr="00894753">
        <w:rPr>
          <w:rFonts w:ascii="Times New Roman" w:hAnsi="Times New Roman" w:cs="Times New Roman"/>
          <w:sz w:val="24"/>
          <w:szCs w:val="24"/>
          <w:highlight w:val="yellow"/>
        </w:rPr>
        <w:t>, cleaned of impurities and irregular seeds to enhance germination rates. A 40 cm row spacing was maintained for both same-row and alternate-row planting patterns. Hand weeding was conducted once, 30 days after planting, for all forage types.</w:t>
      </w:r>
      <w:r>
        <w:rPr>
          <w:rFonts w:ascii="Times New Roman" w:hAnsi="Times New Roman" w:cs="Times New Roman"/>
          <w:sz w:val="24"/>
          <w:szCs w:val="24"/>
          <w:highlight w:val="yellow"/>
        </w:rPr>
        <w:t xml:space="preserve"> </w:t>
      </w:r>
      <w:r w:rsidRPr="00894753">
        <w:rPr>
          <w:rFonts w:ascii="Times New Roman" w:hAnsi="Times New Roman" w:cs="Times New Roman"/>
          <w:sz w:val="24"/>
          <w:szCs w:val="24"/>
          <w:highlight w:val="yellow"/>
        </w:rPr>
        <w:t xml:space="preserve">The grass species included Elephant grass (Pennisetum purpureum) and Sudan grass (Sorghum </w:t>
      </w:r>
      <w:proofErr w:type="spellStart"/>
      <w:r w:rsidRPr="00894753">
        <w:rPr>
          <w:rFonts w:ascii="Times New Roman" w:hAnsi="Times New Roman" w:cs="Times New Roman"/>
          <w:sz w:val="24"/>
          <w:szCs w:val="24"/>
          <w:highlight w:val="yellow"/>
        </w:rPr>
        <w:t>sudanense</w:t>
      </w:r>
      <w:proofErr w:type="spellEnd"/>
      <w:r w:rsidRPr="00894753">
        <w:rPr>
          <w:rFonts w:ascii="Times New Roman" w:hAnsi="Times New Roman" w:cs="Times New Roman"/>
          <w:sz w:val="24"/>
          <w:szCs w:val="24"/>
          <w:highlight w:val="yellow"/>
        </w:rPr>
        <w:t>), while the legume species were Alfalfa (Medicago sativa) and Lablab (Lablab purpureus). These were planted individually on the farmers’ plots.</w:t>
      </w:r>
      <w:r>
        <w:rPr>
          <w:rFonts w:ascii="Times New Roman" w:hAnsi="Times New Roman" w:cs="Times New Roman"/>
          <w:sz w:val="24"/>
          <w:szCs w:val="24"/>
          <w:highlight w:val="yellow"/>
        </w:rPr>
        <w:t xml:space="preserve"> </w:t>
      </w:r>
      <w:r w:rsidRPr="00894753">
        <w:rPr>
          <w:rFonts w:ascii="Times New Roman" w:hAnsi="Times New Roman" w:cs="Times New Roman"/>
          <w:sz w:val="24"/>
          <w:szCs w:val="24"/>
          <w:highlight w:val="yellow"/>
        </w:rPr>
        <w:t>Forages adequate for the feeding period were harvested, air-dried under shade, stored, and later chopped before being fed to the animals. Feed introduction to the experimental animals was gradual over a 10-day adaptation period.</w:t>
      </w:r>
      <w:r>
        <w:rPr>
          <w:rFonts w:ascii="Times New Roman" w:hAnsi="Times New Roman" w:cs="Times New Roman"/>
          <w:sz w:val="24"/>
          <w:szCs w:val="24"/>
          <w:highlight w:val="yellow"/>
        </w:rPr>
        <w:t xml:space="preserve"> </w:t>
      </w:r>
      <w:r w:rsidRPr="00894753">
        <w:rPr>
          <w:rFonts w:ascii="Times New Roman" w:hAnsi="Times New Roman" w:cs="Times New Roman"/>
          <w:sz w:val="24"/>
          <w:szCs w:val="24"/>
          <w:highlight w:val="yellow"/>
        </w:rPr>
        <w:t>Sheep in the finishing group received supplementary feed for 90 days, while the control group grazed naturally. All sheep were allowed to graze for 8 hours daily, with supplementary feeding provided in the evening.</w:t>
      </w:r>
      <w:r>
        <w:rPr>
          <w:rFonts w:ascii="Times New Roman" w:hAnsi="Times New Roman" w:cs="Times New Roman"/>
          <w:sz w:val="24"/>
          <w:szCs w:val="24"/>
          <w:highlight w:val="yellow"/>
        </w:rPr>
        <w:t xml:space="preserve"> </w:t>
      </w:r>
      <w:r w:rsidRPr="00894753">
        <w:rPr>
          <w:rFonts w:ascii="Times New Roman" w:hAnsi="Times New Roman" w:cs="Times New Roman"/>
          <w:sz w:val="24"/>
          <w:szCs w:val="24"/>
          <w:highlight w:val="yellow"/>
        </w:rPr>
        <w:t xml:space="preserve">At both the beginning and end of the experiment, the market value of the animals was estimated by a panel of three </w:t>
      </w:r>
      <w:r w:rsidR="001031B8" w:rsidRPr="00894753">
        <w:rPr>
          <w:rFonts w:ascii="Times New Roman" w:hAnsi="Times New Roman" w:cs="Times New Roman"/>
          <w:sz w:val="24"/>
          <w:szCs w:val="24"/>
          <w:highlight w:val="yellow"/>
        </w:rPr>
        <w:t xml:space="preserve">local </w:t>
      </w:r>
      <w:r w:rsidR="001031B8">
        <w:rPr>
          <w:rFonts w:ascii="Times New Roman" w:hAnsi="Times New Roman" w:cs="Times New Roman"/>
          <w:sz w:val="24"/>
          <w:szCs w:val="24"/>
          <w:highlight w:val="yellow"/>
        </w:rPr>
        <w:t>Sheep</w:t>
      </w:r>
      <w:r w:rsidRPr="00894753">
        <w:rPr>
          <w:rFonts w:ascii="Times New Roman" w:hAnsi="Times New Roman" w:cs="Times New Roman"/>
          <w:sz w:val="24"/>
          <w:szCs w:val="24"/>
          <w:highlight w:val="yellow"/>
        </w:rPr>
        <w:t xml:space="preserve"> traders, and the average value was used for economic analysis.</w:t>
      </w:r>
    </w:p>
    <w:p w14:paraId="30D58B93" w14:textId="77777777" w:rsidR="004F4F58" w:rsidRPr="004F4F58" w:rsidRDefault="004F4F58" w:rsidP="004F4F58">
      <w:pPr>
        <w:spacing w:after="0" w:line="240" w:lineRule="auto"/>
        <w:jc w:val="both"/>
        <w:rPr>
          <w:rFonts w:ascii="Times New Roman" w:hAnsi="Times New Roman" w:cs="Times New Roman"/>
          <w:sz w:val="24"/>
          <w:szCs w:val="24"/>
        </w:rPr>
      </w:pPr>
    </w:p>
    <w:p w14:paraId="0AB4FB18" w14:textId="74E5E7BB" w:rsidR="00B7163D" w:rsidRPr="00537FBD" w:rsidRDefault="00894753" w:rsidP="0089475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894753">
        <w:rPr>
          <w:rFonts w:ascii="Times New Roman" w:hAnsi="Times New Roman" w:cs="Times New Roman"/>
          <w:b/>
          <w:bCs/>
          <w:sz w:val="24"/>
          <w:szCs w:val="24"/>
        </w:rPr>
        <w:t>Nutritional Composition of Forage Species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4"/>
        <w:gridCol w:w="1930"/>
        <w:gridCol w:w="1530"/>
        <w:gridCol w:w="1755"/>
        <w:gridCol w:w="1920"/>
      </w:tblGrid>
      <w:tr w:rsidR="00B7163D" w:rsidRPr="00537FBD" w14:paraId="5883CC64" w14:textId="77777777" w:rsidTr="00894753">
        <w:trPr>
          <w:trHeight w:val="210"/>
        </w:trPr>
        <w:tc>
          <w:tcPr>
            <w:tcW w:w="990" w:type="dxa"/>
            <w:vAlign w:val="center"/>
          </w:tcPr>
          <w:p w14:paraId="5C116B29" w14:textId="566928CF" w:rsidR="00B7163D" w:rsidRPr="00894753" w:rsidRDefault="00894753" w:rsidP="00894753">
            <w:pPr>
              <w:spacing w:after="0"/>
              <w:rPr>
                <w:rFonts w:ascii="Calibri" w:hAnsi="Calibri" w:cs="Calibri"/>
                <w:b/>
                <w:bCs/>
                <w:color w:val="000000"/>
              </w:rPr>
            </w:pPr>
            <w:r>
              <w:rPr>
                <w:rFonts w:ascii="Calibri" w:hAnsi="Calibri" w:cs="Calibri"/>
                <w:b/>
                <w:bCs/>
                <w:color w:val="000000"/>
              </w:rPr>
              <w:t>Parameter</w:t>
            </w:r>
          </w:p>
        </w:tc>
        <w:tc>
          <w:tcPr>
            <w:tcW w:w="1930" w:type="dxa"/>
          </w:tcPr>
          <w:p w14:paraId="2348DA84" w14:textId="77777777" w:rsidR="00B7163D" w:rsidRPr="00537FBD" w:rsidRDefault="009F3974" w:rsidP="00894753">
            <w:pPr>
              <w:spacing w:after="0" w:line="360" w:lineRule="auto"/>
              <w:jc w:val="center"/>
              <w:rPr>
                <w:rFonts w:ascii="Times New Roman" w:hAnsi="Times New Roman" w:cs="Times New Roman"/>
                <w:sz w:val="24"/>
                <w:szCs w:val="24"/>
              </w:rPr>
            </w:pPr>
            <w:r w:rsidRPr="00537FBD">
              <w:rPr>
                <w:rFonts w:ascii="Times New Roman" w:hAnsi="Times New Roman" w:cs="Times New Roman"/>
                <w:b/>
                <w:bCs/>
                <w:sz w:val="24"/>
                <w:szCs w:val="24"/>
              </w:rPr>
              <w:t xml:space="preserve">Elephant </w:t>
            </w:r>
            <w:r w:rsidR="00B7163D" w:rsidRPr="00537FBD">
              <w:rPr>
                <w:rFonts w:ascii="Times New Roman" w:hAnsi="Times New Roman" w:cs="Times New Roman"/>
                <w:b/>
                <w:bCs/>
                <w:sz w:val="24"/>
                <w:szCs w:val="24"/>
              </w:rPr>
              <w:t>Grass</w:t>
            </w:r>
          </w:p>
        </w:tc>
        <w:tc>
          <w:tcPr>
            <w:tcW w:w="1530" w:type="dxa"/>
          </w:tcPr>
          <w:p w14:paraId="3CF3AC88" w14:textId="77777777" w:rsidR="00B7163D" w:rsidRPr="00537FBD" w:rsidRDefault="00B7163D" w:rsidP="00894753">
            <w:pPr>
              <w:spacing w:after="0" w:line="360" w:lineRule="auto"/>
              <w:jc w:val="center"/>
              <w:rPr>
                <w:rFonts w:ascii="Times New Roman" w:hAnsi="Times New Roman" w:cs="Times New Roman"/>
                <w:sz w:val="24"/>
                <w:szCs w:val="24"/>
              </w:rPr>
            </w:pPr>
            <w:r w:rsidRPr="00537FBD">
              <w:rPr>
                <w:rFonts w:ascii="Times New Roman" w:hAnsi="Times New Roman" w:cs="Times New Roman"/>
                <w:b/>
                <w:bCs/>
                <w:sz w:val="24"/>
                <w:szCs w:val="24"/>
              </w:rPr>
              <w:t>Alfalfa</w:t>
            </w:r>
          </w:p>
        </w:tc>
        <w:tc>
          <w:tcPr>
            <w:tcW w:w="1755" w:type="dxa"/>
          </w:tcPr>
          <w:p w14:paraId="6B2EA82F" w14:textId="77777777" w:rsidR="00B7163D" w:rsidRPr="00537FBD" w:rsidRDefault="009F3974" w:rsidP="00894753">
            <w:pPr>
              <w:spacing w:after="0" w:line="360" w:lineRule="auto"/>
              <w:jc w:val="center"/>
              <w:rPr>
                <w:rFonts w:ascii="Times New Roman" w:hAnsi="Times New Roman" w:cs="Times New Roman"/>
                <w:sz w:val="24"/>
                <w:szCs w:val="24"/>
              </w:rPr>
            </w:pPr>
            <w:r w:rsidRPr="00537FBD">
              <w:rPr>
                <w:rFonts w:ascii="Times New Roman" w:hAnsi="Times New Roman" w:cs="Times New Roman"/>
                <w:b/>
                <w:bCs/>
                <w:sz w:val="24"/>
                <w:szCs w:val="24"/>
              </w:rPr>
              <w:t xml:space="preserve">Sudan </w:t>
            </w:r>
            <w:r w:rsidR="00B7163D" w:rsidRPr="00537FBD">
              <w:rPr>
                <w:rFonts w:ascii="Times New Roman" w:hAnsi="Times New Roman" w:cs="Times New Roman"/>
                <w:b/>
                <w:bCs/>
                <w:sz w:val="24"/>
                <w:szCs w:val="24"/>
              </w:rPr>
              <w:t xml:space="preserve">Grass  </w:t>
            </w:r>
          </w:p>
        </w:tc>
        <w:tc>
          <w:tcPr>
            <w:tcW w:w="1920" w:type="dxa"/>
          </w:tcPr>
          <w:p w14:paraId="77F6F78D" w14:textId="77777777" w:rsidR="00B7163D" w:rsidRPr="00537FBD" w:rsidRDefault="00B7163D" w:rsidP="00894753">
            <w:pPr>
              <w:spacing w:after="0" w:line="360" w:lineRule="auto"/>
              <w:jc w:val="center"/>
              <w:rPr>
                <w:rFonts w:ascii="Times New Roman" w:hAnsi="Times New Roman" w:cs="Times New Roman"/>
                <w:sz w:val="24"/>
                <w:szCs w:val="24"/>
              </w:rPr>
            </w:pPr>
            <w:r w:rsidRPr="00537FBD">
              <w:rPr>
                <w:rFonts w:ascii="Times New Roman" w:hAnsi="Times New Roman" w:cs="Times New Roman"/>
                <w:b/>
                <w:bCs/>
                <w:sz w:val="24"/>
                <w:szCs w:val="24"/>
              </w:rPr>
              <w:t>Lablab</w:t>
            </w:r>
          </w:p>
        </w:tc>
      </w:tr>
      <w:tr w:rsidR="00B7163D" w:rsidRPr="00537FBD" w14:paraId="397AC0BE" w14:textId="77777777" w:rsidTr="00894753">
        <w:trPr>
          <w:trHeight w:val="210"/>
        </w:trPr>
        <w:tc>
          <w:tcPr>
            <w:tcW w:w="990" w:type="dxa"/>
          </w:tcPr>
          <w:p w14:paraId="5344EF05" w14:textId="77777777" w:rsidR="00B7163D" w:rsidRPr="00537FBD" w:rsidRDefault="00B7163D" w:rsidP="00C73FA0">
            <w:pPr>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CP</w:t>
            </w:r>
          </w:p>
        </w:tc>
        <w:tc>
          <w:tcPr>
            <w:tcW w:w="1930" w:type="dxa"/>
          </w:tcPr>
          <w:p w14:paraId="169272BA" w14:textId="77777777" w:rsidR="00B7163D" w:rsidRPr="00537FBD" w:rsidRDefault="00B7163D" w:rsidP="00C73FA0">
            <w:pPr>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9.4</w:t>
            </w:r>
          </w:p>
        </w:tc>
        <w:tc>
          <w:tcPr>
            <w:tcW w:w="1530" w:type="dxa"/>
          </w:tcPr>
          <w:p w14:paraId="0B48103B" w14:textId="77777777" w:rsidR="00B7163D" w:rsidRPr="00537FBD" w:rsidRDefault="00B7163D" w:rsidP="00C73FA0">
            <w:pPr>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16.8</w:t>
            </w:r>
          </w:p>
        </w:tc>
        <w:tc>
          <w:tcPr>
            <w:tcW w:w="1755" w:type="dxa"/>
          </w:tcPr>
          <w:p w14:paraId="66A365EC" w14:textId="77777777" w:rsidR="00B7163D" w:rsidRPr="00537FBD" w:rsidRDefault="00B7163D" w:rsidP="00C73FA0">
            <w:pPr>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10.9</w:t>
            </w:r>
          </w:p>
        </w:tc>
        <w:tc>
          <w:tcPr>
            <w:tcW w:w="1920" w:type="dxa"/>
          </w:tcPr>
          <w:p w14:paraId="2589FB4F" w14:textId="77777777" w:rsidR="00B7163D" w:rsidRPr="00537FBD" w:rsidRDefault="00B7163D" w:rsidP="00C73FA0">
            <w:pPr>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15.2</w:t>
            </w:r>
          </w:p>
        </w:tc>
      </w:tr>
      <w:tr w:rsidR="00B7163D" w:rsidRPr="00537FBD" w14:paraId="1ED47D51" w14:textId="77777777" w:rsidTr="00894753">
        <w:trPr>
          <w:trHeight w:val="233"/>
        </w:trPr>
        <w:tc>
          <w:tcPr>
            <w:tcW w:w="990" w:type="dxa"/>
          </w:tcPr>
          <w:p w14:paraId="354117F5" w14:textId="77777777" w:rsidR="00B7163D" w:rsidRPr="00537FBD" w:rsidRDefault="00B7163D" w:rsidP="00C73FA0">
            <w:pPr>
              <w:tabs>
                <w:tab w:val="left" w:pos="5115"/>
              </w:tabs>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NDF</w:t>
            </w:r>
          </w:p>
        </w:tc>
        <w:tc>
          <w:tcPr>
            <w:tcW w:w="1930" w:type="dxa"/>
          </w:tcPr>
          <w:p w14:paraId="1D40F12A" w14:textId="77777777" w:rsidR="00B7163D" w:rsidRPr="00537FBD" w:rsidRDefault="00B7163D" w:rsidP="00C73FA0">
            <w:pPr>
              <w:tabs>
                <w:tab w:val="left" w:pos="5115"/>
              </w:tabs>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71.3</w:t>
            </w:r>
          </w:p>
        </w:tc>
        <w:tc>
          <w:tcPr>
            <w:tcW w:w="1530" w:type="dxa"/>
          </w:tcPr>
          <w:p w14:paraId="5F70A5F5" w14:textId="77777777" w:rsidR="00B7163D" w:rsidRPr="00537FBD" w:rsidRDefault="00B7163D" w:rsidP="00C73FA0">
            <w:pPr>
              <w:tabs>
                <w:tab w:val="left" w:pos="5115"/>
              </w:tabs>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64.3</w:t>
            </w:r>
          </w:p>
        </w:tc>
        <w:tc>
          <w:tcPr>
            <w:tcW w:w="1755" w:type="dxa"/>
          </w:tcPr>
          <w:p w14:paraId="7F9B8FB3" w14:textId="77777777" w:rsidR="00B7163D" w:rsidRPr="00537FBD" w:rsidRDefault="00B7163D" w:rsidP="00C73FA0">
            <w:pPr>
              <w:tabs>
                <w:tab w:val="left" w:pos="5115"/>
              </w:tabs>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83.0</w:t>
            </w:r>
          </w:p>
        </w:tc>
        <w:tc>
          <w:tcPr>
            <w:tcW w:w="1920" w:type="dxa"/>
          </w:tcPr>
          <w:p w14:paraId="0DE4D538" w14:textId="77777777" w:rsidR="00B7163D" w:rsidRPr="00537FBD" w:rsidRDefault="00B7163D" w:rsidP="00C73FA0">
            <w:pPr>
              <w:tabs>
                <w:tab w:val="left" w:pos="5115"/>
              </w:tabs>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70.2</w:t>
            </w:r>
          </w:p>
        </w:tc>
      </w:tr>
      <w:tr w:rsidR="00B7163D" w:rsidRPr="00537FBD" w14:paraId="46B47E05" w14:textId="77777777" w:rsidTr="00894753">
        <w:trPr>
          <w:trHeight w:val="305"/>
        </w:trPr>
        <w:tc>
          <w:tcPr>
            <w:tcW w:w="990" w:type="dxa"/>
          </w:tcPr>
          <w:p w14:paraId="58D85A33" w14:textId="77777777" w:rsidR="00B7163D" w:rsidRPr="00537FBD" w:rsidRDefault="00B7163D" w:rsidP="00C73FA0">
            <w:pPr>
              <w:tabs>
                <w:tab w:val="left" w:pos="5115"/>
              </w:tabs>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ADF</w:t>
            </w:r>
          </w:p>
        </w:tc>
        <w:tc>
          <w:tcPr>
            <w:tcW w:w="1930" w:type="dxa"/>
          </w:tcPr>
          <w:p w14:paraId="7F094531" w14:textId="77777777" w:rsidR="00B7163D" w:rsidRPr="00537FBD" w:rsidRDefault="00B7163D" w:rsidP="00C73FA0">
            <w:pPr>
              <w:tabs>
                <w:tab w:val="left" w:pos="5115"/>
              </w:tabs>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39.2</w:t>
            </w:r>
          </w:p>
        </w:tc>
        <w:tc>
          <w:tcPr>
            <w:tcW w:w="1530" w:type="dxa"/>
          </w:tcPr>
          <w:p w14:paraId="21B073DF" w14:textId="77777777" w:rsidR="00B7163D" w:rsidRPr="00537FBD" w:rsidRDefault="00B7163D" w:rsidP="00C73FA0">
            <w:pPr>
              <w:tabs>
                <w:tab w:val="left" w:pos="5115"/>
              </w:tabs>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47.3</w:t>
            </w:r>
          </w:p>
        </w:tc>
        <w:tc>
          <w:tcPr>
            <w:tcW w:w="1755" w:type="dxa"/>
          </w:tcPr>
          <w:p w14:paraId="0959EA49" w14:textId="77777777" w:rsidR="00B7163D" w:rsidRPr="00537FBD" w:rsidRDefault="00B7163D" w:rsidP="00C73FA0">
            <w:pPr>
              <w:tabs>
                <w:tab w:val="left" w:pos="5115"/>
              </w:tabs>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50.1</w:t>
            </w:r>
          </w:p>
        </w:tc>
        <w:tc>
          <w:tcPr>
            <w:tcW w:w="1920" w:type="dxa"/>
          </w:tcPr>
          <w:p w14:paraId="597DB5CE" w14:textId="77777777" w:rsidR="00B7163D" w:rsidRPr="00537FBD" w:rsidRDefault="00B7163D" w:rsidP="00C73FA0">
            <w:pPr>
              <w:tabs>
                <w:tab w:val="left" w:pos="5115"/>
              </w:tabs>
              <w:spacing w:after="0" w:line="360" w:lineRule="auto"/>
              <w:jc w:val="center"/>
              <w:rPr>
                <w:rFonts w:ascii="Times New Roman" w:hAnsi="Times New Roman" w:cs="Times New Roman"/>
                <w:sz w:val="24"/>
                <w:szCs w:val="24"/>
              </w:rPr>
            </w:pPr>
            <w:r w:rsidRPr="00537FBD">
              <w:rPr>
                <w:rFonts w:ascii="Times New Roman" w:hAnsi="Times New Roman" w:cs="Times New Roman"/>
                <w:sz w:val="24"/>
                <w:szCs w:val="24"/>
              </w:rPr>
              <w:t>41.5</w:t>
            </w:r>
          </w:p>
        </w:tc>
      </w:tr>
      <w:tr w:rsidR="00B22A6F" w:rsidRPr="00C73FA0" w14:paraId="564B3DBE" w14:textId="77777777" w:rsidTr="00894753">
        <w:trPr>
          <w:trHeight w:val="305"/>
        </w:trPr>
        <w:tc>
          <w:tcPr>
            <w:tcW w:w="8125" w:type="dxa"/>
            <w:gridSpan w:val="5"/>
          </w:tcPr>
          <w:p w14:paraId="240E5E7A" w14:textId="15031FE3" w:rsidR="00B22A6F" w:rsidRPr="00B22A6F" w:rsidRDefault="00B22A6F" w:rsidP="00537FBD">
            <w:pPr>
              <w:tabs>
                <w:tab w:val="left" w:pos="5115"/>
              </w:tabs>
              <w:spacing w:after="0" w:line="240" w:lineRule="auto"/>
              <w:rPr>
                <w:rFonts w:ascii="Times New Roman" w:hAnsi="Times New Roman" w:cs="Times New Roman"/>
                <w:sz w:val="24"/>
                <w:szCs w:val="24"/>
              </w:rPr>
            </w:pPr>
            <w:r w:rsidRPr="00537FBD">
              <w:rPr>
                <w:rFonts w:ascii="Times New Roman" w:hAnsi="Times New Roman" w:cs="Times New Roman"/>
                <w:sz w:val="24"/>
                <w:szCs w:val="24"/>
              </w:rPr>
              <w:t>CP, crude protein; NDF, neutral detergent fiber; ADF, acid detergent fiber</w:t>
            </w:r>
          </w:p>
        </w:tc>
      </w:tr>
    </w:tbl>
    <w:p w14:paraId="29CD822B" w14:textId="77777777" w:rsidR="00537FBD" w:rsidRPr="00C73FA0" w:rsidRDefault="00537FBD" w:rsidP="00537FBD">
      <w:pPr>
        <w:spacing w:after="0" w:line="240" w:lineRule="auto"/>
        <w:jc w:val="both"/>
        <w:rPr>
          <w:rFonts w:ascii="Times New Roman" w:hAnsi="Times New Roman" w:cs="Times New Roman"/>
          <w:b/>
          <w:sz w:val="24"/>
          <w:szCs w:val="24"/>
        </w:rPr>
      </w:pPr>
    </w:p>
    <w:p w14:paraId="6FB08E20" w14:textId="0DC03645" w:rsidR="00894753" w:rsidRDefault="00894753" w:rsidP="00894753">
      <w:pPr>
        <w:pStyle w:val="ListParagraph"/>
        <w:numPr>
          <w:ilvl w:val="1"/>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894753">
        <w:rPr>
          <w:rFonts w:ascii="Times New Roman" w:hAnsi="Times New Roman" w:cs="Times New Roman"/>
          <w:b/>
          <w:bCs/>
          <w:sz w:val="24"/>
          <w:szCs w:val="24"/>
        </w:rPr>
        <w:t>Data Collection and Analysis</w:t>
      </w:r>
    </w:p>
    <w:p w14:paraId="3C89E6B1" w14:textId="77777777" w:rsidR="00894753" w:rsidRPr="00894753" w:rsidRDefault="00894753" w:rsidP="00894753">
      <w:pPr>
        <w:pStyle w:val="ListParagraph"/>
        <w:spacing w:after="0" w:line="240" w:lineRule="auto"/>
        <w:ind w:left="360"/>
        <w:jc w:val="both"/>
        <w:rPr>
          <w:rFonts w:ascii="Times New Roman" w:hAnsi="Times New Roman" w:cs="Times New Roman"/>
          <w:b/>
          <w:bCs/>
          <w:sz w:val="24"/>
          <w:szCs w:val="24"/>
        </w:rPr>
      </w:pPr>
    </w:p>
    <w:p w14:paraId="63494CB3" w14:textId="77777777" w:rsidR="00894753" w:rsidRPr="0031500F" w:rsidRDefault="00894753" w:rsidP="00894753">
      <w:pPr>
        <w:contextualSpacing/>
        <w:jc w:val="both"/>
        <w:rPr>
          <w:rFonts w:ascii="Times New Roman" w:hAnsi="Times New Roman" w:cs="Times New Roman"/>
          <w:sz w:val="24"/>
          <w:szCs w:val="24"/>
          <w:highlight w:val="yellow"/>
        </w:rPr>
      </w:pPr>
      <w:r w:rsidRPr="00894753">
        <w:rPr>
          <w:rFonts w:ascii="Times New Roman" w:hAnsi="Times New Roman" w:cs="Times New Roman"/>
          <w:sz w:val="24"/>
          <w:szCs w:val="24"/>
          <w:highlight w:val="yellow"/>
        </w:rPr>
        <w:lastRenderedPageBreak/>
        <w:t>Body weight measurements were recorded at 10-day intervals after overnight fasting. Mean daily live weight gain was calculated by regressing live weight on feeding days. Data were analyzed using the General Linear Model (GLM) procedure of the SAS statistical software (Version 2004).</w:t>
      </w:r>
    </w:p>
    <w:p w14:paraId="51412303" w14:textId="77777777" w:rsidR="00894753" w:rsidRPr="00894753" w:rsidRDefault="00894753" w:rsidP="0031500F">
      <w:pPr>
        <w:spacing w:after="0" w:line="240" w:lineRule="auto"/>
        <w:contextualSpacing/>
        <w:jc w:val="both"/>
        <w:rPr>
          <w:rFonts w:ascii="Times New Roman" w:hAnsi="Times New Roman" w:cs="Times New Roman"/>
          <w:sz w:val="24"/>
          <w:szCs w:val="24"/>
          <w:highlight w:val="yellow"/>
        </w:rPr>
      </w:pPr>
    </w:p>
    <w:p w14:paraId="3B310B57" w14:textId="18D391C7" w:rsidR="00B00294" w:rsidRPr="0031500F" w:rsidRDefault="00894753" w:rsidP="00894753">
      <w:pPr>
        <w:pStyle w:val="ListParagraph"/>
        <w:numPr>
          <w:ilvl w:val="1"/>
          <w:numId w:val="9"/>
        </w:num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 xml:space="preserve"> </w:t>
      </w:r>
      <w:r w:rsidR="00B00294" w:rsidRPr="0031500F">
        <w:rPr>
          <w:rFonts w:ascii="Times New Roman" w:eastAsia="Times New Roman" w:hAnsi="Times New Roman" w:cs="Times New Roman"/>
          <w:b/>
          <w:sz w:val="24"/>
          <w:szCs w:val="24"/>
          <w:highlight w:val="yellow"/>
        </w:rPr>
        <w:t xml:space="preserve">Roles </w:t>
      </w:r>
      <w:r w:rsidR="00567B8B" w:rsidRPr="0031500F">
        <w:rPr>
          <w:rFonts w:ascii="Times New Roman" w:eastAsia="Times New Roman" w:hAnsi="Times New Roman" w:cs="Times New Roman"/>
          <w:b/>
          <w:sz w:val="24"/>
          <w:szCs w:val="24"/>
          <w:highlight w:val="yellow"/>
        </w:rPr>
        <w:t xml:space="preserve">and </w:t>
      </w:r>
      <w:r w:rsidR="000A6762">
        <w:rPr>
          <w:rFonts w:ascii="Times New Roman" w:eastAsia="Times New Roman" w:hAnsi="Times New Roman" w:cs="Times New Roman"/>
          <w:b/>
          <w:sz w:val="24"/>
          <w:szCs w:val="24"/>
          <w:highlight w:val="yellow"/>
        </w:rPr>
        <w:t>responsibilities</w:t>
      </w:r>
      <w:r w:rsidR="00567B8B" w:rsidRPr="0031500F">
        <w:rPr>
          <w:rFonts w:ascii="Times New Roman" w:eastAsia="Times New Roman" w:hAnsi="Times New Roman" w:cs="Times New Roman"/>
          <w:b/>
          <w:sz w:val="24"/>
          <w:szCs w:val="24"/>
          <w:highlight w:val="yellow"/>
        </w:rPr>
        <w:t xml:space="preserve"> of each actor</w:t>
      </w:r>
      <w:r w:rsidR="00B00294" w:rsidRPr="0031500F">
        <w:rPr>
          <w:rFonts w:ascii="Times New Roman" w:eastAsia="Times New Roman" w:hAnsi="Times New Roman" w:cs="Times New Roman"/>
          <w:sz w:val="24"/>
          <w:szCs w:val="24"/>
          <w:highlight w:val="yellow"/>
        </w:rPr>
        <w:t xml:space="preserve"> </w:t>
      </w:r>
    </w:p>
    <w:p w14:paraId="1F7D86B9" w14:textId="77777777" w:rsidR="00894753" w:rsidRPr="0031500F" w:rsidRDefault="00894753" w:rsidP="00894753">
      <w:pPr>
        <w:spacing w:after="0" w:line="240" w:lineRule="auto"/>
        <w:contextualSpacing/>
        <w:jc w:val="both"/>
        <w:rPr>
          <w:rFonts w:ascii="Times New Roman" w:eastAsia="Times New Roman" w:hAnsi="Times New Roman" w:cs="Times New Roman"/>
          <w:sz w:val="24"/>
          <w:szCs w:val="24"/>
          <w:highlight w:val="yellow"/>
        </w:rPr>
      </w:pPr>
    </w:p>
    <w:p w14:paraId="6C34AC16" w14:textId="77777777" w:rsidR="00894753" w:rsidRPr="00894753" w:rsidRDefault="00894753" w:rsidP="00894753">
      <w:pPr>
        <w:spacing w:after="0"/>
        <w:jc w:val="both"/>
        <w:rPr>
          <w:rFonts w:ascii="Times New Roman" w:eastAsia="Times New Roman" w:hAnsi="Times New Roman" w:cs="Times New Roman"/>
          <w:sz w:val="24"/>
          <w:szCs w:val="24"/>
          <w:highlight w:val="yellow"/>
        </w:rPr>
      </w:pPr>
      <w:bookmarkStart w:id="4" w:name="_Toc123589071"/>
      <w:r w:rsidRPr="00894753">
        <w:rPr>
          <w:rFonts w:ascii="Times New Roman" w:eastAsia="Times New Roman" w:hAnsi="Times New Roman" w:cs="Times New Roman"/>
          <w:sz w:val="24"/>
          <w:szCs w:val="24"/>
          <w:highlight w:val="yellow"/>
        </w:rPr>
        <w:t>A total of 27 individuals were directly or indirectly involved in the study, including 25 model agro-pastoralists, researchers, extension workers, and district agricultural experts.</w:t>
      </w:r>
    </w:p>
    <w:p w14:paraId="3BBAA906" w14:textId="77777777" w:rsidR="00894753" w:rsidRPr="00894753" w:rsidRDefault="00894753" w:rsidP="00894753">
      <w:pPr>
        <w:numPr>
          <w:ilvl w:val="0"/>
          <w:numId w:val="11"/>
        </w:numPr>
        <w:spacing w:after="0"/>
        <w:jc w:val="both"/>
        <w:rPr>
          <w:rFonts w:ascii="Times New Roman" w:eastAsia="Times New Roman" w:hAnsi="Times New Roman" w:cs="Times New Roman"/>
          <w:sz w:val="24"/>
          <w:szCs w:val="24"/>
          <w:highlight w:val="yellow"/>
        </w:rPr>
      </w:pPr>
      <w:r w:rsidRPr="00894753">
        <w:rPr>
          <w:rFonts w:ascii="Times New Roman" w:eastAsia="Times New Roman" w:hAnsi="Times New Roman" w:cs="Times New Roman"/>
          <w:sz w:val="24"/>
          <w:szCs w:val="24"/>
          <w:highlight w:val="yellow"/>
        </w:rPr>
        <w:t>Researchers conducted the initial needs assessment and problem identification, developed participatory work plans, and provided training to extension agents and district experts.</w:t>
      </w:r>
    </w:p>
    <w:p w14:paraId="02F32DB7" w14:textId="77777777" w:rsidR="00894753" w:rsidRPr="00894753" w:rsidRDefault="00894753" w:rsidP="00894753">
      <w:pPr>
        <w:numPr>
          <w:ilvl w:val="0"/>
          <w:numId w:val="11"/>
        </w:numPr>
        <w:spacing w:after="0"/>
        <w:jc w:val="both"/>
        <w:rPr>
          <w:rFonts w:ascii="Times New Roman" w:eastAsia="Times New Roman" w:hAnsi="Times New Roman" w:cs="Times New Roman"/>
          <w:sz w:val="24"/>
          <w:szCs w:val="24"/>
          <w:highlight w:val="yellow"/>
        </w:rPr>
      </w:pPr>
      <w:r w:rsidRPr="00894753">
        <w:rPr>
          <w:rFonts w:ascii="Times New Roman" w:eastAsia="Times New Roman" w:hAnsi="Times New Roman" w:cs="Times New Roman"/>
          <w:sz w:val="24"/>
          <w:szCs w:val="24"/>
          <w:highlight w:val="yellow"/>
        </w:rPr>
        <w:t>Woreda pastoral experts and extension workers cascaded training to the community, monitored field implementation, and provided on-site technical backstopping.</w:t>
      </w:r>
    </w:p>
    <w:p w14:paraId="462D737D" w14:textId="77777777" w:rsidR="00894753" w:rsidRPr="0031500F" w:rsidRDefault="00894753" w:rsidP="00894753">
      <w:pPr>
        <w:numPr>
          <w:ilvl w:val="0"/>
          <w:numId w:val="11"/>
        </w:numPr>
        <w:spacing w:after="0"/>
        <w:jc w:val="both"/>
        <w:rPr>
          <w:rFonts w:ascii="Times New Roman" w:eastAsia="Times New Roman" w:hAnsi="Times New Roman" w:cs="Times New Roman"/>
          <w:sz w:val="24"/>
          <w:szCs w:val="24"/>
          <w:highlight w:val="yellow"/>
        </w:rPr>
      </w:pPr>
      <w:r w:rsidRPr="00894753">
        <w:rPr>
          <w:rFonts w:ascii="Times New Roman" w:eastAsia="Times New Roman" w:hAnsi="Times New Roman" w:cs="Times New Roman"/>
          <w:sz w:val="24"/>
          <w:szCs w:val="24"/>
          <w:highlight w:val="yellow"/>
        </w:rPr>
        <w:t>Extension workers were responsible for data recording, ensuring proper feed allocation, and monitoring animal performance at scheduled weight measurement intervals.</w:t>
      </w:r>
    </w:p>
    <w:p w14:paraId="548C09E6" w14:textId="77777777" w:rsidR="00894753" w:rsidRPr="00894753" w:rsidRDefault="00894753" w:rsidP="00275963">
      <w:pPr>
        <w:spacing w:after="0" w:line="240" w:lineRule="auto"/>
        <w:ind w:left="720"/>
        <w:jc w:val="both"/>
        <w:rPr>
          <w:rFonts w:ascii="Times New Roman" w:eastAsia="Times New Roman" w:hAnsi="Times New Roman" w:cs="Times New Roman"/>
          <w:sz w:val="24"/>
          <w:szCs w:val="24"/>
          <w:highlight w:val="yellow"/>
        </w:rPr>
      </w:pPr>
    </w:p>
    <w:p w14:paraId="7D77C9B8" w14:textId="7CF2B8E4" w:rsidR="001A5E18" w:rsidRPr="0031500F" w:rsidRDefault="001A5E18" w:rsidP="008922BF">
      <w:pPr>
        <w:pStyle w:val="ListParagraph"/>
        <w:numPr>
          <w:ilvl w:val="0"/>
          <w:numId w:val="9"/>
        </w:numPr>
        <w:spacing w:after="0" w:line="240" w:lineRule="auto"/>
        <w:jc w:val="both"/>
        <w:rPr>
          <w:rFonts w:ascii="Times New Roman" w:hAnsi="Times New Roman" w:cs="Times New Roman"/>
          <w:b/>
          <w:sz w:val="24"/>
          <w:szCs w:val="24"/>
          <w:highlight w:val="yellow"/>
        </w:rPr>
      </w:pPr>
      <w:r w:rsidRPr="0031500F">
        <w:rPr>
          <w:rFonts w:ascii="Times New Roman" w:hAnsi="Times New Roman" w:cs="Times New Roman"/>
          <w:b/>
          <w:sz w:val="24"/>
          <w:szCs w:val="24"/>
          <w:highlight w:val="yellow"/>
        </w:rPr>
        <w:t>Result and Discussion</w:t>
      </w:r>
      <w:bookmarkEnd w:id="4"/>
    </w:p>
    <w:p w14:paraId="0AE22B38" w14:textId="77777777" w:rsidR="008922BF" w:rsidRPr="0031500F" w:rsidRDefault="008922BF" w:rsidP="008922BF">
      <w:pPr>
        <w:pStyle w:val="ListParagraph"/>
        <w:spacing w:after="0" w:line="240" w:lineRule="auto"/>
        <w:ind w:left="360"/>
        <w:jc w:val="both"/>
        <w:rPr>
          <w:rFonts w:ascii="Times New Roman" w:hAnsi="Times New Roman" w:cs="Times New Roman"/>
          <w:b/>
          <w:sz w:val="24"/>
          <w:szCs w:val="24"/>
          <w:highlight w:val="yellow"/>
        </w:rPr>
      </w:pPr>
    </w:p>
    <w:p w14:paraId="5E342F0E" w14:textId="39CBE12A" w:rsidR="008922BF" w:rsidRPr="0031500F" w:rsidRDefault="008922BF" w:rsidP="008922BF">
      <w:pPr>
        <w:pStyle w:val="ListParagraph"/>
        <w:numPr>
          <w:ilvl w:val="1"/>
          <w:numId w:val="9"/>
        </w:numPr>
        <w:spacing w:after="0" w:line="240" w:lineRule="auto"/>
        <w:ind w:left="540"/>
        <w:jc w:val="both"/>
        <w:rPr>
          <w:rFonts w:ascii="Times New Roman" w:hAnsi="Times New Roman" w:cs="Times New Roman"/>
          <w:b/>
          <w:sz w:val="24"/>
          <w:szCs w:val="24"/>
          <w:highlight w:val="yellow"/>
        </w:rPr>
      </w:pPr>
      <w:r w:rsidRPr="0031500F">
        <w:rPr>
          <w:rFonts w:ascii="Times New Roman" w:hAnsi="Times New Roman" w:cs="Times New Roman"/>
          <w:b/>
          <w:sz w:val="24"/>
          <w:szCs w:val="24"/>
          <w:highlight w:val="yellow"/>
        </w:rPr>
        <w:t xml:space="preserve"> Project Outputs</w:t>
      </w:r>
    </w:p>
    <w:p w14:paraId="0B625B73" w14:textId="77777777" w:rsidR="008922BF" w:rsidRPr="0031500F" w:rsidRDefault="008922BF" w:rsidP="008922BF">
      <w:pPr>
        <w:pStyle w:val="ListParagraph"/>
        <w:spacing w:after="0" w:line="240" w:lineRule="auto"/>
        <w:ind w:left="540"/>
        <w:jc w:val="both"/>
        <w:rPr>
          <w:rFonts w:ascii="Times New Roman" w:hAnsi="Times New Roman" w:cs="Times New Roman"/>
          <w:b/>
          <w:sz w:val="24"/>
          <w:szCs w:val="24"/>
          <w:highlight w:val="yellow"/>
        </w:rPr>
      </w:pPr>
    </w:p>
    <w:p w14:paraId="77829426" w14:textId="503C1933" w:rsidR="001A5E18" w:rsidRPr="0031500F" w:rsidRDefault="001A5E18" w:rsidP="008922BF">
      <w:pPr>
        <w:spacing w:after="0"/>
        <w:jc w:val="both"/>
        <w:rPr>
          <w:rFonts w:ascii="Times New Roman" w:hAnsi="Times New Roman" w:cs="Times New Roman"/>
          <w:sz w:val="24"/>
          <w:szCs w:val="24"/>
          <w:highlight w:val="yellow"/>
        </w:rPr>
      </w:pPr>
      <w:bookmarkStart w:id="5" w:name="_Toc123589072"/>
      <w:r w:rsidRPr="0031500F">
        <w:rPr>
          <w:rFonts w:ascii="Times New Roman" w:hAnsi="Times New Roman" w:cs="Times New Roman"/>
          <w:sz w:val="24"/>
          <w:szCs w:val="24"/>
          <w:highlight w:val="yellow"/>
        </w:rPr>
        <w:t>This introduction and capacity building of sh</w:t>
      </w:r>
      <w:r w:rsidR="00275963" w:rsidRPr="0031500F">
        <w:rPr>
          <w:rFonts w:ascii="Times New Roman" w:hAnsi="Times New Roman" w:cs="Times New Roman"/>
          <w:sz w:val="24"/>
          <w:szCs w:val="24"/>
          <w:highlight w:val="yellow"/>
        </w:rPr>
        <w:t>eep</w:t>
      </w:r>
      <w:r w:rsidRPr="0031500F">
        <w:rPr>
          <w:rFonts w:ascii="Times New Roman" w:hAnsi="Times New Roman" w:cs="Times New Roman"/>
          <w:sz w:val="24"/>
          <w:szCs w:val="24"/>
          <w:highlight w:val="yellow"/>
        </w:rPr>
        <w:t xml:space="preserve"> fattening activity were implemented in collaboration with </w:t>
      </w:r>
      <w:r w:rsidR="000A6762">
        <w:rPr>
          <w:rFonts w:ascii="Times New Roman" w:hAnsi="Times New Roman" w:cs="Times New Roman"/>
          <w:sz w:val="24"/>
          <w:szCs w:val="24"/>
          <w:highlight w:val="yellow"/>
        </w:rPr>
        <w:t xml:space="preserve">the </w:t>
      </w:r>
      <w:r w:rsidR="00B22A6F" w:rsidRPr="0031500F">
        <w:rPr>
          <w:rFonts w:ascii="Times New Roman" w:hAnsi="Times New Roman" w:cs="Times New Roman"/>
          <w:sz w:val="24"/>
          <w:szCs w:val="24"/>
          <w:highlight w:val="yellow"/>
        </w:rPr>
        <w:t>District</w:t>
      </w:r>
      <w:r w:rsidRPr="0031500F">
        <w:rPr>
          <w:rFonts w:ascii="Times New Roman" w:hAnsi="Times New Roman" w:cs="Times New Roman"/>
          <w:sz w:val="24"/>
          <w:szCs w:val="24"/>
          <w:highlight w:val="yellow"/>
        </w:rPr>
        <w:t xml:space="preserve"> administration, </w:t>
      </w:r>
      <w:r w:rsidR="000A6762">
        <w:rPr>
          <w:rFonts w:ascii="Times New Roman" w:hAnsi="Times New Roman" w:cs="Times New Roman"/>
          <w:sz w:val="24"/>
          <w:szCs w:val="24"/>
          <w:highlight w:val="yellow"/>
        </w:rPr>
        <w:t xml:space="preserve">the </w:t>
      </w:r>
      <w:r w:rsidR="00B22A6F" w:rsidRPr="0031500F">
        <w:rPr>
          <w:rFonts w:ascii="Times New Roman" w:hAnsi="Times New Roman" w:cs="Times New Roman"/>
          <w:sz w:val="24"/>
          <w:szCs w:val="24"/>
          <w:highlight w:val="yellow"/>
        </w:rPr>
        <w:t>District</w:t>
      </w:r>
      <w:r w:rsidRPr="0031500F">
        <w:rPr>
          <w:rFonts w:ascii="Times New Roman" w:hAnsi="Times New Roman" w:cs="Times New Roman"/>
          <w:sz w:val="24"/>
          <w:szCs w:val="24"/>
          <w:highlight w:val="yellow"/>
        </w:rPr>
        <w:t xml:space="preserve"> office of livestock</w:t>
      </w:r>
      <w:r w:rsidR="000A6762">
        <w:rPr>
          <w:rFonts w:ascii="Times New Roman" w:hAnsi="Times New Roman" w:cs="Times New Roman"/>
          <w:sz w:val="24"/>
          <w:szCs w:val="24"/>
          <w:highlight w:val="yellow"/>
        </w:rPr>
        <w:t>,</w:t>
      </w:r>
      <w:r w:rsidRPr="0031500F">
        <w:rPr>
          <w:rFonts w:ascii="Times New Roman" w:hAnsi="Times New Roman" w:cs="Times New Roman"/>
          <w:sz w:val="24"/>
          <w:szCs w:val="24"/>
          <w:highlight w:val="yellow"/>
        </w:rPr>
        <w:t xml:space="preserve"> by targeting agro-pastoralists who owned small ruminants. It was also designed to reach other non-participant agro-pastoralists and</w:t>
      </w:r>
      <w:r w:rsidR="006C59B6" w:rsidRPr="0031500F">
        <w:rPr>
          <w:rFonts w:ascii="Times New Roman" w:hAnsi="Times New Roman" w:cs="Times New Roman"/>
          <w:sz w:val="24"/>
          <w:szCs w:val="24"/>
          <w:highlight w:val="yellow"/>
        </w:rPr>
        <w:t xml:space="preserve"> pastoralists through community </w:t>
      </w:r>
      <w:r w:rsidR="00B87349" w:rsidRPr="0031500F">
        <w:rPr>
          <w:rFonts w:ascii="Times New Roman" w:hAnsi="Times New Roman" w:cs="Times New Roman"/>
          <w:sz w:val="24"/>
          <w:szCs w:val="24"/>
          <w:highlight w:val="yellow"/>
        </w:rPr>
        <w:t>mobilization</w:t>
      </w:r>
      <w:r w:rsidRPr="0031500F">
        <w:rPr>
          <w:rFonts w:ascii="Times New Roman" w:hAnsi="Times New Roman" w:cs="Times New Roman"/>
          <w:sz w:val="24"/>
          <w:szCs w:val="24"/>
          <w:highlight w:val="yellow"/>
        </w:rPr>
        <w:t xml:space="preserve"> to facilitate the learning process and to popularize the technologies to the wider population whom are not </w:t>
      </w:r>
      <w:r w:rsidR="000A6762">
        <w:rPr>
          <w:rFonts w:ascii="Times New Roman" w:hAnsi="Times New Roman" w:cs="Times New Roman"/>
          <w:sz w:val="24"/>
          <w:szCs w:val="24"/>
          <w:highlight w:val="yellow"/>
        </w:rPr>
        <w:t>participate</w:t>
      </w:r>
      <w:r w:rsidRPr="0031500F">
        <w:rPr>
          <w:rFonts w:ascii="Times New Roman" w:hAnsi="Times New Roman" w:cs="Times New Roman"/>
          <w:sz w:val="24"/>
          <w:szCs w:val="24"/>
          <w:highlight w:val="yellow"/>
        </w:rPr>
        <w:t xml:space="preserve"> in testing of technologies. </w:t>
      </w:r>
    </w:p>
    <w:p w14:paraId="2260331A" w14:textId="77777777" w:rsidR="008922BF" w:rsidRPr="0031500F" w:rsidRDefault="008922BF" w:rsidP="008922BF">
      <w:pPr>
        <w:spacing w:after="0" w:line="240" w:lineRule="auto"/>
        <w:jc w:val="both"/>
        <w:rPr>
          <w:rFonts w:ascii="Times New Roman" w:hAnsi="Times New Roman" w:cs="Times New Roman"/>
          <w:sz w:val="24"/>
          <w:szCs w:val="24"/>
          <w:highlight w:val="yellow"/>
        </w:rPr>
      </w:pPr>
    </w:p>
    <w:p w14:paraId="677A5CD4" w14:textId="50B52135" w:rsidR="001A5E18" w:rsidRPr="0031500F" w:rsidRDefault="008922BF" w:rsidP="008922BF">
      <w:pPr>
        <w:pStyle w:val="ListParagraph"/>
        <w:numPr>
          <w:ilvl w:val="1"/>
          <w:numId w:val="9"/>
        </w:numPr>
        <w:spacing w:after="0" w:line="240" w:lineRule="auto"/>
        <w:jc w:val="both"/>
        <w:rPr>
          <w:rFonts w:ascii="Times New Roman" w:hAnsi="Times New Roman" w:cs="Times New Roman"/>
          <w:b/>
          <w:sz w:val="24"/>
          <w:szCs w:val="24"/>
          <w:highlight w:val="yellow"/>
        </w:rPr>
      </w:pPr>
      <w:r w:rsidRPr="0031500F">
        <w:rPr>
          <w:rFonts w:ascii="Times New Roman" w:hAnsi="Times New Roman" w:cs="Times New Roman"/>
          <w:b/>
          <w:sz w:val="24"/>
          <w:szCs w:val="24"/>
          <w:highlight w:val="yellow"/>
        </w:rPr>
        <w:t xml:space="preserve"> </w:t>
      </w:r>
      <w:r w:rsidR="001A5E18" w:rsidRPr="0031500F">
        <w:rPr>
          <w:rFonts w:ascii="Times New Roman" w:hAnsi="Times New Roman" w:cs="Times New Roman"/>
          <w:b/>
          <w:sz w:val="24"/>
          <w:szCs w:val="24"/>
          <w:highlight w:val="yellow"/>
        </w:rPr>
        <w:t>Awareness Creation</w:t>
      </w:r>
      <w:bookmarkEnd w:id="5"/>
    </w:p>
    <w:p w14:paraId="675CD8B4" w14:textId="77777777" w:rsidR="008922BF" w:rsidRPr="0031500F" w:rsidRDefault="008922BF" w:rsidP="008922BF">
      <w:pPr>
        <w:pStyle w:val="ListParagraph"/>
        <w:spacing w:after="0" w:line="240" w:lineRule="auto"/>
        <w:ind w:left="360"/>
        <w:jc w:val="both"/>
        <w:rPr>
          <w:rFonts w:ascii="Times New Roman" w:hAnsi="Times New Roman" w:cs="Times New Roman"/>
          <w:b/>
          <w:sz w:val="24"/>
          <w:szCs w:val="24"/>
          <w:highlight w:val="yellow"/>
        </w:rPr>
      </w:pPr>
    </w:p>
    <w:p w14:paraId="5C4827ED" w14:textId="40924221" w:rsidR="001A5E18" w:rsidRPr="0031500F" w:rsidRDefault="001A5E18" w:rsidP="008922BF">
      <w:pPr>
        <w:spacing w:after="0"/>
        <w:jc w:val="both"/>
        <w:rPr>
          <w:rFonts w:ascii="Times New Roman" w:hAnsi="Times New Roman" w:cs="Times New Roman"/>
          <w:sz w:val="24"/>
          <w:szCs w:val="24"/>
          <w:highlight w:val="yellow"/>
        </w:rPr>
      </w:pPr>
      <w:r w:rsidRPr="0031500F">
        <w:rPr>
          <w:rFonts w:ascii="Times New Roman" w:hAnsi="Times New Roman" w:cs="Times New Roman"/>
          <w:sz w:val="24"/>
          <w:szCs w:val="24"/>
          <w:highlight w:val="yellow"/>
        </w:rPr>
        <w:t xml:space="preserve">Training was the main approach employed to create awareness about the technological option being demonstrated among the pastoralists </w:t>
      </w:r>
      <w:r w:rsidR="000A6762">
        <w:rPr>
          <w:rFonts w:ascii="Times New Roman" w:hAnsi="Times New Roman" w:cs="Times New Roman"/>
          <w:sz w:val="24"/>
          <w:szCs w:val="24"/>
          <w:highlight w:val="yellow"/>
        </w:rPr>
        <w:t>to</w:t>
      </w:r>
      <w:r w:rsidRPr="0031500F">
        <w:rPr>
          <w:rFonts w:ascii="Times New Roman" w:hAnsi="Times New Roman" w:cs="Times New Roman"/>
          <w:sz w:val="24"/>
          <w:szCs w:val="24"/>
          <w:highlight w:val="yellow"/>
        </w:rPr>
        <w:t xml:space="preserve"> capacitate the agro-pastoralist beneficiaries, DAs</w:t>
      </w:r>
      <w:r w:rsidR="000A6762">
        <w:rPr>
          <w:rFonts w:ascii="Times New Roman" w:hAnsi="Times New Roman" w:cs="Times New Roman"/>
          <w:sz w:val="24"/>
          <w:szCs w:val="24"/>
          <w:highlight w:val="yellow"/>
        </w:rPr>
        <w:t>,</w:t>
      </w:r>
      <w:r w:rsidRPr="0031500F">
        <w:rPr>
          <w:rFonts w:ascii="Times New Roman" w:hAnsi="Times New Roman" w:cs="Times New Roman"/>
          <w:sz w:val="24"/>
          <w:szCs w:val="24"/>
          <w:highlight w:val="yellow"/>
        </w:rPr>
        <w:t xml:space="preserve"> and the district agricultural bureau experts’ knowledge and </w:t>
      </w:r>
      <w:r w:rsidR="000A6762">
        <w:rPr>
          <w:rFonts w:ascii="Times New Roman" w:hAnsi="Times New Roman" w:cs="Times New Roman"/>
          <w:sz w:val="24"/>
          <w:szCs w:val="24"/>
          <w:highlight w:val="yellow"/>
        </w:rPr>
        <w:t>skills</w:t>
      </w:r>
      <w:r w:rsidRPr="0031500F">
        <w:rPr>
          <w:rFonts w:ascii="Times New Roman" w:hAnsi="Times New Roman" w:cs="Times New Roman"/>
          <w:sz w:val="24"/>
          <w:szCs w:val="24"/>
          <w:highlight w:val="yellow"/>
        </w:rPr>
        <w:t xml:space="preserve">. A multi-disciplinary team </w:t>
      </w:r>
      <w:r w:rsidR="000A6762">
        <w:rPr>
          <w:rFonts w:ascii="Times New Roman" w:hAnsi="Times New Roman" w:cs="Times New Roman"/>
          <w:sz w:val="24"/>
          <w:szCs w:val="24"/>
          <w:highlight w:val="yellow"/>
        </w:rPr>
        <w:t>consisting</w:t>
      </w:r>
      <w:r w:rsidRPr="0031500F">
        <w:rPr>
          <w:rFonts w:ascii="Times New Roman" w:hAnsi="Times New Roman" w:cs="Times New Roman"/>
          <w:sz w:val="24"/>
          <w:szCs w:val="24"/>
          <w:highlight w:val="yellow"/>
        </w:rPr>
        <w:t xml:space="preserve"> of animal production, socio-economic</w:t>
      </w:r>
      <w:r w:rsidR="000A6762">
        <w:rPr>
          <w:rFonts w:ascii="Times New Roman" w:hAnsi="Times New Roman" w:cs="Times New Roman"/>
          <w:sz w:val="24"/>
          <w:szCs w:val="24"/>
          <w:highlight w:val="yellow"/>
        </w:rPr>
        <w:t>,</w:t>
      </w:r>
      <w:r w:rsidRPr="0031500F">
        <w:rPr>
          <w:rFonts w:ascii="Times New Roman" w:hAnsi="Times New Roman" w:cs="Times New Roman"/>
          <w:sz w:val="24"/>
          <w:szCs w:val="24"/>
          <w:highlight w:val="yellow"/>
        </w:rPr>
        <w:t xml:space="preserve"> and extension researchers from </w:t>
      </w:r>
      <w:proofErr w:type="spellStart"/>
      <w:r w:rsidR="00B00294" w:rsidRPr="0031500F">
        <w:rPr>
          <w:rFonts w:ascii="Times New Roman" w:hAnsi="Times New Roman" w:cs="Times New Roman"/>
          <w:sz w:val="24"/>
          <w:szCs w:val="24"/>
          <w:highlight w:val="yellow"/>
        </w:rPr>
        <w:t>GoPARC</w:t>
      </w:r>
      <w:proofErr w:type="spellEnd"/>
      <w:r w:rsidR="00B00294" w:rsidRPr="0031500F">
        <w:rPr>
          <w:rFonts w:ascii="Times New Roman" w:hAnsi="Times New Roman" w:cs="Times New Roman"/>
          <w:sz w:val="24"/>
          <w:szCs w:val="24"/>
          <w:highlight w:val="yellow"/>
        </w:rPr>
        <w:t xml:space="preserve"> </w:t>
      </w:r>
      <w:r w:rsidRPr="0031500F">
        <w:rPr>
          <w:rFonts w:ascii="Times New Roman" w:hAnsi="Times New Roman" w:cs="Times New Roman"/>
          <w:sz w:val="24"/>
          <w:szCs w:val="24"/>
          <w:highlight w:val="yellow"/>
        </w:rPr>
        <w:t>jointly carried out the training and capacity building activity. A total of 28 participants</w:t>
      </w:r>
      <w:r w:rsidR="000A6762">
        <w:rPr>
          <w:rFonts w:ascii="Times New Roman" w:hAnsi="Times New Roman" w:cs="Times New Roman"/>
          <w:sz w:val="24"/>
          <w:szCs w:val="24"/>
          <w:highlight w:val="yellow"/>
        </w:rPr>
        <w:t>,</w:t>
      </w:r>
      <w:r w:rsidRPr="0031500F">
        <w:rPr>
          <w:rFonts w:ascii="Times New Roman" w:hAnsi="Times New Roman" w:cs="Times New Roman"/>
          <w:sz w:val="24"/>
          <w:szCs w:val="24"/>
          <w:highlight w:val="yellow"/>
        </w:rPr>
        <w:t xml:space="preserve"> including the 25 model agro-pastoralists</w:t>
      </w:r>
      <w:r w:rsidR="000A6762">
        <w:rPr>
          <w:rFonts w:ascii="Times New Roman" w:hAnsi="Times New Roman" w:cs="Times New Roman"/>
          <w:sz w:val="24"/>
          <w:szCs w:val="24"/>
          <w:highlight w:val="yellow"/>
        </w:rPr>
        <w:t>,</w:t>
      </w:r>
      <w:r w:rsidRPr="0031500F">
        <w:rPr>
          <w:rFonts w:ascii="Times New Roman" w:hAnsi="Times New Roman" w:cs="Times New Roman"/>
          <w:sz w:val="24"/>
          <w:szCs w:val="24"/>
          <w:highlight w:val="yellow"/>
        </w:rPr>
        <w:t xml:space="preserve"> have taken part in the training.  </w:t>
      </w:r>
    </w:p>
    <w:p w14:paraId="6E809AEB" w14:textId="77777777" w:rsidR="008922BF" w:rsidRPr="0031500F" w:rsidRDefault="008922BF" w:rsidP="008922BF">
      <w:pPr>
        <w:spacing w:after="0"/>
        <w:jc w:val="both"/>
        <w:rPr>
          <w:rFonts w:ascii="Times New Roman" w:hAnsi="Times New Roman" w:cs="Times New Roman"/>
          <w:sz w:val="24"/>
          <w:szCs w:val="24"/>
          <w:highlight w:val="yellow"/>
        </w:rPr>
      </w:pPr>
    </w:p>
    <w:p w14:paraId="5730930D" w14:textId="09F09202" w:rsidR="001A5E18" w:rsidRPr="0031500F" w:rsidRDefault="008922BF" w:rsidP="008922BF">
      <w:pPr>
        <w:pStyle w:val="ListParagraph"/>
        <w:numPr>
          <w:ilvl w:val="1"/>
          <w:numId w:val="9"/>
        </w:numPr>
        <w:spacing w:line="360" w:lineRule="auto"/>
        <w:jc w:val="both"/>
        <w:rPr>
          <w:rFonts w:ascii="Times New Roman" w:hAnsi="Times New Roman" w:cs="Times New Roman"/>
          <w:b/>
          <w:sz w:val="24"/>
          <w:szCs w:val="24"/>
          <w:highlight w:val="yellow"/>
        </w:rPr>
      </w:pPr>
      <w:bookmarkStart w:id="6" w:name="_Toc123589073"/>
      <w:r w:rsidRPr="0031500F">
        <w:rPr>
          <w:rFonts w:ascii="Times New Roman" w:hAnsi="Times New Roman" w:cs="Times New Roman"/>
          <w:b/>
          <w:sz w:val="24"/>
          <w:szCs w:val="24"/>
          <w:highlight w:val="yellow"/>
        </w:rPr>
        <w:t xml:space="preserve"> </w:t>
      </w:r>
      <w:r w:rsidR="001A5E18" w:rsidRPr="0031500F">
        <w:rPr>
          <w:rFonts w:ascii="Times New Roman" w:hAnsi="Times New Roman" w:cs="Times New Roman"/>
          <w:b/>
          <w:sz w:val="24"/>
          <w:szCs w:val="24"/>
          <w:highlight w:val="yellow"/>
        </w:rPr>
        <w:t>Effect of</w:t>
      </w:r>
      <w:r w:rsidR="0017786F" w:rsidRPr="0031500F">
        <w:rPr>
          <w:rFonts w:ascii="Times New Roman" w:hAnsi="Times New Roman" w:cs="Times New Roman"/>
          <w:b/>
          <w:sz w:val="24"/>
          <w:szCs w:val="24"/>
          <w:highlight w:val="yellow"/>
        </w:rPr>
        <w:t xml:space="preserve"> forage</w:t>
      </w:r>
      <w:r w:rsidR="001A5E18" w:rsidRPr="0031500F">
        <w:rPr>
          <w:rFonts w:ascii="Times New Roman" w:hAnsi="Times New Roman" w:cs="Times New Roman"/>
          <w:b/>
          <w:sz w:val="24"/>
          <w:szCs w:val="24"/>
          <w:highlight w:val="yellow"/>
        </w:rPr>
        <w:t xml:space="preserve"> supplement intake</w:t>
      </w:r>
      <w:bookmarkEnd w:id="6"/>
    </w:p>
    <w:p w14:paraId="7D863F66" w14:textId="302E19D3" w:rsidR="001A5E18" w:rsidRPr="0031500F" w:rsidRDefault="000A6762" w:rsidP="008922BF">
      <w:pPr>
        <w:spacing w:after="0"/>
        <w:jc w:val="both"/>
        <w:rPr>
          <w:rFonts w:ascii="Times New Roman" w:hAnsi="Times New Roman" w:cs="Times New Roman"/>
          <w:sz w:val="24"/>
          <w:szCs w:val="24"/>
          <w:highlight w:val="yellow"/>
        </w:rPr>
      </w:pPr>
      <w:r>
        <w:rPr>
          <w:rFonts w:ascii="Times New Roman" w:hAnsi="Times New Roman" w:cs="Times New Roman"/>
          <w:sz w:val="24"/>
          <w:szCs w:val="24"/>
          <w:highlight w:val="yellow"/>
        </w:rPr>
        <w:t>The average</w:t>
      </w:r>
      <w:r w:rsidR="001A5E18" w:rsidRPr="0031500F">
        <w:rPr>
          <w:rFonts w:ascii="Times New Roman" w:hAnsi="Times New Roman" w:cs="Times New Roman"/>
          <w:sz w:val="24"/>
          <w:szCs w:val="24"/>
          <w:highlight w:val="yellow"/>
        </w:rPr>
        <w:t xml:space="preserve"> daily supplement </w:t>
      </w:r>
      <w:r w:rsidR="00FB623B" w:rsidRPr="0031500F">
        <w:rPr>
          <w:rFonts w:ascii="Times New Roman" w:hAnsi="Times New Roman" w:cs="Times New Roman"/>
          <w:sz w:val="24"/>
          <w:szCs w:val="24"/>
          <w:highlight w:val="yellow"/>
        </w:rPr>
        <w:t>was</w:t>
      </w:r>
      <w:r w:rsidR="001A5E18" w:rsidRPr="0031500F">
        <w:rPr>
          <w:rFonts w:ascii="Times New Roman" w:hAnsi="Times New Roman" w:cs="Times New Roman"/>
          <w:sz w:val="24"/>
          <w:szCs w:val="24"/>
          <w:highlight w:val="yellow"/>
        </w:rPr>
        <w:t xml:space="preserve"> adjusted according to </w:t>
      </w:r>
      <w:r>
        <w:rPr>
          <w:rFonts w:ascii="Times New Roman" w:hAnsi="Times New Roman" w:cs="Times New Roman"/>
          <w:sz w:val="24"/>
          <w:szCs w:val="24"/>
          <w:highlight w:val="yellow"/>
        </w:rPr>
        <w:t>the fifteen-day</w:t>
      </w:r>
      <w:r w:rsidR="001A5E18" w:rsidRPr="0031500F">
        <w:rPr>
          <w:rFonts w:ascii="Times New Roman" w:hAnsi="Times New Roman" w:cs="Times New Roman"/>
          <w:sz w:val="24"/>
          <w:szCs w:val="24"/>
          <w:highlight w:val="yellow"/>
        </w:rPr>
        <w:t xml:space="preserve"> interval body weight gain of the animals in the entire group. This </w:t>
      </w:r>
      <w:r>
        <w:rPr>
          <w:rFonts w:ascii="Times New Roman" w:hAnsi="Times New Roman" w:cs="Times New Roman"/>
          <w:sz w:val="24"/>
          <w:szCs w:val="24"/>
          <w:highlight w:val="yellow"/>
        </w:rPr>
        <w:t>indicates</w:t>
      </w:r>
      <w:r w:rsidR="001A5E18" w:rsidRPr="0031500F">
        <w:rPr>
          <w:rFonts w:ascii="Times New Roman" w:hAnsi="Times New Roman" w:cs="Times New Roman"/>
          <w:sz w:val="24"/>
          <w:szCs w:val="24"/>
          <w:highlight w:val="yellow"/>
        </w:rPr>
        <w:t xml:space="preserve"> that the animals consumed the same </w:t>
      </w:r>
      <w:r>
        <w:rPr>
          <w:rFonts w:ascii="Times New Roman" w:hAnsi="Times New Roman" w:cs="Times New Roman"/>
          <w:sz w:val="24"/>
          <w:szCs w:val="24"/>
          <w:highlight w:val="yellow"/>
        </w:rPr>
        <w:t xml:space="preserve">amount </w:t>
      </w:r>
      <w:r w:rsidR="001A5E18" w:rsidRPr="0031500F">
        <w:rPr>
          <w:rFonts w:ascii="Times New Roman" w:hAnsi="Times New Roman" w:cs="Times New Roman"/>
          <w:sz w:val="24"/>
          <w:szCs w:val="24"/>
          <w:highlight w:val="yellow"/>
        </w:rPr>
        <w:t>in the entire group and there was no significant difference (P</w:t>
      </w:r>
      <w:r w:rsidR="00AA3043" w:rsidRPr="0031500F">
        <w:rPr>
          <w:rFonts w:ascii="Times New Roman" w:hAnsi="Times New Roman" w:cs="Times New Roman"/>
          <w:sz w:val="24"/>
          <w:szCs w:val="24"/>
          <w:highlight w:val="yellow"/>
        </w:rPr>
        <w:t>&gt;0.05) in supplement intake. The wet forage</w:t>
      </w:r>
      <w:r w:rsidR="001A5E18" w:rsidRPr="0031500F">
        <w:rPr>
          <w:rFonts w:ascii="Times New Roman" w:hAnsi="Times New Roman" w:cs="Times New Roman"/>
          <w:sz w:val="24"/>
          <w:szCs w:val="24"/>
          <w:highlight w:val="yellow"/>
        </w:rPr>
        <w:t xml:space="preserve"> supplement was given to the animals based on the reco</w:t>
      </w:r>
      <w:r w:rsidR="0017786F" w:rsidRPr="0031500F">
        <w:rPr>
          <w:rFonts w:ascii="Times New Roman" w:hAnsi="Times New Roman" w:cs="Times New Roman"/>
          <w:sz w:val="24"/>
          <w:szCs w:val="24"/>
          <w:highlight w:val="yellow"/>
        </w:rPr>
        <w:t>mmendation</w:t>
      </w:r>
      <w:r>
        <w:rPr>
          <w:rFonts w:ascii="Times New Roman" w:hAnsi="Times New Roman" w:cs="Times New Roman"/>
          <w:sz w:val="24"/>
          <w:szCs w:val="24"/>
          <w:highlight w:val="yellow"/>
        </w:rPr>
        <w:t>,</w:t>
      </w:r>
      <w:r w:rsidR="0017786F" w:rsidRPr="0031500F">
        <w:rPr>
          <w:rFonts w:ascii="Times New Roman" w:hAnsi="Times New Roman" w:cs="Times New Roman"/>
          <w:sz w:val="24"/>
          <w:szCs w:val="24"/>
          <w:highlight w:val="yellow"/>
        </w:rPr>
        <w:t xml:space="preserve"> and on average</w:t>
      </w:r>
      <w:r>
        <w:rPr>
          <w:rFonts w:ascii="Times New Roman" w:hAnsi="Times New Roman" w:cs="Times New Roman"/>
          <w:sz w:val="24"/>
          <w:szCs w:val="24"/>
          <w:highlight w:val="yellow"/>
        </w:rPr>
        <w:t>,</w:t>
      </w:r>
      <w:r w:rsidR="0017786F" w:rsidRPr="0031500F">
        <w:rPr>
          <w:rFonts w:ascii="Times New Roman" w:hAnsi="Times New Roman" w:cs="Times New Roman"/>
          <w:sz w:val="24"/>
          <w:szCs w:val="24"/>
          <w:highlight w:val="yellow"/>
        </w:rPr>
        <w:t xml:space="preserve"> </w:t>
      </w:r>
      <w:r w:rsidR="00AA3043" w:rsidRPr="0031500F">
        <w:rPr>
          <w:rFonts w:ascii="Times New Roman" w:hAnsi="Times New Roman" w:cs="Times New Roman"/>
          <w:sz w:val="24"/>
          <w:szCs w:val="24"/>
          <w:highlight w:val="yellow"/>
        </w:rPr>
        <w:t>3kg</w:t>
      </w:r>
      <w:r w:rsidR="001A5E18" w:rsidRPr="0031500F">
        <w:rPr>
          <w:rFonts w:ascii="Times New Roman" w:hAnsi="Times New Roman" w:cs="Times New Roman"/>
          <w:sz w:val="24"/>
          <w:szCs w:val="24"/>
          <w:highlight w:val="yellow"/>
        </w:rPr>
        <w:t xml:space="preserve">/head/day </w:t>
      </w:r>
      <w:r>
        <w:rPr>
          <w:rFonts w:ascii="Times New Roman" w:hAnsi="Times New Roman" w:cs="Times New Roman"/>
          <w:sz w:val="24"/>
          <w:szCs w:val="24"/>
          <w:highlight w:val="yellow"/>
        </w:rPr>
        <w:t>was</w:t>
      </w:r>
      <w:r w:rsidR="001A5E18" w:rsidRPr="0031500F">
        <w:rPr>
          <w:rFonts w:ascii="Times New Roman" w:hAnsi="Times New Roman" w:cs="Times New Roman"/>
          <w:sz w:val="24"/>
          <w:szCs w:val="24"/>
          <w:highlight w:val="yellow"/>
        </w:rPr>
        <w:t xml:space="preserve"> given for all experimental animals.</w:t>
      </w:r>
    </w:p>
    <w:p w14:paraId="55D7688F" w14:textId="759F6EAE" w:rsidR="00FB623B" w:rsidRPr="0031500F" w:rsidRDefault="00FB623B" w:rsidP="00FB623B">
      <w:pPr>
        <w:pStyle w:val="ListParagraph"/>
        <w:numPr>
          <w:ilvl w:val="2"/>
          <w:numId w:val="9"/>
        </w:numPr>
        <w:spacing w:after="0" w:line="240" w:lineRule="auto"/>
        <w:jc w:val="both"/>
        <w:rPr>
          <w:rFonts w:ascii="Times New Roman" w:hAnsi="Times New Roman" w:cs="Times New Roman"/>
          <w:b/>
          <w:sz w:val="24"/>
          <w:szCs w:val="24"/>
          <w:highlight w:val="yellow"/>
        </w:rPr>
      </w:pPr>
      <w:r w:rsidRPr="0031500F">
        <w:rPr>
          <w:rFonts w:ascii="Times New Roman" w:hAnsi="Times New Roman" w:cs="Times New Roman"/>
          <w:b/>
          <w:sz w:val="24"/>
          <w:szCs w:val="24"/>
          <w:highlight w:val="yellow"/>
        </w:rPr>
        <w:lastRenderedPageBreak/>
        <w:t>Performance Response of Sheep to Grass, Legume Forage Supplementation</w:t>
      </w:r>
    </w:p>
    <w:p w14:paraId="60150F25" w14:textId="77777777" w:rsidR="00FB623B" w:rsidRPr="0031500F" w:rsidRDefault="00FB623B" w:rsidP="00FB623B">
      <w:pPr>
        <w:pStyle w:val="ListParagraph"/>
        <w:spacing w:after="0" w:line="240" w:lineRule="auto"/>
        <w:jc w:val="both"/>
        <w:rPr>
          <w:rFonts w:ascii="Times New Roman" w:hAnsi="Times New Roman" w:cs="Times New Roman"/>
          <w:sz w:val="24"/>
          <w:szCs w:val="24"/>
          <w:highlight w:val="yellow"/>
        </w:rPr>
      </w:pPr>
    </w:p>
    <w:p w14:paraId="509FBE1C" w14:textId="1268EA0F" w:rsidR="00FB623B" w:rsidRPr="00FB623B" w:rsidRDefault="00FB623B" w:rsidP="00FB623B">
      <w:pPr>
        <w:spacing w:after="0"/>
        <w:jc w:val="both"/>
        <w:rPr>
          <w:rFonts w:ascii="Times New Roman" w:hAnsi="Times New Roman" w:cs="Times New Roman"/>
          <w:sz w:val="24"/>
          <w:szCs w:val="24"/>
          <w:highlight w:val="yellow"/>
        </w:rPr>
      </w:pPr>
      <w:r w:rsidRPr="00FB623B">
        <w:rPr>
          <w:rFonts w:ascii="Times New Roman" w:hAnsi="Times New Roman" w:cs="Times New Roman"/>
          <w:sz w:val="24"/>
          <w:szCs w:val="24"/>
          <w:highlight w:val="yellow"/>
        </w:rPr>
        <w:t xml:space="preserve">The performance responses of sheep to grass–legume forage supplementation under agro-pastoral conditions </w:t>
      </w:r>
      <w:r w:rsidRPr="0031500F">
        <w:rPr>
          <w:rFonts w:ascii="Times New Roman" w:hAnsi="Times New Roman" w:cs="Times New Roman"/>
          <w:sz w:val="24"/>
          <w:szCs w:val="24"/>
          <w:highlight w:val="yellow"/>
        </w:rPr>
        <w:t>is</w:t>
      </w:r>
      <w:r w:rsidRPr="00FB623B">
        <w:rPr>
          <w:rFonts w:ascii="Times New Roman" w:hAnsi="Times New Roman" w:cs="Times New Roman"/>
          <w:sz w:val="24"/>
          <w:szCs w:val="24"/>
          <w:highlight w:val="yellow"/>
        </w:rPr>
        <w:t xml:space="preserve"> summarized in Table 2. Overall, all treatment groups showed positive growth performance, though the magnitude of improvement varied across the four experimental diets. The study evaluated the Least Squares Means (LSM) ± Standard Error (SE) for sheep fattening performance under four supplementary treatments:</w:t>
      </w:r>
    </w:p>
    <w:p w14:paraId="1B4D11B7" w14:textId="77777777" w:rsidR="00FB623B" w:rsidRPr="00FB623B" w:rsidRDefault="00FB623B" w:rsidP="00FB623B">
      <w:pPr>
        <w:numPr>
          <w:ilvl w:val="0"/>
          <w:numId w:val="13"/>
        </w:numPr>
        <w:spacing w:after="0"/>
        <w:jc w:val="both"/>
        <w:rPr>
          <w:rFonts w:ascii="Times New Roman" w:hAnsi="Times New Roman" w:cs="Times New Roman"/>
          <w:sz w:val="24"/>
          <w:szCs w:val="24"/>
          <w:highlight w:val="yellow"/>
        </w:rPr>
      </w:pPr>
      <w:r w:rsidRPr="00FB623B">
        <w:rPr>
          <w:rFonts w:ascii="Times New Roman" w:hAnsi="Times New Roman" w:cs="Times New Roman"/>
          <w:sz w:val="24"/>
          <w:szCs w:val="24"/>
          <w:highlight w:val="yellow"/>
        </w:rPr>
        <w:t>Experiment 1: Elephant Grass + Alfalfa</w:t>
      </w:r>
    </w:p>
    <w:p w14:paraId="76AD5ABD" w14:textId="77777777" w:rsidR="00FB623B" w:rsidRPr="00FB623B" w:rsidRDefault="00FB623B" w:rsidP="00FB623B">
      <w:pPr>
        <w:numPr>
          <w:ilvl w:val="0"/>
          <w:numId w:val="13"/>
        </w:numPr>
        <w:spacing w:after="0"/>
        <w:jc w:val="both"/>
        <w:rPr>
          <w:rFonts w:ascii="Times New Roman" w:hAnsi="Times New Roman" w:cs="Times New Roman"/>
          <w:sz w:val="24"/>
          <w:szCs w:val="24"/>
          <w:highlight w:val="yellow"/>
        </w:rPr>
      </w:pPr>
      <w:r w:rsidRPr="00FB623B">
        <w:rPr>
          <w:rFonts w:ascii="Times New Roman" w:hAnsi="Times New Roman" w:cs="Times New Roman"/>
          <w:sz w:val="24"/>
          <w:szCs w:val="24"/>
          <w:highlight w:val="yellow"/>
        </w:rPr>
        <w:t>Experiment 2: Elephant Grass + Lablab</w:t>
      </w:r>
    </w:p>
    <w:p w14:paraId="737F0CE1" w14:textId="77777777" w:rsidR="00FB623B" w:rsidRPr="00FB623B" w:rsidRDefault="00FB623B" w:rsidP="00FB623B">
      <w:pPr>
        <w:numPr>
          <w:ilvl w:val="0"/>
          <w:numId w:val="13"/>
        </w:numPr>
        <w:spacing w:after="0"/>
        <w:jc w:val="both"/>
        <w:rPr>
          <w:rFonts w:ascii="Times New Roman" w:hAnsi="Times New Roman" w:cs="Times New Roman"/>
          <w:sz w:val="24"/>
          <w:szCs w:val="24"/>
          <w:highlight w:val="yellow"/>
        </w:rPr>
      </w:pPr>
      <w:r w:rsidRPr="00FB623B">
        <w:rPr>
          <w:rFonts w:ascii="Times New Roman" w:hAnsi="Times New Roman" w:cs="Times New Roman"/>
          <w:sz w:val="24"/>
          <w:szCs w:val="24"/>
          <w:highlight w:val="yellow"/>
        </w:rPr>
        <w:t>Experiment 3: Sudan Grass + Alfalfa</w:t>
      </w:r>
    </w:p>
    <w:p w14:paraId="6C1DF644" w14:textId="77777777" w:rsidR="00FB623B" w:rsidRPr="00FB623B" w:rsidRDefault="00FB623B" w:rsidP="00FB623B">
      <w:pPr>
        <w:numPr>
          <w:ilvl w:val="0"/>
          <w:numId w:val="13"/>
        </w:numPr>
        <w:spacing w:after="0"/>
        <w:jc w:val="both"/>
        <w:rPr>
          <w:rFonts w:ascii="Times New Roman" w:hAnsi="Times New Roman" w:cs="Times New Roman"/>
          <w:sz w:val="24"/>
          <w:szCs w:val="24"/>
          <w:highlight w:val="yellow"/>
        </w:rPr>
      </w:pPr>
      <w:r w:rsidRPr="00FB623B">
        <w:rPr>
          <w:rFonts w:ascii="Times New Roman" w:hAnsi="Times New Roman" w:cs="Times New Roman"/>
          <w:sz w:val="24"/>
          <w:szCs w:val="24"/>
          <w:highlight w:val="yellow"/>
        </w:rPr>
        <w:t>Experiment 4: Sudan Grass + Lablab</w:t>
      </w:r>
    </w:p>
    <w:p w14:paraId="2FE0C6AF" w14:textId="40B5352E" w:rsidR="00FB623B" w:rsidRPr="00FB623B" w:rsidRDefault="00FB623B" w:rsidP="00FB623B">
      <w:pPr>
        <w:spacing w:after="0"/>
        <w:jc w:val="both"/>
        <w:rPr>
          <w:rFonts w:ascii="Times New Roman" w:hAnsi="Times New Roman" w:cs="Times New Roman"/>
          <w:sz w:val="24"/>
          <w:szCs w:val="24"/>
          <w:highlight w:val="yellow"/>
        </w:rPr>
      </w:pPr>
      <w:r w:rsidRPr="00FB623B">
        <w:rPr>
          <w:rFonts w:ascii="Times New Roman" w:hAnsi="Times New Roman" w:cs="Times New Roman"/>
          <w:sz w:val="24"/>
          <w:szCs w:val="24"/>
          <w:highlight w:val="yellow"/>
        </w:rPr>
        <w:t>Regarding initial body weight (IBW), sheep in Experiment 3 (Sudan Grass + Alfalfa) recorded the highest mean value (17.99 ± 0.45 kg), while Experiment 2 (Elephant Grass + Lablab) had the lowest (15.34 ± 1.34 kg), indicating higher variability among animals in this group. Experiments 1 and 4 showed moderate initial weights (16.02 ± 1.34 kg and 16.44 ± 0.34 kg, respectively).</w:t>
      </w:r>
      <w:r w:rsidRPr="0031500F">
        <w:rPr>
          <w:rFonts w:ascii="Times New Roman" w:hAnsi="Times New Roman" w:cs="Times New Roman"/>
          <w:sz w:val="24"/>
          <w:szCs w:val="24"/>
          <w:highlight w:val="yellow"/>
        </w:rPr>
        <w:t xml:space="preserve"> </w:t>
      </w:r>
      <w:r w:rsidRPr="00FB623B">
        <w:rPr>
          <w:rFonts w:ascii="Times New Roman" w:hAnsi="Times New Roman" w:cs="Times New Roman"/>
          <w:sz w:val="24"/>
          <w:szCs w:val="24"/>
          <w:highlight w:val="yellow"/>
        </w:rPr>
        <w:t>At the end of the trial, final body weights (FBW) differed significantly (P &lt; 0.05). Experiment 1 (Elephant Grass + Alfalfa) yielded the highest final weight (21.19 ± 1.86 kg), followed by Experiment 3 (20.65 ± 0.36 kg). Lower performances were observed in Experiment 4 (17.89 ± 1.86 kg) and Experiment 2 (16.39 ± 1.86 kg), the latter showing minimal improvement over its initial weight.</w:t>
      </w:r>
    </w:p>
    <w:p w14:paraId="0696AA88" w14:textId="68972FE5" w:rsidR="00FB623B" w:rsidRPr="00FB623B" w:rsidRDefault="00FB623B" w:rsidP="00FB623B">
      <w:pPr>
        <w:spacing w:after="0"/>
        <w:jc w:val="both"/>
        <w:rPr>
          <w:rFonts w:ascii="Times New Roman" w:hAnsi="Times New Roman" w:cs="Times New Roman"/>
          <w:sz w:val="24"/>
          <w:szCs w:val="24"/>
          <w:highlight w:val="yellow"/>
        </w:rPr>
      </w:pPr>
      <w:r w:rsidRPr="00FB623B">
        <w:rPr>
          <w:rFonts w:ascii="Times New Roman" w:hAnsi="Times New Roman" w:cs="Times New Roman"/>
          <w:sz w:val="24"/>
          <w:szCs w:val="24"/>
          <w:highlight w:val="yellow"/>
        </w:rPr>
        <w:t>In terms of total weight gain (TWG), Experiment 1 exhibited the greatest improvement (5.17 ± 2.60 kg), followed by Experiment 3 (2.66 ± 0.34 kg). Experiments 4 and 2 had significantly lower gains (1.45 ± 2.60 kg and 1.05 ± 2.60 kg, respectively), with large standard errors indicating variability in individual responses.</w:t>
      </w:r>
      <w:r w:rsidRPr="0031500F">
        <w:rPr>
          <w:rFonts w:ascii="Times New Roman" w:hAnsi="Times New Roman" w:cs="Times New Roman"/>
          <w:sz w:val="24"/>
          <w:szCs w:val="24"/>
          <w:highlight w:val="yellow"/>
        </w:rPr>
        <w:t xml:space="preserve"> </w:t>
      </w:r>
      <w:r w:rsidRPr="00FB623B">
        <w:rPr>
          <w:rFonts w:ascii="Times New Roman" w:hAnsi="Times New Roman" w:cs="Times New Roman"/>
          <w:sz w:val="24"/>
          <w:szCs w:val="24"/>
          <w:highlight w:val="yellow"/>
        </w:rPr>
        <w:t>Similarly, average daily gain (ADG) followed a comparable pattern. Experiment 1 recorded the highest ADG (57.44 ± 2.11 g/day), while Experiments 3, 4, and 2 showed 29.55 ± 0.006, 16.11 ± 2.68, and 11.66 ± 2.48 g/day, respectively. The small SE observed in Experiment 3 suggests uniform daily growth compared to other treatments.</w:t>
      </w:r>
    </w:p>
    <w:p w14:paraId="5D18D887" w14:textId="77777777" w:rsidR="00FB623B" w:rsidRPr="00FB623B" w:rsidRDefault="00FB623B" w:rsidP="00FB623B">
      <w:pPr>
        <w:spacing w:after="0"/>
        <w:jc w:val="both"/>
        <w:rPr>
          <w:rFonts w:ascii="Times New Roman" w:hAnsi="Times New Roman" w:cs="Times New Roman"/>
          <w:sz w:val="24"/>
          <w:szCs w:val="24"/>
          <w:highlight w:val="yellow"/>
        </w:rPr>
      </w:pPr>
      <w:r w:rsidRPr="00FB623B">
        <w:rPr>
          <w:rFonts w:ascii="Times New Roman" w:hAnsi="Times New Roman" w:cs="Times New Roman"/>
          <w:sz w:val="24"/>
          <w:szCs w:val="24"/>
          <w:highlight w:val="yellow"/>
        </w:rPr>
        <w:t>These findings indicate that the Elephant Grass + Alfalfa combination (Experiment 1) was the most effective in enhancing growth performance, as reflected in the highest FBW, TWG, and ADG values. In contrast, the Elephant Grass + Lablab diet (Experiment 2) resulted in poor growth outcomes, whereas Sudan Grass + Alfalfa (Experiment 3) showed moderate yet consistent results. The observed differences (P &lt; 0.05) confirm the statistical superiority of Experiment 1.</w:t>
      </w:r>
    </w:p>
    <w:p w14:paraId="1D37AAEE" w14:textId="77777777" w:rsidR="00FB623B" w:rsidRPr="00FB623B" w:rsidRDefault="00FB623B" w:rsidP="00FB623B">
      <w:pPr>
        <w:spacing w:after="0"/>
        <w:jc w:val="both"/>
        <w:rPr>
          <w:rFonts w:ascii="Times New Roman" w:hAnsi="Times New Roman" w:cs="Times New Roman"/>
          <w:sz w:val="24"/>
          <w:szCs w:val="24"/>
          <w:highlight w:val="yellow"/>
        </w:rPr>
      </w:pPr>
      <w:r w:rsidRPr="00FB623B">
        <w:rPr>
          <w:rFonts w:ascii="Times New Roman" w:hAnsi="Times New Roman" w:cs="Times New Roman"/>
          <w:sz w:val="24"/>
          <w:szCs w:val="24"/>
          <w:highlight w:val="yellow"/>
        </w:rPr>
        <w:t>From a practical standpoint, these results suggest that Elephant Grass + Alfalfa is a promising feed strategy for improving sheep fattening performance under agro-pastoral conditions. Nevertheless, further investigation is warranted to determine the factors contributing to the lower performance of Lablab-based diets and to assess their economic feasibility. Variations in management, feed quality, and health status among agro-pastoralists may have contributed to the observed variability.</w:t>
      </w:r>
    </w:p>
    <w:p w14:paraId="7BA537E9" w14:textId="77777777" w:rsidR="00FB623B" w:rsidRPr="00FB623B" w:rsidRDefault="00FB623B" w:rsidP="00FB623B">
      <w:pPr>
        <w:spacing w:after="0"/>
        <w:jc w:val="both"/>
        <w:rPr>
          <w:rFonts w:ascii="Times New Roman" w:hAnsi="Times New Roman" w:cs="Times New Roman"/>
          <w:sz w:val="24"/>
          <w:szCs w:val="24"/>
          <w:highlight w:val="yellow"/>
        </w:rPr>
      </w:pPr>
      <w:r w:rsidRPr="00FB623B">
        <w:rPr>
          <w:rFonts w:ascii="Times New Roman" w:hAnsi="Times New Roman" w:cs="Times New Roman"/>
          <w:sz w:val="24"/>
          <w:szCs w:val="24"/>
          <w:highlight w:val="yellow"/>
        </w:rPr>
        <w:t xml:space="preserve">The average daily weight gains in this study were lower than the on-station report of 87 g/head/day. This discrepancy could be attributed to differences in management practices among agro-pastoralists or the timing of the experiment during the </w:t>
      </w:r>
      <w:proofErr w:type="spellStart"/>
      <w:r w:rsidRPr="00FB623B">
        <w:rPr>
          <w:rFonts w:ascii="Times New Roman" w:hAnsi="Times New Roman" w:cs="Times New Roman"/>
          <w:sz w:val="24"/>
          <w:szCs w:val="24"/>
          <w:highlight w:val="yellow"/>
        </w:rPr>
        <w:t>Gu’u</w:t>
      </w:r>
      <w:proofErr w:type="spellEnd"/>
      <w:r w:rsidRPr="00FB623B">
        <w:rPr>
          <w:rFonts w:ascii="Times New Roman" w:hAnsi="Times New Roman" w:cs="Times New Roman"/>
          <w:sz w:val="24"/>
          <w:szCs w:val="24"/>
          <w:highlight w:val="yellow"/>
        </w:rPr>
        <w:t xml:space="preserve"> (wet) season. However, results confirm </w:t>
      </w:r>
      <w:r w:rsidRPr="00FB623B">
        <w:rPr>
          <w:rFonts w:ascii="Times New Roman" w:hAnsi="Times New Roman" w:cs="Times New Roman"/>
          <w:sz w:val="24"/>
          <w:szCs w:val="24"/>
          <w:highlight w:val="yellow"/>
        </w:rPr>
        <w:lastRenderedPageBreak/>
        <w:t>that sheep lambs achieve improved performance when supplemented with green forages in addition to daytime grazing.</w:t>
      </w:r>
    </w:p>
    <w:p w14:paraId="434A4E27" w14:textId="77777777" w:rsidR="00FB623B" w:rsidRPr="0031500F" w:rsidRDefault="00FB623B" w:rsidP="00FB623B">
      <w:pPr>
        <w:spacing w:after="0" w:line="240" w:lineRule="auto"/>
        <w:jc w:val="both"/>
        <w:rPr>
          <w:rFonts w:ascii="Times New Roman" w:hAnsi="Times New Roman" w:cs="Times New Roman"/>
          <w:sz w:val="24"/>
          <w:szCs w:val="24"/>
          <w:highlight w:val="yellow"/>
        </w:rPr>
      </w:pPr>
    </w:p>
    <w:p w14:paraId="6ADE3D73" w14:textId="300F23E0" w:rsidR="003902A1" w:rsidRPr="0031500F" w:rsidRDefault="003902A1" w:rsidP="00C73FA0">
      <w:pPr>
        <w:spacing w:after="0" w:line="360" w:lineRule="auto"/>
        <w:jc w:val="center"/>
        <w:rPr>
          <w:rFonts w:ascii="Times New Roman" w:hAnsi="Times New Roman" w:cs="Times New Roman"/>
          <w:b/>
          <w:sz w:val="24"/>
          <w:szCs w:val="24"/>
          <w:highlight w:val="yellow"/>
        </w:rPr>
      </w:pPr>
      <w:r w:rsidRPr="0031500F">
        <w:rPr>
          <w:rFonts w:ascii="Times New Roman" w:hAnsi="Times New Roman" w:cs="Times New Roman"/>
          <w:b/>
          <w:sz w:val="24"/>
          <w:szCs w:val="24"/>
          <w:highlight w:val="yellow"/>
        </w:rPr>
        <w:t xml:space="preserve">Table </w:t>
      </w:r>
      <w:r w:rsidR="005B743B" w:rsidRPr="0031500F">
        <w:rPr>
          <w:rFonts w:ascii="Times New Roman" w:hAnsi="Times New Roman" w:cs="Times New Roman"/>
          <w:b/>
          <w:sz w:val="24"/>
          <w:szCs w:val="24"/>
          <w:highlight w:val="yellow"/>
        </w:rPr>
        <w:t>2</w:t>
      </w:r>
      <w:r w:rsidR="00C032FC" w:rsidRPr="0031500F">
        <w:rPr>
          <w:rFonts w:ascii="Times New Roman" w:hAnsi="Times New Roman" w:cs="Times New Roman"/>
          <w:b/>
          <w:sz w:val="24"/>
          <w:szCs w:val="24"/>
          <w:highlight w:val="yellow"/>
        </w:rPr>
        <w:t>.</w:t>
      </w:r>
      <w:r w:rsidRPr="0031500F">
        <w:rPr>
          <w:rFonts w:ascii="Times New Roman" w:hAnsi="Times New Roman" w:cs="Times New Roman"/>
          <w:b/>
          <w:sz w:val="24"/>
          <w:szCs w:val="24"/>
          <w:highlight w:val="yellow"/>
        </w:rPr>
        <w:t xml:space="preserve"> </w:t>
      </w:r>
      <w:r w:rsidR="00C032FC" w:rsidRPr="0031500F">
        <w:rPr>
          <w:rFonts w:ascii="Times New Roman" w:hAnsi="Times New Roman" w:cs="Times New Roman"/>
          <w:sz w:val="24"/>
          <w:szCs w:val="24"/>
          <w:highlight w:val="yellow"/>
        </w:rPr>
        <w:t>Least-Squares</w:t>
      </w:r>
      <w:r w:rsidR="00B06584" w:rsidRPr="0031500F">
        <w:rPr>
          <w:rFonts w:ascii="Times New Roman" w:hAnsi="Times New Roman" w:cs="Times New Roman"/>
          <w:sz w:val="24"/>
          <w:szCs w:val="24"/>
          <w:highlight w:val="yellow"/>
        </w:rPr>
        <w:t xml:space="preserve"> Means</w:t>
      </w:r>
      <w:r w:rsidR="00CE163B" w:rsidRPr="0031500F">
        <w:rPr>
          <w:rFonts w:ascii="Times New Roman" w:hAnsi="Times New Roman" w:cs="Times New Roman"/>
          <w:sz w:val="24"/>
          <w:szCs w:val="24"/>
          <w:highlight w:val="yellow"/>
        </w:rPr>
        <w:t xml:space="preserve"> of Sheep </w:t>
      </w:r>
      <w:r w:rsidR="00C032FC" w:rsidRPr="0031500F">
        <w:rPr>
          <w:rFonts w:ascii="Times New Roman" w:hAnsi="Times New Roman" w:cs="Times New Roman"/>
          <w:sz w:val="24"/>
          <w:szCs w:val="24"/>
          <w:highlight w:val="yellow"/>
        </w:rPr>
        <w:t>Fattening Performance</w:t>
      </w:r>
    </w:p>
    <w:tbl>
      <w:tblPr>
        <w:tblStyle w:val="TableGrid"/>
        <w:tblW w:w="11254" w:type="dxa"/>
        <w:jc w:val="center"/>
        <w:tblLayout w:type="fixed"/>
        <w:tblLook w:val="04A0" w:firstRow="1" w:lastRow="0" w:firstColumn="1" w:lastColumn="0" w:noHBand="0" w:noVBand="1"/>
      </w:tblPr>
      <w:tblGrid>
        <w:gridCol w:w="445"/>
        <w:gridCol w:w="1452"/>
        <w:gridCol w:w="1272"/>
        <w:gridCol w:w="2132"/>
        <w:gridCol w:w="2131"/>
        <w:gridCol w:w="1882"/>
        <w:gridCol w:w="1940"/>
      </w:tblGrid>
      <w:tr w:rsidR="00B11D89" w:rsidRPr="0031500F" w14:paraId="0EC2D1ED" w14:textId="77777777" w:rsidTr="00B270FF">
        <w:trPr>
          <w:trHeight w:val="20"/>
          <w:jc w:val="center"/>
        </w:trPr>
        <w:tc>
          <w:tcPr>
            <w:tcW w:w="445" w:type="dxa"/>
            <w:vMerge w:val="restart"/>
          </w:tcPr>
          <w:p w14:paraId="6AE8438F" w14:textId="77777777" w:rsidR="00B11D89" w:rsidRPr="0031500F" w:rsidRDefault="00B11D89" w:rsidP="00B270FF">
            <w:pPr>
              <w:jc w:val="both"/>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S/No</w:t>
            </w:r>
          </w:p>
        </w:tc>
        <w:tc>
          <w:tcPr>
            <w:tcW w:w="1452" w:type="dxa"/>
            <w:vMerge w:val="restart"/>
          </w:tcPr>
          <w:p w14:paraId="6B74BC9B" w14:textId="77777777" w:rsidR="00B11D89" w:rsidRPr="0031500F" w:rsidRDefault="00B11D89" w:rsidP="00B270FF">
            <w:pPr>
              <w:jc w:val="both"/>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 xml:space="preserve">Activities </w:t>
            </w:r>
          </w:p>
        </w:tc>
        <w:tc>
          <w:tcPr>
            <w:tcW w:w="1272" w:type="dxa"/>
            <w:vMerge w:val="restart"/>
          </w:tcPr>
          <w:p w14:paraId="787489A8" w14:textId="77777777" w:rsidR="00B11D89" w:rsidRPr="0031500F" w:rsidRDefault="00B11D89" w:rsidP="00B270FF">
            <w:pPr>
              <w:jc w:val="both"/>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Control group</w:t>
            </w:r>
          </w:p>
        </w:tc>
        <w:tc>
          <w:tcPr>
            <w:tcW w:w="2132" w:type="dxa"/>
          </w:tcPr>
          <w:p w14:paraId="29D1DBE8" w14:textId="77777777" w:rsidR="00B11D89" w:rsidRPr="0031500F" w:rsidRDefault="00B11D89" w:rsidP="00B270FF">
            <w:pPr>
              <w:jc w:val="center"/>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Experiment 1</w:t>
            </w:r>
          </w:p>
        </w:tc>
        <w:tc>
          <w:tcPr>
            <w:tcW w:w="2131" w:type="dxa"/>
          </w:tcPr>
          <w:p w14:paraId="72EE2014" w14:textId="77777777" w:rsidR="00B11D89" w:rsidRPr="0031500F" w:rsidRDefault="00B11D89" w:rsidP="00B270FF">
            <w:pPr>
              <w:jc w:val="center"/>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Experiment 2</w:t>
            </w:r>
          </w:p>
        </w:tc>
        <w:tc>
          <w:tcPr>
            <w:tcW w:w="1882" w:type="dxa"/>
          </w:tcPr>
          <w:p w14:paraId="3451A670" w14:textId="77777777" w:rsidR="00B11D89" w:rsidRPr="0031500F" w:rsidRDefault="00B11D89" w:rsidP="00B270FF">
            <w:pPr>
              <w:jc w:val="center"/>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Experiment 3</w:t>
            </w:r>
          </w:p>
        </w:tc>
        <w:tc>
          <w:tcPr>
            <w:tcW w:w="1937" w:type="dxa"/>
          </w:tcPr>
          <w:p w14:paraId="3B6AE43D" w14:textId="77777777" w:rsidR="00B11D89" w:rsidRPr="0031500F" w:rsidRDefault="00B11D89" w:rsidP="00B270FF">
            <w:pPr>
              <w:jc w:val="center"/>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Experiment 4</w:t>
            </w:r>
          </w:p>
        </w:tc>
      </w:tr>
      <w:tr w:rsidR="00B11D89" w:rsidRPr="0031500F" w14:paraId="79FFDFA6" w14:textId="77777777" w:rsidTr="00B270FF">
        <w:trPr>
          <w:trHeight w:val="20"/>
          <w:jc w:val="center"/>
        </w:trPr>
        <w:tc>
          <w:tcPr>
            <w:tcW w:w="445" w:type="dxa"/>
            <w:vMerge/>
          </w:tcPr>
          <w:p w14:paraId="62FC3BCD" w14:textId="77777777" w:rsidR="00B11D89" w:rsidRPr="0031500F" w:rsidRDefault="00B11D89" w:rsidP="00B270FF">
            <w:pPr>
              <w:jc w:val="both"/>
              <w:rPr>
                <w:rFonts w:ascii="Times New Roman" w:hAnsi="Times New Roman" w:cs="Times New Roman"/>
                <w:b/>
                <w:bCs/>
                <w:sz w:val="18"/>
                <w:szCs w:val="18"/>
                <w:highlight w:val="yellow"/>
              </w:rPr>
            </w:pPr>
          </w:p>
        </w:tc>
        <w:tc>
          <w:tcPr>
            <w:tcW w:w="1452" w:type="dxa"/>
            <w:vMerge/>
          </w:tcPr>
          <w:p w14:paraId="018F04FD" w14:textId="77777777" w:rsidR="00B11D89" w:rsidRPr="0031500F" w:rsidRDefault="00B11D89" w:rsidP="00B270FF">
            <w:pPr>
              <w:jc w:val="both"/>
              <w:rPr>
                <w:rFonts w:ascii="Times New Roman" w:hAnsi="Times New Roman" w:cs="Times New Roman"/>
                <w:b/>
                <w:bCs/>
                <w:sz w:val="18"/>
                <w:szCs w:val="18"/>
                <w:highlight w:val="yellow"/>
              </w:rPr>
            </w:pPr>
          </w:p>
        </w:tc>
        <w:tc>
          <w:tcPr>
            <w:tcW w:w="1272" w:type="dxa"/>
            <w:vMerge/>
          </w:tcPr>
          <w:p w14:paraId="66BF0565" w14:textId="77777777" w:rsidR="00B11D89" w:rsidRPr="0031500F" w:rsidRDefault="00B11D89" w:rsidP="00B270FF">
            <w:pPr>
              <w:jc w:val="both"/>
              <w:rPr>
                <w:rFonts w:ascii="Times New Roman" w:hAnsi="Times New Roman" w:cs="Times New Roman"/>
                <w:b/>
                <w:bCs/>
                <w:sz w:val="18"/>
                <w:szCs w:val="18"/>
                <w:highlight w:val="yellow"/>
              </w:rPr>
            </w:pPr>
          </w:p>
        </w:tc>
        <w:tc>
          <w:tcPr>
            <w:tcW w:w="2132" w:type="dxa"/>
          </w:tcPr>
          <w:p w14:paraId="493EE954" w14:textId="77777777" w:rsidR="00B11D89" w:rsidRPr="0031500F" w:rsidRDefault="00B11D89" w:rsidP="00B270FF">
            <w:pPr>
              <w:jc w:val="both"/>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Elephant Grass + Alfalfa</w:t>
            </w:r>
          </w:p>
        </w:tc>
        <w:tc>
          <w:tcPr>
            <w:tcW w:w="2131" w:type="dxa"/>
          </w:tcPr>
          <w:p w14:paraId="0D8A2791" w14:textId="77777777" w:rsidR="00B11D89" w:rsidRPr="0031500F" w:rsidRDefault="00B11D89" w:rsidP="00B270FF">
            <w:pPr>
              <w:jc w:val="both"/>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Elephant Grass + Lablab</w:t>
            </w:r>
          </w:p>
        </w:tc>
        <w:tc>
          <w:tcPr>
            <w:tcW w:w="1882" w:type="dxa"/>
          </w:tcPr>
          <w:p w14:paraId="081C964F" w14:textId="77777777" w:rsidR="00B11D89" w:rsidRPr="0031500F" w:rsidRDefault="00B11D89" w:rsidP="00B270FF">
            <w:pPr>
              <w:jc w:val="both"/>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Sudan Grass + Alfalfa</w:t>
            </w:r>
          </w:p>
        </w:tc>
        <w:tc>
          <w:tcPr>
            <w:tcW w:w="1937" w:type="dxa"/>
          </w:tcPr>
          <w:p w14:paraId="4BBF03C1" w14:textId="77777777" w:rsidR="00B11D89" w:rsidRPr="0031500F" w:rsidRDefault="00B11D89" w:rsidP="00B270FF">
            <w:pPr>
              <w:jc w:val="both"/>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Sudan Grass + lablab</w:t>
            </w:r>
          </w:p>
        </w:tc>
      </w:tr>
      <w:tr w:rsidR="00B11D89" w:rsidRPr="0031500F" w14:paraId="4A706AE8" w14:textId="77777777" w:rsidTr="00B270FF">
        <w:trPr>
          <w:trHeight w:val="20"/>
          <w:jc w:val="center"/>
        </w:trPr>
        <w:tc>
          <w:tcPr>
            <w:tcW w:w="445" w:type="dxa"/>
          </w:tcPr>
          <w:p w14:paraId="6833C9A8" w14:textId="77777777" w:rsidR="00B11D89" w:rsidRPr="0031500F" w:rsidRDefault="00B11D89" w:rsidP="00B270FF">
            <w:pPr>
              <w:pStyle w:val="ListParagraph"/>
              <w:numPr>
                <w:ilvl w:val="0"/>
                <w:numId w:val="5"/>
              </w:numPr>
              <w:jc w:val="both"/>
              <w:rPr>
                <w:rFonts w:ascii="Times New Roman" w:hAnsi="Times New Roman" w:cs="Times New Roman"/>
                <w:bCs/>
                <w:sz w:val="18"/>
                <w:szCs w:val="18"/>
                <w:highlight w:val="yellow"/>
              </w:rPr>
            </w:pPr>
          </w:p>
        </w:tc>
        <w:tc>
          <w:tcPr>
            <w:tcW w:w="1452" w:type="dxa"/>
          </w:tcPr>
          <w:p w14:paraId="25CC10AB" w14:textId="77777777" w:rsidR="00B11D89" w:rsidRPr="0031500F" w:rsidRDefault="00B11D89" w:rsidP="00B270FF">
            <w:pPr>
              <w:jc w:val="both"/>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Initial BW (kg)</w:t>
            </w:r>
          </w:p>
        </w:tc>
        <w:tc>
          <w:tcPr>
            <w:tcW w:w="1272" w:type="dxa"/>
          </w:tcPr>
          <w:p w14:paraId="20A83369" w14:textId="77777777" w:rsidR="00B11D89" w:rsidRPr="0031500F" w:rsidRDefault="00B11D89" w:rsidP="00B270FF">
            <w:pPr>
              <w:jc w:val="both"/>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16.95 ± 1.97</w:t>
            </w:r>
          </w:p>
        </w:tc>
        <w:tc>
          <w:tcPr>
            <w:tcW w:w="2132" w:type="dxa"/>
          </w:tcPr>
          <w:p w14:paraId="6FC8FAF7"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16.02 ± 1.34</w:t>
            </w:r>
          </w:p>
        </w:tc>
        <w:tc>
          <w:tcPr>
            <w:tcW w:w="2131" w:type="dxa"/>
          </w:tcPr>
          <w:p w14:paraId="0C50BBF0"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15.34 ± 1.34</w:t>
            </w:r>
          </w:p>
        </w:tc>
        <w:tc>
          <w:tcPr>
            <w:tcW w:w="1882" w:type="dxa"/>
          </w:tcPr>
          <w:p w14:paraId="10469060"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17.99 ± 0.45</w:t>
            </w:r>
          </w:p>
        </w:tc>
        <w:tc>
          <w:tcPr>
            <w:tcW w:w="1937" w:type="dxa"/>
          </w:tcPr>
          <w:p w14:paraId="7E1D7076"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16.44 ± 0.34</w:t>
            </w:r>
          </w:p>
        </w:tc>
      </w:tr>
      <w:tr w:rsidR="00B11D89" w:rsidRPr="0031500F" w14:paraId="1E953FBA" w14:textId="77777777" w:rsidTr="00B270FF">
        <w:trPr>
          <w:trHeight w:val="20"/>
          <w:jc w:val="center"/>
        </w:trPr>
        <w:tc>
          <w:tcPr>
            <w:tcW w:w="445" w:type="dxa"/>
          </w:tcPr>
          <w:p w14:paraId="55C232DA" w14:textId="77777777" w:rsidR="00B11D89" w:rsidRPr="0031500F" w:rsidRDefault="00B11D89" w:rsidP="00B270FF">
            <w:pPr>
              <w:pStyle w:val="ListParagraph"/>
              <w:numPr>
                <w:ilvl w:val="0"/>
                <w:numId w:val="5"/>
              </w:numPr>
              <w:jc w:val="both"/>
              <w:rPr>
                <w:rFonts w:ascii="Times New Roman" w:hAnsi="Times New Roman" w:cs="Times New Roman"/>
                <w:bCs/>
                <w:sz w:val="18"/>
                <w:szCs w:val="18"/>
                <w:highlight w:val="yellow"/>
              </w:rPr>
            </w:pPr>
          </w:p>
        </w:tc>
        <w:tc>
          <w:tcPr>
            <w:tcW w:w="1452" w:type="dxa"/>
          </w:tcPr>
          <w:p w14:paraId="1625B69B" w14:textId="273C1E5B" w:rsidR="00B11D89" w:rsidRPr="0031500F" w:rsidRDefault="00B11D89" w:rsidP="00B270FF">
            <w:pPr>
              <w:jc w:val="both"/>
              <w:rPr>
                <w:rFonts w:ascii="Times New Roman" w:hAnsi="Times New Roman" w:cs="Times New Roman"/>
                <w:b/>
                <w:bCs/>
                <w:sz w:val="18"/>
                <w:szCs w:val="18"/>
                <w:highlight w:val="yellow"/>
              </w:rPr>
            </w:pPr>
            <w:r w:rsidRPr="0031500F">
              <w:rPr>
                <w:rFonts w:ascii="Times New Roman" w:hAnsi="Times New Roman" w:cs="Times New Roman"/>
                <w:b/>
                <w:bCs/>
                <w:sz w:val="18"/>
                <w:szCs w:val="18"/>
                <w:highlight w:val="yellow"/>
              </w:rPr>
              <w:t xml:space="preserve">Final </w:t>
            </w:r>
            <w:r w:rsidR="00B270FF" w:rsidRPr="0031500F">
              <w:rPr>
                <w:rFonts w:ascii="Times New Roman" w:hAnsi="Times New Roman" w:cs="Times New Roman"/>
                <w:b/>
                <w:bCs/>
                <w:sz w:val="18"/>
                <w:szCs w:val="18"/>
                <w:highlight w:val="yellow"/>
              </w:rPr>
              <w:t>BW (</w:t>
            </w:r>
            <w:r w:rsidRPr="0031500F">
              <w:rPr>
                <w:rFonts w:ascii="Times New Roman" w:hAnsi="Times New Roman" w:cs="Times New Roman"/>
                <w:b/>
                <w:bCs/>
                <w:sz w:val="18"/>
                <w:szCs w:val="18"/>
                <w:highlight w:val="yellow"/>
              </w:rPr>
              <w:t>kg)</w:t>
            </w:r>
          </w:p>
        </w:tc>
        <w:tc>
          <w:tcPr>
            <w:tcW w:w="1272" w:type="dxa"/>
          </w:tcPr>
          <w:p w14:paraId="3FDB10E1" w14:textId="43233271" w:rsidR="00B11D89" w:rsidRPr="0031500F" w:rsidRDefault="00C032FC" w:rsidP="00B270FF">
            <w:pPr>
              <w:jc w:val="both"/>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21.19 ± 1.86</w:t>
            </w:r>
          </w:p>
        </w:tc>
        <w:tc>
          <w:tcPr>
            <w:tcW w:w="2132" w:type="dxa"/>
          </w:tcPr>
          <w:p w14:paraId="522366E5"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21.19 ± 1.86</w:t>
            </w:r>
          </w:p>
        </w:tc>
        <w:tc>
          <w:tcPr>
            <w:tcW w:w="2131" w:type="dxa"/>
          </w:tcPr>
          <w:p w14:paraId="332F5342"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16.39 ± 1.86</w:t>
            </w:r>
          </w:p>
        </w:tc>
        <w:tc>
          <w:tcPr>
            <w:tcW w:w="1882" w:type="dxa"/>
          </w:tcPr>
          <w:p w14:paraId="3999CC51"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20.65 ± 0.36</w:t>
            </w:r>
          </w:p>
        </w:tc>
        <w:tc>
          <w:tcPr>
            <w:tcW w:w="1937" w:type="dxa"/>
          </w:tcPr>
          <w:p w14:paraId="5C4001E3"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17.89 ± 1.86</w:t>
            </w:r>
          </w:p>
        </w:tc>
      </w:tr>
      <w:tr w:rsidR="00B11D89" w:rsidRPr="0031500F" w14:paraId="4175D68D" w14:textId="77777777" w:rsidTr="00B270FF">
        <w:trPr>
          <w:trHeight w:val="20"/>
          <w:jc w:val="center"/>
        </w:trPr>
        <w:tc>
          <w:tcPr>
            <w:tcW w:w="445" w:type="dxa"/>
          </w:tcPr>
          <w:p w14:paraId="5EBA8960" w14:textId="77777777" w:rsidR="00B11D89" w:rsidRPr="0031500F" w:rsidRDefault="00B11D89" w:rsidP="00B270FF">
            <w:pPr>
              <w:pStyle w:val="ListParagraph"/>
              <w:numPr>
                <w:ilvl w:val="0"/>
                <w:numId w:val="5"/>
              </w:numPr>
              <w:jc w:val="both"/>
              <w:rPr>
                <w:rFonts w:ascii="Times New Roman" w:hAnsi="Times New Roman" w:cs="Times New Roman"/>
                <w:bCs/>
                <w:sz w:val="18"/>
                <w:szCs w:val="18"/>
                <w:highlight w:val="yellow"/>
              </w:rPr>
            </w:pPr>
          </w:p>
        </w:tc>
        <w:tc>
          <w:tcPr>
            <w:tcW w:w="1452" w:type="dxa"/>
          </w:tcPr>
          <w:p w14:paraId="35351AAB" w14:textId="77777777" w:rsidR="00B11D89" w:rsidRPr="0031500F" w:rsidRDefault="00B11D89" w:rsidP="00B270FF">
            <w:pPr>
              <w:tabs>
                <w:tab w:val="left" w:pos="1402"/>
              </w:tabs>
              <w:rPr>
                <w:rFonts w:ascii="Times New Roman" w:hAnsi="Times New Roman" w:cs="Times New Roman"/>
                <w:b/>
                <w:sz w:val="18"/>
                <w:szCs w:val="18"/>
                <w:highlight w:val="yellow"/>
              </w:rPr>
            </w:pPr>
            <w:r w:rsidRPr="0031500F">
              <w:rPr>
                <w:rFonts w:ascii="Times New Roman" w:hAnsi="Times New Roman" w:cs="Times New Roman"/>
                <w:b/>
                <w:sz w:val="18"/>
                <w:szCs w:val="18"/>
                <w:highlight w:val="yellow"/>
              </w:rPr>
              <w:t>TWG (kg)</w:t>
            </w:r>
          </w:p>
        </w:tc>
        <w:tc>
          <w:tcPr>
            <w:tcW w:w="1272" w:type="dxa"/>
          </w:tcPr>
          <w:p w14:paraId="514CD016" w14:textId="7E753F21" w:rsidR="00B11D89" w:rsidRPr="0031500F" w:rsidRDefault="00C032FC" w:rsidP="00B270FF">
            <w:pPr>
              <w:tabs>
                <w:tab w:val="left" w:pos="1402"/>
              </w:tabs>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9.17 ± 2.6</w:t>
            </w:r>
          </w:p>
        </w:tc>
        <w:tc>
          <w:tcPr>
            <w:tcW w:w="2132" w:type="dxa"/>
          </w:tcPr>
          <w:p w14:paraId="0AD7BE27"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5. 17 ± 2.60</w:t>
            </w:r>
          </w:p>
        </w:tc>
        <w:tc>
          <w:tcPr>
            <w:tcW w:w="2131" w:type="dxa"/>
          </w:tcPr>
          <w:p w14:paraId="11A68FB3"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 05 ± 2.60</w:t>
            </w:r>
          </w:p>
        </w:tc>
        <w:tc>
          <w:tcPr>
            <w:tcW w:w="1882" w:type="dxa"/>
          </w:tcPr>
          <w:p w14:paraId="3DE37BFA"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2.66 ± 0.34</w:t>
            </w:r>
          </w:p>
        </w:tc>
        <w:tc>
          <w:tcPr>
            <w:tcW w:w="1937" w:type="dxa"/>
          </w:tcPr>
          <w:p w14:paraId="5B17F744"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 45 ± 2.60</w:t>
            </w:r>
          </w:p>
        </w:tc>
      </w:tr>
      <w:tr w:rsidR="00B11D89" w:rsidRPr="0031500F" w14:paraId="147C0CF4" w14:textId="77777777" w:rsidTr="00B270FF">
        <w:trPr>
          <w:trHeight w:val="20"/>
          <w:jc w:val="center"/>
        </w:trPr>
        <w:tc>
          <w:tcPr>
            <w:tcW w:w="445" w:type="dxa"/>
          </w:tcPr>
          <w:p w14:paraId="60B4B9CF" w14:textId="77777777" w:rsidR="00B11D89" w:rsidRPr="0031500F" w:rsidRDefault="00B11D89" w:rsidP="00B270FF">
            <w:pPr>
              <w:pStyle w:val="ListParagraph"/>
              <w:numPr>
                <w:ilvl w:val="0"/>
                <w:numId w:val="5"/>
              </w:numPr>
              <w:jc w:val="both"/>
              <w:rPr>
                <w:rFonts w:ascii="Times New Roman" w:hAnsi="Times New Roman" w:cs="Times New Roman"/>
                <w:bCs/>
                <w:sz w:val="18"/>
                <w:szCs w:val="18"/>
                <w:highlight w:val="yellow"/>
              </w:rPr>
            </w:pPr>
          </w:p>
        </w:tc>
        <w:tc>
          <w:tcPr>
            <w:tcW w:w="1452" w:type="dxa"/>
          </w:tcPr>
          <w:p w14:paraId="10492B32" w14:textId="77777777" w:rsidR="00B11D89" w:rsidRPr="0031500F" w:rsidRDefault="00B11D89" w:rsidP="00B270FF">
            <w:pPr>
              <w:rPr>
                <w:rFonts w:ascii="Times New Roman" w:hAnsi="Times New Roman" w:cs="Times New Roman"/>
                <w:b/>
                <w:sz w:val="18"/>
                <w:szCs w:val="18"/>
                <w:highlight w:val="yellow"/>
              </w:rPr>
            </w:pPr>
            <w:r w:rsidRPr="0031500F">
              <w:rPr>
                <w:rFonts w:ascii="Times New Roman" w:hAnsi="Times New Roman" w:cs="Times New Roman"/>
                <w:b/>
                <w:sz w:val="18"/>
                <w:szCs w:val="18"/>
                <w:highlight w:val="yellow"/>
              </w:rPr>
              <w:t xml:space="preserve"> ADG (gm)</w:t>
            </w:r>
          </w:p>
        </w:tc>
        <w:tc>
          <w:tcPr>
            <w:tcW w:w="1272" w:type="dxa"/>
          </w:tcPr>
          <w:p w14:paraId="620ACD57" w14:textId="183BCDD0" w:rsidR="00B11D89" w:rsidRPr="0031500F" w:rsidRDefault="00C032FC" w:rsidP="00B270FF">
            <w:pP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76.42 ± 2.11</w:t>
            </w:r>
          </w:p>
        </w:tc>
        <w:tc>
          <w:tcPr>
            <w:tcW w:w="2132" w:type="dxa"/>
          </w:tcPr>
          <w:p w14:paraId="53747AF0"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57.44 ± 2.11</w:t>
            </w:r>
          </w:p>
        </w:tc>
        <w:tc>
          <w:tcPr>
            <w:tcW w:w="2131" w:type="dxa"/>
          </w:tcPr>
          <w:p w14:paraId="369D3E74"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11.66 ± 2.48</w:t>
            </w:r>
          </w:p>
        </w:tc>
        <w:tc>
          <w:tcPr>
            <w:tcW w:w="1882" w:type="dxa"/>
          </w:tcPr>
          <w:p w14:paraId="4971A5E2"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29.55 ± 0.006</w:t>
            </w:r>
          </w:p>
        </w:tc>
        <w:tc>
          <w:tcPr>
            <w:tcW w:w="1937" w:type="dxa"/>
          </w:tcPr>
          <w:p w14:paraId="27F59C5B" w14:textId="77777777" w:rsidR="00B11D89" w:rsidRPr="0031500F" w:rsidRDefault="00B11D89" w:rsidP="00B270FF">
            <w:pPr>
              <w:jc w:val="center"/>
              <w:rPr>
                <w:rFonts w:ascii="Times New Roman" w:hAnsi="Times New Roman" w:cs="Times New Roman"/>
                <w:sz w:val="18"/>
                <w:szCs w:val="18"/>
                <w:highlight w:val="yellow"/>
              </w:rPr>
            </w:pPr>
            <w:r w:rsidRPr="0031500F">
              <w:rPr>
                <w:rFonts w:ascii="Times New Roman" w:hAnsi="Times New Roman" w:cs="Times New Roman"/>
                <w:sz w:val="18"/>
                <w:szCs w:val="18"/>
                <w:highlight w:val="yellow"/>
              </w:rPr>
              <w:t>16.11 ± 2.68</w:t>
            </w:r>
          </w:p>
        </w:tc>
      </w:tr>
      <w:tr w:rsidR="00C032FC" w:rsidRPr="0031500F" w14:paraId="49646AD8" w14:textId="77777777" w:rsidTr="00B270FF">
        <w:trPr>
          <w:trHeight w:val="20"/>
          <w:jc w:val="center"/>
        </w:trPr>
        <w:tc>
          <w:tcPr>
            <w:tcW w:w="11254" w:type="dxa"/>
            <w:gridSpan w:val="7"/>
          </w:tcPr>
          <w:p w14:paraId="41FAB0FB" w14:textId="57875B57" w:rsidR="00C032FC" w:rsidRPr="0031500F" w:rsidRDefault="00C032FC" w:rsidP="00B270FF">
            <w:pPr>
              <w:jc w:val="both"/>
              <w:rPr>
                <w:rFonts w:ascii="Times New Roman" w:hAnsi="Times New Roman" w:cs="Times New Roman"/>
                <w:i/>
                <w:sz w:val="18"/>
                <w:szCs w:val="18"/>
                <w:highlight w:val="yellow"/>
              </w:rPr>
            </w:pPr>
            <w:r w:rsidRPr="0031500F">
              <w:rPr>
                <w:rFonts w:ascii="Times New Roman" w:hAnsi="Times New Roman" w:cs="Times New Roman"/>
                <w:i/>
                <w:sz w:val="18"/>
                <w:szCs w:val="18"/>
                <w:highlight w:val="yellow"/>
              </w:rPr>
              <w:t xml:space="preserve">IBW (Initial Body Weight), FBW (Final Body Weight), TWG (Total Weight Gain), ADG (Average Daily Gain) T1 = free grazing + Elephant Grass + Alfalfa, and T2 = free grazing </w:t>
            </w:r>
            <w:r w:rsidR="000A6762">
              <w:rPr>
                <w:rFonts w:ascii="Times New Roman" w:hAnsi="Times New Roman" w:cs="Times New Roman"/>
                <w:i/>
                <w:sz w:val="18"/>
                <w:szCs w:val="18"/>
                <w:highlight w:val="yellow"/>
              </w:rPr>
              <w:t xml:space="preserve">+ </w:t>
            </w:r>
            <w:r w:rsidRPr="0031500F">
              <w:rPr>
                <w:rFonts w:ascii="Times New Roman" w:hAnsi="Times New Roman" w:cs="Times New Roman"/>
                <w:i/>
                <w:sz w:val="18"/>
                <w:szCs w:val="18"/>
                <w:highlight w:val="yellow"/>
              </w:rPr>
              <w:t>Elephant Grass + Lablab. T3= free grazing + Sudan Grass + Alfalfa and T4= free grazing +Sudan Grass + lablab</w:t>
            </w:r>
          </w:p>
        </w:tc>
      </w:tr>
    </w:tbl>
    <w:p w14:paraId="57EE004E" w14:textId="77777777" w:rsidR="00C032FC" w:rsidRPr="0031500F" w:rsidRDefault="00C032FC" w:rsidP="00C032FC">
      <w:pPr>
        <w:spacing w:after="0" w:line="240" w:lineRule="auto"/>
        <w:jc w:val="both"/>
        <w:rPr>
          <w:rFonts w:ascii="Times New Roman" w:hAnsi="Times New Roman" w:cs="Times New Roman"/>
          <w:sz w:val="24"/>
          <w:szCs w:val="24"/>
          <w:highlight w:val="yellow"/>
        </w:rPr>
      </w:pPr>
    </w:p>
    <w:p w14:paraId="43EE39B2" w14:textId="675B4ACE" w:rsidR="00B00294" w:rsidRPr="0031500F" w:rsidRDefault="00056C08" w:rsidP="00056C08">
      <w:pPr>
        <w:pStyle w:val="ListParagraph"/>
        <w:numPr>
          <w:ilvl w:val="1"/>
          <w:numId w:val="9"/>
        </w:numPr>
        <w:spacing w:after="0"/>
        <w:jc w:val="both"/>
        <w:rPr>
          <w:rFonts w:ascii="Times New Roman" w:hAnsi="Times New Roman" w:cs="Times New Roman"/>
          <w:b/>
          <w:bCs/>
          <w:sz w:val="24"/>
          <w:szCs w:val="24"/>
          <w:highlight w:val="yellow"/>
          <w:lang w:val="en-GB"/>
        </w:rPr>
      </w:pPr>
      <w:r w:rsidRPr="0031500F">
        <w:rPr>
          <w:rFonts w:ascii="Times New Roman" w:hAnsi="Times New Roman" w:cs="Times New Roman"/>
          <w:b/>
          <w:bCs/>
          <w:sz w:val="24"/>
          <w:szCs w:val="24"/>
          <w:highlight w:val="yellow"/>
          <w:lang w:val="en-GB"/>
        </w:rPr>
        <w:t xml:space="preserve"> </w:t>
      </w:r>
      <w:r w:rsidR="007B2E82" w:rsidRPr="0031500F">
        <w:rPr>
          <w:rFonts w:ascii="Times New Roman" w:hAnsi="Times New Roman" w:cs="Times New Roman"/>
          <w:b/>
          <w:bCs/>
          <w:sz w:val="24"/>
          <w:szCs w:val="24"/>
          <w:highlight w:val="yellow"/>
          <w:lang w:val="en-GB"/>
        </w:rPr>
        <w:t xml:space="preserve">Perception </w:t>
      </w:r>
      <w:r w:rsidR="000A6762">
        <w:rPr>
          <w:rFonts w:ascii="Times New Roman" w:hAnsi="Times New Roman" w:cs="Times New Roman"/>
          <w:b/>
          <w:bCs/>
          <w:sz w:val="24"/>
          <w:szCs w:val="24"/>
          <w:highlight w:val="yellow"/>
          <w:lang w:val="en-GB"/>
        </w:rPr>
        <w:t>of</w:t>
      </w:r>
      <w:r w:rsidR="007B2E82" w:rsidRPr="0031500F">
        <w:rPr>
          <w:rFonts w:ascii="Times New Roman" w:hAnsi="Times New Roman" w:cs="Times New Roman"/>
          <w:b/>
          <w:bCs/>
          <w:sz w:val="24"/>
          <w:szCs w:val="24"/>
          <w:highlight w:val="yellow"/>
          <w:lang w:val="en-GB"/>
        </w:rPr>
        <w:t xml:space="preserve"> agro-pastoralists</w:t>
      </w:r>
    </w:p>
    <w:p w14:paraId="44902C15" w14:textId="77777777" w:rsidR="00056C08" w:rsidRPr="0031500F" w:rsidRDefault="00056C08" w:rsidP="00056C08">
      <w:pPr>
        <w:pStyle w:val="ListParagraph"/>
        <w:spacing w:after="0"/>
        <w:ind w:left="360"/>
        <w:jc w:val="both"/>
        <w:rPr>
          <w:rFonts w:ascii="Times New Roman" w:hAnsi="Times New Roman" w:cs="Times New Roman"/>
          <w:b/>
          <w:bCs/>
          <w:sz w:val="24"/>
          <w:szCs w:val="24"/>
          <w:highlight w:val="yellow"/>
          <w:lang w:val="en-GB"/>
        </w:rPr>
      </w:pPr>
    </w:p>
    <w:p w14:paraId="345F3998" w14:textId="3E0A1867" w:rsidR="00056C08" w:rsidRDefault="00056C08" w:rsidP="00056C08">
      <w:pPr>
        <w:spacing w:after="0"/>
        <w:jc w:val="both"/>
        <w:rPr>
          <w:rFonts w:ascii="Times New Roman" w:hAnsi="Times New Roman" w:cs="Times New Roman"/>
          <w:sz w:val="24"/>
          <w:szCs w:val="24"/>
          <w:highlight w:val="yellow"/>
        </w:rPr>
      </w:pPr>
      <w:r w:rsidRPr="00056C08">
        <w:rPr>
          <w:rFonts w:ascii="Times New Roman" w:hAnsi="Times New Roman" w:cs="Times New Roman"/>
          <w:sz w:val="24"/>
          <w:szCs w:val="24"/>
          <w:highlight w:val="yellow"/>
        </w:rPr>
        <w:t>A Focus Group Discussion (FGD) was conducted with each group of project beneficiaries (sheep and goat fatteners), consisting of eight participants per group, in Dabafayd Kebele. The discussions focused on their experiences in utilizing green forage for feeding and the impact of the technology on their livelihoods.</w:t>
      </w:r>
      <w:r w:rsidRPr="0031500F">
        <w:rPr>
          <w:rFonts w:ascii="Times New Roman" w:hAnsi="Times New Roman" w:cs="Times New Roman"/>
          <w:sz w:val="24"/>
          <w:szCs w:val="24"/>
          <w:highlight w:val="yellow"/>
        </w:rPr>
        <w:t xml:space="preserve"> </w:t>
      </w:r>
      <w:r w:rsidRPr="00056C08">
        <w:rPr>
          <w:rFonts w:ascii="Times New Roman" w:hAnsi="Times New Roman" w:cs="Times New Roman"/>
          <w:sz w:val="24"/>
          <w:szCs w:val="24"/>
          <w:highlight w:val="yellow"/>
        </w:rPr>
        <w:t>The participants reported that before the intervention, they faced major challenges in fattening or finishing small ruminants for market due to feed scarcity in their area. Their limited knowledge and skills in using improved feeds and managing feeding practices also constrained their fattening efforts.</w:t>
      </w:r>
      <w:r w:rsidRPr="0031500F">
        <w:rPr>
          <w:rFonts w:ascii="Times New Roman" w:hAnsi="Times New Roman" w:cs="Times New Roman"/>
          <w:sz w:val="24"/>
          <w:szCs w:val="24"/>
          <w:highlight w:val="yellow"/>
        </w:rPr>
        <w:t xml:space="preserve"> </w:t>
      </w:r>
      <w:r w:rsidRPr="00056C08">
        <w:rPr>
          <w:rFonts w:ascii="Times New Roman" w:hAnsi="Times New Roman" w:cs="Times New Roman"/>
          <w:sz w:val="24"/>
          <w:szCs w:val="24"/>
          <w:highlight w:val="yellow"/>
        </w:rPr>
        <w:t>Regarding the benefits gained from adopting the improved feeding technology, the beneficiaries indicated that, in addition to enhanced knowledge and skills, the intervention brought notable economic and livelihood improvements. They emphasized that the net returns from the sale of fattened animals were significantly higher than before the introduction of the technology.</w:t>
      </w:r>
    </w:p>
    <w:p w14:paraId="712210A1" w14:textId="77777777" w:rsidR="000A6762" w:rsidRDefault="000A6762" w:rsidP="00056C08">
      <w:pPr>
        <w:spacing w:after="0"/>
        <w:jc w:val="both"/>
        <w:rPr>
          <w:rFonts w:ascii="Times New Roman" w:hAnsi="Times New Roman" w:cs="Times New Roman"/>
          <w:sz w:val="24"/>
          <w:szCs w:val="24"/>
          <w:highlight w:val="yellow"/>
        </w:rPr>
      </w:pPr>
    </w:p>
    <w:p w14:paraId="5F88DAF2" w14:textId="50D4F349" w:rsidR="000A6762" w:rsidRPr="000A6762" w:rsidRDefault="000A6762" w:rsidP="000A6762">
      <w:pPr>
        <w:pStyle w:val="ListParagraph"/>
        <w:numPr>
          <w:ilvl w:val="0"/>
          <w:numId w:val="9"/>
        </w:numPr>
        <w:spacing w:after="0"/>
        <w:jc w:val="both"/>
        <w:rPr>
          <w:rFonts w:ascii="Times New Roman" w:hAnsi="Times New Roman" w:cs="Times New Roman"/>
          <w:sz w:val="24"/>
          <w:szCs w:val="24"/>
          <w:highlight w:val="yellow"/>
        </w:rPr>
      </w:pPr>
      <w:r w:rsidRPr="000A6762">
        <w:rPr>
          <w:rFonts w:ascii="Times New Roman" w:hAnsi="Times New Roman" w:cs="Times New Roman"/>
          <w:sz w:val="24"/>
          <w:szCs w:val="24"/>
          <w:highlight w:val="yellow"/>
        </w:rPr>
        <w:t>Discussion</w:t>
      </w:r>
    </w:p>
    <w:p w14:paraId="28BE0F8E" w14:textId="77777777" w:rsidR="000A6762" w:rsidRDefault="000A6762" w:rsidP="00056C08">
      <w:pPr>
        <w:spacing w:after="0"/>
        <w:jc w:val="both"/>
        <w:rPr>
          <w:rFonts w:ascii="Times New Roman" w:hAnsi="Times New Roman" w:cs="Times New Roman"/>
          <w:sz w:val="24"/>
          <w:szCs w:val="24"/>
          <w:highlight w:val="yellow"/>
        </w:rPr>
      </w:pPr>
    </w:p>
    <w:p w14:paraId="656A2CA4" w14:textId="77777777" w:rsidR="000A6762" w:rsidRPr="009B41C0" w:rsidRDefault="000A6762" w:rsidP="009B41C0">
      <w:pPr>
        <w:spacing w:after="0"/>
        <w:jc w:val="both"/>
        <w:rPr>
          <w:rFonts w:ascii="Times New Roman" w:hAnsi="Times New Roman" w:cs="Times New Roman"/>
          <w:sz w:val="24"/>
          <w:szCs w:val="24"/>
          <w:highlight w:val="yellow"/>
        </w:rPr>
      </w:pPr>
      <w:r w:rsidRPr="009B41C0">
        <w:rPr>
          <w:rFonts w:ascii="Times New Roman" w:hAnsi="Times New Roman" w:cs="Times New Roman"/>
          <w:sz w:val="24"/>
          <w:szCs w:val="24"/>
          <w:highlight w:val="yellow"/>
        </w:rPr>
        <w:t xml:space="preserve">Sheep's overall weight growth, as reported in Table 2 above, indicates that there are significant differences among the experimental groups (P&lt;0.05). This demonstrates that both body weight and total weight gain increase with higher levels of supplemented feed, particularly when the proportion of protein sources is raised. The current findings are consistent with previous studies by </w:t>
      </w:r>
      <w:proofErr w:type="spellStart"/>
      <w:r w:rsidRPr="009B41C0">
        <w:rPr>
          <w:rFonts w:ascii="Times New Roman" w:hAnsi="Times New Roman" w:cs="Times New Roman"/>
          <w:sz w:val="24"/>
          <w:szCs w:val="24"/>
          <w:highlight w:val="yellow"/>
        </w:rPr>
        <w:t>Kochapakdee</w:t>
      </w:r>
      <w:proofErr w:type="spellEnd"/>
      <w:r w:rsidRPr="009B41C0">
        <w:rPr>
          <w:rFonts w:ascii="Times New Roman" w:hAnsi="Times New Roman" w:cs="Times New Roman"/>
          <w:sz w:val="24"/>
          <w:szCs w:val="24"/>
          <w:highlight w:val="yellow"/>
        </w:rPr>
        <w:t xml:space="preserve"> et al. (1994) and Kabir et al. (2002b), which also reported that body weight and total weight gain improved with increased concentrate supplementation.</w:t>
      </w:r>
    </w:p>
    <w:p w14:paraId="353F89A4" w14:textId="77777777" w:rsidR="000A6762" w:rsidRPr="009B41C0" w:rsidRDefault="000A6762" w:rsidP="009B41C0">
      <w:pPr>
        <w:spacing w:after="0"/>
        <w:jc w:val="both"/>
        <w:rPr>
          <w:rFonts w:ascii="Times New Roman" w:hAnsi="Times New Roman" w:cs="Times New Roman"/>
          <w:sz w:val="24"/>
          <w:szCs w:val="24"/>
          <w:highlight w:val="yellow"/>
        </w:rPr>
      </w:pPr>
      <w:r w:rsidRPr="009B41C0">
        <w:rPr>
          <w:rFonts w:ascii="Times New Roman" w:hAnsi="Times New Roman" w:cs="Times New Roman"/>
          <w:sz w:val="24"/>
          <w:szCs w:val="24"/>
          <w:highlight w:val="yellow"/>
        </w:rPr>
        <w:t xml:space="preserve">Furthermore, the present findings are in agreement with </w:t>
      </w:r>
      <w:proofErr w:type="spellStart"/>
      <w:r w:rsidRPr="009B41C0">
        <w:rPr>
          <w:rFonts w:ascii="Times New Roman" w:hAnsi="Times New Roman" w:cs="Times New Roman"/>
          <w:sz w:val="24"/>
          <w:szCs w:val="24"/>
          <w:highlight w:val="yellow"/>
        </w:rPr>
        <w:t>Ascalew</w:t>
      </w:r>
      <w:proofErr w:type="spellEnd"/>
      <w:r w:rsidRPr="009B41C0">
        <w:rPr>
          <w:rFonts w:ascii="Times New Roman" w:hAnsi="Times New Roman" w:cs="Times New Roman"/>
          <w:sz w:val="24"/>
          <w:szCs w:val="24"/>
          <w:highlight w:val="yellow"/>
        </w:rPr>
        <w:t xml:space="preserve"> and Getachew (2013) and </w:t>
      </w:r>
      <w:proofErr w:type="spellStart"/>
      <w:r w:rsidRPr="009B41C0">
        <w:rPr>
          <w:rFonts w:ascii="Times New Roman" w:hAnsi="Times New Roman" w:cs="Times New Roman"/>
          <w:sz w:val="24"/>
          <w:szCs w:val="24"/>
          <w:highlight w:val="yellow"/>
        </w:rPr>
        <w:t>Brihanu</w:t>
      </w:r>
      <w:proofErr w:type="spellEnd"/>
      <w:r w:rsidRPr="009B41C0">
        <w:rPr>
          <w:rFonts w:ascii="Times New Roman" w:hAnsi="Times New Roman" w:cs="Times New Roman"/>
          <w:sz w:val="24"/>
          <w:szCs w:val="24"/>
          <w:highlight w:val="yellow"/>
        </w:rPr>
        <w:t xml:space="preserve"> and Getachew (2013), who noted that the effect of concentrate feed supplementation on body weight change in </w:t>
      </w:r>
      <w:proofErr w:type="spellStart"/>
      <w:r w:rsidRPr="009B41C0">
        <w:rPr>
          <w:rFonts w:ascii="Times New Roman" w:hAnsi="Times New Roman" w:cs="Times New Roman"/>
          <w:sz w:val="24"/>
          <w:szCs w:val="24"/>
          <w:highlight w:val="yellow"/>
        </w:rPr>
        <w:t>Farta</w:t>
      </w:r>
      <w:proofErr w:type="spellEnd"/>
      <w:r w:rsidRPr="009B41C0">
        <w:rPr>
          <w:rFonts w:ascii="Times New Roman" w:hAnsi="Times New Roman" w:cs="Times New Roman"/>
          <w:sz w:val="24"/>
          <w:szCs w:val="24"/>
          <w:highlight w:val="yellow"/>
        </w:rPr>
        <w:t xml:space="preserve"> and </w:t>
      </w:r>
      <w:proofErr w:type="spellStart"/>
      <w:r w:rsidRPr="009B41C0">
        <w:rPr>
          <w:rFonts w:ascii="Times New Roman" w:hAnsi="Times New Roman" w:cs="Times New Roman"/>
          <w:sz w:val="24"/>
          <w:szCs w:val="24"/>
          <w:highlight w:val="yellow"/>
        </w:rPr>
        <w:t>Ogaden</w:t>
      </w:r>
      <w:proofErr w:type="spellEnd"/>
      <w:r w:rsidRPr="009B41C0">
        <w:rPr>
          <w:rFonts w:ascii="Times New Roman" w:hAnsi="Times New Roman" w:cs="Times New Roman"/>
          <w:sz w:val="24"/>
          <w:szCs w:val="24"/>
          <w:highlight w:val="yellow"/>
        </w:rPr>
        <w:t xml:space="preserve"> sheep increased as the level of concentrate supplementation rose. In the current experiment, body weight also increased as the concentrate level increased. However, the control group showed no significant differences between the groups, displaying only a slight or insignificant increment in body weight and total weight gain. This could be attributed to poor natural pasture feeding without concentrate supplementation. The low </w:t>
      </w:r>
      <w:r w:rsidRPr="009B41C0">
        <w:rPr>
          <w:rFonts w:ascii="Times New Roman" w:hAnsi="Times New Roman" w:cs="Times New Roman"/>
          <w:sz w:val="24"/>
          <w:szCs w:val="24"/>
          <w:highlight w:val="yellow"/>
        </w:rPr>
        <w:lastRenderedPageBreak/>
        <w:t>nutritive value and high fiber content of poor pasture hinder digestion and nutrient absorption by ruminant microorganisms, leading to a slow growth rate and low body weight gain.</w:t>
      </w:r>
    </w:p>
    <w:p w14:paraId="6723F709" w14:textId="77777777" w:rsidR="00056C08" w:rsidRPr="0031500F" w:rsidRDefault="00056C08" w:rsidP="00BF0624">
      <w:pPr>
        <w:spacing w:after="0" w:line="240" w:lineRule="auto"/>
        <w:jc w:val="both"/>
        <w:rPr>
          <w:rFonts w:ascii="Times New Roman" w:hAnsi="Times New Roman" w:cs="Times New Roman"/>
          <w:sz w:val="24"/>
          <w:szCs w:val="24"/>
          <w:highlight w:val="yellow"/>
        </w:rPr>
      </w:pPr>
    </w:p>
    <w:p w14:paraId="3B883BCC" w14:textId="1B54C84B" w:rsidR="00056C08" w:rsidRPr="0031500F" w:rsidRDefault="00056C08" w:rsidP="00056C08">
      <w:pPr>
        <w:pStyle w:val="ListParagraph"/>
        <w:numPr>
          <w:ilvl w:val="0"/>
          <w:numId w:val="9"/>
        </w:numPr>
        <w:spacing w:after="0" w:line="240" w:lineRule="auto"/>
        <w:jc w:val="both"/>
        <w:rPr>
          <w:rFonts w:ascii="Times New Roman" w:hAnsi="Times New Roman" w:cs="Times New Roman"/>
          <w:b/>
          <w:bCs/>
          <w:sz w:val="24"/>
          <w:szCs w:val="24"/>
          <w:highlight w:val="yellow"/>
        </w:rPr>
      </w:pPr>
      <w:r w:rsidRPr="0031500F">
        <w:rPr>
          <w:rFonts w:ascii="Times New Roman" w:hAnsi="Times New Roman" w:cs="Times New Roman"/>
          <w:b/>
          <w:bCs/>
          <w:sz w:val="24"/>
          <w:szCs w:val="24"/>
          <w:highlight w:val="yellow"/>
        </w:rPr>
        <w:t>Conclusion</w:t>
      </w:r>
    </w:p>
    <w:p w14:paraId="05835B5E" w14:textId="77777777" w:rsidR="00056C08" w:rsidRPr="0031500F" w:rsidRDefault="00056C08" w:rsidP="00BF0624">
      <w:pPr>
        <w:pStyle w:val="ListParagraph"/>
        <w:spacing w:after="0" w:line="240" w:lineRule="auto"/>
        <w:ind w:left="360"/>
        <w:jc w:val="both"/>
        <w:rPr>
          <w:rFonts w:ascii="Times New Roman" w:hAnsi="Times New Roman" w:cs="Times New Roman"/>
          <w:b/>
          <w:bCs/>
          <w:sz w:val="24"/>
          <w:szCs w:val="24"/>
          <w:highlight w:val="yellow"/>
        </w:rPr>
      </w:pPr>
    </w:p>
    <w:p w14:paraId="746AD7CC" w14:textId="77777777" w:rsidR="00056C08" w:rsidRPr="00056C08" w:rsidRDefault="00056C08" w:rsidP="00056C08">
      <w:pPr>
        <w:spacing w:after="0"/>
        <w:jc w:val="both"/>
        <w:rPr>
          <w:rFonts w:ascii="Times New Roman" w:hAnsi="Times New Roman" w:cs="Times New Roman"/>
          <w:sz w:val="24"/>
          <w:szCs w:val="24"/>
          <w:highlight w:val="yellow"/>
        </w:rPr>
      </w:pPr>
      <w:r w:rsidRPr="00056C08">
        <w:rPr>
          <w:rFonts w:ascii="Times New Roman" w:hAnsi="Times New Roman" w:cs="Times New Roman"/>
          <w:sz w:val="24"/>
          <w:szCs w:val="24"/>
          <w:highlight w:val="yellow"/>
        </w:rPr>
        <w:t>The results of this study demonstrate that supplementing growing sheep with improved forage under agro-pastoral conditions significantly enhances growth performance. Sheep receiving forage supplementation achieved faster growth rates and reached slaughter weight at younger ages compared to the control group. Moreover, supplementation led to higher net returns, indicating that the fattening technology is both biologically effective and economically viable.</w:t>
      </w:r>
    </w:p>
    <w:p w14:paraId="41E5B362" w14:textId="77777777" w:rsidR="00056C08" w:rsidRPr="00056C08" w:rsidRDefault="00056C08" w:rsidP="00056C08">
      <w:pPr>
        <w:spacing w:after="0"/>
        <w:jc w:val="both"/>
        <w:rPr>
          <w:rFonts w:ascii="Times New Roman" w:hAnsi="Times New Roman" w:cs="Times New Roman"/>
          <w:sz w:val="24"/>
          <w:szCs w:val="24"/>
          <w:highlight w:val="yellow"/>
        </w:rPr>
      </w:pPr>
      <w:r w:rsidRPr="00056C08">
        <w:rPr>
          <w:rFonts w:ascii="Times New Roman" w:hAnsi="Times New Roman" w:cs="Times New Roman"/>
          <w:sz w:val="24"/>
          <w:szCs w:val="24"/>
          <w:highlight w:val="yellow"/>
        </w:rPr>
        <w:t>The improved economic returns obtained by agro-pastoralists from the sale of finished animals after adopting this feeding strategy have also increased awareness and interest among other farmers in the study area. The findings further highlight the strong potential of the Black Head Somali sheep breed, which responds well to improved forage supplementation. Partial budget analysis confirmed that both gross and net returns were higher for supplemented groups than for the control. Overall, the study underscores that sheep perform better when supplemented with improved forage after daytime grazing.</w:t>
      </w:r>
    </w:p>
    <w:p w14:paraId="241F7D43" w14:textId="086487A8" w:rsidR="00056C08" w:rsidRPr="00056C08" w:rsidRDefault="00056C08" w:rsidP="00056C08">
      <w:pPr>
        <w:spacing w:after="0"/>
        <w:jc w:val="both"/>
        <w:rPr>
          <w:rFonts w:ascii="Times New Roman" w:hAnsi="Times New Roman" w:cs="Times New Roman"/>
          <w:b/>
          <w:sz w:val="24"/>
          <w:szCs w:val="24"/>
          <w:highlight w:val="yellow"/>
        </w:rPr>
      </w:pPr>
    </w:p>
    <w:p w14:paraId="671531D4" w14:textId="6B004114" w:rsidR="00056C08" w:rsidRPr="0031500F" w:rsidRDefault="00056C08" w:rsidP="00056C08">
      <w:pPr>
        <w:pStyle w:val="ListParagraph"/>
        <w:numPr>
          <w:ilvl w:val="0"/>
          <w:numId w:val="9"/>
        </w:numPr>
        <w:spacing w:after="0" w:line="240" w:lineRule="auto"/>
        <w:jc w:val="both"/>
        <w:rPr>
          <w:rFonts w:ascii="Times New Roman" w:hAnsi="Times New Roman" w:cs="Times New Roman"/>
          <w:b/>
          <w:bCs/>
          <w:sz w:val="24"/>
          <w:szCs w:val="24"/>
          <w:highlight w:val="yellow"/>
        </w:rPr>
      </w:pPr>
      <w:r w:rsidRPr="0031500F">
        <w:rPr>
          <w:rFonts w:ascii="Times New Roman" w:hAnsi="Times New Roman" w:cs="Times New Roman"/>
          <w:b/>
          <w:bCs/>
          <w:sz w:val="24"/>
          <w:szCs w:val="24"/>
          <w:highlight w:val="yellow"/>
        </w:rPr>
        <w:t>Recommendations</w:t>
      </w:r>
    </w:p>
    <w:p w14:paraId="5F737299" w14:textId="77777777" w:rsidR="00056C08" w:rsidRPr="0031500F" w:rsidRDefault="00056C08" w:rsidP="00056C08">
      <w:pPr>
        <w:pStyle w:val="ListParagraph"/>
        <w:spacing w:after="0" w:line="240" w:lineRule="auto"/>
        <w:ind w:left="360"/>
        <w:jc w:val="both"/>
        <w:rPr>
          <w:rFonts w:ascii="Times New Roman" w:hAnsi="Times New Roman" w:cs="Times New Roman"/>
          <w:b/>
          <w:bCs/>
          <w:sz w:val="24"/>
          <w:szCs w:val="24"/>
          <w:highlight w:val="yellow"/>
        </w:rPr>
      </w:pPr>
    </w:p>
    <w:p w14:paraId="33257E96" w14:textId="77777777" w:rsidR="00056C08" w:rsidRPr="00056C08" w:rsidRDefault="00056C08" w:rsidP="00056C08">
      <w:pPr>
        <w:spacing w:after="0"/>
        <w:jc w:val="both"/>
        <w:rPr>
          <w:rFonts w:ascii="Times New Roman" w:hAnsi="Times New Roman" w:cs="Times New Roman"/>
          <w:sz w:val="24"/>
          <w:szCs w:val="24"/>
          <w:highlight w:val="yellow"/>
        </w:rPr>
      </w:pPr>
      <w:r w:rsidRPr="00056C08">
        <w:rPr>
          <w:rFonts w:ascii="Times New Roman" w:hAnsi="Times New Roman" w:cs="Times New Roman"/>
          <w:sz w:val="24"/>
          <w:szCs w:val="24"/>
          <w:highlight w:val="yellow"/>
        </w:rPr>
        <w:t>Based on the results, it is recommended that the improved forage supplementation technology be scaled up among agro-pastoralists in the study area and extended to other regions with similar ecological and production conditions. Expanding this fattening approach could improve livestock productivity, household income, and food security in pastoral systems.</w:t>
      </w:r>
    </w:p>
    <w:p w14:paraId="407621E6" w14:textId="77777777" w:rsidR="00056C08" w:rsidRDefault="00056C08" w:rsidP="00056C08">
      <w:pPr>
        <w:spacing w:after="0"/>
        <w:jc w:val="both"/>
        <w:rPr>
          <w:rFonts w:ascii="Times New Roman" w:hAnsi="Times New Roman" w:cs="Times New Roman"/>
          <w:sz w:val="24"/>
          <w:szCs w:val="24"/>
        </w:rPr>
      </w:pPr>
      <w:r w:rsidRPr="00056C08">
        <w:rPr>
          <w:rFonts w:ascii="Times New Roman" w:hAnsi="Times New Roman" w:cs="Times New Roman"/>
          <w:sz w:val="24"/>
          <w:szCs w:val="24"/>
          <w:highlight w:val="yellow"/>
        </w:rPr>
        <w:t>Furthermore, wider scaling-up initiatives should be supported through capacity-building, training, and community awareness programs. Encouraging private sector investment in forage production and sheep fattening enterprises could further enhance the sustainability and impact of this technology.</w:t>
      </w:r>
    </w:p>
    <w:p w14:paraId="059E700E" w14:textId="77777777" w:rsidR="009F3974" w:rsidRDefault="009F3974" w:rsidP="00056C08">
      <w:pPr>
        <w:spacing w:after="0" w:line="240" w:lineRule="auto"/>
        <w:jc w:val="both"/>
        <w:rPr>
          <w:rFonts w:ascii="Times New Roman" w:hAnsi="Times New Roman" w:cs="Times New Roman"/>
          <w:sz w:val="28"/>
          <w:szCs w:val="24"/>
        </w:rPr>
      </w:pPr>
    </w:p>
    <w:p w14:paraId="0285B99E" w14:textId="77777777" w:rsidR="00EA3823" w:rsidRPr="001D1D42" w:rsidRDefault="00EA3823" w:rsidP="00EA3823">
      <w:pPr>
        <w:jc w:val="both"/>
        <w:outlineLvl w:val="0"/>
        <w:rPr>
          <w:rFonts w:ascii="Times New Roman" w:eastAsia="Times New Roman" w:hAnsi="Times New Roman" w:cs="Times New Roman"/>
          <w:highlight w:val="yellow"/>
          <w:lang w:val="en-GB" w:eastAsia="en-GB"/>
        </w:rPr>
      </w:pPr>
      <w:r w:rsidRPr="001D1D42">
        <w:rPr>
          <w:rFonts w:ascii="Times New Roman" w:eastAsia="Times New Roman" w:hAnsi="Times New Roman" w:cs="Times New Roman"/>
          <w:b/>
          <w:bCs/>
          <w:highlight w:val="yellow"/>
          <w:lang w:val="en-GB" w:eastAsia="en-GB"/>
        </w:rPr>
        <w:t>COMPETING INTERESTS DISCLAIMER:</w:t>
      </w:r>
    </w:p>
    <w:p w14:paraId="5F2E8CF5" w14:textId="77777777" w:rsidR="00EA3823" w:rsidRPr="001D1D42" w:rsidRDefault="00EA3823" w:rsidP="00EA3823">
      <w:pPr>
        <w:rPr>
          <w:rFonts w:ascii="Times New Roman" w:eastAsia="Times New Roman" w:hAnsi="Times New Roman" w:cs="Times New Roman"/>
          <w:lang w:val="en-GB" w:eastAsia="en-GB"/>
        </w:rPr>
      </w:pPr>
      <w:r w:rsidRPr="001D1D42">
        <w:rPr>
          <w:rFonts w:ascii="Times New Roman" w:eastAsia="Times New Roman" w:hAnsi="Times New Roman" w:cs="Times New Roman"/>
          <w:highlight w:val="yellow"/>
          <w:lang w:val="en-GB" w:eastAsia="en-GB"/>
        </w:rPr>
        <w:t>Authors have declared that they have no known competing financial interests OR non-financial interests OR personal relationships that could have appeared to influence the work reported in this paper.</w:t>
      </w:r>
    </w:p>
    <w:p w14:paraId="7B873872" w14:textId="77777777" w:rsidR="00EA3823" w:rsidRDefault="00EA3823" w:rsidP="007F52B6">
      <w:pPr>
        <w:spacing w:before="240" w:after="0" w:line="360" w:lineRule="auto"/>
        <w:jc w:val="both"/>
        <w:rPr>
          <w:rFonts w:ascii="Times New Roman" w:hAnsi="Times New Roman" w:cs="Times New Roman"/>
          <w:sz w:val="28"/>
          <w:szCs w:val="24"/>
        </w:rPr>
      </w:pPr>
    </w:p>
    <w:p w14:paraId="3E89E439" w14:textId="77777777" w:rsidR="003A75C4" w:rsidRDefault="003A75C4" w:rsidP="007F52B6">
      <w:pPr>
        <w:spacing w:before="240" w:after="0" w:line="360" w:lineRule="auto"/>
        <w:jc w:val="both"/>
        <w:rPr>
          <w:rFonts w:ascii="Times New Roman" w:hAnsi="Times New Roman" w:cs="Times New Roman"/>
          <w:sz w:val="28"/>
          <w:szCs w:val="24"/>
        </w:rPr>
      </w:pPr>
    </w:p>
    <w:p w14:paraId="4B052C68" w14:textId="77777777" w:rsidR="003A75C4" w:rsidRDefault="003A75C4" w:rsidP="003A75C4">
      <w:r>
        <w:t>Disclaimer (Artificial intelligence)</w:t>
      </w:r>
    </w:p>
    <w:p w14:paraId="2085797C" w14:textId="77777777" w:rsidR="003A75C4" w:rsidRDefault="003A75C4" w:rsidP="003A75C4">
      <w:r>
        <w:t xml:space="preserve">Option 1: </w:t>
      </w:r>
    </w:p>
    <w:p w14:paraId="3B924C82" w14:textId="77777777" w:rsidR="003A75C4" w:rsidRDefault="003A75C4" w:rsidP="003A75C4">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68DF57C" w14:textId="77777777" w:rsidR="003A75C4" w:rsidRDefault="003A75C4" w:rsidP="003A75C4">
      <w:r>
        <w:t xml:space="preserve">Option 2: </w:t>
      </w:r>
    </w:p>
    <w:p w14:paraId="3F0F8338" w14:textId="77777777" w:rsidR="003A75C4" w:rsidRDefault="003A75C4" w:rsidP="003A75C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29C7D8" w14:textId="77777777" w:rsidR="003A75C4" w:rsidRDefault="003A75C4" w:rsidP="003A75C4">
      <w:r>
        <w:t>Details of the AI usage are given below:</w:t>
      </w:r>
    </w:p>
    <w:p w14:paraId="4AE494C4" w14:textId="77777777" w:rsidR="003A75C4" w:rsidRDefault="003A75C4" w:rsidP="003A75C4">
      <w:r>
        <w:t>1.</w:t>
      </w:r>
    </w:p>
    <w:p w14:paraId="3E2C013D" w14:textId="77777777" w:rsidR="003A75C4" w:rsidRDefault="003A75C4" w:rsidP="003A75C4">
      <w:r>
        <w:t>2.</w:t>
      </w:r>
    </w:p>
    <w:p w14:paraId="3938596D" w14:textId="77777777" w:rsidR="003A75C4" w:rsidRPr="00D047BB" w:rsidRDefault="003A75C4" w:rsidP="003A75C4">
      <w:r>
        <w:t>3.</w:t>
      </w:r>
    </w:p>
    <w:p w14:paraId="41CB8363" w14:textId="77777777" w:rsidR="003A75C4" w:rsidRPr="0063354D" w:rsidRDefault="003A75C4" w:rsidP="003A75C4"/>
    <w:p w14:paraId="377C502C" w14:textId="77777777" w:rsidR="003A75C4" w:rsidRPr="00F7241A" w:rsidRDefault="003A75C4" w:rsidP="003A75C4"/>
    <w:p w14:paraId="3F111E36" w14:textId="0714A851" w:rsidR="003A75C4" w:rsidRDefault="003A75C4" w:rsidP="007F52B6">
      <w:pPr>
        <w:spacing w:before="240" w:after="0" w:line="360" w:lineRule="auto"/>
        <w:jc w:val="both"/>
        <w:rPr>
          <w:rFonts w:ascii="Times New Roman" w:hAnsi="Times New Roman" w:cs="Times New Roman"/>
          <w:sz w:val="28"/>
          <w:szCs w:val="24"/>
        </w:rPr>
        <w:sectPr w:rsidR="003A75C4">
          <w:pgSz w:w="12240" w:h="15840"/>
          <w:pgMar w:top="1440" w:right="1440" w:bottom="1440" w:left="1440" w:header="720" w:footer="720" w:gutter="0"/>
          <w:cols w:space="720"/>
          <w:docGrid w:linePitch="360"/>
        </w:sectPr>
      </w:pPr>
    </w:p>
    <w:p w14:paraId="0EC0D7C2" w14:textId="77777777" w:rsidR="009F3974" w:rsidRDefault="009F3974" w:rsidP="002F6CA5">
      <w:pPr>
        <w:pStyle w:val="Heading1"/>
        <w:keepLines w:val="0"/>
        <w:tabs>
          <w:tab w:val="left" w:pos="360"/>
        </w:tabs>
        <w:spacing w:before="0" w:line="360" w:lineRule="auto"/>
        <w:jc w:val="both"/>
        <w:rPr>
          <w:rFonts w:ascii="Times New Roman" w:hAnsi="Times New Roman"/>
          <w:sz w:val="24"/>
        </w:rPr>
      </w:pPr>
      <w:r w:rsidRPr="00CB3064">
        <w:rPr>
          <w:rFonts w:ascii="Times New Roman" w:hAnsi="Times New Roman"/>
          <w:sz w:val="24"/>
        </w:rPr>
        <w:lastRenderedPageBreak/>
        <w:t xml:space="preserve">REFERENCE </w:t>
      </w:r>
    </w:p>
    <w:p w14:paraId="51E9C1F3" w14:textId="77777777" w:rsidR="000A6762" w:rsidRDefault="000A6762" w:rsidP="000A6762">
      <w:pPr>
        <w:spacing w:after="0" w:line="240" w:lineRule="auto"/>
      </w:pPr>
    </w:p>
    <w:p w14:paraId="5054A44D" w14:textId="1F5596AB" w:rsidR="000A6762" w:rsidRPr="001908DB" w:rsidRDefault="000A6762" w:rsidP="00AC21D2">
      <w:pPr>
        <w:spacing w:after="0"/>
        <w:ind w:left="630" w:hanging="630"/>
        <w:rPr>
          <w:rFonts w:ascii="Times New Roman" w:hAnsi="Times New Roman" w:cs="Times New Roman"/>
          <w:sz w:val="24"/>
          <w:szCs w:val="28"/>
        </w:rPr>
      </w:pPr>
      <w:proofErr w:type="spellStart"/>
      <w:r w:rsidRPr="001908DB">
        <w:rPr>
          <w:rFonts w:ascii="Times New Roman" w:hAnsi="Times New Roman" w:cs="Times New Roman"/>
          <w:sz w:val="24"/>
          <w:szCs w:val="28"/>
        </w:rPr>
        <w:t>Aschalew</w:t>
      </w:r>
      <w:proofErr w:type="spellEnd"/>
      <w:r w:rsidRPr="001908DB">
        <w:rPr>
          <w:rFonts w:ascii="Times New Roman" w:hAnsi="Times New Roman" w:cs="Times New Roman"/>
          <w:sz w:val="24"/>
          <w:szCs w:val="28"/>
        </w:rPr>
        <w:t xml:space="preserve">, A., &amp; Getachew, A. (2013). Supplementation of raw, malted and </w:t>
      </w:r>
      <w:proofErr w:type="gramStart"/>
      <w:r w:rsidRPr="001908DB">
        <w:rPr>
          <w:rFonts w:ascii="Times New Roman" w:hAnsi="Times New Roman" w:cs="Times New Roman"/>
          <w:sz w:val="24"/>
          <w:szCs w:val="28"/>
        </w:rPr>
        <w:t>heat treated</w:t>
      </w:r>
      <w:proofErr w:type="gramEnd"/>
      <w:r w:rsidRPr="001908DB">
        <w:rPr>
          <w:rFonts w:ascii="Times New Roman" w:hAnsi="Times New Roman" w:cs="Times New Roman"/>
          <w:sz w:val="24"/>
          <w:szCs w:val="28"/>
        </w:rPr>
        <w:t xml:space="preserve"> grass pea (Lathyrus sativus) grain on body weight gain and carcass characteristics of </w:t>
      </w:r>
      <w:proofErr w:type="spellStart"/>
      <w:r w:rsidRPr="001908DB">
        <w:rPr>
          <w:rFonts w:ascii="Times New Roman" w:hAnsi="Times New Roman" w:cs="Times New Roman"/>
          <w:sz w:val="24"/>
          <w:szCs w:val="28"/>
        </w:rPr>
        <w:t>Farta</w:t>
      </w:r>
      <w:proofErr w:type="spellEnd"/>
      <w:r w:rsidRPr="001908DB">
        <w:rPr>
          <w:rFonts w:ascii="Times New Roman" w:hAnsi="Times New Roman" w:cs="Times New Roman"/>
          <w:sz w:val="24"/>
          <w:szCs w:val="28"/>
        </w:rPr>
        <w:t xml:space="preserve"> sheep. International Journal of Soil and Crop Sciences, 1, 16.</w:t>
      </w:r>
      <w:r w:rsidR="00AC21D2">
        <w:rPr>
          <w:rFonts w:ascii="Times New Roman" w:hAnsi="Times New Roman" w:cs="Times New Roman"/>
          <w:sz w:val="24"/>
          <w:szCs w:val="28"/>
        </w:rPr>
        <w:t xml:space="preserve"> </w:t>
      </w:r>
    </w:p>
    <w:p w14:paraId="5A300F90" w14:textId="0AC3A0B9" w:rsidR="000A6762" w:rsidRPr="001908DB" w:rsidRDefault="000A6762" w:rsidP="00AC21D2">
      <w:pPr>
        <w:spacing w:after="0"/>
        <w:ind w:left="630" w:hanging="630"/>
        <w:rPr>
          <w:rFonts w:ascii="Times New Roman" w:hAnsi="Times New Roman" w:cs="Times New Roman"/>
          <w:sz w:val="24"/>
          <w:szCs w:val="28"/>
        </w:rPr>
      </w:pPr>
      <w:r w:rsidRPr="001908DB">
        <w:rPr>
          <w:rFonts w:ascii="Times New Roman" w:hAnsi="Times New Roman" w:cs="Times New Roman"/>
          <w:sz w:val="24"/>
          <w:szCs w:val="28"/>
        </w:rPr>
        <w:t xml:space="preserve">Central Statistical Agency (CSA). (2021). </w:t>
      </w:r>
      <w:r w:rsidRPr="001908DB">
        <w:rPr>
          <w:rFonts w:ascii="Times New Roman" w:hAnsi="Times New Roman" w:cs="Times New Roman"/>
          <w:i/>
          <w:iCs/>
          <w:sz w:val="24"/>
          <w:szCs w:val="28"/>
        </w:rPr>
        <w:t>Agricultural Sample Survey 2020/21 (2013 E.C): Report on Livestock and Livestock Characteristics</w:t>
      </w:r>
      <w:r w:rsidRPr="001908DB">
        <w:rPr>
          <w:rFonts w:ascii="Times New Roman" w:hAnsi="Times New Roman" w:cs="Times New Roman"/>
          <w:sz w:val="24"/>
          <w:szCs w:val="28"/>
        </w:rPr>
        <w:t xml:space="preserve">. Volume II, Statistical Bulletin 589. Retrieved from </w:t>
      </w:r>
      <w:hyperlink r:id="rId12" w:history="1">
        <w:r w:rsidR="00AC21D2" w:rsidRPr="00196D67">
          <w:rPr>
            <w:rStyle w:val="Hyperlink"/>
            <w:rFonts w:ascii="Times New Roman" w:hAnsi="Times New Roman" w:cs="Times New Roman"/>
            <w:sz w:val="24"/>
            <w:szCs w:val="28"/>
          </w:rPr>
          <w:t>https://www.statsethiopia.gov.et/wp-content/uploads/2021/05/REVISED_2013.LIVESTOCK-REPORT.FINAL-1.pdf</w:t>
        </w:r>
      </w:hyperlink>
      <w:r w:rsidR="00AC21D2">
        <w:rPr>
          <w:rFonts w:ascii="Times New Roman" w:hAnsi="Times New Roman" w:cs="Times New Roman"/>
          <w:sz w:val="24"/>
          <w:szCs w:val="28"/>
        </w:rPr>
        <w:t xml:space="preserve"> </w:t>
      </w:r>
    </w:p>
    <w:p w14:paraId="00D1EF3E" w14:textId="7C6F7E63" w:rsidR="000A6762" w:rsidRPr="001908DB" w:rsidRDefault="000A6762" w:rsidP="00AC21D2">
      <w:pPr>
        <w:spacing w:after="0"/>
        <w:ind w:left="630" w:hanging="630"/>
        <w:rPr>
          <w:rFonts w:ascii="Times New Roman" w:hAnsi="Times New Roman" w:cs="Times New Roman"/>
          <w:sz w:val="24"/>
          <w:szCs w:val="28"/>
        </w:rPr>
      </w:pPr>
      <w:r w:rsidRPr="001908DB">
        <w:rPr>
          <w:rFonts w:ascii="Times New Roman" w:hAnsi="Times New Roman" w:cs="Times New Roman"/>
          <w:sz w:val="24"/>
          <w:szCs w:val="28"/>
        </w:rPr>
        <w:t xml:space="preserve">Food and Agriculture Organization (FAO). (2021). </w:t>
      </w:r>
      <w:r w:rsidRPr="001908DB">
        <w:rPr>
          <w:rFonts w:ascii="Times New Roman" w:hAnsi="Times New Roman" w:cs="Times New Roman"/>
          <w:i/>
          <w:iCs/>
          <w:sz w:val="24"/>
          <w:szCs w:val="28"/>
        </w:rPr>
        <w:t>The State of the World’s Biodiversity for Food and Agriculture</w:t>
      </w:r>
      <w:r w:rsidRPr="001908DB">
        <w:rPr>
          <w:rFonts w:ascii="Times New Roman" w:hAnsi="Times New Roman" w:cs="Times New Roman"/>
          <w:sz w:val="24"/>
          <w:szCs w:val="28"/>
        </w:rPr>
        <w:t xml:space="preserve">. Retrieved from </w:t>
      </w:r>
      <w:hyperlink r:id="rId13" w:history="1">
        <w:r w:rsidR="00AC21D2" w:rsidRPr="00196D67">
          <w:rPr>
            <w:rStyle w:val="Hyperlink"/>
            <w:rFonts w:ascii="Times New Roman" w:hAnsi="Times New Roman" w:cs="Times New Roman"/>
            <w:sz w:val="24"/>
            <w:szCs w:val="28"/>
          </w:rPr>
          <w:t>https://openknowledge.fao.org/items/2028874a-74ee-4418-9874-449eb8e26b45</w:t>
        </w:r>
      </w:hyperlink>
      <w:r w:rsidR="00AC21D2">
        <w:rPr>
          <w:rFonts w:ascii="Times New Roman" w:hAnsi="Times New Roman" w:cs="Times New Roman"/>
          <w:sz w:val="24"/>
          <w:szCs w:val="28"/>
        </w:rPr>
        <w:t xml:space="preserve"> </w:t>
      </w:r>
    </w:p>
    <w:p w14:paraId="10D3CE88" w14:textId="4BA66639" w:rsidR="000A6762" w:rsidRPr="001908DB" w:rsidRDefault="000A6762" w:rsidP="00AC21D2">
      <w:pPr>
        <w:spacing w:after="0"/>
        <w:ind w:left="630" w:hanging="630"/>
        <w:rPr>
          <w:rFonts w:ascii="Times New Roman" w:hAnsi="Times New Roman" w:cs="Times New Roman"/>
          <w:sz w:val="24"/>
          <w:szCs w:val="28"/>
        </w:rPr>
      </w:pPr>
      <w:r w:rsidRPr="001908DB">
        <w:rPr>
          <w:rFonts w:ascii="Times New Roman" w:hAnsi="Times New Roman" w:cs="Times New Roman"/>
          <w:sz w:val="24"/>
          <w:szCs w:val="28"/>
        </w:rPr>
        <w:t xml:space="preserve">Food and Agriculture Organization (FAO). (2023). </w:t>
      </w:r>
      <w:r w:rsidRPr="001908DB">
        <w:rPr>
          <w:rFonts w:ascii="Times New Roman" w:hAnsi="Times New Roman" w:cs="Times New Roman"/>
          <w:i/>
          <w:iCs/>
          <w:sz w:val="24"/>
          <w:szCs w:val="28"/>
        </w:rPr>
        <w:t>World Food and Agriculture – Statistical Yearbook 2023</w:t>
      </w:r>
      <w:r w:rsidRPr="001908DB">
        <w:rPr>
          <w:rFonts w:ascii="Times New Roman" w:hAnsi="Times New Roman" w:cs="Times New Roman"/>
          <w:sz w:val="24"/>
          <w:szCs w:val="28"/>
        </w:rPr>
        <w:t xml:space="preserve">. Retrieved from </w:t>
      </w:r>
      <w:hyperlink r:id="rId14" w:history="1">
        <w:r w:rsidR="00AC21D2" w:rsidRPr="00196D67">
          <w:rPr>
            <w:rStyle w:val="Hyperlink"/>
            <w:rFonts w:ascii="Times New Roman" w:hAnsi="Times New Roman" w:cs="Times New Roman"/>
            <w:sz w:val="24"/>
            <w:szCs w:val="28"/>
          </w:rPr>
          <w:t>https://openknowledge.fao.org/server/api/core/bitstreams/6e04f2b4-82fc-4740-8cd5-9b66f5335239/content</w:t>
        </w:r>
      </w:hyperlink>
      <w:r w:rsidR="00AC21D2">
        <w:rPr>
          <w:rFonts w:ascii="Times New Roman" w:hAnsi="Times New Roman" w:cs="Times New Roman"/>
          <w:sz w:val="24"/>
          <w:szCs w:val="28"/>
        </w:rPr>
        <w:t xml:space="preserve"> </w:t>
      </w:r>
    </w:p>
    <w:p w14:paraId="28A6E2F1" w14:textId="2977C41E" w:rsidR="000A6762" w:rsidRPr="001908DB" w:rsidRDefault="000A6762" w:rsidP="00AC21D2">
      <w:pPr>
        <w:spacing w:after="0"/>
        <w:ind w:left="630" w:hanging="630"/>
        <w:rPr>
          <w:rFonts w:ascii="Times New Roman" w:hAnsi="Times New Roman" w:cs="Times New Roman"/>
          <w:sz w:val="24"/>
          <w:szCs w:val="28"/>
        </w:rPr>
      </w:pPr>
      <w:r w:rsidRPr="001908DB">
        <w:rPr>
          <w:rFonts w:ascii="Times New Roman" w:hAnsi="Times New Roman" w:cs="Times New Roman"/>
          <w:sz w:val="24"/>
          <w:szCs w:val="28"/>
        </w:rPr>
        <w:t xml:space="preserve">Getahun, A. (2008). </w:t>
      </w:r>
      <w:r w:rsidRPr="001908DB">
        <w:rPr>
          <w:rFonts w:ascii="Times New Roman" w:hAnsi="Times New Roman" w:cs="Times New Roman"/>
          <w:i/>
          <w:iCs/>
          <w:sz w:val="24"/>
          <w:szCs w:val="28"/>
        </w:rPr>
        <w:t>Sheep Production System, Marketing and Constraints in Southern Ethiopia</w:t>
      </w:r>
      <w:r w:rsidRPr="001908DB">
        <w:rPr>
          <w:rFonts w:ascii="Times New Roman" w:hAnsi="Times New Roman" w:cs="Times New Roman"/>
          <w:sz w:val="24"/>
          <w:szCs w:val="28"/>
        </w:rPr>
        <w:t xml:space="preserve">. Journal of Biotechnology and Biochemistry, 4(3), 1–8. Retrieved from </w:t>
      </w:r>
      <w:hyperlink r:id="rId15" w:history="1">
        <w:r w:rsidR="00AC21D2" w:rsidRPr="00196D67">
          <w:rPr>
            <w:rStyle w:val="Hyperlink"/>
            <w:rFonts w:ascii="Times New Roman" w:hAnsi="Times New Roman" w:cs="Times New Roman"/>
            <w:sz w:val="24"/>
            <w:szCs w:val="28"/>
          </w:rPr>
          <w:t>https://iiste.org/Journals/index.php/JBAH/article/download/39192/40301</w:t>
        </w:r>
      </w:hyperlink>
      <w:r w:rsidR="00AC21D2">
        <w:rPr>
          <w:rFonts w:ascii="Times New Roman" w:hAnsi="Times New Roman" w:cs="Times New Roman"/>
          <w:sz w:val="24"/>
          <w:szCs w:val="28"/>
        </w:rPr>
        <w:t xml:space="preserve"> </w:t>
      </w:r>
    </w:p>
    <w:p w14:paraId="255D0AFC" w14:textId="12E8346B" w:rsidR="000A6762" w:rsidRPr="001908DB" w:rsidRDefault="000A6762" w:rsidP="00AC21D2">
      <w:pPr>
        <w:spacing w:after="0"/>
        <w:ind w:left="630" w:hanging="630"/>
        <w:rPr>
          <w:rFonts w:ascii="Times New Roman" w:hAnsi="Times New Roman" w:cs="Times New Roman"/>
          <w:sz w:val="24"/>
          <w:szCs w:val="28"/>
        </w:rPr>
      </w:pPr>
      <w:r w:rsidRPr="001908DB">
        <w:rPr>
          <w:rFonts w:ascii="Times New Roman" w:hAnsi="Times New Roman" w:cs="Times New Roman"/>
          <w:sz w:val="24"/>
          <w:szCs w:val="28"/>
        </w:rPr>
        <w:t xml:space="preserve">International Livestock Research Institute (ILRI). (2022). </w:t>
      </w:r>
      <w:r w:rsidRPr="001908DB">
        <w:rPr>
          <w:rFonts w:ascii="Times New Roman" w:hAnsi="Times New Roman" w:cs="Times New Roman"/>
          <w:i/>
          <w:iCs/>
          <w:sz w:val="24"/>
          <w:szCs w:val="28"/>
        </w:rPr>
        <w:t>Livestock Sector Brief: Ethiopia</w:t>
      </w:r>
      <w:r w:rsidRPr="001908DB">
        <w:rPr>
          <w:rFonts w:ascii="Times New Roman" w:hAnsi="Times New Roman" w:cs="Times New Roman"/>
          <w:sz w:val="24"/>
          <w:szCs w:val="28"/>
        </w:rPr>
        <w:t xml:space="preserve">. Retrieved from </w:t>
      </w:r>
      <w:hyperlink r:id="rId16" w:history="1">
        <w:r w:rsidR="00AC21D2" w:rsidRPr="00196D67">
          <w:rPr>
            <w:rStyle w:val="Hyperlink"/>
            <w:rFonts w:ascii="Times New Roman" w:hAnsi="Times New Roman" w:cs="Times New Roman"/>
            <w:sz w:val="24"/>
            <w:szCs w:val="28"/>
          </w:rPr>
          <w:t>https://www.ilri.org/knowledge/publications/ethiopia-livestock-sector-brief</w:t>
        </w:r>
      </w:hyperlink>
      <w:r w:rsidR="00AC21D2">
        <w:rPr>
          <w:rFonts w:ascii="Times New Roman" w:hAnsi="Times New Roman" w:cs="Times New Roman"/>
          <w:sz w:val="24"/>
          <w:szCs w:val="28"/>
        </w:rPr>
        <w:t xml:space="preserve"> </w:t>
      </w:r>
    </w:p>
    <w:p w14:paraId="7D7B360E" w14:textId="72A5AC75" w:rsidR="000A6762" w:rsidRPr="001908DB" w:rsidRDefault="000A6762" w:rsidP="00AC21D2">
      <w:pPr>
        <w:spacing w:after="0"/>
        <w:ind w:left="630" w:hanging="630"/>
        <w:rPr>
          <w:rFonts w:ascii="Times New Roman" w:hAnsi="Times New Roman" w:cs="Times New Roman"/>
          <w:sz w:val="24"/>
          <w:szCs w:val="28"/>
        </w:rPr>
      </w:pPr>
      <w:r w:rsidRPr="001908DB">
        <w:rPr>
          <w:rFonts w:ascii="Times New Roman" w:hAnsi="Times New Roman" w:cs="Times New Roman"/>
          <w:sz w:val="24"/>
          <w:szCs w:val="28"/>
        </w:rPr>
        <w:t xml:space="preserve">Kabir, F., Shahjalal, M., Miah, G., Uddin, M. J., &amp; Rahman, M. Z. (2002). Effect of concentrate supplementation to grazing on growth and reproductive performance in female goat and sheep. Journal of Biological Sciences, 2(4), 333–335. </w:t>
      </w:r>
      <w:hyperlink r:id="rId17" w:history="1">
        <w:r w:rsidR="00AC21D2" w:rsidRPr="00196D67">
          <w:rPr>
            <w:rStyle w:val="Hyperlink"/>
            <w:rFonts w:ascii="Times New Roman" w:hAnsi="Times New Roman" w:cs="Times New Roman"/>
            <w:sz w:val="24"/>
            <w:szCs w:val="28"/>
          </w:rPr>
          <w:t>https://doi.org/10.3923/jbs.2002.333.335</w:t>
        </w:r>
      </w:hyperlink>
      <w:r w:rsidR="00AC21D2">
        <w:rPr>
          <w:rFonts w:ascii="Times New Roman" w:hAnsi="Times New Roman" w:cs="Times New Roman"/>
          <w:sz w:val="24"/>
          <w:szCs w:val="28"/>
        </w:rPr>
        <w:t xml:space="preserve"> </w:t>
      </w:r>
    </w:p>
    <w:p w14:paraId="7AD5AABC" w14:textId="039F6161" w:rsidR="000A6762" w:rsidRPr="001908DB" w:rsidRDefault="000A6762" w:rsidP="00AC21D2">
      <w:pPr>
        <w:spacing w:after="0"/>
        <w:ind w:left="630" w:hanging="630"/>
        <w:rPr>
          <w:rFonts w:ascii="Times New Roman" w:hAnsi="Times New Roman" w:cs="Times New Roman"/>
          <w:sz w:val="24"/>
          <w:szCs w:val="28"/>
        </w:rPr>
      </w:pPr>
      <w:proofErr w:type="spellStart"/>
      <w:r w:rsidRPr="001908DB">
        <w:rPr>
          <w:rFonts w:ascii="Times New Roman" w:hAnsi="Times New Roman" w:cs="Times New Roman"/>
          <w:sz w:val="24"/>
          <w:szCs w:val="28"/>
        </w:rPr>
        <w:t>Kochapakdee</w:t>
      </w:r>
      <w:proofErr w:type="spellEnd"/>
      <w:r w:rsidRPr="001908DB">
        <w:rPr>
          <w:rFonts w:ascii="Times New Roman" w:hAnsi="Times New Roman" w:cs="Times New Roman"/>
          <w:sz w:val="24"/>
          <w:szCs w:val="28"/>
        </w:rPr>
        <w:t xml:space="preserve">, S., </w:t>
      </w:r>
      <w:proofErr w:type="spellStart"/>
      <w:r w:rsidRPr="001908DB">
        <w:rPr>
          <w:rFonts w:ascii="Times New Roman" w:hAnsi="Times New Roman" w:cs="Times New Roman"/>
          <w:sz w:val="24"/>
          <w:szCs w:val="28"/>
        </w:rPr>
        <w:t>Pralomkam</w:t>
      </w:r>
      <w:proofErr w:type="spellEnd"/>
      <w:r w:rsidRPr="001908DB">
        <w:rPr>
          <w:rFonts w:ascii="Times New Roman" w:hAnsi="Times New Roman" w:cs="Times New Roman"/>
          <w:sz w:val="24"/>
          <w:szCs w:val="28"/>
        </w:rPr>
        <w:t xml:space="preserve">, W., </w:t>
      </w:r>
      <w:proofErr w:type="spellStart"/>
      <w:r w:rsidRPr="001908DB">
        <w:rPr>
          <w:rFonts w:ascii="Times New Roman" w:hAnsi="Times New Roman" w:cs="Times New Roman"/>
          <w:sz w:val="24"/>
          <w:szCs w:val="28"/>
        </w:rPr>
        <w:t>Saithanoo</w:t>
      </w:r>
      <w:proofErr w:type="spellEnd"/>
      <w:r w:rsidRPr="001908DB">
        <w:rPr>
          <w:rFonts w:ascii="Times New Roman" w:hAnsi="Times New Roman" w:cs="Times New Roman"/>
          <w:sz w:val="24"/>
          <w:szCs w:val="28"/>
        </w:rPr>
        <w:t xml:space="preserve">, S., </w:t>
      </w:r>
      <w:proofErr w:type="spellStart"/>
      <w:r w:rsidRPr="001908DB">
        <w:rPr>
          <w:rFonts w:ascii="Times New Roman" w:hAnsi="Times New Roman" w:cs="Times New Roman"/>
          <w:sz w:val="24"/>
          <w:szCs w:val="28"/>
        </w:rPr>
        <w:t>Lowpetchara</w:t>
      </w:r>
      <w:proofErr w:type="spellEnd"/>
      <w:r w:rsidRPr="001908DB">
        <w:rPr>
          <w:rFonts w:ascii="Times New Roman" w:hAnsi="Times New Roman" w:cs="Times New Roman"/>
          <w:sz w:val="24"/>
          <w:szCs w:val="28"/>
        </w:rPr>
        <w:t xml:space="preserve">, A., &amp; Norton, B. W. (1994). Productivity of female goats grazing newly established pasture with varying levels of supplementary feeding. Asian-Australasian Journal of Animal Sciences, 7(3), 289–293. </w:t>
      </w:r>
      <w:hyperlink r:id="rId18" w:history="1">
        <w:r w:rsidR="00AC21D2" w:rsidRPr="00196D67">
          <w:rPr>
            <w:rStyle w:val="Hyperlink"/>
            <w:rFonts w:ascii="Times New Roman" w:hAnsi="Times New Roman" w:cs="Times New Roman"/>
            <w:sz w:val="24"/>
            <w:szCs w:val="28"/>
          </w:rPr>
          <w:t>https://doi.org/10.5713/ajas.1994.289</w:t>
        </w:r>
      </w:hyperlink>
      <w:r w:rsidR="00AC21D2">
        <w:rPr>
          <w:rFonts w:ascii="Times New Roman" w:hAnsi="Times New Roman" w:cs="Times New Roman"/>
          <w:sz w:val="24"/>
          <w:szCs w:val="28"/>
        </w:rPr>
        <w:t xml:space="preserve"> </w:t>
      </w:r>
    </w:p>
    <w:p w14:paraId="7203E940" w14:textId="7A3C1D2B" w:rsidR="000A6762" w:rsidRPr="001908DB" w:rsidRDefault="000A6762" w:rsidP="00AC21D2">
      <w:pPr>
        <w:spacing w:after="0"/>
        <w:ind w:left="630" w:hanging="630"/>
        <w:rPr>
          <w:rFonts w:ascii="Times New Roman" w:hAnsi="Times New Roman" w:cs="Times New Roman"/>
          <w:sz w:val="24"/>
          <w:szCs w:val="28"/>
        </w:rPr>
      </w:pPr>
      <w:r w:rsidRPr="001908DB">
        <w:rPr>
          <w:rFonts w:ascii="Times New Roman" w:hAnsi="Times New Roman" w:cs="Times New Roman"/>
          <w:sz w:val="24"/>
          <w:szCs w:val="28"/>
        </w:rPr>
        <w:t xml:space="preserve">Ministry of Agriculture (MOA) &amp; International Livestock Research Institute (ILRI). (2013). </w:t>
      </w:r>
      <w:r w:rsidRPr="001908DB">
        <w:rPr>
          <w:rFonts w:ascii="Times New Roman" w:hAnsi="Times New Roman" w:cs="Times New Roman"/>
          <w:i/>
          <w:iCs/>
          <w:sz w:val="24"/>
          <w:szCs w:val="28"/>
        </w:rPr>
        <w:t>Livestock and Pastoralist Development in the Somali Region of Ethiopia</w:t>
      </w:r>
      <w:r w:rsidRPr="001908DB">
        <w:rPr>
          <w:rFonts w:ascii="Times New Roman" w:hAnsi="Times New Roman" w:cs="Times New Roman"/>
          <w:sz w:val="24"/>
          <w:szCs w:val="28"/>
        </w:rPr>
        <w:t xml:space="preserve">. Retrieved from </w:t>
      </w:r>
      <w:hyperlink r:id="rId19" w:history="1">
        <w:r w:rsidR="00AC21D2" w:rsidRPr="00196D67">
          <w:rPr>
            <w:rStyle w:val="Hyperlink"/>
            <w:rFonts w:ascii="Times New Roman" w:hAnsi="Times New Roman" w:cs="Times New Roman"/>
            <w:sz w:val="24"/>
            <w:szCs w:val="28"/>
          </w:rPr>
          <w:t>https://www.moa.gov.et/wp-content/uploads/2024/11/PROCEEDINGS-OF-2020_21-SoRPARI-compressed-1.pdf</w:t>
        </w:r>
      </w:hyperlink>
      <w:r w:rsidR="00AC21D2">
        <w:rPr>
          <w:rFonts w:ascii="Times New Roman" w:hAnsi="Times New Roman" w:cs="Times New Roman"/>
          <w:sz w:val="24"/>
          <w:szCs w:val="28"/>
        </w:rPr>
        <w:t xml:space="preserve"> </w:t>
      </w:r>
    </w:p>
    <w:p w14:paraId="1B183F4D" w14:textId="6710D438" w:rsidR="000A6762" w:rsidRPr="001908DB" w:rsidRDefault="000A6762" w:rsidP="00AC21D2">
      <w:pPr>
        <w:spacing w:after="0"/>
        <w:ind w:left="630" w:hanging="630"/>
        <w:rPr>
          <w:rFonts w:ascii="Times New Roman" w:hAnsi="Times New Roman" w:cs="Times New Roman"/>
          <w:sz w:val="24"/>
          <w:szCs w:val="28"/>
        </w:rPr>
      </w:pPr>
      <w:r w:rsidRPr="001908DB">
        <w:rPr>
          <w:rFonts w:ascii="Times New Roman" w:hAnsi="Times New Roman" w:cs="Times New Roman"/>
          <w:sz w:val="24"/>
          <w:szCs w:val="28"/>
        </w:rPr>
        <w:t xml:space="preserve">Shapiro, B., Gebru, G., &amp; Desta, S. (2017). </w:t>
      </w:r>
      <w:r w:rsidRPr="001908DB">
        <w:rPr>
          <w:rFonts w:ascii="Times New Roman" w:hAnsi="Times New Roman" w:cs="Times New Roman"/>
          <w:i/>
          <w:iCs/>
          <w:sz w:val="24"/>
          <w:szCs w:val="28"/>
        </w:rPr>
        <w:t>Pastoralist Livelihoods and Rangeland Management in the Somali Region, Ethiopia</w:t>
      </w:r>
      <w:r w:rsidRPr="001908DB">
        <w:rPr>
          <w:rFonts w:ascii="Times New Roman" w:hAnsi="Times New Roman" w:cs="Times New Roman"/>
          <w:sz w:val="24"/>
          <w:szCs w:val="28"/>
        </w:rPr>
        <w:t xml:space="preserve">. Pastoralism: Research, Policy and Practice, 7(1), 10. </w:t>
      </w:r>
      <w:hyperlink r:id="rId20" w:history="1">
        <w:r w:rsidR="00AC21D2" w:rsidRPr="00196D67">
          <w:rPr>
            <w:rStyle w:val="Hyperlink"/>
            <w:rFonts w:ascii="Times New Roman" w:hAnsi="Times New Roman" w:cs="Times New Roman"/>
            <w:sz w:val="24"/>
            <w:szCs w:val="28"/>
          </w:rPr>
          <w:t>https://doi.org/10.1186/s13570-017-0101-6</w:t>
        </w:r>
      </w:hyperlink>
      <w:r w:rsidR="00AC21D2">
        <w:rPr>
          <w:rFonts w:ascii="Times New Roman" w:hAnsi="Times New Roman" w:cs="Times New Roman"/>
          <w:sz w:val="24"/>
          <w:szCs w:val="28"/>
        </w:rPr>
        <w:t xml:space="preserve"> </w:t>
      </w:r>
    </w:p>
    <w:p w14:paraId="0C413AFA" w14:textId="7766F1D6" w:rsidR="000A6762" w:rsidRPr="001908DB" w:rsidRDefault="000A6762" w:rsidP="00AC21D2">
      <w:pPr>
        <w:spacing w:after="0"/>
        <w:ind w:left="630" w:hanging="630"/>
        <w:rPr>
          <w:rFonts w:ascii="Times New Roman" w:hAnsi="Times New Roman" w:cs="Times New Roman"/>
          <w:sz w:val="24"/>
          <w:szCs w:val="28"/>
        </w:rPr>
      </w:pPr>
      <w:proofErr w:type="spellStart"/>
      <w:r w:rsidRPr="000A6762">
        <w:rPr>
          <w:rFonts w:ascii="Times New Roman" w:hAnsi="Times New Roman" w:cs="Times New Roman"/>
          <w:sz w:val="24"/>
          <w:szCs w:val="28"/>
        </w:rPr>
        <w:t>Wamatu</w:t>
      </w:r>
      <w:proofErr w:type="spellEnd"/>
      <w:r w:rsidRPr="000A6762">
        <w:rPr>
          <w:rFonts w:ascii="Times New Roman" w:hAnsi="Times New Roman" w:cs="Times New Roman"/>
          <w:sz w:val="24"/>
          <w:szCs w:val="28"/>
        </w:rPr>
        <w:t xml:space="preserve">, S., Tesfaye, F., &amp; Abebe, D. (2025). </w:t>
      </w:r>
      <w:r w:rsidRPr="001908DB">
        <w:rPr>
          <w:rFonts w:ascii="Times New Roman" w:hAnsi="Times New Roman" w:cs="Times New Roman"/>
          <w:i/>
          <w:iCs/>
          <w:sz w:val="24"/>
          <w:szCs w:val="28"/>
        </w:rPr>
        <w:t>Women’s Participation in Small Ruminant Fattening: Opportunities and Constraints in Ethiopia</w:t>
      </w:r>
      <w:r w:rsidRPr="001908DB">
        <w:rPr>
          <w:rFonts w:ascii="Times New Roman" w:hAnsi="Times New Roman" w:cs="Times New Roman"/>
          <w:sz w:val="24"/>
          <w:szCs w:val="28"/>
        </w:rPr>
        <w:t xml:space="preserve">. Journal of Rural Livelihoods, 20(2), 45–59. </w:t>
      </w:r>
      <w:hyperlink r:id="rId21" w:history="1">
        <w:r w:rsidR="00AC21D2" w:rsidRPr="00196D67">
          <w:rPr>
            <w:rStyle w:val="Hyperlink"/>
            <w:rFonts w:ascii="Times New Roman" w:hAnsi="Times New Roman" w:cs="Times New Roman"/>
            <w:sz w:val="24"/>
            <w:szCs w:val="28"/>
          </w:rPr>
          <w:t>https://doi.org/10.1186/s13570-025-00123-4</w:t>
        </w:r>
      </w:hyperlink>
      <w:r w:rsidR="00AC21D2">
        <w:rPr>
          <w:rFonts w:ascii="Times New Roman" w:hAnsi="Times New Roman" w:cs="Times New Roman"/>
          <w:sz w:val="24"/>
          <w:szCs w:val="28"/>
        </w:rPr>
        <w:t xml:space="preserve"> </w:t>
      </w:r>
    </w:p>
    <w:p w14:paraId="3D803FAB" w14:textId="6C760708" w:rsidR="000A6762" w:rsidRPr="001908DB" w:rsidRDefault="000A6762" w:rsidP="00AC21D2">
      <w:pPr>
        <w:spacing w:after="0"/>
        <w:ind w:left="630" w:hanging="630"/>
        <w:rPr>
          <w:rFonts w:ascii="Times New Roman" w:hAnsi="Times New Roman" w:cs="Times New Roman"/>
          <w:sz w:val="24"/>
          <w:szCs w:val="28"/>
        </w:rPr>
      </w:pPr>
      <w:r w:rsidRPr="001908DB">
        <w:rPr>
          <w:rFonts w:ascii="Times New Roman" w:hAnsi="Times New Roman" w:cs="Times New Roman"/>
          <w:sz w:val="24"/>
          <w:szCs w:val="28"/>
        </w:rPr>
        <w:lastRenderedPageBreak/>
        <w:t xml:space="preserve">World Bank. (2024). </w:t>
      </w:r>
      <w:r w:rsidRPr="001908DB">
        <w:rPr>
          <w:rFonts w:ascii="Times New Roman" w:hAnsi="Times New Roman" w:cs="Times New Roman"/>
          <w:i/>
          <w:iCs/>
          <w:sz w:val="24"/>
          <w:szCs w:val="28"/>
        </w:rPr>
        <w:t>Ethiopia Livestock Sector Review: Challenges and Opportunities for Growth</w:t>
      </w:r>
      <w:r w:rsidRPr="001908DB">
        <w:rPr>
          <w:rFonts w:ascii="Times New Roman" w:hAnsi="Times New Roman" w:cs="Times New Roman"/>
          <w:sz w:val="24"/>
          <w:szCs w:val="28"/>
        </w:rPr>
        <w:t xml:space="preserve">. Retrieved from </w:t>
      </w:r>
      <w:hyperlink r:id="rId22" w:history="1">
        <w:r w:rsidR="00AC21D2" w:rsidRPr="00196D67">
          <w:rPr>
            <w:rStyle w:val="Hyperlink"/>
            <w:rFonts w:ascii="Times New Roman" w:hAnsi="Times New Roman" w:cs="Times New Roman"/>
            <w:sz w:val="24"/>
            <w:szCs w:val="28"/>
          </w:rPr>
          <w:t>https://openknowledge.worldbank.org/handle/10986/34567</w:t>
        </w:r>
      </w:hyperlink>
      <w:r w:rsidR="00AC21D2">
        <w:rPr>
          <w:rFonts w:ascii="Times New Roman" w:hAnsi="Times New Roman" w:cs="Times New Roman"/>
          <w:sz w:val="24"/>
          <w:szCs w:val="28"/>
        </w:rPr>
        <w:t xml:space="preserve"> </w:t>
      </w:r>
    </w:p>
    <w:p w14:paraId="2EFD8E9B" w14:textId="77777777" w:rsidR="000A6762" w:rsidRPr="000A6762" w:rsidRDefault="000A6762" w:rsidP="000A6762"/>
    <w:sectPr w:rsidR="000A6762" w:rsidRPr="000A67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505CA" w14:textId="77777777" w:rsidR="00003D06" w:rsidRDefault="00003D06" w:rsidP="00640336">
      <w:pPr>
        <w:spacing w:after="0" w:line="240" w:lineRule="auto"/>
      </w:pPr>
      <w:r>
        <w:separator/>
      </w:r>
    </w:p>
  </w:endnote>
  <w:endnote w:type="continuationSeparator" w:id="0">
    <w:p w14:paraId="64CC5560" w14:textId="77777777" w:rsidR="00003D06" w:rsidRDefault="00003D06" w:rsidP="0064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37778" w14:textId="77777777" w:rsidR="00003D06" w:rsidRDefault="00003D06" w:rsidP="00640336">
      <w:pPr>
        <w:spacing w:after="0" w:line="240" w:lineRule="auto"/>
      </w:pPr>
      <w:r>
        <w:separator/>
      </w:r>
    </w:p>
  </w:footnote>
  <w:footnote w:type="continuationSeparator" w:id="0">
    <w:p w14:paraId="258559C8" w14:textId="77777777" w:rsidR="00003D06" w:rsidRDefault="00003D06" w:rsidP="0064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F674" w14:textId="2B7D2C7D" w:rsidR="00327365" w:rsidRDefault="00003D06">
    <w:pPr>
      <w:pStyle w:val="Header"/>
    </w:pPr>
    <w:r>
      <w:rPr>
        <w:noProof/>
      </w:rPr>
      <w:pict w14:anchorId="4D2BF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671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538AC" w14:textId="6D83CF0A" w:rsidR="00327365" w:rsidRDefault="00003D06">
    <w:pPr>
      <w:pStyle w:val="Header"/>
    </w:pPr>
    <w:r>
      <w:rPr>
        <w:noProof/>
      </w:rPr>
      <w:pict w14:anchorId="1006B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671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D395" w14:textId="2A50E832" w:rsidR="00327365" w:rsidRDefault="00003D06">
    <w:pPr>
      <w:pStyle w:val="Header"/>
    </w:pPr>
    <w:r>
      <w:rPr>
        <w:noProof/>
      </w:rPr>
      <w:pict w14:anchorId="069F5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671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7AC8"/>
    <w:multiLevelType w:val="multilevel"/>
    <w:tmpl w:val="A2CCF3B4"/>
    <w:lvl w:ilvl="0">
      <w:start w:val="1"/>
      <w:numFmt w:val="decimal"/>
      <w:lvlText w:val="%1."/>
      <w:lvlJc w:val="left"/>
      <w:pPr>
        <w:ind w:left="720" w:hanging="360"/>
      </w:pPr>
      <w:rPr>
        <w:rFonts w:hint="default"/>
      </w:rPr>
    </w:lvl>
    <w:lvl w:ilvl="1">
      <w:start w:val="5"/>
      <w:numFmt w:val="decimal"/>
      <w:isLgl/>
      <w:lvlText w:val="%1.%2."/>
      <w:lvlJc w:val="left"/>
      <w:pPr>
        <w:ind w:left="1020" w:hanging="66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3051B0"/>
    <w:multiLevelType w:val="multilevel"/>
    <w:tmpl w:val="3578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B2A72"/>
    <w:multiLevelType w:val="hybridMultilevel"/>
    <w:tmpl w:val="445AC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C32CA"/>
    <w:multiLevelType w:val="multilevel"/>
    <w:tmpl w:val="5C5C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0044D"/>
    <w:multiLevelType w:val="hybridMultilevel"/>
    <w:tmpl w:val="2BDC1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C16F0"/>
    <w:multiLevelType w:val="hybridMultilevel"/>
    <w:tmpl w:val="41944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F323E1"/>
    <w:multiLevelType w:val="multilevel"/>
    <w:tmpl w:val="085882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9F167B"/>
    <w:multiLevelType w:val="hybridMultilevel"/>
    <w:tmpl w:val="4AB8C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13C1D"/>
    <w:multiLevelType w:val="hybridMultilevel"/>
    <w:tmpl w:val="93D26C92"/>
    <w:lvl w:ilvl="0" w:tplc="614AE422">
      <w:numFmt w:val="bullet"/>
      <w:lvlText w:val="•"/>
      <w:lvlJc w:val="left"/>
      <w:pPr>
        <w:ind w:left="1440" w:hanging="72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9D04E0"/>
    <w:multiLevelType w:val="multilevel"/>
    <w:tmpl w:val="543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D4317"/>
    <w:multiLevelType w:val="hybridMultilevel"/>
    <w:tmpl w:val="13D8994C"/>
    <w:lvl w:ilvl="0" w:tplc="C9D0E4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2F679C"/>
    <w:multiLevelType w:val="multilevel"/>
    <w:tmpl w:val="5DE6AD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sz w:val="24"/>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2" w15:restartNumberingAfterBreak="0">
    <w:nsid w:val="7F123094"/>
    <w:multiLevelType w:val="hybridMultilevel"/>
    <w:tmpl w:val="B6FA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7"/>
  </w:num>
  <w:num w:numId="5">
    <w:abstractNumId w:val="5"/>
  </w:num>
  <w:num w:numId="6">
    <w:abstractNumId w:val="0"/>
  </w:num>
  <w:num w:numId="7">
    <w:abstractNumId w:val="10"/>
  </w:num>
  <w:num w:numId="8">
    <w:abstractNumId w:val="2"/>
  </w:num>
  <w:num w:numId="9">
    <w:abstractNumId w:val="6"/>
  </w:num>
  <w:num w:numId="10">
    <w:abstractNumId w:val="9"/>
  </w:num>
  <w:num w:numId="11">
    <w:abstractNumId w:val="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17"/>
    <w:rsid w:val="00003D06"/>
    <w:rsid w:val="000043D4"/>
    <w:rsid w:val="00005D14"/>
    <w:rsid w:val="00046274"/>
    <w:rsid w:val="00056C08"/>
    <w:rsid w:val="000773A3"/>
    <w:rsid w:val="00080322"/>
    <w:rsid w:val="000A6762"/>
    <w:rsid w:val="000B76D6"/>
    <w:rsid w:val="000E2C69"/>
    <w:rsid w:val="000F5310"/>
    <w:rsid w:val="000F571F"/>
    <w:rsid w:val="001031B8"/>
    <w:rsid w:val="00123053"/>
    <w:rsid w:val="001774E4"/>
    <w:rsid w:val="0017786F"/>
    <w:rsid w:val="00191749"/>
    <w:rsid w:val="001A5E18"/>
    <w:rsid w:val="001D1D42"/>
    <w:rsid w:val="001D5E31"/>
    <w:rsid w:val="001D7FA4"/>
    <w:rsid w:val="002408ED"/>
    <w:rsid w:val="00275963"/>
    <w:rsid w:val="002A0064"/>
    <w:rsid w:val="002F1C15"/>
    <w:rsid w:val="002F6CA5"/>
    <w:rsid w:val="003017A7"/>
    <w:rsid w:val="0031500F"/>
    <w:rsid w:val="00327365"/>
    <w:rsid w:val="00386417"/>
    <w:rsid w:val="0038789D"/>
    <w:rsid w:val="003902A1"/>
    <w:rsid w:val="003A75C4"/>
    <w:rsid w:val="003D6EF2"/>
    <w:rsid w:val="0040574D"/>
    <w:rsid w:val="0047169A"/>
    <w:rsid w:val="004970CC"/>
    <w:rsid w:val="004B308F"/>
    <w:rsid w:val="004F4F58"/>
    <w:rsid w:val="004F6ABF"/>
    <w:rsid w:val="005022E2"/>
    <w:rsid w:val="00510A7E"/>
    <w:rsid w:val="00537FBD"/>
    <w:rsid w:val="00547180"/>
    <w:rsid w:val="00562FB4"/>
    <w:rsid w:val="00565662"/>
    <w:rsid w:val="00567B8B"/>
    <w:rsid w:val="00575D7B"/>
    <w:rsid w:val="00590F96"/>
    <w:rsid w:val="005A1AA4"/>
    <w:rsid w:val="005B743B"/>
    <w:rsid w:val="006037A9"/>
    <w:rsid w:val="00627E7C"/>
    <w:rsid w:val="00636396"/>
    <w:rsid w:val="00640336"/>
    <w:rsid w:val="006C59B6"/>
    <w:rsid w:val="00703DEB"/>
    <w:rsid w:val="00736604"/>
    <w:rsid w:val="0079501E"/>
    <w:rsid w:val="007A25AE"/>
    <w:rsid w:val="007B2E82"/>
    <w:rsid w:val="007B7263"/>
    <w:rsid w:val="007F52B6"/>
    <w:rsid w:val="00883AF4"/>
    <w:rsid w:val="008922BF"/>
    <w:rsid w:val="00894753"/>
    <w:rsid w:val="00894921"/>
    <w:rsid w:val="008A4203"/>
    <w:rsid w:val="008E1E3B"/>
    <w:rsid w:val="009206EF"/>
    <w:rsid w:val="00946264"/>
    <w:rsid w:val="00965C41"/>
    <w:rsid w:val="00967C93"/>
    <w:rsid w:val="009747D2"/>
    <w:rsid w:val="00986897"/>
    <w:rsid w:val="00996D5A"/>
    <w:rsid w:val="009A6F92"/>
    <w:rsid w:val="009B41C0"/>
    <w:rsid w:val="009D04F7"/>
    <w:rsid w:val="009F3974"/>
    <w:rsid w:val="00A05CFE"/>
    <w:rsid w:val="00A37AB7"/>
    <w:rsid w:val="00A436CD"/>
    <w:rsid w:val="00A67739"/>
    <w:rsid w:val="00A71821"/>
    <w:rsid w:val="00A7396C"/>
    <w:rsid w:val="00A75154"/>
    <w:rsid w:val="00A84E80"/>
    <w:rsid w:val="00A974C9"/>
    <w:rsid w:val="00AA3043"/>
    <w:rsid w:val="00AC21D2"/>
    <w:rsid w:val="00AC4FB3"/>
    <w:rsid w:val="00AE0271"/>
    <w:rsid w:val="00B00294"/>
    <w:rsid w:val="00B06584"/>
    <w:rsid w:val="00B11D89"/>
    <w:rsid w:val="00B22A6F"/>
    <w:rsid w:val="00B270FF"/>
    <w:rsid w:val="00B27967"/>
    <w:rsid w:val="00B355FC"/>
    <w:rsid w:val="00B35CD2"/>
    <w:rsid w:val="00B35F4E"/>
    <w:rsid w:val="00B47601"/>
    <w:rsid w:val="00B7163D"/>
    <w:rsid w:val="00B87349"/>
    <w:rsid w:val="00BA2550"/>
    <w:rsid w:val="00BA573E"/>
    <w:rsid w:val="00BF0624"/>
    <w:rsid w:val="00C032FC"/>
    <w:rsid w:val="00C52827"/>
    <w:rsid w:val="00C54632"/>
    <w:rsid w:val="00C73FA0"/>
    <w:rsid w:val="00C760DC"/>
    <w:rsid w:val="00C8286E"/>
    <w:rsid w:val="00CD342B"/>
    <w:rsid w:val="00CE163B"/>
    <w:rsid w:val="00D01D9B"/>
    <w:rsid w:val="00D02B2C"/>
    <w:rsid w:val="00D066A6"/>
    <w:rsid w:val="00D07B70"/>
    <w:rsid w:val="00D17C79"/>
    <w:rsid w:val="00D34BA8"/>
    <w:rsid w:val="00D50B3D"/>
    <w:rsid w:val="00D6002A"/>
    <w:rsid w:val="00D61FA8"/>
    <w:rsid w:val="00D62025"/>
    <w:rsid w:val="00D83959"/>
    <w:rsid w:val="00DC11F7"/>
    <w:rsid w:val="00DE5891"/>
    <w:rsid w:val="00E176F9"/>
    <w:rsid w:val="00E22B89"/>
    <w:rsid w:val="00E43586"/>
    <w:rsid w:val="00E54F66"/>
    <w:rsid w:val="00E72F0A"/>
    <w:rsid w:val="00E74B2D"/>
    <w:rsid w:val="00EA3823"/>
    <w:rsid w:val="00F56124"/>
    <w:rsid w:val="00FB623B"/>
    <w:rsid w:val="00FD1B52"/>
    <w:rsid w:val="00FE4EC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4878BE"/>
  <w15:docId w15:val="{8894D6DC-F563-4F6B-8DD4-3AEFEBA1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2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02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8286E"/>
    <w:pPr>
      <w:keepNext/>
      <w:keepLines/>
      <w:spacing w:before="40" w:after="0" w:line="360" w:lineRule="auto"/>
      <w:jc w:val="both"/>
      <w:outlineLvl w:val="2"/>
    </w:pPr>
    <w:rPr>
      <w:rFonts w:ascii="Arial Rounded MT Bold" w:eastAsiaTheme="majorEastAsia" w:hAnsi="Arial Rounded MT Bold" w:cstheme="majorBidi"/>
      <w:b/>
      <w:sz w:val="24"/>
      <w:szCs w:val="24"/>
      <w:lang w:val="en-GB"/>
    </w:rPr>
  </w:style>
  <w:style w:type="paragraph" w:styleId="Heading4">
    <w:name w:val="heading 4"/>
    <w:basedOn w:val="Normal"/>
    <w:next w:val="Normal"/>
    <w:link w:val="Heading4Char"/>
    <w:uiPriority w:val="9"/>
    <w:semiHidden/>
    <w:unhideWhenUsed/>
    <w:qFormat/>
    <w:rsid w:val="004F4F5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902A1"/>
    <w:pPr>
      <w:spacing w:line="240" w:lineRule="auto"/>
      <w:jc w:val="both"/>
    </w:pPr>
    <w:rPr>
      <w:rFonts w:ascii="Times New Roman" w:hAnsi="Times New Roman"/>
      <w:b/>
      <w:bCs/>
      <w:color w:val="4F81BD" w:themeColor="accent1"/>
      <w:sz w:val="18"/>
      <w:szCs w:val="18"/>
    </w:rPr>
  </w:style>
  <w:style w:type="paragraph" w:customStyle="1" w:styleId="Default">
    <w:name w:val="Default"/>
    <w:rsid w:val="00C828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C8286E"/>
    <w:rPr>
      <w:rFonts w:ascii="Arial Rounded MT Bold" w:eastAsiaTheme="majorEastAsia" w:hAnsi="Arial Rounded MT Bold" w:cstheme="majorBidi"/>
      <w:b/>
      <w:sz w:val="24"/>
      <w:szCs w:val="24"/>
      <w:lang w:val="en-GB"/>
    </w:rPr>
  </w:style>
  <w:style w:type="character" w:customStyle="1" w:styleId="Heading2Char">
    <w:name w:val="Heading 2 Char"/>
    <w:basedOn w:val="DefaultParagraphFont"/>
    <w:link w:val="Heading2"/>
    <w:uiPriority w:val="9"/>
    <w:semiHidden/>
    <w:rsid w:val="00B0029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0029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67739"/>
    <w:pPr>
      <w:ind w:left="720"/>
      <w:contextualSpacing/>
    </w:pPr>
    <w:rPr>
      <w:rFonts w:eastAsiaTheme="minorEastAsia"/>
    </w:rPr>
  </w:style>
  <w:style w:type="character" w:styleId="Hyperlink">
    <w:name w:val="Hyperlink"/>
    <w:basedOn w:val="DefaultParagraphFont"/>
    <w:uiPriority w:val="99"/>
    <w:unhideWhenUsed/>
    <w:rsid w:val="00BA2550"/>
    <w:rPr>
      <w:color w:val="0000FF"/>
      <w:u w:val="single"/>
    </w:rPr>
  </w:style>
  <w:style w:type="paragraph" w:styleId="BodyTextIndent">
    <w:name w:val="Body Text Indent"/>
    <w:basedOn w:val="Normal"/>
    <w:link w:val="BodyTextIndentChar"/>
    <w:uiPriority w:val="99"/>
    <w:unhideWhenUsed/>
    <w:rsid w:val="009F3974"/>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9F3974"/>
    <w:rPr>
      <w:rFonts w:ascii="Calibri" w:eastAsia="Calibri" w:hAnsi="Calibri" w:cs="Times New Roman"/>
    </w:rPr>
  </w:style>
  <w:style w:type="paragraph" w:styleId="Header">
    <w:name w:val="header"/>
    <w:basedOn w:val="Normal"/>
    <w:link w:val="HeaderChar"/>
    <w:uiPriority w:val="99"/>
    <w:unhideWhenUsed/>
    <w:rsid w:val="00640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336"/>
  </w:style>
  <w:style w:type="paragraph" w:styleId="Footer">
    <w:name w:val="footer"/>
    <w:basedOn w:val="Normal"/>
    <w:link w:val="FooterChar"/>
    <w:uiPriority w:val="99"/>
    <w:unhideWhenUsed/>
    <w:rsid w:val="00640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336"/>
  </w:style>
  <w:style w:type="character" w:customStyle="1" w:styleId="UnresolvedMention1">
    <w:name w:val="Unresolved Mention1"/>
    <w:basedOn w:val="DefaultParagraphFont"/>
    <w:uiPriority w:val="99"/>
    <w:semiHidden/>
    <w:unhideWhenUsed/>
    <w:rsid w:val="00CD342B"/>
    <w:rPr>
      <w:color w:val="605E5C"/>
      <w:shd w:val="clear" w:color="auto" w:fill="E1DFDD"/>
    </w:rPr>
  </w:style>
  <w:style w:type="paragraph" w:styleId="BalloonText">
    <w:name w:val="Balloon Text"/>
    <w:basedOn w:val="Normal"/>
    <w:link w:val="BalloonTextChar"/>
    <w:uiPriority w:val="99"/>
    <w:semiHidden/>
    <w:unhideWhenUsed/>
    <w:rsid w:val="00D02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B2C"/>
    <w:rPr>
      <w:rFonts w:ascii="Segoe UI" w:hAnsi="Segoe UI" w:cs="Segoe UI"/>
      <w:sz w:val="18"/>
      <w:szCs w:val="18"/>
    </w:rPr>
  </w:style>
  <w:style w:type="character" w:styleId="CommentReference">
    <w:name w:val="annotation reference"/>
    <w:basedOn w:val="DefaultParagraphFont"/>
    <w:uiPriority w:val="99"/>
    <w:semiHidden/>
    <w:unhideWhenUsed/>
    <w:rsid w:val="00D02B2C"/>
    <w:rPr>
      <w:sz w:val="16"/>
      <w:szCs w:val="16"/>
    </w:rPr>
  </w:style>
  <w:style w:type="paragraph" w:styleId="CommentText">
    <w:name w:val="annotation text"/>
    <w:basedOn w:val="Normal"/>
    <w:link w:val="CommentTextChar"/>
    <w:uiPriority w:val="99"/>
    <w:semiHidden/>
    <w:unhideWhenUsed/>
    <w:rsid w:val="00D02B2C"/>
    <w:pPr>
      <w:spacing w:line="240" w:lineRule="auto"/>
    </w:pPr>
    <w:rPr>
      <w:sz w:val="20"/>
      <w:szCs w:val="20"/>
    </w:rPr>
  </w:style>
  <w:style w:type="character" w:customStyle="1" w:styleId="CommentTextChar">
    <w:name w:val="Comment Text Char"/>
    <w:basedOn w:val="DefaultParagraphFont"/>
    <w:link w:val="CommentText"/>
    <w:uiPriority w:val="99"/>
    <w:semiHidden/>
    <w:rsid w:val="00D02B2C"/>
    <w:rPr>
      <w:sz w:val="20"/>
      <w:szCs w:val="20"/>
    </w:rPr>
  </w:style>
  <w:style w:type="paragraph" w:styleId="CommentSubject">
    <w:name w:val="annotation subject"/>
    <w:basedOn w:val="CommentText"/>
    <w:next w:val="CommentText"/>
    <w:link w:val="CommentSubjectChar"/>
    <w:uiPriority w:val="99"/>
    <w:semiHidden/>
    <w:unhideWhenUsed/>
    <w:rsid w:val="00D02B2C"/>
    <w:rPr>
      <w:b/>
      <w:bCs/>
    </w:rPr>
  </w:style>
  <w:style w:type="character" w:customStyle="1" w:styleId="CommentSubjectChar">
    <w:name w:val="Comment Subject Char"/>
    <w:basedOn w:val="CommentTextChar"/>
    <w:link w:val="CommentSubject"/>
    <w:uiPriority w:val="99"/>
    <w:semiHidden/>
    <w:rsid w:val="00D02B2C"/>
    <w:rPr>
      <w:b/>
      <w:bCs/>
      <w:sz w:val="20"/>
      <w:szCs w:val="20"/>
    </w:rPr>
  </w:style>
  <w:style w:type="paragraph" w:styleId="Revision">
    <w:name w:val="Revision"/>
    <w:hidden/>
    <w:uiPriority w:val="99"/>
    <w:semiHidden/>
    <w:rsid w:val="009206EF"/>
    <w:pPr>
      <w:spacing w:after="0" w:line="240" w:lineRule="auto"/>
    </w:pPr>
  </w:style>
  <w:style w:type="paragraph" w:styleId="NormalWeb">
    <w:name w:val="Normal (Web)"/>
    <w:basedOn w:val="Normal"/>
    <w:uiPriority w:val="99"/>
    <w:unhideWhenUsed/>
    <w:rsid w:val="00E22B89"/>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Heading4Char">
    <w:name w:val="Heading 4 Char"/>
    <w:basedOn w:val="DefaultParagraphFont"/>
    <w:link w:val="Heading4"/>
    <w:uiPriority w:val="9"/>
    <w:semiHidden/>
    <w:rsid w:val="004F4F58"/>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AC2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5259">
      <w:bodyDiv w:val="1"/>
      <w:marLeft w:val="0"/>
      <w:marRight w:val="0"/>
      <w:marTop w:val="0"/>
      <w:marBottom w:val="0"/>
      <w:divBdr>
        <w:top w:val="none" w:sz="0" w:space="0" w:color="auto"/>
        <w:left w:val="none" w:sz="0" w:space="0" w:color="auto"/>
        <w:bottom w:val="none" w:sz="0" w:space="0" w:color="auto"/>
        <w:right w:val="none" w:sz="0" w:space="0" w:color="auto"/>
      </w:divBdr>
    </w:div>
    <w:div w:id="143158524">
      <w:bodyDiv w:val="1"/>
      <w:marLeft w:val="0"/>
      <w:marRight w:val="0"/>
      <w:marTop w:val="0"/>
      <w:marBottom w:val="0"/>
      <w:divBdr>
        <w:top w:val="none" w:sz="0" w:space="0" w:color="auto"/>
        <w:left w:val="none" w:sz="0" w:space="0" w:color="auto"/>
        <w:bottom w:val="none" w:sz="0" w:space="0" w:color="auto"/>
        <w:right w:val="none" w:sz="0" w:space="0" w:color="auto"/>
      </w:divBdr>
    </w:div>
    <w:div w:id="233663871">
      <w:bodyDiv w:val="1"/>
      <w:marLeft w:val="0"/>
      <w:marRight w:val="0"/>
      <w:marTop w:val="0"/>
      <w:marBottom w:val="0"/>
      <w:divBdr>
        <w:top w:val="none" w:sz="0" w:space="0" w:color="auto"/>
        <w:left w:val="none" w:sz="0" w:space="0" w:color="auto"/>
        <w:bottom w:val="none" w:sz="0" w:space="0" w:color="auto"/>
        <w:right w:val="none" w:sz="0" w:space="0" w:color="auto"/>
      </w:divBdr>
    </w:div>
    <w:div w:id="250966076">
      <w:bodyDiv w:val="1"/>
      <w:marLeft w:val="0"/>
      <w:marRight w:val="0"/>
      <w:marTop w:val="0"/>
      <w:marBottom w:val="0"/>
      <w:divBdr>
        <w:top w:val="none" w:sz="0" w:space="0" w:color="auto"/>
        <w:left w:val="none" w:sz="0" w:space="0" w:color="auto"/>
        <w:bottom w:val="none" w:sz="0" w:space="0" w:color="auto"/>
        <w:right w:val="none" w:sz="0" w:space="0" w:color="auto"/>
      </w:divBdr>
    </w:div>
    <w:div w:id="379328834">
      <w:bodyDiv w:val="1"/>
      <w:marLeft w:val="0"/>
      <w:marRight w:val="0"/>
      <w:marTop w:val="0"/>
      <w:marBottom w:val="0"/>
      <w:divBdr>
        <w:top w:val="none" w:sz="0" w:space="0" w:color="auto"/>
        <w:left w:val="none" w:sz="0" w:space="0" w:color="auto"/>
        <w:bottom w:val="none" w:sz="0" w:space="0" w:color="auto"/>
        <w:right w:val="none" w:sz="0" w:space="0" w:color="auto"/>
      </w:divBdr>
    </w:div>
    <w:div w:id="455410374">
      <w:bodyDiv w:val="1"/>
      <w:marLeft w:val="0"/>
      <w:marRight w:val="0"/>
      <w:marTop w:val="0"/>
      <w:marBottom w:val="0"/>
      <w:divBdr>
        <w:top w:val="none" w:sz="0" w:space="0" w:color="auto"/>
        <w:left w:val="none" w:sz="0" w:space="0" w:color="auto"/>
        <w:bottom w:val="none" w:sz="0" w:space="0" w:color="auto"/>
        <w:right w:val="none" w:sz="0" w:space="0" w:color="auto"/>
      </w:divBdr>
    </w:div>
    <w:div w:id="496381776">
      <w:bodyDiv w:val="1"/>
      <w:marLeft w:val="0"/>
      <w:marRight w:val="0"/>
      <w:marTop w:val="0"/>
      <w:marBottom w:val="0"/>
      <w:divBdr>
        <w:top w:val="none" w:sz="0" w:space="0" w:color="auto"/>
        <w:left w:val="none" w:sz="0" w:space="0" w:color="auto"/>
        <w:bottom w:val="none" w:sz="0" w:space="0" w:color="auto"/>
        <w:right w:val="none" w:sz="0" w:space="0" w:color="auto"/>
      </w:divBdr>
    </w:div>
    <w:div w:id="519054187">
      <w:bodyDiv w:val="1"/>
      <w:marLeft w:val="0"/>
      <w:marRight w:val="0"/>
      <w:marTop w:val="0"/>
      <w:marBottom w:val="0"/>
      <w:divBdr>
        <w:top w:val="none" w:sz="0" w:space="0" w:color="auto"/>
        <w:left w:val="none" w:sz="0" w:space="0" w:color="auto"/>
        <w:bottom w:val="none" w:sz="0" w:space="0" w:color="auto"/>
        <w:right w:val="none" w:sz="0" w:space="0" w:color="auto"/>
      </w:divBdr>
    </w:div>
    <w:div w:id="532546980">
      <w:bodyDiv w:val="1"/>
      <w:marLeft w:val="0"/>
      <w:marRight w:val="0"/>
      <w:marTop w:val="0"/>
      <w:marBottom w:val="0"/>
      <w:divBdr>
        <w:top w:val="none" w:sz="0" w:space="0" w:color="auto"/>
        <w:left w:val="none" w:sz="0" w:space="0" w:color="auto"/>
        <w:bottom w:val="none" w:sz="0" w:space="0" w:color="auto"/>
        <w:right w:val="none" w:sz="0" w:space="0" w:color="auto"/>
      </w:divBdr>
    </w:div>
    <w:div w:id="579145869">
      <w:bodyDiv w:val="1"/>
      <w:marLeft w:val="0"/>
      <w:marRight w:val="0"/>
      <w:marTop w:val="0"/>
      <w:marBottom w:val="0"/>
      <w:divBdr>
        <w:top w:val="none" w:sz="0" w:space="0" w:color="auto"/>
        <w:left w:val="none" w:sz="0" w:space="0" w:color="auto"/>
        <w:bottom w:val="none" w:sz="0" w:space="0" w:color="auto"/>
        <w:right w:val="none" w:sz="0" w:space="0" w:color="auto"/>
      </w:divBdr>
    </w:div>
    <w:div w:id="603346165">
      <w:bodyDiv w:val="1"/>
      <w:marLeft w:val="0"/>
      <w:marRight w:val="0"/>
      <w:marTop w:val="0"/>
      <w:marBottom w:val="0"/>
      <w:divBdr>
        <w:top w:val="none" w:sz="0" w:space="0" w:color="auto"/>
        <w:left w:val="none" w:sz="0" w:space="0" w:color="auto"/>
        <w:bottom w:val="none" w:sz="0" w:space="0" w:color="auto"/>
        <w:right w:val="none" w:sz="0" w:space="0" w:color="auto"/>
      </w:divBdr>
    </w:div>
    <w:div w:id="661663470">
      <w:bodyDiv w:val="1"/>
      <w:marLeft w:val="0"/>
      <w:marRight w:val="0"/>
      <w:marTop w:val="0"/>
      <w:marBottom w:val="0"/>
      <w:divBdr>
        <w:top w:val="none" w:sz="0" w:space="0" w:color="auto"/>
        <w:left w:val="none" w:sz="0" w:space="0" w:color="auto"/>
        <w:bottom w:val="none" w:sz="0" w:space="0" w:color="auto"/>
        <w:right w:val="none" w:sz="0" w:space="0" w:color="auto"/>
      </w:divBdr>
    </w:div>
    <w:div w:id="681709384">
      <w:bodyDiv w:val="1"/>
      <w:marLeft w:val="0"/>
      <w:marRight w:val="0"/>
      <w:marTop w:val="0"/>
      <w:marBottom w:val="0"/>
      <w:divBdr>
        <w:top w:val="none" w:sz="0" w:space="0" w:color="auto"/>
        <w:left w:val="none" w:sz="0" w:space="0" w:color="auto"/>
        <w:bottom w:val="none" w:sz="0" w:space="0" w:color="auto"/>
        <w:right w:val="none" w:sz="0" w:space="0" w:color="auto"/>
      </w:divBdr>
    </w:div>
    <w:div w:id="749235060">
      <w:bodyDiv w:val="1"/>
      <w:marLeft w:val="0"/>
      <w:marRight w:val="0"/>
      <w:marTop w:val="0"/>
      <w:marBottom w:val="0"/>
      <w:divBdr>
        <w:top w:val="none" w:sz="0" w:space="0" w:color="auto"/>
        <w:left w:val="none" w:sz="0" w:space="0" w:color="auto"/>
        <w:bottom w:val="none" w:sz="0" w:space="0" w:color="auto"/>
        <w:right w:val="none" w:sz="0" w:space="0" w:color="auto"/>
      </w:divBdr>
    </w:div>
    <w:div w:id="854881028">
      <w:bodyDiv w:val="1"/>
      <w:marLeft w:val="0"/>
      <w:marRight w:val="0"/>
      <w:marTop w:val="0"/>
      <w:marBottom w:val="0"/>
      <w:divBdr>
        <w:top w:val="none" w:sz="0" w:space="0" w:color="auto"/>
        <w:left w:val="none" w:sz="0" w:space="0" w:color="auto"/>
        <w:bottom w:val="none" w:sz="0" w:space="0" w:color="auto"/>
        <w:right w:val="none" w:sz="0" w:space="0" w:color="auto"/>
      </w:divBdr>
    </w:div>
    <w:div w:id="875626859">
      <w:bodyDiv w:val="1"/>
      <w:marLeft w:val="0"/>
      <w:marRight w:val="0"/>
      <w:marTop w:val="0"/>
      <w:marBottom w:val="0"/>
      <w:divBdr>
        <w:top w:val="none" w:sz="0" w:space="0" w:color="auto"/>
        <w:left w:val="none" w:sz="0" w:space="0" w:color="auto"/>
        <w:bottom w:val="none" w:sz="0" w:space="0" w:color="auto"/>
        <w:right w:val="none" w:sz="0" w:space="0" w:color="auto"/>
      </w:divBdr>
    </w:div>
    <w:div w:id="899681169">
      <w:bodyDiv w:val="1"/>
      <w:marLeft w:val="0"/>
      <w:marRight w:val="0"/>
      <w:marTop w:val="0"/>
      <w:marBottom w:val="0"/>
      <w:divBdr>
        <w:top w:val="none" w:sz="0" w:space="0" w:color="auto"/>
        <w:left w:val="none" w:sz="0" w:space="0" w:color="auto"/>
        <w:bottom w:val="none" w:sz="0" w:space="0" w:color="auto"/>
        <w:right w:val="none" w:sz="0" w:space="0" w:color="auto"/>
      </w:divBdr>
    </w:div>
    <w:div w:id="930697974">
      <w:bodyDiv w:val="1"/>
      <w:marLeft w:val="0"/>
      <w:marRight w:val="0"/>
      <w:marTop w:val="0"/>
      <w:marBottom w:val="0"/>
      <w:divBdr>
        <w:top w:val="none" w:sz="0" w:space="0" w:color="auto"/>
        <w:left w:val="none" w:sz="0" w:space="0" w:color="auto"/>
        <w:bottom w:val="none" w:sz="0" w:space="0" w:color="auto"/>
        <w:right w:val="none" w:sz="0" w:space="0" w:color="auto"/>
      </w:divBdr>
    </w:div>
    <w:div w:id="942343830">
      <w:bodyDiv w:val="1"/>
      <w:marLeft w:val="0"/>
      <w:marRight w:val="0"/>
      <w:marTop w:val="0"/>
      <w:marBottom w:val="0"/>
      <w:divBdr>
        <w:top w:val="none" w:sz="0" w:space="0" w:color="auto"/>
        <w:left w:val="none" w:sz="0" w:space="0" w:color="auto"/>
        <w:bottom w:val="none" w:sz="0" w:space="0" w:color="auto"/>
        <w:right w:val="none" w:sz="0" w:space="0" w:color="auto"/>
      </w:divBdr>
    </w:div>
    <w:div w:id="1059284658">
      <w:bodyDiv w:val="1"/>
      <w:marLeft w:val="0"/>
      <w:marRight w:val="0"/>
      <w:marTop w:val="0"/>
      <w:marBottom w:val="0"/>
      <w:divBdr>
        <w:top w:val="none" w:sz="0" w:space="0" w:color="auto"/>
        <w:left w:val="none" w:sz="0" w:space="0" w:color="auto"/>
        <w:bottom w:val="none" w:sz="0" w:space="0" w:color="auto"/>
        <w:right w:val="none" w:sz="0" w:space="0" w:color="auto"/>
      </w:divBdr>
    </w:div>
    <w:div w:id="1066102235">
      <w:bodyDiv w:val="1"/>
      <w:marLeft w:val="0"/>
      <w:marRight w:val="0"/>
      <w:marTop w:val="0"/>
      <w:marBottom w:val="0"/>
      <w:divBdr>
        <w:top w:val="none" w:sz="0" w:space="0" w:color="auto"/>
        <w:left w:val="none" w:sz="0" w:space="0" w:color="auto"/>
        <w:bottom w:val="none" w:sz="0" w:space="0" w:color="auto"/>
        <w:right w:val="none" w:sz="0" w:space="0" w:color="auto"/>
      </w:divBdr>
    </w:div>
    <w:div w:id="1132749650">
      <w:bodyDiv w:val="1"/>
      <w:marLeft w:val="0"/>
      <w:marRight w:val="0"/>
      <w:marTop w:val="0"/>
      <w:marBottom w:val="0"/>
      <w:divBdr>
        <w:top w:val="none" w:sz="0" w:space="0" w:color="auto"/>
        <w:left w:val="none" w:sz="0" w:space="0" w:color="auto"/>
        <w:bottom w:val="none" w:sz="0" w:space="0" w:color="auto"/>
        <w:right w:val="none" w:sz="0" w:space="0" w:color="auto"/>
      </w:divBdr>
    </w:div>
    <w:div w:id="1153566452">
      <w:bodyDiv w:val="1"/>
      <w:marLeft w:val="0"/>
      <w:marRight w:val="0"/>
      <w:marTop w:val="0"/>
      <w:marBottom w:val="0"/>
      <w:divBdr>
        <w:top w:val="none" w:sz="0" w:space="0" w:color="auto"/>
        <w:left w:val="none" w:sz="0" w:space="0" w:color="auto"/>
        <w:bottom w:val="none" w:sz="0" w:space="0" w:color="auto"/>
        <w:right w:val="none" w:sz="0" w:space="0" w:color="auto"/>
      </w:divBdr>
    </w:div>
    <w:div w:id="1177423374">
      <w:bodyDiv w:val="1"/>
      <w:marLeft w:val="0"/>
      <w:marRight w:val="0"/>
      <w:marTop w:val="0"/>
      <w:marBottom w:val="0"/>
      <w:divBdr>
        <w:top w:val="none" w:sz="0" w:space="0" w:color="auto"/>
        <w:left w:val="none" w:sz="0" w:space="0" w:color="auto"/>
        <w:bottom w:val="none" w:sz="0" w:space="0" w:color="auto"/>
        <w:right w:val="none" w:sz="0" w:space="0" w:color="auto"/>
      </w:divBdr>
    </w:div>
    <w:div w:id="1261721221">
      <w:bodyDiv w:val="1"/>
      <w:marLeft w:val="0"/>
      <w:marRight w:val="0"/>
      <w:marTop w:val="0"/>
      <w:marBottom w:val="0"/>
      <w:divBdr>
        <w:top w:val="none" w:sz="0" w:space="0" w:color="auto"/>
        <w:left w:val="none" w:sz="0" w:space="0" w:color="auto"/>
        <w:bottom w:val="none" w:sz="0" w:space="0" w:color="auto"/>
        <w:right w:val="none" w:sz="0" w:space="0" w:color="auto"/>
      </w:divBdr>
    </w:div>
    <w:div w:id="1339849706">
      <w:bodyDiv w:val="1"/>
      <w:marLeft w:val="0"/>
      <w:marRight w:val="0"/>
      <w:marTop w:val="0"/>
      <w:marBottom w:val="0"/>
      <w:divBdr>
        <w:top w:val="none" w:sz="0" w:space="0" w:color="auto"/>
        <w:left w:val="none" w:sz="0" w:space="0" w:color="auto"/>
        <w:bottom w:val="none" w:sz="0" w:space="0" w:color="auto"/>
        <w:right w:val="none" w:sz="0" w:space="0" w:color="auto"/>
      </w:divBdr>
    </w:div>
    <w:div w:id="1349521123">
      <w:bodyDiv w:val="1"/>
      <w:marLeft w:val="0"/>
      <w:marRight w:val="0"/>
      <w:marTop w:val="0"/>
      <w:marBottom w:val="0"/>
      <w:divBdr>
        <w:top w:val="none" w:sz="0" w:space="0" w:color="auto"/>
        <w:left w:val="none" w:sz="0" w:space="0" w:color="auto"/>
        <w:bottom w:val="none" w:sz="0" w:space="0" w:color="auto"/>
        <w:right w:val="none" w:sz="0" w:space="0" w:color="auto"/>
      </w:divBdr>
    </w:div>
    <w:div w:id="1450200457">
      <w:bodyDiv w:val="1"/>
      <w:marLeft w:val="0"/>
      <w:marRight w:val="0"/>
      <w:marTop w:val="0"/>
      <w:marBottom w:val="0"/>
      <w:divBdr>
        <w:top w:val="none" w:sz="0" w:space="0" w:color="auto"/>
        <w:left w:val="none" w:sz="0" w:space="0" w:color="auto"/>
        <w:bottom w:val="none" w:sz="0" w:space="0" w:color="auto"/>
        <w:right w:val="none" w:sz="0" w:space="0" w:color="auto"/>
      </w:divBdr>
    </w:div>
    <w:div w:id="1614702446">
      <w:bodyDiv w:val="1"/>
      <w:marLeft w:val="0"/>
      <w:marRight w:val="0"/>
      <w:marTop w:val="0"/>
      <w:marBottom w:val="0"/>
      <w:divBdr>
        <w:top w:val="none" w:sz="0" w:space="0" w:color="auto"/>
        <w:left w:val="none" w:sz="0" w:space="0" w:color="auto"/>
        <w:bottom w:val="none" w:sz="0" w:space="0" w:color="auto"/>
        <w:right w:val="none" w:sz="0" w:space="0" w:color="auto"/>
      </w:divBdr>
    </w:div>
    <w:div w:id="1620332731">
      <w:bodyDiv w:val="1"/>
      <w:marLeft w:val="0"/>
      <w:marRight w:val="0"/>
      <w:marTop w:val="0"/>
      <w:marBottom w:val="0"/>
      <w:divBdr>
        <w:top w:val="none" w:sz="0" w:space="0" w:color="auto"/>
        <w:left w:val="none" w:sz="0" w:space="0" w:color="auto"/>
        <w:bottom w:val="none" w:sz="0" w:space="0" w:color="auto"/>
        <w:right w:val="none" w:sz="0" w:space="0" w:color="auto"/>
      </w:divBdr>
    </w:div>
    <w:div w:id="1788356660">
      <w:bodyDiv w:val="1"/>
      <w:marLeft w:val="0"/>
      <w:marRight w:val="0"/>
      <w:marTop w:val="0"/>
      <w:marBottom w:val="0"/>
      <w:divBdr>
        <w:top w:val="none" w:sz="0" w:space="0" w:color="auto"/>
        <w:left w:val="none" w:sz="0" w:space="0" w:color="auto"/>
        <w:bottom w:val="none" w:sz="0" w:space="0" w:color="auto"/>
        <w:right w:val="none" w:sz="0" w:space="0" w:color="auto"/>
      </w:divBdr>
    </w:div>
    <w:div w:id="1808158003">
      <w:bodyDiv w:val="1"/>
      <w:marLeft w:val="0"/>
      <w:marRight w:val="0"/>
      <w:marTop w:val="0"/>
      <w:marBottom w:val="0"/>
      <w:divBdr>
        <w:top w:val="none" w:sz="0" w:space="0" w:color="auto"/>
        <w:left w:val="none" w:sz="0" w:space="0" w:color="auto"/>
        <w:bottom w:val="none" w:sz="0" w:space="0" w:color="auto"/>
        <w:right w:val="none" w:sz="0" w:space="0" w:color="auto"/>
      </w:divBdr>
    </w:div>
    <w:div w:id="1849056917">
      <w:bodyDiv w:val="1"/>
      <w:marLeft w:val="0"/>
      <w:marRight w:val="0"/>
      <w:marTop w:val="0"/>
      <w:marBottom w:val="0"/>
      <w:divBdr>
        <w:top w:val="none" w:sz="0" w:space="0" w:color="auto"/>
        <w:left w:val="none" w:sz="0" w:space="0" w:color="auto"/>
        <w:bottom w:val="none" w:sz="0" w:space="0" w:color="auto"/>
        <w:right w:val="none" w:sz="0" w:space="0" w:color="auto"/>
      </w:divBdr>
    </w:div>
    <w:div w:id="1853952550">
      <w:bodyDiv w:val="1"/>
      <w:marLeft w:val="0"/>
      <w:marRight w:val="0"/>
      <w:marTop w:val="0"/>
      <w:marBottom w:val="0"/>
      <w:divBdr>
        <w:top w:val="none" w:sz="0" w:space="0" w:color="auto"/>
        <w:left w:val="none" w:sz="0" w:space="0" w:color="auto"/>
        <w:bottom w:val="none" w:sz="0" w:space="0" w:color="auto"/>
        <w:right w:val="none" w:sz="0" w:space="0" w:color="auto"/>
      </w:divBdr>
    </w:div>
    <w:div w:id="2038576842">
      <w:bodyDiv w:val="1"/>
      <w:marLeft w:val="0"/>
      <w:marRight w:val="0"/>
      <w:marTop w:val="0"/>
      <w:marBottom w:val="0"/>
      <w:divBdr>
        <w:top w:val="none" w:sz="0" w:space="0" w:color="auto"/>
        <w:left w:val="none" w:sz="0" w:space="0" w:color="auto"/>
        <w:bottom w:val="none" w:sz="0" w:space="0" w:color="auto"/>
        <w:right w:val="none" w:sz="0" w:space="0" w:color="auto"/>
      </w:divBdr>
    </w:div>
    <w:div w:id="206093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penknowledge.fao.org/items/2028874a-74ee-4418-9874-449eb8e26b45" TargetMode="External"/><Relationship Id="rId18" Type="http://schemas.openxmlformats.org/officeDocument/2006/relationships/hyperlink" Target="https://doi.org/10.5713/ajas.1994.289" TargetMode="External"/><Relationship Id="rId3" Type="http://schemas.openxmlformats.org/officeDocument/2006/relationships/styles" Target="styles.xml"/><Relationship Id="rId21" Type="http://schemas.openxmlformats.org/officeDocument/2006/relationships/hyperlink" Target="https://doi.org/10.1186/s13570-025-00123-4" TargetMode="External"/><Relationship Id="rId7" Type="http://schemas.openxmlformats.org/officeDocument/2006/relationships/endnotes" Target="endnotes.xml"/><Relationship Id="rId12" Type="http://schemas.openxmlformats.org/officeDocument/2006/relationships/hyperlink" Target="https://www.statsethiopia.gov.et/wp-content/uploads/2021/05/REVISED_2013.LIVESTOCK-REPORT.FINAL-1.pdf" TargetMode="External"/><Relationship Id="rId17" Type="http://schemas.openxmlformats.org/officeDocument/2006/relationships/hyperlink" Target="https://doi.org/10.3923/jbs.2002.333.335" TargetMode="External"/><Relationship Id="rId2" Type="http://schemas.openxmlformats.org/officeDocument/2006/relationships/numbering" Target="numbering.xml"/><Relationship Id="rId16" Type="http://schemas.openxmlformats.org/officeDocument/2006/relationships/hyperlink" Target="https://www.ilri.org/knowledge/publications/ethiopia-livestock-sector-brief" TargetMode="External"/><Relationship Id="rId20" Type="http://schemas.openxmlformats.org/officeDocument/2006/relationships/hyperlink" Target="https://doi.org/10.1186/s13570-017-01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iste.org/Journals/index.php/JBAH/article/download/39192/40301"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www.moa.gov.et/wp-content/uploads/2024/11/PROCEEDINGS-OF-2020_21-SoRPARI-compressed-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nknowledge.fao.org/server/api/core/bitstreams/6e04f2b4-82fc-4740-8cd5-9b66f5335239/content" TargetMode="External"/><Relationship Id="rId22" Type="http://schemas.openxmlformats.org/officeDocument/2006/relationships/hyperlink" Target="https://openknowledge.worldbank.org/handle/10986/34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F119BA-E09A-46DC-8812-0C8F288F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11</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82</cp:revision>
  <dcterms:created xsi:type="dcterms:W3CDTF">2025-07-30T12:29:00Z</dcterms:created>
  <dcterms:modified xsi:type="dcterms:W3CDTF">2025-10-24T11:06:00Z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867df7c5-1cca-4d99-9ef7-20c14d953851</vt:lpwstr>
  </property>
</Properties>
</file>