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F5C74" w14:textId="77777777" w:rsidR="00754C9A" w:rsidRDefault="00754C9A" w:rsidP="00441B6F">
      <w:pPr>
        <w:pStyle w:val="Title"/>
        <w:spacing w:after="0"/>
        <w:jc w:val="both"/>
        <w:rPr>
          <w:rFonts w:ascii="Arial" w:hAnsi="Arial" w:cs="Arial"/>
        </w:rPr>
      </w:pPr>
    </w:p>
    <w:p w14:paraId="090A9241" w14:textId="1DD503F4" w:rsidR="00163BC4" w:rsidRPr="00F87D10" w:rsidRDefault="00277D52" w:rsidP="00441B6F">
      <w:pPr>
        <w:pStyle w:val="Author"/>
        <w:spacing w:line="240" w:lineRule="auto"/>
        <w:rPr>
          <w:rFonts w:ascii="Arial" w:hAnsi="Arial" w:cs="Arial"/>
          <w:bCs/>
          <w:iCs/>
          <w:kern w:val="28"/>
          <w:sz w:val="36"/>
        </w:rPr>
      </w:pPr>
      <w:proofErr w:type="spellStart"/>
      <w:r w:rsidRPr="00F87D10">
        <w:rPr>
          <w:rFonts w:ascii="Arial" w:hAnsi="Arial" w:cs="Arial"/>
          <w:bCs/>
          <w:iCs/>
          <w:kern w:val="28"/>
          <w:sz w:val="36"/>
        </w:rPr>
        <w:t>Galangin</w:t>
      </w:r>
      <w:proofErr w:type="spellEnd"/>
      <w:r w:rsidRPr="00F87D10">
        <w:rPr>
          <w:rFonts w:ascii="Arial" w:hAnsi="Arial" w:cs="Arial"/>
          <w:bCs/>
          <w:iCs/>
          <w:kern w:val="28"/>
          <w:sz w:val="36"/>
        </w:rPr>
        <w:t xml:space="preserve"> and </w:t>
      </w:r>
      <w:proofErr w:type="spellStart"/>
      <w:r w:rsidRPr="00F87D10">
        <w:rPr>
          <w:rFonts w:ascii="Arial" w:hAnsi="Arial" w:cs="Arial"/>
          <w:bCs/>
          <w:iCs/>
          <w:kern w:val="28"/>
          <w:sz w:val="36"/>
        </w:rPr>
        <w:t>Piperine</w:t>
      </w:r>
      <w:proofErr w:type="spellEnd"/>
      <w:r w:rsidRPr="00F87D10">
        <w:rPr>
          <w:rFonts w:ascii="Arial" w:hAnsi="Arial" w:cs="Arial"/>
          <w:bCs/>
          <w:iCs/>
          <w:kern w:val="28"/>
          <w:sz w:val="36"/>
        </w:rPr>
        <w:t xml:space="preserve"> Attenuate Bleomycin-Induced Pulmonary Fibrosis by Modulating Oxidative Stress and MPO-Mediated Inflammation</w:t>
      </w:r>
    </w:p>
    <w:p w14:paraId="75997F5B" w14:textId="77777777" w:rsidR="00A258C3" w:rsidRPr="00F87D10" w:rsidRDefault="00A258C3" w:rsidP="00441B6F">
      <w:pPr>
        <w:pStyle w:val="Author"/>
        <w:spacing w:line="240" w:lineRule="auto"/>
        <w:jc w:val="both"/>
        <w:rPr>
          <w:rFonts w:ascii="Arial" w:hAnsi="Arial" w:cs="Arial"/>
          <w:sz w:val="36"/>
        </w:rPr>
      </w:pPr>
    </w:p>
    <w:p w14:paraId="4D120C1E" w14:textId="77777777" w:rsidR="006163E5" w:rsidRPr="00F87D10" w:rsidRDefault="006163E5" w:rsidP="00441B6F">
      <w:pPr>
        <w:pStyle w:val="Copyright"/>
        <w:spacing w:after="0" w:line="240" w:lineRule="auto"/>
        <w:jc w:val="both"/>
        <w:rPr>
          <w:rFonts w:ascii="Arial" w:hAnsi="Arial" w:cs="Arial"/>
        </w:rPr>
      </w:pPr>
    </w:p>
    <w:p w14:paraId="5F2F8085" w14:textId="057AA4D4" w:rsidR="00B01FCD" w:rsidRPr="00F87D10" w:rsidRDefault="00D72BC5" w:rsidP="00441B6F">
      <w:pPr>
        <w:pStyle w:val="Copyright"/>
        <w:spacing w:after="0" w:line="240" w:lineRule="auto"/>
        <w:jc w:val="both"/>
        <w:rPr>
          <w:rFonts w:ascii="Arial" w:hAnsi="Arial" w:cs="Arial"/>
        </w:rPr>
        <w:sectPr w:rsidR="00B01FCD" w:rsidRPr="00F87D10" w:rsidSect="006163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87D10">
        <w:rPr>
          <w:rFonts w:ascii="Arial" w:hAnsi="Arial" w:cs="Arial"/>
        </w:rPr>
      </w:r>
      <w:r w:rsidRPr="00F87D10">
        <w:rPr>
          <w:rFonts w:ascii="Arial" w:hAnsi="Arial" w:cs="Arial"/>
        </w:rPr>
        <w:pict w14:anchorId="6750D9D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87D10">
        <w:rPr>
          <w:rFonts w:ascii="Arial" w:hAnsi="Arial" w:cs="Arial"/>
        </w:rPr>
        <w:t>.</w:t>
      </w:r>
    </w:p>
    <w:p w14:paraId="3C624AEE" w14:textId="086D62D2" w:rsidR="00B01FCD" w:rsidRPr="00F87D10" w:rsidRDefault="00B01FCD" w:rsidP="00441B6F">
      <w:pPr>
        <w:pStyle w:val="AbstHead"/>
        <w:spacing w:after="0"/>
        <w:jc w:val="both"/>
        <w:rPr>
          <w:rFonts w:ascii="Arial" w:hAnsi="Arial" w:cs="Arial"/>
        </w:rPr>
      </w:pPr>
      <w:r w:rsidRPr="00F87D10">
        <w:rPr>
          <w:rFonts w:ascii="Arial" w:hAnsi="Arial" w:cs="Arial"/>
        </w:rPr>
        <w:t>ABSTRACT</w:t>
      </w:r>
      <w:r w:rsidR="0066510A" w:rsidRPr="00F87D10">
        <w:rPr>
          <w:rFonts w:ascii="Arial" w:hAnsi="Arial" w:cs="Arial"/>
        </w:rPr>
        <w:t xml:space="preserve"> </w:t>
      </w:r>
    </w:p>
    <w:p w14:paraId="21E1536C" w14:textId="77777777" w:rsidR="00790ADA" w:rsidRPr="00F87D1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87D10" w14:paraId="59795880" w14:textId="77777777" w:rsidTr="001E44FE">
        <w:tc>
          <w:tcPr>
            <w:tcW w:w="9576" w:type="dxa"/>
            <w:shd w:val="clear" w:color="auto" w:fill="F2F2F2"/>
          </w:tcPr>
          <w:p w14:paraId="12D459DF" w14:textId="718EA4B6" w:rsidR="00E3114E" w:rsidRPr="00F87D10" w:rsidRDefault="00E3114E" w:rsidP="00441B6F">
            <w:pPr>
              <w:pStyle w:val="Body"/>
              <w:spacing w:after="0"/>
              <w:rPr>
                <w:rFonts w:ascii="Arial" w:eastAsia="Calibri" w:hAnsi="Arial" w:cs="Arial"/>
                <w:szCs w:val="22"/>
              </w:rPr>
            </w:pPr>
          </w:p>
          <w:p w14:paraId="77886ED7" w14:textId="2B26EA0D" w:rsidR="00BA1B01" w:rsidRPr="00F87D10" w:rsidRDefault="00BA1B01" w:rsidP="00441B6F">
            <w:pPr>
              <w:pStyle w:val="Body"/>
              <w:spacing w:after="0"/>
              <w:rPr>
                <w:rFonts w:ascii="Arial" w:eastAsia="Calibri" w:hAnsi="Arial" w:cs="Arial"/>
                <w:szCs w:val="22"/>
              </w:rPr>
            </w:pPr>
            <w:r w:rsidRPr="00F87D10">
              <w:rPr>
                <w:rFonts w:ascii="Arial" w:eastAsia="Calibri" w:hAnsi="Arial" w:cs="Arial"/>
                <w:b/>
                <w:szCs w:val="22"/>
              </w:rPr>
              <w:t xml:space="preserve">Aims: </w:t>
            </w:r>
            <w:r w:rsidR="007560F8" w:rsidRPr="00F87D10">
              <w:rPr>
                <w:rFonts w:ascii="Arial" w:eastAsia="Calibri" w:hAnsi="Arial" w:cs="Arial"/>
                <w:szCs w:val="22"/>
              </w:rPr>
              <w:t xml:space="preserve">To evaluate and compare the protective efficacy of </w:t>
            </w:r>
            <w:proofErr w:type="spellStart"/>
            <w:r w:rsidR="007560F8" w:rsidRPr="00F87D10">
              <w:rPr>
                <w:rFonts w:ascii="Arial" w:eastAsia="Calibri" w:hAnsi="Arial" w:cs="Arial"/>
                <w:szCs w:val="22"/>
              </w:rPr>
              <w:t>galangin</w:t>
            </w:r>
            <w:proofErr w:type="spellEnd"/>
            <w:r w:rsidR="007560F8" w:rsidRPr="00F87D10">
              <w:rPr>
                <w:rFonts w:ascii="Arial" w:eastAsia="Calibri" w:hAnsi="Arial" w:cs="Arial"/>
                <w:szCs w:val="22"/>
              </w:rPr>
              <w:t xml:space="preserve"> and </w:t>
            </w:r>
            <w:proofErr w:type="spellStart"/>
            <w:r w:rsidR="007560F8" w:rsidRPr="00F87D10">
              <w:rPr>
                <w:rFonts w:ascii="Arial" w:eastAsia="Calibri" w:hAnsi="Arial" w:cs="Arial"/>
                <w:szCs w:val="22"/>
              </w:rPr>
              <w:t>piperine</w:t>
            </w:r>
            <w:proofErr w:type="spellEnd"/>
            <w:r w:rsidR="007560F8" w:rsidRPr="00F87D10">
              <w:rPr>
                <w:rFonts w:ascii="Arial" w:eastAsia="Calibri" w:hAnsi="Arial" w:cs="Arial"/>
                <w:szCs w:val="22"/>
              </w:rPr>
              <w:t>—individually and in combination—against bleomycin-induced pulmonary fibrosis in C57BL/6 mice, with emphasis on oxidative and nitrosative stress modulation and histopathological recovery. The study focused on changes in antioxidant enzymes (SOD, CAT, GSH), oxidative stress markers (MDA, nitrite, MPO), and microscopic alterations in lung architecture.</w:t>
            </w:r>
          </w:p>
          <w:p w14:paraId="48111C1A" w14:textId="6536770B" w:rsidR="00BA1B01" w:rsidRPr="00F87D10" w:rsidRDefault="00BA1B01" w:rsidP="00441B6F">
            <w:pPr>
              <w:pStyle w:val="Body"/>
              <w:spacing w:after="0"/>
              <w:rPr>
                <w:rFonts w:ascii="Arial" w:eastAsia="Calibri" w:hAnsi="Arial" w:cs="Arial"/>
                <w:szCs w:val="22"/>
              </w:rPr>
            </w:pPr>
            <w:r w:rsidRPr="00F87D10">
              <w:rPr>
                <w:rFonts w:ascii="Arial" w:eastAsia="Calibri" w:hAnsi="Arial" w:cs="Arial"/>
                <w:b/>
                <w:szCs w:val="22"/>
              </w:rPr>
              <w:t>Study design:</w:t>
            </w:r>
            <w:r w:rsidRPr="00F87D10">
              <w:rPr>
                <w:rFonts w:ascii="Arial" w:eastAsia="Calibri" w:hAnsi="Arial" w:cs="Arial"/>
                <w:szCs w:val="22"/>
              </w:rPr>
              <w:t xml:space="preserve">  </w:t>
            </w:r>
            <w:r w:rsidR="007560F8" w:rsidRPr="00F87D10">
              <w:rPr>
                <w:rFonts w:ascii="Arial" w:eastAsia="Calibri" w:hAnsi="Arial" w:cs="Arial"/>
                <w:szCs w:val="22"/>
              </w:rPr>
              <w:t xml:space="preserve">Controlled, </w:t>
            </w:r>
            <w:proofErr w:type="spellStart"/>
            <w:r w:rsidR="007560F8" w:rsidRPr="00F87D10">
              <w:rPr>
                <w:rFonts w:ascii="Arial" w:eastAsia="Calibri" w:hAnsi="Arial" w:cs="Arial"/>
                <w:szCs w:val="22"/>
              </w:rPr>
              <w:t>randomised</w:t>
            </w:r>
            <w:proofErr w:type="spellEnd"/>
            <w:r w:rsidR="007560F8" w:rsidRPr="00F87D10">
              <w:rPr>
                <w:rFonts w:ascii="Arial" w:eastAsia="Calibri" w:hAnsi="Arial" w:cs="Arial"/>
                <w:szCs w:val="22"/>
              </w:rPr>
              <w:t>, experimental animal study with seven parallel groups.</w:t>
            </w:r>
          </w:p>
          <w:p w14:paraId="46213E80" w14:textId="77777777" w:rsidR="007560F8" w:rsidRPr="00F87D10" w:rsidRDefault="00BA1B01" w:rsidP="00441B6F">
            <w:pPr>
              <w:pStyle w:val="Body"/>
              <w:spacing w:after="0"/>
              <w:rPr>
                <w:rFonts w:ascii="Arial" w:eastAsia="Calibri" w:hAnsi="Arial" w:cs="Arial"/>
                <w:szCs w:val="22"/>
              </w:rPr>
            </w:pPr>
            <w:r w:rsidRPr="00F87D10">
              <w:rPr>
                <w:rFonts w:ascii="Arial" w:eastAsia="Calibri" w:hAnsi="Arial" w:cs="Arial"/>
                <w:b/>
                <w:szCs w:val="22"/>
              </w:rPr>
              <w:t>Place and Duration of Study:</w:t>
            </w:r>
            <w:r w:rsidRPr="00F87D10">
              <w:rPr>
                <w:rFonts w:ascii="Arial" w:eastAsia="Calibri" w:hAnsi="Arial" w:cs="Arial"/>
                <w:szCs w:val="22"/>
              </w:rPr>
              <w:t xml:space="preserve"> </w:t>
            </w:r>
            <w:r w:rsidR="007560F8" w:rsidRPr="00F87D10">
              <w:rPr>
                <w:rFonts w:ascii="Arial" w:eastAsia="Calibri" w:hAnsi="Arial" w:cs="Arial"/>
                <w:szCs w:val="22"/>
              </w:rPr>
              <w:t>Department of Veterinary Pharmacology and Toxicology, College of Veterinary Science, Hyderabad, India; 21-day experimental period conducted under IAEC approval.</w:t>
            </w:r>
          </w:p>
          <w:p w14:paraId="059CB879" w14:textId="6BABBBDD" w:rsidR="00BA1B01" w:rsidRPr="00F87D10" w:rsidRDefault="00BA1B01" w:rsidP="00441B6F">
            <w:pPr>
              <w:pStyle w:val="Body"/>
              <w:spacing w:after="0"/>
              <w:rPr>
                <w:rFonts w:ascii="Arial" w:eastAsia="Calibri" w:hAnsi="Arial" w:cs="Arial"/>
                <w:szCs w:val="22"/>
              </w:rPr>
            </w:pPr>
            <w:r w:rsidRPr="00F87D10">
              <w:rPr>
                <w:rFonts w:ascii="Arial" w:eastAsia="Calibri" w:hAnsi="Arial" w:cs="Arial"/>
                <w:b/>
                <w:bCs/>
                <w:szCs w:val="22"/>
              </w:rPr>
              <w:t>Methodology:</w:t>
            </w:r>
            <w:r w:rsidRPr="00F87D10">
              <w:rPr>
                <w:rFonts w:ascii="Arial" w:eastAsia="Calibri" w:hAnsi="Arial" w:cs="Arial"/>
                <w:szCs w:val="22"/>
              </w:rPr>
              <w:t xml:space="preserve"> </w:t>
            </w:r>
            <w:r w:rsidR="007560F8" w:rsidRPr="00F87D10">
              <w:rPr>
                <w:rFonts w:ascii="Arial" w:eastAsia="Calibri" w:hAnsi="Arial" w:cs="Arial"/>
                <w:szCs w:val="22"/>
              </w:rPr>
              <w:t xml:space="preserve">Fifty male C57BL/6 mice (6–7 weeks old) were assigned to seven groups (n = 6–8): (1) Control; (2) Bleomycin (BLM, 1.5 U/kg, oropharyngeal, day 0); (3) </w:t>
            </w:r>
            <w:proofErr w:type="spellStart"/>
            <w:r w:rsidR="007560F8" w:rsidRPr="00F87D10">
              <w:rPr>
                <w:rFonts w:ascii="Arial" w:eastAsia="Calibri" w:hAnsi="Arial" w:cs="Arial"/>
                <w:szCs w:val="22"/>
              </w:rPr>
              <w:t>Galangin</w:t>
            </w:r>
            <w:proofErr w:type="spellEnd"/>
            <w:r w:rsidR="007560F8" w:rsidRPr="00F87D10">
              <w:rPr>
                <w:rFonts w:ascii="Arial" w:eastAsia="Calibri" w:hAnsi="Arial" w:cs="Arial"/>
                <w:szCs w:val="22"/>
              </w:rPr>
              <w:t xml:space="preserve"> (GA, 5 mg/kg/day, p.o.); (4) </w:t>
            </w:r>
            <w:proofErr w:type="spellStart"/>
            <w:r w:rsidR="007560F8" w:rsidRPr="00F87D10">
              <w:rPr>
                <w:rFonts w:ascii="Arial" w:eastAsia="Calibri" w:hAnsi="Arial" w:cs="Arial"/>
                <w:szCs w:val="22"/>
              </w:rPr>
              <w:t>Piperine</w:t>
            </w:r>
            <w:proofErr w:type="spellEnd"/>
            <w:r w:rsidR="007560F8" w:rsidRPr="00F87D10">
              <w:rPr>
                <w:rFonts w:ascii="Arial" w:eastAsia="Calibri" w:hAnsi="Arial" w:cs="Arial"/>
                <w:szCs w:val="22"/>
              </w:rPr>
              <w:t xml:space="preserve"> (PIP, 50 mg/kg/day, p.o.); (5) BLM + GA; (6) BLM + PIP; (7) BLM + GA (2.5 mg/kg) + PIP (25 mg/kg). On day 21, lungs were harvested for biochemical assays of SOD, CAT, GSH, MDA, nitrite, and MPO, and for histopathological analysis using H&amp;E and Masson’s trichrome staining. Statistical analysis was performed using one-way ANOVA followed by Tukey’s post-hoc test (P &lt; 0.05).</w:t>
            </w:r>
          </w:p>
          <w:p w14:paraId="52B39377" w14:textId="77777777" w:rsidR="007560F8" w:rsidRPr="00F87D10" w:rsidRDefault="00BA1B01" w:rsidP="00441B6F">
            <w:pPr>
              <w:pStyle w:val="Body"/>
              <w:spacing w:after="0"/>
              <w:rPr>
                <w:rFonts w:ascii="Arial" w:eastAsia="Calibri" w:hAnsi="Arial" w:cs="Arial"/>
                <w:szCs w:val="22"/>
              </w:rPr>
            </w:pPr>
            <w:r w:rsidRPr="00F87D10">
              <w:rPr>
                <w:rFonts w:ascii="Arial" w:eastAsia="Calibri" w:hAnsi="Arial" w:cs="Arial"/>
                <w:b/>
                <w:bCs/>
                <w:szCs w:val="22"/>
              </w:rPr>
              <w:t>Results:</w:t>
            </w:r>
            <w:r w:rsidRPr="00F87D10">
              <w:rPr>
                <w:rFonts w:ascii="Arial" w:eastAsia="Calibri" w:hAnsi="Arial" w:cs="Arial"/>
                <w:szCs w:val="22"/>
              </w:rPr>
              <w:t xml:space="preserve"> </w:t>
            </w:r>
            <w:r w:rsidR="007560F8" w:rsidRPr="00F87D10">
              <w:rPr>
                <w:rFonts w:ascii="Arial" w:eastAsia="Calibri" w:hAnsi="Arial" w:cs="Arial"/>
                <w:szCs w:val="22"/>
              </w:rPr>
              <w:t xml:space="preserve">BLM administration significantly reduced antioxidant enzyme activities (SOD, CAT, GSH) and elevated MDA, nitrite, and MPO levels (P &lt; 0.05), indicating oxidative and nitrosative stress. Treatment with </w:t>
            </w:r>
            <w:proofErr w:type="spellStart"/>
            <w:r w:rsidR="007560F8" w:rsidRPr="00F87D10">
              <w:rPr>
                <w:rFonts w:ascii="Arial" w:eastAsia="Calibri" w:hAnsi="Arial" w:cs="Arial"/>
                <w:szCs w:val="22"/>
              </w:rPr>
              <w:t>galangin</w:t>
            </w:r>
            <w:proofErr w:type="spellEnd"/>
            <w:r w:rsidR="007560F8" w:rsidRPr="00F87D10">
              <w:rPr>
                <w:rFonts w:ascii="Arial" w:eastAsia="Calibri" w:hAnsi="Arial" w:cs="Arial"/>
                <w:szCs w:val="22"/>
              </w:rPr>
              <w:t xml:space="preserve"> or </w:t>
            </w:r>
            <w:proofErr w:type="spellStart"/>
            <w:r w:rsidR="007560F8" w:rsidRPr="00F87D10">
              <w:rPr>
                <w:rFonts w:ascii="Arial" w:eastAsia="Calibri" w:hAnsi="Arial" w:cs="Arial"/>
                <w:szCs w:val="22"/>
              </w:rPr>
              <w:t>piperine</w:t>
            </w:r>
            <w:proofErr w:type="spellEnd"/>
            <w:r w:rsidR="007560F8" w:rsidRPr="00F87D10">
              <w:rPr>
                <w:rFonts w:ascii="Arial" w:eastAsia="Calibri" w:hAnsi="Arial" w:cs="Arial"/>
                <w:szCs w:val="22"/>
              </w:rPr>
              <w:t xml:space="preserve"> restored antioxidant status and reduced oxidative biomarkers, while their combination showed the most pronounced effect (P &lt; 0.05). </w:t>
            </w:r>
            <w:proofErr w:type="spellStart"/>
            <w:r w:rsidR="007560F8" w:rsidRPr="00F87D10">
              <w:rPr>
                <w:rFonts w:ascii="Arial" w:eastAsia="Calibri" w:hAnsi="Arial" w:cs="Arial"/>
                <w:szCs w:val="22"/>
              </w:rPr>
              <w:t>Histopathologically</w:t>
            </w:r>
            <w:proofErr w:type="spellEnd"/>
            <w:r w:rsidR="007560F8" w:rsidRPr="00F87D10">
              <w:rPr>
                <w:rFonts w:ascii="Arial" w:eastAsia="Calibri" w:hAnsi="Arial" w:cs="Arial"/>
                <w:szCs w:val="22"/>
              </w:rPr>
              <w:t xml:space="preserve">, BLM-treated lungs exhibited severe alveolar destruction, oedema, inflammatory infiltration, and collagen deposition. These lesions were markedly ameliorated by </w:t>
            </w:r>
            <w:proofErr w:type="spellStart"/>
            <w:r w:rsidR="007560F8" w:rsidRPr="00F87D10">
              <w:rPr>
                <w:rFonts w:ascii="Arial" w:eastAsia="Calibri" w:hAnsi="Arial" w:cs="Arial"/>
                <w:szCs w:val="22"/>
              </w:rPr>
              <w:t>galangin</w:t>
            </w:r>
            <w:proofErr w:type="spellEnd"/>
            <w:r w:rsidR="007560F8" w:rsidRPr="00F87D10">
              <w:rPr>
                <w:rFonts w:ascii="Arial" w:eastAsia="Calibri" w:hAnsi="Arial" w:cs="Arial"/>
                <w:szCs w:val="22"/>
              </w:rPr>
              <w:t xml:space="preserve"> and </w:t>
            </w:r>
            <w:proofErr w:type="spellStart"/>
            <w:r w:rsidR="007560F8" w:rsidRPr="00F87D10">
              <w:rPr>
                <w:rFonts w:ascii="Arial" w:eastAsia="Calibri" w:hAnsi="Arial" w:cs="Arial"/>
                <w:szCs w:val="22"/>
              </w:rPr>
              <w:t>piperine</w:t>
            </w:r>
            <w:proofErr w:type="spellEnd"/>
            <w:r w:rsidR="007560F8" w:rsidRPr="00F87D10">
              <w:rPr>
                <w:rFonts w:ascii="Arial" w:eastAsia="Calibri" w:hAnsi="Arial" w:cs="Arial"/>
                <w:szCs w:val="22"/>
              </w:rPr>
              <w:t xml:space="preserve"> treatment, with the combination group demonstrating near-normal alveolar structure, minimal congestion, and reduced fibrotic changes.</w:t>
            </w:r>
          </w:p>
          <w:p w14:paraId="02E655E1" w14:textId="70DC6631" w:rsidR="00505F06" w:rsidRPr="00F87D10" w:rsidRDefault="00BA1B01" w:rsidP="00441B6F">
            <w:pPr>
              <w:pStyle w:val="Body"/>
              <w:spacing w:after="0"/>
              <w:rPr>
                <w:rFonts w:ascii="Arial" w:eastAsia="Calibri" w:hAnsi="Arial" w:cs="Arial"/>
                <w:szCs w:val="22"/>
              </w:rPr>
            </w:pPr>
            <w:r w:rsidRPr="00F87D10">
              <w:rPr>
                <w:rFonts w:ascii="Arial" w:eastAsia="Calibri" w:hAnsi="Arial" w:cs="Arial"/>
                <w:b/>
                <w:bCs/>
                <w:szCs w:val="22"/>
              </w:rPr>
              <w:t>Conclusion:</w:t>
            </w:r>
            <w:r w:rsidRPr="00F87D10">
              <w:rPr>
                <w:rFonts w:ascii="Arial" w:eastAsia="Calibri" w:hAnsi="Arial" w:cs="Arial"/>
                <w:szCs w:val="22"/>
              </w:rPr>
              <w:t xml:space="preserve"> </w:t>
            </w:r>
            <w:proofErr w:type="spellStart"/>
            <w:r w:rsidR="007560F8" w:rsidRPr="00F87D10">
              <w:rPr>
                <w:rFonts w:ascii="Arial" w:eastAsia="Calibri" w:hAnsi="Arial" w:cs="Arial"/>
                <w:szCs w:val="22"/>
              </w:rPr>
              <w:t>Galangin</w:t>
            </w:r>
            <w:proofErr w:type="spellEnd"/>
            <w:r w:rsidR="007560F8" w:rsidRPr="00F87D10">
              <w:rPr>
                <w:rFonts w:ascii="Arial" w:eastAsia="Calibri" w:hAnsi="Arial" w:cs="Arial"/>
                <w:szCs w:val="22"/>
              </w:rPr>
              <w:t xml:space="preserve"> and </w:t>
            </w:r>
            <w:proofErr w:type="spellStart"/>
            <w:r w:rsidR="007560F8" w:rsidRPr="00F87D10">
              <w:rPr>
                <w:rFonts w:ascii="Arial" w:eastAsia="Calibri" w:hAnsi="Arial" w:cs="Arial"/>
                <w:szCs w:val="22"/>
              </w:rPr>
              <w:t>piperine</w:t>
            </w:r>
            <w:proofErr w:type="spellEnd"/>
            <w:r w:rsidR="007560F8" w:rsidRPr="00F87D10">
              <w:rPr>
                <w:rFonts w:ascii="Arial" w:eastAsia="Calibri" w:hAnsi="Arial" w:cs="Arial"/>
                <w:szCs w:val="22"/>
              </w:rPr>
              <w:t xml:space="preserve"> protect against bleomycin-induced pulmonary fibrosis by attenuating oxidative and nitrosative stress, reducing MPO-mediated inflammation, and preserving normal lung histoarchitecture. Their combination produced synergistic antioxidant and histological protection, underscoring their potential as natural, multi-targeted therapeutic agents against pulmonary fibrosis.</w:t>
            </w:r>
          </w:p>
        </w:tc>
      </w:tr>
    </w:tbl>
    <w:p w14:paraId="1F451673" w14:textId="77777777" w:rsidR="00636EB2" w:rsidRPr="00F87D10" w:rsidRDefault="00636EB2" w:rsidP="00441B6F">
      <w:pPr>
        <w:pStyle w:val="Body"/>
        <w:spacing w:after="0"/>
        <w:rPr>
          <w:rFonts w:ascii="Arial" w:hAnsi="Arial" w:cs="Arial"/>
          <w:i/>
        </w:rPr>
      </w:pPr>
    </w:p>
    <w:p w14:paraId="387AEC21" w14:textId="6F5A4439" w:rsidR="00A24E7E" w:rsidRPr="00F87D10" w:rsidRDefault="00A24E7E" w:rsidP="00441B6F">
      <w:pPr>
        <w:pStyle w:val="Body"/>
        <w:spacing w:after="0"/>
        <w:rPr>
          <w:rFonts w:ascii="Arial" w:hAnsi="Arial" w:cs="Arial"/>
          <w:i/>
        </w:rPr>
      </w:pPr>
      <w:r w:rsidRPr="00F87D10">
        <w:rPr>
          <w:rFonts w:ascii="Arial" w:hAnsi="Arial" w:cs="Arial"/>
          <w:i/>
        </w:rPr>
        <w:t xml:space="preserve">Keywords: </w:t>
      </w:r>
      <w:r w:rsidR="0048140F" w:rsidRPr="00F87D10">
        <w:rPr>
          <w:rFonts w:ascii="Arial" w:hAnsi="Arial" w:cs="Arial"/>
          <w:i/>
        </w:rPr>
        <w:t xml:space="preserve">Oxidative stress, </w:t>
      </w:r>
      <w:r w:rsidR="003A1174" w:rsidRPr="00F87D10">
        <w:rPr>
          <w:rFonts w:ascii="Arial" w:hAnsi="Arial" w:cs="Arial"/>
          <w:i/>
        </w:rPr>
        <w:t>H</w:t>
      </w:r>
      <w:r w:rsidR="0048140F" w:rsidRPr="00F87D10">
        <w:rPr>
          <w:rFonts w:ascii="Arial" w:hAnsi="Arial" w:cs="Arial"/>
          <w:i/>
        </w:rPr>
        <w:t xml:space="preserve">istology, </w:t>
      </w:r>
      <w:proofErr w:type="spellStart"/>
      <w:r w:rsidR="003A1174" w:rsidRPr="00F87D10">
        <w:rPr>
          <w:rFonts w:ascii="Arial" w:hAnsi="Arial" w:cs="Arial"/>
          <w:i/>
        </w:rPr>
        <w:t>G</w:t>
      </w:r>
      <w:r w:rsidR="0048140F" w:rsidRPr="00F87D10">
        <w:rPr>
          <w:rFonts w:ascii="Arial" w:hAnsi="Arial" w:cs="Arial"/>
          <w:i/>
        </w:rPr>
        <w:t>alangin</w:t>
      </w:r>
      <w:proofErr w:type="spellEnd"/>
      <w:r w:rsidR="0048140F" w:rsidRPr="00F87D10">
        <w:rPr>
          <w:rFonts w:ascii="Arial" w:hAnsi="Arial" w:cs="Arial"/>
          <w:i/>
        </w:rPr>
        <w:t xml:space="preserve">, </w:t>
      </w:r>
      <w:proofErr w:type="spellStart"/>
      <w:r w:rsidR="003A1174" w:rsidRPr="00F87D10">
        <w:rPr>
          <w:rFonts w:ascii="Arial" w:hAnsi="Arial" w:cs="Arial"/>
          <w:i/>
        </w:rPr>
        <w:t>P</w:t>
      </w:r>
      <w:r w:rsidR="0048140F" w:rsidRPr="00F87D10">
        <w:rPr>
          <w:rFonts w:ascii="Arial" w:hAnsi="Arial" w:cs="Arial"/>
          <w:i/>
        </w:rPr>
        <w:t>iperine</w:t>
      </w:r>
      <w:proofErr w:type="spellEnd"/>
      <w:r w:rsidR="0048140F" w:rsidRPr="00F87D10">
        <w:rPr>
          <w:rFonts w:ascii="Arial" w:hAnsi="Arial" w:cs="Arial"/>
          <w:i/>
        </w:rPr>
        <w:t xml:space="preserve">, </w:t>
      </w:r>
      <w:r w:rsidR="003A1174" w:rsidRPr="00F87D10">
        <w:rPr>
          <w:rFonts w:ascii="Arial" w:hAnsi="Arial" w:cs="Arial"/>
          <w:i/>
        </w:rPr>
        <w:t>B</w:t>
      </w:r>
      <w:r w:rsidR="0048140F" w:rsidRPr="00F87D10">
        <w:rPr>
          <w:rFonts w:ascii="Arial" w:hAnsi="Arial" w:cs="Arial"/>
          <w:i/>
        </w:rPr>
        <w:t>leomycin</w:t>
      </w:r>
    </w:p>
    <w:p w14:paraId="4CDB505A" w14:textId="14A6590D" w:rsidR="006163E5" w:rsidRPr="00F87D10" w:rsidRDefault="006163E5" w:rsidP="00441B6F">
      <w:pPr>
        <w:pStyle w:val="Body"/>
        <w:spacing w:after="0"/>
        <w:rPr>
          <w:rFonts w:ascii="Arial" w:hAnsi="Arial" w:cs="Arial"/>
          <w:i/>
        </w:rPr>
      </w:pPr>
    </w:p>
    <w:p w14:paraId="4CB2FEB8" w14:textId="09E2BF20" w:rsidR="006163E5" w:rsidRPr="00F87D10" w:rsidRDefault="006163E5" w:rsidP="00441B6F">
      <w:pPr>
        <w:pStyle w:val="Body"/>
        <w:spacing w:after="0"/>
        <w:rPr>
          <w:rFonts w:ascii="Arial" w:hAnsi="Arial" w:cs="Arial"/>
          <w:i/>
        </w:rPr>
      </w:pPr>
    </w:p>
    <w:p w14:paraId="5ACADFC7" w14:textId="77777777" w:rsidR="006163E5" w:rsidRPr="00F87D10" w:rsidRDefault="006163E5" w:rsidP="00441B6F">
      <w:pPr>
        <w:pStyle w:val="Body"/>
        <w:spacing w:after="0"/>
        <w:rPr>
          <w:rFonts w:ascii="Arial" w:hAnsi="Arial" w:cs="Arial"/>
          <w:i/>
        </w:rPr>
      </w:pPr>
    </w:p>
    <w:p w14:paraId="72956A95" w14:textId="77777777" w:rsidR="0024282C" w:rsidRPr="00F87D10" w:rsidRDefault="0024282C" w:rsidP="00441B6F">
      <w:pPr>
        <w:pStyle w:val="Body"/>
        <w:spacing w:after="0"/>
        <w:rPr>
          <w:rFonts w:ascii="Arial" w:hAnsi="Arial" w:cs="Arial"/>
          <w:i/>
          <w:sz w:val="18"/>
        </w:rPr>
      </w:pPr>
    </w:p>
    <w:p w14:paraId="6926C146" w14:textId="77777777" w:rsidR="00505F06" w:rsidRPr="00F87D10" w:rsidRDefault="00505F06" w:rsidP="00441B6F">
      <w:pPr>
        <w:pStyle w:val="Body"/>
        <w:spacing w:after="0"/>
        <w:rPr>
          <w:rFonts w:ascii="Arial" w:hAnsi="Arial" w:cs="Arial"/>
          <w:i/>
        </w:rPr>
      </w:pPr>
    </w:p>
    <w:p w14:paraId="137F0BBA" w14:textId="23704363" w:rsidR="00B01FCD" w:rsidRPr="00F87D10" w:rsidRDefault="00902823" w:rsidP="001C736C">
      <w:pPr>
        <w:pStyle w:val="AbstHead"/>
        <w:spacing w:after="0"/>
        <w:jc w:val="both"/>
        <w:rPr>
          <w:rFonts w:ascii="Arial" w:hAnsi="Arial" w:cs="Arial"/>
        </w:rPr>
      </w:pPr>
      <w:r w:rsidRPr="00F87D10">
        <w:rPr>
          <w:rFonts w:ascii="Arial" w:hAnsi="Arial" w:cs="Arial"/>
        </w:rPr>
        <w:lastRenderedPageBreak/>
        <w:t xml:space="preserve">1. </w:t>
      </w:r>
      <w:r w:rsidR="00B01FCD" w:rsidRPr="00F87D10">
        <w:rPr>
          <w:rFonts w:ascii="Arial" w:hAnsi="Arial" w:cs="Arial"/>
        </w:rPr>
        <w:t>INTRODUCTION</w:t>
      </w:r>
      <w:r w:rsidR="007F7B32" w:rsidRPr="00F87D10">
        <w:rPr>
          <w:rFonts w:ascii="Arial" w:hAnsi="Arial" w:cs="Arial"/>
        </w:rPr>
        <w:t xml:space="preserve"> </w:t>
      </w:r>
    </w:p>
    <w:p w14:paraId="2BD473AF" w14:textId="77777777" w:rsidR="001C736C" w:rsidRPr="00F87D10" w:rsidRDefault="001C736C" w:rsidP="001C736C">
      <w:pPr>
        <w:jc w:val="both"/>
        <w:rPr>
          <w:rFonts w:ascii="Arial" w:hAnsi="Arial" w:cs="Arial"/>
        </w:rPr>
      </w:pPr>
      <w:r w:rsidRPr="00F87D10">
        <w:rPr>
          <w:rFonts w:ascii="Arial" w:hAnsi="Arial" w:cs="Arial"/>
        </w:rPr>
        <w:t xml:space="preserve">Pulmonary fibrosis is a chronic, progressive interstitial lung disease </w:t>
      </w:r>
      <w:proofErr w:type="spellStart"/>
      <w:r w:rsidRPr="00F87D10">
        <w:rPr>
          <w:rFonts w:ascii="Arial" w:hAnsi="Arial" w:cs="Arial"/>
        </w:rPr>
        <w:t>characterised</w:t>
      </w:r>
      <w:proofErr w:type="spellEnd"/>
      <w:r w:rsidRPr="00F87D10">
        <w:rPr>
          <w:rFonts w:ascii="Arial" w:hAnsi="Arial" w:cs="Arial"/>
        </w:rPr>
        <w:t xml:space="preserve"> by extensive </w:t>
      </w:r>
      <w:proofErr w:type="spellStart"/>
      <w:r w:rsidRPr="00F87D10">
        <w:rPr>
          <w:rFonts w:ascii="Arial" w:hAnsi="Arial" w:cs="Arial"/>
        </w:rPr>
        <w:t>remodelling</w:t>
      </w:r>
      <w:proofErr w:type="spellEnd"/>
      <w:r w:rsidRPr="00F87D10">
        <w:rPr>
          <w:rFonts w:ascii="Arial" w:hAnsi="Arial" w:cs="Arial"/>
        </w:rPr>
        <w:t xml:space="preserve"> of the lung parenchyma, excessive deposition of extracellular matrix (ECM), and gradual loss of pulmonary function. Among various experimental models, bleomycin (BLM)-induced pulmonary fibrosis in mice is the most widely accepted and reproducible system, as it closely resembles the oxidative and histopathological features of human idiopathic pulmonary fibrosis (IPF) (Krishnan et al.,2025; Williamson et al., 2015).</w:t>
      </w:r>
    </w:p>
    <w:p w14:paraId="1066CD27" w14:textId="77777777" w:rsidR="001C736C" w:rsidRPr="00F87D10" w:rsidRDefault="001C736C" w:rsidP="001C736C">
      <w:pPr>
        <w:jc w:val="both"/>
        <w:rPr>
          <w:rFonts w:ascii="Arial" w:hAnsi="Arial" w:cs="Arial"/>
        </w:rPr>
      </w:pPr>
      <w:r w:rsidRPr="00F87D10">
        <w:rPr>
          <w:rFonts w:ascii="Arial" w:hAnsi="Arial" w:cs="Arial"/>
        </w:rPr>
        <w:t>The pathogenesis of BLM-induced fibrosis involves a complex interaction between oxidative stress and inflammatory injury. Following administration, bleomycin undergoes redox cycling and generates reactive oxygen species (ROS) such as superoxide anions, hydroxyl radicals, and hydrogen peroxide (</w:t>
      </w:r>
      <w:proofErr w:type="spellStart"/>
      <w:r w:rsidRPr="00F87D10">
        <w:rPr>
          <w:rFonts w:ascii="Arial" w:hAnsi="Arial" w:cs="Arial"/>
        </w:rPr>
        <w:t>Allawzi</w:t>
      </w:r>
      <w:proofErr w:type="spellEnd"/>
      <w:r w:rsidRPr="00F87D10">
        <w:rPr>
          <w:rFonts w:ascii="Arial" w:hAnsi="Arial" w:cs="Arial"/>
        </w:rPr>
        <w:t xml:space="preserve"> et al., 2019). These free radicals cause DNA strand breaks, lipid peroxidation, and mitochondrial dysfunction, leading to alveolar epithelial injury and activation of fibroblasts and myofibroblasts (Wang et al., 2021). The imbalance between oxidant generation and antioxidant </w:t>
      </w:r>
      <w:proofErr w:type="spellStart"/>
      <w:r w:rsidRPr="00F87D10">
        <w:rPr>
          <w:rFonts w:ascii="Arial" w:hAnsi="Arial" w:cs="Arial"/>
        </w:rPr>
        <w:t>defence</w:t>
      </w:r>
      <w:proofErr w:type="spellEnd"/>
      <w:r w:rsidRPr="00F87D10">
        <w:rPr>
          <w:rFonts w:ascii="Arial" w:hAnsi="Arial" w:cs="Arial"/>
        </w:rPr>
        <w:t xml:space="preserve"> marked by depletion of superoxide dismutase (SOD), catalase (CAT), and reduced glutathione (GSH) plays a pivotal role in disease progression (</w:t>
      </w:r>
      <w:proofErr w:type="spellStart"/>
      <w:r w:rsidRPr="00F87D10">
        <w:rPr>
          <w:rFonts w:ascii="Arial" w:hAnsi="Arial" w:cs="Arial"/>
        </w:rPr>
        <w:t>Kıran</w:t>
      </w:r>
      <w:proofErr w:type="spellEnd"/>
      <w:r w:rsidRPr="00F87D10">
        <w:rPr>
          <w:rFonts w:ascii="Arial" w:hAnsi="Arial" w:cs="Arial"/>
        </w:rPr>
        <w:t xml:space="preserve"> et al., 2023). Elevated malondialdehyde (MDA) and nitrite levels further reflect lipid peroxidation and nitrosative stress, perpetuating cellular and tissue injury (Hanuman et al., 2024).</w:t>
      </w:r>
    </w:p>
    <w:p w14:paraId="52D91D12" w14:textId="77777777" w:rsidR="001C736C" w:rsidRPr="00F87D10" w:rsidRDefault="001C736C" w:rsidP="001C736C">
      <w:pPr>
        <w:jc w:val="both"/>
        <w:rPr>
          <w:rFonts w:ascii="Arial" w:hAnsi="Arial" w:cs="Arial"/>
        </w:rPr>
      </w:pPr>
      <w:r w:rsidRPr="00F87D10">
        <w:rPr>
          <w:rFonts w:ascii="Arial" w:hAnsi="Arial" w:cs="Arial"/>
        </w:rPr>
        <w:t xml:space="preserve">Oxidative stress arises when the production of ROS exceeds the capacity of the body’s antioxidant </w:t>
      </w:r>
      <w:proofErr w:type="spellStart"/>
      <w:r w:rsidRPr="00F87D10">
        <w:rPr>
          <w:rFonts w:ascii="Arial" w:hAnsi="Arial" w:cs="Arial"/>
        </w:rPr>
        <w:t>defence</w:t>
      </w:r>
      <w:proofErr w:type="spellEnd"/>
      <w:r w:rsidRPr="00F87D10">
        <w:rPr>
          <w:rFonts w:ascii="Arial" w:hAnsi="Arial" w:cs="Arial"/>
        </w:rPr>
        <w:t xml:space="preserve"> system to </w:t>
      </w:r>
      <w:proofErr w:type="spellStart"/>
      <w:r w:rsidRPr="00F87D10">
        <w:rPr>
          <w:rFonts w:ascii="Arial" w:hAnsi="Arial" w:cs="Arial"/>
        </w:rPr>
        <w:t>neutralise</w:t>
      </w:r>
      <w:proofErr w:type="spellEnd"/>
      <w:r w:rsidRPr="00F87D10">
        <w:rPr>
          <w:rFonts w:ascii="Arial" w:hAnsi="Arial" w:cs="Arial"/>
        </w:rPr>
        <w:t xml:space="preserve"> and eliminate them. Reactive oxygen species, including free radicals and peroxides, are naturally generated during cellular metabolism, immune responses, and energy production (</w:t>
      </w:r>
      <w:proofErr w:type="spellStart"/>
      <w:r w:rsidRPr="00F87D10">
        <w:rPr>
          <w:rFonts w:ascii="Arial" w:hAnsi="Arial" w:cs="Arial"/>
        </w:rPr>
        <w:t>Ozougwu</w:t>
      </w:r>
      <w:proofErr w:type="spellEnd"/>
      <w:r w:rsidRPr="00F87D10">
        <w:rPr>
          <w:rFonts w:ascii="Arial" w:hAnsi="Arial" w:cs="Arial"/>
        </w:rPr>
        <w:t xml:space="preserve"> et al., 2016). When antioxidant mechanisms are overwhelmed, excessive ROS can attack vital biomolecules such as lipids, proteins, and deoxyribonucleic acid (DNA), resulting in cellular dysfunction and contributing to the pathogenesis of numerous diseases, including pulmonary fibrosis (Krishnan et al.,2025).</w:t>
      </w:r>
    </w:p>
    <w:p w14:paraId="6E3D1573" w14:textId="77777777" w:rsidR="001C736C" w:rsidRPr="00F87D10" w:rsidRDefault="001C736C" w:rsidP="001C736C">
      <w:pPr>
        <w:jc w:val="both"/>
        <w:rPr>
          <w:rFonts w:ascii="Arial" w:hAnsi="Arial" w:cs="Arial"/>
        </w:rPr>
      </w:pPr>
      <w:proofErr w:type="spellStart"/>
      <w:r w:rsidRPr="00F87D10">
        <w:rPr>
          <w:rFonts w:ascii="Arial" w:hAnsi="Arial" w:cs="Arial"/>
        </w:rPr>
        <w:t>Histopathologically</w:t>
      </w:r>
      <w:proofErr w:type="spellEnd"/>
      <w:r w:rsidRPr="00F87D10">
        <w:rPr>
          <w:rFonts w:ascii="Arial" w:hAnsi="Arial" w:cs="Arial"/>
        </w:rPr>
        <w:t xml:space="preserve">, BLM-induced lung injury is </w:t>
      </w:r>
      <w:proofErr w:type="spellStart"/>
      <w:r w:rsidRPr="00F87D10">
        <w:rPr>
          <w:rFonts w:ascii="Arial" w:hAnsi="Arial" w:cs="Arial"/>
        </w:rPr>
        <w:t>characterised</w:t>
      </w:r>
      <w:proofErr w:type="spellEnd"/>
      <w:r w:rsidRPr="00F87D10">
        <w:rPr>
          <w:rFonts w:ascii="Arial" w:hAnsi="Arial" w:cs="Arial"/>
        </w:rPr>
        <w:t xml:space="preserve"> by alveolar wall thickening, congestion, interstitial oedema, and infiltration of mononuclear cells, followed by collagen deposition and fibroblast proliferation (</w:t>
      </w:r>
      <w:proofErr w:type="spellStart"/>
      <w:r w:rsidRPr="00F87D10">
        <w:rPr>
          <w:rFonts w:ascii="Arial" w:hAnsi="Arial" w:cs="Arial"/>
        </w:rPr>
        <w:t>Pinart</w:t>
      </w:r>
      <w:proofErr w:type="spellEnd"/>
      <w:r w:rsidRPr="00F87D10">
        <w:rPr>
          <w:rFonts w:ascii="Arial" w:hAnsi="Arial" w:cs="Arial"/>
        </w:rPr>
        <w:t xml:space="preserve"> et al., 2009). The distortion of alveolar architecture and accumulation of fibrous tissue in the interstitium are hallmarks of advanced fibrosis (Confalonieri et al., 2022).</w:t>
      </w:r>
    </w:p>
    <w:p w14:paraId="386CDBC8" w14:textId="77777777" w:rsidR="001C736C" w:rsidRPr="00F87D10" w:rsidRDefault="001C736C" w:rsidP="001C736C">
      <w:pPr>
        <w:jc w:val="both"/>
        <w:rPr>
          <w:rFonts w:ascii="Arial" w:hAnsi="Arial" w:cs="Arial"/>
        </w:rPr>
      </w:pPr>
      <w:r w:rsidRPr="00F87D10">
        <w:rPr>
          <w:rFonts w:ascii="Arial" w:hAnsi="Arial" w:cs="Arial"/>
        </w:rPr>
        <w:t xml:space="preserve">Given that oxidative stress and subsequent histopathological </w:t>
      </w:r>
      <w:proofErr w:type="spellStart"/>
      <w:r w:rsidRPr="00F87D10">
        <w:rPr>
          <w:rFonts w:ascii="Arial" w:hAnsi="Arial" w:cs="Arial"/>
        </w:rPr>
        <w:t>remodelling</w:t>
      </w:r>
      <w:proofErr w:type="spellEnd"/>
      <w:r w:rsidRPr="00F87D10">
        <w:rPr>
          <w:rFonts w:ascii="Arial" w:hAnsi="Arial" w:cs="Arial"/>
        </w:rPr>
        <w:t xml:space="preserve"> are central to BLM-induced pulmonary fibrosis, simultaneous assessment of biochemical antioxidant markers (SOD, CAT, GSH, MDA, and nitrite) and microscopic tissue alterations offers a comprehensive understanding of the disease process. Therefore, the present study was designed to evaluate the protective effects of </w:t>
      </w: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against oxidative stress and histological alterations in bleomycin-induced pulmonary fibrosis in C57BL/6 mice.</w:t>
      </w:r>
    </w:p>
    <w:p w14:paraId="0BF1A0F6" w14:textId="77777777" w:rsidR="00790ADA" w:rsidRPr="00F87D10" w:rsidRDefault="00790ADA" w:rsidP="00441B6F">
      <w:pPr>
        <w:pStyle w:val="Body"/>
        <w:spacing w:after="0"/>
        <w:rPr>
          <w:rFonts w:ascii="Arial" w:hAnsi="Arial" w:cs="Arial"/>
        </w:rPr>
      </w:pPr>
    </w:p>
    <w:p w14:paraId="7B036489" w14:textId="11D5C400" w:rsidR="00790ADA" w:rsidRPr="00F87D10" w:rsidRDefault="00902823" w:rsidP="00441B6F">
      <w:pPr>
        <w:pStyle w:val="AbstHead"/>
        <w:spacing w:after="0"/>
        <w:jc w:val="both"/>
        <w:rPr>
          <w:rFonts w:ascii="Arial" w:hAnsi="Arial" w:cs="Arial"/>
        </w:rPr>
      </w:pPr>
      <w:r w:rsidRPr="00F87D10">
        <w:rPr>
          <w:rFonts w:ascii="Arial" w:hAnsi="Arial" w:cs="Arial"/>
        </w:rPr>
        <w:t>2. material and method</w:t>
      </w:r>
      <w:r w:rsidR="00000F8F" w:rsidRPr="00F87D10">
        <w:rPr>
          <w:rFonts w:ascii="Arial" w:hAnsi="Arial" w:cs="Arial"/>
        </w:rPr>
        <w:t xml:space="preserve">s </w:t>
      </w:r>
    </w:p>
    <w:p w14:paraId="3D1A65A7" w14:textId="77777777" w:rsidR="001C736C" w:rsidRPr="00F87D10" w:rsidRDefault="001C736C" w:rsidP="001C736C">
      <w:pPr>
        <w:jc w:val="both"/>
        <w:rPr>
          <w:rFonts w:ascii="Arial" w:hAnsi="Arial" w:cs="Arial"/>
          <w:b/>
          <w:bCs/>
          <w:sz w:val="22"/>
          <w:szCs w:val="22"/>
        </w:rPr>
      </w:pPr>
      <w:r w:rsidRPr="00F87D10">
        <w:rPr>
          <w:rFonts w:ascii="Arial" w:hAnsi="Arial" w:cs="Arial"/>
          <w:b/>
          <w:bCs/>
          <w:sz w:val="22"/>
          <w:szCs w:val="22"/>
        </w:rPr>
        <w:t>2.1 Chemicals and Reagents</w:t>
      </w:r>
    </w:p>
    <w:p w14:paraId="69FC87EB" w14:textId="5A7811D3" w:rsidR="001C736C" w:rsidRPr="00F87D10" w:rsidRDefault="001C736C" w:rsidP="001C736C">
      <w:pPr>
        <w:jc w:val="both"/>
        <w:rPr>
          <w:rFonts w:ascii="Arial" w:hAnsi="Arial" w:cs="Arial"/>
        </w:rPr>
      </w:pP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were obtained from Tokyo Chemical Industry (TCI), Japan, and bleomycin from Cipla Ltd., India. All other chemicals and reagents for oxidative analysis were of analytical </w:t>
      </w:r>
      <w:proofErr w:type="gramStart"/>
      <w:r w:rsidRPr="00F87D10">
        <w:rPr>
          <w:rFonts w:ascii="Arial" w:hAnsi="Arial" w:cs="Arial"/>
        </w:rPr>
        <w:t>grade  procured</w:t>
      </w:r>
      <w:proofErr w:type="gramEnd"/>
      <w:r w:rsidRPr="00F87D10">
        <w:rPr>
          <w:rFonts w:ascii="Arial" w:hAnsi="Arial" w:cs="Arial"/>
        </w:rPr>
        <w:t xml:space="preserve"> from </w:t>
      </w:r>
      <w:proofErr w:type="spellStart"/>
      <w:r w:rsidRPr="00F87D10">
        <w:rPr>
          <w:rFonts w:ascii="Arial" w:hAnsi="Arial" w:cs="Arial"/>
        </w:rPr>
        <w:t>HiMEDIA</w:t>
      </w:r>
      <w:proofErr w:type="spellEnd"/>
      <w:r w:rsidRPr="00F87D10">
        <w:rPr>
          <w:rFonts w:ascii="Arial" w:hAnsi="Arial" w:cs="Arial"/>
        </w:rPr>
        <w:t xml:space="preserve"> Laboratories (India), Thermo Fisher Scientific (India), Sigma Aldrich (USA), </w:t>
      </w:r>
    </w:p>
    <w:p w14:paraId="17F744C0" w14:textId="77777777" w:rsidR="001C736C" w:rsidRPr="00F87D10" w:rsidRDefault="001C736C" w:rsidP="001C736C">
      <w:pPr>
        <w:jc w:val="both"/>
        <w:rPr>
          <w:rFonts w:ascii="Arial" w:hAnsi="Arial" w:cs="Arial"/>
          <w:b/>
          <w:bCs/>
          <w:sz w:val="22"/>
          <w:szCs w:val="22"/>
        </w:rPr>
      </w:pPr>
      <w:r w:rsidRPr="00F87D10">
        <w:rPr>
          <w:rFonts w:ascii="Arial" w:hAnsi="Arial" w:cs="Arial"/>
          <w:b/>
          <w:bCs/>
          <w:sz w:val="22"/>
          <w:szCs w:val="22"/>
        </w:rPr>
        <w:t>2.2 Animals</w:t>
      </w:r>
    </w:p>
    <w:p w14:paraId="04152F54" w14:textId="77777777" w:rsidR="001C736C" w:rsidRPr="00F87D10" w:rsidRDefault="001C736C" w:rsidP="001C736C">
      <w:pPr>
        <w:jc w:val="both"/>
        <w:rPr>
          <w:rFonts w:ascii="Arial" w:hAnsi="Arial" w:cs="Arial"/>
        </w:rPr>
      </w:pPr>
      <w:r w:rsidRPr="00F87D10">
        <w:rPr>
          <w:rFonts w:ascii="Arial" w:hAnsi="Arial" w:cs="Arial"/>
        </w:rPr>
        <w:t>A total of 50 healthy, 6-7 week old male C57BL/6 mice, with an average body weight of 28 g, were procured from VYAS Labs, Hyderabad (CPCSEA: 2085/PO/</w:t>
      </w:r>
      <w:proofErr w:type="spellStart"/>
      <w:r w:rsidRPr="00F87D10">
        <w:rPr>
          <w:rFonts w:ascii="Arial" w:hAnsi="Arial" w:cs="Arial"/>
        </w:rPr>
        <w:t>Rc.</w:t>
      </w:r>
      <w:proofErr w:type="gramStart"/>
      <w:r w:rsidRPr="00F87D10">
        <w:rPr>
          <w:rFonts w:ascii="Arial" w:hAnsi="Arial" w:cs="Arial"/>
        </w:rPr>
        <w:t>Bi.Bt</w:t>
      </w:r>
      <w:proofErr w:type="spellEnd"/>
      <w:proofErr w:type="gramEnd"/>
      <w:r w:rsidRPr="00F87D10">
        <w:rPr>
          <w:rFonts w:ascii="Arial" w:hAnsi="Arial" w:cs="Arial"/>
        </w:rPr>
        <w:t xml:space="preserve">/S/19/CPCSEA). The animals were housed in polypropylene cages under controlled environmental conditions with a temperature of 22 ± 2°C and a 12-hour light/dark cycle. Standard pellet feed (M/s. VRK Nutritional solutions, Hyderabad) and clean drinking water were provided ad libitum. The mice were acclimatized for 15 days prior to the commencement of the experiment. All experimental protocols were approved by the Institutional Animal Ethics Committee (IAEC), </w:t>
      </w:r>
      <w:r w:rsidRPr="00F87D10">
        <w:rPr>
          <w:rFonts w:ascii="Arial" w:hAnsi="Arial" w:cs="Arial"/>
        </w:rPr>
        <w:lastRenderedPageBreak/>
        <w:t>College of Veterinary Science, Hyderabad (Approval No. 40/24/</w:t>
      </w:r>
      <w:proofErr w:type="spellStart"/>
      <w:r w:rsidRPr="00F87D10">
        <w:rPr>
          <w:rFonts w:ascii="Arial" w:hAnsi="Arial" w:cs="Arial"/>
        </w:rPr>
        <w:t>C.</w:t>
      </w:r>
      <w:proofErr w:type="gramStart"/>
      <w:r w:rsidRPr="00F87D10">
        <w:rPr>
          <w:rFonts w:ascii="Arial" w:hAnsi="Arial" w:cs="Arial"/>
        </w:rPr>
        <w:t>V.Sc</w:t>
      </w:r>
      <w:proofErr w:type="spellEnd"/>
      <w:proofErr w:type="gramEnd"/>
      <w:r w:rsidRPr="00F87D10">
        <w:rPr>
          <w:rFonts w:ascii="Arial" w:hAnsi="Arial" w:cs="Arial"/>
        </w:rPr>
        <w:t xml:space="preserve">, </w:t>
      </w:r>
      <w:proofErr w:type="spellStart"/>
      <w:r w:rsidRPr="00F87D10">
        <w:rPr>
          <w:rFonts w:ascii="Arial" w:hAnsi="Arial" w:cs="Arial"/>
        </w:rPr>
        <w:t>Hyd</w:t>
      </w:r>
      <w:proofErr w:type="spellEnd"/>
      <w:r w:rsidRPr="00F87D10">
        <w:rPr>
          <w:rFonts w:ascii="Arial" w:hAnsi="Arial" w:cs="Arial"/>
        </w:rPr>
        <w:t>, IAEC.MICE/ dated 12.06.2021) and were conducted in accordance with the guidelines.</w:t>
      </w:r>
    </w:p>
    <w:p w14:paraId="3BC5581F" w14:textId="77777777" w:rsidR="001C736C" w:rsidRPr="00F87D10" w:rsidRDefault="001C736C" w:rsidP="001C736C">
      <w:pPr>
        <w:jc w:val="both"/>
        <w:rPr>
          <w:rFonts w:ascii="Arial" w:hAnsi="Arial" w:cs="Arial"/>
          <w:b/>
          <w:bCs/>
          <w:sz w:val="22"/>
          <w:szCs w:val="22"/>
        </w:rPr>
      </w:pPr>
      <w:r w:rsidRPr="00F87D10">
        <w:rPr>
          <w:rFonts w:ascii="Arial" w:hAnsi="Arial" w:cs="Arial"/>
          <w:b/>
          <w:bCs/>
          <w:sz w:val="22"/>
          <w:szCs w:val="22"/>
        </w:rPr>
        <w:t>2.3 Experimental Design</w:t>
      </w:r>
    </w:p>
    <w:p w14:paraId="05F41700" w14:textId="35BE2DFD" w:rsidR="0031432B" w:rsidRPr="00F87D10" w:rsidRDefault="00FA6C8E" w:rsidP="001C736C">
      <w:pPr>
        <w:jc w:val="both"/>
        <w:rPr>
          <w:rFonts w:ascii="Arial" w:hAnsi="Arial" w:cs="Arial"/>
          <w:lang w:val="en-IN"/>
        </w:rPr>
      </w:pPr>
      <w:r w:rsidRPr="00F87D10">
        <w:rPr>
          <w:rFonts w:ascii="Arial" w:hAnsi="Arial" w:cs="Arial"/>
          <w:lang w:val="en-IN"/>
        </w:rPr>
        <w:t xml:space="preserve">The dosing regimen was selected based on previously established experimental models. Bleomycin (1.5 U/kg, oropharyngeal) is a widely validated dose for reliably inducing pulmonary fibrosis in C57BL/6 mice while maintaining acceptable survival. The doses of </w:t>
      </w:r>
      <w:proofErr w:type="spellStart"/>
      <w:r w:rsidRPr="00F87D10">
        <w:rPr>
          <w:rFonts w:ascii="Arial" w:hAnsi="Arial" w:cs="Arial"/>
          <w:lang w:val="en-IN"/>
        </w:rPr>
        <w:t>galangin</w:t>
      </w:r>
      <w:proofErr w:type="spellEnd"/>
      <w:r w:rsidRPr="00F87D10">
        <w:rPr>
          <w:rFonts w:ascii="Arial" w:hAnsi="Arial" w:cs="Arial"/>
          <w:lang w:val="en-IN"/>
        </w:rPr>
        <w:t xml:space="preserve"> (5 mg/kg) and </w:t>
      </w:r>
      <w:proofErr w:type="spellStart"/>
      <w:r w:rsidRPr="00F87D10">
        <w:rPr>
          <w:rFonts w:ascii="Arial" w:hAnsi="Arial" w:cs="Arial"/>
          <w:lang w:val="en-IN"/>
        </w:rPr>
        <w:t>piperine</w:t>
      </w:r>
      <w:proofErr w:type="spellEnd"/>
      <w:r w:rsidRPr="00F87D10">
        <w:rPr>
          <w:rFonts w:ascii="Arial" w:hAnsi="Arial" w:cs="Arial"/>
          <w:lang w:val="en-IN"/>
        </w:rPr>
        <w:t xml:space="preserve"> (50 mg/kg) were chosen from prior studies reporting their antioxidant and anti-inflammatory efficacy, whereas the lower combination doses (2.5 mg/kg GA + 25 mg/kg PIP) were included to assess potential synergistic interactions at sub-therapeutic </w:t>
      </w:r>
      <w:proofErr w:type="spellStart"/>
      <w:proofErr w:type="gramStart"/>
      <w:r w:rsidRPr="00F87D10">
        <w:rPr>
          <w:rFonts w:ascii="Arial" w:hAnsi="Arial" w:cs="Arial"/>
          <w:lang w:val="en-IN"/>
        </w:rPr>
        <w:t>levels.Animal</w:t>
      </w:r>
      <w:proofErr w:type="spellEnd"/>
      <w:proofErr w:type="gramEnd"/>
      <w:r w:rsidRPr="00F87D10">
        <w:rPr>
          <w:rFonts w:ascii="Arial" w:hAnsi="Arial" w:cs="Arial"/>
          <w:lang w:val="en-IN"/>
        </w:rPr>
        <w:t xml:space="preserve"> welfare was monitored in accordance with IAEC and ARRIVE guidelines. Mice were observed daily for clinical signs, including changes in grooming, activity, respiration, and food and water intake. Body weights were recorded weekly to evaluate overall health status. No mortality occurred during the 21-day experimental period, and no animal exhibited severe distress requiring intervention. All procedures complied with ethical standards to ensure humane handling throughout the </w:t>
      </w:r>
      <w:proofErr w:type="gramStart"/>
      <w:r w:rsidRPr="00F87D10">
        <w:rPr>
          <w:rFonts w:ascii="Arial" w:hAnsi="Arial" w:cs="Arial"/>
          <w:lang w:val="en-IN"/>
        </w:rPr>
        <w:t>study.</w:t>
      </w:r>
      <w:r w:rsidR="0031432B" w:rsidRPr="00F87D10">
        <w:rPr>
          <w:rFonts w:ascii="Arial" w:hAnsi="Arial" w:cs="Arial"/>
        </w:rPr>
        <w:t>The</w:t>
      </w:r>
      <w:proofErr w:type="gramEnd"/>
      <w:r w:rsidR="0031432B" w:rsidRPr="00F87D10">
        <w:rPr>
          <w:rFonts w:ascii="Arial" w:hAnsi="Arial" w:cs="Arial"/>
        </w:rPr>
        <w:t xml:space="preserve"> total duration of the experiment was 21 days, during which all treatments were administered daily, and lung tissues were collected on day 21 for biochemical and histopathological analyses.</w:t>
      </w:r>
    </w:p>
    <w:p w14:paraId="6F7666D9" w14:textId="170E5074" w:rsidR="00DC5AF8" w:rsidRPr="00F87D10" w:rsidRDefault="00DC5AF8" w:rsidP="001C736C">
      <w:pPr>
        <w:jc w:val="both"/>
        <w:rPr>
          <w:rFonts w:ascii="Arial" w:hAnsi="Arial" w:cs="Arial"/>
          <w:b/>
          <w:bCs/>
          <w:sz w:val="22"/>
          <w:szCs w:val="22"/>
        </w:rPr>
      </w:pPr>
      <w:r w:rsidRPr="00F87D10">
        <w:rPr>
          <w:rFonts w:ascii="Arial" w:hAnsi="Arial" w:cs="Arial"/>
          <w:b/>
          <w:bCs/>
          <w:sz w:val="22"/>
          <w:szCs w:val="22"/>
        </w:rPr>
        <w:t>Chart 1: Experimental Design</w:t>
      </w:r>
    </w:p>
    <w:tbl>
      <w:tblPr>
        <w:tblW w:w="8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
        <w:gridCol w:w="5918"/>
        <w:gridCol w:w="1829"/>
      </w:tblGrid>
      <w:tr w:rsidR="001C736C" w:rsidRPr="00F87D10" w14:paraId="14C8BD15" w14:textId="77777777" w:rsidTr="000A1131">
        <w:trPr>
          <w:trHeight w:val="257"/>
        </w:trPr>
        <w:tc>
          <w:tcPr>
            <w:tcW w:w="1013" w:type="dxa"/>
          </w:tcPr>
          <w:p w14:paraId="1CD2765B" w14:textId="77777777" w:rsidR="001C736C" w:rsidRPr="00F87D10" w:rsidRDefault="001C736C" w:rsidP="000A1131">
            <w:pPr>
              <w:spacing w:line="360" w:lineRule="auto"/>
              <w:rPr>
                <w:rFonts w:ascii="Arial" w:hAnsi="Arial" w:cs="Arial"/>
                <w:b/>
              </w:rPr>
            </w:pPr>
            <w:r w:rsidRPr="00F87D10">
              <w:rPr>
                <w:rFonts w:ascii="Arial" w:hAnsi="Arial" w:cs="Arial"/>
                <w:b/>
              </w:rPr>
              <w:t>Group</w:t>
            </w:r>
          </w:p>
        </w:tc>
        <w:tc>
          <w:tcPr>
            <w:tcW w:w="5918" w:type="dxa"/>
          </w:tcPr>
          <w:p w14:paraId="51133369" w14:textId="77777777" w:rsidR="001C736C" w:rsidRPr="00F87D10" w:rsidRDefault="001C736C" w:rsidP="000A1131">
            <w:pPr>
              <w:spacing w:line="360" w:lineRule="auto"/>
              <w:rPr>
                <w:rFonts w:ascii="Arial" w:hAnsi="Arial" w:cs="Arial"/>
                <w:b/>
              </w:rPr>
            </w:pPr>
            <w:r w:rsidRPr="00F87D10">
              <w:rPr>
                <w:rFonts w:ascii="Arial" w:hAnsi="Arial" w:cs="Arial"/>
                <w:b/>
              </w:rPr>
              <w:t xml:space="preserve">                     Treatment</w:t>
            </w:r>
          </w:p>
        </w:tc>
        <w:tc>
          <w:tcPr>
            <w:tcW w:w="1829" w:type="dxa"/>
          </w:tcPr>
          <w:p w14:paraId="68A81F61" w14:textId="77777777" w:rsidR="001C736C" w:rsidRPr="00F87D10" w:rsidRDefault="001C736C" w:rsidP="000A1131">
            <w:pPr>
              <w:spacing w:line="360" w:lineRule="auto"/>
              <w:rPr>
                <w:rFonts w:ascii="Arial" w:hAnsi="Arial" w:cs="Arial"/>
                <w:b/>
              </w:rPr>
            </w:pPr>
            <w:r w:rsidRPr="00F87D10">
              <w:rPr>
                <w:rFonts w:ascii="Arial" w:hAnsi="Arial" w:cs="Arial"/>
                <w:b/>
              </w:rPr>
              <w:t>No. of Mice</w:t>
            </w:r>
          </w:p>
        </w:tc>
      </w:tr>
      <w:tr w:rsidR="001C736C" w:rsidRPr="00F87D10" w14:paraId="3D4EA1CC" w14:textId="77777777" w:rsidTr="000A1131">
        <w:trPr>
          <w:trHeight w:val="176"/>
        </w:trPr>
        <w:tc>
          <w:tcPr>
            <w:tcW w:w="1013" w:type="dxa"/>
          </w:tcPr>
          <w:p w14:paraId="740A973B" w14:textId="77777777" w:rsidR="001C736C" w:rsidRPr="00F87D10" w:rsidRDefault="001C736C" w:rsidP="000A1131">
            <w:pPr>
              <w:spacing w:line="360" w:lineRule="auto"/>
              <w:rPr>
                <w:rFonts w:ascii="Arial" w:hAnsi="Arial" w:cs="Arial"/>
              </w:rPr>
            </w:pPr>
            <w:r w:rsidRPr="00F87D10">
              <w:rPr>
                <w:rFonts w:ascii="Arial" w:hAnsi="Arial" w:cs="Arial"/>
              </w:rPr>
              <w:t>1.</w:t>
            </w:r>
          </w:p>
        </w:tc>
        <w:tc>
          <w:tcPr>
            <w:tcW w:w="5918" w:type="dxa"/>
          </w:tcPr>
          <w:p w14:paraId="5558B302" w14:textId="77777777" w:rsidR="001C736C" w:rsidRPr="00F87D10" w:rsidRDefault="001C736C" w:rsidP="000A1131">
            <w:pPr>
              <w:rPr>
                <w:rFonts w:ascii="Arial" w:hAnsi="Arial" w:cs="Arial"/>
              </w:rPr>
            </w:pPr>
            <w:r w:rsidRPr="00F87D10">
              <w:rPr>
                <w:rFonts w:ascii="Arial" w:hAnsi="Arial" w:cs="Arial"/>
              </w:rPr>
              <w:t xml:space="preserve">Control </w:t>
            </w:r>
            <w:proofErr w:type="gramStart"/>
            <w:r w:rsidRPr="00F87D10">
              <w:rPr>
                <w:rFonts w:ascii="Arial" w:hAnsi="Arial" w:cs="Arial"/>
              </w:rPr>
              <w:t>( 0.9</w:t>
            </w:r>
            <w:proofErr w:type="gramEnd"/>
            <w:r w:rsidRPr="00F87D10">
              <w:rPr>
                <w:rFonts w:ascii="Arial" w:hAnsi="Arial" w:cs="Arial"/>
              </w:rPr>
              <w:t>% saline) oropharyngeal route, Single dose on 0</w:t>
            </w:r>
            <w:r w:rsidRPr="00F87D10">
              <w:rPr>
                <w:rFonts w:ascii="Arial" w:hAnsi="Arial" w:cs="Arial"/>
                <w:vertAlign w:val="superscript"/>
              </w:rPr>
              <w:t>th</w:t>
            </w:r>
            <w:r w:rsidRPr="00F87D10">
              <w:rPr>
                <w:rFonts w:ascii="Arial" w:hAnsi="Arial" w:cs="Arial"/>
              </w:rPr>
              <w:t xml:space="preserve"> day</w:t>
            </w:r>
          </w:p>
        </w:tc>
        <w:tc>
          <w:tcPr>
            <w:tcW w:w="1829" w:type="dxa"/>
          </w:tcPr>
          <w:p w14:paraId="46D8483D" w14:textId="77777777" w:rsidR="001C736C" w:rsidRPr="00F87D10" w:rsidRDefault="001C736C" w:rsidP="000A1131">
            <w:pPr>
              <w:rPr>
                <w:rFonts w:ascii="Arial" w:hAnsi="Arial" w:cs="Arial"/>
              </w:rPr>
            </w:pPr>
          </w:p>
          <w:p w14:paraId="7258374E" w14:textId="77777777" w:rsidR="001C736C" w:rsidRPr="00F87D10" w:rsidRDefault="001C736C" w:rsidP="000A1131">
            <w:pPr>
              <w:rPr>
                <w:rFonts w:ascii="Arial" w:hAnsi="Arial" w:cs="Arial"/>
              </w:rPr>
            </w:pPr>
            <w:r w:rsidRPr="00F87D10">
              <w:rPr>
                <w:rFonts w:ascii="Arial" w:hAnsi="Arial" w:cs="Arial"/>
              </w:rPr>
              <w:t>6</w:t>
            </w:r>
          </w:p>
        </w:tc>
      </w:tr>
      <w:tr w:rsidR="001C736C" w:rsidRPr="00F87D10" w14:paraId="49A8F94B" w14:textId="77777777" w:rsidTr="000A1131">
        <w:trPr>
          <w:trHeight w:val="176"/>
        </w:trPr>
        <w:tc>
          <w:tcPr>
            <w:tcW w:w="1013" w:type="dxa"/>
          </w:tcPr>
          <w:p w14:paraId="0CA1EFB2" w14:textId="77777777" w:rsidR="001C736C" w:rsidRPr="00F87D10" w:rsidRDefault="001C736C" w:rsidP="000A1131">
            <w:pPr>
              <w:spacing w:line="360" w:lineRule="auto"/>
              <w:rPr>
                <w:rFonts w:ascii="Arial" w:hAnsi="Arial" w:cs="Arial"/>
              </w:rPr>
            </w:pPr>
            <w:r w:rsidRPr="00F87D10">
              <w:rPr>
                <w:rFonts w:ascii="Arial" w:hAnsi="Arial" w:cs="Arial"/>
              </w:rPr>
              <w:t>2.</w:t>
            </w:r>
          </w:p>
        </w:tc>
        <w:tc>
          <w:tcPr>
            <w:tcW w:w="5918" w:type="dxa"/>
          </w:tcPr>
          <w:p w14:paraId="3B75384F" w14:textId="77777777" w:rsidR="001C736C" w:rsidRPr="00F87D10" w:rsidRDefault="001C736C" w:rsidP="000A1131">
            <w:pPr>
              <w:rPr>
                <w:rFonts w:ascii="Arial" w:hAnsi="Arial" w:cs="Arial"/>
              </w:rPr>
            </w:pPr>
            <w:r w:rsidRPr="00F87D10">
              <w:rPr>
                <w:rFonts w:ascii="Arial" w:hAnsi="Arial" w:cs="Arial"/>
              </w:rPr>
              <w:t xml:space="preserve">Bleomycin sulphate @ 1.5 U/Kg </w:t>
            </w:r>
            <w:proofErr w:type="spellStart"/>
            <w:proofErr w:type="gramStart"/>
            <w:r w:rsidRPr="00F87D10">
              <w:rPr>
                <w:rFonts w:ascii="Arial" w:hAnsi="Arial" w:cs="Arial"/>
              </w:rPr>
              <w:t>bwt</w:t>
            </w:r>
            <w:proofErr w:type="spellEnd"/>
            <w:r w:rsidRPr="00F87D10">
              <w:rPr>
                <w:rFonts w:ascii="Arial" w:hAnsi="Arial" w:cs="Arial"/>
              </w:rPr>
              <w:t>,  oropharyngeal</w:t>
            </w:r>
            <w:proofErr w:type="gramEnd"/>
            <w:r w:rsidRPr="00F87D10">
              <w:rPr>
                <w:rFonts w:ascii="Arial" w:hAnsi="Arial" w:cs="Arial"/>
              </w:rPr>
              <w:t xml:space="preserve"> route, Single dose on 0</w:t>
            </w:r>
            <w:r w:rsidRPr="00F87D10">
              <w:rPr>
                <w:rFonts w:ascii="Arial" w:hAnsi="Arial" w:cs="Arial"/>
                <w:vertAlign w:val="superscript"/>
              </w:rPr>
              <w:t>th</w:t>
            </w:r>
            <w:r w:rsidRPr="00F87D10">
              <w:rPr>
                <w:rFonts w:ascii="Arial" w:hAnsi="Arial" w:cs="Arial"/>
              </w:rPr>
              <w:t xml:space="preserve"> day </w:t>
            </w:r>
          </w:p>
        </w:tc>
        <w:tc>
          <w:tcPr>
            <w:tcW w:w="1829" w:type="dxa"/>
          </w:tcPr>
          <w:p w14:paraId="1AFE14D4" w14:textId="77777777" w:rsidR="001C736C" w:rsidRPr="00F87D10" w:rsidRDefault="001C736C" w:rsidP="000A1131">
            <w:pPr>
              <w:rPr>
                <w:rFonts w:ascii="Arial" w:hAnsi="Arial" w:cs="Arial"/>
              </w:rPr>
            </w:pPr>
          </w:p>
          <w:p w14:paraId="2071D299" w14:textId="77777777" w:rsidR="001C736C" w:rsidRPr="00F87D10" w:rsidRDefault="001C736C" w:rsidP="000A1131">
            <w:pPr>
              <w:rPr>
                <w:rFonts w:ascii="Arial" w:hAnsi="Arial" w:cs="Arial"/>
              </w:rPr>
            </w:pPr>
            <w:r w:rsidRPr="00F87D10">
              <w:rPr>
                <w:rFonts w:ascii="Arial" w:hAnsi="Arial" w:cs="Arial"/>
              </w:rPr>
              <w:t>8</w:t>
            </w:r>
          </w:p>
        </w:tc>
      </w:tr>
      <w:tr w:rsidR="001C736C" w:rsidRPr="00F87D10" w14:paraId="7691F6EC" w14:textId="77777777" w:rsidTr="000A1131">
        <w:trPr>
          <w:trHeight w:val="176"/>
        </w:trPr>
        <w:tc>
          <w:tcPr>
            <w:tcW w:w="1013" w:type="dxa"/>
          </w:tcPr>
          <w:p w14:paraId="7270978C" w14:textId="77777777" w:rsidR="001C736C" w:rsidRPr="00F87D10" w:rsidRDefault="001C736C" w:rsidP="000A1131">
            <w:pPr>
              <w:spacing w:line="360" w:lineRule="auto"/>
              <w:rPr>
                <w:rFonts w:ascii="Arial" w:hAnsi="Arial" w:cs="Arial"/>
              </w:rPr>
            </w:pPr>
            <w:r w:rsidRPr="00F87D10">
              <w:rPr>
                <w:rFonts w:ascii="Arial" w:hAnsi="Arial" w:cs="Arial"/>
              </w:rPr>
              <w:t>3.</w:t>
            </w:r>
          </w:p>
        </w:tc>
        <w:tc>
          <w:tcPr>
            <w:tcW w:w="5918" w:type="dxa"/>
          </w:tcPr>
          <w:p w14:paraId="6472C5E0" w14:textId="77777777" w:rsidR="001C736C" w:rsidRPr="00F87D10" w:rsidRDefault="001C736C" w:rsidP="000A1131">
            <w:pPr>
              <w:rPr>
                <w:rFonts w:ascii="Arial" w:hAnsi="Arial" w:cs="Arial"/>
              </w:rPr>
            </w:pPr>
            <w:proofErr w:type="spellStart"/>
            <w:r w:rsidRPr="00F87D10">
              <w:rPr>
                <w:rFonts w:ascii="Arial" w:hAnsi="Arial" w:cs="Arial"/>
              </w:rPr>
              <w:t>Galangin</w:t>
            </w:r>
            <w:proofErr w:type="spellEnd"/>
            <w:r w:rsidRPr="00F87D10">
              <w:rPr>
                <w:rFonts w:ascii="Arial" w:hAnsi="Arial" w:cs="Arial"/>
              </w:rPr>
              <w:t xml:space="preserve"> @ 5mg/kg </w:t>
            </w:r>
            <w:proofErr w:type="spellStart"/>
            <w:r w:rsidRPr="00F87D10">
              <w:rPr>
                <w:rFonts w:ascii="Arial" w:hAnsi="Arial" w:cs="Arial"/>
              </w:rPr>
              <w:t>bwt</w:t>
            </w:r>
            <w:proofErr w:type="spellEnd"/>
            <w:r w:rsidRPr="00F87D10">
              <w:rPr>
                <w:rFonts w:ascii="Arial" w:hAnsi="Arial" w:cs="Arial"/>
              </w:rPr>
              <w:t>/orally/daily</w:t>
            </w:r>
          </w:p>
        </w:tc>
        <w:tc>
          <w:tcPr>
            <w:tcW w:w="1829" w:type="dxa"/>
          </w:tcPr>
          <w:p w14:paraId="221E117F" w14:textId="77777777" w:rsidR="001C736C" w:rsidRPr="00F87D10" w:rsidRDefault="001C736C" w:rsidP="000A1131">
            <w:pPr>
              <w:rPr>
                <w:rFonts w:ascii="Arial" w:hAnsi="Arial" w:cs="Arial"/>
              </w:rPr>
            </w:pPr>
            <w:r w:rsidRPr="00F87D10">
              <w:rPr>
                <w:rFonts w:ascii="Arial" w:hAnsi="Arial" w:cs="Arial"/>
              </w:rPr>
              <w:t>6</w:t>
            </w:r>
          </w:p>
        </w:tc>
      </w:tr>
      <w:tr w:rsidR="001C736C" w:rsidRPr="00F87D10" w14:paraId="1C717B3F" w14:textId="77777777" w:rsidTr="000A1131">
        <w:trPr>
          <w:trHeight w:val="578"/>
        </w:trPr>
        <w:tc>
          <w:tcPr>
            <w:tcW w:w="1013" w:type="dxa"/>
          </w:tcPr>
          <w:p w14:paraId="58BAA801" w14:textId="77777777" w:rsidR="001C736C" w:rsidRPr="00F87D10" w:rsidRDefault="001C736C" w:rsidP="000A1131">
            <w:pPr>
              <w:spacing w:line="360" w:lineRule="auto"/>
              <w:rPr>
                <w:rFonts w:ascii="Arial" w:hAnsi="Arial" w:cs="Arial"/>
              </w:rPr>
            </w:pPr>
            <w:r w:rsidRPr="00F87D10">
              <w:rPr>
                <w:rFonts w:ascii="Arial" w:hAnsi="Arial" w:cs="Arial"/>
              </w:rPr>
              <w:t>4.</w:t>
            </w:r>
          </w:p>
        </w:tc>
        <w:tc>
          <w:tcPr>
            <w:tcW w:w="5918" w:type="dxa"/>
          </w:tcPr>
          <w:p w14:paraId="0BCC1A57" w14:textId="77777777" w:rsidR="001C736C" w:rsidRPr="00F87D10" w:rsidRDefault="001C736C" w:rsidP="000A1131">
            <w:pPr>
              <w:rPr>
                <w:rFonts w:ascii="Arial" w:hAnsi="Arial" w:cs="Arial"/>
              </w:rPr>
            </w:pPr>
            <w:proofErr w:type="spellStart"/>
            <w:r w:rsidRPr="00F87D10">
              <w:rPr>
                <w:rFonts w:ascii="Arial" w:hAnsi="Arial" w:cs="Arial"/>
              </w:rPr>
              <w:t>Piperine</w:t>
            </w:r>
            <w:proofErr w:type="spellEnd"/>
            <w:r w:rsidRPr="00F87D10">
              <w:rPr>
                <w:rFonts w:ascii="Arial" w:hAnsi="Arial" w:cs="Arial"/>
              </w:rPr>
              <w:t xml:space="preserve">@ 50mg/kg </w:t>
            </w:r>
            <w:proofErr w:type="spellStart"/>
            <w:r w:rsidRPr="00F87D10">
              <w:rPr>
                <w:rFonts w:ascii="Arial" w:hAnsi="Arial" w:cs="Arial"/>
              </w:rPr>
              <w:t>bwt</w:t>
            </w:r>
            <w:proofErr w:type="spellEnd"/>
            <w:r w:rsidRPr="00F87D10">
              <w:rPr>
                <w:rFonts w:ascii="Arial" w:hAnsi="Arial" w:cs="Arial"/>
              </w:rPr>
              <w:t>/orally/daily</w:t>
            </w:r>
          </w:p>
        </w:tc>
        <w:tc>
          <w:tcPr>
            <w:tcW w:w="1829" w:type="dxa"/>
          </w:tcPr>
          <w:p w14:paraId="301B2544" w14:textId="77777777" w:rsidR="001C736C" w:rsidRPr="00F87D10" w:rsidRDefault="001C736C" w:rsidP="000A1131">
            <w:pPr>
              <w:rPr>
                <w:rFonts w:ascii="Arial" w:hAnsi="Arial" w:cs="Arial"/>
              </w:rPr>
            </w:pPr>
            <w:r w:rsidRPr="00F87D10">
              <w:rPr>
                <w:rFonts w:ascii="Arial" w:hAnsi="Arial" w:cs="Arial"/>
              </w:rPr>
              <w:t>6</w:t>
            </w:r>
          </w:p>
        </w:tc>
      </w:tr>
      <w:tr w:rsidR="001C736C" w:rsidRPr="00F87D10" w14:paraId="260BBAB4" w14:textId="77777777" w:rsidTr="000A1131">
        <w:trPr>
          <w:trHeight w:val="266"/>
        </w:trPr>
        <w:tc>
          <w:tcPr>
            <w:tcW w:w="1013" w:type="dxa"/>
          </w:tcPr>
          <w:p w14:paraId="4891D5AF" w14:textId="77777777" w:rsidR="001C736C" w:rsidRPr="00F87D10" w:rsidRDefault="001C736C" w:rsidP="000A1131">
            <w:pPr>
              <w:spacing w:line="360" w:lineRule="auto"/>
              <w:rPr>
                <w:rFonts w:ascii="Arial" w:hAnsi="Arial" w:cs="Arial"/>
              </w:rPr>
            </w:pPr>
            <w:r w:rsidRPr="00F87D10">
              <w:rPr>
                <w:rFonts w:ascii="Arial" w:hAnsi="Arial" w:cs="Arial"/>
              </w:rPr>
              <w:t>5.</w:t>
            </w:r>
          </w:p>
        </w:tc>
        <w:tc>
          <w:tcPr>
            <w:tcW w:w="5918" w:type="dxa"/>
          </w:tcPr>
          <w:p w14:paraId="1DBF8473" w14:textId="77777777" w:rsidR="001C736C" w:rsidRPr="00F87D10" w:rsidRDefault="001C736C" w:rsidP="000A1131">
            <w:pPr>
              <w:rPr>
                <w:rFonts w:ascii="Arial" w:hAnsi="Arial" w:cs="Arial"/>
              </w:rPr>
            </w:pPr>
            <w:r w:rsidRPr="00F87D10">
              <w:rPr>
                <w:rFonts w:ascii="Arial" w:hAnsi="Arial" w:cs="Arial"/>
              </w:rPr>
              <w:t xml:space="preserve">Bleomycin sulphate + </w:t>
            </w:r>
            <w:proofErr w:type="spellStart"/>
            <w:r w:rsidRPr="00F87D10">
              <w:rPr>
                <w:rFonts w:ascii="Arial" w:hAnsi="Arial" w:cs="Arial"/>
              </w:rPr>
              <w:t>Galangin</w:t>
            </w:r>
            <w:proofErr w:type="spellEnd"/>
            <w:r w:rsidRPr="00F87D10">
              <w:rPr>
                <w:rFonts w:ascii="Arial" w:hAnsi="Arial" w:cs="Arial"/>
              </w:rPr>
              <w:t xml:space="preserve"> @ 5mg/kg </w:t>
            </w:r>
            <w:proofErr w:type="spellStart"/>
            <w:r w:rsidRPr="00F87D10">
              <w:rPr>
                <w:rFonts w:ascii="Arial" w:hAnsi="Arial" w:cs="Arial"/>
              </w:rPr>
              <w:t>bwt</w:t>
            </w:r>
            <w:proofErr w:type="spellEnd"/>
            <w:r w:rsidRPr="00F87D10">
              <w:rPr>
                <w:rFonts w:ascii="Arial" w:hAnsi="Arial" w:cs="Arial"/>
              </w:rPr>
              <w:t>/orally/daily</w:t>
            </w:r>
          </w:p>
        </w:tc>
        <w:tc>
          <w:tcPr>
            <w:tcW w:w="1829" w:type="dxa"/>
          </w:tcPr>
          <w:p w14:paraId="5748FC81" w14:textId="77777777" w:rsidR="001C736C" w:rsidRPr="00F87D10" w:rsidRDefault="001C736C" w:rsidP="000A1131">
            <w:pPr>
              <w:rPr>
                <w:rFonts w:ascii="Arial" w:hAnsi="Arial" w:cs="Arial"/>
              </w:rPr>
            </w:pPr>
            <w:r w:rsidRPr="00F87D10">
              <w:rPr>
                <w:rFonts w:ascii="Arial" w:hAnsi="Arial" w:cs="Arial"/>
              </w:rPr>
              <w:t>8</w:t>
            </w:r>
          </w:p>
        </w:tc>
      </w:tr>
      <w:tr w:rsidR="001C736C" w:rsidRPr="00F87D10" w14:paraId="788627A6" w14:textId="77777777" w:rsidTr="000A1131">
        <w:trPr>
          <w:trHeight w:val="257"/>
        </w:trPr>
        <w:tc>
          <w:tcPr>
            <w:tcW w:w="1013" w:type="dxa"/>
          </w:tcPr>
          <w:p w14:paraId="2B065D10" w14:textId="77777777" w:rsidR="001C736C" w:rsidRPr="00F87D10" w:rsidRDefault="001C736C" w:rsidP="000A1131">
            <w:pPr>
              <w:spacing w:line="360" w:lineRule="auto"/>
              <w:rPr>
                <w:rFonts w:ascii="Arial" w:hAnsi="Arial" w:cs="Arial"/>
              </w:rPr>
            </w:pPr>
            <w:r w:rsidRPr="00F87D10">
              <w:rPr>
                <w:rFonts w:ascii="Arial" w:hAnsi="Arial" w:cs="Arial"/>
              </w:rPr>
              <w:t>6.</w:t>
            </w:r>
          </w:p>
        </w:tc>
        <w:tc>
          <w:tcPr>
            <w:tcW w:w="5918" w:type="dxa"/>
          </w:tcPr>
          <w:p w14:paraId="2E2D0834" w14:textId="77777777" w:rsidR="001C736C" w:rsidRPr="00F87D10" w:rsidRDefault="001C736C" w:rsidP="000A1131">
            <w:pPr>
              <w:rPr>
                <w:rFonts w:ascii="Arial" w:hAnsi="Arial" w:cs="Arial"/>
              </w:rPr>
            </w:pPr>
            <w:r w:rsidRPr="00F87D10">
              <w:rPr>
                <w:rFonts w:ascii="Arial" w:hAnsi="Arial" w:cs="Arial"/>
              </w:rPr>
              <w:t xml:space="preserve">Bleomycin sulphate + </w:t>
            </w:r>
            <w:proofErr w:type="spellStart"/>
            <w:r w:rsidRPr="00F87D10">
              <w:rPr>
                <w:rFonts w:ascii="Arial" w:hAnsi="Arial" w:cs="Arial"/>
              </w:rPr>
              <w:t>Piperine</w:t>
            </w:r>
            <w:proofErr w:type="spellEnd"/>
            <w:r w:rsidRPr="00F87D10">
              <w:rPr>
                <w:rFonts w:ascii="Arial" w:hAnsi="Arial" w:cs="Arial"/>
              </w:rPr>
              <w:t xml:space="preserve">@ 50mg/kg </w:t>
            </w:r>
            <w:proofErr w:type="spellStart"/>
            <w:r w:rsidRPr="00F87D10">
              <w:rPr>
                <w:rFonts w:ascii="Arial" w:hAnsi="Arial" w:cs="Arial"/>
              </w:rPr>
              <w:t>bwt</w:t>
            </w:r>
            <w:proofErr w:type="spellEnd"/>
            <w:r w:rsidRPr="00F87D10">
              <w:rPr>
                <w:rFonts w:ascii="Arial" w:hAnsi="Arial" w:cs="Arial"/>
              </w:rPr>
              <w:t>/orally/daily</w:t>
            </w:r>
          </w:p>
        </w:tc>
        <w:tc>
          <w:tcPr>
            <w:tcW w:w="1829" w:type="dxa"/>
          </w:tcPr>
          <w:p w14:paraId="10A0811E" w14:textId="77777777" w:rsidR="001C736C" w:rsidRPr="00F87D10" w:rsidRDefault="001C736C" w:rsidP="000A1131">
            <w:pPr>
              <w:rPr>
                <w:rFonts w:ascii="Arial" w:hAnsi="Arial" w:cs="Arial"/>
              </w:rPr>
            </w:pPr>
            <w:r w:rsidRPr="00F87D10">
              <w:rPr>
                <w:rFonts w:ascii="Arial" w:hAnsi="Arial" w:cs="Arial"/>
              </w:rPr>
              <w:t>8</w:t>
            </w:r>
          </w:p>
        </w:tc>
      </w:tr>
      <w:tr w:rsidR="001C736C" w:rsidRPr="00F87D10" w14:paraId="6007FEF8" w14:textId="77777777" w:rsidTr="000A1131">
        <w:trPr>
          <w:trHeight w:val="45"/>
        </w:trPr>
        <w:tc>
          <w:tcPr>
            <w:tcW w:w="1013" w:type="dxa"/>
          </w:tcPr>
          <w:p w14:paraId="4DABFDA5" w14:textId="77777777" w:rsidR="001C736C" w:rsidRPr="00F87D10" w:rsidRDefault="001C736C" w:rsidP="000A1131">
            <w:pPr>
              <w:spacing w:line="360" w:lineRule="auto"/>
              <w:rPr>
                <w:rFonts w:ascii="Arial" w:hAnsi="Arial" w:cs="Arial"/>
              </w:rPr>
            </w:pPr>
            <w:r w:rsidRPr="00F87D10">
              <w:rPr>
                <w:rFonts w:ascii="Arial" w:hAnsi="Arial" w:cs="Arial"/>
              </w:rPr>
              <w:t>7.</w:t>
            </w:r>
          </w:p>
        </w:tc>
        <w:tc>
          <w:tcPr>
            <w:tcW w:w="5918" w:type="dxa"/>
          </w:tcPr>
          <w:p w14:paraId="5A2E83F9" w14:textId="77777777" w:rsidR="001C736C" w:rsidRPr="00F87D10" w:rsidRDefault="001C736C" w:rsidP="000A1131">
            <w:pPr>
              <w:rPr>
                <w:rFonts w:ascii="Arial" w:hAnsi="Arial" w:cs="Arial"/>
              </w:rPr>
            </w:pPr>
            <w:r w:rsidRPr="00F87D10">
              <w:rPr>
                <w:rFonts w:ascii="Arial" w:hAnsi="Arial" w:cs="Arial"/>
              </w:rPr>
              <w:t xml:space="preserve">Bleomycin sulphate + </w:t>
            </w:r>
            <w:proofErr w:type="spellStart"/>
            <w:r w:rsidRPr="00F87D10">
              <w:rPr>
                <w:rFonts w:ascii="Arial" w:hAnsi="Arial" w:cs="Arial"/>
              </w:rPr>
              <w:t>Galangin</w:t>
            </w:r>
            <w:proofErr w:type="spellEnd"/>
            <w:r w:rsidRPr="00F87D10">
              <w:rPr>
                <w:rFonts w:ascii="Arial" w:hAnsi="Arial" w:cs="Arial"/>
              </w:rPr>
              <w:t xml:space="preserve"> @ 2.5mg/kg </w:t>
            </w:r>
            <w:proofErr w:type="spellStart"/>
            <w:r w:rsidRPr="00F87D10">
              <w:rPr>
                <w:rFonts w:ascii="Arial" w:hAnsi="Arial" w:cs="Arial"/>
              </w:rPr>
              <w:t>bwt</w:t>
            </w:r>
            <w:proofErr w:type="spellEnd"/>
            <w:r w:rsidRPr="00F87D10">
              <w:rPr>
                <w:rFonts w:ascii="Arial" w:hAnsi="Arial" w:cs="Arial"/>
              </w:rPr>
              <w:t xml:space="preserve">/orally/daily + </w:t>
            </w:r>
            <w:proofErr w:type="spellStart"/>
            <w:r w:rsidRPr="00F87D10">
              <w:rPr>
                <w:rFonts w:ascii="Arial" w:hAnsi="Arial" w:cs="Arial"/>
              </w:rPr>
              <w:t>Piperine</w:t>
            </w:r>
            <w:proofErr w:type="spellEnd"/>
            <w:r w:rsidRPr="00F87D10">
              <w:rPr>
                <w:rFonts w:ascii="Arial" w:hAnsi="Arial" w:cs="Arial"/>
              </w:rPr>
              <w:t xml:space="preserve"> @ 25mg/kg </w:t>
            </w:r>
            <w:proofErr w:type="spellStart"/>
            <w:r w:rsidRPr="00F87D10">
              <w:rPr>
                <w:rFonts w:ascii="Arial" w:hAnsi="Arial" w:cs="Arial"/>
              </w:rPr>
              <w:t>bwt</w:t>
            </w:r>
            <w:proofErr w:type="spellEnd"/>
            <w:r w:rsidRPr="00F87D10">
              <w:rPr>
                <w:rFonts w:ascii="Arial" w:hAnsi="Arial" w:cs="Arial"/>
              </w:rPr>
              <w:t>/orally/daily</w:t>
            </w:r>
          </w:p>
        </w:tc>
        <w:tc>
          <w:tcPr>
            <w:tcW w:w="1829" w:type="dxa"/>
          </w:tcPr>
          <w:p w14:paraId="4589C9EA" w14:textId="77777777" w:rsidR="001C736C" w:rsidRPr="00F87D10" w:rsidRDefault="001C736C" w:rsidP="000A1131">
            <w:pPr>
              <w:rPr>
                <w:rFonts w:ascii="Arial" w:hAnsi="Arial" w:cs="Arial"/>
              </w:rPr>
            </w:pPr>
          </w:p>
          <w:p w14:paraId="5213E368" w14:textId="77777777" w:rsidR="001C736C" w:rsidRPr="00F87D10" w:rsidRDefault="001C736C" w:rsidP="000A1131">
            <w:pPr>
              <w:rPr>
                <w:rFonts w:ascii="Arial" w:hAnsi="Arial" w:cs="Arial"/>
              </w:rPr>
            </w:pPr>
            <w:r w:rsidRPr="00F87D10">
              <w:rPr>
                <w:rFonts w:ascii="Arial" w:hAnsi="Arial" w:cs="Arial"/>
              </w:rPr>
              <w:t>8</w:t>
            </w:r>
          </w:p>
        </w:tc>
      </w:tr>
    </w:tbl>
    <w:p w14:paraId="2DCD6967" w14:textId="77777777" w:rsidR="001C736C" w:rsidRPr="00F87D10" w:rsidRDefault="001C736C" w:rsidP="001C736C">
      <w:pPr>
        <w:jc w:val="both"/>
        <w:rPr>
          <w:rFonts w:ascii="Times New Roman" w:hAnsi="Times New Roman"/>
          <w:sz w:val="24"/>
          <w:szCs w:val="24"/>
        </w:rPr>
      </w:pPr>
    </w:p>
    <w:p w14:paraId="3C51712E" w14:textId="77777777" w:rsidR="001C736C" w:rsidRPr="00F87D10" w:rsidRDefault="001C736C" w:rsidP="001C736C">
      <w:pPr>
        <w:jc w:val="both"/>
        <w:rPr>
          <w:rFonts w:ascii="Times New Roman" w:hAnsi="Times New Roman"/>
          <w:sz w:val="24"/>
          <w:szCs w:val="24"/>
        </w:rPr>
      </w:pPr>
      <w:r w:rsidRPr="00F87D10">
        <w:rPr>
          <w:noProof/>
        </w:rPr>
        <w:lastRenderedPageBreak/>
        <w:drawing>
          <wp:inline distT="0" distB="0" distL="0" distR="0" wp14:anchorId="03B4B926" wp14:editId="472FAC43">
            <wp:extent cx="4177145" cy="3047078"/>
            <wp:effectExtent l="0" t="0" r="0" b="1270"/>
            <wp:docPr id="143526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79" r="9111"/>
                    <a:stretch>
                      <a:fillRect/>
                    </a:stretch>
                  </pic:blipFill>
                  <pic:spPr bwMode="auto">
                    <a:xfrm>
                      <a:off x="0" y="0"/>
                      <a:ext cx="4180882" cy="3049804"/>
                    </a:xfrm>
                    <a:prstGeom prst="rect">
                      <a:avLst/>
                    </a:prstGeom>
                    <a:noFill/>
                    <a:ln>
                      <a:noFill/>
                    </a:ln>
                    <a:extLst>
                      <a:ext uri="{53640926-AAD7-44D8-BBD7-CCE9431645EC}">
                        <a14:shadowObscured xmlns:a14="http://schemas.microsoft.com/office/drawing/2010/main"/>
                      </a:ext>
                    </a:extLst>
                  </pic:spPr>
                </pic:pic>
              </a:graphicData>
            </a:graphic>
          </wp:inline>
        </w:drawing>
      </w:r>
      <w:r w:rsidRPr="00F87D10">
        <w:rPr>
          <w:rFonts w:ascii="Times New Roman" w:hAnsi="Times New Roman"/>
          <w:sz w:val="24"/>
          <w:szCs w:val="24"/>
        </w:rPr>
        <w:t xml:space="preserve"> </w:t>
      </w:r>
    </w:p>
    <w:p w14:paraId="1B6FC69B" w14:textId="77777777" w:rsidR="001C736C" w:rsidRPr="00F87D10" w:rsidRDefault="001C736C" w:rsidP="001C736C">
      <w:pPr>
        <w:jc w:val="both"/>
        <w:rPr>
          <w:rFonts w:ascii="Times New Roman" w:hAnsi="Times New Roman"/>
          <w:sz w:val="24"/>
          <w:szCs w:val="24"/>
        </w:rPr>
      </w:pPr>
      <w:r w:rsidRPr="00F87D10">
        <w:rPr>
          <w:rFonts w:ascii="Arial" w:hAnsi="Arial" w:cs="Arial"/>
          <w:b/>
          <w:bCs/>
        </w:rPr>
        <w:t>Fig.1:</w:t>
      </w:r>
      <w:r w:rsidRPr="00F87D10">
        <w:rPr>
          <w:rFonts w:ascii="Arial" w:hAnsi="Arial" w:cs="Arial"/>
        </w:rPr>
        <w:t xml:space="preserve"> Experimental design</w:t>
      </w:r>
    </w:p>
    <w:p w14:paraId="2A22FA6F" w14:textId="77777777" w:rsidR="001C736C" w:rsidRPr="00F87D10" w:rsidRDefault="001C736C" w:rsidP="001C736C">
      <w:pPr>
        <w:jc w:val="both"/>
        <w:rPr>
          <w:rFonts w:ascii="Times New Roman" w:hAnsi="Times New Roman"/>
          <w:sz w:val="24"/>
          <w:szCs w:val="24"/>
        </w:rPr>
      </w:pPr>
    </w:p>
    <w:p w14:paraId="1AEE2ACD" w14:textId="77777777" w:rsidR="001C736C" w:rsidRPr="00F87D10" w:rsidRDefault="001C736C" w:rsidP="001C736C">
      <w:pPr>
        <w:jc w:val="both"/>
        <w:rPr>
          <w:rFonts w:ascii="Arial" w:hAnsi="Arial" w:cs="Arial"/>
          <w:b/>
          <w:bCs/>
          <w:sz w:val="22"/>
          <w:szCs w:val="22"/>
        </w:rPr>
      </w:pPr>
      <w:r w:rsidRPr="00F87D10">
        <w:rPr>
          <w:rFonts w:ascii="Arial" w:hAnsi="Arial" w:cs="Arial"/>
          <w:b/>
          <w:bCs/>
          <w:sz w:val="22"/>
          <w:szCs w:val="22"/>
        </w:rPr>
        <w:t>2.4 Preparation of Tissue Homogenates</w:t>
      </w:r>
    </w:p>
    <w:p w14:paraId="3DECAFF9" w14:textId="77777777" w:rsidR="001C736C" w:rsidRPr="00F87D10" w:rsidRDefault="001C736C" w:rsidP="001C736C">
      <w:pPr>
        <w:jc w:val="both"/>
        <w:rPr>
          <w:rFonts w:ascii="Arial" w:hAnsi="Arial" w:cs="Arial"/>
        </w:rPr>
      </w:pPr>
      <w:r w:rsidRPr="00F87D10">
        <w:rPr>
          <w:rFonts w:ascii="Arial" w:hAnsi="Arial" w:cs="Arial"/>
        </w:rPr>
        <w:t>After euthanasia using CO</w:t>
      </w:r>
      <w:r w:rsidRPr="00F87D10">
        <w:rPr>
          <w:rFonts w:ascii="Cambria Math" w:hAnsi="Cambria Math" w:cs="Cambria Math"/>
        </w:rPr>
        <w:t>₂</w:t>
      </w:r>
      <w:r w:rsidRPr="00F87D10">
        <w:rPr>
          <w:rFonts w:ascii="Arial" w:hAnsi="Arial" w:cs="Arial"/>
        </w:rPr>
        <w:t xml:space="preserve"> on day 21, the lungs were promptly removed and sectioned for oxidative stress evaluation. The tissues were </w:t>
      </w:r>
      <w:proofErr w:type="spellStart"/>
      <w:r w:rsidRPr="00F87D10">
        <w:rPr>
          <w:rFonts w:ascii="Arial" w:hAnsi="Arial" w:cs="Arial"/>
        </w:rPr>
        <w:t>homogenised</w:t>
      </w:r>
      <w:proofErr w:type="spellEnd"/>
      <w:r w:rsidRPr="00F87D10">
        <w:rPr>
          <w:rFonts w:ascii="Arial" w:hAnsi="Arial" w:cs="Arial"/>
        </w:rPr>
        <w:t xml:space="preserve"> in phosphate-buffered saline (PBS, pH 7.4) maintained at 4 °C. All procedures were carried out under chilled conditions to ensure enzyme stability, and the homogenates were stored at low temperature until further biochemical analyses.</w:t>
      </w:r>
    </w:p>
    <w:p w14:paraId="3C27B175" w14:textId="045BCE62" w:rsidR="001C736C" w:rsidRPr="00F87D10" w:rsidRDefault="001C736C" w:rsidP="001C736C">
      <w:pPr>
        <w:jc w:val="both"/>
        <w:rPr>
          <w:rFonts w:ascii="Arial" w:hAnsi="Arial" w:cs="Arial"/>
        </w:rPr>
      </w:pPr>
      <w:r w:rsidRPr="00F87D10">
        <w:rPr>
          <w:rFonts w:ascii="Arial" w:hAnsi="Arial" w:cs="Arial"/>
          <w:b/>
          <w:bCs/>
          <w:sz w:val="22"/>
          <w:szCs w:val="22"/>
        </w:rPr>
        <w:t>2.</w:t>
      </w:r>
      <w:r w:rsidR="0048140F" w:rsidRPr="00F87D10">
        <w:rPr>
          <w:rFonts w:ascii="Arial" w:hAnsi="Arial" w:cs="Arial"/>
          <w:b/>
          <w:bCs/>
          <w:sz w:val="22"/>
          <w:szCs w:val="22"/>
        </w:rPr>
        <w:t>5</w:t>
      </w:r>
      <w:r w:rsidRPr="00F87D10">
        <w:rPr>
          <w:rFonts w:ascii="Arial" w:hAnsi="Arial" w:cs="Arial"/>
          <w:b/>
          <w:bCs/>
          <w:sz w:val="22"/>
          <w:szCs w:val="22"/>
        </w:rPr>
        <w:t xml:space="preserve"> Estimation of oxidative stress and nitrosative stress:</w:t>
      </w:r>
      <w:r w:rsidRPr="00F87D10">
        <w:rPr>
          <w:b/>
          <w:bCs/>
          <w:sz w:val="22"/>
          <w:szCs w:val="22"/>
        </w:rPr>
        <w:t xml:space="preserve"> </w:t>
      </w:r>
      <w:r w:rsidRPr="00F87D10">
        <w:rPr>
          <w:rFonts w:ascii="Times New Roman" w:hAnsi="Times New Roman"/>
          <w:sz w:val="22"/>
          <w:szCs w:val="22"/>
        </w:rPr>
        <w:t xml:space="preserve"> </w:t>
      </w:r>
      <w:r w:rsidRPr="00F87D10">
        <w:rPr>
          <w:rFonts w:ascii="Arial" w:hAnsi="Arial" w:cs="Arial"/>
        </w:rPr>
        <w:t xml:space="preserve">Lipid peroxidation was estimated by measuring malondialdehyde (MDA) using the </w:t>
      </w:r>
      <w:proofErr w:type="spellStart"/>
      <w:r w:rsidRPr="00F87D10">
        <w:rPr>
          <w:rFonts w:ascii="Arial" w:hAnsi="Arial" w:cs="Arial"/>
        </w:rPr>
        <w:t>thiobarbituric</w:t>
      </w:r>
      <w:proofErr w:type="spellEnd"/>
      <w:r w:rsidRPr="00F87D10">
        <w:rPr>
          <w:rFonts w:ascii="Arial" w:hAnsi="Arial" w:cs="Arial"/>
        </w:rPr>
        <w:t xml:space="preserve"> acid reactive substances (TBARS) method. Lung tissue (20 mg) was </w:t>
      </w:r>
      <w:proofErr w:type="spellStart"/>
      <w:r w:rsidRPr="00F87D10">
        <w:rPr>
          <w:rFonts w:ascii="Arial" w:hAnsi="Arial" w:cs="Arial"/>
        </w:rPr>
        <w:t>homogenised</w:t>
      </w:r>
      <w:proofErr w:type="spellEnd"/>
      <w:r w:rsidRPr="00F87D10">
        <w:rPr>
          <w:rFonts w:ascii="Arial" w:hAnsi="Arial" w:cs="Arial"/>
        </w:rPr>
        <w:t xml:space="preserve"> in 500 µL PBS and reacted with SDS, acetic acid, and </w:t>
      </w:r>
      <w:proofErr w:type="spellStart"/>
      <w:r w:rsidRPr="00F87D10">
        <w:rPr>
          <w:rFonts w:ascii="Arial" w:hAnsi="Arial" w:cs="Arial"/>
        </w:rPr>
        <w:t>thiobarbituric</w:t>
      </w:r>
      <w:proofErr w:type="spellEnd"/>
      <w:r w:rsidRPr="00F87D10">
        <w:rPr>
          <w:rFonts w:ascii="Arial" w:hAnsi="Arial" w:cs="Arial"/>
        </w:rPr>
        <w:t xml:space="preserve"> acid. After heating at 95 °C for 1 h and centrifugation at 10,000 rpm for 10 min, the absorbance of the supernatant was recorded at 532 nm and expressed as </w:t>
      </w:r>
      <w:proofErr w:type="spellStart"/>
      <w:r w:rsidRPr="00F87D10">
        <w:rPr>
          <w:rFonts w:ascii="Arial" w:hAnsi="Arial" w:cs="Arial"/>
        </w:rPr>
        <w:t>nM</w:t>
      </w:r>
      <w:proofErr w:type="spellEnd"/>
      <w:r w:rsidRPr="00F87D10">
        <w:rPr>
          <w:rFonts w:ascii="Arial" w:hAnsi="Arial" w:cs="Arial"/>
        </w:rPr>
        <w:t>/mg protein (De Leon et al., 2020). Reduced glutathione (GSH) was determined following the method of Moron et al. (1979) using Ellman’s reagent, with absorbance measured at 412 nm and results expressed as µM/mg protein. Superoxide dismutase (SOD) activity was measured by a pyrogallol-based assay, with absorbance taken at 570 nm and expressed as IU/mg protein (Madesh and Balasubramanian 1998]. Catalase (CAT) activity was assessed using hydrogen peroxide–dichromate acetic acid reagent, measuring absorbance at 610 nm and expressed as IU/mg protein (Sinha et al., 1972). Nitrite levels were quantified by the Griess reaction at 540 nm and expressed as µM/mg protein (</w:t>
      </w:r>
      <w:proofErr w:type="spellStart"/>
      <w:r w:rsidRPr="00F87D10">
        <w:rPr>
          <w:rFonts w:ascii="Arial" w:hAnsi="Arial" w:cs="Arial"/>
        </w:rPr>
        <w:t>Chelpuri</w:t>
      </w:r>
      <w:proofErr w:type="spellEnd"/>
      <w:r w:rsidRPr="00F87D10">
        <w:rPr>
          <w:rFonts w:ascii="Arial" w:hAnsi="Arial" w:cs="Arial"/>
        </w:rPr>
        <w:t xml:space="preserve"> et al., 2022).</w:t>
      </w:r>
    </w:p>
    <w:p w14:paraId="59CFB2B7" w14:textId="0FECEE58" w:rsidR="001C736C" w:rsidRPr="00F87D10" w:rsidRDefault="001C736C" w:rsidP="001C736C">
      <w:pPr>
        <w:jc w:val="both"/>
        <w:rPr>
          <w:rFonts w:ascii="Arial" w:hAnsi="Arial" w:cs="Arial"/>
          <w:b/>
          <w:bCs/>
          <w:sz w:val="22"/>
          <w:szCs w:val="22"/>
        </w:rPr>
      </w:pPr>
      <w:r w:rsidRPr="00F87D10">
        <w:rPr>
          <w:rFonts w:ascii="Arial" w:hAnsi="Arial" w:cs="Arial"/>
          <w:b/>
          <w:bCs/>
          <w:sz w:val="22"/>
          <w:szCs w:val="22"/>
        </w:rPr>
        <w:t>2.7 Histopathological Examination</w:t>
      </w:r>
    </w:p>
    <w:p w14:paraId="1007EED3" w14:textId="77777777" w:rsidR="001C736C" w:rsidRPr="00F87D10" w:rsidRDefault="001C736C" w:rsidP="001C736C">
      <w:pPr>
        <w:jc w:val="both"/>
        <w:rPr>
          <w:rFonts w:ascii="Arial" w:hAnsi="Arial" w:cs="Arial"/>
        </w:rPr>
      </w:pPr>
      <w:r w:rsidRPr="00F87D10">
        <w:rPr>
          <w:rFonts w:ascii="Arial" w:hAnsi="Arial" w:cs="Arial"/>
        </w:rPr>
        <w:t xml:space="preserve">Lung tissues were fixed in 10% neutral buffered formalin (NBF) and processed through ascending grades of alcohol for dehydration, followed by clearing in xylene and embedding in paraffin wax at 55–56 °C. Paraffin blocks were sectioned at 5 µm thickness using a rotary microtome. The sections were mounted on grease-free glass slides pre-coated with Mayer’s egg albumin and dried overnight at 37 °C. Staining was performed using </w:t>
      </w:r>
      <w:proofErr w:type="spellStart"/>
      <w:r w:rsidRPr="00F87D10">
        <w:rPr>
          <w:rFonts w:ascii="Arial" w:hAnsi="Arial" w:cs="Arial"/>
        </w:rPr>
        <w:t>haematoxylin</w:t>
      </w:r>
      <w:proofErr w:type="spellEnd"/>
      <w:r w:rsidRPr="00F87D10">
        <w:rPr>
          <w:rFonts w:ascii="Arial" w:hAnsi="Arial" w:cs="Arial"/>
        </w:rPr>
        <w:t xml:space="preserve"> and eosin (H&amp;E) following standard procedures. </w:t>
      </w:r>
    </w:p>
    <w:p w14:paraId="1B61CE0D" w14:textId="4EFE33E2" w:rsidR="001C736C" w:rsidRPr="00F87D10" w:rsidRDefault="001C736C" w:rsidP="001C736C">
      <w:pPr>
        <w:jc w:val="both"/>
        <w:rPr>
          <w:rFonts w:ascii="Arial" w:hAnsi="Arial" w:cs="Arial"/>
          <w:b/>
          <w:bCs/>
          <w:sz w:val="24"/>
          <w:szCs w:val="24"/>
        </w:rPr>
      </w:pPr>
      <w:proofErr w:type="gramStart"/>
      <w:r w:rsidRPr="00F87D10">
        <w:rPr>
          <w:rFonts w:ascii="Arial" w:hAnsi="Arial" w:cs="Arial"/>
          <w:b/>
          <w:bCs/>
        </w:rPr>
        <w:t>2.8  Analytical</w:t>
      </w:r>
      <w:proofErr w:type="gramEnd"/>
      <w:r w:rsidRPr="00F87D10">
        <w:rPr>
          <w:rFonts w:ascii="Arial" w:hAnsi="Arial" w:cs="Arial"/>
          <w:b/>
          <w:bCs/>
        </w:rPr>
        <w:t xml:space="preserve"> statistics</w:t>
      </w:r>
    </w:p>
    <w:p w14:paraId="122A8172" w14:textId="77777777" w:rsidR="001C736C" w:rsidRPr="00F87D10" w:rsidRDefault="001C736C" w:rsidP="001C736C">
      <w:pPr>
        <w:jc w:val="both"/>
        <w:rPr>
          <w:rFonts w:ascii="Arial" w:hAnsi="Arial" w:cs="Arial"/>
        </w:rPr>
      </w:pPr>
      <w:r w:rsidRPr="00F87D10">
        <w:rPr>
          <w:rFonts w:ascii="Arial" w:hAnsi="Arial" w:cs="Arial"/>
        </w:rPr>
        <w:lastRenderedPageBreak/>
        <w:t>The experiment findings are presented as mean ± standard error values. For the statistical study, a one-way analysis of variance followed by Tukey's multiple comparison test P &lt;0.05 was used to determine the significance of the findings.</w:t>
      </w:r>
    </w:p>
    <w:p w14:paraId="1415ABEB" w14:textId="77777777" w:rsidR="00790ADA" w:rsidRPr="00F87D10" w:rsidRDefault="00790ADA" w:rsidP="00441B6F">
      <w:pPr>
        <w:pStyle w:val="Body"/>
        <w:spacing w:after="0"/>
        <w:rPr>
          <w:rFonts w:ascii="Arial" w:hAnsi="Arial" w:cs="Arial"/>
        </w:rPr>
      </w:pPr>
    </w:p>
    <w:p w14:paraId="1E7123D9" w14:textId="77777777" w:rsidR="00902823" w:rsidRPr="00F87D10" w:rsidRDefault="00000F8F" w:rsidP="00441B6F">
      <w:pPr>
        <w:pStyle w:val="Head1"/>
        <w:spacing w:after="0"/>
        <w:jc w:val="both"/>
        <w:rPr>
          <w:rFonts w:ascii="Arial" w:hAnsi="Arial" w:cs="Arial"/>
        </w:rPr>
      </w:pPr>
      <w:r w:rsidRPr="00F87D10">
        <w:rPr>
          <w:rFonts w:ascii="Arial" w:hAnsi="Arial" w:cs="Arial"/>
        </w:rPr>
        <w:t>3</w:t>
      </w:r>
      <w:r w:rsidR="00902823" w:rsidRPr="00F87D10">
        <w:rPr>
          <w:rFonts w:ascii="Arial" w:hAnsi="Arial" w:cs="Arial"/>
        </w:rPr>
        <w:t xml:space="preserve">. </w:t>
      </w:r>
      <w:r w:rsidRPr="00F87D10">
        <w:rPr>
          <w:rFonts w:ascii="Arial" w:hAnsi="Arial" w:cs="Arial"/>
        </w:rPr>
        <w:t>results and discussion</w:t>
      </w:r>
    </w:p>
    <w:p w14:paraId="312695F6" w14:textId="79E5D2FF" w:rsidR="001C736C" w:rsidRPr="00F87D10" w:rsidRDefault="001C736C" w:rsidP="001C736C">
      <w:pPr>
        <w:jc w:val="both"/>
        <w:rPr>
          <w:rFonts w:ascii="Times New Roman" w:hAnsi="Times New Roman"/>
          <w:b/>
          <w:bCs/>
          <w:sz w:val="24"/>
          <w:szCs w:val="24"/>
        </w:rPr>
      </w:pPr>
      <w:r w:rsidRPr="00F87D10">
        <w:rPr>
          <w:rFonts w:ascii="Times New Roman" w:hAnsi="Times New Roman"/>
          <w:b/>
          <w:bCs/>
          <w:sz w:val="24"/>
          <w:szCs w:val="24"/>
        </w:rPr>
        <w:t>3.1 Antioxidant Profile</w:t>
      </w:r>
    </w:p>
    <w:p w14:paraId="1A60E906" w14:textId="3D9C541E" w:rsidR="001C736C" w:rsidRPr="00F87D10" w:rsidRDefault="001C736C" w:rsidP="001C736C">
      <w:pPr>
        <w:jc w:val="both"/>
        <w:rPr>
          <w:rFonts w:ascii="Times New Roman" w:hAnsi="Times New Roman"/>
          <w:b/>
          <w:bCs/>
          <w:sz w:val="24"/>
          <w:szCs w:val="24"/>
        </w:rPr>
      </w:pPr>
      <w:r w:rsidRPr="00F87D10">
        <w:rPr>
          <w:rFonts w:ascii="Times New Roman" w:hAnsi="Times New Roman"/>
          <w:b/>
          <w:bCs/>
          <w:sz w:val="24"/>
          <w:szCs w:val="24"/>
        </w:rPr>
        <w:t>3.1.1 Catalase (CAT</w:t>
      </w:r>
      <w:r w:rsidRPr="00F87D10">
        <w:rPr>
          <w:rFonts w:ascii="Arial" w:hAnsi="Arial" w:cs="Arial"/>
          <w:b/>
          <w:bCs/>
        </w:rPr>
        <w:t xml:space="preserve">): </w:t>
      </w:r>
      <w:r w:rsidRPr="00F87D10">
        <w:rPr>
          <w:rFonts w:ascii="Arial" w:hAnsi="Arial" w:cs="Arial"/>
        </w:rPr>
        <w:t xml:space="preserve">Catalase activity (IU/mg protein) was significantly (P &lt; 0.05) reduced in the bleomycin control group (Group 2: 3.29 ± 0.18) compared with the normal control (Group 1: 8.86 ± 0.18). Treatment with </w:t>
      </w:r>
      <w:proofErr w:type="spellStart"/>
      <w:r w:rsidRPr="00F87D10">
        <w:rPr>
          <w:rFonts w:ascii="Arial" w:hAnsi="Arial" w:cs="Arial"/>
        </w:rPr>
        <w:t>galangin</w:t>
      </w:r>
      <w:proofErr w:type="spellEnd"/>
      <w:r w:rsidRPr="00F87D10">
        <w:rPr>
          <w:rFonts w:ascii="Arial" w:hAnsi="Arial" w:cs="Arial"/>
        </w:rPr>
        <w:t xml:space="preserve"> (Group 5: 5.96 ± 0.16) and </w:t>
      </w:r>
      <w:proofErr w:type="spellStart"/>
      <w:r w:rsidRPr="00F87D10">
        <w:rPr>
          <w:rFonts w:ascii="Arial" w:hAnsi="Arial" w:cs="Arial"/>
        </w:rPr>
        <w:t>piperine</w:t>
      </w:r>
      <w:proofErr w:type="spellEnd"/>
      <w:r w:rsidRPr="00F87D10">
        <w:rPr>
          <w:rFonts w:ascii="Arial" w:hAnsi="Arial" w:cs="Arial"/>
        </w:rPr>
        <w:t xml:space="preserve"> (Group 6: 5.37 ± 0.18) significantly (P &lt; 0.05) increased CAT levels relative to Group 2. The combination group (Group 7: 7.17 ± 0.21) exhibited a greater improvement than the individual treatments. Groups 3 (9.15 ± 0.11) and 4 (9.84 ± 0.16) showed no significant difference from the control</w:t>
      </w:r>
      <w:r w:rsidRPr="00F87D10">
        <w:rPr>
          <w:rFonts w:ascii="Times New Roman" w:hAnsi="Times New Roman"/>
          <w:sz w:val="24"/>
          <w:szCs w:val="24"/>
        </w:rPr>
        <w:t>.</w:t>
      </w:r>
    </w:p>
    <w:p w14:paraId="10EAB689" w14:textId="4789405A" w:rsidR="001C736C" w:rsidRPr="00F87D10" w:rsidRDefault="001C736C" w:rsidP="001C736C">
      <w:pPr>
        <w:jc w:val="both"/>
        <w:rPr>
          <w:rFonts w:ascii="Times New Roman" w:hAnsi="Times New Roman"/>
          <w:b/>
          <w:bCs/>
          <w:sz w:val="24"/>
          <w:szCs w:val="24"/>
        </w:rPr>
      </w:pPr>
      <w:r w:rsidRPr="00F87D10">
        <w:rPr>
          <w:rFonts w:ascii="Times New Roman" w:hAnsi="Times New Roman"/>
          <w:b/>
          <w:bCs/>
          <w:sz w:val="24"/>
          <w:szCs w:val="24"/>
        </w:rPr>
        <w:t xml:space="preserve">3.1.2 Nitrite: </w:t>
      </w:r>
      <w:r w:rsidRPr="00F87D10">
        <w:rPr>
          <w:rFonts w:ascii="Arial" w:hAnsi="Arial" w:cs="Arial"/>
        </w:rPr>
        <w:t xml:space="preserve">Nitrite concentration (µM/mg protein) was markedly (P &lt; 0.05) elevated in the bleomycin group (Group 2: 31.18 ± 0.95) compared with the control (Group 1: 2.38 ± 0.50). Treatment with </w:t>
      </w:r>
      <w:proofErr w:type="spellStart"/>
      <w:r w:rsidRPr="00F87D10">
        <w:rPr>
          <w:rFonts w:ascii="Arial" w:hAnsi="Arial" w:cs="Arial"/>
        </w:rPr>
        <w:t>galangin</w:t>
      </w:r>
      <w:proofErr w:type="spellEnd"/>
      <w:r w:rsidRPr="00F87D10">
        <w:rPr>
          <w:rFonts w:ascii="Arial" w:hAnsi="Arial" w:cs="Arial"/>
        </w:rPr>
        <w:t xml:space="preserve"> (Group 5: 18.24 ± 0.67) and </w:t>
      </w:r>
      <w:proofErr w:type="spellStart"/>
      <w:r w:rsidRPr="00F87D10">
        <w:rPr>
          <w:rFonts w:ascii="Arial" w:hAnsi="Arial" w:cs="Arial"/>
        </w:rPr>
        <w:t>piperine</w:t>
      </w:r>
      <w:proofErr w:type="spellEnd"/>
      <w:r w:rsidRPr="00F87D10">
        <w:rPr>
          <w:rFonts w:ascii="Arial" w:hAnsi="Arial" w:cs="Arial"/>
        </w:rPr>
        <w:t xml:space="preserve"> (Group 6: 20.45 ± 0.96) significantly lowered nitrite levels, while the combination group (Group 7: 15.47 ± 0.67) showed the most pronounced reduction (P &lt; 0.05). Groups 3 (3.23 ± 0.56) and 4 (3.18 ± 0.54) were comparable to Group 1.</w:t>
      </w:r>
    </w:p>
    <w:p w14:paraId="433D8D45" w14:textId="2E27C7DA" w:rsidR="001C736C" w:rsidRPr="00F87D10" w:rsidRDefault="001C736C" w:rsidP="001C736C">
      <w:pPr>
        <w:jc w:val="both"/>
        <w:rPr>
          <w:rFonts w:ascii="Arial" w:hAnsi="Arial" w:cs="Arial"/>
          <w:b/>
          <w:bCs/>
        </w:rPr>
      </w:pPr>
      <w:proofErr w:type="gramStart"/>
      <w:r w:rsidRPr="00F87D10">
        <w:rPr>
          <w:rFonts w:ascii="Times New Roman" w:hAnsi="Times New Roman"/>
          <w:b/>
          <w:bCs/>
          <w:sz w:val="24"/>
          <w:szCs w:val="24"/>
        </w:rPr>
        <w:t>3.1.3  Superoxide</w:t>
      </w:r>
      <w:proofErr w:type="gramEnd"/>
      <w:r w:rsidRPr="00F87D10">
        <w:rPr>
          <w:rFonts w:ascii="Times New Roman" w:hAnsi="Times New Roman"/>
          <w:b/>
          <w:bCs/>
          <w:sz w:val="24"/>
          <w:szCs w:val="24"/>
        </w:rPr>
        <w:t xml:space="preserve"> Dismutase (SOD): </w:t>
      </w:r>
      <w:r w:rsidRPr="00F87D10">
        <w:rPr>
          <w:rFonts w:ascii="Arial" w:hAnsi="Arial" w:cs="Arial"/>
        </w:rPr>
        <w:t xml:space="preserve">SOD activity (IU/mg protein) declined significantly (P &lt; 0.05) in Group 2 (1.84 ± 1.21) versus Group 1 (18.54 ± 1.66). Both </w:t>
      </w:r>
      <w:proofErr w:type="spellStart"/>
      <w:r w:rsidRPr="00F87D10">
        <w:rPr>
          <w:rFonts w:ascii="Arial" w:hAnsi="Arial" w:cs="Arial"/>
        </w:rPr>
        <w:t>galangin</w:t>
      </w:r>
      <w:proofErr w:type="spellEnd"/>
      <w:r w:rsidRPr="00F87D10">
        <w:rPr>
          <w:rFonts w:ascii="Arial" w:hAnsi="Arial" w:cs="Arial"/>
        </w:rPr>
        <w:t xml:space="preserve"> (Group 5: 12.83 ± 1.21) and </w:t>
      </w:r>
      <w:proofErr w:type="spellStart"/>
      <w:r w:rsidRPr="00F87D10">
        <w:rPr>
          <w:rFonts w:ascii="Arial" w:hAnsi="Arial" w:cs="Arial"/>
        </w:rPr>
        <w:t>piperine</w:t>
      </w:r>
      <w:proofErr w:type="spellEnd"/>
      <w:r w:rsidRPr="00F87D10">
        <w:rPr>
          <w:rFonts w:ascii="Arial" w:hAnsi="Arial" w:cs="Arial"/>
        </w:rPr>
        <w:t xml:space="preserve"> (Group 6: 11.92 ± 1.09) treatment improved enzyme levels, with the combination group (Group 7: 15.67 ± 1.54) showing the highest increase (P &lt; 0.05). Groups 3 (19.23 ± 1.27) and 4 (18.45 ± 1.83) remained similar to controls. </w:t>
      </w:r>
    </w:p>
    <w:p w14:paraId="525CA422" w14:textId="511B1B40" w:rsidR="001C736C" w:rsidRPr="00F87D10" w:rsidRDefault="001C736C" w:rsidP="001C736C">
      <w:pPr>
        <w:jc w:val="both"/>
        <w:rPr>
          <w:rFonts w:ascii="Arial" w:hAnsi="Arial" w:cs="Arial"/>
          <w:b/>
          <w:bCs/>
        </w:rPr>
      </w:pPr>
      <w:r w:rsidRPr="00F87D10">
        <w:rPr>
          <w:rFonts w:ascii="Times New Roman" w:hAnsi="Times New Roman"/>
          <w:b/>
          <w:bCs/>
          <w:sz w:val="24"/>
          <w:szCs w:val="24"/>
        </w:rPr>
        <w:t xml:space="preserve">3.1.4 Malondialdehyde (MDA): </w:t>
      </w:r>
      <w:r w:rsidRPr="00F87D10">
        <w:rPr>
          <w:rFonts w:ascii="Arial" w:hAnsi="Arial" w:cs="Arial"/>
        </w:rPr>
        <w:t>MDA concentration (</w:t>
      </w:r>
      <w:proofErr w:type="spellStart"/>
      <w:r w:rsidRPr="00F87D10">
        <w:rPr>
          <w:rFonts w:ascii="Arial" w:hAnsi="Arial" w:cs="Arial"/>
        </w:rPr>
        <w:t>nM</w:t>
      </w:r>
      <w:proofErr w:type="spellEnd"/>
      <w:r w:rsidRPr="00F87D10">
        <w:rPr>
          <w:rFonts w:ascii="Arial" w:hAnsi="Arial" w:cs="Arial"/>
        </w:rPr>
        <w:t xml:space="preserve">/mg protein) was significantly (P &lt; 0.05) higher in the bleomycin group (Group 2: 43.53 ± 1.31) compared with the control (Group 1: 3.92 ± 1.25), indicating increased lipid peroxidation. Treatment with </w:t>
      </w:r>
      <w:proofErr w:type="spellStart"/>
      <w:r w:rsidRPr="00F87D10">
        <w:rPr>
          <w:rFonts w:ascii="Arial" w:hAnsi="Arial" w:cs="Arial"/>
        </w:rPr>
        <w:t>galangin</w:t>
      </w:r>
      <w:proofErr w:type="spellEnd"/>
      <w:r w:rsidRPr="00F87D10">
        <w:rPr>
          <w:rFonts w:ascii="Arial" w:hAnsi="Arial" w:cs="Arial"/>
        </w:rPr>
        <w:t xml:space="preserve"> (Group 5: 23.72 ± 1.14) and </w:t>
      </w:r>
      <w:proofErr w:type="spellStart"/>
      <w:r w:rsidRPr="00F87D10">
        <w:rPr>
          <w:rFonts w:ascii="Arial" w:hAnsi="Arial" w:cs="Arial"/>
        </w:rPr>
        <w:t>piperine</w:t>
      </w:r>
      <w:proofErr w:type="spellEnd"/>
      <w:r w:rsidRPr="00F87D10">
        <w:rPr>
          <w:rFonts w:ascii="Arial" w:hAnsi="Arial" w:cs="Arial"/>
        </w:rPr>
        <w:t xml:space="preserve"> (Group 6: 24.64 ± 1.83) significantly reduced MDA levels, while the combination (Group 7: 15.92 ± 1.38) achieved the greatest reduction. Groups 3 (4.35 ± 1.40) and 4 (4.94 ± 1.46) were statistically comparable to Group 1. </w:t>
      </w:r>
    </w:p>
    <w:p w14:paraId="09DF4EBD" w14:textId="2AA70054" w:rsidR="001C736C" w:rsidRPr="00F87D10" w:rsidRDefault="001C736C" w:rsidP="001C736C">
      <w:pPr>
        <w:jc w:val="both"/>
        <w:rPr>
          <w:rFonts w:ascii="Arial" w:hAnsi="Arial" w:cs="Arial"/>
          <w:b/>
          <w:bCs/>
        </w:rPr>
      </w:pPr>
      <w:proofErr w:type="gramStart"/>
      <w:r w:rsidRPr="00F87D10">
        <w:rPr>
          <w:rFonts w:ascii="Times New Roman" w:hAnsi="Times New Roman"/>
          <w:b/>
          <w:bCs/>
          <w:sz w:val="24"/>
          <w:szCs w:val="24"/>
        </w:rPr>
        <w:t>3.1.5  Reduced</w:t>
      </w:r>
      <w:proofErr w:type="gramEnd"/>
      <w:r w:rsidRPr="00F87D10">
        <w:rPr>
          <w:rFonts w:ascii="Times New Roman" w:hAnsi="Times New Roman"/>
          <w:b/>
          <w:bCs/>
          <w:sz w:val="24"/>
          <w:szCs w:val="24"/>
        </w:rPr>
        <w:t xml:space="preserve"> Glutathione (GSH): </w:t>
      </w:r>
      <w:r w:rsidRPr="00F87D10">
        <w:rPr>
          <w:rFonts w:ascii="Arial" w:hAnsi="Arial" w:cs="Arial"/>
        </w:rPr>
        <w:t xml:space="preserve">GSH concentration (µM/mg protein) was significantly (P &lt; 0.05) decreased in Group 2 (8.79 ± 1.11) compared with Group 1 (42.93 ± 2.07). A significant (P &lt; 0.05) elevation was observed in </w:t>
      </w:r>
      <w:proofErr w:type="spellStart"/>
      <w:r w:rsidRPr="00F87D10">
        <w:rPr>
          <w:rFonts w:ascii="Arial" w:hAnsi="Arial" w:cs="Arial"/>
        </w:rPr>
        <w:t>galangin</w:t>
      </w:r>
      <w:proofErr w:type="spellEnd"/>
      <w:r w:rsidRPr="00F87D10">
        <w:rPr>
          <w:rFonts w:ascii="Arial" w:hAnsi="Arial" w:cs="Arial"/>
        </w:rPr>
        <w:t xml:space="preserve"> (Group 5: 17.93 ± 1.65), </w:t>
      </w:r>
      <w:proofErr w:type="spellStart"/>
      <w:r w:rsidRPr="00F87D10">
        <w:rPr>
          <w:rFonts w:ascii="Arial" w:hAnsi="Arial" w:cs="Arial"/>
        </w:rPr>
        <w:t>piperine</w:t>
      </w:r>
      <w:proofErr w:type="spellEnd"/>
      <w:r w:rsidRPr="00F87D10">
        <w:rPr>
          <w:rFonts w:ascii="Arial" w:hAnsi="Arial" w:cs="Arial"/>
        </w:rPr>
        <w:t xml:space="preserve"> (Group 6: 19.31 ± 1.06), and combination (Group 7: 27.21 ± 1.54) groups, the latter showing superior recovery. Groups 3 (43.33 ± 2.56) and 4 (40.28 ± 1.72) did not differ significantly from Group 1. </w:t>
      </w:r>
    </w:p>
    <w:p w14:paraId="5FA4D26D" w14:textId="737EBAE5" w:rsidR="001C736C" w:rsidRPr="00F87D10" w:rsidRDefault="001C736C" w:rsidP="001C736C">
      <w:pPr>
        <w:jc w:val="both"/>
        <w:rPr>
          <w:rFonts w:ascii="Arial" w:hAnsi="Arial" w:cs="Arial"/>
        </w:rPr>
      </w:pPr>
      <w:r w:rsidRPr="00F87D10">
        <w:rPr>
          <w:rFonts w:ascii="Times New Roman" w:hAnsi="Times New Roman"/>
          <w:b/>
          <w:bCs/>
          <w:sz w:val="24"/>
          <w:szCs w:val="24"/>
        </w:rPr>
        <w:t xml:space="preserve">3.1.6 Myeloperoxidase (MPO): </w:t>
      </w:r>
      <w:r w:rsidRPr="00F87D10">
        <w:rPr>
          <w:rFonts w:ascii="Arial" w:hAnsi="Arial" w:cs="Arial"/>
        </w:rPr>
        <w:t>MPO activity (</w:t>
      </w:r>
      <w:proofErr w:type="spellStart"/>
      <w:r w:rsidRPr="00F87D10">
        <w:rPr>
          <w:rFonts w:ascii="Arial" w:hAnsi="Arial" w:cs="Arial"/>
        </w:rPr>
        <w:t>pg</w:t>
      </w:r>
      <w:proofErr w:type="spellEnd"/>
      <w:r w:rsidRPr="00F87D10">
        <w:rPr>
          <w:rFonts w:ascii="Arial" w:hAnsi="Arial" w:cs="Arial"/>
        </w:rPr>
        <w:t xml:space="preserve">/mg protein) increased significantly (P &lt; 0.05) in the bleomycin group (Group 2: 6.81 ± 0.80) relative to the control (Group 1: 2.29 ± 0.28). This elevation was reduced by </w:t>
      </w:r>
      <w:proofErr w:type="spellStart"/>
      <w:r w:rsidRPr="00F87D10">
        <w:rPr>
          <w:rFonts w:ascii="Arial" w:hAnsi="Arial" w:cs="Arial"/>
        </w:rPr>
        <w:t>galangin</w:t>
      </w:r>
      <w:proofErr w:type="spellEnd"/>
      <w:r w:rsidRPr="00F87D10">
        <w:rPr>
          <w:rFonts w:ascii="Arial" w:hAnsi="Arial" w:cs="Arial"/>
        </w:rPr>
        <w:t xml:space="preserve"> (Group 5: 4.76 ± 0.53), </w:t>
      </w:r>
      <w:proofErr w:type="spellStart"/>
      <w:r w:rsidRPr="00F87D10">
        <w:rPr>
          <w:rFonts w:ascii="Arial" w:hAnsi="Arial" w:cs="Arial"/>
        </w:rPr>
        <w:t>piperine</w:t>
      </w:r>
      <w:proofErr w:type="spellEnd"/>
      <w:r w:rsidRPr="00F87D10">
        <w:rPr>
          <w:rFonts w:ascii="Arial" w:hAnsi="Arial" w:cs="Arial"/>
        </w:rPr>
        <w:t xml:space="preserve"> (Group 6: 4.53 ± 0.36), and most effectively by their combination (Group 7: 3.97 ± 0.06) (P &lt; 0.05). Groups 3 (3.02 ± 0.05) and 4 (3.16 ± 0.32) showed no significant difference from Group 1. </w:t>
      </w:r>
    </w:p>
    <w:p w14:paraId="16935334" w14:textId="77777777" w:rsidR="00DC5AF8" w:rsidRPr="00F87D10" w:rsidRDefault="00DC5AF8" w:rsidP="001C736C">
      <w:pPr>
        <w:jc w:val="both"/>
        <w:rPr>
          <w:rFonts w:ascii="Arial" w:hAnsi="Arial" w:cs="Arial"/>
          <w:b/>
          <w:bCs/>
        </w:rPr>
      </w:pPr>
    </w:p>
    <w:p w14:paraId="2E32742A" w14:textId="32CEAB2C" w:rsidR="00DC5AF8" w:rsidRPr="00F87D10" w:rsidRDefault="00DC5AF8" w:rsidP="001C736C">
      <w:pPr>
        <w:jc w:val="both"/>
        <w:rPr>
          <w:rFonts w:ascii="Arial" w:hAnsi="Arial" w:cs="Arial"/>
          <w:b/>
          <w:bCs/>
        </w:rPr>
      </w:pPr>
      <w:r w:rsidRPr="00F87D10">
        <w:rPr>
          <w:rFonts w:ascii="Arial" w:hAnsi="Arial" w:cs="Arial"/>
          <w:b/>
          <w:bCs/>
        </w:rPr>
        <w:t xml:space="preserve">Table 1: </w:t>
      </w:r>
      <w:r w:rsidR="008F3145" w:rsidRPr="00F87D10">
        <w:rPr>
          <w:rFonts w:ascii="Arial" w:hAnsi="Arial" w:cs="Arial"/>
          <w:b/>
          <w:bCs/>
        </w:rPr>
        <w:t xml:space="preserve"> Effect of Different Treatments on Antioxidant and Oxidative Stress Markers in Experimental Groups</w:t>
      </w:r>
    </w:p>
    <w:tbl>
      <w:tblPr>
        <w:tblpPr w:leftFromText="180" w:rightFromText="180" w:vertAnchor="text" w:horzAnchor="margin" w:tblpY="18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63"/>
        <w:gridCol w:w="1383"/>
        <w:gridCol w:w="1453"/>
        <w:gridCol w:w="1383"/>
        <w:gridCol w:w="1383"/>
        <w:gridCol w:w="1850"/>
      </w:tblGrid>
      <w:tr w:rsidR="001C736C" w:rsidRPr="00F87D10" w14:paraId="124C7A3F" w14:textId="77777777" w:rsidTr="000A1131">
        <w:trPr>
          <w:trHeight w:val="332"/>
        </w:trPr>
        <w:tc>
          <w:tcPr>
            <w:tcW w:w="778" w:type="dxa"/>
          </w:tcPr>
          <w:p w14:paraId="512994EF" w14:textId="77777777" w:rsidR="001C736C" w:rsidRPr="00F87D10" w:rsidRDefault="001C736C" w:rsidP="000A1131">
            <w:pPr>
              <w:ind w:leftChars="-50" w:left="-12" w:rightChars="-76" w:right="-152" w:hangingChars="44" w:hanging="88"/>
              <w:jc w:val="both"/>
              <w:rPr>
                <w:rFonts w:ascii="Arial" w:hAnsi="Arial" w:cs="Arial"/>
                <w:b/>
                <w:bCs/>
                <w:lang w:val="en-GB"/>
              </w:rPr>
            </w:pPr>
            <w:r w:rsidRPr="00F87D10">
              <w:rPr>
                <w:rFonts w:ascii="Arial" w:hAnsi="Arial" w:cs="Arial"/>
                <w:b/>
                <w:bCs/>
                <w:lang w:val="en-GB"/>
              </w:rPr>
              <w:t>Group</w:t>
            </w:r>
          </w:p>
        </w:tc>
        <w:tc>
          <w:tcPr>
            <w:tcW w:w="1263" w:type="dxa"/>
          </w:tcPr>
          <w:p w14:paraId="43437FE6" w14:textId="77777777" w:rsidR="001C736C" w:rsidRPr="00F87D10" w:rsidRDefault="001C736C" w:rsidP="000A1131">
            <w:pPr>
              <w:jc w:val="both"/>
              <w:rPr>
                <w:rFonts w:ascii="Arial" w:hAnsi="Arial" w:cs="Arial"/>
                <w:b/>
                <w:bCs/>
              </w:rPr>
            </w:pPr>
            <w:r w:rsidRPr="00F87D10">
              <w:rPr>
                <w:rFonts w:ascii="Arial" w:hAnsi="Arial" w:cs="Arial"/>
                <w:b/>
                <w:bCs/>
              </w:rPr>
              <w:t>Catalase</w:t>
            </w:r>
          </w:p>
        </w:tc>
        <w:tc>
          <w:tcPr>
            <w:tcW w:w="1383" w:type="dxa"/>
          </w:tcPr>
          <w:p w14:paraId="0F8E63B0" w14:textId="77777777" w:rsidR="001C736C" w:rsidRPr="00F87D10" w:rsidRDefault="001C736C" w:rsidP="000A1131">
            <w:pPr>
              <w:jc w:val="both"/>
              <w:rPr>
                <w:rFonts w:ascii="Arial" w:hAnsi="Arial" w:cs="Arial"/>
                <w:b/>
                <w:bCs/>
              </w:rPr>
            </w:pPr>
            <w:r w:rsidRPr="00F87D10">
              <w:rPr>
                <w:rFonts w:ascii="Arial" w:hAnsi="Arial" w:cs="Arial"/>
                <w:b/>
                <w:bCs/>
              </w:rPr>
              <w:t>Nitrite</w:t>
            </w:r>
          </w:p>
        </w:tc>
        <w:tc>
          <w:tcPr>
            <w:tcW w:w="1453" w:type="dxa"/>
          </w:tcPr>
          <w:p w14:paraId="64931533" w14:textId="77777777" w:rsidR="001C736C" w:rsidRPr="00F87D10" w:rsidRDefault="001C736C" w:rsidP="000A1131">
            <w:pPr>
              <w:jc w:val="both"/>
              <w:rPr>
                <w:rFonts w:ascii="Arial" w:hAnsi="Arial" w:cs="Arial"/>
                <w:b/>
                <w:bCs/>
              </w:rPr>
            </w:pPr>
            <w:r w:rsidRPr="00F87D10">
              <w:rPr>
                <w:rFonts w:ascii="Arial" w:hAnsi="Arial" w:cs="Arial"/>
                <w:b/>
                <w:bCs/>
              </w:rPr>
              <w:t>SOD</w:t>
            </w:r>
          </w:p>
        </w:tc>
        <w:tc>
          <w:tcPr>
            <w:tcW w:w="1383" w:type="dxa"/>
          </w:tcPr>
          <w:p w14:paraId="79A1438E" w14:textId="77777777" w:rsidR="001C736C" w:rsidRPr="00F87D10" w:rsidRDefault="001C736C" w:rsidP="000A1131">
            <w:pPr>
              <w:jc w:val="both"/>
              <w:rPr>
                <w:rFonts w:ascii="Arial" w:hAnsi="Arial" w:cs="Arial"/>
                <w:b/>
                <w:bCs/>
              </w:rPr>
            </w:pPr>
            <w:r w:rsidRPr="00F87D10">
              <w:rPr>
                <w:rFonts w:ascii="Arial" w:hAnsi="Arial" w:cs="Arial"/>
                <w:b/>
                <w:bCs/>
              </w:rPr>
              <w:t>MDA</w:t>
            </w:r>
          </w:p>
        </w:tc>
        <w:tc>
          <w:tcPr>
            <w:tcW w:w="1383" w:type="dxa"/>
          </w:tcPr>
          <w:p w14:paraId="3AA98C5B" w14:textId="77777777" w:rsidR="001C736C" w:rsidRPr="00F87D10" w:rsidRDefault="001C736C" w:rsidP="000A1131">
            <w:pPr>
              <w:jc w:val="both"/>
              <w:rPr>
                <w:rFonts w:ascii="Arial" w:hAnsi="Arial" w:cs="Arial"/>
                <w:b/>
                <w:bCs/>
              </w:rPr>
            </w:pPr>
            <w:r w:rsidRPr="00F87D10">
              <w:rPr>
                <w:rFonts w:ascii="Arial" w:hAnsi="Arial" w:cs="Arial"/>
                <w:b/>
                <w:bCs/>
              </w:rPr>
              <w:t>GSH</w:t>
            </w:r>
          </w:p>
        </w:tc>
        <w:tc>
          <w:tcPr>
            <w:tcW w:w="1850" w:type="dxa"/>
          </w:tcPr>
          <w:p w14:paraId="157A5CF2" w14:textId="77777777" w:rsidR="001C736C" w:rsidRPr="00F87D10" w:rsidRDefault="001C736C" w:rsidP="000A1131">
            <w:pPr>
              <w:jc w:val="both"/>
              <w:rPr>
                <w:rFonts w:ascii="Arial" w:hAnsi="Arial" w:cs="Arial"/>
                <w:b/>
              </w:rPr>
            </w:pPr>
            <w:r w:rsidRPr="00F87D10">
              <w:rPr>
                <w:rFonts w:ascii="Arial" w:hAnsi="Arial" w:cs="Arial"/>
                <w:b/>
              </w:rPr>
              <w:t>Myeloperoxidase</w:t>
            </w:r>
          </w:p>
        </w:tc>
      </w:tr>
      <w:tr w:rsidR="001C736C" w:rsidRPr="00F87D10" w14:paraId="14636EBB" w14:textId="77777777" w:rsidTr="000A1131">
        <w:trPr>
          <w:trHeight w:val="251"/>
        </w:trPr>
        <w:tc>
          <w:tcPr>
            <w:tcW w:w="778" w:type="dxa"/>
          </w:tcPr>
          <w:p w14:paraId="1AFA7D8F" w14:textId="77777777" w:rsidR="001C736C" w:rsidRPr="00F87D10" w:rsidRDefault="001C736C" w:rsidP="000A1131">
            <w:pPr>
              <w:jc w:val="both"/>
              <w:rPr>
                <w:rFonts w:ascii="Arial" w:hAnsi="Arial" w:cs="Arial"/>
              </w:rPr>
            </w:pPr>
            <w:r w:rsidRPr="00F87D10">
              <w:rPr>
                <w:rFonts w:ascii="Arial" w:hAnsi="Arial" w:cs="Arial"/>
                <w:lang w:val="en-GB"/>
              </w:rPr>
              <w:t>1.</w:t>
            </w:r>
          </w:p>
        </w:tc>
        <w:tc>
          <w:tcPr>
            <w:tcW w:w="1263" w:type="dxa"/>
            <w:vAlign w:val="bottom"/>
          </w:tcPr>
          <w:p w14:paraId="16AF930B" w14:textId="77777777" w:rsidR="001C736C" w:rsidRPr="00F87D10" w:rsidRDefault="001C736C" w:rsidP="000A1131">
            <w:pPr>
              <w:jc w:val="both"/>
              <w:rPr>
                <w:rFonts w:ascii="Arial" w:hAnsi="Arial" w:cs="Arial"/>
                <w:b/>
                <w:bCs/>
                <w:vertAlign w:val="superscript"/>
                <w:lang w:val="en-GB"/>
              </w:rPr>
            </w:pPr>
            <w:r w:rsidRPr="00F87D10">
              <w:rPr>
                <w:rFonts w:ascii="Arial" w:hAnsi="Arial" w:cs="Arial"/>
                <w:color w:val="000000"/>
              </w:rPr>
              <w:t>8.86±0.18</w:t>
            </w:r>
            <w:r w:rsidRPr="00F87D10">
              <w:rPr>
                <w:rFonts w:ascii="Arial" w:hAnsi="Arial" w:cs="Arial"/>
                <w:color w:val="000000"/>
                <w:vertAlign w:val="superscript"/>
                <w:lang w:val="en-GB"/>
              </w:rPr>
              <w:t>a</w:t>
            </w:r>
          </w:p>
        </w:tc>
        <w:tc>
          <w:tcPr>
            <w:tcW w:w="1383" w:type="dxa"/>
            <w:vAlign w:val="bottom"/>
          </w:tcPr>
          <w:p w14:paraId="68A8DA65" w14:textId="77777777" w:rsidR="001C736C" w:rsidRPr="00F87D10" w:rsidRDefault="001C736C" w:rsidP="000A1131">
            <w:pPr>
              <w:jc w:val="both"/>
              <w:rPr>
                <w:rFonts w:ascii="Arial" w:hAnsi="Arial" w:cs="Arial"/>
              </w:rPr>
            </w:pPr>
            <w:r w:rsidRPr="00F87D10">
              <w:rPr>
                <w:rFonts w:ascii="Arial" w:hAnsi="Arial" w:cs="Arial"/>
                <w:color w:val="000000"/>
              </w:rPr>
              <w:t>2.38±0.50</w:t>
            </w:r>
            <w:r w:rsidRPr="00F87D10">
              <w:rPr>
                <w:rFonts w:ascii="Arial" w:hAnsi="Arial" w:cs="Arial"/>
                <w:color w:val="000000"/>
                <w:vertAlign w:val="superscript"/>
                <w:lang w:val="en-GB"/>
              </w:rPr>
              <w:t>a</w:t>
            </w:r>
          </w:p>
        </w:tc>
        <w:tc>
          <w:tcPr>
            <w:tcW w:w="1453" w:type="dxa"/>
            <w:vAlign w:val="bottom"/>
          </w:tcPr>
          <w:p w14:paraId="30CF46E2" w14:textId="77777777" w:rsidR="001C736C" w:rsidRPr="00F87D10" w:rsidRDefault="001C736C" w:rsidP="000A1131">
            <w:pPr>
              <w:jc w:val="both"/>
              <w:rPr>
                <w:rFonts w:ascii="Arial" w:hAnsi="Arial" w:cs="Arial"/>
                <w:color w:val="000000"/>
              </w:rPr>
            </w:pPr>
            <w:r w:rsidRPr="00F87D10">
              <w:rPr>
                <w:rFonts w:ascii="Arial" w:hAnsi="Arial" w:cs="Arial"/>
                <w:color w:val="000000"/>
              </w:rPr>
              <w:t>18.54±1.66</w:t>
            </w:r>
            <w:r w:rsidRPr="00F87D10">
              <w:rPr>
                <w:rFonts w:ascii="Arial" w:hAnsi="Arial" w:cs="Arial"/>
                <w:color w:val="000000"/>
                <w:vertAlign w:val="superscript"/>
              </w:rPr>
              <w:t>a</w:t>
            </w:r>
          </w:p>
        </w:tc>
        <w:tc>
          <w:tcPr>
            <w:tcW w:w="1383" w:type="dxa"/>
            <w:vAlign w:val="bottom"/>
          </w:tcPr>
          <w:p w14:paraId="1ADF1F0D" w14:textId="77777777" w:rsidR="001C736C" w:rsidRPr="00F87D10" w:rsidRDefault="001C736C" w:rsidP="000A1131">
            <w:pPr>
              <w:jc w:val="both"/>
              <w:rPr>
                <w:rFonts w:ascii="Arial" w:hAnsi="Arial" w:cs="Arial"/>
                <w:color w:val="000000"/>
              </w:rPr>
            </w:pPr>
            <w:r w:rsidRPr="00F87D10">
              <w:rPr>
                <w:rFonts w:ascii="Arial" w:hAnsi="Arial" w:cs="Arial"/>
                <w:color w:val="000000"/>
              </w:rPr>
              <w:t>3.92±1.25</w:t>
            </w:r>
            <w:r w:rsidRPr="00F87D10">
              <w:rPr>
                <w:rFonts w:ascii="Arial" w:hAnsi="Arial" w:cs="Arial"/>
                <w:color w:val="000000"/>
                <w:vertAlign w:val="superscript"/>
                <w:lang w:val="en-GB"/>
              </w:rPr>
              <w:t>a</w:t>
            </w:r>
          </w:p>
        </w:tc>
        <w:tc>
          <w:tcPr>
            <w:tcW w:w="1383" w:type="dxa"/>
            <w:vAlign w:val="bottom"/>
          </w:tcPr>
          <w:p w14:paraId="7CB6EC1E" w14:textId="77777777" w:rsidR="001C736C" w:rsidRPr="00F87D10" w:rsidRDefault="001C736C" w:rsidP="000A1131">
            <w:pPr>
              <w:jc w:val="both"/>
              <w:rPr>
                <w:rFonts w:ascii="Arial" w:hAnsi="Arial" w:cs="Arial"/>
                <w:color w:val="000000"/>
              </w:rPr>
            </w:pPr>
            <w:r w:rsidRPr="00F87D10">
              <w:rPr>
                <w:rFonts w:ascii="Arial" w:hAnsi="Arial" w:cs="Arial"/>
                <w:color w:val="000000"/>
              </w:rPr>
              <w:t>42.93±</w:t>
            </w:r>
            <w:r w:rsidRPr="00F87D10">
              <w:rPr>
                <w:rFonts w:ascii="Arial" w:hAnsi="Arial" w:cs="Arial"/>
                <w:color w:val="000000"/>
                <w:lang w:val="en-GB"/>
              </w:rPr>
              <w:t>2</w:t>
            </w:r>
            <w:r w:rsidRPr="00F87D10">
              <w:rPr>
                <w:rFonts w:ascii="Arial" w:hAnsi="Arial" w:cs="Arial"/>
                <w:color w:val="000000"/>
              </w:rPr>
              <w:t>.07</w:t>
            </w:r>
            <w:r w:rsidRPr="00F87D10">
              <w:rPr>
                <w:rFonts w:ascii="Arial" w:hAnsi="Arial" w:cs="Arial"/>
                <w:color w:val="000000"/>
                <w:vertAlign w:val="superscript"/>
              </w:rPr>
              <w:t>a</w:t>
            </w:r>
          </w:p>
        </w:tc>
        <w:tc>
          <w:tcPr>
            <w:tcW w:w="1850" w:type="dxa"/>
            <w:vAlign w:val="bottom"/>
          </w:tcPr>
          <w:p w14:paraId="108D3629" w14:textId="77777777" w:rsidR="001C736C" w:rsidRPr="00F87D10" w:rsidRDefault="001C736C" w:rsidP="000A1131">
            <w:pPr>
              <w:jc w:val="both"/>
              <w:rPr>
                <w:rFonts w:ascii="Arial" w:hAnsi="Arial" w:cs="Arial"/>
                <w:color w:val="000000"/>
              </w:rPr>
            </w:pPr>
            <w:r w:rsidRPr="00F87D10">
              <w:rPr>
                <w:rFonts w:ascii="Arial" w:hAnsi="Arial" w:cs="Arial"/>
              </w:rPr>
              <w:t>2.29±0.28</w:t>
            </w:r>
            <w:r w:rsidRPr="00F87D10">
              <w:rPr>
                <w:rFonts w:ascii="Arial" w:hAnsi="Arial" w:cs="Arial"/>
                <w:vertAlign w:val="superscript"/>
                <w:lang w:val="en-GB"/>
              </w:rPr>
              <w:t>a</w:t>
            </w:r>
          </w:p>
        </w:tc>
      </w:tr>
      <w:tr w:rsidR="001C736C" w:rsidRPr="00F87D10" w14:paraId="1400140C" w14:textId="77777777" w:rsidTr="000A1131">
        <w:trPr>
          <w:trHeight w:val="251"/>
        </w:trPr>
        <w:tc>
          <w:tcPr>
            <w:tcW w:w="778" w:type="dxa"/>
          </w:tcPr>
          <w:p w14:paraId="459BB960" w14:textId="77777777" w:rsidR="001C736C" w:rsidRPr="00F87D10" w:rsidRDefault="001C736C" w:rsidP="000A1131">
            <w:pPr>
              <w:jc w:val="both"/>
              <w:rPr>
                <w:rFonts w:ascii="Arial" w:hAnsi="Arial" w:cs="Arial"/>
              </w:rPr>
            </w:pPr>
            <w:r w:rsidRPr="00F87D10">
              <w:rPr>
                <w:rFonts w:ascii="Arial" w:hAnsi="Arial" w:cs="Arial"/>
                <w:lang w:val="en-GB"/>
              </w:rPr>
              <w:t>2.</w:t>
            </w:r>
          </w:p>
        </w:tc>
        <w:tc>
          <w:tcPr>
            <w:tcW w:w="1263" w:type="dxa"/>
            <w:vAlign w:val="bottom"/>
          </w:tcPr>
          <w:p w14:paraId="02236F9F" w14:textId="77777777" w:rsidR="001C736C" w:rsidRPr="00F87D10" w:rsidRDefault="001C736C" w:rsidP="000A1131">
            <w:pPr>
              <w:jc w:val="both"/>
              <w:rPr>
                <w:rFonts w:ascii="Arial" w:hAnsi="Arial" w:cs="Arial"/>
                <w:b/>
                <w:bCs/>
                <w:vertAlign w:val="superscript"/>
                <w:lang w:val="en-GB"/>
              </w:rPr>
            </w:pPr>
            <w:r w:rsidRPr="00F87D10">
              <w:rPr>
                <w:rFonts w:ascii="Arial" w:hAnsi="Arial" w:cs="Arial"/>
                <w:color w:val="000000"/>
              </w:rPr>
              <w:t>3.29±0.18</w:t>
            </w:r>
            <w:r w:rsidRPr="00F87D10">
              <w:rPr>
                <w:rFonts w:ascii="Arial" w:hAnsi="Arial" w:cs="Arial"/>
                <w:color w:val="000000"/>
                <w:vertAlign w:val="superscript"/>
                <w:lang w:val="en-GB"/>
              </w:rPr>
              <w:t>b</w:t>
            </w:r>
          </w:p>
        </w:tc>
        <w:tc>
          <w:tcPr>
            <w:tcW w:w="1383" w:type="dxa"/>
            <w:vAlign w:val="bottom"/>
          </w:tcPr>
          <w:p w14:paraId="247DCEC7" w14:textId="77777777" w:rsidR="001C736C" w:rsidRPr="00F87D10" w:rsidRDefault="001C736C" w:rsidP="000A1131">
            <w:pPr>
              <w:jc w:val="both"/>
              <w:rPr>
                <w:rFonts w:ascii="Arial" w:hAnsi="Arial" w:cs="Arial"/>
              </w:rPr>
            </w:pPr>
            <w:r w:rsidRPr="00F87D10">
              <w:rPr>
                <w:rFonts w:ascii="Arial" w:hAnsi="Arial" w:cs="Arial"/>
                <w:color w:val="000000"/>
              </w:rPr>
              <w:t>31.18±0.95</w:t>
            </w:r>
            <w:r w:rsidRPr="00F87D10">
              <w:rPr>
                <w:rFonts w:ascii="Arial" w:hAnsi="Arial" w:cs="Arial"/>
                <w:color w:val="000000"/>
                <w:vertAlign w:val="superscript"/>
                <w:lang w:val="en-GB"/>
              </w:rPr>
              <w:t>b</w:t>
            </w:r>
          </w:p>
        </w:tc>
        <w:tc>
          <w:tcPr>
            <w:tcW w:w="1453" w:type="dxa"/>
            <w:vAlign w:val="bottom"/>
          </w:tcPr>
          <w:p w14:paraId="09725BA0" w14:textId="77777777" w:rsidR="001C736C" w:rsidRPr="00F87D10" w:rsidRDefault="001C736C" w:rsidP="000A1131">
            <w:pPr>
              <w:jc w:val="both"/>
              <w:rPr>
                <w:rFonts w:ascii="Arial" w:hAnsi="Arial" w:cs="Arial"/>
                <w:color w:val="000000"/>
              </w:rPr>
            </w:pPr>
            <w:r w:rsidRPr="00F87D10">
              <w:rPr>
                <w:rFonts w:ascii="Arial" w:hAnsi="Arial" w:cs="Arial"/>
                <w:color w:val="000000"/>
                <w:lang w:val="en-GB"/>
              </w:rPr>
              <w:t>1</w:t>
            </w:r>
            <w:r w:rsidRPr="00F87D10">
              <w:rPr>
                <w:rFonts w:ascii="Arial" w:hAnsi="Arial" w:cs="Arial"/>
                <w:color w:val="000000"/>
              </w:rPr>
              <w:t>.84±1.21</w:t>
            </w:r>
            <w:r w:rsidRPr="00F87D10">
              <w:rPr>
                <w:rFonts w:ascii="Arial" w:hAnsi="Arial" w:cs="Arial"/>
                <w:color w:val="000000"/>
                <w:vertAlign w:val="superscript"/>
                <w:lang w:val="en-GB"/>
              </w:rPr>
              <w:t>b</w:t>
            </w:r>
          </w:p>
        </w:tc>
        <w:tc>
          <w:tcPr>
            <w:tcW w:w="1383" w:type="dxa"/>
            <w:vAlign w:val="bottom"/>
          </w:tcPr>
          <w:p w14:paraId="0331BD81" w14:textId="77777777" w:rsidR="001C736C" w:rsidRPr="00F87D10" w:rsidRDefault="001C736C" w:rsidP="000A1131">
            <w:pPr>
              <w:jc w:val="both"/>
              <w:rPr>
                <w:rFonts w:ascii="Arial" w:hAnsi="Arial" w:cs="Arial"/>
                <w:color w:val="000000"/>
              </w:rPr>
            </w:pPr>
            <w:r w:rsidRPr="00F87D10">
              <w:rPr>
                <w:rFonts w:ascii="Arial" w:hAnsi="Arial" w:cs="Arial"/>
                <w:color w:val="000000"/>
              </w:rPr>
              <w:t>43.53±1.31</w:t>
            </w:r>
            <w:r w:rsidRPr="00F87D10">
              <w:rPr>
                <w:rFonts w:ascii="Arial" w:hAnsi="Arial" w:cs="Arial"/>
                <w:color w:val="000000"/>
                <w:vertAlign w:val="superscript"/>
                <w:lang w:val="en-GB"/>
              </w:rPr>
              <w:t>b</w:t>
            </w:r>
          </w:p>
        </w:tc>
        <w:tc>
          <w:tcPr>
            <w:tcW w:w="1383" w:type="dxa"/>
            <w:vAlign w:val="bottom"/>
          </w:tcPr>
          <w:p w14:paraId="263FB011" w14:textId="77777777" w:rsidR="001C736C" w:rsidRPr="00F87D10" w:rsidRDefault="001C736C" w:rsidP="000A1131">
            <w:pPr>
              <w:jc w:val="both"/>
              <w:rPr>
                <w:rFonts w:ascii="Arial" w:hAnsi="Arial" w:cs="Arial"/>
                <w:color w:val="000000"/>
              </w:rPr>
            </w:pPr>
            <w:r w:rsidRPr="00F87D10">
              <w:rPr>
                <w:rFonts w:ascii="Arial" w:hAnsi="Arial" w:cs="Arial"/>
                <w:color w:val="000000"/>
              </w:rPr>
              <w:t>8.79±1.11</w:t>
            </w:r>
            <w:r w:rsidRPr="00F87D10">
              <w:rPr>
                <w:rFonts w:ascii="Arial" w:hAnsi="Arial" w:cs="Arial"/>
                <w:color w:val="000000"/>
                <w:vertAlign w:val="superscript"/>
                <w:lang w:val="en-GB"/>
              </w:rPr>
              <w:t>b</w:t>
            </w:r>
          </w:p>
        </w:tc>
        <w:tc>
          <w:tcPr>
            <w:tcW w:w="1850" w:type="dxa"/>
            <w:vAlign w:val="bottom"/>
          </w:tcPr>
          <w:p w14:paraId="74524A7A" w14:textId="77777777" w:rsidR="001C736C" w:rsidRPr="00F87D10" w:rsidRDefault="001C736C" w:rsidP="000A1131">
            <w:pPr>
              <w:jc w:val="both"/>
              <w:rPr>
                <w:rFonts w:ascii="Arial" w:hAnsi="Arial" w:cs="Arial"/>
                <w:color w:val="000000"/>
              </w:rPr>
            </w:pPr>
            <w:r w:rsidRPr="00F87D10">
              <w:rPr>
                <w:rFonts w:ascii="Arial" w:hAnsi="Arial" w:cs="Arial"/>
              </w:rPr>
              <w:t>6.81±0.80</w:t>
            </w:r>
            <w:r w:rsidRPr="00F87D10">
              <w:rPr>
                <w:rFonts w:ascii="Arial" w:hAnsi="Arial" w:cs="Arial"/>
                <w:vertAlign w:val="superscript"/>
                <w:lang w:val="en-GB"/>
              </w:rPr>
              <w:t>b</w:t>
            </w:r>
          </w:p>
        </w:tc>
      </w:tr>
      <w:tr w:rsidR="001C736C" w:rsidRPr="00F87D10" w14:paraId="66CEF445" w14:textId="77777777" w:rsidTr="000A1131">
        <w:trPr>
          <w:trHeight w:val="251"/>
        </w:trPr>
        <w:tc>
          <w:tcPr>
            <w:tcW w:w="778" w:type="dxa"/>
          </w:tcPr>
          <w:p w14:paraId="620DCF39" w14:textId="77777777" w:rsidR="001C736C" w:rsidRPr="00F87D10" w:rsidRDefault="001C736C" w:rsidP="000A1131">
            <w:pPr>
              <w:jc w:val="both"/>
              <w:rPr>
                <w:rFonts w:ascii="Arial" w:hAnsi="Arial" w:cs="Arial"/>
              </w:rPr>
            </w:pPr>
            <w:r w:rsidRPr="00F87D10">
              <w:rPr>
                <w:rFonts w:ascii="Arial" w:hAnsi="Arial" w:cs="Arial"/>
                <w:lang w:val="en-GB"/>
              </w:rPr>
              <w:t>3.</w:t>
            </w:r>
          </w:p>
        </w:tc>
        <w:tc>
          <w:tcPr>
            <w:tcW w:w="1263" w:type="dxa"/>
            <w:vAlign w:val="bottom"/>
          </w:tcPr>
          <w:p w14:paraId="46D3A6C2" w14:textId="77777777" w:rsidR="001C736C" w:rsidRPr="00F87D10" w:rsidRDefault="001C736C" w:rsidP="000A1131">
            <w:pPr>
              <w:jc w:val="both"/>
              <w:rPr>
                <w:rFonts w:ascii="Arial" w:hAnsi="Arial" w:cs="Arial"/>
                <w:b/>
                <w:bCs/>
                <w:vertAlign w:val="superscript"/>
                <w:lang w:val="en-GB"/>
              </w:rPr>
            </w:pPr>
            <w:r w:rsidRPr="00F87D10">
              <w:rPr>
                <w:rFonts w:ascii="Arial" w:hAnsi="Arial" w:cs="Arial"/>
                <w:color w:val="000000"/>
              </w:rPr>
              <w:t>9.15±0.11</w:t>
            </w:r>
            <w:r w:rsidRPr="00F87D10">
              <w:rPr>
                <w:rFonts w:ascii="Arial" w:hAnsi="Arial" w:cs="Arial"/>
                <w:color w:val="000000"/>
                <w:vertAlign w:val="superscript"/>
              </w:rPr>
              <w:t>a</w:t>
            </w:r>
          </w:p>
        </w:tc>
        <w:tc>
          <w:tcPr>
            <w:tcW w:w="1383" w:type="dxa"/>
            <w:vAlign w:val="bottom"/>
          </w:tcPr>
          <w:p w14:paraId="40B12D47" w14:textId="77777777" w:rsidR="001C736C" w:rsidRPr="00F87D10" w:rsidRDefault="001C736C" w:rsidP="000A1131">
            <w:pPr>
              <w:jc w:val="both"/>
              <w:rPr>
                <w:rFonts w:ascii="Arial" w:hAnsi="Arial" w:cs="Arial"/>
                <w:lang w:val="en-GB"/>
              </w:rPr>
            </w:pPr>
            <w:r w:rsidRPr="00F87D10">
              <w:rPr>
                <w:rFonts w:ascii="Arial" w:hAnsi="Arial" w:cs="Arial"/>
                <w:color w:val="000000"/>
                <w:lang w:val="en-GB"/>
              </w:rPr>
              <w:t>3</w:t>
            </w:r>
            <w:r w:rsidRPr="00F87D10">
              <w:rPr>
                <w:rFonts w:ascii="Arial" w:hAnsi="Arial" w:cs="Arial"/>
                <w:color w:val="000000"/>
              </w:rPr>
              <w:t>.23±0.56</w:t>
            </w:r>
            <w:r w:rsidRPr="00F87D10">
              <w:rPr>
                <w:rFonts w:ascii="Arial" w:hAnsi="Arial" w:cs="Arial"/>
                <w:color w:val="000000"/>
                <w:vertAlign w:val="superscript"/>
                <w:lang w:val="en-GB"/>
              </w:rPr>
              <w:t>a</w:t>
            </w:r>
          </w:p>
        </w:tc>
        <w:tc>
          <w:tcPr>
            <w:tcW w:w="1453" w:type="dxa"/>
            <w:vAlign w:val="bottom"/>
          </w:tcPr>
          <w:p w14:paraId="6822DD99" w14:textId="77777777" w:rsidR="001C736C" w:rsidRPr="00F87D10" w:rsidRDefault="001C736C" w:rsidP="000A1131">
            <w:pPr>
              <w:jc w:val="both"/>
              <w:rPr>
                <w:rFonts w:ascii="Arial" w:hAnsi="Arial" w:cs="Arial"/>
                <w:color w:val="000000"/>
                <w:lang w:val="en-GB"/>
              </w:rPr>
            </w:pPr>
            <w:r w:rsidRPr="00F87D10">
              <w:rPr>
                <w:rFonts w:ascii="Arial" w:hAnsi="Arial" w:cs="Arial"/>
                <w:color w:val="000000"/>
              </w:rPr>
              <w:t>1</w:t>
            </w:r>
            <w:r w:rsidRPr="00F87D10">
              <w:rPr>
                <w:rFonts w:ascii="Arial" w:hAnsi="Arial" w:cs="Arial"/>
                <w:color w:val="000000"/>
                <w:lang w:val="en-GB"/>
              </w:rPr>
              <w:t>9</w:t>
            </w:r>
            <w:r w:rsidRPr="00F87D10">
              <w:rPr>
                <w:rFonts w:ascii="Arial" w:hAnsi="Arial" w:cs="Arial"/>
                <w:color w:val="000000"/>
              </w:rPr>
              <w:t>.23±1.27</w:t>
            </w:r>
            <w:r w:rsidRPr="00F87D10">
              <w:rPr>
                <w:rFonts w:ascii="Arial" w:hAnsi="Arial" w:cs="Arial"/>
                <w:color w:val="000000"/>
                <w:vertAlign w:val="superscript"/>
                <w:lang w:val="en-GB"/>
              </w:rPr>
              <w:t>a</w:t>
            </w:r>
          </w:p>
        </w:tc>
        <w:tc>
          <w:tcPr>
            <w:tcW w:w="1383" w:type="dxa"/>
            <w:vAlign w:val="bottom"/>
          </w:tcPr>
          <w:p w14:paraId="1C9C2A80" w14:textId="77777777" w:rsidR="001C736C" w:rsidRPr="00F87D10" w:rsidRDefault="001C736C" w:rsidP="000A1131">
            <w:pPr>
              <w:jc w:val="both"/>
              <w:rPr>
                <w:rFonts w:ascii="Arial" w:hAnsi="Arial" w:cs="Arial"/>
                <w:color w:val="000000"/>
                <w:lang w:val="en-GB"/>
              </w:rPr>
            </w:pPr>
            <w:r w:rsidRPr="00F87D10">
              <w:rPr>
                <w:rFonts w:ascii="Arial" w:hAnsi="Arial" w:cs="Arial"/>
                <w:color w:val="000000"/>
                <w:lang w:val="en-GB"/>
              </w:rPr>
              <w:t>4</w:t>
            </w:r>
            <w:r w:rsidRPr="00F87D10">
              <w:rPr>
                <w:rFonts w:ascii="Arial" w:hAnsi="Arial" w:cs="Arial"/>
                <w:color w:val="000000"/>
              </w:rPr>
              <w:t>.35±1.40</w:t>
            </w:r>
            <w:r w:rsidRPr="00F87D10">
              <w:rPr>
                <w:rFonts w:ascii="Arial" w:hAnsi="Arial" w:cs="Arial"/>
                <w:color w:val="000000"/>
                <w:vertAlign w:val="superscript"/>
                <w:lang w:val="en-GB"/>
              </w:rPr>
              <w:t>a</w:t>
            </w:r>
          </w:p>
        </w:tc>
        <w:tc>
          <w:tcPr>
            <w:tcW w:w="1383" w:type="dxa"/>
            <w:vAlign w:val="bottom"/>
          </w:tcPr>
          <w:p w14:paraId="2E1723E7" w14:textId="77777777" w:rsidR="001C736C" w:rsidRPr="00F87D10" w:rsidRDefault="001C736C" w:rsidP="000A1131">
            <w:pPr>
              <w:jc w:val="both"/>
              <w:rPr>
                <w:rFonts w:ascii="Arial" w:hAnsi="Arial" w:cs="Arial"/>
                <w:color w:val="000000"/>
                <w:lang w:val="en-GB"/>
              </w:rPr>
            </w:pPr>
            <w:r w:rsidRPr="00F87D10">
              <w:rPr>
                <w:rFonts w:ascii="Arial" w:hAnsi="Arial" w:cs="Arial"/>
                <w:color w:val="000000"/>
                <w:lang w:val="en-GB"/>
              </w:rPr>
              <w:t>43.33</w:t>
            </w:r>
            <w:r w:rsidRPr="00F87D10">
              <w:rPr>
                <w:rFonts w:ascii="Arial" w:hAnsi="Arial" w:cs="Arial"/>
                <w:color w:val="000000"/>
              </w:rPr>
              <w:t>±</w:t>
            </w:r>
            <w:r w:rsidRPr="00F87D10">
              <w:rPr>
                <w:rFonts w:ascii="Arial" w:hAnsi="Arial" w:cs="Arial"/>
                <w:color w:val="000000"/>
                <w:lang w:val="en-GB"/>
              </w:rPr>
              <w:t>2</w:t>
            </w:r>
            <w:r w:rsidRPr="00F87D10">
              <w:rPr>
                <w:rFonts w:ascii="Arial" w:hAnsi="Arial" w:cs="Arial"/>
                <w:color w:val="000000"/>
              </w:rPr>
              <w:t>.56</w:t>
            </w:r>
            <w:r w:rsidRPr="00F87D10">
              <w:rPr>
                <w:rFonts w:ascii="Arial" w:hAnsi="Arial" w:cs="Arial"/>
                <w:color w:val="000000"/>
                <w:vertAlign w:val="superscript"/>
                <w:lang w:val="en-GB"/>
              </w:rPr>
              <w:t>a</w:t>
            </w:r>
          </w:p>
        </w:tc>
        <w:tc>
          <w:tcPr>
            <w:tcW w:w="1850" w:type="dxa"/>
            <w:vAlign w:val="bottom"/>
          </w:tcPr>
          <w:p w14:paraId="48C91F9F" w14:textId="77777777" w:rsidR="001C736C" w:rsidRPr="00F87D10" w:rsidRDefault="001C736C" w:rsidP="000A1131">
            <w:pPr>
              <w:jc w:val="both"/>
              <w:rPr>
                <w:rFonts w:ascii="Arial" w:hAnsi="Arial" w:cs="Arial"/>
                <w:color w:val="000000"/>
                <w:lang w:val="en-GB"/>
              </w:rPr>
            </w:pPr>
            <w:r w:rsidRPr="00F87D10">
              <w:rPr>
                <w:rFonts w:ascii="Arial" w:hAnsi="Arial" w:cs="Arial"/>
              </w:rPr>
              <w:t>3.02±0.05</w:t>
            </w:r>
            <w:r w:rsidRPr="00F87D10">
              <w:rPr>
                <w:rFonts w:ascii="Arial" w:hAnsi="Arial" w:cs="Arial"/>
                <w:vertAlign w:val="superscript"/>
                <w:lang w:val="en-GB"/>
              </w:rPr>
              <w:t>a</w:t>
            </w:r>
          </w:p>
        </w:tc>
      </w:tr>
      <w:tr w:rsidR="001C736C" w:rsidRPr="00F87D10" w14:paraId="2D24EFBE" w14:textId="77777777" w:rsidTr="000A1131">
        <w:trPr>
          <w:trHeight w:val="251"/>
        </w:trPr>
        <w:tc>
          <w:tcPr>
            <w:tcW w:w="778" w:type="dxa"/>
          </w:tcPr>
          <w:p w14:paraId="2C7DEF48" w14:textId="77777777" w:rsidR="001C736C" w:rsidRPr="00F87D10" w:rsidRDefault="001C736C" w:rsidP="000A1131">
            <w:pPr>
              <w:jc w:val="both"/>
              <w:rPr>
                <w:rFonts w:ascii="Arial" w:hAnsi="Arial" w:cs="Arial"/>
              </w:rPr>
            </w:pPr>
            <w:r w:rsidRPr="00F87D10">
              <w:rPr>
                <w:rFonts w:ascii="Arial" w:hAnsi="Arial" w:cs="Arial"/>
                <w:lang w:val="en-GB"/>
              </w:rPr>
              <w:t>4.</w:t>
            </w:r>
          </w:p>
        </w:tc>
        <w:tc>
          <w:tcPr>
            <w:tcW w:w="1263" w:type="dxa"/>
            <w:vAlign w:val="bottom"/>
          </w:tcPr>
          <w:p w14:paraId="76516C6D" w14:textId="77777777" w:rsidR="001C736C" w:rsidRPr="00F87D10" w:rsidRDefault="001C736C" w:rsidP="000A1131">
            <w:pPr>
              <w:jc w:val="both"/>
              <w:rPr>
                <w:rFonts w:ascii="Arial" w:eastAsia="Arial" w:hAnsi="Arial" w:cs="Arial"/>
                <w:b/>
                <w:bCs/>
                <w:vertAlign w:val="superscript"/>
                <w:lang w:val="en-GB"/>
              </w:rPr>
            </w:pPr>
            <w:r w:rsidRPr="00F87D10">
              <w:rPr>
                <w:rFonts w:ascii="Arial" w:hAnsi="Arial" w:cs="Arial"/>
                <w:color w:val="000000"/>
                <w:lang w:val="en-GB"/>
              </w:rPr>
              <w:t>9</w:t>
            </w:r>
            <w:r w:rsidRPr="00F87D10">
              <w:rPr>
                <w:rFonts w:ascii="Arial" w:hAnsi="Arial" w:cs="Arial"/>
                <w:color w:val="000000"/>
              </w:rPr>
              <w:t>.84±0.16</w:t>
            </w:r>
            <w:r w:rsidRPr="00F87D10">
              <w:rPr>
                <w:rFonts w:ascii="Arial" w:hAnsi="Arial" w:cs="Arial"/>
                <w:color w:val="000000"/>
                <w:vertAlign w:val="superscript"/>
                <w:lang w:val="en-GB"/>
              </w:rPr>
              <w:t>a</w:t>
            </w:r>
          </w:p>
        </w:tc>
        <w:tc>
          <w:tcPr>
            <w:tcW w:w="1383" w:type="dxa"/>
            <w:vAlign w:val="bottom"/>
          </w:tcPr>
          <w:p w14:paraId="2CB9988C" w14:textId="77777777" w:rsidR="001C736C" w:rsidRPr="00F87D10" w:rsidRDefault="001C736C" w:rsidP="000A1131">
            <w:pPr>
              <w:jc w:val="both"/>
              <w:rPr>
                <w:rFonts w:ascii="Arial" w:hAnsi="Arial" w:cs="Arial"/>
                <w:lang w:val="en-GB"/>
              </w:rPr>
            </w:pPr>
            <w:r w:rsidRPr="00F87D10">
              <w:rPr>
                <w:rFonts w:ascii="Arial" w:hAnsi="Arial" w:cs="Arial"/>
                <w:color w:val="000000"/>
              </w:rPr>
              <w:t>3.18±0.54</w:t>
            </w:r>
            <w:r w:rsidRPr="00F87D10">
              <w:rPr>
                <w:rFonts w:ascii="Arial" w:hAnsi="Arial" w:cs="Arial"/>
                <w:color w:val="000000"/>
                <w:vertAlign w:val="superscript"/>
                <w:lang w:val="en-GB"/>
              </w:rPr>
              <w:t>a</w:t>
            </w:r>
          </w:p>
        </w:tc>
        <w:tc>
          <w:tcPr>
            <w:tcW w:w="1453" w:type="dxa"/>
            <w:vAlign w:val="bottom"/>
          </w:tcPr>
          <w:p w14:paraId="671DEB94" w14:textId="77777777" w:rsidR="001C736C" w:rsidRPr="00F87D10" w:rsidRDefault="001C736C" w:rsidP="000A1131">
            <w:pPr>
              <w:jc w:val="both"/>
              <w:rPr>
                <w:rFonts w:ascii="Arial" w:hAnsi="Arial" w:cs="Arial"/>
                <w:color w:val="000000"/>
              </w:rPr>
            </w:pPr>
            <w:r w:rsidRPr="00F87D10">
              <w:rPr>
                <w:rFonts w:ascii="Arial" w:hAnsi="Arial" w:cs="Arial"/>
                <w:color w:val="000000"/>
              </w:rPr>
              <w:t>1</w:t>
            </w:r>
            <w:r w:rsidRPr="00F87D10">
              <w:rPr>
                <w:rFonts w:ascii="Arial" w:hAnsi="Arial" w:cs="Arial"/>
                <w:color w:val="000000"/>
                <w:lang w:val="en-GB"/>
              </w:rPr>
              <w:t>8</w:t>
            </w:r>
            <w:r w:rsidRPr="00F87D10">
              <w:rPr>
                <w:rFonts w:ascii="Arial" w:hAnsi="Arial" w:cs="Arial"/>
                <w:color w:val="000000"/>
              </w:rPr>
              <w:t>.45±1.83</w:t>
            </w:r>
            <w:r w:rsidRPr="00F87D10">
              <w:rPr>
                <w:rFonts w:ascii="Arial" w:hAnsi="Arial" w:cs="Arial"/>
                <w:color w:val="000000"/>
                <w:vertAlign w:val="superscript"/>
                <w:lang w:val="en-GB"/>
              </w:rPr>
              <w:t>a</w:t>
            </w:r>
          </w:p>
        </w:tc>
        <w:tc>
          <w:tcPr>
            <w:tcW w:w="1383" w:type="dxa"/>
            <w:vAlign w:val="bottom"/>
          </w:tcPr>
          <w:p w14:paraId="01E379DE" w14:textId="77777777" w:rsidR="001C736C" w:rsidRPr="00F87D10" w:rsidRDefault="001C736C" w:rsidP="000A1131">
            <w:pPr>
              <w:jc w:val="both"/>
              <w:rPr>
                <w:rFonts w:ascii="Arial" w:hAnsi="Arial" w:cs="Arial"/>
                <w:color w:val="000000"/>
              </w:rPr>
            </w:pPr>
            <w:r w:rsidRPr="00F87D10">
              <w:rPr>
                <w:rFonts w:ascii="Arial" w:hAnsi="Arial" w:cs="Arial"/>
                <w:color w:val="000000"/>
                <w:lang w:val="en-GB"/>
              </w:rPr>
              <w:t>4</w:t>
            </w:r>
            <w:r w:rsidRPr="00F87D10">
              <w:rPr>
                <w:rFonts w:ascii="Arial" w:hAnsi="Arial" w:cs="Arial"/>
                <w:color w:val="000000"/>
              </w:rPr>
              <w:t>.94±1.46</w:t>
            </w:r>
            <w:r w:rsidRPr="00F87D10">
              <w:rPr>
                <w:rFonts w:ascii="Arial" w:hAnsi="Arial" w:cs="Arial"/>
                <w:color w:val="000000"/>
                <w:vertAlign w:val="superscript"/>
                <w:lang w:val="en-GB"/>
              </w:rPr>
              <w:t>a</w:t>
            </w:r>
          </w:p>
        </w:tc>
        <w:tc>
          <w:tcPr>
            <w:tcW w:w="1383" w:type="dxa"/>
            <w:vAlign w:val="bottom"/>
          </w:tcPr>
          <w:p w14:paraId="0EC6D8BF" w14:textId="77777777" w:rsidR="001C736C" w:rsidRPr="00F87D10" w:rsidRDefault="001C736C" w:rsidP="000A1131">
            <w:pPr>
              <w:jc w:val="both"/>
              <w:rPr>
                <w:rFonts w:ascii="Arial" w:hAnsi="Arial" w:cs="Arial"/>
                <w:color w:val="000000"/>
              </w:rPr>
            </w:pPr>
            <w:r w:rsidRPr="00F87D10">
              <w:rPr>
                <w:rFonts w:ascii="Arial" w:hAnsi="Arial" w:cs="Arial"/>
                <w:color w:val="000000"/>
                <w:lang w:val="en-GB"/>
              </w:rPr>
              <w:t>40</w:t>
            </w:r>
            <w:r w:rsidRPr="00F87D10">
              <w:rPr>
                <w:rFonts w:ascii="Arial" w:hAnsi="Arial" w:cs="Arial"/>
                <w:color w:val="000000"/>
              </w:rPr>
              <w:t>.28±1.72</w:t>
            </w:r>
            <w:r w:rsidRPr="00F87D10">
              <w:rPr>
                <w:rFonts w:ascii="Arial" w:hAnsi="Arial" w:cs="Arial"/>
                <w:color w:val="000000"/>
                <w:vertAlign w:val="superscript"/>
                <w:lang w:val="en-GB"/>
              </w:rPr>
              <w:t>a</w:t>
            </w:r>
          </w:p>
        </w:tc>
        <w:tc>
          <w:tcPr>
            <w:tcW w:w="1850" w:type="dxa"/>
            <w:vAlign w:val="bottom"/>
          </w:tcPr>
          <w:p w14:paraId="7D75D979" w14:textId="77777777" w:rsidR="001C736C" w:rsidRPr="00F87D10" w:rsidRDefault="001C736C" w:rsidP="000A1131">
            <w:pPr>
              <w:jc w:val="both"/>
              <w:rPr>
                <w:rFonts w:ascii="Arial" w:hAnsi="Arial" w:cs="Arial"/>
                <w:color w:val="000000"/>
              </w:rPr>
            </w:pPr>
            <w:r w:rsidRPr="00F87D10">
              <w:rPr>
                <w:rFonts w:ascii="Arial" w:hAnsi="Arial" w:cs="Arial"/>
              </w:rPr>
              <w:t>3.</w:t>
            </w:r>
            <w:r w:rsidRPr="00F87D10">
              <w:rPr>
                <w:rFonts w:ascii="Arial" w:hAnsi="Arial" w:cs="Arial"/>
                <w:lang w:val="en-GB"/>
              </w:rPr>
              <w:t>1</w:t>
            </w:r>
            <w:r w:rsidRPr="00F87D10">
              <w:rPr>
                <w:rFonts w:ascii="Arial" w:hAnsi="Arial" w:cs="Arial"/>
              </w:rPr>
              <w:t>6±0.32</w:t>
            </w:r>
            <w:r w:rsidRPr="00F87D10">
              <w:rPr>
                <w:rFonts w:ascii="Arial" w:hAnsi="Arial" w:cs="Arial"/>
                <w:vertAlign w:val="superscript"/>
                <w:lang w:val="en-GB"/>
              </w:rPr>
              <w:t>a</w:t>
            </w:r>
          </w:p>
        </w:tc>
      </w:tr>
      <w:tr w:rsidR="001C736C" w:rsidRPr="00F87D10" w14:paraId="128E1572" w14:textId="77777777" w:rsidTr="000A1131">
        <w:trPr>
          <w:trHeight w:val="386"/>
        </w:trPr>
        <w:tc>
          <w:tcPr>
            <w:tcW w:w="778" w:type="dxa"/>
          </w:tcPr>
          <w:p w14:paraId="7D0E1E5E" w14:textId="77777777" w:rsidR="001C736C" w:rsidRPr="00F87D10" w:rsidRDefault="001C736C" w:rsidP="000A1131">
            <w:pPr>
              <w:jc w:val="both"/>
              <w:rPr>
                <w:rFonts w:ascii="Arial" w:hAnsi="Arial" w:cs="Arial"/>
              </w:rPr>
            </w:pPr>
            <w:r w:rsidRPr="00F87D10">
              <w:rPr>
                <w:rFonts w:ascii="Arial" w:hAnsi="Arial" w:cs="Arial"/>
                <w:lang w:val="en-GB"/>
              </w:rPr>
              <w:lastRenderedPageBreak/>
              <w:t>5.</w:t>
            </w:r>
          </w:p>
        </w:tc>
        <w:tc>
          <w:tcPr>
            <w:tcW w:w="1263" w:type="dxa"/>
            <w:vAlign w:val="bottom"/>
          </w:tcPr>
          <w:p w14:paraId="21AFEDE4" w14:textId="77777777" w:rsidR="001C736C" w:rsidRPr="00F87D10" w:rsidRDefault="001C736C" w:rsidP="000A1131">
            <w:pPr>
              <w:jc w:val="both"/>
              <w:rPr>
                <w:rFonts w:ascii="Arial" w:hAnsi="Arial" w:cs="Arial"/>
                <w:b/>
                <w:bCs/>
                <w:vertAlign w:val="superscript"/>
                <w:lang w:val="en-GB"/>
              </w:rPr>
            </w:pPr>
            <w:r w:rsidRPr="00F87D10">
              <w:rPr>
                <w:rFonts w:ascii="Arial" w:hAnsi="Arial" w:cs="Arial"/>
                <w:color w:val="000000"/>
              </w:rPr>
              <w:t>5.96±0.16</w:t>
            </w:r>
            <w:r w:rsidRPr="00F87D10">
              <w:rPr>
                <w:rFonts w:ascii="Arial" w:hAnsi="Arial" w:cs="Arial"/>
                <w:color w:val="000000"/>
                <w:vertAlign w:val="superscript"/>
                <w:lang w:val="en-GB"/>
              </w:rPr>
              <w:t>c</w:t>
            </w:r>
          </w:p>
        </w:tc>
        <w:tc>
          <w:tcPr>
            <w:tcW w:w="1383" w:type="dxa"/>
            <w:vAlign w:val="bottom"/>
          </w:tcPr>
          <w:p w14:paraId="75461379" w14:textId="77777777" w:rsidR="001C736C" w:rsidRPr="00F87D10" w:rsidRDefault="001C736C" w:rsidP="000A1131">
            <w:pPr>
              <w:jc w:val="both"/>
              <w:rPr>
                <w:rFonts w:ascii="Arial" w:hAnsi="Arial" w:cs="Arial"/>
              </w:rPr>
            </w:pPr>
            <w:r w:rsidRPr="00F87D10">
              <w:rPr>
                <w:rFonts w:ascii="Arial" w:hAnsi="Arial" w:cs="Arial"/>
                <w:color w:val="000000"/>
              </w:rPr>
              <w:t>18.24±0.67</w:t>
            </w:r>
            <w:r w:rsidRPr="00F87D10">
              <w:rPr>
                <w:rFonts w:ascii="Arial" w:hAnsi="Arial" w:cs="Arial"/>
                <w:color w:val="000000"/>
                <w:vertAlign w:val="superscript"/>
              </w:rPr>
              <w:t>c</w:t>
            </w:r>
          </w:p>
        </w:tc>
        <w:tc>
          <w:tcPr>
            <w:tcW w:w="1453" w:type="dxa"/>
            <w:vAlign w:val="bottom"/>
          </w:tcPr>
          <w:p w14:paraId="1C660C62" w14:textId="77777777" w:rsidR="001C736C" w:rsidRPr="00F87D10" w:rsidRDefault="001C736C" w:rsidP="000A1131">
            <w:pPr>
              <w:jc w:val="both"/>
              <w:rPr>
                <w:rFonts w:ascii="Arial" w:hAnsi="Arial" w:cs="Arial"/>
                <w:color w:val="000000"/>
              </w:rPr>
            </w:pPr>
            <w:r w:rsidRPr="00F87D10">
              <w:rPr>
                <w:rFonts w:ascii="Arial" w:hAnsi="Arial" w:cs="Arial"/>
                <w:color w:val="000000"/>
                <w:lang w:val="en-GB"/>
              </w:rPr>
              <w:t>12</w:t>
            </w:r>
            <w:r w:rsidRPr="00F87D10">
              <w:rPr>
                <w:rFonts w:ascii="Arial" w:hAnsi="Arial" w:cs="Arial"/>
                <w:color w:val="000000"/>
              </w:rPr>
              <w:t>.83±1.21</w:t>
            </w:r>
            <w:r w:rsidRPr="00F87D10">
              <w:rPr>
                <w:rFonts w:ascii="Arial" w:hAnsi="Arial" w:cs="Arial"/>
                <w:color w:val="000000"/>
                <w:vertAlign w:val="superscript"/>
                <w:lang w:val="en-GB"/>
              </w:rPr>
              <w:t>c</w:t>
            </w:r>
          </w:p>
        </w:tc>
        <w:tc>
          <w:tcPr>
            <w:tcW w:w="1383" w:type="dxa"/>
            <w:vAlign w:val="bottom"/>
          </w:tcPr>
          <w:p w14:paraId="11F5D629" w14:textId="77777777" w:rsidR="001C736C" w:rsidRPr="00F87D10" w:rsidRDefault="001C736C" w:rsidP="000A1131">
            <w:pPr>
              <w:jc w:val="both"/>
              <w:rPr>
                <w:rFonts w:ascii="Arial" w:hAnsi="Arial" w:cs="Arial"/>
                <w:color w:val="000000"/>
              </w:rPr>
            </w:pPr>
            <w:r w:rsidRPr="00F87D10">
              <w:rPr>
                <w:rFonts w:ascii="Arial" w:hAnsi="Arial" w:cs="Arial"/>
                <w:color w:val="000000"/>
              </w:rPr>
              <w:t>23.72±1.14</w:t>
            </w:r>
            <w:r w:rsidRPr="00F87D10">
              <w:rPr>
                <w:rFonts w:ascii="Arial" w:hAnsi="Arial" w:cs="Arial"/>
                <w:color w:val="000000"/>
                <w:vertAlign w:val="superscript"/>
              </w:rPr>
              <w:t>c</w:t>
            </w:r>
          </w:p>
        </w:tc>
        <w:tc>
          <w:tcPr>
            <w:tcW w:w="1383" w:type="dxa"/>
            <w:vAlign w:val="bottom"/>
          </w:tcPr>
          <w:p w14:paraId="1F258C1C" w14:textId="77777777" w:rsidR="001C736C" w:rsidRPr="00F87D10" w:rsidRDefault="001C736C" w:rsidP="000A1131">
            <w:pPr>
              <w:jc w:val="both"/>
              <w:rPr>
                <w:rFonts w:ascii="Arial" w:hAnsi="Arial" w:cs="Arial"/>
                <w:color w:val="000000"/>
              </w:rPr>
            </w:pPr>
            <w:r w:rsidRPr="00F87D10">
              <w:rPr>
                <w:rFonts w:ascii="Arial" w:hAnsi="Arial" w:cs="Arial"/>
                <w:color w:val="000000"/>
              </w:rPr>
              <w:t>1</w:t>
            </w:r>
            <w:r w:rsidRPr="00F87D10">
              <w:rPr>
                <w:rFonts w:ascii="Arial" w:hAnsi="Arial" w:cs="Arial"/>
                <w:color w:val="000000"/>
                <w:lang w:val="en-GB"/>
              </w:rPr>
              <w:t>7</w:t>
            </w:r>
            <w:r w:rsidRPr="00F87D10">
              <w:rPr>
                <w:rFonts w:ascii="Arial" w:hAnsi="Arial" w:cs="Arial"/>
                <w:color w:val="000000"/>
              </w:rPr>
              <w:t>.93±1.65</w:t>
            </w:r>
            <w:r w:rsidRPr="00F87D10">
              <w:rPr>
                <w:rFonts w:ascii="Arial" w:hAnsi="Arial" w:cs="Arial"/>
                <w:color w:val="000000"/>
                <w:vertAlign w:val="superscript"/>
                <w:lang w:val="en-GB"/>
              </w:rPr>
              <w:t>c</w:t>
            </w:r>
          </w:p>
        </w:tc>
        <w:tc>
          <w:tcPr>
            <w:tcW w:w="1850" w:type="dxa"/>
            <w:vAlign w:val="bottom"/>
          </w:tcPr>
          <w:p w14:paraId="7E7CBDE6" w14:textId="77777777" w:rsidR="001C736C" w:rsidRPr="00F87D10" w:rsidRDefault="001C736C" w:rsidP="000A1131">
            <w:pPr>
              <w:jc w:val="both"/>
              <w:rPr>
                <w:rFonts w:ascii="Arial" w:hAnsi="Arial" w:cs="Arial"/>
                <w:color w:val="000000"/>
              </w:rPr>
            </w:pPr>
            <w:r w:rsidRPr="00F87D10">
              <w:rPr>
                <w:rFonts w:ascii="Arial" w:hAnsi="Arial" w:cs="Arial"/>
              </w:rPr>
              <w:t>4.</w:t>
            </w:r>
            <w:r w:rsidRPr="00F87D10">
              <w:rPr>
                <w:rFonts w:ascii="Arial" w:hAnsi="Arial" w:cs="Arial"/>
                <w:lang w:val="en-GB"/>
              </w:rPr>
              <w:t>7</w:t>
            </w:r>
            <w:r w:rsidRPr="00F87D10">
              <w:rPr>
                <w:rFonts w:ascii="Arial" w:hAnsi="Arial" w:cs="Arial"/>
              </w:rPr>
              <w:t>6±0.53</w:t>
            </w:r>
            <w:r w:rsidRPr="00F87D10">
              <w:rPr>
                <w:rFonts w:ascii="Arial" w:hAnsi="Arial" w:cs="Arial"/>
                <w:vertAlign w:val="superscript"/>
                <w:lang w:val="en-GB"/>
              </w:rPr>
              <w:t>c</w:t>
            </w:r>
          </w:p>
        </w:tc>
      </w:tr>
      <w:tr w:rsidR="001C736C" w:rsidRPr="00F87D10" w14:paraId="188408C7" w14:textId="77777777" w:rsidTr="000A1131">
        <w:trPr>
          <w:trHeight w:val="386"/>
        </w:trPr>
        <w:tc>
          <w:tcPr>
            <w:tcW w:w="778" w:type="dxa"/>
          </w:tcPr>
          <w:p w14:paraId="6FD977AD" w14:textId="77777777" w:rsidR="001C736C" w:rsidRPr="00F87D10" w:rsidRDefault="001C736C" w:rsidP="000A1131">
            <w:pPr>
              <w:jc w:val="both"/>
              <w:rPr>
                <w:rFonts w:ascii="Arial" w:hAnsi="Arial" w:cs="Arial"/>
              </w:rPr>
            </w:pPr>
            <w:r w:rsidRPr="00F87D10">
              <w:rPr>
                <w:rFonts w:ascii="Arial" w:hAnsi="Arial" w:cs="Arial"/>
                <w:lang w:val="en-GB"/>
              </w:rPr>
              <w:t>6.</w:t>
            </w:r>
          </w:p>
        </w:tc>
        <w:tc>
          <w:tcPr>
            <w:tcW w:w="1263" w:type="dxa"/>
            <w:vAlign w:val="bottom"/>
          </w:tcPr>
          <w:p w14:paraId="04D109B5" w14:textId="77777777" w:rsidR="001C736C" w:rsidRPr="00F87D10" w:rsidRDefault="001C736C" w:rsidP="000A1131">
            <w:pPr>
              <w:jc w:val="both"/>
              <w:rPr>
                <w:rFonts w:ascii="Arial" w:hAnsi="Arial" w:cs="Arial"/>
                <w:b/>
                <w:bCs/>
                <w:vertAlign w:val="superscript"/>
                <w:lang w:val="en-GB"/>
              </w:rPr>
            </w:pPr>
            <w:r w:rsidRPr="00F87D10">
              <w:rPr>
                <w:rFonts w:ascii="Arial" w:hAnsi="Arial" w:cs="Arial"/>
                <w:color w:val="000000"/>
              </w:rPr>
              <w:t>5.37±0.18</w:t>
            </w:r>
            <w:r w:rsidRPr="00F87D10">
              <w:rPr>
                <w:rFonts w:ascii="Arial" w:hAnsi="Arial" w:cs="Arial"/>
                <w:color w:val="000000"/>
                <w:vertAlign w:val="superscript"/>
                <w:lang w:val="en-GB"/>
              </w:rPr>
              <w:t>c</w:t>
            </w:r>
          </w:p>
        </w:tc>
        <w:tc>
          <w:tcPr>
            <w:tcW w:w="1383" w:type="dxa"/>
            <w:vAlign w:val="bottom"/>
          </w:tcPr>
          <w:p w14:paraId="626E20EB" w14:textId="77777777" w:rsidR="001C736C" w:rsidRPr="00F87D10" w:rsidRDefault="001C736C" w:rsidP="000A1131">
            <w:pPr>
              <w:jc w:val="both"/>
              <w:rPr>
                <w:rFonts w:ascii="Arial" w:hAnsi="Arial" w:cs="Arial"/>
              </w:rPr>
            </w:pPr>
            <w:r w:rsidRPr="00F87D10">
              <w:rPr>
                <w:rFonts w:ascii="Arial" w:hAnsi="Arial" w:cs="Arial"/>
                <w:color w:val="000000"/>
              </w:rPr>
              <w:t>2</w:t>
            </w:r>
            <w:r w:rsidRPr="00F87D10">
              <w:rPr>
                <w:rFonts w:ascii="Arial" w:hAnsi="Arial" w:cs="Arial"/>
                <w:color w:val="000000"/>
                <w:lang w:val="en-GB"/>
              </w:rPr>
              <w:t>0</w:t>
            </w:r>
            <w:r w:rsidRPr="00F87D10">
              <w:rPr>
                <w:rFonts w:ascii="Arial" w:hAnsi="Arial" w:cs="Arial"/>
                <w:color w:val="000000"/>
              </w:rPr>
              <w:t>.45±0.96</w:t>
            </w:r>
            <w:r w:rsidRPr="00F87D10">
              <w:rPr>
                <w:rFonts w:ascii="Arial" w:hAnsi="Arial" w:cs="Arial"/>
                <w:color w:val="000000"/>
                <w:vertAlign w:val="superscript"/>
                <w:lang w:val="en-GB"/>
              </w:rPr>
              <w:t>c</w:t>
            </w:r>
          </w:p>
        </w:tc>
        <w:tc>
          <w:tcPr>
            <w:tcW w:w="1453" w:type="dxa"/>
            <w:vAlign w:val="bottom"/>
          </w:tcPr>
          <w:p w14:paraId="35F1D21B" w14:textId="77777777" w:rsidR="001C736C" w:rsidRPr="00F87D10" w:rsidRDefault="001C736C" w:rsidP="000A1131">
            <w:pPr>
              <w:jc w:val="both"/>
              <w:rPr>
                <w:rFonts w:ascii="Arial" w:hAnsi="Arial" w:cs="Arial"/>
                <w:color w:val="000000"/>
              </w:rPr>
            </w:pPr>
            <w:r w:rsidRPr="00F87D10">
              <w:rPr>
                <w:rFonts w:ascii="Arial" w:hAnsi="Arial" w:cs="Arial"/>
                <w:color w:val="000000"/>
                <w:lang w:val="en-GB"/>
              </w:rPr>
              <w:t>11</w:t>
            </w:r>
            <w:r w:rsidRPr="00F87D10">
              <w:rPr>
                <w:rFonts w:ascii="Arial" w:hAnsi="Arial" w:cs="Arial"/>
                <w:color w:val="000000"/>
              </w:rPr>
              <w:t>.</w:t>
            </w:r>
            <w:r w:rsidRPr="00F87D10">
              <w:rPr>
                <w:rFonts w:ascii="Arial" w:hAnsi="Arial" w:cs="Arial"/>
                <w:color w:val="000000"/>
                <w:lang w:val="en-GB"/>
              </w:rPr>
              <w:t>9</w:t>
            </w:r>
            <w:r w:rsidRPr="00F87D10">
              <w:rPr>
                <w:rFonts w:ascii="Arial" w:hAnsi="Arial" w:cs="Arial"/>
                <w:color w:val="000000"/>
              </w:rPr>
              <w:t>2±1.09</w:t>
            </w:r>
            <w:r w:rsidRPr="00F87D10">
              <w:rPr>
                <w:rFonts w:ascii="Arial" w:hAnsi="Arial" w:cs="Arial"/>
                <w:color w:val="000000"/>
                <w:vertAlign w:val="superscript"/>
                <w:lang w:val="en-GB"/>
              </w:rPr>
              <w:t>c</w:t>
            </w:r>
          </w:p>
        </w:tc>
        <w:tc>
          <w:tcPr>
            <w:tcW w:w="1383" w:type="dxa"/>
            <w:vAlign w:val="bottom"/>
          </w:tcPr>
          <w:p w14:paraId="19161D85" w14:textId="77777777" w:rsidR="001C736C" w:rsidRPr="00F87D10" w:rsidRDefault="001C736C" w:rsidP="000A1131">
            <w:pPr>
              <w:jc w:val="both"/>
              <w:rPr>
                <w:rFonts w:ascii="Arial" w:hAnsi="Arial" w:cs="Arial"/>
                <w:color w:val="000000"/>
              </w:rPr>
            </w:pPr>
            <w:r w:rsidRPr="00F87D10">
              <w:rPr>
                <w:rFonts w:ascii="Arial" w:hAnsi="Arial" w:cs="Arial"/>
                <w:color w:val="000000"/>
              </w:rPr>
              <w:t>2</w:t>
            </w:r>
            <w:r w:rsidRPr="00F87D10">
              <w:rPr>
                <w:rFonts w:ascii="Arial" w:hAnsi="Arial" w:cs="Arial"/>
                <w:color w:val="000000"/>
                <w:lang w:val="en-GB"/>
              </w:rPr>
              <w:t>4</w:t>
            </w:r>
            <w:r w:rsidRPr="00F87D10">
              <w:rPr>
                <w:rFonts w:ascii="Arial" w:hAnsi="Arial" w:cs="Arial"/>
                <w:color w:val="000000"/>
              </w:rPr>
              <w:t>.64±1.83</w:t>
            </w:r>
            <w:r w:rsidRPr="00F87D10">
              <w:rPr>
                <w:rFonts w:ascii="Arial" w:hAnsi="Arial" w:cs="Arial"/>
                <w:color w:val="000000"/>
                <w:vertAlign w:val="superscript"/>
                <w:lang w:val="en-GB"/>
              </w:rPr>
              <w:t>c</w:t>
            </w:r>
          </w:p>
        </w:tc>
        <w:tc>
          <w:tcPr>
            <w:tcW w:w="1383" w:type="dxa"/>
            <w:vAlign w:val="bottom"/>
          </w:tcPr>
          <w:p w14:paraId="00772447" w14:textId="77777777" w:rsidR="001C736C" w:rsidRPr="00F87D10" w:rsidRDefault="001C736C" w:rsidP="000A1131">
            <w:pPr>
              <w:jc w:val="both"/>
              <w:rPr>
                <w:rFonts w:ascii="Arial" w:hAnsi="Arial" w:cs="Arial"/>
                <w:color w:val="000000"/>
              </w:rPr>
            </w:pPr>
            <w:r w:rsidRPr="00F87D10">
              <w:rPr>
                <w:rFonts w:ascii="Arial" w:hAnsi="Arial" w:cs="Arial"/>
                <w:color w:val="000000"/>
              </w:rPr>
              <w:t>19.31±1.06</w:t>
            </w:r>
            <w:r w:rsidRPr="00F87D10">
              <w:rPr>
                <w:rFonts w:ascii="Arial" w:hAnsi="Arial" w:cs="Arial"/>
                <w:color w:val="000000"/>
                <w:vertAlign w:val="superscript"/>
                <w:lang w:val="en-GB"/>
              </w:rPr>
              <w:t>c</w:t>
            </w:r>
          </w:p>
        </w:tc>
        <w:tc>
          <w:tcPr>
            <w:tcW w:w="1850" w:type="dxa"/>
            <w:vAlign w:val="bottom"/>
          </w:tcPr>
          <w:p w14:paraId="75B76AAB" w14:textId="77777777" w:rsidR="001C736C" w:rsidRPr="00F87D10" w:rsidRDefault="001C736C" w:rsidP="000A1131">
            <w:pPr>
              <w:jc w:val="both"/>
              <w:rPr>
                <w:rFonts w:ascii="Arial" w:hAnsi="Arial" w:cs="Arial"/>
                <w:color w:val="000000"/>
              </w:rPr>
            </w:pPr>
            <w:r w:rsidRPr="00F87D10">
              <w:rPr>
                <w:rFonts w:ascii="Arial" w:hAnsi="Arial" w:cs="Arial"/>
                <w:lang w:val="en-GB"/>
              </w:rPr>
              <w:t>4.53</w:t>
            </w:r>
            <w:r w:rsidRPr="00F87D10">
              <w:rPr>
                <w:rFonts w:ascii="Arial" w:hAnsi="Arial" w:cs="Arial"/>
              </w:rPr>
              <w:t>±0.36</w:t>
            </w:r>
            <w:r w:rsidRPr="00F87D10">
              <w:rPr>
                <w:rFonts w:ascii="Arial" w:hAnsi="Arial" w:cs="Arial"/>
                <w:vertAlign w:val="superscript"/>
                <w:lang w:val="en-GB"/>
              </w:rPr>
              <w:t>c</w:t>
            </w:r>
          </w:p>
        </w:tc>
      </w:tr>
      <w:tr w:rsidR="001C736C" w:rsidRPr="00F87D10" w14:paraId="0C46273F" w14:textId="77777777" w:rsidTr="000A1131">
        <w:trPr>
          <w:trHeight w:val="584"/>
        </w:trPr>
        <w:tc>
          <w:tcPr>
            <w:tcW w:w="778" w:type="dxa"/>
          </w:tcPr>
          <w:p w14:paraId="1C517377" w14:textId="77777777" w:rsidR="001C736C" w:rsidRPr="00F87D10" w:rsidRDefault="001C736C" w:rsidP="000A1131">
            <w:pPr>
              <w:jc w:val="both"/>
              <w:rPr>
                <w:rFonts w:ascii="Arial" w:hAnsi="Arial" w:cs="Arial"/>
              </w:rPr>
            </w:pPr>
            <w:r w:rsidRPr="00F87D10">
              <w:rPr>
                <w:rFonts w:ascii="Arial" w:hAnsi="Arial" w:cs="Arial"/>
                <w:lang w:val="en-GB"/>
              </w:rPr>
              <w:t>7.</w:t>
            </w:r>
          </w:p>
        </w:tc>
        <w:tc>
          <w:tcPr>
            <w:tcW w:w="1263" w:type="dxa"/>
            <w:vAlign w:val="bottom"/>
          </w:tcPr>
          <w:p w14:paraId="7BC76668" w14:textId="77777777" w:rsidR="001C736C" w:rsidRPr="00F87D10" w:rsidRDefault="001C736C" w:rsidP="000A1131">
            <w:pPr>
              <w:jc w:val="both"/>
              <w:rPr>
                <w:rFonts w:ascii="Arial" w:hAnsi="Arial" w:cs="Arial"/>
                <w:b/>
                <w:bCs/>
                <w:vertAlign w:val="superscript"/>
                <w:lang w:val="en-GB"/>
              </w:rPr>
            </w:pPr>
            <w:r w:rsidRPr="00F87D10">
              <w:rPr>
                <w:rFonts w:ascii="Arial" w:hAnsi="Arial" w:cs="Arial"/>
                <w:color w:val="000000"/>
                <w:lang w:val="en-GB"/>
              </w:rPr>
              <w:t>7</w:t>
            </w:r>
            <w:r w:rsidRPr="00F87D10">
              <w:rPr>
                <w:rFonts w:ascii="Arial" w:hAnsi="Arial" w:cs="Arial"/>
                <w:color w:val="000000"/>
              </w:rPr>
              <w:t>.17±0.21</w:t>
            </w:r>
            <w:r w:rsidRPr="00F87D10">
              <w:rPr>
                <w:rFonts w:ascii="Arial" w:hAnsi="Arial" w:cs="Arial"/>
                <w:color w:val="000000"/>
                <w:vertAlign w:val="superscript"/>
                <w:lang w:val="en-GB"/>
              </w:rPr>
              <w:t>d</w:t>
            </w:r>
          </w:p>
        </w:tc>
        <w:tc>
          <w:tcPr>
            <w:tcW w:w="1383" w:type="dxa"/>
            <w:vAlign w:val="bottom"/>
          </w:tcPr>
          <w:p w14:paraId="2BB09D3E" w14:textId="77777777" w:rsidR="001C736C" w:rsidRPr="00F87D10" w:rsidRDefault="001C736C" w:rsidP="000A1131">
            <w:pPr>
              <w:jc w:val="both"/>
              <w:rPr>
                <w:rFonts w:ascii="Arial" w:hAnsi="Arial" w:cs="Arial"/>
              </w:rPr>
            </w:pPr>
            <w:r w:rsidRPr="00F87D10">
              <w:rPr>
                <w:rFonts w:ascii="Arial" w:hAnsi="Arial" w:cs="Arial"/>
                <w:color w:val="000000"/>
              </w:rPr>
              <w:t>1</w:t>
            </w:r>
            <w:r w:rsidRPr="00F87D10">
              <w:rPr>
                <w:rFonts w:ascii="Arial" w:hAnsi="Arial" w:cs="Arial"/>
                <w:color w:val="000000"/>
                <w:lang w:val="en-GB"/>
              </w:rPr>
              <w:t>5</w:t>
            </w:r>
            <w:r w:rsidRPr="00F87D10">
              <w:rPr>
                <w:rFonts w:ascii="Arial" w:hAnsi="Arial" w:cs="Arial"/>
                <w:color w:val="000000"/>
              </w:rPr>
              <w:t>.47±0.67</w:t>
            </w:r>
            <w:r w:rsidRPr="00F87D10">
              <w:rPr>
                <w:rFonts w:ascii="Arial" w:hAnsi="Arial" w:cs="Arial"/>
                <w:color w:val="000000"/>
                <w:vertAlign w:val="superscript"/>
              </w:rPr>
              <w:t>d</w:t>
            </w:r>
          </w:p>
        </w:tc>
        <w:tc>
          <w:tcPr>
            <w:tcW w:w="1453" w:type="dxa"/>
            <w:vAlign w:val="bottom"/>
          </w:tcPr>
          <w:p w14:paraId="318D17EF" w14:textId="77777777" w:rsidR="001C736C" w:rsidRPr="00F87D10" w:rsidRDefault="001C736C" w:rsidP="000A1131">
            <w:pPr>
              <w:jc w:val="both"/>
              <w:rPr>
                <w:rFonts w:ascii="Arial" w:hAnsi="Arial" w:cs="Arial"/>
                <w:color w:val="000000"/>
              </w:rPr>
            </w:pPr>
            <w:r w:rsidRPr="00F87D10">
              <w:rPr>
                <w:rFonts w:ascii="Arial" w:hAnsi="Arial" w:cs="Arial"/>
                <w:color w:val="000000"/>
              </w:rPr>
              <w:t>1</w:t>
            </w:r>
            <w:r w:rsidRPr="00F87D10">
              <w:rPr>
                <w:rFonts w:ascii="Arial" w:hAnsi="Arial" w:cs="Arial"/>
                <w:color w:val="000000"/>
                <w:lang w:val="en-GB"/>
              </w:rPr>
              <w:t>5</w:t>
            </w:r>
            <w:r w:rsidRPr="00F87D10">
              <w:rPr>
                <w:rFonts w:ascii="Arial" w:hAnsi="Arial" w:cs="Arial"/>
                <w:color w:val="000000"/>
              </w:rPr>
              <w:t>.67±1.54</w:t>
            </w:r>
            <w:r w:rsidRPr="00F87D10">
              <w:rPr>
                <w:rFonts w:ascii="Arial" w:hAnsi="Arial" w:cs="Arial"/>
                <w:color w:val="000000"/>
                <w:vertAlign w:val="superscript"/>
                <w:lang w:val="en-GB"/>
              </w:rPr>
              <w:t>cd</w:t>
            </w:r>
          </w:p>
        </w:tc>
        <w:tc>
          <w:tcPr>
            <w:tcW w:w="1383" w:type="dxa"/>
            <w:vAlign w:val="bottom"/>
          </w:tcPr>
          <w:p w14:paraId="0CDBFF73" w14:textId="77777777" w:rsidR="001C736C" w:rsidRPr="00F87D10" w:rsidRDefault="001C736C" w:rsidP="000A1131">
            <w:pPr>
              <w:jc w:val="both"/>
              <w:rPr>
                <w:rFonts w:ascii="Arial" w:hAnsi="Arial" w:cs="Arial"/>
                <w:color w:val="000000"/>
              </w:rPr>
            </w:pPr>
            <w:r w:rsidRPr="00F87D10">
              <w:rPr>
                <w:rFonts w:ascii="Arial" w:hAnsi="Arial" w:cs="Arial"/>
                <w:color w:val="000000"/>
              </w:rPr>
              <w:t>15.92±1.38</w:t>
            </w:r>
            <w:r w:rsidRPr="00F87D10">
              <w:rPr>
                <w:rFonts w:ascii="Arial" w:hAnsi="Arial" w:cs="Arial"/>
                <w:color w:val="000000"/>
                <w:vertAlign w:val="superscript"/>
              </w:rPr>
              <w:t>d</w:t>
            </w:r>
          </w:p>
        </w:tc>
        <w:tc>
          <w:tcPr>
            <w:tcW w:w="1383" w:type="dxa"/>
            <w:vAlign w:val="bottom"/>
          </w:tcPr>
          <w:p w14:paraId="6EE38729" w14:textId="77777777" w:rsidR="001C736C" w:rsidRPr="00F87D10" w:rsidRDefault="001C736C" w:rsidP="000A1131">
            <w:pPr>
              <w:jc w:val="both"/>
              <w:rPr>
                <w:rFonts w:ascii="Arial" w:hAnsi="Arial" w:cs="Arial"/>
                <w:color w:val="000000"/>
              </w:rPr>
            </w:pPr>
            <w:r w:rsidRPr="00F87D10">
              <w:rPr>
                <w:rFonts w:ascii="Arial" w:hAnsi="Arial" w:cs="Arial"/>
                <w:color w:val="000000"/>
              </w:rPr>
              <w:t>27.21±1.54</w:t>
            </w:r>
            <w:r w:rsidRPr="00F87D10">
              <w:rPr>
                <w:rFonts w:ascii="Arial" w:hAnsi="Arial" w:cs="Arial"/>
                <w:color w:val="000000"/>
                <w:vertAlign w:val="superscript"/>
              </w:rPr>
              <w:t>d</w:t>
            </w:r>
          </w:p>
        </w:tc>
        <w:tc>
          <w:tcPr>
            <w:tcW w:w="1850" w:type="dxa"/>
            <w:vAlign w:val="bottom"/>
          </w:tcPr>
          <w:p w14:paraId="29C52C6D" w14:textId="77777777" w:rsidR="001C736C" w:rsidRPr="00F87D10" w:rsidRDefault="001C736C" w:rsidP="000A1131">
            <w:pPr>
              <w:jc w:val="both"/>
              <w:rPr>
                <w:rFonts w:ascii="Arial" w:hAnsi="Arial" w:cs="Arial"/>
                <w:color w:val="000000"/>
              </w:rPr>
            </w:pPr>
            <w:r w:rsidRPr="00F87D10">
              <w:rPr>
                <w:rFonts w:ascii="Arial" w:hAnsi="Arial" w:cs="Arial"/>
                <w:lang w:val="en-GB"/>
              </w:rPr>
              <w:t>3</w:t>
            </w:r>
            <w:r w:rsidRPr="00F87D10">
              <w:rPr>
                <w:rFonts w:ascii="Arial" w:hAnsi="Arial" w:cs="Arial"/>
              </w:rPr>
              <w:t>.97±0.06</w:t>
            </w:r>
            <w:r w:rsidRPr="00F87D10">
              <w:rPr>
                <w:rFonts w:ascii="Arial" w:hAnsi="Arial" w:cs="Arial"/>
                <w:vertAlign w:val="superscript"/>
                <w:lang w:val="en-GB"/>
              </w:rPr>
              <w:t>d</w:t>
            </w:r>
          </w:p>
        </w:tc>
      </w:tr>
    </w:tbl>
    <w:p w14:paraId="1EC1AE54" w14:textId="77777777" w:rsidR="001C736C" w:rsidRPr="00F87D10" w:rsidRDefault="001C736C" w:rsidP="001C736C">
      <w:pPr>
        <w:jc w:val="both"/>
        <w:rPr>
          <w:rFonts w:ascii="Times New Roman" w:hAnsi="Times New Roman"/>
          <w:sz w:val="24"/>
          <w:szCs w:val="24"/>
        </w:rPr>
      </w:pPr>
    </w:p>
    <w:p w14:paraId="40272DEF" w14:textId="0293723B" w:rsidR="001C736C" w:rsidRPr="00F87D10" w:rsidRDefault="001C736C" w:rsidP="001C736C">
      <w:pPr>
        <w:jc w:val="both"/>
        <w:rPr>
          <w:rFonts w:ascii="Arial" w:hAnsi="Arial" w:cs="Arial"/>
          <w:b/>
          <w:bCs/>
          <w:sz w:val="22"/>
          <w:szCs w:val="22"/>
        </w:rPr>
      </w:pPr>
      <w:proofErr w:type="gramStart"/>
      <w:r w:rsidRPr="00F87D10">
        <w:rPr>
          <w:rFonts w:ascii="Arial" w:hAnsi="Arial" w:cs="Arial"/>
          <w:b/>
          <w:bCs/>
          <w:sz w:val="22"/>
          <w:szCs w:val="22"/>
        </w:rPr>
        <w:t>3.2  Histopathology</w:t>
      </w:r>
      <w:proofErr w:type="gramEnd"/>
      <w:r w:rsidRPr="00F87D10">
        <w:rPr>
          <w:rFonts w:ascii="Arial" w:hAnsi="Arial" w:cs="Arial"/>
          <w:b/>
          <w:bCs/>
          <w:sz w:val="22"/>
          <w:szCs w:val="22"/>
        </w:rPr>
        <w:t xml:space="preserve"> of the Lung</w:t>
      </w:r>
    </w:p>
    <w:p w14:paraId="3A1A0982" w14:textId="77777777" w:rsidR="001C736C" w:rsidRPr="00F87D10" w:rsidRDefault="001C736C" w:rsidP="001C736C">
      <w:pPr>
        <w:jc w:val="both"/>
        <w:rPr>
          <w:rFonts w:ascii="Arial" w:hAnsi="Arial" w:cs="Arial"/>
        </w:rPr>
      </w:pPr>
      <w:r w:rsidRPr="00F87D10">
        <w:rPr>
          <w:rFonts w:ascii="Arial" w:hAnsi="Arial" w:cs="Arial"/>
        </w:rPr>
        <w:t xml:space="preserve">Grossly, the lungs of Group 1 mice exhibited normal appearance with mild congestion and pulmonary oedema. In contrast, Group 2 (bleomycin control) displayed marked congestion, pronounced </w:t>
      </w:r>
      <w:proofErr w:type="spellStart"/>
      <w:r w:rsidRPr="00F87D10">
        <w:rPr>
          <w:rFonts w:ascii="Arial" w:hAnsi="Arial" w:cs="Arial"/>
        </w:rPr>
        <w:t>oedema</w:t>
      </w:r>
      <w:proofErr w:type="spellEnd"/>
      <w:r w:rsidRPr="00F87D10">
        <w:rPr>
          <w:rFonts w:ascii="Arial" w:hAnsi="Arial" w:cs="Arial"/>
        </w:rPr>
        <w:t xml:space="preserve">, and diffuse </w:t>
      </w:r>
      <w:proofErr w:type="spellStart"/>
      <w:r w:rsidRPr="00F87D10">
        <w:rPr>
          <w:rFonts w:ascii="Arial" w:hAnsi="Arial" w:cs="Arial"/>
        </w:rPr>
        <w:t>haemorrhagic</w:t>
      </w:r>
      <w:proofErr w:type="spellEnd"/>
      <w:r w:rsidRPr="00F87D10">
        <w:rPr>
          <w:rFonts w:ascii="Arial" w:hAnsi="Arial" w:cs="Arial"/>
        </w:rPr>
        <w:t xml:space="preserve"> areas. The treatment groups (Groups 5, 6, and 7) showed only mild to very mild congestion with noticeable clearance of pulmonary oedema. The lungs of Groups 3 and 4 appeared normal and comparable to the control.</w:t>
      </w:r>
    </w:p>
    <w:p w14:paraId="13EB9858" w14:textId="77777777" w:rsidR="001C736C" w:rsidRPr="00F87D10" w:rsidRDefault="001C736C" w:rsidP="001C736C">
      <w:pPr>
        <w:jc w:val="both"/>
        <w:rPr>
          <w:rFonts w:ascii="Arial" w:hAnsi="Arial" w:cs="Arial"/>
        </w:rPr>
      </w:pPr>
      <w:r w:rsidRPr="00F87D10">
        <w:rPr>
          <w:rFonts w:ascii="Arial" w:hAnsi="Arial" w:cs="Arial"/>
        </w:rPr>
        <w:t xml:space="preserve">Histopathological examination revealed that Group 1 lungs maintained normal architecture, showing intact alveoli, bronchioles lined by epithelium and well-defined alveolar septa and venules. In contrast, Group 2 exhibited severe pathological changes, including marked congestion, emphysema, alveolar wall collapse, </w:t>
      </w:r>
      <w:proofErr w:type="spellStart"/>
      <w:r w:rsidRPr="00F87D10">
        <w:rPr>
          <w:rFonts w:ascii="Arial" w:hAnsi="Arial" w:cs="Arial"/>
        </w:rPr>
        <w:t>oedematous</w:t>
      </w:r>
      <w:proofErr w:type="spellEnd"/>
      <w:r w:rsidRPr="00F87D10">
        <w:rPr>
          <w:rFonts w:ascii="Arial" w:hAnsi="Arial" w:cs="Arial"/>
        </w:rPr>
        <w:t xml:space="preserve"> fluid accumulation in the alveolar lumen, and dense mononuclear cell infiltration around bronchioles and peribronchiolar regions, along with mild fibrous tissue proliferation in the interstitium.</w:t>
      </w:r>
    </w:p>
    <w:p w14:paraId="504032D2" w14:textId="77777777" w:rsidR="001C736C" w:rsidRPr="00F87D10" w:rsidRDefault="001C736C" w:rsidP="001C736C">
      <w:pPr>
        <w:jc w:val="both"/>
        <w:rPr>
          <w:rFonts w:ascii="Arial" w:hAnsi="Arial" w:cs="Arial"/>
        </w:rPr>
      </w:pPr>
      <w:r w:rsidRPr="00F87D10">
        <w:rPr>
          <w:rFonts w:ascii="Arial" w:hAnsi="Arial" w:cs="Arial"/>
        </w:rPr>
        <w:t xml:space="preserve">Group 5 lungs displayed moderate lesions </w:t>
      </w:r>
      <w:proofErr w:type="spellStart"/>
      <w:r w:rsidRPr="00F87D10">
        <w:rPr>
          <w:rFonts w:ascii="Arial" w:hAnsi="Arial" w:cs="Arial"/>
        </w:rPr>
        <w:t>characterised</w:t>
      </w:r>
      <w:proofErr w:type="spellEnd"/>
      <w:r w:rsidRPr="00F87D10">
        <w:rPr>
          <w:rFonts w:ascii="Arial" w:hAnsi="Arial" w:cs="Arial"/>
        </w:rPr>
        <w:t xml:space="preserve"> by alveolar emphysema, moderate perivascular and peribronchiolar infiltration of mononuclear cells. Group 6 sections showed moderate inflammatory cell infiltration within the interstitial tissue. The combination treatment group (Group 7) demonstrated only mild peribronchiolar infiltration of mononuclear cells and mild emphysematous changes, indicating significant histological recovery.</w:t>
      </w:r>
    </w:p>
    <w:p w14:paraId="49EA8DBC" w14:textId="77777777" w:rsidR="001C736C" w:rsidRPr="00F87D10" w:rsidRDefault="001C736C" w:rsidP="001C736C">
      <w:pPr>
        <w:jc w:val="both"/>
        <w:rPr>
          <w:rFonts w:ascii="Times New Roman" w:hAnsi="Times New Roman"/>
          <w:sz w:val="24"/>
          <w:szCs w:val="24"/>
        </w:rPr>
      </w:pPr>
      <w:r w:rsidRPr="00F87D10">
        <w:rPr>
          <w:noProof/>
        </w:rPr>
        <w:drawing>
          <wp:inline distT="0" distB="0" distL="0" distR="0" wp14:anchorId="476680DB" wp14:editId="426A37B0">
            <wp:extent cx="5731510" cy="2556164"/>
            <wp:effectExtent l="0" t="0" r="2540" b="0"/>
            <wp:docPr id="43683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0712"/>
                    <a:stretch>
                      <a:fillRect/>
                    </a:stretch>
                  </pic:blipFill>
                  <pic:spPr bwMode="auto">
                    <a:xfrm>
                      <a:off x="0" y="0"/>
                      <a:ext cx="5731510" cy="2556164"/>
                    </a:xfrm>
                    <a:prstGeom prst="rect">
                      <a:avLst/>
                    </a:prstGeom>
                    <a:noFill/>
                    <a:ln>
                      <a:noFill/>
                    </a:ln>
                    <a:extLst>
                      <a:ext uri="{53640926-AAD7-44D8-BBD7-CCE9431645EC}">
                        <a14:shadowObscured xmlns:a14="http://schemas.microsoft.com/office/drawing/2010/main"/>
                      </a:ext>
                    </a:extLst>
                  </pic:spPr>
                </pic:pic>
              </a:graphicData>
            </a:graphic>
          </wp:inline>
        </w:drawing>
      </w:r>
    </w:p>
    <w:p w14:paraId="464C5145" w14:textId="77777777" w:rsidR="001C736C" w:rsidRPr="00F87D10" w:rsidRDefault="001C736C" w:rsidP="001C736C">
      <w:pPr>
        <w:jc w:val="both"/>
        <w:rPr>
          <w:rFonts w:ascii="Times New Roman" w:hAnsi="Times New Roman"/>
          <w:sz w:val="24"/>
          <w:szCs w:val="24"/>
        </w:rPr>
      </w:pPr>
      <w:r w:rsidRPr="00F87D10">
        <w:rPr>
          <w:rFonts w:ascii="Arial" w:hAnsi="Arial" w:cs="Arial"/>
          <w:b/>
        </w:rPr>
        <w:t>Fig. 2.</w:t>
      </w:r>
      <w:r w:rsidRPr="00F87D10">
        <w:rPr>
          <w:rFonts w:ascii="Arial" w:hAnsi="Arial" w:cs="Arial"/>
        </w:rPr>
        <w:t xml:space="preserve"> </w:t>
      </w: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effect on fibrotic parameters. Catalase (A), Nitrite</w:t>
      </w:r>
      <w:r w:rsidRPr="00F87D10">
        <w:rPr>
          <w:rFonts w:ascii="Arial" w:hAnsi="Arial" w:cs="Arial"/>
          <w:vertAlign w:val="subscript"/>
        </w:rPr>
        <w:t xml:space="preserve"> </w:t>
      </w:r>
      <w:r w:rsidRPr="00F87D10">
        <w:rPr>
          <w:rFonts w:ascii="Arial" w:hAnsi="Arial" w:cs="Arial"/>
        </w:rPr>
        <w:t>(B), SOD (C), MDA (D), GSH (E), Myeloperoxidase (F).</w:t>
      </w:r>
    </w:p>
    <w:p w14:paraId="78D69416" w14:textId="77777777" w:rsidR="001C736C" w:rsidRPr="00F87D10" w:rsidRDefault="001C736C" w:rsidP="001C736C">
      <w:pPr>
        <w:jc w:val="both"/>
        <w:rPr>
          <w:rFonts w:ascii="Times New Roman" w:hAnsi="Times New Roman"/>
          <w:sz w:val="24"/>
          <w:szCs w:val="24"/>
        </w:rPr>
      </w:pPr>
      <w:r w:rsidRPr="00F87D10">
        <w:rPr>
          <w:noProof/>
        </w:rPr>
        <w:lastRenderedPageBreak/>
        <w:drawing>
          <wp:inline distT="0" distB="0" distL="0" distR="0" wp14:anchorId="7FE72483" wp14:editId="6170C407">
            <wp:extent cx="5731399" cy="1780309"/>
            <wp:effectExtent l="0" t="0" r="3175" b="0"/>
            <wp:docPr id="193026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7306" b="37471"/>
                    <a:stretch>
                      <a:fillRect/>
                    </a:stretch>
                  </pic:blipFill>
                  <pic:spPr bwMode="auto">
                    <a:xfrm>
                      <a:off x="0" y="0"/>
                      <a:ext cx="5731510" cy="1780344"/>
                    </a:xfrm>
                    <a:prstGeom prst="rect">
                      <a:avLst/>
                    </a:prstGeom>
                    <a:noFill/>
                    <a:ln>
                      <a:noFill/>
                    </a:ln>
                    <a:extLst>
                      <a:ext uri="{53640926-AAD7-44D8-BBD7-CCE9431645EC}">
                        <a14:shadowObscured xmlns:a14="http://schemas.microsoft.com/office/drawing/2010/main"/>
                      </a:ext>
                    </a:extLst>
                  </pic:spPr>
                </pic:pic>
              </a:graphicData>
            </a:graphic>
          </wp:inline>
        </w:drawing>
      </w:r>
    </w:p>
    <w:p w14:paraId="5AFC0FE5" w14:textId="77777777" w:rsidR="001C736C" w:rsidRPr="00F87D10" w:rsidRDefault="001C736C" w:rsidP="001C736C">
      <w:pPr>
        <w:autoSpaceDE w:val="0"/>
        <w:autoSpaceDN w:val="0"/>
        <w:adjustRightInd w:val="0"/>
        <w:jc w:val="both"/>
        <w:rPr>
          <w:rFonts w:ascii="Arial" w:hAnsi="Arial" w:cs="Arial"/>
        </w:rPr>
      </w:pPr>
      <w:r w:rsidRPr="00F87D10">
        <w:rPr>
          <w:rFonts w:ascii="Arial" w:hAnsi="Arial" w:cs="Arial"/>
          <w:b/>
        </w:rPr>
        <w:t>Fig. 3.</w:t>
      </w:r>
      <w:r w:rsidRPr="00F87D10">
        <w:rPr>
          <w:rFonts w:ascii="Arial" w:hAnsi="Arial" w:cs="Arial"/>
        </w:rPr>
        <w:t xml:space="preserve"> </w:t>
      </w: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effect on a) gross pathology and b) histology.</w:t>
      </w:r>
    </w:p>
    <w:p w14:paraId="12FAA06E" w14:textId="77777777" w:rsidR="001C736C" w:rsidRPr="00F87D10" w:rsidRDefault="001C736C" w:rsidP="001C736C">
      <w:pPr>
        <w:jc w:val="both"/>
        <w:rPr>
          <w:rFonts w:ascii="Times New Roman" w:hAnsi="Times New Roman"/>
          <w:sz w:val="24"/>
          <w:szCs w:val="24"/>
        </w:rPr>
      </w:pPr>
    </w:p>
    <w:p w14:paraId="1C0BC5A9" w14:textId="77777777" w:rsidR="001C736C" w:rsidRPr="00F87D10" w:rsidRDefault="001C736C" w:rsidP="001C736C">
      <w:pPr>
        <w:ind w:firstLine="720"/>
        <w:jc w:val="both"/>
        <w:rPr>
          <w:rFonts w:ascii="Arial" w:hAnsi="Arial" w:cs="Arial"/>
        </w:rPr>
      </w:pPr>
      <w:r w:rsidRPr="00F87D10">
        <w:rPr>
          <w:rFonts w:ascii="Arial" w:hAnsi="Arial" w:cs="Arial"/>
        </w:rPr>
        <w:t xml:space="preserve">Pulmonary fibrosis represents a progressive interstitial lung disorder marked by persistent epithelial injury, fibroblast activation, and excessive deposition of extracellular matrix (ECM), culminating in impaired gas exchange and lung stiffness ((Lederer and Martinez, 2018; Raghu et al., 2022). In experimental models, bleomycin (BLM) administration is widely used to reproduce the oxidative, inflammatory, and fibrotic characteristics of idiopathic pulmonary fibrosis (IPF) (Williamson et al., 2015). In the present study, BLM exposure induced a series of biochemical and structural changes in C57BL/6 mice, including elevated oxidative stress and severe histopathological alterations. Conversely, treatment with </w:t>
      </w:r>
      <w:proofErr w:type="spellStart"/>
      <w:r w:rsidRPr="00F87D10">
        <w:rPr>
          <w:rFonts w:ascii="Arial" w:hAnsi="Arial" w:cs="Arial"/>
        </w:rPr>
        <w:t>galangin</w:t>
      </w:r>
      <w:proofErr w:type="spellEnd"/>
      <w:r w:rsidRPr="00F87D10">
        <w:rPr>
          <w:rFonts w:ascii="Arial" w:hAnsi="Arial" w:cs="Arial"/>
        </w:rPr>
        <w:t xml:space="preserve"> (GA) and </w:t>
      </w:r>
      <w:proofErr w:type="spellStart"/>
      <w:r w:rsidRPr="00F87D10">
        <w:rPr>
          <w:rFonts w:ascii="Arial" w:hAnsi="Arial" w:cs="Arial"/>
        </w:rPr>
        <w:t>piperine</w:t>
      </w:r>
      <w:proofErr w:type="spellEnd"/>
      <w:r w:rsidRPr="00F87D10">
        <w:rPr>
          <w:rFonts w:ascii="Arial" w:hAnsi="Arial" w:cs="Arial"/>
        </w:rPr>
        <w:t xml:space="preserve"> (PIP) alone or in combination attenuated these changes, with the combination therapy exhibiting the most pronounced protective effect.</w:t>
      </w:r>
    </w:p>
    <w:p w14:paraId="0AAA9840" w14:textId="77777777" w:rsidR="001C736C" w:rsidRPr="00F87D10" w:rsidRDefault="001C736C" w:rsidP="001C736C">
      <w:pPr>
        <w:ind w:firstLine="720"/>
        <w:jc w:val="both"/>
        <w:rPr>
          <w:rFonts w:ascii="Arial" w:hAnsi="Arial" w:cs="Arial"/>
        </w:rPr>
      </w:pPr>
      <w:r w:rsidRPr="00F87D10">
        <w:rPr>
          <w:rFonts w:ascii="Arial" w:hAnsi="Arial" w:cs="Arial"/>
        </w:rPr>
        <w:t>Oxidative Stress by BLM markedly increased malondialdehyde (MDA) and nitrite levels, indicating enhanced lipid peroxidation and nitrosative stress, while significantly depleting superoxide dismutase (SOD), catalase (CAT), and reduced glutathione (GSH). These results are consistent with earlier studies reporting ROS-mediated oxidative damage as a central driver of fibrosis (Lederer et al., 2018). The excessive generation of reactive oxygen and nitrogen species disrupts mitochondrial function and cellular redox balance, further amplifying inflammatory and apoptotic cascades (Checa and Aran, 2020).</w:t>
      </w:r>
    </w:p>
    <w:p w14:paraId="4D9F7709" w14:textId="77777777" w:rsidR="001C736C" w:rsidRPr="00F87D10" w:rsidRDefault="001C736C" w:rsidP="001C736C">
      <w:pPr>
        <w:ind w:firstLine="720"/>
        <w:jc w:val="both"/>
        <w:rPr>
          <w:rFonts w:ascii="Arial" w:hAnsi="Arial" w:cs="Arial"/>
        </w:rPr>
      </w:pPr>
      <w:r w:rsidRPr="00F87D10">
        <w:rPr>
          <w:rFonts w:ascii="Arial" w:hAnsi="Arial" w:cs="Arial"/>
        </w:rPr>
        <w:t xml:space="preserve">Treatment with </w:t>
      </w:r>
      <w:proofErr w:type="spellStart"/>
      <w:r w:rsidRPr="00F87D10">
        <w:rPr>
          <w:rFonts w:ascii="Arial" w:hAnsi="Arial" w:cs="Arial"/>
        </w:rPr>
        <w:t>galangin</w:t>
      </w:r>
      <w:proofErr w:type="spellEnd"/>
      <w:r w:rsidRPr="00F87D10">
        <w:rPr>
          <w:rFonts w:ascii="Arial" w:hAnsi="Arial" w:cs="Arial"/>
        </w:rPr>
        <w:t xml:space="preserve"> or </w:t>
      </w:r>
      <w:proofErr w:type="spellStart"/>
      <w:r w:rsidRPr="00F87D10">
        <w:rPr>
          <w:rFonts w:ascii="Arial" w:hAnsi="Arial" w:cs="Arial"/>
        </w:rPr>
        <w:t>piperine</w:t>
      </w:r>
      <w:proofErr w:type="spellEnd"/>
      <w:r w:rsidRPr="00F87D10">
        <w:rPr>
          <w:rFonts w:ascii="Arial" w:hAnsi="Arial" w:cs="Arial"/>
        </w:rPr>
        <w:t xml:space="preserve"> significantly restored antioxidant enzyme activities and reduced oxidative biomarkers, suggesting their efficacy in counteracting free-radical-induced injury. Both phytochemicals are known to possess strong antioxidant and anti-inflammatory properties mediated via Nrf2 activation and NF-κB inhibition (7,8). The combination of </w:t>
      </w: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(Group 7) exhibited the greatest improvement in antioxidant status, likely due to </w:t>
      </w:r>
      <w:proofErr w:type="spellStart"/>
      <w:r w:rsidRPr="00F87D10">
        <w:rPr>
          <w:rFonts w:ascii="Arial" w:hAnsi="Arial" w:cs="Arial"/>
        </w:rPr>
        <w:t>piperine’s</w:t>
      </w:r>
      <w:proofErr w:type="spellEnd"/>
      <w:r w:rsidRPr="00F87D10">
        <w:rPr>
          <w:rFonts w:ascii="Arial" w:hAnsi="Arial" w:cs="Arial"/>
        </w:rPr>
        <w:t xml:space="preserve"> </w:t>
      </w:r>
      <w:proofErr w:type="spellStart"/>
      <w:r w:rsidRPr="00F87D10">
        <w:rPr>
          <w:rFonts w:ascii="Arial" w:hAnsi="Arial" w:cs="Arial"/>
        </w:rPr>
        <w:t>bioenhancing</w:t>
      </w:r>
      <w:proofErr w:type="spellEnd"/>
      <w:r w:rsidRPr="00F87D10">
        <w:rPr>
          <w:rFonts w:ascii="Arial" w:hAnsi="Arial" w:cs="Arial"/>
        </w:rPr>
        <w:t xml:space="preserve"> properties that enhance the absorption and bioavailability of co-administered compounds. These findings corroborate reports by Thangaiyan et al. (2020), which documented the role of </w:t>
      </w:r>
      <w:proofErr w:type="spellStart"/>
      <w:r w:rsidRPr="00F87D10">
        <w:rPr>
          <w:rFonts w:ascii="Arial" w:hAnsi="Arial" w:cs="Arial"/>
        </w:rPr>
        <w:t>galangin</w:t>
      </w:r>
      <w:proofErr w:type="spellEnd"/>
      <w:r w:rsidRPr="00F87D10">
        <w:rPr>
          <w:rFonts w:ascii="Arial" w:hAnsi="Arial" w:cs="Arial"/>
        </w:rPr>
        <w:t xml:space="preserve"> in restoring enzymatic antioxidant </w:t>
      </w:r>
      <w:proofErr w:type="spellStart"/>
      <w:r w:rsidRPr="00F87D10">
        <w:rPr>
          <w:rFonts w:ascii="Arial" w:hAnsi="Arial" w:cs="Arial"/>
        </w:rPr>
        <w:t>defences</w:t>
      </w:r>
      <w:proofErr w:type="spellEnd"/>
      <w:r w:rsidRPr="00F87D10">
        <w:rPr>
          <w:rFonts w:ascii="Arial" w:hAnsi="Arial" w:cs="Arial"/>
        </w:rPr>
        <w:t xml:space="preserve"> in oxidative lung injury models.</w:t>
      </w:r>
    </w:p>
    <w:p w14:paraId="79A67F6A" w14:textId="77777777" w:rsidR="001C736C" w:rsidRPr="00F87D10" w:rsidRDefault="001C736C" w:rsidP="001C736C">
      <w:pPr>
        <w:ind w:firstLine="720"/>
        <w:jc w:val="both"/>
        <w:rPr>
          <w:rFonts w:ascii="Arial" w:hAnsi="Arial" w:cs="Arial"/>
        </w:rPr>
      </w:pPr>
      <w:r w:rsidRPr="00F87D10">
        <w:rPr>
          <w:rFonts w:ascii="Arial" w:hAnsi="Arial" w:cs="Arial"/>
        </w:rPr>
        <w:t xml:space="preserve">Myeloperoxidase (MPO), a pro-oxidant enzyme released from activated neutrophils, contributes to tissue injury through hypochlorous acid formation and secondary ROS production. The elevated MPO activity in the BLM-treated group supports an ongoing inflammatory process. </w:t>
      </w: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particularly in combination, significantly lowered MPO activity, indicating their potential to suppress neutrophil infiltration and oxidative burst. Similar anti-inflammatory effects of these compounds have been reported in models of LPS-induced and ovalbumin-induced pulmonary injury (Kwon et al., 2025; Ren et al., 2019).</w:t>
      </w:r>
    </w:p>
    <w:p w14:paraId="0372FBF9" w14:textId="77777777" w:rsidR="001C736C" w:rsidRPr="00F87D10" w:rsidRDefault="001C736C" w:rsidP="001C736C">
      <w:pPr>
        <w:ind w:firstLine="720"/>
        <w:jc w:val="both"/>
        <w:rPr>
          <w:rFonts w:ascii="Arial" w:hAnsi="Arial" w:cs="Arial"/>
        </w:rPr>
      </w:pPr>
      <w:r w:rsidRPr="00F87D10">
        <w:rPr>
          <w:rFonts w:ascii="Arial" w:hAnsi="Arial" w:cs="Arial"/>
        </w:rPr>
        <w:t xml:space="preserve">Histopathological findings reinforced the biochemical data. Lungs from the BLM-treated group displayed severe alveolar destruction, emphysema, interstitial oedema, and dense inflammatory infiltration hallmarks of fibrotic </w:t>
      </w:r>
      <w:proofErr w:type="spellStart"/>
      <w:r w:rsidRPr="00F87D10">
        <w:rPr>
          <w:rFonts w:ascii="Arial" w:hAnsi="Arial" w:cs="Arial"/>
        </w:rPr>
        <w:t>remodelling</w:t>
      </w:r>
      <w:proofErr w:type="spellEnd"/>
      <w:r w:rsidRPr="00F87D10">
        <w:rPr>
          <w:rFonts w:ascii="Arial" w:hAnsi="Arial" w:cs="Arial"/>
        </w:rPr>
        <w:t xml:space="preserve"> (</w:t>
      </w:r>
      <w:proofErr w:type="spellStart"/>
      <w:r w:rsidRPr="00F87D10">
        <w:rPr>
          <w:rFonts w:ascii="Arial" w:hAnsi="Arial" w:cs="Arial"/>
        </w:rPr>
        <w:t>Pinart</w:t>
      </w:r>
      <w:proofErr w:type="spellEnd"/>
      <w:r w:rsidRPr="00F87D10">
        <w:rPr>
          <w:rFonts w:ascii="Arial" w:hAnsi="Arial" w:cs="Arial"/>
        </w:rPr>
        <w:t xml:space="preserve"> et al., 2009). These changes are attributed to oxidative injury, epithelial apoptosis and the activation of </w:t>
      </w:r>
      <w:r w:rsidRPr="00F87D10">
        <w:rPr>
          <w:rFonts w:ascii="Arial" w:hAnsi="Arial" w:cs="Arial"/>
        </w:rPr>
        <w:lastRenderedPageBreak/>
        <w:t xml:space="preserve">fibroblasts and myofibroblasts (Confalonieri et al., 2022). Treatment with </w:t>
      </w:r>
      <w:proofErr w:type="spellStart"/>
      <w:r w:rsidRPr="00F87D10">
        <w:rPr>
          <w:rFonts w:ascii="Arial" w:hAnsi="Arial" w:cs="Arial"/>
        </w:rPr>
        <w:t>galangin</w:t>
      </w:r>
      <w:proofErr w:type="spellEnd"/>
      <w:r w:rsidRPr="00F87D10">
        <w:rPr>
          <w:rFonts w:ascii="Arial" w:hAnsi="Arial" w:cs="Arial"/>
        </w:rPr>
        <w:t xml:space="preserve"> or </w:t>
      </w:r>
      <w:proofErr w:type="spellStart"/>
      <w:r w:rsidRPr="00F87D10">
        <w:rPr>
          <w:rFonts w:ascii="Arial" w:hAnsi="Arial" w:cs="Arial"/>
        </w:rPr>
        <w:t>piperine</w:t>
      </w:r>
      <w:proofErr w:type="spellEnd"/>
      <w:r w:rsidRPr="00F87D10">
        <w:rPr>
          <w:rFonts w:ascii="Arial" w:hAnsi="Arial" w:cs="Arial"/>
        </w:rPr>
        <w:t xml:space="preserve"> markedly ameliorated these lesions, showing reduced cellular infiltration, less alveolar wall thickening and restoration of normal lung architecture. The combination group exhibited near-normal histoarchitecture with minimal congestion and emphysema, confirming synergistic protective effects.</w:t>
      </w:r>
    </w:p>
    <w:p w14:paraId="6D3939AD" w14:textId="77777777" w:rsidR="001C736C" w:rsidRPr="00F87D10" w:rsidRDefault="001C736C" w:rsidP="001C736C">
      <w:pPr>
        <w:ind w:firstLine="720"/>
        <w:jc w:val="both"/>
        <w:rPr>
          <w:rFonts w:ascii="Arial" w:hAnsi="Arial" w:cs="Arial"/>
        </w:rPr>
      </w:pP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mitigate bleomycin-induced pulmonary fibrosis by inhibiting the TGF-β1/NF-</w:t>
      </w:r>
      <w:proofErr w:type="spellStart"/>
      <w:r w:rsidRPr="00F87D10">
        <w:rPr>
          <w:rFonts w:ascii="Arial" w:hAnsi="Arial" w:cs="Arial"/>
        </w:rPr>
        <w:t>κB</w:t>
      </w:r>
      <w:proofErr w:type="spellEnd"/>
      <w:r w:rsidRPr="00F87D10">
        <w:rPr>
          <w:rFonts w:ascii="Arial" w:hAnsi="Arial" w:cs="Arial"/>
        </w:rPr>
        <w:t xml:space="preserve"> </w:t>
      </w:r>
      <w:proofErr w:type="spellStart"/>
      <w:r w:rsidRPr="00F87D10">
        <w:rPr>
          <w:rFonts w:ascii="Arial" w:hAnsi="Arial" w:cs="Arial"/>
        </w:rPr>
        <w:t>signalling</w:t>
      </w:r>
      <w:proofErr w:type="spellEnd"/>
      <w:r w:rsidRPr="00F87D10">
        <w:rPr>
          <w:rFonts w:ascii="Arial" w:hAnsi="Arial" w:cs="Arial"/>
        </w:rPr>
        <w:t xml:space="preserve"> axis, activating Nrf2-mediated antioxidant </w:t>
      </w:r>
      <w:proofErr w:type="spellStart"/>
      <w:r w:rsidRPr="00F87D10">
        <w:rPr>
          <w:rFonts w:ascii="Arial" w:hAnsi="Arial" w:cs="Arial"/>
        </w:rPr>
        <w:t>defence</w:t>
      </w:r>
      <w:proofErr w:type="spellEnd"/>
      <w:r w:rsidRPr="00F87D10">
        <w:rPr>
          <w:rFonts w:ascii="Arial" w:hAnsi="Arial" w:cs="Arial"/>
        </w:rPr>
        <w:t xml:space="preserve"> and reducing oxidative stress and inflammation. Their combined action downregulates profibrotic mediators while restoring normal lung architecture, highlighting the multifaceted protective potential of these antioxidant and anti-inflammatory phytochemicals in preventing </w:t>
      </w:r>
      <w:proofErr w:type="spellStart"/>
      <w:r w:rsidRPr="00F87D10">
        <w:rPr>
          <w:rFonts w:ascii="Arial" w:hAnsi="Arial" w:cs="Arial"/>
        </w:rPr>
        <w:t>fibrogenic</w:t>
      </w:r>
      <w:proofErr w:type="spellEnd"/>
      <w:r w:rsidRPr="00F87D10">
        <w:rPr>
          <w:rFonts w:ascii="Arial" w:hAnsi="Arial" w:cs="Arial"/>
        </w:rPr>
        <w:t xml:space="preserve"> progression.</w:t>
      </w:r>
    </w:p>
    <w:p w14:paraId="5EFF5116" w14:textId="77777777" w:rsidR="00790ADA" w:rsidRPr="00F87D10" w:rsidRDefault="00790ADA" w:rsidP="00441B6F">
      <w:pPr>
        <w:pStyle w:val="Body"/>
        <w:spacing w:after="0"/>
        <w:rPr>
          <w:rFonts w:ascii="Arial" w:hAnsi="Arial" w:cs="Arial"/>
          <w:sz w:val="16"/>
          <w:szCs w:val="16"/>
        </w:rPr>
      </w:pPr>
    </w:p>
    <w:p w14:paraId="03D6A724" w14:textId="77777777" w:rsidR="00B01FCD" w:rsidRPr="00F87D10" w:rsidRDefault="00000F8F" w:rsidP="00441B6F">
      <w:pPr>
        <w:pStyle w:val="ConcHead"/>
        <w:spacing w:after="0"/>
        <w:jc w:val="both"/>
        <w:rPr>
          <w:rFonts w:ascii="Arial" w:hAnsi="Arial" w:cs="Arial"/>
        </w:rPr>
      </w:pPr>
      <w:r w:rsidRPr="00F87D10">
        <w:rPr>
          <w:rFonts w:ascii="Arial" w:hAnsi="Arial" w:cs="Arial"/>
        </w:rPr>
        <w:t xml:space="preserve">4. </w:t>
      </w:r>
      <w:r w:rsidR="00B01FCD" w:rsidRPr="00F87D10">
        <w:rPr>
          <w:rFonts w:ascii="Arial" w:hAnsi="Arial" w:cs="Arial"/>
        </w:rPr>
        <w:t>Conclusion</w:t>
      </w:r>
    </w:p>
    <w:p w14:paraId="5CD6C401" w14:textId="77777777" w:rsidR="00790ADA" w:rsidRPr="00F87D10" w:rsidRDefault="00790ADA" w:rsidP="00441B6F">
      <w:pPr>
        <w:pStyle w:val="ConcHead"/>
        <w:spacing w:after="0"/>
        <w:jc w:val="both"/>
        <w:rPr>
          <w:rFonts w:ascii="Arial" w:hAnsi="Arial" w:cs="Arial"/>
        </w:rPr>
      </w:pPr>
    </w:p>
    <w:p w14:paraId="7CA7F31C" w14:textId="77777777" w:rsidR="001C736C" w:rsidRPr="00F87D10" w:rsidRDefault="001C736C" w:rsidP="001C736C">
      <w:pPr>
        <w:ind w:firstLine="720"/>
        <w:jc w:val="both"/>
        <w:rPr>
          <w:rFonts w:ascii="Arial" w:hAnsi="Arial" w:cs="Arial"/>
        </w:rPr>
      </w:pPr>
      <w:r w:rsidRPr="00F87D10">
        <w:rPr>
          <w:rFonts w:ascii="Arial" w:hAnsi="Arial" w:cs="Arial"/>
        </w:rPr>
        <w:t xml:space="preserve">In summary, </w:t>
      </w:r>
      <w:proofErr w:type="spellStart"/>
      <w:r w:rsidRPr="00F87D10">
        <w:rPr>
          <w:rFonts w:ascii="Arial" w:hAnsi="Arial" w:cs="Arial"/>
        </w:rPr>
        <w:t>galangin</w:t>
      </w:r>
      <w:proofErr w:type="spellEnd"/>
      <w:r w:rsidRPr="00F87D10">
        <w:rPr>
          <w:rFonts w:ascii="Arial" w:hAnsi="Arial" w:cs="Arial"/>
        </w:rPr>
        <w:t xml:space="preserve"> and </w:t>
      </w:r>
      <w:proofErr w:type="spellStart"/>
      <w:r w:rsidRPr="00F87D10">
        <w:rPr>
          <w:rFonts w:ascii="Arial" w:hAnsi="Arial" w:cs="Arial"/>
        </w:rPr>
        <w:t>piperine</w:t>
      </w:r>
      <w:proofErr w:type="spellEnd"/>
      <w:r w:rsidRPr="00F87D10">
        <w:rPr>
          <w:rFonts w:ascii="Arial" w:hAnsi="Arial" w:cs="Arial"/>
        </w:rPr>
        <w:t xml:space="preserve"> exhibited substantial protective effects against BLM-induced oxidative stress and fibrotic lung injury in C57BL/6 mice. The combination therapy provided superior efficacy compared with individual treatments, suggesting a synergistic interaction between both compounds. This dual </w:t>
      </w:r>
      <w:proofErr w:type="spellStart"/>
      <w:r w:rsidRPr="00F87D10">
        <w:rPr>
          <w:rFonts w:ascii="Arial" w:hAnsi="Arial" w:cs="Arial"/>
        </w:rPr>
        <w:t>phytotherapeutic</w:t>
      </w:r>
      <w:proofErr w:type="spellEnd"/>
      <w:r w:rsidRPr="00F87D10">
        <w:rPr>
          <w:rFonts w:ascii="Arial" w:hAnsi="Arial" w:cs="Arial"/>
        </w:rPr>
        <w:t xml:space="preserve"> approach mitigated ROS-mediated damage and preserved normal lung histology. These findings highlight the potential of </w:t>
      </w:r>
      <w:proofErr w:type="spellStart"/>
      <w:r w:rsidRPr="00F87D10">
        <w:rPr>
          <w:rFonts w:ascii="Arial" w:hAnsi="Arial" w:cs="Arial"/>
        </w:rPr>
        <w:t>galangin</w:t>
      </w:r>
      <w:proofErr w:type="spellEnd"/>
      <w:r w:rsidRPr="00F87D10">
        <w:rPr>
          <w:rFonts w:ascii="Arial" w:hAnsi="Arial" w:cs="Arial"/>
        </w:rPr>
        <w:t xml:space="preserve"> </w:t>
      </w:r>
      <w:proofErr w:type="spellStart"/>
      <w:r w:rsidRPr="00F87D10">
        <w:rPr>
          <w:rFonts w:ascii="Arial" w:hAnsi="Arial" w:cs="Arial"/>
        </w:rPr>
        <w:t>piperine</w:t>
      </w:r>
      <w:proofErr w:type="spellEnd"/>
      <w:r w:rsidRPr="00F87D10">
        <w:rPr>
          <w:rFonts w:ascii="Arial" w:hAnsi="Arial" w:cs="Arial"/>
        </w:rPr>
        <w:t xml:space="preserve"> co-therapy as a promising, natural, and multi-targeted strategy for the management of pulmonary fibrosis.</w:t>
      </w:r>
    </w:p>
    <w:p w14:paraId="04DD23D8" w14:textId="77777777" w:rsidR="00790ADA" w:rsidRPr="00F87D10" w:rsidRDefault="00790ADA" w:rsidP="00441B6F">
      <w:pPr>
        <w:pStyle w:val="AcknHead"/>
        <w:spacing w:after="0"/>
        <w:jc w:val="both"/>
        <w:rPr>
          <w:rFonts w:ascii="Arial" w:hAnsi="Arial" w:cs="Arial"/>
        </w:rPr>
      </w:pPr>
    </w:p>
    <w:p w14:paraId="49C89D02" w14:textId="6EB2EF76" w:rsidR="00EE359F" w:rsidRDefault="00EE359F" w:rsidP="00EE359F">
      <w:pPr>
        <w:pStyle w:val="AcknHead"/>
        <w:spacing w:after="0"/>
        <w:jc w:val="both"/>
        <w:rPr>
          <w:rFonts w:ascii="Arial" w:hAnsi="Arial" w:cs="Arial"/>
          <w:b w:val="0"/>
          <w:bCs/>
          <w:caps w:val="0"/>
          <w:sz w:val="20"/>
          <w:szCs w:val="18"/>
        </w:rPr>
      </w:pPr>
      <w:r w:rsidRPr="00F87D10">
        <w:rPr>
          <w:rFonts w:ascii="Arial" w:hAnsi="Arial" w:cs="Arial"/>
          <w:b w:val="0"/>
          <w:bCs/>
          <w:caps w:val="0"/>
          <w:sz w:val="20"/>
          <w:szCs w:val="18"/>
        </w:rPr>
        <w:t xml:space="preserve">Future studies should investigate detailed molecular pathways including oxidative, inflammatory and apoptotic </w:t>
      </w:r>
      <w:proofErr w:type="spellStart"/>
      <w:r w:rsidRPr="00F87D10">
        <w:rPr>
          <w:rFonts w:ascii="Arial" w:hAnsi="Arial" w:cs="Arial"/>
          <w:b w:val="0"/>
          <w:bCs/>
          <w:caps w:val="0"/>
          <w:sz w:val="20"/>
          <w:szCs w:val="18"/>
        </w:rPr>
        <w:t>signalling</w:t>
      </w:r>
      <w:proofErr w:type="spellEnd"/>
      <w:r w:rsidRPr="00F87D10">
        <w:rPr>
          <w:rFonts w:ascii="Arial" w:hAnsi="Arial" w:cs="Arial"/>
          <w:b w:val="0"/>
          <w:bCs/>
          <w:caps w:val="0"/>
          <w:sz w:val="20"/>
          <w:szCs w:val="18"/>
        </w:rPr>
        <w:t xml:space="preserve"> as well as long-term outcomes and dose response effects to further validate the therapeutic potential of </w:t>
      </w:r>
      <w:proofErr w:type="spellStart"/>
      <w:r w:rsidRPr="00F87D10">
        <w:rPr>
          <w:rFonts w:ascii="Arial" w:hAnsi="Arial" w:cs="Arial"/>
          <w:b w:val="0"/>
          <w:bCs/>
          <w:caps w:val="0"/>
          <w:sz w:val="20"/>
          <w:szCs w:val="18"/>
        </w:rPr>
        <w:t>galangin</w:t>
      </w:r>
      <w:proofErr w:type="spellEnd"/>
      <w:r w:rsidRPr="00F87D10">
        <w:rPr>
          <w:rFonts w:ascii="Arial" w:hAnsi="Arial" w:cs="Arial"/>
          <w:b w:val="0"/>
          <w:bCs/>
          <w:caps w:val="0"/>
          <w:sz w:val="20"/>
          <w:szCs w:val="18"/>
        </w:rPr>
        <w:t xml:space="preserve"> and </w:t>
      </w:r>
      <w:proofErr w:type="spellStart"/>
      <w:r w:rsidRPr="00F87D10">
        <w:rPr>
          <w:rFonts w:ascii="Arial" w:hAnsi="Arial" w:cs="Arial"/>
          <w:b w:val="0"/>
          <w:bCs/>
          <w:caps w:val="0"/>
          <w:sz w:val="20"/>
          <w:szCs w:val="18"/>
        </w:rPr>
        <w:t>piperine</w:t>
      </w:r>
      <w:proofErr w:type="spellEnd"/>
      <w:r w:rsidRPr="00F87D10">
        <w:rPr>
          <w:rFonts w:ascii="Arial" w:hAnsi="Arial" w:cs="Arial"/>
          <w:b w:val="0"/>
          <w:bCs/>
          <w:caps w:val="0"/>
          <w:sz w:val="20"/>
          <w:szCs w:val="18"/>
        </w:rPr>
        <w:t>.</w:t>
      </w:r>
    </w:p>
    <w:p w14:paraId="61996166" w14:textId="543A76AC" w:rsidR="0033630E" w:rsidRDefault="0033630E" w:rsidP="00EE359F">
      <w:pPr>
        <w:pStyle w:val="AcknHead"/>
        <w:spacing w:after="0"/>
        <w:jc w:val="both"/>
        <w:rPr>
          <w:rFonts w:ascii="Arial" w:hAnsi="Arial" w:cs="Arial"/>
          <w:b w:val="0"/>
          <w:bCs/>
          <w:sz w:val="20"/>
          <w:szCs w:val="18"/>
        </w:rPr>
      </w:pPr>
    </w:p>
    <w:p w14:paraId="7ACD928C" w14:textId="63FB9FAA" w:rsidR="0033630E" w:rsidRDefault="0033630E" w:rsidP="00EE359F">
      <w:pPr>
        <w:pStyle w:val="AcknHead"/>
        <w:spacing w:after="0"/>
        <w:jc w:val="both"/>
        <w:rPr>
          <w:rFonts w:ascii="Arial" w:hAnsi="Arial" w:cs="Arial"/>
          <w:b w:val="0"/>
          <w:bCs/>
          <w:sz w:val="20"/>
          <w:szCs w:val="18"/>
        </w:rPr>
      </w:pPr>
      <w:r>
        <w:rPr>
          <w:rFonts w:ascii="Arial" w:hAnsi="Arial" w:cs="Arial"/>
          <w:b w:val="0"/>
          <w:bCs/>
          <w:sz w:val="20"/>
          <w:szCs w:val="18"/>
        </w:rPr>
        <w:t xml:space="preserve">ETHICAL </w:t>
      </w:r>
      <w:r w:rsidRPr="0033630E">
        <w:rPr>
          <w:rFonts w:ascii="Arial" w:hAnsi="Arial" w:cs="Arial"/>
          <w:b w:val="0"/>
          <w:bCs/>
          <w:sz w:val="20"/>
          <w:szCs w:val="18"/>
        </w:rPr>
        <w:t>APPROVAL</w:t>
      </w:r>
    </w:p>
    <w:p w14:paraId="47292A14" w14:textId="77777777" w:rsidR="0033630E" w:rsidRDefault="0033630E" w:rsidP="00EE359F">
      <w:pPr>
        <w:pStyle w:val="AcknHead"/>
        <w:spacing w:after="0"/>
        <w:jc w:val="both"/>
        <w:rPr>
          <w:rFonts w:ascii="Arial" w:hAnsi="Arial" w:cs="Arial"/>
          <w:b w:val="0"/>
          <w:bCs/>
          <w:sz w:val="20"/>
          <w:szCs w:val="18"/>
        </w:rPr>
      </w:pPr>
      <w:bookmarkStart w:id="0" w:name="_GoBack"/>
      <w:bookmarkEnd w:id="0"/>
    </w:p>
    <w:p w14:paraId="61E77E8C" w14:textId="46711208" w:rsidR="0033630E" w:rsidRPr="00F87D10" w:rsidRDefault="0033630E" w:rsidP="00EE359F">
      <w:pPr>
        <w:pStyle w:val="AcknHead"/>
        <w:spacing w:after="0"/>
        <w:jc w:val="both"/>
        <w:rPr>
          <w:rFonts w:ascii="Arial" w:hAnsi="Arial" w:cs="Arial"/>
          <w:b w:val="0"/>
          <w:bCs/>
          <w:sz w:val="20"/>
          <w:szCs w:val="18"/>
        </w:rPr>
      </w:pPr>
      <w:r w:rsidRPr="0033630E">
        <w:rPr>
          <w:rFonts w:ascii="Arial" w:hAnsi="Arial" w:cs="Arial"/>
          <w:b w:val="0"/>
          <w:bCs/>
          <w:sz w:val="20"/>
          <w:szCs w:val="18"/>
        </w:rPr>
        <w:t>All experimental protocols were approved by the Institutional Animal Ethics Committee (IAEC), College of Veterinary Science, Hyderabad (Approval No. 40/24/C.V.Sc, Hyd, IAEC.MICE/ dated 12.06.2021) and were conducted in accordance with the guidelines.</w:t>
      </w:r>
    </w:p>
    <w:p w14:paraId="2A496F57" w14:textId="33F7B521" w:rsidR="001C736C" w:rsidRPr="00F87D10" w:rsidRDefault="001C736C" w:rsidP="001C736C">
      <w:pPr>
        <w:pStyle w:val="ReferHead"/>
        <w:spacing w:after="0"/>
        <w:jc w:val="both"/>
        <w:rPr>
          <w:rFonts w:ascii="Arial" w:hAnsi="Arial" w:cs="Arial"/>
          <w:bCs/>
        </w:rPr>
      </w:pPr>
    </w:p>
    <w:p w14:paraId="5E17F1C5" w14:textId="77777777" w:rsidR="00E40EDA" w:rsidRPr="00F87D10" w:rsidRDefault="00E40EDA" w:rsidP="00CA10F7">
      <w:pPr>
        <w:jc w:val="both"/>
        <w:rPr>
          <w:rFonts w:ascii="Calibri" w:eastAsia="Calibri" w:hAnsi="Calibri"/>
          <w:kern w:val="2"/>
        </w:rPr>
      </w:pPr>
      <w:bookmarkStart w:id="1" w:name="_Hlk204003461"/>
      <w:bookmarkStart w:id="2" w:name="_Hlk213070710"/>
      <w:r w:rsidRPr="00F87D10">
        <w:rPr>
          <w:rFonts w:ascii="Calibri" w:eastAsia="Calibri" w:hAnsi="Calibri"/>
          <w:kern w:val="2"/>
        </w:rPr>
        <w:t>Disclaimer (Artificial intelligence)</w:t>
      </w:r>
    </w:p>
    <w:p w14:paraId="57A309C7" w14:textId="77777777" w:rsidR="00E40EDA" w:rsidRPr="00F87D10" w:rsidRDefault="00E40EDA" w:rsidP="00CA10F7">
      <w:pPr>
        <w:jc w:val="both"/>
        <w:rPr>
          <w:rFonts w:ascii="Calibri" w:eastAsia="Calibri" w:hAnsi="Calibri"/>
          <w:kern w:val="2"/>
        </w:rPr>
      </w:pPr>
      <w:r w:rsidRPr="00F87D10">
        <w:rPr>
          <w:rFonts w:ascii="Calibri" w:eastAsia="Calibri" w:hAnsi="Calibri"/>
          <w:kern w:val="2"/>
        </w:rPr>
        <w:t>Option 1:</w:t>
      </w:r>
    </w:p>
    <w:p w14:paraId="24BAF0C2" w14:textId="77777777" w:rsidR="00E40EDA" w:rsidRPr="00F87D10" w:rsidRDefault="00E40EDA" w:rsidP="00CA10F7">
      <w:pPr>
        <w:jc w:val="both"/>
        <w:rPr>
          <w:rFonts w:ascii="Calibri" w:eastAsia="Calibri" w:hAnsi="Calibri"/>
          <w:kern w:val="2"/>
        </w:rPr>
      </w:pPr>
      <w:r w:rsidRPr="00F87D10">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40EC72AD" w14:textId="77777777" w:rsidR="006163E5" w:rsidRPr="00F87D10" w:rsidRDefault="006163E5" w:rsidP="00CA10F7">
      <w:pPr>
        <w:pStyle w:val="ReferHead"/>
        <w:spacing w:after="0"/>
        <w:jc w:val="both"/>
        <w:rPr>
          <w:rFonts w:ascii="Arial" w:hAnsi="Arial" w:cs="Arial"/>
          <w:bCs/>
        </w:rPr>
      </w:pPr>
    </w:p>
    <w:p w14:paraId="59188195" w14:textId="77777777" w:rsidR="00860000" w:rsidRPr="00F87D10" w:rsidRDefault="00860000" w:rsidP="00441B6F">
      <w:pPr>
        <w:pStyle w:val="ReferHead"/>
        <w:spacing w:after="0"/>
        <w:jc w:val="both"/>
        <w:rPr>
          <w:rFonts w:ascii="Arial" w:hAnsi="Arial" w:cs="Arial"/>
        </w:rPr>
      </w:pPr>
    </w:p>
    <w:p w14:paraId="1C30298B" w14:textId="77777777" w:rsidR="00B01FCD" w:rsidRPr="00F87D10" w:rsidRDefault="00B01FCD" w:rsidP="00441B6F">
      <w:pPr>
        <w:pStyle w:val="ReferHead"/>
        <w:spacing w:after="0"/>
        <w:jc w:val="both"/>
        <w:rPr>
          <w:rFonts w:ascii="Arial" w:hAnsi="Arial" w:cs="Arial"/>
        </w:rPr>
      </w:pPr>
      <w:r w:rsidRPr="00F87D10">
        <w:rPr>
          <w:rFonts w:ascii="Arial" w:hAnsi="Arial" w:cs="Arial"/>
        </w:rPr>
        <w:t>References</w:t>
      </w:r>
    </w:p>
    <w:p w14:paraId="57CA432E"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Krishnan A, Vijayakumar Sreelatha H, Arumugam S, </w:t>
      </w:r>
      <w:proofErr w:type="spellStart"/>
      <w:r w:rsidRPr="00F87D10">
        <w:rPr>
          <w:rFonts w:ascii="Arial" w:hAnsi="Arial" w:cs="Arial"/>
          <w:sz w:val="20"/>
          <w:szCs w:val="20"/>
        </w:rPr>
        <w:t>Kasoju</w:t>
      </w:r>
      <w:proofErr w:type="spellEnd"/>
      <w:r w:rsidRPr="00F87D10">
        <w:rPr>
          <w:rFonts w:ascii="Arial" w:hAnsi="Arial" w:cs="Arial"/>
          <w:sz w:val="20"/>
          <w:szCs w:val="20"/>
        </w:rPr>
        <w:t xml:space="preserve"> N. (2025).   Human Wharton’s Jelly Mesenchymal Stem Cells and their Extracellular Vesicles in the Management of Bleomycin-induced Lung Injury in Model Animals: A Comparative Preclinical Study Focused on </w:t>
      </w:r>
      <w:proofErr w:type="spellStart"/>
      <w:r w:rsidRPr="00F87D10">
        <w:rPr>
          <w:rFonts w:ascii="Arial" w:hAnsi="Arial" w:cs="Arial"/>
          <w:sz w:val="20"/>
          <w:szCs w:val="20"/>
        </w:rPr>
        <w:t>Histomorphometric</w:t>
      </w:r>
      <w:proofErr w:type="spellEnd"/>
      <w:r w:rsidRPr="00F87D10">
        <w:rPr>
          <w:rFonts w:ascii="Arial" w:hAnsi="Arial" w:cs="Arial"/>
          <w:sz w:val="20"/>
          <w:szCs w:val="20"/>
        </w:rPr>
        <w:t xml:space="preserve"> Analysis. Current Stem Cell Research &amp; Therapy.</w:t>
      </w:r>
    </w:p>
    <w:p w14:paraId="5414C115"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Williamson JD, Sadofsky LR, Hart SP. (2015). The pathogenesis of bleomycin-induced lung injury in animals and its applicability to human idiopathic pulmonary fibrosis. Experimental lung research, 41(2):57-73.</w:t>
      </w:r>
    </w:p>
    <w:p w14:paraId="1BDF6EC9" w14:textId="77777777" w:rsidR="0048140F" w:rsidRPr="00F87D10" w:rsidRDefault="0048140F" w:rsidP="0048140F">
      <w:pPr>
        <w:pStyle w:val="ListParagraph"/>
        <w:numPr>
          <w:ilvl w:val="0"/>
          <w:numId w:val="32"/>
        </w:numPr>
        <w:jc w:val="both"/>
        <w:rPr>
          <w:rFonts w:ascii="Arial" w:hAnsi="Arial" w:cs="Arial"/>
          <w:sz w:val="20"/>
          <w:szCs w:val="20"/>
        </w:rPr>
      </w:pPr>
      <w:proofErr w:type="spellStart"/>
      <w:r w:rsidRPr="00F87D10">
        <w:rPr>
          <w:rFonts w:ascii="Arial" w:hAnsi="Arial" w:cs="Arial"/>
          <w:sz w:val="20"/>
          <w:szCs w:val="20"/>
        </w:rPr>
        <w:t>Allawzi</w:t>
      </w:r>
      <w:proofErr w:type="spellEnd"/>
      <w:r w:rsidRPr="00F87D10">
        <w:rPr>
          <w:rFonts w:ascii="Arial" w:hAnsi="Arial" w:cs="Arial"/>
          <w:sz w:val="20"/>
          <w:szCs w:val="20"/>
        </w:rPr>
        <w:t xml:space="preserve"> A, </w:t>
      </w:r>
      <w:proofErr w:type="spellStart"/>
      <w:r w:rsidRPr="00F87D10">
        <w:rPr>
          <w:rFonts w:ascii="Arial" w:hAnsi="Arial" w:cs="Arial"/>
          <w:sz w:val="20"/>
          <w:szCs w:val="20"/>
        </w:rPr>
        <w:t>Elajaili</w:t>
      </w:r>
      <w:proofErr w:type="spellEnd"/>
      <w:r w:rsidRPr="00F87D10">
        <w:rPr>
          <w:rFonts w:ascii="Arial" w:hAnsi="Arial" w:cs="Arial"/>
          <w:sz w:val="20"/>
          <w:szCs w:val="20"/>
        </w:rPr>
        <w:t xml:space="preserve"> H, </w:t>
      </w:r>
      <w:proofErr w:type="spellStart"/>
      <w:r w:rsidRPr="00F87D10">
        <w:rPr>
          <w:rFonts w:ascii="Arial" w:hAnsi="Arial" w:cs="Arial"/>
          <w:sz w:val="20"/>
          <w:szCs w:val="20"/>
        </w:rPr>
        <w:t>Redente</w:t>
      </w:r>
      <w:proofErr w:type="spellEnd"/>
      <w:r w:rsidRPr="00F87D10">
        <w:rPr>
          <w:rFonts w:ascii="Arial" w:hAnsi="Arial" w:cs="Arial"/>
          <w:sz w:val="20"/>
          <w:szCs w:val="20"/>
        </w:rPr>
        <w:t xml:space="preserve"> EF, </w:t>
      </w:r>
      <w:proofErr w:type="spellStart"/>
      <w:r w:rsidRPr="00F87D10">
        <w:rPr>
          <w:rFonts w:ascii="Arial" w:hAnsi="Arial" w:cs="Arial"/>
          <w:sz w:val="20"/>
          <w:szCs w:val="20"/>
        </w:rPr>
        <w:t>Nozik-Grayck</w:t>
      </w:r>
      <w:proofErr w:type="spellEnd"/>
      <w:r w:rsidRPr="00F87D10">
        <w:rPr>
          <w:rFonts w:ascii="Arial" w:hAnsi="Arial" w:cs="Arial"/>
          <w:sz w:val="20"/>
          <w:szCs w:val="20"/>
        </w:rPr>
        <w:t xml:space="preserve"> E. (2019). Oxidative toxicology of bleomycin: role of the extracellular redox environment. Current opinion in toxicology, 13:68-73.</w:t>
      </w:r>
    </w:p>
    <w:p w14:paraId="5EABD2C3"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lastRenderedPageBreak/>
        <w:t xml:space="preserve">Wang Q, Xie ZL, Wu Q, Jin ZX, Yang C, Feng J. (2021). Role of various imbalances </w:t>
      </w:r>
      <w:proofErr w:type="spellStart"/>
      <w:r w:rsidRPr="00F87D10">
        <w:rPr>
          <w:rFonts w:ascii="Arial" w:hAnsi="Arial" w:cs="Arial"/>
          <w:sz w:val="20"/>
          <w:szCs w:val="20"/>
        </w:rPr>
        <w:t>centered</w:t>
      </w:r>
      <w:proofErr w:type="spellEnd"/>
      <w:r w:rsidRPr="00F87D10">
        <w:rPr>
          <w:rFonts w:ascii="Arial" w:hAnsi="Arial" w:cs="Arial"/>
          <w:sz w:val="20"/>
          <w:szCs w:val="20"/>
        </w:rPr>
        <w:t xml:space="preserve"> on alveolar epithelial cell/fibroblast apoptosis imbalance in the pathogenesis of idiopathic pulmonary fibrosis. Chinese Medical Journal, 134(3):261-74.</w:t>
      </w:r>
    </w:p>
    <w:p w14:paraId="2E8DC726" w14:textId="77777777" w:rsidR="0048140F" w:rsidRPr="00F87D10" w:rsidRDefault="0048140F" w:rsidP="0048140F">
      <w:pPr>
        <w:pStyle w:val="ListParagraph"/>
        <w:numPr>
          <w:ilvl w:val="0"/>
          <w:numId w:val="32"/>
        </w:numPr>
        <w:jc w:val="both"/>
        <w:rPr>
          <w:rFonts w:ascii="Arial" w:hAnsi="Arial" w:cs="Arial"/>
          <w:sz w:val="20"/>
          <w:szCs w:val="20"/>
        </w:rPr>
      </w:pPr>
      <w:proofErr w:type="spellStart"/>
      <w:r w:rsidRPr="00F87D10">
        <w:rPr>
          <w:rFonts w:ascii="Arial" w:hAnsi="Arial" w:cs="Arial"/>
          <w:sz w:val="20"/>
          <w:szCs w:val="20"/>
        </w:rPr>
        <w:t>Kıran</w:t>
      </w:r>
      <w:proofErr w:type="spellEnd"/>
      <w:r w:rsidRPr="00F87D10">
        <w:rPr>
          <w:rFonts w:ascii="Arial" w:hAnsi="Arial" w:cs="Arial"/>
          <w:sz w:val="20"/>
          <w:szCs w:val="20"/>
        </w:rPr>
        <w:t xml:space="preserve"> TR, </w:t>
      </w:r>
      <w:proofErr w:type="spellStart"/>
      <w:r w:rsidRPr="00F87D10">
        <w:rPr>
          <w:rFonts w:ascii="Arial" w:hAnsi="Arial" w:cs="Arial"/>
          <w:sz w:val="20"/>
          <w:szCs w:val="20"/>
        </w:rPr>
        <w:t>Otlu</w:t>
      </w:r>
      <w:proofErr w:type="spellEnd"/>
      <w:r w:rsidRPr="00F87D10">
        <w:rPr>
          <w:rFonts w:ascii="Arial" w:hAnsi="Arial" w:cs="Arial"/>
          <w:sz w:val="20"/>
          <w:szCs w:val="20"/>
        </w:rPr>
        <w:t xml:space="preserve"> O, Karabulut AB. (2023). Oxidative stress and antioxidants in health and disease. Journal of Laboratory Medicine, 47(1):1-1.</w:t>
      </w:r>
    </w:p>
    <w:p w14:paraId="18C872F7"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Hanuman DD, Rao KV, Nagarjuna G, Mounika K, </w:t>
      </w:r>
      <w:proofErr w:type="spellStart"/>
      <w:r w:rsidRPr="00F87D10">
        <w:rPr>
          <w:rFonts w:ascii="Arial" w:hAnsi="Arial" w:cs="Arial"/>
          <w:sz w:val="20"/>
          <w:szCs w:val="20"/>
        </w:rPr>
        <w:t>Debbarma</w:t>
      </w:r>
      <w:proofErr w:type="spellEnd"/>
      <w:r w:rsidRPr="00F87D10">
        <w:rPr>
          <w:rFonts w:ascii="Arial" w:hAnsi="Arial" w:cs="Arial"/>
          <w:sz w:val="20"/>
          <w:szCs w:val="20"/>
        </w:rPr>
        <w:t xml:space="preserve"> B, </w:t>
      </w:r>
      <w:proofErr w:type="spellStart"/>
      <w:r w:rsidRPr="00F87D10">
        <w:rPr>
          <w:rFonts w:ascii="Arial" w:hAnsi="Arial" w:cs="Arial"/>
          <w:sz w:val="20"/>
          <w:szCs w:val="20"/>
        </w:rPr>
        <w:t>Sravathi</w:t>
      </w:r>
      <w:proofErr w:type="spellEnd"/>
      <w:r w:rsidRPr="00F87D10">
        <w:rPr>
          <w:rFonts w:ascii="Arial" w:hAnsi="Arial" w:cs="Arial"/>
          <w:sz w:val="20"/>
          <w:szCs w:val="20"/>
        </w:rPr>
        <w:t xml:space="preserve"> V, Venkatesh V, Sravani P, Rao MA, Kiran AV. (2024). Antioxidant Effect of Lemongrass (Cymbopogon </w:t>
      </w:r>
      <w:proofErr w:type="spellStart"/>
      <w:r w:rsidRPr="00F87D10">
        <w:rPr>
          <w:rFonts w:ascii="Arial" w:hAnsi="Arial" w:cs="Arial"/>
          <w:sz w:val="20"/>
          <w:szCs w:val="20"/>
        </w:rPr>
        <w:t>citratus</w:t>
      </w:r>
      <w:proofErr w:type="spellEnd"/>
      <w:r w:rsidRPr="00F87D10">
        <w:rPr>
          <w:rFonts w:ascii="Arial" w:hAnsi="Arial" w:cs="Arial"/>
          <w:sz w:val="20"/>
          <w:szCs w:val="20"/>
        </w:rPr>
        <w:t xml:space="preserve">) Extract on Paraquat-Induced Oxidative Stress in Sheep Red Blood Cells Using In-vitro Phytochemical Analysis. Journal of Advances in Biology &amp; Biotechnology, 27(5):730-8. </w:t>
      </w:r>
    </w:p>
    <w:p w14:paraId="366EB00D" w14:textId="77777777" w:rsidR="0048140F" w:rsidRPr="00F87D10" w:rsidRDefault="0048140F" w:rsidP="0048140F">
      <w:pPr>
        <w:pStyle w:val="ListParagraph"/>
        <w:numPr>
          <w:ilvl w:val="0"/>
          <w:numId w:val="32"/>
        </w:numPr>
        <w:jc w:val="both"/>
        <w:rPr>
          <w:rFonts w:ascii="Arial" w:hAnsi="Arial" w:cs="Arial"/>
          <w:sz w:val="20"/>
          <w:szCs w:val="20"/>
        </w:rPr>
      </w:pPr>
      <w:proofErr w:type="spellStart"/>
      <w:r w:rsidRPr="00F87D10">
        <w:rPr>
          <w:rFonts w:ascii="Arial" w:hAnsi="Arial" w:cs="Arial"/>
          <w:sz w:val="20"/>
          <w:szCs w:val="20"/>
        </w:rPr>
        <w:t>Ozougwu</w:t>
      </w:r>
      <w:proofErr w:type="spellEnd"/>
      <w:r w:rsidRPr="00F87D10">
        <w:rPr>
          <w:rFonts w:ascii="Arial" w:hAnsi="Arial" w:cs="Arial"/>
          <w:sz w:val="20"/>
          <w:szCs w:val="20"/>
        </w:rPr>
        <w:t xml:space="preserve"> JC. (2016). The role of reactive oxygen species and antioxidants in oxidative stress. International Journal of Research,1(8):1-8.</w:t>
      </w:r>
    </w:p>
    <w:p w14:paraId="4FA98AF9" w14:textId="77777777" w:rsidR="0048140F" w:rsidRPr="00F87D10" w:rsidRDefault="0048140F" w:rsidP="0048140F">
      <w:pPr>
        <w:pStyle w:val="ListParagraph"/>
        <w:numPr>
          <w:ilvl w:val="0"/>
          <w:numId w:val="32"/>
        </w:numPr>
        <w:jc w:val="both"/>
        <w:rPr>
          <w:rFonts w:ascii="Arial" w:hAnsi="Arial" w:cs="Arial"/>
          <w:sz w:val="20"/>
          <w:szCs w:val="20"/>
        </w:rPr>
      </w:pPr>
      <w:proofErr w:type="spellStart"/>
      <w:r w:rsidRPr="00F87D10">
        <w:rPr>
          <w:rFonts w:ascii="Arial" w:hAnsi="Arial" w:cs="Arial"/>
          <w:sz w:val="20"/>
          <w:szCs w:val="20"/>
        </w:rPr>
        <w:t>Pinart</w:t>
      </w:r>
      <w:proofErr w:type="spellEnd"/>
      <w:r w:rsidRPr="00F87D10">
        <w:rPr>
          <w:rFonts w:ascii="Arial" w:hAnsi="Arial" w:cs="Arial"/>
          <w:sz w:val="20"/>
          <w:szCs w:val="20"/>
        </w:rPr>
        <w:t xml:space="preserve"> </w:t>
      </w:r>
      <w:proofErr w:type="spellStart"/>
      <w:r w:rsidRPr="00F87D10">
        <w:rPr>
          <w:rFonts w:ascii="Arial" w:hAnsi="Arial" w:cs="Arial"/>
          <w:sz w:val="20"/>
          <w:szCs w:val="20"/>
        </w:rPr>
        <w:t>Gilberga</w:t>
      </w:r>
      <w:proofErr w:type="spellEnd"/>
      <w:r w:rsidRPr="00F87D10">
        <w:rPr>
          <w:rFonts w:ascii="Arial" w:hAnsi="Arial" w:cs="Arial"/>
          <w:sz w:val="20"/>
          <w:szCs w:val="20"/>
        </w:rPr>
        <w:t xml:space="preserve"> M. (2009). Time course of biochemical, biomechanical, and histological changes for the </w:t>
      </w:r>
      <w:proofErr w:type="spellStart"/>
      <w:r w:rsidRPr="00F87D10">
        <w:rPr>
          <w:rFonts w:ascii="Arial" w:hAnsi="Arial" w:cs="Arial"/>
          <w:sz w:val="20"/>
          <w:szCs w:val="20"/>
        </w:rPr>
        <w:t>assesment</w:t>
      </w:r>
      <w:proofErr w:type="spellEnd"/>
      <w:r w:rsidRPr="00F87D10">
        <w:rPr>
          <w:rFonts w:ascii="Arial" w:hAnsi="Arial" w:cs="Arial"/>
          <w:sz w:val="20"/>
          <w:szCs w:val="20"/>
        </w:rPr>
        <w:t xml:space="preserve"> of inflammation and remodelling in a bleomycin-induced murine model of lung injury. </w:t>
      </w:r>
      <w:proofErr w:type="spellStart"/>
      <w:r w:rsidRPr="00F87D10">
        <w:rPr>
          <w:rFonts w:ascii="Arial" w:hAnsi="Arial" w:cs="Arial"/>
          <w:sz w:val="20"/>
          <w:szCs w:val="20"/>
        </w:rPr>
        <w:t>Universitat</w:t>
      </w:r>
      <w:proofErr w:type="spellEnd"/>
      <w:r w:rsidRPr="00F87D10">
        <w:rPr>
          <w:rFonts w:ascii="Arial" w:hAnsi="Arial" w:cs="Arial"/>
          <w:sz w:val="20"/>
          <w:szCs w:val="20"/>
        </w:rPr>
        <w:t xml:space="preserve"> de Barcelona. </w:t>
      </w:r>
    </w:p>
    <w:p w14:paraId="14F2B42D"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Confalonieri P, Volpe MC, Jacob J, Maiocchi S, Salton F, Ruaro B, Confalonieri M, Braga L. (2022). Regeneration or repair? The role of alveolar epithelial cells in the pathogenesis of idiopathic pulmonary fibrosis (IPF). Cells,11(13):2095.</w:t>
      </w:r>
    </w:p>
    <w:p w14:paraId="04107A6F"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De Leon JA, Borges CR. (2020). Evaluation of oxidative stress in biological samples using the </w:t>
      </w:r>
      <w:proofErr w:type="spellStart"/>
      <w:r w:rsidRPr="00F87D10">
        <w:rPr>
          <w:rFonts w:ascii="Arial" w:hAnsi="Arial" w:cs="Arial"/>
          <w:sz w:val="20"/>
          <w:szCs w:val="20"/>
        </w:rPr>
        <w:t>thiobarbituric</w:t>
      </w:r>
      <w:proofErr w:type="spellEnd"/>
      <w:r w:rsidRPr="00F87D10">
        <w:rPr>
          <w:rFonts w:ascii="Arial" w:hAnsi="Arial" w:cs="Arial"/>
          <w:sz w:val="20"/>
          <w:szCs w:val="20"/>
        </w:rPr>
        <w:t xml:space="preserve"> acid reactive substances assay. Journal of visualized experiments: </w:t>
      </w:r>
      <w:proofErr w:type="spellStart"/>
      <w:r w:rsidRPr="00F87D10">
        <w:rPr>
          <w:rFonts w:ascii="Arial" w:hAnsi="Arial" w:cs="Arial"/>
          <w:sz w:val="20"/>
          <w:szCs w:val="20"/>
        </w:rPr>
        <w:t>JoVE</w:t>
      </w:r>
      <w:proofErr w:type="spellEnd"/>
      <w:r w:rsidRPr="00F87D10">
        <w:rPr>
          <w:rFonts w:ascii="Arial" w:hAnsi="Arial" w:cs="Arial"/>
          <w:sz w:val="20"/>
          <w:szCs w:val="20"/>
        </w:rPr>
        <w:t>, (159):10-3791.</w:t>
      </w:r>
    </w:p>
    <w:p w14:paraId="1845B126"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Moron MS, </w:t>
      </w:r>
      <w:proofErr w:type="spellStart"/>
      <w:r w:rsidRPr="00F87D10">
        <w:rPr>
          <w:rFonts w:ascii="Arial" w:hAnsi="Arial" w:cs="Arial"/>
          <w:sz w:val="20"/>
          <w:szCs w:val="20"/>
        </w:rPr>
        <w:t>Depierre</w:t>
      </w:r>
      <w:proofErr w:type="spellEnd"/>
      <w:r w:rsidRPr="00F87D10">
        <w:rPr>
          <w:rFonts w:ascii="Arial" w:hAnsi="Arial" w:cs="Arial"/>
          <w:sz w:val="20"/>
          <w:szCs w:val="20"/>
        </w:rPr>
        <w:t xml:space="preserve"> JW, </w:t>
      </w:r>
      <w:proofErr w:type="spellStart"/>
      <w:r w:rsidRPr="00F87D10">
        <w:rPr>
          <w:rFonts w:ascii="Arial" w:hAnsi="Arial" w:cs="Arial"/>
          <w:sz w:val="20"/>
          <w:szCs w:val="20"/>
        </w:rPr>
        <w:t>Mannervik</w:t>
      </w:r>
      <w:proofErr w:type="spellEnd"/>
      <w:r w:rsidRPr="00F87D10">
        <w:rPr>
          <w:rFonts w:ascii="Arial" w:hAnsi="Arial" w:cs="Arial"/>
          <w:sz w:val="20"/>
          <w:szCs w:val="20"/>
        </w:rPr>
        <w:t xml:space="preserve"> B. (1979). Levels of glutathione, glutathione reductase and glutathione S-transferase activities in rat lung and liver. </w:t>
      </w:r>
      <w:proofErr w:type="spellStart"/>
      <w:r w:rsidRPr="00F87D10">
        <w:rPr>
          <w:rFonts w:ascii="Arial" w:hAnsi="Arial" w:cs="Arial"/>
          <w:sz w:val="20"/>
          <w:szCs w:val="20"/>
        </w:rPr>
        <w:t>Biochimica</w:t>
      </w:r>
      <w:proofErr w:type="spellEnd"/>
      <w:r w:rsidRPr="00F87D10">
        <w:rPr>
          <w:rFonts w:ascii="Arial" w:hAnsi="Arial" w:cs="Arial"/>
          <w:sz w:val="20"/>
          <w:szCs w:val="20"/>
        </w:rPr>
        <w:t xml:space="preserve"> et </w:t>
      </w:r>
      <w:proofErr w:type="spellStart"/>
      <w:r w:rsidRPr="00F87D10">
        <w:rPr>
          <w:rFonts w:ascii="Arial" w:hAnsi="Arial" w:cs="Arial"/>
          <w:sz w:val="20"/>
          <w:szCs w:val="20"/>
        </w:rPr>
        <w:t>biophysica</w:t>
      </w:r>
      <w:proofErr w:type="spellEnd"/>
      <w:r w:rsidRPr="00F87D10">
        <w:rPr>
          <w:rFonts w:ascii="Arial" w:hAnsi="Arial" w:cs="Arial"/>
          <w:sz w:val="20"/>
          <w:szCs w:val="20"/>
        </w:rPr>
        <w:t xml:space="preserve"> acta (BBA)-general subjects, 582(1):67-78.</w:t>
      </w:r>
    </w:p>
    <w:p w14:paraId="44EE7CDC"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Madesh M, Balasubramanian KA. (1998).  Microtiter plate assay for superoxide dismutase using MTT reduction by superoxide. Indian journal of biochemistry &amp; biophysics, 35(3):184-8.</w:t>
      </w:r>
    </w:p>
    <w:p w14:paraId="5CFFD0A2"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Sinha AK. (1972). Colorimetric assay of catalase. Analytical </w:t>
      </w:r>
      <w:proofErr w:type="gramStart"/>
      <w:r w:rsidRPr="00F87D10">
        <w:rPr>
          <w:rFonts w:ascii="Arial" w:hAnsi="Arial" w:cs="Arial"/>
          <w:sz w:val="20"/>
          <w:szCs w:val="20"/>
        </w:rPr>
        <w:t>biochemistry,  47</w:t>
      </w:r>
      <w:proofErr w:type="gramEnd"/>
      <w:r w:rsidRPr="00F87D10">
        <w:rPr>
          <w:rFonts w:ascii="Arial" w:hAnsi="Arial" w:cs="Arial"/>
          <w:sz w:val="20"/>
          <w:szCs w:val="20"/>
        </w:rPr>
        <w:t>(2):389-94.</w:t>
      </w:r>
    </w:p>
    <w:p w14:paraId="5F4A54B5" w14:textId="77777777" w:rsidR="0048140F" w:rsidRPr="00F87D10" w:rsidRDefault="0048140F" w:rsidP="0048140F">
      <w:pPr>
        <w:pStyle w:val="ListParagraph"/>
        <w:numPr>
          <w:ilvl w:val="0"/>
          <w:numId w:val="32"/>
        </w:numPr>
        <w:jc w:val="both"/>
        <w:rPr>
          <w:rFonts w:ascii="Arial" w:hAnsi="Arial" w:cs="Arial"/>
          <w:sz w:val="20"/>
          <w:szCs w:val="20"/>
        </w:rPr>
      </w:pPr>
      <w:proofErr w:type="spellStart"/>
      <w:r w:rsidRPr="00F87D10">
        <w:rPr>
          <w:rFonts w:ascii="Arial" w:hAnsi="Arial" w:cs="Arial"/>
          <w:sz w:val="20"/>
          <w:szCs w:val="20"/>
        </w:rPr>
        <w:t>Chelpuri</w:t>
      </w:r>
      <w:proofErr w:type="spellEnd"/>
      <w:r w:rsidRPr="00F87D10">
        <w:rPr>
          <w:rFonts w:ascii="Arial" w:hAnsi="Arial" w:cs="Arial"/>
          <w:sz w:val="20"/>
          <w:szCs w:val="20"/>
        </w:rPr>
        <w:t xml:space="preserve"> Y, </w:t>
      </w:r>
      <w:proofErr w:type="spellStart"/>
      <w:r w:rsidRPr="00F87D10">
        <w:rPr>
          <w:rFonts w:ascii="Arial" w:hAnsi="Arial" w:cs="Arial"/>
          <w:sz w:val="20"/>
          <w:szCs w:val="20"/>
        </w:rPr>
        <w:t>Pabbathi</w:t>
      </w:r>
      <w:proofErr w:type="spellEnd"/>
      <w:r w:rsidRPr="00F87D10">
        <w:rPr>
          <w:rFonts w:ascii="Arial" w:hAnsi="Arial" w:cs="Arial"/>
          <w:sz w:val="20"/>
          <w:szCs w:val="20"/>
        </w:rPr>
        <w:t xml:space="preserve"> S, </w:t>
      </w:r>
      <w:proofErr w:type="spellStart"/>
      <w:r w:rsidRPr="00F87D10">
        <w:rPr>
          <w:rFonts w:ascii="Arial" w:hAnsi="Arial" w:cs="Arial"/>
          <w:sz w:val="20"/>
          <w:szCs w:val="20"/>
        </w:rPr>
        <w:t>Alla</w:t>
      </w:r>
      <w:proofErr w:type="spellEnd"/>
      <w:r w:rsidRPr="00F87D10">
        <w:rPr>
          <w:rFonts w:ascii="Arial" w:hAnsi="Arial" w:cs="Arial"/>
          <w:sz w:val="20"/>
          <w:szCs w:val="20"/>
        </w:rPr>
        <w:t xml:space="preserve"> GR, </w:t>
      </w:r>
      <w:proofErr w:type="spellStart"/>
      <w:r w:rsidRPr="00F87D10">
        <w:rPr>
          <w:rFonts w:ascii="Arial" w:hAnsi="Arial" w:cs="Arial"/>
          <w:sz w:val="20"/>
          <w:szCs w:val="20"/>
        </w:rPr>
        <w:t>Yadala</w:t>
      </w:r>
      <w:proofErr w:type="spellEnd"/>
      <w:r w:rsidRPr="00F87D10">
        <w:rPr>
          <w:rFonts w:ascii="Arial" w:hAnsi="Arial" w:cs="Arial"/>
          <w:sz w:val="20"/>
          <w:szCs w:val="20"/>
        </w:rPr>
        <w:t xml:space="preserve"> RK, </w:t>
      </w:r>
      <w:proofErr w:type="spellStart"/>
      <w:r w:rsidRPr="00F87D10">
        <w:rPr>
          <w:rFonts w:ascii="Arial" w:hAnsi="Arial" w:cs="Arial"/>
          <w:sz w:val="20"/>
          <w:szCs w:val="20"/>
        </w:rPr>
        <w:t>Kamishetti</w:t>
      </w:r>
      <w:proofErr w:type="spellEnd"/>
      <w:r w:rsidRPr="00F87D10">
        <w:rPr>
          <w:rFonts w:ascii="Arial" w:hAnsi="Arial" w:cs="Arial"/>
          <w:sz w:val="20"/>
          <w:szCs w:val="20"/>
        </w:rPr>
        <w:t xml:space="preserve"> M, </w:t>
      </w:r>
      <w:proofErr w:type="spellStart"/>
      <w:r w:rsidRPr="00F87D10">
        <w:rPr>
          <w:rFonts w:ascii="Arial" w:hAnsi="Arial" w:cs="Arial"/>
          <w:sz w:val="20"/>
          <w:szCs w:val="20"/>
        </w:rPr>
        <w:t>Banothu</w:t>
      </w:r>
      <w:proofErr w:type="spellEnd"/>
      <w:r w:rsidRPr="00F87D10">
        <w:rPr>
          <w:rFonts w:ascii="Arial" w:hAnsi="Arial" w:cs="Arial"/>
          <w:sz w:val="20"/>
          <w:szCs w:val="20"/>
        </w:rPr>
        <w:t xml:space="preserve"> AK, </w:t>
      </w:r>
      <w:proofErr w:type="spellStart"/>
      <w:r w:rsidRPr="00F87D10">
        <w:rPr>
          <w:rFonts w:ascii="Arial" w:hAnsi="Arial" w:cs="Arial"/>
          <w:sz w:val="20"/>
          <w:szCs w:val="20"/>
        </w:rPr>
        <w:t>Boinepally</w:t>
      </w:r>
      <w:proofErr w:type="spellEnd"/>
      <w:r w:rsidRPr="00F87D10">
        <w:rPr>
          <w:rFonts w:ascii="Arial" w:hAnsi="Arial" w:cs="Arial"/>
          <w:sz w:val="20"/>
          <w:szCs w:val="20"/>
        </w:rPr>
        <w:t xml:space="preserve"> R, Bharani KK, Khurana A. (2022). Tropolone derivative </w:t>
      </w:r>
      <w:proofErr w:type="spellStart"/>
      <w:r w:rsidRPr="00F87D10">
        <w:rPr>
          <w:rFonts w:ascii="Arial" w:hAnsi="Arial" w:cs="Arial"/>
          <w:sz w:val="20"/>
          <w:szCs w:val="20"/>
        </w:rPr>
        <w:t>hinokitiol</w:t>
      </w:r>
      <w:proofErr w:type="spellEnd"/>
      <w:r w:rsidRPr="00F87D10">
        <w:rPr>
          <w:rFonts w:ascii="Arial" w:hAnsi="Arial" w:cs="Arial"/>
          <w:sz w:val="20"/>
          <w:szCs w:val="20"/>
        </w:rPr>
        <w:t xml:space="preserve"> ameliorates </w:t>
      </w:r>
      <w:proofErr w:type="spellStart"/>
      <w:r w:rsidRPr="00F87D10">
        <w:rPr>
          <w:rFonts w:ascii="Arial" w:hAnsi="Arial" w:cs="Arial"/>
          <w:sz w:val="20"/>
          <w:szCs w:val="20"/>
        </w:rPr>
        <w:t>cerulein</w:t>
      </w:r>
      <w:proofErr w:type="spellEnd"/>
      <w:r w:rsidRPr="00F87D10">
        <w:rPr>
          <w:rFonts w:ascii="Arial" w:hAnsi="Arial" w:cs="Arial"/>
          <w:sz w:val="20"/>
          <w:szCs w:val="20"/>
        </w:rPr>
        <w:t>-induced acute pancreatitis in mice. International Immunopharmacology, 109:108915.</w:t>
      </w:r>
    </w:p>
    <w:p w14:paraId="7AB0BEC2"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Lederer DJ, Martinez FJ. (2018). Idiopathic pulmonary fibrosis. New England Journal of Medicine, 378(19):1811-23.</w:t>
      </w:r>
    </w:p>
    <w:p w14:paraId="56F66B90"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Checa J, Aran JM. (2020). Reactive oxygen species: drivers of physiological and pathological processes. Journal of Inflammation </w:t>
      </w:r>
      <w:proofErr w:type="gramStart"/>
      <w:r w:rsidRPr="00F87D10">
        <w:rPr>
          <w:rFonts w:ascii="Arial" w:hAnsi="Arial" w:cs="Arial"/>
          <w:sz w:val="20"/>
          <w:szCs w:val="20"/>
        </w:rPr>
        <w:t>research,  1057</w:t>
      </w:r>
      <w:proofErr w:type="gramEnd"/>
      <w:r w:rsidRPr="00F87D10">
        <w:rPr>
          <w:rFonts w:ascii="Arial" w:hAnsi="Arial" w:cs="Arial"/>
          <w:sz w:val="20"/>
          <w:szCs w:val="20"/>
        </w:rPr>
        <w:t>-73.</w:t>
      </w:r>
    </w:p>
    <w:p w14:paraId="579BF98D"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Thangaiyan R, Arjunan S, Govindasamy K, Khan HA, </w:t>
      </w:r>
      <w:proofErr w:type="spellStart"/>
      <w:r w:rsidRPr="00F87D10">
        <w:rPr>
          <w:rFonts w:ascii="Arial" w:hAnsi="Arial" w:cs="Arial"/>
          <w:sz w:val="20"/>
          <w:szCs w:val="20"/>
        </w:rPr>
        <w:t>Alhomida</w:t>
      </w:r>
      <w:proofErr w:type="spellEnd"/>
      <w:r w:rsidRPr="00F87D10">
        <w:rPr>
          <w:rFonts w:ascii="Arial" w:hAnsi="Arial" w:cs="Arial"/>
          <w:sz w:val="20"/>
          <w:szCs w:val="20"/>
        </w:rPr>
        <w:t xml:space="preserve"> AS, Prasad NR. (2020). </w:t>
      </w:r>
      <w:proofErr w:type="spellStart"/>
      <w:r w:rsidRPr="00F87D10">
        <w:rPr>
          <w:rFonts w:ascii="Arial" w:hAnsi="Arial" w:cs="Arial"/>
          <w:sz w:val="20"/>
          <w:szCs w:val="20"/>
        </w:rPr>
        <w:t>Galangin</w:t>
      </w:r>
      <w:proofErr w:type="spellEnd"/>
      <w:r w:rsidRPr="00F87D10">
        <w:rPr>
          <w:rFonts w:ascii="Arial" w:hAnsi="Arial" w:cs="Arial"/>
          <w:sz w:val="20"/>
          <w:szCs w:val="20"/>
        </w:rPr>
        <w:t xml:space="preserve"> attenuates isoproterenol-induced inflammation and fibrosis in the cardiac tissue of albino </w:t>
      </w:r>
      <w:proofErr w:type="spellStart"/>
      <w:r w:rsidRPr="00F87D10">
        <w:rPr>
          <w:rFonts w:ascii="Arial" w:hAnsi="Arial" w:cs="Arial"/>
          <w:sz w:val="20"/>
          <w:szCs w:val="20"/>
        </w:rPr>
        <w:t>wistar</w:t>
      </w:r>
      <w:proofErr w:type="spellEnd"/>
      <w:r w:rsidRPr="00F87D10">
        <w:rPr>
          <w:rFonts w:ascii="Arial" w:hAnsi="Arial" w:cs="Arial"/>
          <w:sz w:val="20"/>
          <w:szCs w:val="20"/>
        </w:rPr>
        <w:t xml:space="preserve"> rats. Frontiers in Pharmacology, 11:585163.</w:t>
      </w:r>
    </w:p>
    <w:p w14:paraId="72968003" w14:textId="77777777"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Kwon OS, Hwang KT, Choi WS, Lee JY. (2025). BRL-50481 Ameliorates Lung Inflammation in a Murine Model of Ovalbumin-Induced Allergic Asthma with Co-Exposure to Lipopolysaccharide. Biomolecules &amp; Therapeutics, 33(4):692.</w:t>
      </w:r>
    </w:p>
    <w:p w14:paraId="385803A3" w14:textId="51E8FF49" w:rsidR="0048140F" w:rsidRPr="00F87D10" w:rsidRDefault="0048140F" w:rsidP="0048140F">
      <w:pPr>
        <w:pStyle w:val="ListParagraph"/>
        <w:numPr>
          <w:ilvl w:val="0"/>
          <w:numId w:val="32"/>
        </w:numPr>
        <w:jc w:val="both"/>
        <w:rPr>
          <w:rFonts w:ascii="Arial" w:hAnsi="Arial" w:cs="Arial"/>
          <w:sz w:val="20"/>
          <w:szCs w:val="20"/>
        </w:rPr>
      </w:pPr>
      <w:r w:rsidRPr="00F87D10">
        <w:rPr>
          <w:rFonts w:ascii="Arial" w:hAnsi="Arial" w:cs="Arial"/>
          <w:sz w:val="20"/>
          <w:szCs w:val="20"/>
        </w:rPr>
        <w:t xml:space="preserve">Ren Y, Ichinose T, He M, </w:t>
      </w:r>
      <w:proofErr w:type="spellStart"/>
      <w:r w:rsidRPr="00F87D10">
        <w:rPr>
          <w:rFonts w:ascii="Arial" w:hAnsi="Arial" w:cs="Arial"/>
          <w:sz w:val="20"/>
          <w:szCs w:val="20"/>
        </w:rPr>
        <w:t>Youshida</w:t>
      </w:r>
      <w:proofErr w:type="spellEnd"/>
      <w:r w:rsidRPr="00F87D10">
        <w:rPr>
          <w:rFonts w:ascii="Arial" w:hAnsi="Arial" w:cs="Arial"/>
          <w:sz w:val="20"/>
          <w:szCs w:val="20"/>
        </w:rPr>
        <w:t xml:space="preserve"> S, Nishikawa M, Sun G. (2019). Co-exposure to lipopolysaccharide and desert dust causes exacerbation of ovalbumin-induced allergic lung inflammation in mice via TLR4/MyD88-dependent and-independent pathways. Allergy, Asthma &amp; Clinical Immunology, 15(1):82.</w:t>
      </w:r>
    </w:p>
    <w:p w14:paraId="7EB668FF" w14:textId="77777777" w:rsidR="00790ADA" w:rsidRPr="007560F8" w:rsidRDefault="00790ADA" w:rsidP="00441B6F">
      <w:pPr>
        <w:pStyle w:val="ReferHead"/>
        <w:spacing w:after="0"/>
        <w:jc w:val="both"/>
        <w:rPr>
          <w:rFonts w:ascii="Arial" w:hAnsi="Arial" w:cs="Arial"/>
          <w:sz w:val="18"/>
          <w:szCs w:val="16"/>
        </w:rPr>
      </w:pPr>
    </w:p>
    <w:sectPr w:rsidR="00790ADA" w:rsidRPr="007560F8" w:rsidSect="006163E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37C05" w14:textId="77777777" w:rsidR="00D72BC5" w:rsidRDefault="00D72BC5" w:rsidP="00C37E61">
      <w:r>
        <w:separator/>
      </w:r>
    </w:p>
  </w:endnote>
  <w:endnote w:type="continuationSeparator" w:id="0">
    <w:p w14:paraId="6AF54278" w14:textId="77777777" w:rsidR="00D72BC5" w:rsidRDefault="00D72B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D2CA" w14:textId="77777777" w:rsidR="006163E5" w:rsidRDefault="00616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8EB7" w14:textId="77777777" w:rsidR="006163E5" w:rsidRDefault="00616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2F317" w14:textId="77777777" w:rsidR="009E048A" w:rsidRDefault="009E048A">
    <w:pPr>
      <w:pStyle w:val="Footer"/>
      <w:rPr>
        <w:rFonts w:ascii="Arial" w:hAnsi="Arial" w:cs="Arial"/>
        <w:sz w:val="16"/>
      </w:rPr>
    </w:pPr>
  </w:p>
  <w:p w14:paraId="366487F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C08A3C" w14:textId="77777777" w:rsidR="009E048A" w:rsidRDefault="009E048A">
    <w:pPr>
      <w:pStyle w:val="Footer"/>
      <w:rPr>
        <w:rFonts w:ascii="Arial" w:hAnsi="Arial" w:cs="Arial"/>
        <w:sz w:val="16"/>
      </w:rPr>
    </w:pPr>
  </w:p>
  <w:p w14:paraId="7A83FD8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D28B9" w14:textId="77777777" w:rsidR="00D72BC5" w:rsidRDefault="00D72BC5" w:rsidP="00C37E61">
      <w:r>
        <w:separator/>
      </w:r>
    </w:p>
  </w:footnote>
  <w:footnote w:type="continuationSeparator" w:id="0">
    <w:p w14:paraId="44150890" w14:textId="77777777" w:rsidR="00D72BC5" w:rsidRDefault="00D72B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477C" w14:textId="49BC2F78" w:rsidR="006163E5" w:rsidRDefault="00D72BC5">
    <w:pPr>
      <w:pStyle w:val="Header"/>
    </w:pPr>
    <w:r>
      <w:rPr>
        <w:noProof/>
      </w:rPr>
      <w:pict w14:anchorId="572F3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040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6F800" w14:textId="78BA6C67" w:rsidR="006163E5" w:rsidRDefault="00D72BC5">
    <w:pPr>
      <w:pStyle w:val="Header"/>
    </w:pPr>
    <w:r>
      <w:rPr>
        <w:noProof/>
      </w:rPr>
      <w:pict w14:anchorId="25E26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040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A770" w14:textId="0564531B" w:rsidR="00296529" w:rsidRPr="00296529" w:rsidRDefault="00D72BC5" w:rsidP="00296529">
    <w:pPr>
      <w:ind w:left="2160"/>
      <w:jc w:val="center"/>
      <w:rPr>
        <w:rFonts w:ascii="Times New Roman" w:eastAsia="Calibri" w:hAnsi="Times New Roman"/>
        <w:i/>
        <w:sz w:val="18"/>
        <w:szCs w:val="22"/>
      </w:rPr>
    </w:pPr>
    <w:r>
      <w:rPr>
        <w:noProof/>
      </w:rPr>
      <w:pict w14:anchorId="11C31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040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2B93A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0306B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249CC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9E538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F763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BD39D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A86996"/>
    <w:multiLevelType w:val="hybridMultilevel"/>
    <w:tmpl w:val="BE7C481C"/>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004D43"/>
    <w:multiLevelType w:val="hybridMultilevel"/>
    <w:tmpl w:val="8E2A89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M0N7I0MjE2NzMBMpR0lIJTi4sz8/NACgxrAfgDYNEsAAAA"/>
  </w:docVars>
  <w:rsids>
    <w:rsidRoot w:val="00AA6219"/>
    <w:rsid w:val="00000F8F"/>
    <w:rsid w:val="00030174"/>
    <w:rsid w:val="0004579C"/>
    <w:rsid w:val="0008757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736C"/>
    <w:rsid w:val="001D3A51"/>
    <w:rsid w:val="001E10D2"/>
    <w:rsid w:val="001E25B4"/>
    <w:rsid w:val="001E44FE"/>
    <w:rsid w:val="00200595"/>
    <w:rsid w:val="00204835"/>
    <w:rsid w:val="00231920"/>
    <w:rsid w:val="0023195C"/>
    <w:rsid w:val="0024282C"/>
    <w:rsid w:val="002460DC"/>
    <w:rsid w:val="00250985"/>
    <w:rsid w:val="002556F6"/>
    <w:rsid w:val="00277D52"/>
    <w:rsid w:val="00283105"/>
    <w:rsid w:val="00284C4C"/>
    <w:rsid w:val="00287E68"/>
    <w:rsid w:val="00296529"/>
    <w:rsid w:val="002B27FB"/>
    <w:rsid w:val="002B685A"/>
    <w:rsid w:val="002C57D2"/>
    <w:rsid w:val="002E0D56"/>
    <w:rsid w:val="0031432B"/>
    <w:rsid w:val="00315186"/>
    <w:rsid w:val="0033343E"/>
    <w:rsid w:val="0033630E"/>
    <w:rsid w:val="003512C2"/>
    <w:rsid w:val="00371FB6"/>
    <w:rsid w:val="003763C1"/>
    <w:rsid w:val="00376BBE"/>
    <w:rsid w:val="0039224F"/>
    <w:rsid w:val="003A1174"/>
    <w:rsid w:val="003A1530"/>
    <w:rsid w:val="003A33FE"/>
    <w:rsid w:val="003A43A4"/>
    <w:rsid w:val="003A7E18"/>
    <w:rsid w:val="003C4C86"/>
    <w:rsid w:val="003C6258"/>
    <w:rsid w:val="003E2904"/>
    <w:rsid w:val="00401927"/>
    <w:rsid w:val="0041027F"/>
    <w:rsid w:val="00412475"/>
    <w:rsid w:val="00420026"/>
    <w:rsid w:val="00423789"/>
    <w:rsid w:val="00440F43"/>
    <w:rsid w:val="00441B6F"/>
    <w:rsid w:val="00446221"/>
    <w:rsid w:val="00450E62"/>
    <w:rsid w:val="004539DB"/>
    <w:rsid w:val="0046643F"/>
    <w:rsid w:val="00471A80"/>
    <w:rsid w:val="0048140F"/>
    <w:rsid w:val="004D305E"/>
    <w:rsid w:val="004D4277"/>
    <w:rsid w:val="00502516"/>
    <w:rsid w:val="00505F06"/>
    <w:rsid w:val="00506828"/>
    <w:rsid w:val="00523E1B"/>
    <w:rsid w:val="0053056E"/>
    <w:rsid w:val="00554FDA"/>
    <w:rsid w:val="005967CD"/>
    <w:rsid w:val="005A44F8"/>
    <w:rsid w:val="005C784C"/>
    <w:rsid w:val="005D17F6"/>
    <w:rsid w:val="005E5539"/>
    <w:rsid w:val="00602BF5"/>
    <w:rsid w:val="006163E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560F8"/>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3145"/>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55A"/>
    <w:rsid w:val="00A347C0"/>
    <w:rsid w:val="00A51431"/>
    <w:rsid w:val="00A539AD"/>
    <w:rsid w:val="00A918EC"/>
    <w:rsid w:val="00A94063"/>
    <w:rsid w:val="00AA6219"/>
    <w:rsid w:val="00AA74E0"/>
    <w:rsid w:val="00AB703F"/>
    <w:rsid w:val="00AC6BB8"/>
    <w:rsid w:val="00AD6F22"/>
    <w:rsid w:val="00AE008F"/>
    <w:rsid w:val="00B01FCD"/>
    <w:rsid w:val="00B1776C"/>
    <w:rsid w:val="00B52583"/>
    <w:rsid w:val="00B52896"/>
    <w:rsid w:val="00B8540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219F"/>
    <w:rsid w:val="00C7464C"/>
    <w:rsid w:val="00C85588"/>
    <w:rsid w:val="00CA10F7"/>
    <w:rsid w:val="00CD6755"/>
    <w:rsid w:val="00CD6856"/>
    <w:rsid w:val="00CE0089"/>
    <w:rsid w:val="00CE793C"/>
    <w:rsid w:val="00CF193C"/>
    <w:rsid w:val="00D173F1"/>
    <w:rsid w:val="00D72BC5"/>
    <w:rsid w:val="00D74CB0"/>
    <w:rsid w:val="00D8295D"/>
    <w:rsid w:val="00DA2D7A"/>
    <w:rsid w:val="00DC2A65"/>
    <w:rsid w:val="00DC5AF8"/>
    <w:rsid w:val="00DE15F0"/>
    <w:rsid w:val="00DE5663"/>
    <w:rsid w:val="00DE78AA"/>
    <w:rsid w:val="00E053D0"/>
    <w:rsid w:val="00E15994"/>
    <w:rsid w:val="00E3114E"/>
    <w:rsid w:val="00E31A70"/>
    <w:rsid w:val="00E35B02"/>
    <w:rsid w:val="00E40EDA"/>
    <w:rsid w:val="00E66496"/>
    <w:rsid w:val="00E66B35"/>
    <w:rsid w:val="00E66E10"/>
    <w:rsid w:val="00E769F6"/>
    <w:rsid w:val="00E8407C"/>
    <w:rsid w:val="00E84F3C"/>
    <w:rsid w:val="00E86700"/>
    <w:rsid w:val="00EA012C"/>
    <w:rsid w:val="00EC6A55"/>
    <w:rsid w:val="00ED0288"/>
    <w:rsid w:val="00EE359F"/>
    <w:rsid w:val="00EE52CB"/>
    <w:rsid w:val="00EF581D"/>
    <w:rsid w:val="00EF7FD8"/>
    <w:rsid w:val="00F06F59"/>
    <w:rsid w:val="00F17988"/>
    <w:rsid w:val="00F469F0"/>
    <w:rsid w:val="00F53273"/>
    <w:rsid w:val="00F5587E"/>
    <w:rsid w:val="00F755E4"/>
    <w:rsid w:val="00F77D02"/>
    <w:rsid w:val="00F87D10"/>
    <w:rsid w:val="00FA6C8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00B28F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8140F"/>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oterChar">
    <w:name w:val="Footer Char"/>
    <w:basedOn w:val="DefaultParagraphFont"/>
    <w:link w:val="Footer"/>
    <w:rsid w:val="0048140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50F25-4D08-4E40-A619-972CB4BD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135</TotalTime>
  <Pages>9</Pages>
  <Words>3833</Words>
  <Characters>21853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25635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19</cp:revision>
  <cp:lastPrinted>1999-07-06T11:00:00Z</cp:lastPrinted>
  <dcterms:created xsi:type="dcterms:W3CDTF">2014-10-25T14:34:00Z</dcterms:created>
  <dcterms:modified xsi:type="dcterms:W3CDTF">2025-11-19T08:46:00Z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c98ab680-37a7-4480-a96e-6dcfaaf1cbf3</vt:lpwstr>
  </property>
</Properties>
</file>