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EFDA" w14:textId="77777777" w:rsidR="009C503B" w:rsidRPr="009C503B" w:rsidRDefault="009C503B" w:rsidP="009C503B">
      <w:pPr>
        <w:pStyle w:val="Author"/>
        <w:rPr>
          <w:rFonts w:ascii="Arial" w:hAnsi="Arial" w:cs="Arial"/>
          <w:bCs/>
          <w:i/>
          <w:iCs/>
          <w:kern w:val="28"/>
          <w:sz w:val="18"/>
          <w:szCs w:val="18"/>
          <w:u w:val="single"/>
        </w:rPr>
      </w:pPr>
      <w:r w:rsidRPr="009C503B">
        <w:rPr>
          <w:rFonts w:ascii="Arial" w:hAnsi="Arial" w:cs="Arial"/>
          <w:bCs/>
          <w:i/>
          <w:iCs/>
          <w:kern w:val="28"/>
          <w:sz w:val="18"/>
          <w:szCs w:val="18"/>
          <w:u w:val="single"/>
        </w:rPr>
        <w:t>Original Research Article</w:t>
      </w:r>
    </w:p>
    <w:p w14:paraId="4183E775" w14:textId="5F40E119" w:rsidR="00A258C3" w:rsidRDefault="000A11F1" w:rsidP="000A11F1">
      <w:pPr>
        <w:pStyle w:val="Author"/>
        <w:spacing w:line="240" w:lineRule="auto"/>
        <w:rPr>
          <w:rFonts w:ascii="Arial" w:hAnsi="Arial" w:cs="Arial"/>
          <w:bCs/>
          <w:iCs/>
          <w:kern w:val="28"/>
          <w:sz w:val="36"/>
        </w:rPr>
      </w:pPr>
      <w:r w:rsidRPr="000A11F1">
        <w:rPr>
          <w:rFonts w:ascii="Arial" w:hAnsi="Arial" w:cs="Arial"/>
          <w:bCs/>
          <w:iCs/>
          <w:kern w:val="28"/>
          <w:sz w:val="36"/>
        </w:rPr>
        <w:t xml:space="preserve">Efficacy of </w:t>
      </w:r>
      <w:r w:rsidR="00902E54">
        <w:rPr>
          <w:rFonts w:ascii="Arial" w:hAnsi="Arial" w:cs="Arial"/>
          <w:bCs/>
          <w:iCs/>
          <w:kern w:val="28"/>
          <w:sz w:val="36"/>
        </w:rPr>
        <w:t>Mid-storage</w:t>
      </w:r>
      <w:r w:rsidRPr="000A11F1">
        <w:rPr>
          <w:rFonts w:ascii="Arial" w:hAnsi="Arial" w:cs="Arial"/>
          <w:bCs/>
          <w:iCs/>
          <w:kern w:val="28"/>
          <w:sz w:val="36"/>
        </w:rPr>
        <w:t xml:space="preserve"> </w:t>
      </w:r>
      <w:r>
        <w:rPr>
          <w:rFonts w:ascii="Arial" w:hAnsi="Arial" w:cs="Arial"/>
          <w:bCs/>
          <w:iCs/>
          <w:kern w:val="28"/>
          <w:sz w:val="36"/>
        </w:rPr>
        <w:t>i</w:t>
      </w:r>
      <w:r w:rsidRPr="000A11F1">
        <w:rPr>
          <w:rFonts w:ascii="Arial" w:hAnsi="Arial" w:cs="Arial"/>
          <w:bCs/>
          <w:iCs/>
          <w:kern w:val="28"/>
          <w:sz w:val="36"/>
        </w:rPr>
        <w:t xml:space="preserve">nvigoration </w:t>
      </w:r>
      <w:r>
        <w:rPr>
          <w:rFonts w:ascii="Arial" w:hAnsi="Arial" w:cs="Arial"/>
          <w:bCs/>
          <w:iCs/>
          <w:kern w:val="28"/>
          <w:sz w:val="36"/>
        </w:rPr>
        <w:t>t</w:t>
      </w:r>
      <w:r w:rsidRPr="000A11F1">
        <w:rPr>
          <w:rFonts w:ascii="Arial" w:hAnsi="Arial" w:cs="Arial"/>
          <w:bCs/>
          <w:iCs/>
          <w:kern w:val="28"/>
          <w:sz w:val="36"/>
        </w:rPr>
        <w:t xml:space="preserve">reatments on </w:t>
      </w:r>
      <w:r>
        <w:rPr>
          <w:rFonts w:ascii="Arial" w:hAnsi="Arial" w:cs="Arial"/>
          <w:bCs/>
          <w:iCs/>
          <w:kern w:val="28"/>
          <w:sz w:val="36"/>
        </w:rPr>
        <w:t>maintenance of s</w:t>
      </w:r>
      <w:r w:rsidRPr="000A11F1">
        <w:rPr>
          <w:rFonts w:ascii="Arial" w:hAnsi="Arial" w:cs="Arial"/>
          <w:bCs/>
          <w:iCs/>
          <w:kern w:val="28"/>
          <w:sz w:val="36"/>
        </w:rPr>
        <w:t xml:space="preserve">eed </w:t>
      </w:r>
      <w:r>
        <w:rPr>
          <w:rFonts w:ascii="Arial" w:hAnsi="Arial" w:cs="Arial"/>
          <w:bCs/>
          <w:iCs/>
          <w:kern w:val="28"/>
          <w:sz w:val="36"/>
        </w:rPr>
        <w:t>q</w:t>
      </w:r>
      <w:r w:rsidRPr="000A11F1">
        <w:rPr>
          <w:rFonts w:ascii="Arial" w:hAnsi="Arial" w:cs="Arial"/>
          <w:bCs/>
          <w:iCs/>
          <w:kern w:val="28"/>
          <w:sz w:val="36"/>
        </w:rPr>
        <w:t xml:space="preserve">uality in </w:t>
      </w:r>
      <w:r>
        <w:rPr>
          <w:rFonts w:ascii="Arial" w:hAnsi="Arial" w:cs="Arial"/>
          <w:bCs/>
          <w:iCs/>
          <w:kern w:val="28"/>
          <w:sz w:val="36"/>
        </w:rPr>
        <w:t>r</w:t>
      </w:r>
      <w:r w:rsidRPr="000A11F1">
        <w:rPr>
          <w:rFonts w:ascii="Arial" w:hAnsi="Arial" w:cs="Arial"/>
          <w:bCs/>
          <w:iCs/>
          <w:kern w:val="28"/>
          <w:sz w:val="36"/>
        </w:rPr>
        <w:t xml:space="preserve">ice </w:t>
      </w:r>
    </w:p>
    <w:p w14:paraId="38541484" w14:textId="77777777" w:rsidR="00957471" w:rsidRPr="00790ADA" w:rsidRDefault="00957471" w:rsidP="000A11F1">
      <w:pPr>
        <w:pStyle w:val="Author"/>
        <w:spacing w:line="240" w:lineRule="auto"/>
        <w:rPr>
          <w:rFonts w:ascii="Arial" w:hAnsi="Arial" w:cs="Arial"/>
          <w:sz w:val="36"/>
        </w:rPr>
      </w:pPr>
    </w:p>
    <w:p w14:paraId="1C549763" w14:textId="51DCB18E" w:rsidR="002C57D2" w:rsidRPr="00FB3A86" w:rsidRDefault="002C57D2" w:rsidP="000A11F1">
      <w:pPr>
        <w:pStyle w:val="Author"/>
        <w:spacing w:line="240" w:lineRule="auto"/>
        <w:rPr>
          <w:rFonts w:ascii="Arial" w:hAnsi="Arial" w:cs="Arial"/>
        </w:rPr>
      </w:pPr>
    </w:p>
    <w:p w14:paraId="707C9FDB" w14:textId="0CA8FC82" w:rsidR="000A11F1" w:rsidRDefault="00071150"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06D06F7C" wp14:editId="5752558E">
                <wp:extent cx="5303520" cy="635"/>
                <wp:effectExtent l="11430" t="11430" r="9525" b="17145"/>
                <wp:docPr id="10274694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FEDBA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F800F2" w14:textId="6E22193F" w:rsidR="000A11F1" w:rsidRPr="00FB3A86" w:rsidRDefault="000A11F1" w:rsidP="000A11F1">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A11F1" w:rsidRPr="001E44FE" w14:paraId="0BC99638" w14:textId="77777777" w:rsidTr="00B218D2">
        <w:tc>
          <w:tcPr>
            <w:tcW w:w="9576" w:type="dxa"/>
            <w:shd w:val="clear" w:color="auto" w:fill="F2F2F2"/>
          </w:tcPr>
          <w:p w14:paraId="01B647E0" w14:textId="77777777" w:rsidR="00A34EB8" w:rsidRDefault="00A34EB8" w:rsidP="00B218D2">
            <w:pPr>
              <w:pStyle w:val="Body"/>
              <w:spacing w:after="0"/>
              <w:rPr>
                <w:rFonts w:ascii="Arial" w:eastAsia="Calibri" w:hAnsi="Arial" w:cs="Arial"/>
                <w:b/>
                <w:szCs w:val="22"/>
              </w:rPr>
            </w:pPr>
          </w:p>
          <w:p w14:paraId="1714F969" w14:textId="2A6E2417" w:rsidR="00FC1513" w:rsidRPr="008F0AA1" w:rsidRDefault="00A34EB8" w:rsidP="00B218D2">
            <w:pPr>
              <w:pStyle w:val="Body"/>
              <w:spacing w:after="0"/>
              <w:rPr>
                <w:rFonts w:ascii="Arial" w:eastAsia="Calibri" w:hAnsi="Arial" w:cs="Arial"/>
                <w:bCs/>
                <w:szCs w:val="22"/>
              </w:rPr>
            </w:pPr>
            <w:r w:rsidRPr="008F0AA1">
              <w:rPr>
                <w:rFonts w:ascii="Arial" w:eastAsia="Calibri" w:hAnsi="Arial" w:cs="Arial"/>
                <w:bCs/>
                <w:szCs w:val="22"/>
              </w:rPr>
              <w:t xml:space="preserve">The study aimed to evaluate the efficacy of </w:t>
            </w:r>
            <w:r w:rsidR="00902E54">
              <w:rPr>
                <w:rFonts w:ascii="Arial" w:eastAsia="Calibri" w:hAnsi="Arial" w:cs="Arial"/>
                <w:bCs/>
                <w:szCs w:val="22"/>
              </w:rPr>
              <w:t>Mid-storage</w:t>
            </w:r>
            <w:r w:rsidRPr="008F0AA1">
              <w:rPr>
                <w:rFonts w:ascii="Arial" w:eastAsia="Calibri" w:hAnsi="Arial" w:cs="Arial"/>
                <w:bCs/>
                <w:szCs w:val="22"/>
              </w:rPr>
              <w:t xml:space="preserve"> invigoration treatments in maintaining the seed quality of </w:t>
            </w:r>
            <w:r w:rsidR="00CE51EF" w:rsidRPr="008F0AA1">
              <w:rPr>
                <w:rFonts w:ascii="Arial" w:eastAsia="Calibri" w:hAnsi="Arial" w:cs="Arial"/>
                <w:bCs/>
                <w:szCs w:val="22"/>
              </w:rPr>
              <w:t xml:space="preserve">aged </w:t>
            </w:r>
            <w:r w:rsidRPr="008F0AA1">
              <w:rPr>
                <w:rFonts w:ascii="Arial" w:eastAsia="Calibri" w:hAnsi="Arial" w:cs="Arial"/>
                <w:bCs/>
                <w:szCs w:val="22"/>
              </w:rPr>
              <w:t>rice</w:t>
            </w:r>
            <w:r w:rsidR="00CE51EF" w:rsidRPr="008F0AA1">
              <w:rPr>
                <w:rFonts w:ascii="Arial" w:eastAsia="Calibri" w:hAnsi="Arial" w:cs="Arial"/>
                <w:bCs/>
                <w:szCs w:val="22"/>
              </w:rPr>
              <w:t xml:space="preserve"> seeds </w:t>
            </w:r>
            <w:r w:rsidR="008F0AA1" w:rsidRPr="008F0AA1">
              <w:rPr>
                <w:rFonts w:ascii="Arial" w:eastAsia="Calibri" w:hAnsi="Arial" w:cs="Arial"/>
                <w:bCs/>
                <w:szCs w:val="22"/>
              </w:rPr>
              <w:t>of variety</w:t>
            </w:r>
            <w:r w:rsidRPr="008F0AA1">
              <w:rPr>
                <w:rFonts w:ascii="Arial" w:eastAsia="Calibri" w:hAnsi="Arial" w:cs="Arial"/>
                <w:bCs/>
                <w:szCs w:val="22"/>
              </w:rPr>
              <w:t xml:space="preserve"> Jyothi during storage and to identify the most effective eco-friendly treatment for prolonging seed viability. The experiment</w:t>
            </w:r>
            <w:r w:rsidR="00CE51EF" w:rsidRPr="008F0AA1">
              <w:rPr>
                <w:rFonts w:ascii="Arial" w:eastAsia="Calibri" w:hAnsi="Arial" w:cs="Arial"/>
                <w:bCs/>
                <w:szCs w:val="22"/>
              </w:rPr>
              <w:t xml:space="preserve"> was conducted at the Department of Seed Science and Technology, College of Agriculture, Kerala Agricultural University, Thrissur, Kerala, over a three-month storage period following five months of initial storage. The study was laid out in a Completely </w:t>
            </w:r>
            <w:proofErr w:type="spellStart"/>
            <w:r w:rsidR="00CE51EF" w:rsidRPr="008F0AA1">
              <w:rPr>
                <w:rFonts w:ascii="Arial" w:eastAsia="Calibri" w:hAnsi="Arial" w:cs="Arial"/>
                <w:bCs/>
                <w:szCs w:val="22"/>
              </w:rPr>
              <w:t>Randomised</w:t>
            </w:r>
            <w:proofErr w:type="spellEnd"/>
            <w:r w:rsidR="00CE51EF" w:rsidRPr="008F0AA1">
              <w:rPr>
                <w:rFonts w:ascii="Arial" w:eastAsia="Calibri" w:hAnsi="Arial" w:cs="Arial"/>
                <w:bCs/>
                <w:szCs w:val="22"/>
              </w:rPr>
              <w:t xml:space="preserve"> Design (CRD) with seven treatments and four replications. The seeds were subjected to seven </w:t>
            </w:r>
            <w:r w:rsidR="00902E54">
              <w:rPr>
                <w:rFonts w:ascii="Arial" w:eastAsia="Calibri" w:hAnsi="Arial" w:cs="Arial"/>
                <w:bCs/>
                <w:szCs w:val="22"/>
              </w:rPr>
              <w:t>Mid-storage</w:t>
            </w:r>
            <w:r w:rsidR="00CE51EF" w:rsidRPr="008F0AA1">
              <w:rPr>
                <w:rFonts w:ascii="Arial" w:eastAsia="Calibri" w:hAnsi="Arial" w:cs="Arial"/>
                <w:bCs/>
                <w:szCs w:val="22"/>
              </w:rPr>
              <w:t xml:space="preserve"> invigoration treatments: control(untreated),hydration-dehydration,</w:t>
            </w:r>
            <w:r w:rsidR="00FC1513" w:rsidRPr="008F0AA1">
              <w:rPr>
                <w:rFonts w:ascii="Arial" w:eastAsia="Calibri" w:hAnsi="Arial" w:cs="Arial"/>
                <w:bCs/>
                <w:szCs w:val="22"/>
              </w:rPr>
              <w:t xml:space="preserve"> </w:t>
            </w:r>
            <w:r w:rsidR="00CE51EF" w:rsidRPr="008F0AA1">
              <w:rPr>
                <w:rFonts w:ascii="Arial" w:eastAsia="Calibri" w:hAnsi="Arial" w:cs="Arial"/>
                <w:bCs/>
                <w:szCs w:val="22"/>
              </w:rPr>
              <w:t>neem</w:t>
            </w:r>
            <w:r w:rsidR="00FC1513" w:rsidRPr="008F0AA1">
              <w:rPr>
                <w:rFonts w:ascii="Arial" w:eastAsia="Calibri" w:hAnsi="Arial" w:cs="Arial"/>
                <w:bCs/>
                <w:szCs w:val="22"/>
              </w:rPr>
              <w:t xml:space="preserve"> </w:t>
            </w:r>
            <w:r w:rsidR="00CE51EF" w:rsidRPr="008F0AA1">
              <w:rPr>
                <w:rFonts w:ascii="Arial" w:eastAsia="Calibri" w:hAnsi="Arial" w:cs="Arial"/>
                <w:bCs/>
                <w:szCs w:val="22"/>
              </w:rPr>
              <w:t>oil</w:t>
            </w:r>
            <w:r w:rsidR="00FC1513" w:rsidRPr="008F0AA1">
              <w:rPr>
                <w:rFonts w:ascii="Arial" w:eastAsia="Calibri" w:hAnsi="Arial" w:cs="Arial"/>
                <w:bCs/>
                <w:szCs w:val="22"/>
              </w:rPr>
              <w:t>(2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 neem cake (5 g/Kg of seeds),</w:t>
            </w:r>
            <w:r w:rsidR="00CE51EF" w:rsidRPr="008F0AA1">
              <w:rPr>
                <w:rFonts w:ascii="Arial" w:eastAsia="Calibri" w:hAnsi="Arial" w:cs="Arial"/>
                <w:bCs/>
                <w:szCs w:val="22"/>
              </w:rPr>
              <w:t>hydration-dehydration combined with neem oil</w:t>
            </w:r>
            <w:r w:rsidR="00FC1513" w:rsidRPr="008F0AA1">
              <w:rPr>
                <w:rFonts w:ascii="Arial" w:eastAsia="Calibri" w:hAnsi="Arial" w:cs="Arial"/>
                <w:bCs/>
                <w:szCs w:val="22"/>
              </w:rPr>
              <w:t xml:space="preserve"> (2 mL/Kg of seeds)</w:t>
            </w:r>
            <w:r w:rsidR="00CE51EF" w:rsidRPr="008F0AA1">
              <w:rPr>
                <w:rFonts w:ascii="Arial" w:eastAsia="Calibri" w:hAnsi="Arial" w:cs="Arial"/>
                <w:bCs/>
                <w:szCs w:val="22"/>
              </w:rPr>
              <w:t>,</w:t>
            </w:r>
            <w:r w:rsidR="00FC1513" w:rsidRPr="008F0AA1">
              <w:rPr>
                <w:rFonts w:ascii="Arial" w:eastAsia="Calibri" w:hAnsi="Arial" w:cs="Arial"/>
                <w:bCs/>
                <w:szCs w:val="22"/>
              </w:rPr>
              <w:t xml:space="preserve">hydration-dehydration combined with neem cake (5 g/ Kg of seeds) and neem oil (2 mL/ Kg of seeds) combined with neem cake( 5 g/Kg of seeds).Key seed quality parameters including germination percentage, mean germination time (MGT), seedling vigour indices (SVI and II), moisture content, and electrical conductivity (EC) were evaluated monthly and data were </w:t>
            </w:r>
            <w:proofErr w:type="spellStart"/>
            <w:r w:rsidR="00FC1513" w:rsidRPr="008F0AA1">
              <w:rPr>
                <w:rFonts w:ascii="Arial" w:eastAsia="Calibri" w:hAnsi="Arial" w:cs="Arial"/>
                <w:bCs/>
                <w:szCs w:val="22"/>
              </w:rPr>
              <w:t>analysed</w:t>
            </w:r>
            <w:proofErr w:type="spellEnd"/>
            <w:r w:rsidR="00FC1513" w:rsidRPr="008F0AA1">
              <w:rPr>
                <w:rFonts w:ascii="Arial" w:eastAsia="Calibri" w:hAnsi="Arial" w:cs="Arial"/>
                <w:bCs/>
                <w:szCs w:val="22"/>
              </w:rPr>
              <w:t xml:space="preserve"> using ANOVA followed by Duncan’s Multiple Range Test (DMRT).</w:t>
            </w:r>
          </w:p>
          <w:p w14:paraId="597F82CB" w14:textId="53B5E51E" w:rsidR="00FC1513" w:rsidRPr="00FC1513" w:rsidRDefault="00FC1513" w:rsidP="00B218D2">
            <w:pPr>
              <w:pStyle w:val="Body"/>
              <w:spacing w:after="0"/>
              <w:rPr>
                <w:rFonts w:ascii="Arial" w:eastAsia="Calibri" w:hAnsi="Arial" w:cs="Arial"/>
                <w:b/>
                <w:szCs w:val="22"/>
              </w:rPr>
            </w:pPr>
            <w:r w:rsidRPr="008F0AA1">
              <w:rPr>
                <w:rFonts w:ascii="Arial" w:eastAsia="Calibri" w:hAnsi="Arial" w:cs="Arial"/>
                <w:bCs/>
                <w:szCs w:val="22"/>
              </w:rPr>
              <w:t>Significant variations were obs</w:t>
            </w:r>
            <w:r w:rsidR="00A37677" w:rsidRPr="008F0AA1">
              <w:rPr>
                <w:rFonts w:ascii="Arial" w:eastAsia="Calibri" w:hAnsi="Arial" w:cs="Arial"/>
                <w:bCs/>
                <w:szCs w:val="22"/>
              </w:rPr>
              <w:t>erved among treatments. The combination of hydration-dehydration with neem oil recorded the highest germination (89.25%) and vigour indices (SVI I: 2159; SVI II: 2083) along with the lowest mean germination time (4.23 days) and electrical conductivity (0.667 dSm</w:t>
            </w:r>
            <w:r w:rsidR="00A37677" w:rsidRPr="008F0AA1">
              <w:rPr>
                <w:rFonts w:ascii="Arial" w:eastAsia="Calibri" w:hAnsi="Arial" w:cs="Arial"/>
                <w:bCs/>
                <w:szCs w:val="22"/>
                <w:vertAlign w:val="superscript"/>
              </w:rPr>
              <w:t>-1</w:t>
            </w:r>
            <w:r w:rsidR="00A37677" w:rsidRPr="008F0AA1">
              <w:rPr>
                <w:rFonts w:ascii="Arial" w:eastAsia="Calibri" w:hAnsi="Arial" w:cs="Arial"/>
                <w:bCs/>
                <w:szCs w:val="22"/>
              </w:rPr>
              <w:t>) indicating improved membrane integrity and metabolic activity. Treatments involving hydration-dehydration</w:t>
            </w:r>
            <w:r w:rsidR="008F0AA1" w:rsidRPr="008F0AA1">
              <w:rPr>
                <w:rFonts w:ascii="Arial" w:eastAsia="Calibri" w:hAnsi="Arial" w:cs="Arial"/>
                <w:bCs/>
                <w:szCs w:val="22"/>
              </w:rPr>
              <w:t xml:space="preserve"> </w:t>
            </w:r>
            <w:r w:rsidR="00A37677" w:rsidRPr="008F0AA1">
              <w:rPr>
                <w:rFonts w:ascii="Arial" w:eastAsia="Calibri" w:hAnsi="Arial" w:cs="Arial"/>
                <w:bCs/>
                <w:szCs w:val="22"/>
              </w:rPr>
              <w:t xml:space="preserve">alone and neem oil alone also maintained superior seed vigour compared to the untreated control. All treatments maintained safe moisture levels </w:t>
            </w:r>
            <w:r w:rsidR="008F0AA1" w:rsidRPr="008F0AA1">
              <w:rPr>
                <w:rFonts w:ascii="Arial" w:eastAsia="Calibri" w:hAnsi="Arial" w:cs="Arial"/>
                <w:bCs/>
                <w:szCs w:val="22"/>
              </w:rPr>
              <w:t xml:space="preserve">below 12%, reflecting effective storage stability. The results demonstrate that </w:t>
            </w:r>
            <w:r w:rsidR="00902E54">
              <w:rPr>
                <w:rFonts w:ascii="Arial" w:eastAsia="Calibri" w:hAnsi="Arial" w:cs="Arial"/>
                <w:bCs/>
                <w:szCs w:val="22"/>
              </w:rPr>
              <w:t>Mid-storage</w:t>
            </w:r>
            <w:r w:rsidR="008F0AA1" w:rsidRPr="008F0AA1">
              <w:rPr>
                <w:rFonts w:ascii="Arial" w:eastAsia="Calibri" w:hAnsi="Arial" w:cs="Arial"/>
                <w:bCs/>
                <w:szCs w:val="22"/>
              </w:rPr>
              <w:t xml:space="preserve"> invigoration treatments, particularly the combination of hydration-dehydration and neem oil effectively mitigated deterioration and enhanced vigour of five-month -old seeds. These eco-friendly, low-cost treatments provide a sustainable approach to improving rice seed longevity and storability over a long period of time.</w:t>
            </w:r>
          </w:p>
        </w:tc>
      </w:tr>
    </w:tbl>
    <w:p w14:paraId="74406EDA" w14:textId="77777777" w:rsidR="000A11F1" w:rsidRPr="00FB3A86" w:rsidRDefault="000A11F1" w:rsidP="00441B6F">
      <w:pPr>
        <w:pStyle w:val="Copyright"/>
        <w:spacing w:after="0" w:line="240" w:lineRule="auto"/>
        <w:jc w:val="both"/>
        <w:rPr>
          <w:rFonts w:ascii="Arial" w:hAnsi="Arial" w:cs="Arial"/>
        </w:rPr>
        <w:sectPr w:rsidR="000A11F1" w:rsidRPr="00FB3A86" w:rsidSect="009C50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CA2C0CB" w14:textId="77777777" w:rsidR="00636EB2" w:rsidRDefault="00636EB2" w:rsidP="00441B6F">
      <w:pPr>
        <w:pStyle w:val="Body"/>
        <w:spacing w:after="0"/>
        <w:rPr>
          <w:rFonts w:ascii="Arial" w:hAnsi="Arial" w:cs="Arial"/>
          <w:i/>
        </w:rPr>
      </w:pPr>
    </w:p>
    <w:p w14:paraId="50B1C18A" w14:textId="63D21909" w:rsidR="00505F06" w:rsidRDefault="00A24E7E" w:rsidP="00441B6F">
      <w:pPr>
        <w:pStyle w:val="Body"/>
        <w:spacing w:after="0"/>
        <w:rPr>
          <w:rFonts w:ascii="Arial" w:hAnsi="Arial" w:cs="Arial"/>
          <w:i/>
        </w:rPr>
      </w:pPr>
      <w:r>
        <w:rPr>
          <w:rFonts w:ascii="Arial" w:hAnsi="Arial" w:cs="Arial"/>
          <w:i/>
        </w:rPr>
        <w:t xml:space="preserve">Keywords: </w:t>
      </w:r>
      <w:r w:rsidR="00530A46" w:rsidRPr="00530A46">
        <w:rPr>
          <w:rFonts w:ascii="Arial" w:hAnsi="Arial" w:cs="Arial"/>
          <w:i/>
        </w:rPr>
        <w:t xml:space="preserve">Electrical conductivity, Mean germination time, </w:t>
      </w:r>
      <w:r w:rsidR="00902E54">
        <w:rPr>
          <w:rFonts w:ascii="Arial" w:hAnsi="Arial" w:cs="Arial"/>
          <w:i/>
        </w:rPr>
        <w:t>Mid-storage</w:t>
      </w:r>
      <w:r w:rsidR="00530A46" w:rsidRPr="00530A46">
        <w:rPr>
          <w:rFonts w:ascii="Arial" w:hAnsi="Arial" w:cs="Arial"/>
          <w:i/>
        </w:rPr>
        <w:t xml:space="preserve"> invigoration, Oryza sativa L., Rice seed, Seed longevity, Seed moisture content, Seed quality parameters, Seedling vigour indices (SVI I and II).</w:t>
      </w:r>
    </w:p>
    <w:p w14:paraId="26D12B71" w14:textId="77777777" w:rsidR="00530A46" w:rsidRPr="00A24E7E" w:rsidRDefault="00530A46" w:rsidP="00441B6F">
      <w:pPr>
        <w:pStyle w:val="Body"/>
        <w:spacing w:after="0"/>
        <w:rPr>
          <w:rFonts w:ascii="Arial" w:hAnsi="Arial" w:cs="Arial"/>
          <w:i/>
        </w:rPr>
      </w:pPr>
    </w:p>
    <w:p w14:paraId="094935AC" w14:textId="238FF052"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572B77" w14:textId="77777777" w:rsidR="000B7E56" w:rsidRPr="00FB3A86" w:rsidRDefault="000B7E56" w:rsidP="00441B6F">
      <w:pPr>
        <w:pStyle w:val="AbstHead"/>
        <w:spacing w:after="0"/>
        <w:jc w:val="both"/>
        <w:rPr>
          <w:rFonts w:ascii="Arial" w:hAnsi="Arial" w:cs="Arial"/>
        </w:rPr>
      </w:pPr>
    </w:p>
    <w:p w14:paraId="089324FD" w14:textId="77777777" w:rsidR="000B7E56" w:rsidRPr="000570FF" w:rsidRDefault="000B7E56" w:rsidP="000B7E56">
      <w:pPr>
        <w:jc w:val="both"/>
        <w:rPr>
          <w:rFonts w:ascii="Arial" w:hAnsi="Arial" w:cs="Arial"/>
        </w:rPr>
      </w:pPr>
      <w:bookmarkStart w:id="0" w:name="_Hlk213095916"/>
      <w:r w:rsidRPr="000570FF">
        <w:rPr>
          <w:rFonts w:ascii="Arial" w:hAnsi="Arial" w:cs="Arial"/>
        </w:rPr>
        <w:t>Rice (</w:t>
      </w:r>
      <w:r w:rsidRPr="000570FF">
        <w:rPr>
          <w:rFonts w:ascii="Arial" w:hAnsi="Arial" w:cs="Arial"/>
          <w:i/>
          <w:iCs/>
        </w:rPr>
        <w:t>Oryza sativa</w:t>
      </w:r>
      <w:r w:rsidRPr="000570FF">
        <w:rPr>
          <w:rFonts w:ascii="Arial" w:hAnsi="Arial" w:cs="Arial"/>
        </w:rPr>
        <w:t xml:space="preserve"> L.) is the staple food for more than half of the global population, with Asia accounting for over 90% of global production. India, as the second-largest rice producer, contributes over 120 million </w:t>
      </w:r>
      <w:proofErr w:type="spellStart"/>
      <w:r w:rsidRPr="000570FF">
        <w:rPr>
          <w:rFonts w:ascii="Arial" w:hAnsi="Arial" w:cs="Arial"/>
        </w:rPr>
        <w:t>tonnes</w:t>
      </w:r>
      <w:proofErr w:type="spellEnd"/>
      <w:r w:rsidRPr="000570FF">
        <w:rPr>
          <w:rFonts w:ascii="Arial" w:hAnsi="Arial" w:cs="Arial"/>
        </w:rPr>
        <w:t xml:space="preserve"> every year. Both commercial enterprises and smallholder farmers of the nation rely heavily on rice cultivation, making it a keystone of food security and rural livelihoods. The quality of seed used for cultivation plays a pivotal role in determining crop establishment, seedling vigour, and final yield. Maintaining seed quality during the post-harvest storage phase is, thus, essential for sustaining productivity across diverse farming systems.</w:t>
      </w:r>
    </w:p>
    <w:p w14:paraId="0FFEAEB1" w14:textId="77777777" w:rsidR="000B7E56" w:rsidRPr="000570FF" w:rsidRDefault="000B7E56" w:rsidP="000B7E56">
      <w:pPr>
        <w:jc w:val="both"/>
        <w:rPr>
          <w:rFonts w:ascii="Arial" w:hAnsi="Arial" w:cs="Arial"/>
        </w:rPr>
      </w:pPr>
      <w:r w:rsidRPr="000570FF">
        <w:rPr>
          <w:rFonts w:ascii="Arial" w:hAnsi="Arial" w:cs="Arial"/>
        </w:rPr>
        <w:tab/>
        <w:t xml:space="preserve">Seed storage is a critical component of seed production and crop planning, ensuring a reliable supply of viable seeds for the next planting season. Seed deterioration and physiological ageing of the seeds during storage have consistently represented significant constraints in agricultural and ex-situ conservation systems </w:t>
      </w:r>
      <w:r w:rsidRPr="000570FF">
        <w:rPr>
          <w:rFonts w:ascii="Arial" w:hAnsi="Arial" w:cs="Arial"/>
        </w:rPr>
        <w:fldChar w:fldCharType="begin"/>
      </w:r>
      <w:r w:rsidRPr="000570FF">
        <w:rPr>
          <w:rFonts w:ascii="Arial" w:hAnsi="Arial" w:cs="Arial"/>
        </w:rPr>
        <w:instrText xml:space="preserve"> ADDIN ZOTERO_ITEM CSL_CITATION {"citationID":"HJH2nypj","properties":{"formattedCitation":"(Arif et al., 2017)","plainCitation":"(Arif et al., 2017)","noteIndex":0},"citationItems":[{"id":139,"uris":["http://zotero.org/users/17653858/items/VBXLFJQM"],"itemData":{"id":139,"type":"article-journal","container-title":"Journal of Biosciences","DOI":"10.1007/s12038-016-9661-6","ISSN":"0250-5991, 0973-7138","issue":"1","journalAbbreviation":"J Biosci","language":"en","page":"81-89","source":"DOI.org (Crossref)","title":"Genetic architecture of seed longevity in bread wheat (Triticum aestivum L.)","URL":"http://link.springer.com/10.1007/s12038-016-9661-6","volume":"42","author":[{"family":"Arif","given":"Mian Abdur Rehman"},{"family":"Nagel","given":"Manuela"},{"family":"Lohwasser","given":"Ulrike"},{"family":"Börner","given":"Andreas"}],"accessed":{"date-parts":[["2025",8,3]]},"issued":{"date-parts":[["2017",3]]}}}],"schema":"https://github.com/citation-style-language/schema/raw/master/csl-citation.json"} </w:instrText>
      </w:r>
      <w:r w:rsidRPr="000570FF">
        <w:rPr>
          <w:rFonts w:ascii="Arial" w:hAnsi="Arial" w:cs="Arial"/>
        </w:rPr>
        <w:fldChar w:fldCharType="separate"/>
      </w:r>
      <w:r w:rsidRPr="000570FF">
        <w:rPr>
          <w:rFonts w:ascii="Arial" w:hAnsi="Arial" w:cs="Arial"/>
        </w:rPr>
        <w:t>(Arif et al., 2017)</w:t>
      </w:r>
      <w:r w:rsidRPr="000570FF">
        <w:rPr>
          <w:rFonts w:ascii="Arial" w:hAnsi="Arial" w:cs="Arial"/>
        </w:rPr>
        <w:fldChar w:fldCharType="end"/>
      </w:r>
      <w:r w:rsidRPr="000570FF">
        <w:rPr>
          <w:rFonts w:ascii="Arial" w:hAnsi="Arial" w:cs="Arial"/>
        </w:rPr>
        <w:t xml:space="preserve">.This deterioration is a gradual but inevitable process, leading to reduced germination, delayed emergence, poor seedling growth, and ultimately, lower yield potential.  Factors such as temperature, moisture content, and oxygen availability significantly influence seed longevity </w:t>
      </w:r>
      <w:r w:rsidRPr="000570FF">
        <w:rPr>
          <w:rFonts w:ascii="Arial" w:hAnsi="Arial" w:cs="Arial"/>
        </w:rPr>
        <w:fldChar w:fldCharType="begin"/>
      </w:r>
      <w:r w:rsidRPr="000570FF">
        <w:rPr>
          <w:rFonts w:ascii="Arial" w:hAnsi="Arial" w:cs="Arial"/>
        </w:rPr>
        <w:instrText xml:space="preserve"> ADDIN ZOTERO_ITEM CSL_CITATION {"citationID":"0qfg567c","properties":{"formattedCitation":"(Rajjou &amp; Debeaujon, 2008)","plainCitation":"(Rajjou &amp; Debeaujon, 2008)","noteIndex":0},"citationItems":[{"id":135,"uris":["http://zotero.org/users/17653858/items/KDU3IZD9"],"itemData":{"id":135,"type":"article-journal","container-title":"Comptes Rendus. Biologies","DOI":"10.1016/j.crvi.2008.07.021","ISSN":"1768-3238","issue":"10","language":"en","page":"796-805","source":"DOI.org (Crossref)","title":"Seed longevity: Survival and maintenance of high germination ability of dry seeds","title-short":"Seed longevity","URL":"https://comptes-rendus.academie-sciences.fr/biologies/articles/10.1016/j.crvi.2008.07.021/","volume":"331","author":[{"family":"Rajjou","given":"Loïc"},{"family":"Debeaujon","given":"Isabelle"}],"accessed":{"date-parts":[["2025",8,1]]},"issued":{"date-parts":[["2008",9,2]]}}}],"schema":"https://github.com/citation-style-language/schema/raw/master/csl-citation.json"} </w:instrText>
      </w:r>
      <w:r w:rsidRPr="000570FF">
        <w:rPr>
          <w:rFonts w:ascii="Arial" w:hAnsi="Arial" w:cs="Arial"/>
        </w:rPr>
        <w:fldChar w:fldCharType="separate"/>
      </w:r>
      <w:r w:rsidRPr="000570FF">
        <w:rPr>
          <w:rFonts w:ascii="Arial" w:hAnsi="Arial" w:cs="Arial"/>
        </w:rPr>
        <w:t>(Rajjou &amp; Debeaujon, 2008)</w:t>
      </w:r>
      <w:r w:rsidRPr="000570FF">
        <w:rPr>
          <w:rFonts w:ascii="Arial" w:hAnsi="Arial" w:cs="Arial"/>
        </w:rPr>
        <w:fldChar w:fldCharType="end"/>
      </w:r>
      <w:r w:rsidRPr="000570FF">
        <w:rPr>
          <w:rFonts w:ascii="Arial" w:hAnsi="Arial" w:cs="Arial"/>
        </w:rPr>
        <w:t>.  For instance, Prolonged storage leads to the accumulation of toxic metabolites, increased membrane leakage, and oxidative stress, resulting in reduced germination and seedling performance</w:t>
      </w:r>
      <w:r w:rsidRPr="000570FF">
        <w:rPr>
          <w:rFonts w:ascii="Arial" w:hAnsi="Arial" w:cs="Arial"/>
        </w:rPr>
        <w:fldChar w:fldCharType="begin"/>
      </w:r>
      <w:r>
        <w:rPr>
          <w:rFonts w:ascii="Arial" w:hAnsi="Arial" w:cs="Arial"/>
        </w:rPr>
        <w:instrText xml:space="preserve"> ADDIN ZOTERO_ITEM CSL_CITATION {"citationID":"2fgTKZBt","properties":{"formattedCitation":"(Abdul\\uc0\\u8208{}Baki &amp; Anderson, 1973; Afzal et al., 2019)","plainCitation":"(Abdul</w:instrText>
      </w:r>
      <w:r>
        <w:rPr>
          <w:rFonts w:ascii="Cambria Math" w:hAnsi="Cambria Math" w:cs="Cambria Math"/>
        </w:rPr>
        <w:instrText>‐</w:instrText>
      </w:r>
      <w:r>
        <w:rPr>
          <w:rFonts w:ascii="Arial" w:hAnsi="Arial" w:cs="Arial"/>
        </w:rPr>
        <w:instrText>Baki &amp; Anderson, 1973; Afzal et al., 2019)","noteIndex":0},"citationItems":[{"id":"K4e7nTb0/yI9XfvUF","uris":["http://zotero.org/users/17653858/items/6FBUAWPM"],"itemData":{"id":142,"type":"article-journal","abstract":"A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D."}],"accessed":{"date-parts":[["2025",8,13]]},"issued":{"date-parts":[["1973",11]]}}},{"id":141,"uris":["http://zotero.org/users/17653858/items/9XUQ8RJP"],"itemData":{"id":141,"type":"article-journal","issue":"6","language":"en","source":"Zotero","title":"Maintaining Seed Quality of Maize and Wheat through Dry Chain Technology in Pakistan","volume":"22","author":[{"family":"Afzal","given":"Irfan"},{"family":"Khalid","given":"Ehsan"},{"family":"Basra","given":"Shahzad Maqsood Ahmed"},{"family":"Afzal","given":"Aneela"},{"family":"Mahmood","given":"Khalid"}],"issued":{"date-parts":[["2019"]]}}}],"schema":"https://github.com/citation-style-language/schema/raw/master/csl-citation.json"}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 Afzal et al., 2019)</w:t>
      </w:r>
      <w:r w:rsidRPr="000570FF">
        <w:rPr>
          <w:rFonts w:ascii="Arial" w:hAnsi="Arial" w:cs="Arial"/>
        </w:rPr>
        <w:fldChar w:fldCharType="end"/>
      </w:r>
      <w:r w:rsidRPr="000570FF">
        <w:rPr>
          <w:rFonts w:ascii="Arial" w:hAnsi="Arial" w:cs="Arial"/>
        </w:rPr>
        <w:t>. Consequently, prolonging seed storability without compromising viability and vigour is crucial for sustainable agriculture.</w:t>
      </w:r>
    </w:p>
    <w:p w14:paraId="3880794B" w14:textId="311893DF" w:rsidR="000B7E56" w:rsidRPr="000570FF" w:rsidRDefault="000B7E56" w:rsidP="000B7E56">
      <w:pPr>
        <w:spacing w:after="60"/>
        <w:ind w:firstLine="720"/>
        <w:jc w:val="both"/>
        <w:rPr>
          <w:rFonts w:ascii="Arial" w:hAnsi="Arial" w:cs="Arial"/>
        </w:rPr>
      </w:pPr>
      <w:r w:rsidRPr="000570FF">
        <w:rPr>
          <w:rFonts w:ascii="Arial" w:hAnsi="Arial" w:cs="Arial"/>
        </w:rPr>
        <w:t xml:space="preserve">Mid-storage seed invigoration treatments have emerged as a potential solution to maintain seed quality during storage. </w:t>
      </w:r>
      <w:r w:rsidR="00902E54">
        <w:rPr>
          <w:rFonts w:ascii="Arial" w:hAnsi="Arial" w:cs="Arial"/>
          <w:lang w:eastAsia="en-IN"/>
        </w:rPr>
        <w:t>Mid-storage</w:t>
      </w:r>
      <w:r w:rsidRPr="000570FF">
        <w:rPr>
          <w:rFonts w:ascii="Arial" w:hAnsi="Arial" w:cs="Arial"/>
          <w:lang w:eastAsia="en-IN"/>
        </w:rPr>
        <w:t xml:space="preserve"> seed invigoration treatments cause an improvement in the physiological status of the seed, thereby achieving improved germinability, greater storability and better performance than the untreated seeds </w:t>
      </w:r>
      <w:r w:rsidRPr="000570FF">
        <w:rPr>
          <w:rFonts w:ascii="Arial" w:hAnsi="Arial" w:cs="Arial"/>
          <w:lang w:eastAsia="en-IN"/>
        </w:rPr>
        <w:fldChar w:fldCharType="begin"/>
      </w:r>
      <w:r w:rsidRPr="000570FF">
        <w:rPr>
          <w:rFonts w:ascii="Arial" w:hAnsi="Arial" w:cs="Arial"/>
          <w:lang w:eastAsia="en-IN"/>
        </w:rPr>
        <w:instrText xml:space="preserve"> ADDIN ZOTERO_ITEM CSL_CITATION {"citationID":"Pf7ZDAWq","properties":{"formattedCitation":"(J et al., 2006)","plainCitation":"(J et al., 2006)","dontUpdate":true,"noteIndex":0},"citationItems":[{"id":181,"uris":["http://zotero.org/users/17653858/items/6ZIKYMJW"],"itemData":{"id":181,"type":"article-journal","abstract":"Invigouration treatments can be successfully employed to prolong the shelflife of unsold stock and highly useful for long term storage. Cluster bean seeds of low vigour could be invigourated using KH2PO4 (10-3M) and recorded an improvement in germination initially and after four months of storage.","container-title":"Madras Agricultural Journal","DOI":"10.29321/MAJ.10.100751","ISSN":"00249602, 25825321","issue":"July","journalAbbreviation":"MAJ","language":"en","page":"201-207","source":"DOI.org (Crossref)","title":"Mid storage invigouration for viability maintenance in cluster bean [Cyamopsis tetragonoloba (L.) Taub.]","URL":"https://masujournal.org/view_archive_journal.php?id=421","volume":"93","author":[{"family":"J","given":"Renugadevi"},{"family":"N","given":"Natarajan"},{"family":"P","given":"Srimathi"}],"accessed":{"date-parts":[["2025",9,17]]},"issued":{"date-parts":[["2006"]]}}}],"schema":"https://github.com/citation-style-language/schema/raw/master/csl-citation.json"} </w:instrText>
      </w:r>
      <w:r w:rsidRPr="000570FF">
        <w:rPr>
          <w:rFonts w:ascii="Arial" w:hAnsi="Arial" w:cs="Arial"/>
          <w:lang w:eastAsia="en-IN"/>
        </w:rPr>
        <w:fldChar w:fldCharType="separate"/>
      </w:r>
      <w:r w:rsidRPr="000570FF">
        <w:rPr>
          <w:rFonts w:ascii="Arial" w:hAnsi="Arial" w:cs="Arial"/>
        </w:rPr>
        <w:t>(</w:t>
      </w:r>
      <w:proofErr w:type="spellStart"/>
      <w:r w:rsidRPr="000570FF">
        <w:rPr>
          <w:rFonts w:ascii="Arial" w:hAnsi="Arial" w:cs="Arial"/>
        </w:rPr>
        <w:t>Renugadevi</w:t>
      </w:r>
      <w:proofErr w:type="spellEnd"/>
      <w:r w:rsidRPr="000570FF">
        <w:rPr>
          <w:rFonts w:ascii="Arial" w:hAnsi="Arial" w:cs="Arial"/>
        </w:rPr>
        <w:t xml:space="preserve"> et al., 2006)</w:t>
      </w:r>
      <w:r w:rsidRPr="000570FF">
        <w:rPr>
          <w:rFonts w:ascii="Arial" w:hAnsi="Arial" w:cs="Arial"/>
          <w:lang w:eastAsia="en-IN"/>
        </w:rPr>
        <w:fldChar w:fldCharType="end"/>
      </w:r>
      <w:r w:rsidRPr="000570FF">
        <w:rPr>
          <w:rFonts w:ascii="Arial" w:hAnsi="Arial" w:cs="Arial"/>
          <w:lang w:eastAsia="en-IN"/>
        </w:rPr>
        <w:t xml:space="preserve">. Mid storage seed treatment includes removal of inhibitors and toxic metabolic by-products from the seed, seed germination advancement, reduced moisture uptake by treated seeds and counteraction of lipid peroxidation reactions. </w:t>
      </w:r>
      <w:r w:rsidRPr="000570FF">
        <w:rPr>
          <w:rFonts w:ascii="Arial" w:hAnsi="Arial" w:cs="Arial"/>
        </w:rPr>
        <w:t xml:space="preserve">Such treatments are particularly valuable in the context of smallholder agriculture due to their affordability, simplicity, and ecological safety. </w:t>
      </w:r>
    </w:p>
    <w:p w14:paraId="33BA068B" w14:textId="09D3F6CD" w:rsidR="000B7E56" w:rsidRPr="000570FF" w:rsidRDefault="000B7E56" w:rsidP="000B7E56">
      <w:pPr>
        <w:jc w:val="both"/>
        <w:rPr>
          <w:rFonts w:ascii="Arial" w:hAnsi="Arial" w:cs="Arial"/>
        </w:rPr>
      </w:pPr>
      <w:r w:rsidRPr="000570FF">
        <w:rPr>
          <w:rFonts w:ascii="Arial" w:hAnsi="Arial" w:cs="Arial"/>
        </w:rPr>
        <w:tab/>
        <w:t>Hydration-dehydration treatment has been widely studied as a mid-storage invigorati</w:t>
      </w:r>
      <w:r w:rsidR="00902E54">
        <w:rPr>
          <w:rFonts w:ascii="Arial" w:hAnsi="Arial" w:cs="Arial"/>
        </w:rPr>
        <w:t xml:space="preserve">ng </w:t>
      </w:r>
      <w:r w:rsidRPr="000570FF">
        <w:rPr>
          <w:rFonts w:ascii="Arial" w:hAnsi="Arial" w:cs="Arial"/>
        </w:rPr>
        <w:t xml:space="preserve"> technique. </w:t>
      </w:r>
      <w:r w:rsidRPr="000570FF">
        <w:rPr>
          <w:rFonts w:ascii="Arial" w:hAnsi="Arial" w:cs="Arial"/>
        </w:rPr>
        <w:fldChar w:fldCharType="begin"/>
      </w:r>
      <w:r w:rsidRPr="000570FF">
        <w:rPr>
          <w:rFonts w:ascii="Arial" w:hAnsi="Arial" w:cs="Arial"/>
        </w:rPr>
        <w:instrText xml:space="preserve"> ADDIN ZOTERO_ITEM CSL_CITATION {"citationID":"AjmQke43","properties":{"formattedCitation":"(Girija et al., 1996)","plainCitation":"(Girija et al., 1996)","dontUpdate":true,"noteIndex":0},"citationItems":[{"id":108,"uris":["http://zotero.org/users/17653858/items/NM9U4N9Q"],"itemData":{"id":108,"type":"article-journal","abstract":"null","container-title":"null","DOI":"null","note":"PMID: null\nPMCID: null","title":"Hydration-dehydration technique, a mid-storage correction to prolong viability of rice seeds","author":[{"family":"Girija","given":"T."},{"family":"Girija","given":"T."},{"family":"Dev","given":"V. P. S."},{"family":"Dev","given":"V. P. Sukumara"},{"family":"Sankar","given":"M. Asha"},{"family":"Sankar","given":"M. Asha"},{"family":"Nair","given":"N. Rajappan"},{"family":"Nair","given":"N. Rajappan"},{"literal":"Kau"},{"literal":"Kau"}],"issued":{"date-parts":[["1996"]]}}}],"schema":"https://github.com/citation-style-language/schema/raw/master/csl-citation.json"} </w:instrText>
      </w:r>
      <w:r w:rsidRPr="000570FF">
        <w:rPr>
          <w:rFonts w:ascii="Arial" w:hAnsi="Arial" w:cs="Arial"/>
        </w:rPr>
        <w:fldChar w:fldCharType="separate"/>
      </w:r>
      <w:r w:rsidRPr="000570FF">
        <w:rPr>
          <w:rFonts w:ascii="Arial" w:hAnsi="Arial" w:cs="Arial"/>
        </w:rPr>
        <w:t>Girija et al. (1996)</w:t>
      </w:r>
      <w:r w:rsidRPr="000570FF">
        <w:rPr>
          <w:rFonts w:ascii="Arial" w:hAnsi="Arial" w:cs="Arial"/>
        </w:rPr>
        <w:fldChar w:fldCharType="end"/>
      </w:r>
      <w:r>
        <w:rPr>
          <w:rFonts w:ascii="Arial" w:hAnsi="Arial" w:cs="Arial"/>
        </w:rPr>
        <w:t xml:space="preserve"> </w:t>
      </w:r>
      <w:r w:rsidRPr="000570FF">
        <w:rPr>
          <w:rFonts w:ascii="Arial" w:hAnsi="Arial" w:cs="Arial"/>
        </w:rPr>
        <w:t xml:space="preserve">demonstrated that hydration-dehydration treatment prolonged seed viability in rice varieties Jyothi and Triveni for up to five months, depending on seed quality and storage conditions. Neem-based botanicals such as neemcake and neem oil have been reported to enhance seed storability by preventing fungal growth and insect infestation. </w:t>
      </w:r>
      <w:r>
        <w:rPr>
          <w:rFonts w:ascii="Arial" w:hAnsi="Arial" w:cs="Arial"/>
        </w:rPr>
        <w:fldChar w:fldCharType="begin"/>
      </w:r>
      <w:r>
        <w:rPr>
          <w:rFonts w:ascii="Arial" w:hAnsi="Arial" w:cs="Arial"/>
        </w:rPr>
        <w:instrText xml:space="preserve"> ADDIN ZOTERO_ITEM CSL_CITATION {"citationID":"QpRXNKBI","properties":{"formattedCitation":"(Amruta et al., 2015)","plainCitation":"(Amruta et al., 2015)","noteIndex":0},"citationItems":[{"id":216,"uris":["http://zotero.org/users/17653858/items/V2ECKUPC"],"itemData":{"id":216,"type":"article-journal","abstract":"Good storage is the basic requirement in seed production programme as maintenance of high seed viability and vigour from harvest to planting is of utmost importance in a seed production programme. Therefore, inexpensive, simple and practicable technology to prolong the shelf life of seeds under ambient condition is immensely needed. Hence, an experiment was carried out to study the effect of seed treatment with neem oil, nimbicidin, emamectin benzoate 5 SG, deltamethrin 2.8 EC, novuluron EC on black gram seed quality under ambient conditions. The seeds without any seed treatment were included as control. The treated and untreated seeds were stored in cloth bag and polylined cloth bag. The results revealed that, botanicals and emamectin benzoate seed treatments were significantly superior in controlling the storage insect and maintaining higher seed quality up to 10 months of storage when compared to control. Among the chemicals, the emamectin benzoate 5 SG @ 40 mg kg-1 of seed found better by recording significantly higher germination percentage (80.28), vigour index I (2124) and dry weight of seedlings (43.14 mg) and lower electrical conductivity (0.939 dSm-1) and seed damage (0.00 %) compared to control (78.78%, 2012, 38.90 mg, 0.942 dSm-1, respectively) at the end of 10th month of storage. The emamectin benzoate 5 SG and nimbicidintreated seeds stored in polylined cloth bags were considered as effective seed storage management approach in blackgram.","container-title":"Journal of Applied and Natural Science","DOI":"10.31018/jans.v7i1.610","ISSN":"2231-5209, 0974-9411","issue":"1","journalAbbreviation":"JANS","license":"https://creativecommons.org/licenses/by-nc/3.0/","page":"328-334","source":"DOI.org (Crossref)","title":"Effect of botanicals and insecticides seed treatment and containers on seed longevity of black gram under natural ageing conditions","URL":"https://journals.ansfoundation.org/index.php/jans/article/view/610","volume":"7","author":[{"family":"Amruta","given":"N."},{"family":"Sarika","given":"G."},{"family":"Umesha","given":"Umesha"},{"family":"Maruthi","given":"J. B."},{"family":"Basavaraju","given":"G. V."}],"accessed":{"date-parts":[["2025",11,3]]},"issued":{"date-parts":[["2015",6,1]]}}}],"schema":"https://github.com/citation-style-language/schema/raw/master/csl-citation.json"} </w:instrText>
      </w:r>
      <w:r>
        <w:rPr>
          <w:rFonts w:ascii="Arial" w:hAnsi="Arial" w:cs="Arial"/>
        </w:rPr>
        <w:fldChar w:fldCharType="separate"/>
      </w:r>
      <w:r w:rsidRPr="004014DE">
        <w:rPr>
          <w:rFonts w:ascii="Arial" w:hAnsi="Arial" w:cs="Arial"/>
        </w:rPr>
        <w:t xml:space="preserve">Amruta et al., </w:t>
      </w:r>
      <w:r>
        <w:rPr>
          <w:rFonts w:ascii="Arial" w:hAnsi="Arial" w:cs="Arial"/>
        </w:rPr>
        <w:t>(</w:t>
      </w:r>
      <w:r w:rsidRPr="004014DE">
        <w:rPr>
          <w:rFonts w:ascii="Arial" w:hAnsi="Arial" w:cs="Arial"/>
        </w:rPr>
        <w:t>2015)</w:t>
      </w:r>
      <w:r>
        <w:rPr>
          <w:rFonts w:ascii="Arial" w:hAnsi="Arial" w:cs="Arial"/>
        </w:rPr>
        <w:fldChar w:fldCharType="end"/>
      </w:r>
      <w:r>
        <w:rPr>
          <w:rFonts w:ascii="Arial" w:hAnsi="Arial" w:cs="Arial"/>
        </w:rPr>
        <w:t xml:space="preserve"> </w:t>
      </w:r>
      <w:r w:rsidRPr="000570FF">
        <w:rPr>
          <w:rFonts w:ascii="Arial" w:hAnsi="Arial" w:cs="Arial"/>
        </w:rPr>
        <w:t xml:space="preserve">and </w:t>
      </w:r>
      <w:r>
        <w:rPr>
          <w:rFonts w:ascii="Arial" w:hAnsi="Arial" w:cs="Arial"/>
        </w:rPr>
        <w:fldChar w:fldCharType="begin"/>
      </w:r>
      <w:r>
        <w:rPr>
          <w:rFonts w:ascii="Arial" w:hAnsi="Arial" w:cs="Arial"/>
        </w:rPr>
        <w:instrText xml:space="preserve"> ADDIN ZOTERO_ITEM CSL_CITATION {"citationID":"zrsvXOfj","properties":{"formattedCitation":"(Tiwari &amp; Yadav, 2022)","plainCitation":"(Tiwari &amp; Yadav, 2022)","noteIndex":0},"citationItems":[{"id":218,"uris":["http://zotero.org/users/17653858/items/ZWTSRW8Y"],"itemData":{"id":218,"type":"article-journal","abstract":"The laboratory experiments were conducted during 2017-2018 and 2018-2019 to study the efficacy of seed protectants namely fly ash, paddy husk and it’s ash, turmeric powder, silica gel, neem leaves and oil, eucalyptus leaves and oil, canola oil and boric acid against rice weevil Sitophilus oryzae (L.) and lesser grain borer Rhyzopertha dominica (F.) and khapra beetle Trogoderma granarium Everts on stored maize (genotype HQPM 1). The results revealed that neem oil was the most ecofriendly treatment against S. oryzae with 94.76% adult mortality, 12.54x population growth after 6 months and 0% grain damage (pooled data). In case of R. dominica, maximum mortality (91.90%) and 0% grain damage was observed in neem oil but minimum growth (12.44-) value was observed for canola oil. The neem oil was also found effective against T. granarium (92.83% mortality; 0% grain damage), and the least (60.04 larval growth was observed with canola oil. Neem oil showed maximum (80%, 80% and 86.67%) repellency against S. oryzae, R. dominica and T. granarium, respectively which was followed by eucalyptus oil. The neem oil showed 86% germination which was followed by eucalyptus oil (84%). The boric acid showed adverse effects on germination of maize seeds.","container-title":"Indian Journal of Entomology","DOI":"10.55446/IJE.2021.262","ISSN":"0974-8172, 0367-8288","journalAbbreviation":"ije","page":"312-316","source":"DOI.org (Crossref)","title":"Ecofriendly Management of Major Insect Pests of Stored Maize","URL":"https://indianentomology.org/index.php/ije/article/view/262","author":[{"family":"Tiwari","given":"Sangeeta"},{"family":"Yadav","given":"Sunita"}],"accessed":{"date-parts":[["2025",11,3]]},"issued":{"date-parts":[["2022",4,11]]}}}],"schema":"https://github.com/citation-style-language/schema/raw/master/csl-citation.json"} </w:instrText>
      </w:r>
      <w:r>
        <w:rPr>
          <w:rFonts w:ascii="Arial" w:hAnsi="Arial" w:cs="Arial"/>
        </w:rPr>
        <w:fldChar w:fldCharType="separate"/>
      </w:r>
      <w:r w:rsidRPr="006A4758">
        <w:rPr>
          <w:rFonts w:ascii="Arial" w:hAnsi="Arial" w:cs="Arial"/>
        </w:rPr>
        <w:t xml:space="preserve">Tiwari &amp; Yadav, </w:t>
      </w:r>
      <w:r>
        <w:rPr>
          <w:rFonts w:ascii="Arial" w:hAnsi="Arial" w:cs="Arial"/>
        </w:rPr>
        <w:t>(</w:t>
      </w:r>
      <w:r w:rsidRPr="006A4758">
        <w:rPr>
          <w:rFonts w:ascii="Arial" w:hAnsi="Arial" w:cs="Arial"/>
        </w:rPr>
        <w:t>2022)</w:t>
      </w:r>
      <w:r>
        <w:rPr>
          <w:rFonts w:ascii="Arial" w:hAnsi="Arial" w:cs="Arial"/>
        </w:rPr>
        <w:fldChar w:fldCharType="end"/>
      </w:r>
      <w:r>
        <w:rPr>
          <w:rFonts w:ascii="Arial" w:hAnsi="Arial" w:cs="Arial"/>
        </w:rPr>
        <w:t xml:space="preserve"> </w:t>
      </w:r>
      <w:r w:rsidRPr="000570FF">
        <w:rPr>
          <w:rFonts w:ascii="Arial" w:hAnsi="Arial" w:cs="Arial"/>
        </w:rPr>
        <w:t xml:space="preserve">confirmed neem oil’s ability to reduce storage pest infestation and maintain seed viability. In 2020, </w:t>
      </w:r>
      <w:r>
        <w:rPr>
          <w:rFonts w:ascii="Arial" w:hAnsi="Arial" w:cs="Arial"/>
        </w:rPr>
        <w:fldChar w:fldCharType="begin"/>
      </w:r>
      <w:r>
        <w:rPr>
          <w:rFonts w:ascii="Arial" w:hAnsi="Arial" w:cs="Arial"/>
        </w:rPr>
        <w:instrText xml:space="preserve"> ADDIN ZOTERO_ITEM CSL_CITATION {"citationID":"v5kTxZEL","properties":{"formattedCitation":"(Galappaththi et al., 2020)","plainCitation":"(Galappaththi et al., 2020)","noteIndex":0},"citationItems":[{"id":155,"uris":["http://zotero.org/users/17653858/items/ILYGD5X5"],"itemData":{"id":155,"type":"article-journal","abstract":"Although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schema":"https://github.com/citation-style-language/schema/raw/master/csl-citation.json"} </w:instrText>
      </w:r>
      <w:r>
        <w:rPr>
          <w:rFonts w:ascii="Arial" w:hAnsi="Arial" w:cs="Arial"/>
        </w:rPr>
        <w:fldChar w:fldCharType="separate"/>
      </w:r>
      <w:r w:rsidRPr="004014DE">
        <w:rPr>
          <w:rFonts w:ascii="Arial" w:hAnsi="Arial" w:cs="Arial"/>
        </w:rPr>
        <w:t>Galappaththi et al.,</w:t>
      </w:r>
      <w:r>
        <w:rPr>
          <w:rFonts w:ascii="Arial" w:hAnsi="Arial" w:cs="Arial"/>
        </w:rPr>
        <w:t xml:space="preserve"> </w:t>
      </w:r>
      <w:r>
        <w:rPr>
          <w:rFonts w:ascii="Arial" w:hAnsi="Arial" w:cs="Arial"/>
        </w:rPr>
        <w:fldChar w:fldCharType="end"/>
      </w:r>
      <w:r w:rsidRPr="000570FF">
        <w:rPr>
          <w:rFonts w:ascii="Arial" w:hAnsi="Arial" w:cs="Arial"/>
        </w:rPr>
        <w:t xml:space="preserve">reported priming traditional </w:t>
      </w:r>
      <w:proofErr w:type="spellStart"/>
      <w:r w:rsidRPr="000570FF">
        <w:rPr>
          <w:rFonts w:ascii="Arial" w:hAnsi="Arial" w:cs="Arial"/>
        </w:rPr>
        <w:t>Srilankan</w:t>
      </w:r>
      <w:proofErr w:type="spellEnd"/>
      <w:r w:rsidRPr="000570FF">
        <w:rPr>
          <w:rFonts w:ascii="Arial" w:hAnsi="Arial" w:cs="Arial"/>
        </w:rPr>
        <w:t xml:space="preserve"> Rice seeds with neem seed extract various duration and strength significantly increased germination percentages and seedling vigour compared to unprimed seeds across all tested varieties. </w:t>
      </w:r>
    </w:p>
    <w:p w14:paraId="0299C33D" w14:textId="77777777" w:rsidR="000B7E56" w:rsidRPr="000570FF" w:rsidRDefault="000B7E56" w:rsidP="000B7E56">
      <w:pPr>
        <w:jc w:val="both"/>
        <w:rPr>
          <w:rFonts w:ascii="Arial" w:hAnsi="Arial" w:cs="Arial"/>
        </w:rPr>
      </w:pPr>
      <w:r w:rsidRPr="000570FF">
        <w:rPr>
          <w:rFonts w:ascii="Arial" w:hAnsi="Arial" w:cs="Arial"/>
        </w:rPr>
        <w:tab/>
      </w:r>
      <w:r>
        <w:rPr>
          <w:rFonts w:ascii="Arial" w:hAnsi="Arial" w:cs="Arial"/>
        </w:rPr>
        <w:fldChar w:fldCharType="begin"/>
      </w:r>
      <w:r>
        <w:rPr>
          <w:rFonts w:ascii="Arial" w:hAnsi="Arial" w:cs="Arial"/>
        </w:rPr>
        <w:instrText xml:space="preserve"> ADDIN ZOTERO_ITEM CSL_CITATION {"citationID":"Qdrm0uun","properties":{"formattedCitation":"(Monicasri et al., 2024)","plainCitation":"(Monicasri et al., 2024)","noteIndex":0},"citationItems":[{"id":215,"uris":["http://zotero.org/users/17653858/items/ITHWQZD7"],"itemData":{"id":215,"type":"article-journal","abstract":"The groundbreaking research investigated the impact of mid-storage invigoration treatments on seed quality parameters in rice. The experimental design used in the study was Completely Randomized Design with three replications. The experiment was conducted at the Regional Agricultural Research Station, Pattambi, Kerala Agricultural University. The objective of the study was to understand the effect of mid-storage invigoration treatments on seed storage under ambient conditions. An experiment was conducted to evaluate the effect of ten different treatments on the quality of seeds, specifically the germination percentage, seed vigour index I, electrical conductivity, and mean germination time. The treatments tested were control- untreated seeds, hydration and dehydration treatment 1l/kg, ascorbic acid 10g/kg, calcium chloride 10g/kg, albizzia leaf powder 2g/kg, neem cake 5g/kg, neem leaf powder 2g/kg, neem oil 2ml/kg, red chilli powder 1g/kg and vayambu leaf powder 2g/kg. The rice variety Jyothi was used. Results showed that all the mid-storage invigoration treatments significantly improved the germination rate of the treated seeds when compared to the control under ambient storage conditions. Neem oil when used showed the highest germination percentage after five months of storage. In the last month of storage, neem oil showed a significantly higher vigour index which was comparable to hydration dehydration treatment and red chilli powder. Germination percentage and seedling vigour index I are positively associated with seed quality. Electrical conductivity and mean germination time are negatively correlated with seed quality. The least electrical conductivity was recorded in hydration dehydration treatment. Neem oil and hydration dehydration treatment had low mean germination time. Based on the research conducted, neem oil, hydration-dehydration, and red chili powder are the most effective treatments for improving the longevity of seeds. These eco-friendly and cost-effective mid-storage invigoration seed treatments can help farmers enhance the quality of their seeds and extend their storage life.","container-title":"International Journal of Plant &amp; Soil Science","DOI":"10.9734/ijpss/2024/v36i74724","ISSN":"2320-7035","issue":"7","journalAbbreviation":"Int. J. Plant Soil Sci.","page":"223-231","source":"DOI.org (Crossref)","title":"Upholding Seed Quality with Mid-storage Invigoration Treatments in Rice (Oryza sativa L.)","URL":"https://journalijpss.com/index.php/IJPSS/article/view/4724","volume":"36","author":[{"family":"Monicasri","given":"A."},{"family":"Palathingal","given":"Vidhu Francis"},{"family":"Bastian","given":"Dijee"},{"family":"Vijayan","given":"Roshni"},{"family":"C.R.","given":"Rashmi"}],"accessed":{"date-parts":[["2025",11,3]]},"issued":{"date-parts":[["2024",6,5]]}}}],"schema":"https://github.com/citation-style-language/schema/raw/master/csl-citation.json"} </w:instrText>
      </w:r>
      <w:r>
        <w:rPr>
          <w:rFonts w:ascii="Arial" w:hAnsi="Arial" w:cs="Arial"/>
        </w:rPr>
        <w:fldChar w:fldCharType="separate"/>
      </w:r>
      <w:r w:rsidRPr="007C1E34">
        <w:rPr>
          <w:rFonts w:ascii="Arial" w:hAnsi="Arial" w:cs="Arial"/>
        </w:rPr>
        <w:t xml:space="preserve">Monicasri et al. </w:t>
      </w:r>
      <w:r>
        <w:rPr>
          <w:rFonts w:ascii="Arial" w:hAnsi="Arial" w:cs="Arial"/>
        </w:rPr>
        <w:t>(</w:t>
      </w:r>
      <w:r w:rsidRPr="007C1E34">
        <w:rPr>
          <w:rFonts w:ascii="Arial" w:hAnsi="Arial" w:cs="Arial"/>
        </w:rPr>
        <w:t>2024)</w:t>
      </w:r>
      <w:r>
        <w:rPr>
          <w:rFonts w:ascii="Arial" w:hAnsi="Arial" w:cs="Arial"/>
        </w:rPr>
        <w:fldChar w:fldCharType="end"/>
      </w:r>
      <w:r w:rsidRPr="000570FF">
        <w:rPr>
          <w:rFonts w:ascii="Arial" w:hAnsi="Arial" w:cs="Arial"/>
        </w:rPr>
        <w:t xml:space="preserve"> evaluated ten mid-storage treatments in rice and reported that neem oil, hydration-dehydration, and red </w:t>
      </w:r>
      <w:proofErr w:type="spellStart"/>
      <w:r w:rsidRPr="000570FF">
        <w:rPr>
          <w:rFonts w:ascii="Arial" w:hAnsi="Arial" w:cs="Arial"/>
        </w:rPr>
        <w:t>chilli</w:t>
      </w:r>
      <w:proofErr w:type="spellEnd"/>
      <w:r w:rsidRPr="000570FF">
        <w:rPr>
          <w:rFonts w:ascii="Arial" w:hAnsi="Arial" w:cs="Arial"/>
        </w:rPr>
        <w:t xml:space="preserve"> powder showed the most significant improvements in seed germination, vigour, and electrical conductivity over a five-month period. These findings provide a strong foundation for exploring similar treatments in different rice varieties under Kerala’s storage conditions</w:t>
      </w:r>
      <w:r>
        <w:rPr>
          <w:rFonts w:ascii="Arial" w:hAnsi="Arial" w:cs="Arial"/>
        </w:rPr>
        <w:t xml:space="preserve">. </w:t>
      </w:r>
      <w:r w:rsidRPr="000570FF">
        <w:rPr>
          <w:rFonts w:ascii="Arial" w:hAnsi="Arial" w:cs="Arial"/>
        </w:rPr>
        <w:t>Thus, a combination of eco-friendly and simple mid-storage treatments has the potential to address the problem of seed deterioration and offer practical solutions for smallholder farmers.</w:t>
      </w:r>
    </w:p>
    <w:bookmarkEnd w:id="0"/>
    <w:p w14:paraId="4EEF250A" w14:textId="77777777" w:rsidR="00790ADA" w:rsidRPr="00FB3A86" w:rsidRDefault="00790ADA" w:rsidP="00441B6F">
      <w:pPr>
        <w:pStyle w:val="Body"/>
        <w:spacing w:after="0"/>
        <w:rPr>
          <w:rFonts w:ascii="Arial" w:hAnsi="Arial" w:cs="Arial"/>
        </w:rPr>
      </w:pPr>
    </w:p>
    <w:p w14:paraId="36271888" w14:textId="72E097D7" w:rsidR="00790ADA" w:rsidRDefault="00902823" w:rsidP="00441B6F">
      <w:pPr>
        <w:pStyle w:val="AbstHead"/>
        <w:spacing w:after="0"/>
        <w:jc w:val="both"/>
        <w:rPr>
          <w:rFonts w:ascii="Arial" w:hAnsi="Arial" w:cs="Arial"/>
        </w:rPr>
      </w:pPr>
      <w:r>
        <w:rPr>
          <w:rFonts w:ascii="Arial" w:hAnsi="Arial" w:cs="Arial"/>
        </w:rPr>
        <w:t>2. material</w:t>
      </w:r>
      <w:r w:rsidR="00902E54">
        <w:rPr>
          <w:rFonts w:ascii="Arial" w:hAnsi="Arial" w:cs="Arial"/>
        </w:rPr>
        <w:t>s</w:t>
      </w:r>
      <w:r>
        <w:rPr>
          <w:rFonts w:ascii="Arial" w:hAnsi="Arial" w:cs="Arial"/>
        </w:rPr>
        <w:t xml:space="preserve"> and method</w:t>
      </w:r>
      <w:r w:rsidR="00000F8F">
        <w:rPr>
          <w:rFonts w:ascii="Arial" w:hAnsi="Arial" w:cs="Arial"/>
        </w:rPr>
        <w:t xml:space="preserve">s </w:t>
      </w:r>
    </w:p>
    <w:p w14:paraId="708143B8" w14:textId="77777777" w:rsidR="000B7E56" w:rsidRPr="00FB3A86" w:rsidRDefault="000B7E56" w:rsidP="00441B6F">
      <w:pPr>
        <w:pStyle w:val="AbstHead"/>
        <w:spacing w:after="0"/>
        <w:jc w:val="both"/>
        <w:rPr>
          <w:rFonts w:ascii="Arial" w:hAnsi="Arial" w:cs="Arial"/>
        </w:rPr>
      </w:pPr>
    </w:p>
    <w:p w14:paraId="51A3845C" w14:textId="77777777" w:rsidR="00F31111" w:rsidRDefault="00F31111" w:rsidP="00F31111">
      <w:pPr>
        <w:rPr>
          <w:rFonts w:ascii="Arial" w:hAnsi="Arial" w:cs="Arial"/>
          <w:b/>
          <w:bCs/>
          <w:sz w:val="22"/>
          <w:szCs w:val="22"/>
        </w:rPr>
      </w:pPr>
      <w:r w:rsidRPr="00F31111">
        <w:rPr>
          <w:rFonts w:ascii="Arial" w:hAnsi="Arial" w:cs="Arial"/>
          <w:b/>
          <w:bCs/>
          <w:sz w:val="22"/>
          <w:szCs w:val="22"/>
        </w:rPr>
        <w:t>2.1 Experimental Design</w:t>
      </w:r>
    </w:p>
    <w:p w14:paraId="492E2CF8" w14:textId="77777777" w:rsidR="00F31111" w:rsidRPr="00F31111" w:rsidRDefault="00F31111" w:rsidP="00F31111">
      <w:pPr>
        <w:rPr>
          <w:rFonts w:ascii="Arial" w:hAnsi="Arial" w:cs="Arial"/>
          <w:b/>
          <w:bCs/>
          <w:sz w:val="22"/>
          <w:szCs w:val="22"/>
        </w:rPr>
      </w:pPr>
    </w:p>
    <w:p w14:paraId="48713569" w14:textId="536D54F7" w:rsidR="00F31111" w:rsidRDefault="00F31111" w:rsidP="00F31111">
      <w:pPr>
        <w:jc w:val="both"/>
        <w:rPr>
          <w:rFonts w:ascii="Arial" w:hAnsi="Arial" w:cs="Arial"/>
        </w:rPr>
      </w:pPr>
      <w:r>
        <w:rPr>
          <w:rFonts w:ascii="Arial" w:hAnsi="Arial" w:cs="Arial"/>
        </w:rPr>
        <w:tab/>
      </w:r>
      <w:r w:rsidRPr="000570FF">
        <w:rPr>
          <w:rFonts w:ascii="Arial" w:hAnsi="Arial" w:cs="Arial"/>
        </w:rPr>
        <w:t>Seven treatments were applied to five-month-old seeds of the rice variety Jyothi. Seed quality parameters like germination percentage, mean germination time (MGT), Time for 50% germination, seedling vigour index (I), seedling vigour index (II), and electrical conductivity were observed before and after the treatment. To evaluate the metabolic activity, enzymatic activities such as Dehydrogenase,</w:t>
      </w:r>
      <w:r>
        <w:rPr>
          <w:rFonts w:ascii="Arial" w:hAnsi="Arial" w:cs="Arial"/>
        </w:rPr>
        <w:t xml:space="preserve"> </w:t>
      </w:r>
      <w:r w:rsidRPr="000570FF">
        <w:rPr>
          <w:rFonts w:ascii="Arial" w:hAnsi="Arial" w:cs="Arial"/>
        </w:rPr>
        <w:t xml:space="preserve">α-Amylase and protease are assessed.  Completely </w:t>
      </w:r>
      <w:r w:rsidR="00FF3562" w:rsidRPr="000570FF">
        <w:rPr>
          <w:rFonts w:ascii="Arial" w:hAnsi="Arial" w:cs="Arial"/>
        </w:rPr>
        <w:t>Randomized</w:t>
      </w:r>
      <w:r w:rsidRPr="000570FF">
        <w:rPr>
          <w:rFonts w:ascii="Arial" w:hAnsi="Arial" w:cs="Arial"/>
        </w:rPr>
        <w:t xml:space="preserve"> Design (CRD) was used for the analysis of the seed quality parameters. For every treatment, four replications were examined, with three kilograms of seeds being placed in gunny bags.</w:t>
      </w:r>
    </w:p>
    <w:p w14:paraId="0919A4FA" w14:textId="78D96E81" w:rsidR="00F31111" w:rsidRPr="000570FF" w:rsidRDefault="00F31111" w:rsidP="00F31111">
      <w:pPr>
        <w:jc w:val="both"/>
        <w:rPr>
          <w:rFonts w:ascii="Arial" w:hAnsi="Arial" w:cs="Arial"/>
        </w:rPr>
      </w:pPr>
      <w:r w:rsidRPr="000570FF">
        <w:rPr>
          <w:rFonts w:ascii="Arial" w:hAnsi="Arial" w:cs="Arial"/>
        </w:rPr>
        <w:lastRenderedPageBreak/>
        <w:t xml:space="preserve"> </w:t>
      </w:r>
    </w:p>
    <w:p w14:paraId="37DABF59" w14:textId="6D7F9F71" w:rsidR="00F31111" w:rsidRDefault="00F31111" w:rsidP="00F31111">
      <w:pPr>
        <w:jc w:val="both"/>
        <w:rPr>
          <w:rFonts w:ascii="Arial" w:hAnsi="Arial" w:cs="Arial"/>
          <w:b/>
          <w:bCs/>
          <w:sz w:val="22"/>
          <w:szCs w:val="22"/>
        </w:rPr>
      </w:pPr>
      <w:r w:rsidRPr="00F31111">
        <w:rPr>
          <w:rFonts w:ascii="Arial" w:hAnsi="Arial" w:cs="Arial"/>
          <w:b/>
          <w:bCs/>
          <w:sz w:val="22"/>
          <w:szCs w:val="22"/>
        </w:rPr>
        <w:t>2.2 Treatment Variables</w:t>
      </w:r>
    </w:p>
    <w:p w14:paraId="148E67C0" w14:textId="77777777" w:rsidR="00F31111" w:rsidRPr="00F31111" w:rsidRDefault="00F31111" w:rsidP="00F31111">
      <w:pPr>
        <w:jc w:val="both"/>
        <w:rPr>
          <w:rFonts w:ascii="Arial" w:hAnsi="Arial" w:cs="Arial"/>
          <w:b/>
          <w:bCs/>
          <w:sz w:val="22"/>
          <w:szCs w:val="22"/>
        </w:rPr>
      </w:pPr>
    </w:p>
    <w:p w14:paraId="5DEB7978" w14:textId="008AD97E" w:rsidR="00F31111" w:rsidRDefault="00F31111" w:rsidP="00F31111">
      <w:pPr>
        <w:jc w:val="both"/>
        <w:rPr>
          <w:rFonts w:ascii="Arial" w:hAnsi="Arial" w:cs="Arial"/>
        </w:rPr>
      </w:pPr>
      <w:r>
        <w:rPr>
          <w:rFonts w:ascii="Arial" w:hAnsi="Arial" w:cs="Arial"/>
        </w:rPr>
        <w:tab/>
      </w:r>
      <w:r w:rsidRPr="000570FF">
        <w:rPr>
          <w:rFonts w:ascii="Arial" w:hAnsi="Arial" w:cs="Arial"/>
        </w:rPr>
        <w:t xml:space="preserve">Five-month-old Jyothi seeds with an initial germination percentage of 92% were subjected to seven </w:t>
      </w:r>
      <w:r w:rsidR="00902E54">
        <w:rPr>
          <w:rFonts w:ascii="Arial" w:hAnsi="Arial" w:cs="Arial"/>
        </w:rPr>
        <w:t>Mid-storage</w:t>
      </w:r>
      <w:r w:rsidRPr="000570FF">
        <w:rPr>
          <w:rFonts w:ascii="Arial" w:hAnsi="Arial" w:cs="Arial"/>
        </w:rPr>
        <w:t xml:space="preserve"> seed </w:t>
      </w:r>
      <w:proofErr w:type="gramStart"/>
      <w:r w:rsidRPr="000570FF">
        <w:rPr>
          <w:rFonts w:ascii="Arial" w:hAnsi="Arial" w:cs="Arial"/>
        </w:rPr>
        <w:t>invigoration</w:t>
      </w:r>
      <w:proofErr w:type="gramEnd"/>
      <w:r w:rsidRPr="000570FF">
        <w:rPr>
          <w:rFonts w:ascii="Arial" w:hAnsi="Arial" w:cs="Arial"/>
        </w:rPr>
        <w:t xml:space="preserve">. Seven </w:t>
      </w:r>
      <w:r w:rsidR="00902E54">
        <w:rPr>
          <w:rFonts w:ascii="Arial" w:hAnsi="Arial" w:cs="Arial"/>
        </w:rPr>
        <w:t>Mid-storage</w:t>
      </w:r>
      <w:r w:rsidRPr="000570FF">
        <w:rPr>
          <w:rFonts w:ascii="Arial" w:hAnsi="Arial" w:cs="Arial"/>
        </w:rPr>
        <w:t xml:space="preserve"> treatments, namely, Control- untreated seeds (T</w:t>
      </w:r>
      <w:r w:rsidRPr="000570FF">
        <w:rPr>
          <w:rFonts w:ascii="Arial" w:hAnsi="Arial" w:cs="Arial"/>
          <w:vertAlign w:val="subscript"/>
        </w:rPr>
        <w:t>1</w:t>
      </w:r>
      <w:r w:rsidRPr="000570FF">
        <w:rPr>
          <w:rFonts w:ascii="Arial" w:hAnsi="Arial" w:cs="Arial"/>
        </w:rPr>
        <w:t>), hydration-dehydration (T</w:t>
      </w:r>
      <w:r w:rsidRPr="000570FF">
        <w:rPr>
          <w:rFonts w:ascii="Arial" w:hAnsi="Arial" w:cs="Arial"/>
          <w:vertAlign w:val="subscript"/>
        </w:rPr>
        <w:t>2</w:t>
      </w:r>
      <w:r w:rsidRPr="000570FF">
        <w:rPr>
          <w:rFonts w:ascii="Arial" w:hAnsi="Arial" w:cs="Arial"/>
        </w:rPr>
        <w:t>), neem oil @ 2mL/kg of seeds (T</w:t>
      </w:r>
      <w:r w:rsidRPr="000570FF">
        <w:rPr>
          <w:rFonts w:ascii="Arial" w:hAnsi="Arial" w:cs="Arial"/>
          <w:vertAlign w:val="subscript"/>
        </w:rPr>
        <w:t>3</w:t>
      </w:r>
      <w:r w:rsidRPr="000570FF">
        <w:rPr>
          <w:rFonts w:ascii="Arial" w:hAnsi="Arial" w:cs="Arial"/>
        </w:rPr>
        <w:t>), neem cake @ 5g/kg of seeds (T</w:t>
      </w:r>
      <w:r w:rsidRPr="000570FF">
        <w:rPr>
          <w:rFonts w:ascii="Arial" w:hAnsi="Arial" w:cs="Arial"/>
          <w:vertAlign w:val="subscript"/>
        </w:rPr>
        <w:t>4</w:t>
      </w:r>
      <w:r w:rsidRPr="000570FF">
        <w:rPr>
          <w:rFonts w:ascii="Arial" w:hAnsi="Arial" w:cs="Arial"/>
        </w:rPr>
        <w:t>), hydration-dehydration combined with neem oil @ 2mL/kg of seeds (T</w:t>
      </w:r>
      <w:r w:rsidRPr="000570FF">
        <w:rPr>
          <w:rFonts w:ascii="Arial" w:hAnsi="Arial" w:cs="Arial"/>
          <w:vertAlign w:val="subscript"/>
        </w:rPr>
        <w:t>5</w:t>
      </w:r>
      <w:r w:rsidRPr="000570FF">
        <w:rPr>
          <w:rFonts w:ascii="Arial" w:hAnsi="Arial" w:cs="Arial"/>
        </w:rPr>
        <w:t>), hydration-dehydration combined with neem cake @ 5g/kg of seeds (T</w:t>
      </w:r>
      <w:r w:rsidRPr="000570FF">
        <w:rPr>
          <w:rFonts w:ascii="Arial" w:hAnsi="Arial" w:cs="Arial"/>
          <w:vertAlign w:val="subscript"/>
        </w:rPr>
        <w:t>6</w:t>
      </w:r>
      <w:r w:rsidRPr="000570FF">
        <w:rPr>
          <w:rFonts w:ascii="Arial" w:hAnsi="Arial" w:cs="Arial"/>
        </w:rPr>
        <w:t>), neem oil @ 2mL/kg of seeds combined with neem cake @ 5g/kg of seeds (T</w:t>
      </w:r>
      <w:r w:rsidRPr="000570FF">
        <w:rPr>
          <w:rFonts w:ascii="Arial" w:hAnsi="Arial" w:cs="Arial"/>
          <w:vertAlign w:val="subscript"/>
        </w:rPr>
        <w:t>7</w:t>
      </w:r>
      <w:r w:rsidRPr="000570FF">
        <w:rPr>
          <w:rFonts w:ascii="Arial" w:hAnsi="Arial" w:cs="Arial"/>
        </w:rPr>
        <w:t xml:space="preserve">) were imposed on these seeds. </w:t>
      </w:r>
    </w:p>
    <w:p w14:paraId="3F194FBC" w14:textId="77777777" w:rsidR="00F31111" w:rsidRPr="000570FF" w:rsidRDefault="00F31111" w:rsidP="00F31111">
      <w:pPr>
        <w:jc w:val="both"/>
        <w:rPr>
          <w:rFonts w:ascii="Arial" w:hAnsi="Arial" w:cs="Arial"/>
        </w:rPr>
      </w:pPr>
    </w:p>
    <w:p w14:paraId="2D9FDD04" w14:textId="0E1BAB68" w:rsidR="00F31111" w:rsidRDefault="00F31111" w:rsidP="00F31111">
      <w:pPr>
        <w:rPr>
          <w:rFonts w:ascii="Arial" w:hAnsi="Arial" w:cs="Arial"/>
        </w:rPr>
      </w:pPr>
      <w:r w:rsidRPr="00F31111">
        <w:rPr>
          <w:rFonts w:ascii="Arial" w:hAnsi="Arial" w:cs="Arial"/>
          <w:b/>
          <w:bCs/>
          <w:sz w:val="22"/>
          <w:szCs w:val="22"/>
        </w:rPr>
        <w:t>2.3</w:t>
      </w:r>
      <w:r w:rsidRPr="00F31111">
        <w:rPr>
          <w:rFonts w:ascii="Arial" w:hAnsi="Arial" w:cs="Arial"/>
          <w:sz w:val="22"/>
          <w:szCs w:val="22"/>
        </w:rPr>
        <w:t xml:space="preserve"> </w:t>
      </w:r>
      <w:r w:rsidRPr="00F31111">
        <w:rPr>
          <w:rFonts w:ascii="Arial" w:hAnsi="Arial" w:cs="Arial"/>
          <w:b/>
          <w:bCs/>
          <w:sz w:val="22"/>
          <w:szCs w:val="22"/>
        </w:rPr>
        <w:t>Environment Variables</w:t>
      </w:r>
      <w:r w:rsidRPr="000570FF">
        <w:rPr>
          <w:rFonts w:ascii="Arial" w:hAnsi="Arial" w:cs="Arial"/>
        </w:rPr>
        <w:t xml:space="preserve"> </w:t>
      </w:r>
    </w:p>
    <w:p w14:paraId="51833968" w14:textId="77777777" w:rsidR="00F31111" w:rsidRDefault="00F31111" w:rsidP="00F31111">
      <w:pPr>
        <w:jc w:val="both"/>
        <w:rPr>
          <w:rFonts w:ascii="Arial" w:hAnsi="Arial" w:cs="Arial"/>
        </w:rPr>
      </w:pPr>
    </w:p>
    <w:p w14:paraId="63530B45" w14:textId="45D53840" w:rsidR="00A367D5" w:rsidRPr="00A367D5" w:rsidRDefault="00A367D5" w:rsidP="00F31111">
      <w:pPr>
        <w:jc w:val="both"/>
        <w:rPr>
          <w:rFonts w:ascii="Arial" w:hAnsi="Arial" w:cs="Arial"/>
          <w:b/>
          <w:bCs/>
        </w:rPr>
      </w:pPr>
      <w:r w:rsidRPr="00A367D5">
        <w:rPr>
          <w:rFonts w:ascii="Arial" w:hAnsi="Arial" w:cs="Arial"/>
          <w:b/>
          <w:bCs/>
        </w:rPr>
        <w:t>2.3.1 Location and Geography</w:t>
      </w:r>
    </w:p>
    <w:p w14:paraId="4D3A0EFA" w14:textId="77777777" w:rsidR="00A367D5" w:rsidRPr="000570FF" w:rsidRDefault="00A367D5" w:rsidP="00F31111">
      <w:pPr>
        <w:jc w:val="both"/>
        <w:rPr>
          <w:rFonts w:ascii="Arial" w:hAnsi="Arial" w:cs="Arial"/>
        </w:rPr>
      </w:pPr>
    </w:p>
    <w:p w14:paraId="55F21057" w14:textId="77777777" w:rsidR="00A367D5" w:rsidRDefault="00F31111" w:rsidP="00F31111">
      <w:pPr>
        <w:jc w:val="both"/>
        <w:rPr>
          <w:rFonts w:ascii="Arial" w:hAnsi="Arial" w:cs="Arial"/>
        </w:rPr>
      </w:pPr>
      <w:r>
        <w:rPr>
          <w:rFonts w:ascii="Arial" w:hAnsi="Arial" w:cs="Arial"/>
        </w:rPr>
        <w:tab/>
      </w:r>
      <w:r w:rsidRPr="000570FF">
        <w:rPr>
          <w:rFonts w:ascii="Arial" w:hAnsi="Arial" w:cs="Arial"/>
        </w:rPr>
        <w:t>The research was conducted in Department of Seed Science and Technology, College of Agriculture, Kerala Agricultural University (KAU), Vellanikkara, Thrissur</w:t>
      </w:r>
      <w:r w:rsidR="00A367D5">
        <w:rPr>
          <w:rFonts w:ascii="Arial" w:hAnsi="Arial" w:cs="Arial"/>
        </w:rPr>
        <w:t>. The site is</w:t>
      </w:r>
      <w:r w:rsidRPr="000570FF">
        <w:rPr>
          <w:rFonts w:ascii="Arial" w:hAnsi="Arial" w:cs="Arial"/>
        </w:rPr>
        <w:t xml:space="preserve"> located at 22.25 m above mean sea level, and its co-ordinates lie between 10.5452° N and 76.2740° E.  </w:t>
      </w:r>
    </w:p>
    <w:p w14:paraId="6B2478F2" w14:textId="77777777" w:rsidR="00A367D5" w:rsidRDefault="00A367D5" w:rsidP="00F31111">
      <w:pPr>
        <w:jc w:val="both"/>
        <w:rPr>
          <w:rFonts w:ascii="Arial" w:hAnsi="Arial" w:cs="Arial"/>
        </w:rPr>
      </w:pPr>
    </w:p>
    <w:p w14:paraId="0F36232B" w14:textId="28A51C44" w:rsidR="00A367D5" w:rsidRPr="00511E1B" w:rsidRDefault="00A367D5" w:rsidP="00F31111">
      <w:pPr>
        <w:jc w:val="both"/>
        <w:rPr>
          <w:rFonts w:ascii="Arial" w:hAnsi="Arial" w:cs="Arial"/>
          <w:b/>
          <w:bCs/>
        </w:rPr>
      </w:pPr>
      <w:r w:rsidRPr="00511E1B">
        <w:rPr>
          <w:rFonts w:ascii="Arial" w:hAnsi="Arial" w:cs="Arial"/>
          <w:b/>
          <w:bCs/>
        </w:rPr>
        <w:t>2.3.2 Climate</w:t>
      </w:r>
      <w:r w:rsidR="00511E1B">
        <w:rPr>
          <w:rFonts w:ascii="Arial" w:hAnsi="Arial" w:cs="Arial"/>
          <w:b/>
          <w:bCs/>
        </w:rPr>
        <w:t xml:space="preserve"> of the location</w:t>
      </w:r>
    </w:p>
    <w:p w14:paraId="605A7BDE" w14:textId="77777777" w:rsidR="00A367D5" w:rsidRDefault="00A367D5" w:rsidP="00F31111">
      <w:pPr>
        <w:jc w:val="both"/>
        <w:rPr>
          <w:rFonts w:ascii="Arial" w:hAnsi="Arial" w:cs="Arial"/>
        </w:rPr>
      </w:pPr>
    </w:p>
    <w:p w14:paraId="68EEB5EC" w14:textId="6AAB0442" w:rsidR="00F31111" w:rsidRDefault="00511E1B" w:rsidP="00F31111">
      <w:pPr>
        <w:jc w:val="both"/>
        <w:rPr>
          <w:rFonts w:ascii="Arial" w:hAnsi="Arial" w:cs="Arial"/>
        </w:rPr>
      </w:pPr>
      <w:r>
        <w:rPr>
          <w:rFonts w:ascii="Arial" w:hAnsi="Arial" w:cs="Arial"/>
        </w:rPr>
        <w:t xml:space="preserve">The region experiences a </w:t>
      </w:r>
      <w:r w:rsidR="00F31111" w:rsidRPr="000570FF">
        <w:rPr>
          <w:rFonts w:ascii="Arial" w:hAnsi="Arial" w:cs="Arial"/>
        </w:rPr>
        <w:t xml:space="preserve">hot and humid climate </w:t>
      </w:r>
      <w:r>
        <w:rPr>
          <w:rFonts w:ascii="Arial" w:hAnsi="Arial" w:cs="Arial"/>
        </w:rPr>
        <w:t xml:space="preserve">characterized by high temperatures, abundant rainfall during the monsoon season and elevated throughout the year. </w:t>
      </w:r>
    </w:p>
    <w:p w14:paraId="51A76C5D" w14:textId="77777777" w:rsidR="00F31111" w:rsidRPr="000570FF" w:rsidRDefault="00F31111" w:rsidP="00F31111">
      <w:pPr>
        <w:jc w:val="both"/>
        <w:rPr>
          <w:rFonts w:ascii="Arial" w:hAnsi="Arial" w:cs="Arial"/>
        </w:rPr>
      </w:pPr>
    </w:p>
    <w:p w14:paraId="17A20697" w14:textId="77777777" w:rsidR="00F31111" w:rsidRDefault="00F31111" w:rsidP="00F31111">
      <w:pPr>
        <w:rPr>
          <w:rFonts w:ascii="Arial" w:hAnsi="Arial" w:cs="Arial"/>
          <w:b/>
          <w:bCs/>
          <w:sz w:val="22"/>
          <w:szCs w:val="22"/>
        </w:rPr>
      </w:pPr>
      <w:r w:rsidRPr="00F31111">
        <w:rPr>
          <w:rFonts w:ascii="Arial" w:hAnsi="Arial" w:cs="Arial"/>
          <w:b/>
          <w:bCs/>
          <w:sz w:val="22"/>
          <w:szCs w:val="22"/>
        </w:rPr>
        <w:t>2.4 Seed Quality Analysis</w:t>
      </w:r>
    </w:p>
    <w:p w14:paraId="7F9740E2" w14:textId="77777777" w:rsidR="00F31111" w:rsidRDefault="00F31111" w:rsidP="00F31111">
      <w:pPr>
        <w:jc w:val="both"/>
        <w:rPr>
          <w:rFonts w:ascii="Arial" w:hAnsi="Arial" w:cs="Arial"/>
          <w:b/>
          <w:bCs/>
          <w:sz w:val="22"/>
          <w:szCs w:val="22"/>
        </w:rPr>
      </w:pPr>
    </w:p>
    <w:p w14:paraId="4FDD9A0E" w14:textId="78BADF74" w:rsidR="00F31111" w:rsidRDefault="00F31111" w:rsidP="00F31111">
      <w:pPr>
        <w:jc w:val="both"/>
        <w:rPr>
          <w:rFonts w:ascii="Arial" w:hAnsi="Arial" w:cs="Arial"/>
        </w:rPr>
      </w:pPr>
      <w:r>
        <w:rPr>
          <w:rFonts w:ascii="Arial" w:hAnsi="Arial" w:cs="Arial"/>
        </w:rPr>
        <w:tab/>
      </w:r>
      <w:r w:rsidRPr="000570FF">
        <w:rPr>
          <w:rFonts w:ascii="Arial" w:hAnsi="Arial" w:cs="Arial"/>
        </w:rPr>
        <w:t xml:space="preserve">To evaluate seed quality during seed storage, </w:t>
      </w:r>
      <w:r w:rsidR="00902E54">
        <w:rPr>
          <w:rFonts w:ascii="Arial" w:hAnsi="Arial" w:cs="Arial"/>
        </w:rPr>
        <w:t>Mid-storage</w:t>
      </w:r>
      <w:r w:rsidRPr="000570FF">
        <w:rPr>
          <w:rFonts w:ascii="Arial" w:hAnsi="Arial" w:cs="Arial"/>
        </w:rPr>
        <w:t xml:space="preserve"> treatments were applied to seeds of the variety Jyothi. Important metrics such as germination percentage, seed moisture content, seedling vigour Indices I &amp; II, mean germination time, and electrical conductivity were calculated.</w:t>
      </w:r>
    </w:p>
    <w:p w14:paraId="31BA53DA" w14:textId="77777777" w:rsidR="00F31111" w:rsidRPr="000570FF" w:rsidRDefault="00F31111" w:rsidP="00F31111">
      <w:pPr>
        <w:jc w:val="both"/>
        <w:rPr>
          <w:rFonts w:ascii="Arial" w:hAnsi="Arial" w:cs="Arial"/>
        </w:rPr>
      </w:pPr>
    </w:p>
    <w:p w14:paraId="036BDFD5" w14:textId="77777777" w:rsidR="00F31111" w:rsidRDefault="00F31111" w:rsidP="00F31111">
      <w:pPr>
        <w:jc w:val="both"/>
        <w:rPr>
          <w:rFonts w:ascii="Arial" w:hAnsi="Arial" w:cs="Arial"/>
          <w:b/>
          <w:bCs/>
          <w:u w:val="single"/>
        </w:rPr>
      </w:pPr>
      <w:r w:rsidRPr="000570FF">
        <w:rPr>
          <w:rFonts w:ascii="Arial" w:hAnsi="Arial" w:cs="Arial"/>
          <w:b/>
          <w:bCs/>
          <w:u w:val="single"/>
        </w:rPr>
        <w:t>2.4.1 Moisture Content</w:t>
      </w:r>
    </w:p>
    <w:p w14:paraId="14C5AB16" w14:textId="77777777" w:rsidR="00F31111" w:rsidRPr="000570FF" w:rsidRDefault="00F31111" w:rsidP="00F31111">
      <w:pPr>
        <w:jc w:val="both"/>
        <w:rPr>
          <w:rFonts w:ascii="Arial" w:hAnsi="Arial" w:cs="Arial"/>
          <w:b/>
          <w:bCs/>
          <w:u w:val="single"/>
        </w:rPr>
      </w:pPr>
    </w:p>
    <w:p w14:paraId="5C76B290" w14:textId="2C12857A" w:rsidR="00F31111" w:rsidRPr="000570FF" w:rsidRDefault="00F31111" w:rsidP="00F31111">
      <w:pPr>
        <w:jc w:val="both"/>
        <w:rPr>
          <w:rFonts w:ascii="Arial" w:hAnsi="Arial" w:cs="Arial"/>
        </w:rPr>
      </w:pPr>
      <w:r>
        <w:rPr>
          <w:rFonts w:ascii="Arial" w:hAnsi="Arial" w:cs="Arial"/>
        </w:rPr>
        <w:tab/>
      </w:r>
      <w:r w:rsidRPr="000570FF">
        <w:rPr>
          <w:rFonts w:ascii="Arial" w:hAnsi="Arial" w:cs="Arial"/>
        </w:rPr>
        <w:t>Seed moisture content was determined using the low constant temperature method outlined by ISTA (1985). Seed samples (5 g each) were taken from each replicate and uniformly placed in glass containers. The weight of each container, including its lid, was recorded before and after adding the seeds. The samples were then dried in a hot air oven at 103 ± 2 °C for at least 17 hours. After drying, the containers were cooled in a desiccator for 30–45 minutes. Once cooled, the weight of the container with its lid and seeds was measured again. The moisture content (%) was calculated using the formula:</w:t>
      </w:r>
    </w:p>
    <w:p w14:paraId="50AD2364" w14:textId="77777777" w:rsidR="00F31111" w:rsidRPr="000570FF" w:rsidRDefault="00F31111" w:rsidP="00F31111">
      <w:pPr>
        <w:jc w:val="both"/>
        <w:rPr>
          <w:rFonts w:ascii="Arial" w:eastAsiaTheme="minorEastAsia" w:hAnsi="Arial" w:cs="Arial"/>
        </w:rPr>
      </w:pPr>
    </w:p>
    <w:p w14:paraId="16436496" w14:textId="77777777" w:rsidR="00B85175" w:rsidRDefault="00B85175" w:rsidP="00F31111">
      <w:pPr>
        <w:jc w:val="both"/>
        <w:rPr>
          <w:rFonts w:ascii="Arial" w:eastAsiaTheme="minorEastAsia" w:hAnsi="Arial" w:cs="Arial"/>
        </w:rPr>
      </w:pPr>
    </w:p>
    <w:p w14:paraId="1D338E72" w14:textId="57CE0930" w:rsidR="00F31111" w:rsidRPr="000570FF" w:rsidRDefault="00F31111" w:rsidP="00F31111">
      <w:pPr>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m:t>
          </m:r>
          <m:f>
            <m:fPr>
              <m:ctrlPr>
                <w:rPr>
                  <w:rFonts w:ascii="Cambria Math" w:hAnsi="Cambria Math" w:cs="Arial"/>
                  <w:i/>
                </w:rPr>
              </m:ctrlPr>
            </m:fPr>
            <m:num>
              <m:r>
                <w:rPr>
                  <w:rFonts w:ascii="Cambria Math" w:hAnsi="Cambria Math" w:cs="Arial"/>
                </w:rPr>
                <m:t>M2-M3</m:t>
              </m:r>
            </m:num>
            <m:den>
              <m:r>
                <w:rPr>
                  <w:rFonts w:ascii="Cambria Math" w:hAnsi="Cambria Math" w:cs="Arial"/>
                </w:rPr>
                <m:t>M2-M1</m:t>
              </m:r>
            </m:den>
          </m:f>
          <m:r>
            <w:rPr>
              <w:rFonts w:ascii="Cambria Math" w:hAnsi="Cambria Math" w:cs="Arial"/>
            </w:rPr>
            <m:t xml:space="preserve">    x    100</m:t>
          </m:r>
        </m:oMath>
      </m:oMathPara>
    </w:p>
    <w:p w14:paraId="153CC7EA" w14:textId="77777777" w:rsidR="00B85175" w:rsidRDefault="00B85175" w:rsidP="00F31111">
      <w:pPr>
        <w:jc w:val="both"/>
        <w:rPr>
          <w:rFonts w:ascii="Arial" w:hAnsi="Arial" w:cs="Arial"/>
        </w:rPr>
      </w:pPr>
    </w:p>
    <w:p w14:paraId="5DEC5A18" w14:textId="534EE890" w:rsidR="00F31111" w:rsidRPr="000570FF" w:rsidRDefault="00F31111" w:rsidP="00F31111">
      <w:pPr>
        <w:jc w:val="both"/>
        <w:rPr>
          <w:rFonts w:ascii="Arial" w:hAnsi="Arial" w:cs="Arial"/>
        </w:rPr>
      </w:pPr>
      <w:r w:rsidRPr="000570FF">
        <w:rPr>
          <w:rFonts w:ascii="Arial" w:hAnsi="Arial" w:cs="Arial"/>
        </w:rPr>
        <w:t>Where:</w:t>
      </w:r>
    </w:p>
    <w:p w14:paraId="4F492AC7"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M1 = Weight of the container with lid</w:t>
      </w:r>
    </w:p>
    <w:p w14:paraId="44FAE8E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M2 = Weight of the container with lid and seeds before drying</w:t>
      </w:r>
    </w:p>
    <w:p w14:paraId="68C52913" w14:textId="77777777" w:rsidR="00F31111" w:rsidRPr="000570FF" w:rsidRDefault="00F31111" w:rsidP="00F31111">
      <w:pPr>
        <w:numPr>
          <w:ilvl w:val="0"/>
          <w:numId w:val="31"/>
        </w:numPr>
        <w:spacing w:after="160"/>
        <w:jc w:val="both"/>
        <w:rPr>
          <w:rFonts w:ascii="Arial" w:hAnsi="Arial" w:cs="Arial"/>
        </w:rPr>
      </w:pPr>
      <w:r w:rsidRPr="000570FF">
        <w:rPr>
          <w:rFonts w:ascii="Arial" w:hAnsi="Arial" w:cs="Arial"/>
        </w:rPr>
        <w:t>M3 = Weight of the container with lid and seeds after drying</w:t>
      </w:r>
    </w:p>
    <w:p w14:paraId="29990F35" w14:textId="77777777" w:rsidR="00B85175" w:rsidRDefault="00B85175" w:rsidP="00F31111">
      <w:pPr>
        <w:jc w:val="both"/>
        <w:rPr>
          <w:rFonts w:ascii="Arial" w:hAnsi="Arial" w:cs="Arial"/>
          <w:b/>
          <w:bCs/>
          <w:u w:val="single"/>
        </w:rPr>
      </w:pPr>
    </w:p>
    <w:p w14:paraId="6EC5AB38" w14:textId="569B9467" w:rsidR="00F31111" w:rsidRDefault="00F31111" w:rsidP="00F31111">
      <w:pPr>
        <w:jc w:val="both"/>
        <w:rPr>
          <w:rFonts w:ascii="Arial" w:hAnsi="Arial" w:cs="Arial"/>
          <w:b/>
          <w:bCs/>
          <w:u w:val="single"/>
        </w:rPr>
      </w:pPr>
      <w:r w:rsidRPr="000570FF">
        <w:rPr>
          <w:rFonts w:ascii="Arial" w:hAnsi="Arial" w:cs="Arial"/>
          <w:b/>
          <w:bCs/>
          <w:u w:val="single"/>
        </w:rPr>
        <w:t>2.4.2 Germination percentage</w:t>
      </w:r>
    </w:p>
    <w:p w14:paraId="048E832E" w14:textId="77777777" w:rsidR="00F31111" w:rsidRPr="000570FF" w:rsidRDefault="00F31111" w:rsidP="00F31111">
      <w:pPr>
        <w:jc w:val="both"/>
        <w:rPr>
          <w:rFonts w:ascii="Arial" w:hAnsi="Arial" w:cs="Arial"/>
          <w:b/>
          <w:bCs/>
          <w:u w:val="single"/>
        </w:rPr>
      </w:pPr>
    </w:p>
    <w:p w14:paraId="30468412" w14:textId="320D4ED6" w:rsidR="00F31111" w:rsidRPr="000570FF" w:rsidRDefault="00F31111" w:rsidP="00F31111">
      <w:pPr>
        <w:jc w:val="both"/>
        <w:rPr>
          <w:rFonts w:ascii="Arial" w:hAnsi="Arial" w:cs="Arial"/>
        </w:rPr>
      </w:pPr>
      <w:r>
        <w:rPr>
          <w:rFonts w:ascii="Arial" w:hAnsi="Arial" w:cs="Arial"/>
        </w:rPr>
        <w:tab/>
      </w:r>
      <w:r w:rsidRPr="000570FF">
        <w:rPr>
          <w:rFonts w:ascii="Arial" w:hAnsi="Arial" w:cs="Arial"/>
        </w:rPr>
        <w:t>Germination test was conducted according to the standard protocol by ISTA (19</w:t>
      </w:r>
      <w:r>
        <w:rPr>
          <w:rFonts w:ascii="Arial" w:hAnsi="Arial" w:cs="Arial"/>
        </w:rPr>
        <w:t>8</w:t>
      </w:r>
      <w:r w:rsidRPr="000570FF">
        <w:rPr>
          <w:rFonts w:ascii="Arial" w:hAnsi="Arial" w:cs="Arial"/>
        </w:rPr>
        <w:t>5). Four replicates of 100 seeds were placed in petri-dishes containing moistened filter papers and kept in a germinator at a temperature of 25</w:t>
      </w:r>
      <w:r w:rsidRPr="000570FF">
        <w:rPr>
          <w:rFonts w:ascii="Arial" w:hAnsi="Arial" w:cs="Arial"/>
          <w:vertAlign w:val="superscript"/>
        </w:rPr>
        <w:t xml:space="preserve"> </w:t>
      </w:r>
      <w:r w:rsidRPr="000570FF">
        <w:rPr>
          <w:rFonts w:ascii="Arial" w:hAnsi="Arial" w:cs="Arial"/>
        </w:rPr>
        <w:t>°C for two weeks. Observations were recorded daily, and the final count was taken on the 14</w:t>
      </w:r>
      <w:r w:rsidRPr="000570FF">
        <w:rPr>
          <w:rFonts w:ascii="Arial" w:hAnsi="Arial" w:cs="Arial"/>
          <w:vertAlign w:val="superscript"/>
        </w:rPr>
        <w:t>th</w:t>
      </w:r>
      <w:r w:rsidRPr="000570FF">
        <w:rPr>
          <w:rFonts w:ascii="Arial" w:hAnsi="Arial" w:cs="Arial"/>
        </w:rPr>
        <w:t xml:space="preserve"> day. Germination rate (%) was calculated based on the radicle emergence of at least 2 mm.</w:t>
      </w:r>
    </w:p>
    <w:p w14:paraId="50366F0B" w14:textId="77777777" w:rsidR="00B85175" w:rsidRDefault="00B85175" w:rsidP="00F31111">
      <w:pPr>
        <w:jc w:val="both"/>
        <w:rPr>
          <w:rFonts w:ascii="Arial" w:hAnsi="Arial" w:cs="Arial"/>
        </w:rPr>
      </w:pPr>
    </w:p>
    <w:p w14:paraId="1C4582C7" w14:textId="13AC333D" w:rsidR="00F31111" w:rsidRPr="000570FF" w:rsidRDefault="00F31111" w:rsidP="00F31111">
      <w:pPr>
        <w:jc w:val="both"/>
        <w:rPr>
          <w:rFonts w:ascii="Arial" w:eastAsiaTheme="minorEastAsia" w:hAnsi="Arial" w:cs="Arial"/>
        </w:rPr>
      </w:pPr>
      <m:oMathPara>
        <m:oMath>
          <m:r>
            <w:rPr>
              <w:rFonts w:ascii="Cambria Math" w:hAnsi="Cambria Math" w:cs="Arial"/>
            </w:rPr>
            <m:t xml:space="preserve"> Germination %= </m:t>
          </m:r>
          <m:f>
            <m:fPr>
              <m:ctrlPr>
                <w:rPr>
                  <w:rFonts w:ascii="Cambria Math" w:hAnsi="Cambria Math" w:cs="Arial"/>
                  <w:i/>
                </w:rPr>
              </m:ctrlPr>
            </m:fPr>
            <m:num>
              <m:r>
                <w:rPr>
                  <w:rFonts w:ascii="Cambria Math" w:hAnsi="Cambria Math" w:cs="Arial"/>
                </w:rPr>
                <m:t xml:space="preserve">Number of germinated seeds </m:t>
              </m:r>
            </m:num>
            <m:den>
              <m:r>
                <w:rPr>
                  <w:rFonts w:ascii="Cambria Math" w:hAnsi="Cambria Math" w:cs="Arial"/>
                </w:rPr>
                <m:t>Total number of seeds</m:t>
              </m:r>
            </m:den>
          </m:f>
          <m:r>
            <w:rPr>
              <w:rFonts w:ascii="Cambria Math" w:hAnsi="Cambria Math" w:cs="Arial"/>
            </w:rPr>
            <m:t xml:space="preserve">   x  100</m:t>
          </m:r>
        </m:oMath>
      </m:oMathPara>
    </w:p>
    <w:p w14:paraId="6A54E9D6" w14:textId="77777777" w:rsidR="00B85175" w:rsidRDefault="00B85175" w:rsidP="00F31111">
      <w:pPr>
        <w:jc w:val="both"/>
        <w:rPr>
          <w:rFonts w:ascii="Arial" w:eastAsiaTheme="minorEastAsia" w:hAnsi="Arial" w:cs="Arial"/>
          <w:b/>
          <w:bCs/>
          <w:u w:val="single"/>
        </w:rPr>
      </w:pPr>
    </w:p>
    <w:p w14:paraId="5F2E70DA" w14:textId="77777777" w:rsidR="00B85175" w:rsidRDefault="00B85175" w:rsidP="00F31111">
      <w:pPr>
        <w:jc w:val="both"/>
        <w:rPr>
          <w:rFonts w:ascii="Arial" w:eastAsiaTheme="minorEastAsia" w:hAnsi="Arial" w:cs="Arial"/>
          <w:b/>
          <w:bCs/>
          <w:u w:val="single"/>
        </w:rPr>
      </w:pPr>
    </w:p>
    <w:p w14:paraId="31B6D6C6" w14:textId="6FE92B49" w:rsidR="00F31111" w:rsidRDefault="00F31111" w:rsidP="00F31111">
      <w:pPr>
        <w:jc w:val="both"/>
        <w:rPr>
          <w:rFonts w:ascii="Arial" w:eastAsiaTheme="minorEastAsia" w:hAnsi="Arial" w:cs="Arial"/>
          <w:b/>
          <w:bCs/>
          <w:u w:val="single"/>
        </w:rPr>
      </w:pPr>
      <w:r w:rsidRPr="000570FF">
        <w:rPr>
          <w:rFonts w:ascii="Arial" w:eastAsiaTheme="minorEastAsia" w:hAnsi="Arial" w:cs="Arial"/>
          <w:b/>
          <w:bCs/>
          <w:u w:val="single"/>
        </w:rPr>
        <w:t>2.4.3 Mean germination time (Days)</w:t>
      </w:r>
    </w:p>
    <w:p w14:paraId="37D032E0" w14:textId="77777777" w:rsidR="00F31111" w:rsidRPr="000570FF" w:rsidRDefault="00F31111" w:rsidP="00F31111">
      <w:pPr>
        <w:jc w:val="both"/>
        <w:rPr>
          <w:rFonts w:ascii="Arial" w:eastAsiaTheme="minorEastAsia" w:hAnsi="Arial" w:cs="Arial"/>
          <w:b/>
          <w:bCs/>
          <w:u w:val="single"/>
        </w:rPr>
      </w:pPr>
    </w:p>
    <w:p w14:paraId="4E5A3289" w14:textId="2C77B241" w:rsidR="00F31111" w:rsidRPr="000570FF" w:rsidRDefault="00F31111" w:rsidP="00F31111">
      <w:pPr>
        <w:jc w:val="both"/>
        <w:rPr>
          <w:rFonts w:ascii="Arial" w:eastAsiaTheme="minorEastAsia" w:hAnsi="Arial" w:cs="Arial"/>
        </w:rPr>
      </w:pPr>
      <w:r>
        <w:rPr>
          <w:rFonts w:ascii="Arial" w:eastAsiaTheme="minorEastAsia" w:hAnsi="Arial" w:cs="Arial"/>
        </w:rPr>
        <w:tab/>
      </w:r>
      <w:r w:rsidRPr="000570FF">
        <w:rPr>
          <w:rFonts w:ascii="Arial" w:eastAsiaTheme="minorEastAsia" w:hAnsi="Arial" w:cs="Arial"/>
        </w:rPr>
        <w:t>Mean germination time (MGT)</w:t>
      </w:r>
      <w:r w:rsidRPr="000570FF">
        <w:rPr>
          <w:rFonts w:ascii="Arial" w:eastAsiaTheme="minorEastAsia" w:hAnsi="Arial" w:cs="Arial"/>
          <w:b/>
          <w:bCs/>
        </w:rPr>
        <w:t xml:space="preserve"> </w:t>
      </w:r>
      <w:r w:rsidRPr="000570FF">
        <w:rPr>
          <w:rFonts w:ascii="Arial" w:eastAsiaTheme="minorEastAsia" w:hAnsi="Arial" w:cs="Arial"/>
        </w:rPr>
        <w:t>was determined following the equation described by Ellis and Roberts (1981)</w:t>
      </w:r>
    </w:p>
    <w:p w14:paraId="75518BFB" w14:textId="24243E62" w:rsidR="00F31111" w:rsidRPr="000570FF" w:rsidRDefault="00F31111" w:rsidP="00F31111">
      <w:pPr>
        <w:jc w:val="both"/>
        <w:rPr>
          <w:rFonts w:ascii="Arial" w:eastAsiaTheme="minorEastAsia" w:hAnsi="Arial" w:cs="Arial"/>
        </w:rPr>
      </w:pPr>
      <m:oMathPara>
        <m:oMath>
          <m:r>
            <w:rPr>
              <w:rFonts w:ascii="Cambria Math" w:eastAsiaTheme="minorEastAsia" w:hAnsi="Cambria Math" w:cs="Arial"/>
            </w:rPr>
            <m:t xml:space="preserve">Mean germination time </m:t>
          </m:r>
          <m:d>
            <m:dPr>
              <m:ctrlPr>
                <w:rPr>
                  <w:rFonts w:ascii="Cambria Math" w:eastAsiaTheme="minorEastAsia" w:hAnsi="Cambria Math" w:cs="Arial"/>
                  <w:i/>
                </w:rPr>
              </m:ctrlPr>
            </m:dPr>
            <m:e>
              <m:r>
                <w:rPr>
                  <w:rFonts w:ascii="Cambria Math" w:eastAsiaTheme="minorEastAsia" w:hAnsi="Cambria Math" w:cs="Arial"/>
                </w:rPr>
                <m:t>MGT</m:t>
              </m:r>
            </m:e>
          </m:d>
          <m:r>
            <w:rPr>
              <w:rFonts w:ascii="Cambria Math" w:eastAsiaTheme="minorEastAsia" w:hAnsi="Cambria Math" w:cs="Arial"/>
            </w:rPr>
            <m:t xml:space="preserve">  =  </m:t>
          </m:r>
          <m:f>
            <m:fPr>
              <m:ctrlPr>
                <w:rPr>
                  <w:rFonts w:ascii="Cambria Math" w:eastAsiaTheme="minorEastAsia" w:hAnsi="Cambria Math" w:cs="Arial"/>
                  <w:i/>
                </w:rPr>
              </m:ctrlPr>
            </m:fPr>
            <m:num>
              <m:r>
                <w:rPr>
                  <w:rFonts w:ascii="Cambria Math" w:eastAsiaTheme="minorEastAsia" w:hAnsi="Cambria Math" w:cs="Arial"/>
                </w:rPr>
                <m:t>∑Dn</m:t>
              </m:r>
            </m:num>
            <m:den>
              <m:r>
                <w:rPr>
                  <w:rFonts w:ascii="Cambria Math" w:eastAsiaTheme="minorEastAsia" w:hAnsi="Cambria Math" w:cs="Arial"/>
                </w:rPr>
                <m:t>∑n</m:t>
              </m:r>
            </m:den>
          </m:f>
        </m:oMath>
      </m:oMathPara>
    </w:p>
    <w:p w14:paraId="06226C4B" w14:textId="77777777" w:rsidR="00B85175" w:rsidRDefault="00F31111" w:rsidP="00F31111">
      <w:pPr>
        <w:jc w:val="both"/>
        <w:rPr>
          <w:rFonts w:ascii="Arial" w:eastAsiaTheme="minorEastAsia" w:hAnsi="Arial" w:cs="Arial"/>
        </w:rPr>
      </w:pPr>
      <w:r w:rsidRPr="000570FF">
        <w:rPr>
          <w:rFonts w:ascii="Arial" w:eastAsiaTheme="minorEastAsia" w:hAnsi="Arial" w:cs="Arial"/>
        </w:rPr>
        <w:tab/>
      </w:r>
    </w:p>
    <w:p w14:paraId="547410B2" w14:textId="6B53BA64" w:rsidR="00F31111" w:rsidRDefault="00F31111" w:rsidP="00F31111">
      <w:pPr>
        <w:jc w:val="both"/>
        <w:rPr>
          <w:rFonts w:ascii="Arial" w:eastAsiaTheme="minorEastAsia" w:hAnsi="Arial" w:cs="Arial"/>
        </w:rPr>
      </w:pPr>
      <w:r w:rsidRPr="000570FF">
        <w:rPr>
          <w:rFonts w:ascii="Arial" w:eastAsiaTheme="minorEastAsia" w:hAnsi="Arial" w:cs="Arial"/>
        </w:rPr>
        <w:t xml:space="preserve">Where </w:t>
      </w:r>
      <m:oMath>
        <m:r>
          <w:rPr>
            <w:rFonts w:ascii="Cambria Math" w:eastAsiaTheme="minorEastAsia" w:hAnsi="Cambria Math" w:cs="Arial"/>
          </w:rPr>
          <m:t>n</m:t>
        </m:r>
      </m:oMath>
      <w:r w:rsidRPr="000570FF">
        <w:rPr>
          <w:rFonts w:ascii="Arial" w:eastAsiaTheme="minorEastAsia" w:hAnsi="Arial" w:cs="Arial"/>
        </w:rPr>
        <w:t xml:space="preserve"> represents the number of seeds germinated on the day </w:t>
      </w:r>
      <m:oMath>
        <m:r>
          <w:rPr>
            <w:rFonts w:ascii="Cambria Math" w:eastAsiaTheme="minorEastAsia" w:hAnsi="Cambria Math" w:cs="Arial"/>
          </w:rPr>
          <m:t>D</m:t>
        </m:r>
      </m:oMath>
      <w:r w:rsidRPr="000570FF">
        <w:rPr>
          <w:rFonts w:ascii="Arial" w:eastAsiaTheme="minorEastAsia" w:hAnsi="Arial" w:cs="Arial"/>
        </w:rPr>
        <w:t xml:space="preserve">, and </w:t>
      </w:r>
      <m:oMath>
        <m:r>
          <w:rPr>
            <w:rFonts w:ascii="Cambria Math" w:eastAsiaTheme="minorEastAsia" w:hAnsi="Cambria Math" w:cs="Arial"/>
          </w:rPr>
          <m:t>D</m:t>
        </m:r>
      </m:oMath>
      <w:r w:rsidRPr="000570FF">
        <w:rPr>
          <w:rFonts w:ascii="Arial" w:eastAsiaTheme="minorEastAsia" w:hAnsi="Arial" w:cs="Arial"/>
        </w:rPr>
        <w:t xml:space="preserve"> denotes the number of days elapsed from the start of germination.</w:t>
      </w:r>
    </w:p>
    <w:p w14:paraId="1A68943B" w14:textId="77777777" w:rsidR="00F31111" w:rsidRPr="000570FF" w:rsidRDefault="00F31111" w:rsidP="00F31111">
      <w:pPr>
        <w:jc w:val="both"/>
        <w:rPr>
          <w:rFonts w:ascii="Arial" w:eastAsiaTheme="minorEastAsia" w:hAnsi="Arial" w:cs="Arial"/>
        </w:rPr>
      </w:pPr>
    </w:p>
    <w:p w14:paraId="03B167E4" w14:textId="77777777" w:rsidR="00F31111" w:rsidRDefault="00F31111" w:rsidP="00F31111">
      <w:pPr>
        <w:rPr>
          <w:rFonts w:ascii="Arial" w:hAnsi="Arial" w:cs="Arial"/>
          <w:b/>
          <w:bCs/>
          <w:u w:val="single"/>
        </w:rPr>
      </w:pPr>
      <w:r w:rsidRPr="000570FF">
        <w:rPr>
          <w:rFonts w:ascii="Arial" w:hAnsi="Arial" w:cs="Arial"/>
          <w:b/>
          <w:bCs/>
          <w:u w:val="single"/>
        </w:rPr>
        <w:t>2.4.4 Seedling vigour Indices</w:t>
      </w:r>
    </w:p>
    <w:p w14:paraId="4C579E54" w14:textId="77777777" w:rsidR="00F31111" w:rsidRPr="000570FF" w:rsidRDefault="00F31111" w:rsidP="00F31111">
      <w:pPr>
        <w:rPr>
          <w:rFonts w:ascii="Arial" w:hAnsi="Arial" w:cs="Arial"/>
          <w:b/>
          <w:bCs/>
          <w:u w:val="single"/>
        </w:rPr>
      </w:pPr>
    </w:p>
    <w:p w14:paraId="47EB4688" w14:textId="30163747" w:rsidR="00F31111" w:rsidRPr="000570FF" w:rsidRDefault="00F31111" w:rsidP="00F31111">
      <w:pPr>
        <w:rPr>
          <w:rFonts w:ascii="Arial" w:hAnsi="Arial" w:cs="Arial"/>
        </w:rPr>
      </w:pPr>
      <w:r>
        <w:rPr>
          <w:rFonts w:ascii="Arial" w:hAnsi="Arial" w:cs="Arial"/>
        </w:rPr>
        <w:tab/>
      </w:r>
      <w:r w:rsidRPr="000570FF">
        <w:rPr>
          <w:rFonts w:ascii="Arial" w:hAnsi="Arial" w:cs="Arial"/>
        </w:rPr>
        <w:t xml:space="preserve">Seedling vigour indices (I and II) were calculated based on the germination percentage from the germination test. These indices are reported as whole numbers, as described by </w:t>
      </w:r>
      <w:r w:rsidRPr="000570FF">
        <w:rPr>
          <w:rFonts w:ascii="Arial" w:hAnsi="Arial" w:cs="Arial"/>
        </w:rPr>
        <w:fldChar w:fldCharType="begin"/>
      </w:r>
      <w:r>
        <w:rPr>
          <w:rFonts w:ascii="Arial" w:hAnsi="Arial" w:cs="Arial"/>
        </w:rPr>
        <w:instrText xml:space="preserve"> ADDIN ZOTERO_ITEM CSL_CITATION {"citationID":"xgssse1e","properties":{"formattedCitation":"(Abdul\\uc0\\u8208{}Baki &amp; Anderson, 1973)","plainCitation":"(Abdul</w:instrText>
      </w:r>
      <w:r>
        <w:rPr>
          <w:rFonts w:ascii="Cambria Math" w:hAnsi="Cambria Math" w:cs="Cambria Math"/>
        </w:rPr>
        <w:instrText>‐</w:instrText>
      </w:r>
      <w:r>
        <w:rPr>
          <w:rFonts w:ascii="Arial" w:hAnsi="Arial" w:cs="Arial"/>
        </w:rPr>
        <w:instrText>Baki &amp; Anderson, 1973)","dontUpdate":true,"noteIndex":0},"citationItems":[{"id":"K4e7nTb0/yI9XfvUF","uris":["http://zotero.org/users/17653858/items/6FBUAWPM"],"itemData":{"id":142,"type":"article-journal","abstract":"A multiple criteria approach is presented by which vigor was evaluated in 16 lots of soybean (\n              Glycine max\n              L., cv. ‘Lee</w:instrText>
      </w:r>
      <w:r>
        <w:rPr>
          <w:rFonts w:ascii="Cambria Math" w:hAnsi="Cambria Math" w:cs="Cambria Math"/>
        </w:rPr>
        <w:instrText>‐</w:instrText>
      </w:r>
      <w:r>
        <w:rPr>
          <w:rFonts w:ascii="Arial" w:hAnsi="Arial" w:cs="Arial"/>
        </w:rPr>
        <w:instrText>68’) seed by determining O\n              2\n              uptake, CO\n              2\n              production, uptake of labeled glucose or leucine, conversion of isotopes into\n              14\n              CO\n              2\n              and polysaccharides or proteins, and leaching of metabolites through membranes of excised embryonic axes after 5 hours of imbibition. The concept upon which this approach is based is that excised embryonic axes from vigorous seed lots take up more sugars and amino acids from imbibing media, incorporate these metabolites faster into polysaccharides and proteins, and permit less leaching of nonused metabolites into surrounding aqueous media than axes from less vigorous seed lots. These measurements focus on the biosynthetic capacity of the axis and the integrity of its cellular membranes.","container-title":"Crop Science","DOI":"10.2135/cropsci1973.0011183X001300060013x","ISSN":"0011-183X, 1435-0653","issue":"6","journalAbbreviation":"Crop Science","language":"en","license":"http://onlinelibrary.wiley.com/termsAndConditions#vor","page":"630-633","source":"DOI.org (Crossref)","title":"Vigor Determination in Soybean Seed by Multiple Criteria&lt;sup&gt;1&lt;/sup&gt;","URL":"https://acsess.onlinelibrary.wiley.com/doi/10.2135/cropsci1973.0011183X001300060013x","volume":"13","author":[{"family":"Abdul</w:instrText>
      </w:r>
      <w:r>
        <w:rPr>
          <w:rFonts w:ascii="Cambria Math" w:hAnsi="Cambria Math" w:cs="Cambria Math"/>
        </w:rPr>
        <w:instrText>‐</w:instrText>
      </w:r>
      <w:r>
        <w:rPr>
          <w:rFonts w:ascii="Arial" w:hAnsi="Arial" w:cs="Arial"/>
        </w:rPr>
        <w:instrText xml:space="preserve">Baki","given":"Aref A."},{"family":"Anderson","given":"James D."}],"accessed":{"date-parts":[["2025",8,13]]},"issued":{"date-parts":[["1973",11]]}}}],"schema":"https://github.com/citation-style-language/schema/raw/master/csl-citation.json"} </w:instrText>
      </w:r>
      <w:r w:rsidRPr="000570FF">
        <w:rPr>
          <w:rFonts w:ascii="Arial" w:hAnsi="Arial" w:cs="Arial"/>
        </w:rPr>
        <w:fldChar w:fldCharType="separate"/>
      </w:r>
      <w:r w:rsidRPr="000570FF">
        <w:rPr>
          <w:rFonts w:ascii="Arial" w:hAnsi="Arial" w:cs="Arial"/>
        </w:rPr>
        <w:t>Abdul</w:t>
      </w:r>
      <w:r w:rsidRPr="000570FF">
        <w:rPr>
          <w:rFonts w:ascii="Cambria Math" w:hAnsi="Cambria Math" w:cs="Cambria Math"/>
        </w:rPr>
        <w:t>‐</w:t>
      </w:r>
      <w:r w:rsidRPr="000570FF">
        <w:rPr>
          <w:rFonts w:ascii="Arial" w:hAnsi="Arial" w:cs="Arial"/>
        </w:rPr>
        <w:t>Baki &amp; Anderson (1973)</w:t>
      </w:r>
      <w:r w:rsidRPr="000570FF">
        <w:rPr>
          <w:rFonts w:ascii="Arial" w:hAnsi="Arial" w:cs="Arial"/>
        </w:rPr>
        <w:fldChar w:fldCharType="end"/>
      </w:r>
    </w:p>
    <w:p w14:paraId="077617FE" w14:textId="77777777" w:rsidR="00B85175" w:rsidRDefault="00B85175" w:rsidP="00F31111">
      <w:pPr>
        <w:jc w:val="center"/>
        <w:rPr>
          <w:rFonts w:ascii="Arial" w:hAnsi="Arial" w:cs="Arial"/>
        </w:rPr>
      </w:pPr>
    </w:p>
    <w:p w14:paraId="27FDABCB" w14:textId="3276826B" w:rsidR="00F31111" w:rsidRPr="000570FF" w:rsidRDefault="00F31111" w:rsidP="00F31111">
      <w:pPr>
        <w:jc w:val="center"/>
        <w:rPr>
          <w:rFonts w:ascii="Arial" w:hAnsi="Arial" w:cs="Arial"/>
        </w:rPr>
      </w:pPr>
      <m:oMathPara>
        <m:oMath>
          <m:r>
            <w:rPr>
              <w:rFonts w:ascii="Cambria Math" w:hAnsi="Cambria Math" w:cs="Arial"/>
            </w:rPr>
            <m:t xml:space="preserve">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length(cm)</m:t>
          </m:r>
        </m:oMath>
      </m:oMathPara>
    </w:p>
    <w:p w14:paraId="49B46329" w14:textId="77777777" w:rsidR="00F31111" w:rsidRPr="000570FF" w:rsidRDefault="00F31111" w:rsidP="00F31111">
      <w:pPr>
        <w:jc w:val="center"/>
        <w:rPr>
          <w:rFonts w:ascii="Arial" w:hAnsi="Arial" w:cs="Arial"/>
        </w:rPr>
      </w:pPr>
    </w:p>
    <w:p w14:paraId="284D029F" w14:textId="77777777" w:rsidR="00F31111" w:rsidRPr="00F31111" w:rsidRDefault="00F31111" w:rsidP="00F31111">
      <w:pPr>
        <w:rPr>
          <w:rFonts w:ascii="Arial" w:hAnsi="Arial" w:cs="Arial"/>
        </w:rPr>
      </w:pPr>
      <m:oMathPara>
        <m:oMath>
          <m:r>
            <w:rPr>
              <w:rFonts w:ascii="Cambria Math" w:hAnsi="Cambria Math" w:cs="Arial"/>
            </w:rPr>
            <m:t xml:space="preserve">         Seedling Vigour Index I =  Germination </m:t>
          </m:r>
          <m:d>
            <m:dPr>
              <m:ctrlPr>
                <w:rPr>
                  <w:rFonts w:ascii="Cambria Math" w:hAnsi="Cambria Math" w:cs="Arial"/>
                  <w:i/>
                </w:rPr>
              </m:ctrlPr>
            </m:dPr>
            <m:e>
              <m:r>
                <w:rPr>
                  <w:rFonts w:ascii="Cambria Math" w:hAnsi="Cambria Math" w:cs="Arial"/>
                </w:rPr>
                <m:t>%</m:t>
              </m:r>
            </m:e>
          </m:d>
          <m:r>
            <w:rPr>
              <w:rFonts w:ascii="Cambria Math" w:hAnsi="Cambria Math" w:cs="Arial"/>
            </w:rPr>
            <m:t xml:space="preserve"> x  Seedling dry weight (mg)</m:t>
          </m:r>
        </m:oMath>
      </m:oMathPara>
    </w:p>
    <w:p w14:paraId="31DAE3FE" w14:textId="77777777" w:rsidR="00F31111" w:rsidRPr="000570FF" w:rsidRDefault="00F31111" w:rsidP="00F31111">
      <w:pPr>
        <w:rPr>
          <w:rFonts w:ascii="Arial" w:hAnsi="Arial" w:cs="Arial"/>
        </w:rPr>
      </w:pPr>
    </w:p>
    <w:p w14:paraId="3B3966A9" w14:textId="77777777" w:rsidR="00B85175" w:rsidRDefault="00B85175" w:rsidP="00F31111">
      <w:pPr>
        <w:rPr>
          <w:rFonts w:ascii="Arial" w:hAnsi="Arial" w:cs="Arial"/>
          <w:b/>
          <w:bCs/>
          <w:u w:val="single"/>
        </w:rPr>
      </w:pPr>
    </w:p>
    <w:p w14:paraId="2D6A68BA" w14:textId="58832BEF" w:rsidR="00F31111" w:rsidRDefault="00F31111" w:rsidP="00F31111">
      <w:pPr>
        <w:rPr>
          <w:rFonts w:ascii="Arial" w:hAnsi="Arial" w:cs="Arial"/>
          <w:b/>
          <w:bCs/>
          <w:u w:val="single"/>
        </w:rPr>
      </w:pPr>
      <w:r w:rsidRPr="000570FF">
        <w:rPr>
          <w:rFonts w:ascii="Arial" w:hAnsi="Arial" w:cs="Arial"/>
          <w:b/>
          <w:bCs/>
          <w:u w:val="single"/>
        </w:rPr>
        <w:t>2.4.5</w:t>
      </w:r>
      <w:r w:rsidRPr="000570FF">
        <w:rPr>
          <w:rFonts w:ascii="Arial" w:hAnsi="Arial" w:cs="Arial"/>
          <w:u w:val="single"/>
        </w:rPr>
        <w:t xml:space="preserve"> </w:t>
      </w:r>
      <w:r w:rsidRPr="000570FF">
        <w:rPr>
          <w:rFonts w:ascii="Arial" w:hAnsi="Arial" w:cs="Arial"/>
          <w:b/>
          <w:bCs/>
          <w:u w:val="single"/>
        </w:rPr>
        <w:t>Electrical conductivity</w:t>
      </w:r>
      <w:r w:rsidRPr="000570FF">
        <w:rPr>
          <w:rFonts w:ascii="Arial" w:hAnsi="Arial" w:cs="Arial"/>
          <w:u w:val="single"/>
        </w:rPr>
        <w:t xml:space="preserve"> </w:t>
      </w:r>
      <w:r w:rsidRPr="000570FF">
        <w:rPr>
          <w:rFonts w:ascii="Arial" w:hAnsi="Arial" w:cs="Arial"/>
          <w:b/>
          <w:bCs/>
          <w:u w:val="single"/>
        </w:rPr>
        <w:t>(d</w:t>
      </w:r>
      <w:r>
        <w:rPr>
          <w:rFonts w:ascii="Arial" w:hAnsi="Arial" w:cs="Arial"/>
          <w:b/>
          <w:bCs/>
          <w:u w:val="single"/>
        </w:rPr>
        <w:t>S</w:t>
      </w:r>
      <w:r w:rsidRPr="000570FF">
        <w:rPr>
          <w:rFonts w:ascii="Arial" w:hAnsi="Arial" w:cs="Arial"/>
          <w:b/>
          <w:bCs/>
          <w:u w:val="single"/>
        </w:rPr>
        <w:t>m</w:t>
      </w:r>
      <w:r w:rsidRPr="000570FF">
        <w:rPr>
          <w:rFonts w:ascii="Arial" w:hAnsi="Arial" w:cs="Arial"/>
          <w:b/>
          <w:bCs/>
          <w:u w:val="single"/>
          <w:vertAlign w:val="superscript"/>
        </w:rPr>
        <w:t>-1</w:t>
      </w:r>
      <w:r w:rsidRPr="000570FF">
        <w:rPr>
          <w:rFonts w:ascii="Arial" w:hAnsi="Arial" w:cs="Arial"/>
          <w:b/>
          <w:bCs/>
          <w:u w:val="single"/>
        </w:rPr>
        <w:t>)</w:t>
      </w:r>
    </w:p>
    <w:p w14:paraId="068BE80B" w14:textId="77777777" w:rsidR="00F31111" w:rsidRPr="000570FF" w:rsidRDefault="00F31111" w:rsidP="00F31111">
      <w:pPr>
        <w:rPr>
          <w:rFonts w:ascii="Arial" w:hAnsi="Arial" w:cs="Arial"/>
          <w:u w:val="single"/>
        </w:rPr>
      </w:pPr>
    </w:p>
    <w:p w14:paraId="66406EAD" w14:textId="329C9F2A" w:rsidR="00F31111" w:rsidRDefault="00F31111" w:rsidP="00F31111">
      <w:pPr>
        <w:rPr>
          <w:rFonts w:ascii="Arial" w:hAnsi="Arial" w:cs="Arial"/>
        </w:rPr>
      </w:pPr>
      <w:r>
        <w:rPr>
          <w:rFonts w:ascii="Arial" w:hAnsi="Arial" w:cs="Arial"/>
        </w:rPr>
        <w:tab/>
      </w:r>
      <w:r w:rsidRPr="000570FF">
        <w:rPr>
          <w:rFonts w:ascii="Arial" w:hAnsi="Arial" w:cs="Arial"/>
        </w:rPr>
        <w:t xml:space="preserve">Electrical conductivity was estimated using four replicates of five grams of seeds drawn from each treatment. To surface </w:t>
      </w:r>
      <w:proofErr w:type="spellStart"/>
      <w:r w:rsidRPr="000570FF">
        <w:rPr>
          <w:rFonts w:ascii="Arial" w:hAnsi="Arial" w:cs="Arial"/>
        </w:rPr>
        <w:t>sterilise</w:t>
      </w:r>
      <w:proofErr w:type="spellEnd"/>
      <w:r w:rsidRPr="000570FF">
        <w:rPr>
          <w:rFonts w:ascii="Arial" w:hAnsi="Arial" w:cs="Arial"/>
        </w:rPr>
        <w:t>, seeds were immersed in 0.1% mercuric chloride (HgCl</w:t>
      </w:r>
      <w:r w:rsidRPr="000570FF">
        <w:rPr>
          <w:rFonts w:ascii="Arial" w:hAnsi="Arial" w:cs="Arial"/>
          <w:vertAlign w:val="subscript"/>
        </w:rPr>
        <w:t>2</w:t>
      </w:r>
      <w:r w:rsidRPr="000570FF">
        <w:rPr>
          <w:rFonts w:ascii="Arial" w:hAnsi="Arial" w:cs="Arial"/>
        </w:rPr>
        <w:t xml:space="preserve">) for one minute. These seeds were then thoroughly washed several times in distilled water to remove the chemical residues and then soaked in 50 ml of distilled water for 24 hours. The electrical conductivity (EC) of seed leachate collected in a beaker after decanting was measured </w:t>
      </w:r>
      <w:proofErr w:type="gramStart"/>
      <w:r w:rsidRPr="000570FF">
        <w:rPr>
          <w:rFonts w:ascii="Arial" w:hAnsi="Arial" w:cs="Arial"/>
        </w:rPr>
        <w:t xml:space="preserve">with </w:t>
      </w:r>
      <w:r w:rsidR="00902E54">
        <w:rPr>
          <w:rFonts w:ascii="Arial" w:hAnsi="Arial" w:cs="Arial"/>
        </w:rPr>
        <w:t xml:space="preserve"> a</w:t>
      </w:r>
      <w:proofErr w:type="gramEnd"/>
      <w:r w:rsidR="00902E54">
        <w:rPr>
          <w:rFonts w:ascii="Arial" w:hAnsi="Arial" w:cs="Arial"/>
        </w:rPr>
        <w:t xml:space="preserve"> </w:t>
      </w:r>
      <w:r w:rsidRPr="000570FF">
        <w:rPr>
          <w:rFonts w:ascii="Arial" w:hAnsi="Arial" w:cs="Arial"/>
        </w:rPr>
        <w:t xml:space="preserve">digital conductivity meter, and the mean value was recorded as </w:t>
      </w:r>
      <w:proofErr w:type="spellStart"/>
      <w:r w:rsidRPr="000570FF">
        <w:rPr>
          <w:rFonts w:ascii="Arial" w:hAnsi="Arial" w:cs="Arial"/>
        </w:rPr>
        <w:t>deciSiemens</w:t>
      </w:r>
      <w:proofErr w:type="spellEnd"/>
      <w:r w:rsidRPr="000570FF">
        <w:rPr>
          <w:rFonts w:ascii="Arial" w:hAnsi="Arial" w:cs="Arial"/>
        </w:rPr>
        <w:t xml:space="preserve"> per </w:t>
      </w:r>
      <w:proofErr w:type="spellStart"/>
      <w:r w:rsidRPr="000570FF">
        <w:rPr>
          <w:rFonts w:ascii="Arial" w:hAnsi="Arial" w:cs="Arial"/>
        </w:rPr>
        <w:t>metre</w:t>
      </w:r>
      <w:proofErr w:type="spellEnd"/>
      <w:r w:rsidRPr="000570FF">
        <w:rPr>
          <w:rFonts w:ascii="Arial" w:hAnsi="Arial" w:cs="Arial"/>
        </w:rPr>
        <w:t xml:space="preserve"> (dSm-1).</w:t>
      </w:r>
    </w:p>
    <w:p w14:paraId="0B1F5AF9" w14:textId="77777777" w:rsidR="00F31111" w:rsidRPr="000570FF" w:rsidRDefault="00F31111" w:rsidP="00F31111">
      <w:pPr>
        <w:rPr>
          <w:rFonts w:ascii="Arial" w:hAnsi="Arial" w:cs="Arial"/>
        </w:rPr>
      </w:pPr>
    </w:p>
    <w:p w14:paraId="50E2CB26" w14:textId="77777777" w:rsidR="00F31111" w:rsidRDefault="00F31111" w:rsidP="00F31111">
      <w:pPr>
        <w:rPr>
          <w:rFonts w:ascii="Arial" w:hAnsi="Arial" w:cs="Arial"/>
          <w:b/>
          <w:bCs/>
          <w:sz w:val="22"/>
          <w:szCs w:val="22"/>
        </w:rPr>
      </w:pPr>
      <w:r w:rsidRPr="00F31111">
        <w:rPr>
          <w:rFonts w:ascii="Arial" w:hAnsi="Arial" w:cs="Arial"/>
          <w:b/>
          <w:bCs/>
          <w:sz w:val="22"/>
          <w:szCs w:val="22"/>
        </w:rPr>
        <w:t>2.5 Statistical Analysis</w:t>
      </w:r>
    </w:p>
    <w:p w14:paraId="3A6972D7" w14:textId="77777777" w:rsidR="00F31111" w:rsidRPr="00F31111" w:rsidRDefault="00F31111" w:rsidP="00F31111">
      <w:pPr>
        <w:rPr>
          <w:rFonts w:ascii="Arial" w:hAnsi="Arial" w:cs="Arial"/>
          <w:b/>
          <w:bCs/>
          <w:sz w:val="22"/>
          <w:szCs w:val="22"/>
        </w:rPr>
      </w:pPr>
    </w:p>
    <w:p w14:paraId="6ABA4A83" w14:textId="4BB278A4" w:rsidR="00E66E10" w:rsidRDefault="00F31111" w:rsidP="00F31111">
      <w:pPr>
        <w:pStyle w:val="Body"/>
        <w:spacing w:after="0"/>
        <w:rPr>
          <w:rFonts w:ascii="Arial" w:hAnsi="Arial" w:cs="Arial"/>
        </w:rPr>
      </w:pPr>
      <w:r>
        <w:rPr>
          <w:rFonts w:ascii="Arial" w:hAnsi="Arial" w:cs="Arial"/>
        </w:rPr>
        <w:tab/>
      </w:r>
      <w:r w:rsidRPr="000570FF">
        <w:rPr>
          <w:rFonts w:ascii="Arial" w:hAnsi="Arial" w:cs="Arial"/>
        </w:rPr>
        <w:t>The data collected was subjected to statistical analysis using the General R-shiny based Analysis Platform Empowered by Statistics (GRAPES), a tool developed by Kerala Agricultural University. The seed quality analysis data w</w:t>
      </w:r>
      <w:r w:rsidR="00902E54">
        <w:rPr>
          <w:rFonts w:ascii="Arial" w:hAnsi="Arial" w:cs="Arial"/>
        </w:rPr>
        <w:t>ere</w:t>
      </w:r>
      <w:r w:rsidRPr="000570FF">
        <w:rPr>
          <w:rFonts w:ascii="Arial" w:hAnsi="Arial" w:cs="Arial"/>
        </w:rPr>
        <w:t xml:space="preserve"> specifically </w:t>
      </w:r>
      <w:proofErr w:type="spellStart"/>
      <w:r w:rsidRPr="000570FF">
        <w:rPr>
          <w:rFonts w:ascii="Arial" w:hAnsi="Arial" w:cs="Arial"/>
        </w:rPr>
        <w:t>analysed</w:t>
      </w:r>
      <w:proofErr w:type="spellEnd"/>
      <w:r w:rsidRPr="000570FF">
        <w:rPr>
          <w:rFonts w:ascii="Arial" w:hAnsi="Arial" w:cs="Arial"/>
        </w:rPr>
        <w:t xml:space="preserve"> using a one-way Analysis of Variance (ANOVA), following a Completely Randomized Design (CRD). To rank the effectiveness of the mid-storage invigoration treatments based on their impact on seed quality parameters, Duncan's Multiple Range Test (DMRT) was applied.</w:t>
      </w:r>
    </w:p>
    <w:p w14:paraId="624DF88D" w14:textId="77777777" w:rsidR="00F31111" w:rsidRDefault="00F31111" w:rsidP="00441B6F">
      <w:pPr>
        <w:pStyle w:val="Head1"/>
        <w:spacing w:after="0"/>
        <w:jc w:val="both"/>
        <w:rPr>
          <w:rFonts w:ascii="Arial" w:hAnsi="Arial" w:cs="Arial"/>
        </w:rPr>
      </w:pPr>
    </w:p>
    <w:p w14:paraId="0C5A5090" w14:textId="7104DAE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3961BB" w14:textId="77777777" w:rsidR="00790ADA" w:rsidRDefault="00790ADA" w:rsidP="00441B6F">
      <w:pPr>
        <w:pStyle w:val="Body"/>
        <w:spacing w:after="0"/>
        <w:rPr>
          <w:rFonts w:ascii="Arial" w:hAnsi="Arial" w:cs="Arial"/>
        </w:rPr>
      </w:pPr>
    </w:p>
    <w:p w14:paraId="21C443DC" w14:textId="5733DDA0" w:rsidR="002D260B" w:rsidRDefault="002D260B" w:rsidP="002D260B">
      <w:pPr>
        <w:jc w:val="both"/>
        <w:rPr>
          <w:rFonts w:ascii="Arial" w:hAnsi="Arial" w:cs="Arial"/>
        </w:rPr>
      </w:pPr>
      <w:r>
        <w:rPr>
          <w:rFonts w:ascii="Arial" w:hAnsi="Arial" w:cs="Arial"/>
        </w:rPr>
        <w:tab/>
      </w:r>
      <w:r w:rsidRPr="000570FF">
        <w:rPr>
          <w:rFonts w:ascii="Arial" w:hAnsi="Arial" w:cs="Arial"/>
        </w:rPr>
        <w:t>The mid-storage seed invigoration treatments were applied to five-month-old rice (</w:t>
      </w:r>
      <w:r w:rsidRPr="000570FF">
        <w:rPr>
          <w:rFonts w:ascii="Arial" w:hAnsi="Arial" w:cs="Arial"/>
          <w:i/>
          <w:iCs/>
        </w:rPr>
        <w:t>Oryza sativa</w:t>
      </w:r>
      <w:r w:rsidRPr="000570FF">
        <w:rPr>
          <w:rFonts w:ascii="Arial" w:hAnsi="Arial" w:cs="Arial"/>
        </w:rPr>
        <w:t xml:space="preserve"> L.) seeds of variety Jyothi and seed quality parameters were monitored over a 3-month period. Treatments included control (untreated), hydration-dehydration, neem oil (2 mL/kg of seeds), neem cake (5g/kg of seeds), hydration-dehydration in combination with neem oil, hydration-dehydration in combination with neem cake and a combination of neem oil and neem cake. Data were collected at monthly intervals for germination percentage, moisture content, seedling vigour indices I &amp; II (SVI &amp;SVII), mean germination time (MGT), and electrical conductivity (EC).</w:t>
      </w:r>
    </w:p>
    <w:p w14:paraId="4C3F18CB" w14:textId="77777777" w:rsidR="002D260B" w:rsidRPr="000570FF" w:rsidRDefault="002D260B" w:rsidP="002D260B">
      <w:pPr>
        <w:jc w:val="both"/>
        <w:rPr>
          <w:rFonts w:ascii="Arial" w:hAnsi="Arial" w:cs="Arial"/>
          <w:b/>
          <w:bCs/>
          <w:sz w:val="22"/>
          <w:szCs w:val="22"/>
        </w:rPr>
      </w:pPr>
    </w:p>
    <w:p w14:paraId="016C07CC" w14:textId="77777777" w:rsidR="002D260B" w:rsidRPr="002D260B" w:rsidRDefault="002D260B" w:rsidP="002D260B">
      <w:pPr>
        <w:jc w:val="both"/>
        <w:rPr>
          <w:rFonts w:ascii="Arial" w:hAnsi="Arial" w:cs="Arial"/>
          <w:b/>
          <w:bCs/>
          <w:sz w:val="22"/>
          <w:szCs w:val="22"/>
        </w:rPr>
      </w:pPr>
      <w:r w:rsidRPr="002D260B">
        <w:rPr>
          <w:rFonts w:ascii="Arial" w:hAnsi="Arial" w:cs="Arial"/>
          <w:b/>
          <w:bCs/>
          <w:sz w:val="22"/>
          <w:szCs w:val="22"/>
        </w:rPr>
        <w:t>3.1 Moisture content</w:t>
      </w:r>
    </w:p>
    <w:p w14:paraId="44E318BB" w14:textId="77777777" w:rsidR="002D260B" w:rsidRPr="000570FF" w:rsidRDefault="002D260B" w:rsidP="002D260B">
      <w:pPr>
        <w:jc w:val="both"/>
        <w:rPr>
          <w:rFonts w:ascii="Arial" w:hAnsi="Arial" w:cs="Arial"/>
          <w:b/>
          <w:bCs/>
        </w:rPr>
      </w:pPr>
    </w:p>
    <w:p w14:paraId="2873CB6B" w14:textId="42F623AA" w:rsidR="002D260B" w:rsidRDefault="002D260B" w:rsidP="002D260B">
      <w:pPr>
        <w:jc w:val="both"/>
        <w:rPr>
          <w:rFonts w:ascii="Arial" w:hAnsi="Arial" w:cs="Arial"/>
        </w:rPr>
      </w:pPr>
      <w:r>
        <w:rPr>
          <w:rFonts w:ascii="Arial" w:hAnsi="Arial" w:cs="Arial"/>
        </w:rPr>
        <w:tab/>
      </w:r>
      <w:r w:rsidRPr="000570FF">
        <w:rPr>
          <w:rFonts w:ascii="Arial" w:hAnsi="Arial" w:cs="Arial"/>
        </w:rPr>
        <w:t xml:space="preserve">Moisture content remained relatively stable across treatments, with values ranging from 11.0% to 12.5% over the 3-month period. Post invigoration of the seeds, all the treatments involving hydration-dehydration namely hydration-dehydration, hydration-dehydration in combination with neem oil, and hydration-dehydration in combination with neem cake showed slightly higher moisture (11.13%, 11.13%, 11.06%) compared to the control (10.22%). Neem oil combined with neem cake also showed higher moisture content than control. By month 3, all </w:t>
      </w:r>
      <w:proofErr w:type="gramStart"/>
      <w:r w:rsidRPr="000570FF">
        <w:rPr>
          <w:rFonts w:ascii="Arial" w:hAnsi="Arial" w:cs="Arial"/>
        </w:rPr>
        <w:t>treatments maintained</w:t>
      </w:r>
      <w:proofErr w:type="gramEnd"/>
      <w:r w:rsidRPr="000570FF">
        <w:rPr>
          <w:rFonts w:ascii="Arial" w:hAnsi="Arial" w:cs="Arial"/>
        </w:rPr>
        <w:t xml:space="preserve"> moisture levels below </w:t>
      </w:r>
      <w:r w:rsidRPr="000570FF">
        <w:rPr>
          <w:rFonts w:ascii="Arial" w:hAnsi="Arial" w:cs="Arial"/>
        </w:rPr>
        <w:lastRenderedPageBreak/>
        <w:t>12.0%, with seeds treated with neem cake exhibiting the lowest (11.2%) versus 11.8% for the control. This stability indicates effective control of hygroscopic changes during storage.</w:t>
      </w:r>
    </w:p>
    <w:p w14:paraId="0A9721FD" w14:textId="77777777" w:rsidR="002D260B" w:rsidRPr="002D260B" w:rsidRDefault="002D260B" w:rsidP="002D260B">
      <w:pPr>
        <w:rPr>
          <w:rFonts w:ascii="Arial" w:hAnsi="Arial" w:cs="Arial"/>
          <w:sz w:val="22"/>
          <w:szCs w:val="22"/>
        </w:rPr>
      </w:pPr>
    </w:p>
    <w:p w14:paraId="7D4F8516" w14:textId="77777777" w:rsidR="002D260B" w:rsidRDefault="002D260B" w:rsidP="002D260B">
      <w:pPr>
        <w:rPr>
          <w:rFonts w:ascii="Arial" w:hAnsi="Arial" w:cs="Arial"/>
          <w:b/>
          <w:bCs/>
          <w:sz w:val="22"/>
          <w:szCs w:val="22"/>
        </w:rPr>
      </w:pPr>
      <w:r w:rsidRPr="002D260B">
        <w:rPr>
          <w:rFonts w:ascii="Arial" w:hAnsi="Arial" w:cs="Arial"/>
          <w:b/>
          <w:bCs/>
          <w:sz w:val="22"/>
          <w:szCs w:val="22"/>
        </w:rPr>
        <w:t>3.2 Germination percentage (%)</w:t>
      </w:r>
    </w:p>
    <w:p w14:paraId="68082239" w14:textId="77777777" w:rsidR="002D260B" w:rsidRPr="002D260B" w:rsidRDefault="002D260B" w:rsidP="002D260B">
      <w:pPr>
        <w:rPr>
          <w:rFonts w:ascii="Arial" w:hAnsi="Arial" w:cs="Arial"/>
          <w:b/>
          <w:bCs/>
          <w:sz w:val="22"/>
          <w:szCs w:val="22"/>
        </w:rPr>
      </w:pPr>
    </w:p>
    <w:p w14:paraId="5ACC1ADD" w14:textId="1AD209B8" w:rsidR="000A11F1" w:rsidRDefault="002D260B" w:rsidP="002D260B">
      <w:pPr>
        <w:jc w:val="both"/>
        <w:rPr>
          <w:rFonts w:ascii="Arial" w:hAnsi="Arial" w:cs="Arial"/>
        </w:rPr>
      </w:pPr>
      <w:r>
        <w:rPr>
          <w:rFonts w:ascii="Arial" w:hAnsi="Arial" w:cs="Arial"/>
        </w:rPr>
        <w:tab/>
      </w:r>
      <w:r w:rsidRPr="000570FF">
        <w:rPr>
          <w:rFonts w:ascii="Arial" w:hAnsi="Arial" w:cs="Arial"/>
        </w:rPr>
        <w:t xml:space="preserve">The results on germination percentage of five-month-old rice seeds that were subjected to different mid-storage invigoration treatments are presented in Table 1. Significant differences were observed among the treatments at the 5% level. Immediately following invigoration, all treatments exhibited enhanced germination compared to the initial seed lot (92%). The combined treatment of hydration-dehydration with neem oil recorded the highest germination of 95.50% immediately after the application of treatments, which was statistically on par with hydration-dehydration alone (95.25%). Germination rates declined gradually over the 3 months for all treatments. The untreated control recorded the lowest germination of 85.50%, whereas all </w:t>
      </w:r>
      <w:r w:rsidR="00902E54">
        <w:rPr>
          <w:rFonts w:ascii="Arial" w:hAnsi="Arial" w:cs="Arial"/>
        </w:rPr>
        <w:t>Mid-storage</w:t>
      </w:r>
      <w:r w:rsidRPr="000570FF">
        <w:rPr>
          <w:rFonts w:ascii="Arial" w:hAnsi="Arial" w:cs="Arial"/>
        </w:rPr>
        <w:t xml:space="preserve"> treatments showed higher germination values. Among the treatments, hydration–dehydration combined with neem oil recorded the maximum germination of 89.25 %, significantly superior to the control. This was followed closely by hydration–dehydration alone (88.50%) and neem oil treatment (88.00%), both of which maintained high germination percentages. </w:t>
      </w:r>
    </w:p>
    <w:p w14:paraId="2C2129A5" w14:textId="77777777" w:rsidR="000A11F1" w:rsidRPr="000570FF" w:rsidRDefault="000A11F1" w:rsidP="002D260B">
      <w:pPr>
        <w:jc w:val="both"/>
        <w:rPr>
          <w:rFonts w:ascii="Arial" w:hAnsi="Arial" w:cs="Arial"/>
        </w:rPr>
      </w:pPr>
    </w:p>
    <w:p w14:paraId="2D2F1CBA" w14:textId="0C94E417" w:rsidR="002D260B" w:rsidRDefault="002D260B" w:rsidP="002D260B">
      <w:pPr>
        <w:pStyle w:val="Caption"/>
        <w:keepNext/>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Table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Table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w:t>
      </w:r>
      <w:r w:rsidR="00902E54">
        <w:rPr>
          <w:rFonts w:ascii="Arial" w:hAnsi="Arial" w:cs="Arial"/>
          <w:b/>
          <w:bCs/>
          <w:i w:val="0"/>
          <w:iCs w:val="0"/>
          <w:color w:val="0D0D0D" w:themeColor="text1" w:themeTint="F2"/>
          <w:sz w:val="20"/>
          <w:szCs w:val="20"/>
        </w:rPr>
        <w:t>Mid-storage</w:t>
      </w:r>
      <w:r w:rsidRPr="000570FF">
        <w:rPr>
          <w:rFonts w:ascii="Arial" w:hAnsi="Arial" w:cs="Arial"/>
          <w:b/>
          <w:bCs/>
          <w:i w:val="0"/>
          <w:iCs w:val="0"/>
          <w:color w:val="0D0D0D" w:themeColor="text1" w:themeTint="F2"/>
          <w:sz w:val="20"/>
          <w:szCs w:val="20"/>
        </w:rPr>
        <w:t xml:space="preserve"> seed treatments on germination percentage </w:t>
      </w:r>
      <w:r w:rsidR="00902E54">
        <w:rPr>
          <w:rFonts w:ascii="Arial" w:hAnsi="Arial" w:cs="Arial"/>
          <w:b/>
          <w:bCs/>
          <w:i w:val="0"/>
          <w:iCs w:val="0"/>
          <w:color w:val="0D0D0D" w:themeColor="text1" w:themeTint="F2"/>
          <w:sz w:val="20"/>
          <w:szCs w:val="20"/>
        </w:rPr>
        <w:t xml:space="preserve">of </w:t>
      </w:r>
      <w:r w:rsidRPr="000570FF">
        <w:rPr>
          <w:rFonts w:ascii="Arial" w:hAnsi="Arial" w:cs="Arial"/>
          <w:b/>
          <w:bCs/>
          <w:i w:val="0"/>
          <w:iCs w:val="0"/>
          <w:color w:val="0D0D0D" w:themeColor="text1" w:themeTint="F2"/>
          <w:sz w:val="20"/>
          <w:szCs w:val="20"/>
        </w:rPr>
        <w:t>five-month-old seeds</w:t>
      </w:r>
    </w:p>
    <w:p w14:paraId="4B6A62BE" w14:textId="77777777" w:rsidR="002D260B" w:rsidRPr="002D260B" w:rsidRDefault="002D260B" w:rsidP="002D260B">
      <w:pPr>
        <w:rPr>
          <w:lang w:val="en-IN"/>
        </w:rPr>
      </w:pPr>
    </w:p>
    <w:tbl>
      <w:tblPr>
        <w:tblStyle w:val="ListTable2"/>
        <w:tblW w:w="0" w:type="auto"/>
        <w:tblLook w:val="04A0" w:firstRow="1" w:lastRow="0" w:firstColumn="1" w:lastColumn="0" w:noHBand="0" w:noVBand="1"/>
      </w:tblPr>
      <w:tblGrid>
        <w:gridCol w:w="4297"/>
        <w:gridCol w:w="1365"/>
        <w:gridCol w:w="1118"/>
        <w:gridCol w:w="1118"/>
        <w:gridCol w:w="1118"/>
      </w:tblGrid>
      <w:tr w:rsidR="002D260B" w:rsidRPr="000570FF" w14:paraId="7316D375" w14:textId="77777777" w:rsidTr="00B218D2">
        <w:trPr>
          <w:cnfStyle w:val="100000000000" w:firstRow="1" w:lastRow="0" w:firstColumn="0" w:lastColumn="0" w:oddVBand="0" w:evenVBand="0" w:oddHBand="0"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297" w:type="dxa"/>
          </w:tcPr>
          <w:p w14:paraId="036DD4EE" w14:textId="77777777" w:rsidR="002D260B" w:rsidRPr="000570FF" w:rsidRDefault="002D260B" w:rsidP="00B218D2">
            <w:pPr>
              <w:jc w:val="center"/>
              <w:rPr>
                <w:rFonts w:ascii="Arial" w:hAnsi="Arial" w:cs="Arial"/>
                <w:b w:val="0"/>
                <w:bCs w:val="0"/>
                <w:sz w:val="20"/>
                <w:szCs w:val="20"/>
              </w:rPr>
            </w:pPr>
          </w:p>
          <w:p w14:paraId="278E5B45" w14:textId="77777777" w:rsidR="002D260B" w:rsidRPr="000570FF" w:rsidRDefault="002D260B" w:rsidP="00B218D2">
            <w:pPr>
              <w:jc w:val="center"/>
              <w:rPr>
                <w:rFonts w:ascii="Arial" w:hAnsi="Arial" w:cs="Arial"/>
                <w:b w:val="0"/>
                <w:bCs w:val="0"/>
                <w:sz w:val="20"/>
                <w:szCs w:val="20"/>
              </w:rPr>
            </w:pPr>
            <w:r w:rsidRPr="000570FF">
              <w:rPr>
                <w:rFonts w:ascii="Arial" w:hAnsi="Arial" w:cs="Arial"/>
                <w:sz w:val="20"/>
                <w:szCs w:val="20"/>
              </w:rPr>
              <w:t>Treatments</w:t>
            </w:r>
          </w:p>
        </w:tc>
        <w:tc>
          <w:tcPr>
            <w:tcW w:w="1365" w:type="dxa"/>
          </w:tcPr>
          <w:p w14:paraId="1B50315F"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6E82D20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Post invigoration</w:t>
            </w:r>
          </w:p>
        </w:tc>
        <w:tc>
          <w:tcPr>
            <w:tcW w:w="1118" w:type="dxa"/>
          </w:tcPr>
          <w:p w14:paraId="2BC0C33E"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D0EF3DF" w14:textId="77777777" w:rsidR="002D260B" w:rsidRPr="000570FF" w:rsidRDefault="002D260B" w:rsidP="00B218D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1 MAS</w:t>
            </w:r>
          </w:p>
        </w:tc>
        <w:tc>
          <w:tcPr>
            <w:tcW w:w="1118" w:type="dxa"/>
          </w:tcPr>
          <w:p w14:paraId="61AE7D6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E0D34D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2 MAS</w:t>
            </w:r>
          </w:p>
        </w:tc>
        <w:tc>
          <w:tcPr>
            <w:tcW w:w="1118" w:type="dxa"/>
          </w:tcPr>
          <w:p w14:paraId="5BB07823"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1BFDCFBA" w14:textId="77777777" w:rsidR="002D260B" w:rsidRPr="000570FF" w:rsidRDefault="002D260B" w:rsidP="00B218D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570FF">
              <w:rPr>
                <w:rFonts w:ascii="Arial" w:hAnsi="Arial" w:cs="Arial"/>
                <w:sz w:val="20"/>
                <w:szCs w:val="20"/>
              </w:rPr>
              <w:t>3 MAS</w:t>
            </w:r>
          </w:p>
        </w:tc>
      </w:tr>
      <w:tr w:rsidR="002D260B" w:rsidRPr="000570FF" w14:paraId="7458324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4DBB14E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1</w:t>
            </w:r>
            <w:r w:rsidRPr="000570FF">
              <w:rPr>
                <w:rFonts w:ascii="Arial" w:hAnsi="Arial" w:cs="Arial"/>
                <w:sz w:val="20"/>
                <w:szCs w:val="20"/>
              </w:rPr>
              <w:t>: Control</w:t>
            </w:r>
          </w:p>
        </w:tc>
        <w:tc>
          <w:tcPr>
            <w:tcW w:w="1365" w:type="dxa"/>
          </w:tcPr>
          <w:p w14:paraId="1D1CF2CD"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92.00</w:t>
            </w:r>
            <w:r w:rsidRPr="000570FF">
              <w:rPr>
                <w:rFonts w:ascii="Arial" w:hAnsi="Arial" w:cs="Arial"/>
                <w:sz w:val="20"/>
                <w:szCs w:val="20"/>
                <w:vertAlign w:val="superscript"/>
              </w:rPr>
              <w:t>c</w:t>
            </w:r>
          </w:p>
        </w:tc>
        <w:tc>
          <w:tcPr>
            <w:tcW w:w="1118" w:type="dxa"/>
          </w:tcPr>
          <w:p w14:paraId="7A9B6DFF" w14:textId="1648FA8F"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89.75</w:t>
            </w:r>
            <w:r w:rsidR="00CF75A7" w:rsidRPr="000570FF">
              <w:rPr>
                <w:rFonts w:ascii="Arial" w:hAnsi="Arial" w:cs="Arial"/>
                <w:sz w:val="20"/>
                <w:szCs w:val="20"/>
                <w:vertAlign w:val="superscript"/>
              </w:rPr>
              <w:t>c</w:t>
            </w:r>
          </w:p>
        </w:tc>
        <w:tc>
          <w:tcPr>
            <w:tcW w:w="1118" w:type="dxa"/>
          </w:tcPr>
          <w:p w14:paraId="37D7D370" w14:textId="08C0F66D"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CF75A7" w:rsidRPr="000570FF">
              <w:rPr>
                <w:rFonts w:ascii="Arial" w:hAnsi="Arial" w:cs="Arial"/>
                <w:sz w:val="20"/>
                <w:szCs w:val="20"/>
                <w:vertAlign w:val="superscript"/>
              </w:rPr>
              <w:t>c</w:t>
            </w:r>
          </w:p>
        </w:tc>
        <w:tc>
          <w:tcPr>
            <w:tcW w:w="1118" w:type="dxa"/>
          </w:tcPr>
          <w:p w14:paraId="6DD736A4" w14:textId="76D1239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85.50</w:t>
            </w:r>
            <w:r w:rsidR="00BC6DA8">
              <w:rPr>
                <w:rFonts w:ascii="Arial" w:hAnsi="Arial" w:cs="Arial"/>
                <w:sz w:val="20"/>
                <w:szCs w:val="20"/>
                <w:vertAlign w:val="superscript"/>
              </w:rPr>
              <w:t>d</w:t>
            </w:r>
          </w:p>
        </w:tc>
      </w:tr>
      <w:tr w:rsidR="002D260B" w:rsidRPr="000570FF" w14:paraId="6615533E"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768EB692"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2</w:t>
            </w:r>
            <w:r w:rsidRPr="000570FF">
              <w:rPr>
                <w:rFonts w:ascii="Arial" w:hAnsi="Arial" w:cs="Arial"/>
                <w:sz w:val="20"/>
                <w:szCs w:val="20"/>
              </w:rPr>
              <w:t>: Hydration-dehydration</w:t>
            </w:r>
          </w:p>
        </w:tc>
        <w:tc>
          <w:tcPr>
            <w:tcW w:w="1365" w:type="dxa"/>
          </w:tcPr>
          <w:p w14:paraId="5BFEEFF4"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95.25</w:t>
            </w:r>
            <w:r w:rsidRPr="000570FF">
              <w:rPr>
                <w:rFonts w:ascii="Arial" w:hAnsi="Arial" w:cs="Arial"/>
                <w:sz w:val="20"/>
                <w:szCs w:val="20"/>
                <w:vertAlign w:val="superscript"/>
              </w:rPr>
              <w:t>a</w:t>
            </w:r>
          </w:p>
        </w:tc>
        <w:tc>
          <w:tcPr>
            <w:tcW w:w="1118" w:type="dxa"/>
          </w:tcPr>
          <w:p w14:paraId="5E4859A7" w14:textId="4D106C5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93.00</w:t>
            </w:r>
            <w:r w:rsidR="00CF75A7" w:rsidRPr="000570FF">
              <w:rPr>
                <w:rFonts w:ascii="Arial" w:hAnsi="Arial" w:cs="Arial"/>
                <w:sz w:val="20"/>
                <w:szCs w:val="20"/>
                <w:vertAlign w:val="superscript"/>
              </w:rPr>
              <w:t>a</w:t>
            </w:r>
          </w:p>
        </w:tc>
        <w:tc>
          <w:tcPr>
            <w:tcW w:w="1118" w:type="dxa"/>
          </w:tcPr>
          <w:p w14:paraId="18A438BB" w14:textId="1C1E59BE"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90.75</w:t>
            </w:r>
            <w:r w:rsidR="00CF75A7" w:rsidRPr="000570FF">
              <w:rPr>
                <w:rFonts w:ascii="Arial" w:hAnsi="Arial" w:cs="Arial"/>
                <w:sz w:val="20"/>
                <w:szCs w:val="20"/>
                <w:vertAlign w:val="superscript"/>
              </w:rPr>
              <w:t>a</w:t>
            </w:r>
          </w:p>
        </w:tc>
        <w:tc>
          <w:tcPr>
            <w:tcW w:w="1118" w:type="dxa"/>
          </w:tcPr>
          <w:p w14:paraId="6F212856" w14:textId="5152F856"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88.50</w:t>
            </w:r>
            <w:r w:rsidR="00BC6DA8">
              <w:rPr>
                <w:rFonts w:ascii="Arial" w:hAnsi="Arial" w:cs="Arial"/>
                <w:sz w:val="20"/>
                <w:szCs w:val="20"/>
                <w:vertAlign w:val="superscript"/>
              </w:rPr>
              <w:t>b</w:t>
            </w:r>
          </w:p>
        </w:tc>
      </w:tr>
      <w:tr w:rsidR="002D260B" w:rsidRPr="000570FF" w14:paraId="6A42B47D"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5B274FDB"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3</w:t>
            </w:r>
            <w:r w:rsidRPr="000570FF">
              <w:rPr>
                <w:rFonts w:ascii="Arial" w:hAnsi="Arial" w:cs="Arial"/>
                <w:sz w:val="20"/>
                <w:szCs w:val="20"/>
              </w:rPr>
              <w:t>: Neem oil</w:t>
            </w:r>
          </w:p>
        </w:tc>
        <w:tc>
          <w:tcPr>
            <w:tcW w:w="1365" w:type="dxa"/>
          </w:tcPr>
          <w:p w14:paraId="0E2F78B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94.75</w:t>
            </w:r>
            <w:r w:rsidRPr="000570FF">
              <w:rPr>
                <w:rFonts w:ascii="Arial" w:hAnsi="Arial" w:cs="Arial"/>
                <w:sz w:val="20"/>
                <w:szCs w:val="20"/>
                <w:vertAlign w:val="superscript"/>
              </w:rPr>
              <w:t>a</w:t>
            </w:r>
          </w:p>
        </w:tc>
        <w:tc>
          <w:tcPr>
            <w:tcW w:w="1118" w:type="dxa"/>
          </w:tcPr>
          <w:p w14:paraId="4E363355" w14:textId="22945B1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92.50</w:t>
            </w:r>
            <w:r w:rsidR="00CF75A7" w:rsidRPr="000570FF">
              <w:rPr>
                <w:rFonts w:ascii="Arial" w:hAnsi="Arial" w:cs="Arial"/>
                <w:sz w:val="20"/>
                <w:szCs w:val="20"/>
                <w:vertAlign w:val="superscript"/>
              </w:rPr>
              <w:t>a</w:t>
            </w:r>
          </w:p>
        </w:tc>
        <w:tc>
          <w:tcPr>
            <w:tcW w:w="1118" w:type="dxa"/>
          </w:tcPr>
          <w:p w14:paraId="105C2896" w14:textId="797ECDA6"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BC6DA8">
              <w:rPr>
                <w:rFonts w:ascii="Arial" w:hAnsi="Arial" w:cs="Arial"/>
                <w:sz w:val="20"/>
                <w:szCs w:val="20"/>
                <w:vertAlign w:val="superscript"/>
              </w:rPr>
              <w:t>a</w:t>
            </w:r>
          </w:p>
        </w:tc>
        <w:tc>
          <w:tcPr>
            <w:tcW w:w="1118" w:type="dxa"/>
          </w:tcPr>
          <w:p w14:paraId="3A8DBAC4" w14:textId="770DE3EA"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88.00</w:t>
            </w:r>
            <w:r w:rsidR="00BC6DA8">
              <w:rPr>
                <w:rFonts w:ascii="Arial" w:hAnsi="Arial" w:cs="Arial"/>
                <w:sz w:val="20"/>
                <w:szCs w:val="20"/>
                <w:vertAlign w:val="superscript"/>
              </w:rPr>
              <w:t>b</w:t>
            </w:r>
          </w:p>
        </w:tc>
      </w:tr>
      <w:tr w:rsidR="002D260B" w:rsidRPr="000570FF" w14:paraId="5AA2DDD4"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1C12FD99"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4</w:t>
            </w:r>
            <w:r w:rsidRPr="000570FF">
              <w:rPr>
                <w:rFonts w:ascii="Arial" w:hAnsi="Arial" w:cs="Arial"/>
                <w:sz w:val="20"/>
                <w:szCs w:val="20"/>
              </w:rPr>
              <w:t>: Neem cake</w:t>
            </w:r>
          </w:p>
        </w:tc>
        <w:tc>
          <w:tcPr>
            <w:tcW w:w="1365" w:type="dxa"/>
          </w:tcPr>
          <w:p w14:paraId="1F97966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92.75</w:t>
            </w:r>
            <w:r w:rsidRPr="000570FF">
              <w:rPr>
                <w:rFonts w:ascii="Arial" w:hAnsi="Arial" w:cs="Arial"/>
                <w:sz w:val="20"/>
                <w:szCs w:val="20"/>
                <w:vertAlign w:val="superscript"/>
              </w:rPr>
              <w:t>b</w:t>
            </w:r>
          </w:p>
        </w:tc>
        <w:tc>
          <w:tcPr>
            <w:tcW w:w="1118" w:type="dxa"/>
          </w:tcPr>
          <w:p w14:paraId="15727DC9" w14:textId="262E425D"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90.25</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6450459C" w14:textId="18B55C5A"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87.75</w:t>
            </w:r>
            <w:r w:rsidR="00BC6DA8">
              <w:rPr>
                <w:rFonts w:ascii="Arial" w:hAnsi="Arial" w:cs="Arial"/>
                <w:sz w:val="20"/>
                <w:szCs w:val="20"/>
                <w:vertAlign w:val="superscript"/>
              </w:rPr>
              <w:t>bc</w:t>
            </w:r>
          </w:p>
        </w:tc>
        <w:tc>
          <w:tcPr>
            <w:tcW w:w="1118" w:type="dxa"/>
          </w:tcPr>
          <w:p w14:paraId="768B5759" w14:textId="6AED7EB1"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86.50</w:t>
            </w:r>
            <w:r w:rsidR="00BC6DA8">
              <w:rPr>
                <w:rFonts w:ascii="Arial" w:hAnsi="Arial" w:cs="Arial"/>
                <w:sz w:val="20"/>
                <w:szCs w:val="20"/>
                <w:vertAlign w:val="superscript"/>
              </w:rPr>
              <w:t>c</w:t>
            </w:r>
          </w:p>
        </w:tc>
      </w:tr>
      <w:tr w:rsidR="002D260B" w:rsidRPr="000570FF" w14:paraId="1FD78601"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3524E874"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5</w:t>
            </w:r>
            <w:r w:rsidRPr="000570FF">
              <w:rPr>
                <w:rFonts w:ascii="Arial" w:hAnsi="Arial" w:cs="Arial"/>
                <w:sz w:val="20"/>
                <w:szCs w:val="20"/>
              </w:rPr>
              <w:t>: Hydration-dehydration + Neem oil</w:t>
            </w:r>
          </w:p>
        </w:tc>
        <w:tc>
          <w:tcPr>
            <w:tcW w:w="1365" w:type="dxa"/>
          </w:tcPr>
          <w:p w14:paraId="63F68D32"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95.50</w:t>
            </w:r>
            <w:r w:rsidRPr="000570FF">
              <w:rPr>
                <w:rFonts w:ascii="Arial" w:hAnsi="Arial" w:cs="Arial"/>
                <w:sz w:val="20"/>
                <w:szCs w:val="20"/>
                <w:vertAlign w:val="superscript"/>
              </w:rPr>
              <w:t>a</w:t>
            </w:r>
          </w:p>
        </w:tc>
        <w:tc>
          <w:tcPr>
            <w:tcW w:w="1118" w:type="dxa"/>
          </w:tcPr>
          <w:p w14:paraId="049395F4" w14:textId="221534B9"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93.50</w:t>
            </w:r>
            <w:r w:rsidR="00CF75A7" w:rsidRPr="000570FF">
              <w:rPr>
                <w:rFonts w:ascii="Arial" w:hAnsi="Arial" w:cs="Arial"/>
                <w:sz w:val="20"/>
                <w:szCs w:val="20"/>
                <w:vertAlign w:val="superscript"/>
              </w:rPr>
              <w:t>a</w:t>
            </w:r>
          </w:p>
        </w:tc>
        <w:tc>
          <w:tcPr>
            <w:tcW w:w="1118" w:type="dxa"/>
          </w:tcPr>
          <w:p w14:paraId="2CEC5C80" w14:textId="72E4D810"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BC6DA8">
              <w:rPr>
                <w:rFonts w:ascii="Arial" w:hAnsi="Arial" w:cs="Arial"/>
                <w:sz w:val="20"/>
                <w:szCs w:val="20"/>
                <w:vertAlign w:val="superscript"/>
              </w:rPr>
              <w:t>a</w:t>
            </w:r>
          </w:p>
        </w:tc>
        <w:tc>
          <w:tcPr>
            <w:tcW w:w="1118" w:type="dxa"/>
          </w:tcPr>
          <w:p w14:paraId="02A57072" w14:textId="28E42AC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89.25</w:t>
            </w:r>
            <w:r w:rsidR="00BC6DA8">
              <w:rPr>
                <w:rFonts w:ascii="Arial" w:hAnsi="Arial" w:cs="Arial"/>
                <w:sz w:val="20"/>
                <w:szCs w:val="20"/>
                <w:vertAlign w:val="superscript"/>
              </w:rPr>
              <w:t>a</w:t>
            </w:r>
          </w:p>
        </w:tc>
      </w:tr>
      <w:tr w:rsidR="002D260B" w:rsidRPr="000570FF" w14:paraId="4B298B9B"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A3C9DDF"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6</w:t>
            </w:r>
            <w:r w:rsidRPr="000570FF">
              <w:rPr>
                <w:rFonts w:ascii="Arial" w:hAnsi="Arial" w:cs="Arial"/>
                <w:sz w:val="20"/>
                <w:szCs w:val="20"/>
              </w:rPr>
              <w:t>: Hydration-dehydration + Neem cake</w:t>
            </w:r>
          </w:p>
        </w:tc>
        <w:tc>
          <w:tcPr>
            <w:tcW w:w="1365" w:type="dxa"/>
          </w:tcPr>
          <w:p w14:paraId="728145C1"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45E03D5" w14:textId="2CDA9B88"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91.25</w:t>
            </w:r>
            <w:r w:rsidR="00CF75A7" w:rsidRPr="000570FF">
              <w:rPr>
                <w:rFonts w:ascii="Arial" w:hAnsi="Arial" w:cs="Arial"/>
                <w:sz w:val="20"/>
                <w:szCs w:val="20"/>
                <w:vertAlign w:val="superscript"/>
              </w:rPr>
              <w:t>b</w:t>
            </w:r>
          </w:p>
        </w:tc>
        <w:tc>
          <w:tcPr>
            <w:tcW w:w="1118" w:type="dxa"/>
          </w:tcPr>
          <w:p w14:paraId="05C5F300" w14:textId="27E6F5AB"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89.00</w:t>
            </w:r>
            <w:r w:rsidR="00BC6DA8">
              <w:rPr>
                <w:rFonts w:ascii="Arial" w:hAnsi="Arial" w:cs="Arial"/>
                <w:sz w:val="20"/>
                <w:szCs w:val="20"/>
                <w:vertAlign w:val="superscript"/>
              </w:rPr>
              <w:t>b</w:t>
            </w:r>
          </w:p>
        </w:tc>
        <w:tc>
          <w:tcPr>
            <w:tcW w:w="1118" w:type="dxa"/>
          </w:tcPr>
          <w:p w14:paraId="1607FAB4" w14:textId="39147D82"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87.00</w:t>
            </w:r>
            <w:r w:rsidR="00BC6DA8">
              <w:rPr>
                <w:rFonts w:ascii="Arial" w:hAnsi="Arial" w:cs="Arial"/>
                <w:sz w:val="20"/>
                <w:szCs w:val="20"/>
                <w:vertAlign w:val="superscript"/>
              </w:rPr>
              <w:t>c</w:t>
            </w:r>
          </w:p>
        </w:tc>
      </w:tr>
      <w:tr w:rsidR="002D260B" w:rsidRPr="000570FF" w14:paraId="4712662F" w14:textId="77777777" w:rsidTr="00B2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7" w:type="dxa"/>
          </w:tcPr>
          <w:p w14:paraId="13DD8657" w14:textId="77777777" w:rsidR="002D260B" w:rsidRPr="000570FF" w:rsidRDefault="002D260B" w:rsidP="00B218D2">
            <w:pPr>
              <w:rPr>
                <w:rFonts w:ascii="Arial" w:hAnsi="Arial" w:cs="Arial"/>
                <w:sz w:val="20"/>
                <w:szCs w:val="20"/>
              </w:rPr>
            </w:pPr>
            <w:r w:rsidRPr="000570FF">
              <w:rPr>
                <w:rFonts w:ascii="Arial" w:hAnsi="Arial" w:cs="Arial"/>
                <w:sz w:val="20"/>
                <w:szCs w:val="20"/>
              </w:rPr>
              <w:t>T</w:t>
            </w:r>
            <w:r w:rsidRPr="000570FF">
              <w:rPr>
                <w:rFonts w:ascii="Arial" w:hAnsi="Arial" w:cs="Arial"/>
                <w:sz w:val="20"/>
                <w:szCs w:val="20"/>
                <w:vertAlign w:val="subscript"/>
              </w:rPr>
              <w:t>7</w:t>
            </w:r>
            <w:r w:rsidRPr="000570FF">
              <w:rPr>
                <w:rFonts w:ascii="Arial" w:hAnsi="Arial" w:cs="Arial"/>
                <w:sz w:val="20"/>
                <w:szCs w:val="20"/>
              </w:rPr>
              <w:t>: Neem oil + Neem cake</w:t>
            </w:r>
          </w:p>
        </w:tc>
        <w:tc>
          <w:tcPr>
            <w:tcW w:w="1365" w:type="dxa"/>
          </w:tcPr>
          <w:p w14:paraId="34776098"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93.00</w:t>
            </w:r>
            <w:r w:rsidRPr="000570FF">
              <w:rPr>
                <w:rFonts w:ascii="Arial" w:hAnsi="Arial" w:cs="Arial"/>
                <w:sz w:val="20"/>
                <w:szCs w:val="20"/>
                <w:vertAlign w:val="superscript"/>
              </w:rPr>
              <w:t>b</w:t>
            </w:r>
          </w:p>
        </w:tc>
        <w:tc>
          <w:tcPr>
            <w:tcW w:w="1118" w:type="dxa"/>
          </w:tcPr>
          <w:p w14:paraId="62C16868" w14:textId="598D8B8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91.00</w:t>
            </w:r>
            <w:r w:rsidR="00CF75A7" w:rsidRPr="000570FF">
              <w:rPr>
                <w:rFonts w:ascii="Arial" w:hAnsi="Arial" w:cs="Arial"/>
                <w:sz w:val="20"/>
                <w:szCs w:val="20"/>
                <w:vertAlign w:val="superscript"/>
              </w:rPr>
              <w:t>b</w:t>
            </w:r>
            <w:r w:rsidR="00CF75A7">
              <w:rPr>
                <w:rFonts w:ascii="Arial" w:hAnsi="Arial" w:cs="Arial"/>
                <w:sz w:val="20"/>
                <w:szCs w:val="20"/>
                <w:vertAlign w:val="superscript"/>
              </w:rPr>
              <w:t>c</w:t>
            </w:r>
          </w:p>
        </w:tc>
        <w:tc>
          <w:tcPr>
            <w:tcW w:w="1118" w:type="dxa"/>
          </w:tcPr>
          <w:p w14:paraId="30CF38AC" w14:textId="7A34330C"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88.75</w:t>
            </w:r>
            <w:r w:rsidR="00BC6DA8">
              <w:rPr>
                <w:rFonts w:ascii="Arial" w:hAnsi="Arial" w:cs="Arial"/>
                <w:sz w:val="20"/>
                <w:szCs w:val="20"/>
                <w:vertAlign w:val="superscript"/>
              </w:rPr>
              <w:t>bc</w:t>
            </w:r>
          </w:p>
        </w:tc>
        <w:tc>
          <w:tcPr>
            <w:tcW w:w="1118" w:type="dxa"/>
          </w:tcPr>
          <w:p w14:paraId="18BDDEA0" w14:textId="2E8FD615"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86.75</w:t>
            </w:r>
            <w:r w:rsidR="00BC6DA8">
              <w:rPr>
                <w:rFonts w:ascii="Arial" w:hAnsi="Arial" w:cs="Arial"/>
                <w:sz w:val="20"/>
                <w:szCs w:val="20"/>
                <w:vertAlign w:val="superscript"/>
              </w:rPr>
              <w:t>c</w:t>
            </w:r>
          </w:p>
        </w:tc>
      </w:tr>
      <w:tr w:rsidR="002D260B" w:rsidRPr="000570FF" w14:paraId="63A67897" w14:textId="77777777" w:rsidTr="00B218D2">
        <w:tc>
          <w:tcPr>
            <w:cnfStyle w:val="001000000000" w:firstRow="0" w:lastRow="0" w:firstColumn="1" w:lastColumn="0" w:oddVBand="0" w:evenVBand="0" w:oddHBand="0" w:evenHBand="0" w:firstRowFirstColumn="0" w:firstRowLastColumn="0" w:lastRowFirstColumn="0" w:lastRowLastColumn="0"/>
            <w:tcW w:w="4297" w:type="dxa"/>
          </w:tcPr>
          <w:p w14:paraId="27E6EC8C" w14:textId="77777777" w:rsidR="002D260B" w:rsidRPr="000570FF" w:rsidRDefault="002D260B" w:rsidP="00B218D2">
            <w:pPr>
              <w:rPr>
                <w:rFonts w:ascii="Arial" w:hAnsi="Arial" w:cs="Arial"/>
                <w:sz w:val="20"/>
                <w:szCs w:val="20"/>
              </w:rPr>
            </w:pPr>
            <w:r w:rsidRPr="000570FF">
              <w:rPr>
                <w:rFonts w:ascii="Arial" w:hAnsi="Arial" w:cs="Arial"/>
                <w:sz w:val="20"/>
                <w:szCs w:val="20"/>
              </w:rPr>
              <w:t>C.D(0.05)</w:t>
            </w:r>
          </w:p>
        </w:tc>
        <w:tc>
          <w:tcPr>
            <w:tcW w:w="1365" w:type="dxa"/>
          </w:tcPr>
          <w:p w14:paraId="610D77AC"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hAnsi="Arial" w:cs="Arial"/>
                <w:sz w:val="20"/>
                <w:szCs w:val="20"/>
              </w:rPr>
              <w:t>0.740</w:t>
            </w:r>
          </w:p>
        </w:tc>
        <w:tc>
          <w:tcPr>
            <w:tcW w:w="1118" w:type="dxa"/>
          </w:tcPr>
          <w:p w14:paraId="5CB4DFE5" w14:textId="2F52D8D9"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1.219</w:t>
            </w:r>
          </w:p>
        </w:tc>
        <w:tc>
          <w:tcPr>
            <w:tcW w:w="1118" w:type="dxa"/>
          </w:tcPr>
          <w:p w14:paraId="21FE28F0" w14:textId="5EE66DA4" w:rsidR="002D260B" w:rsidRPr="000570FF" w:rsidRDefault="00CC1AA9"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1.003</w:t>
            </w:r>
          </w:p>
        </w:tc>
        <w:tc>
          <w:tcPr>
            <w:tcW w:w="1118" w:type="dxa"/>
          </w:tcPr>
          <w:p w14:paraId="2E754360" w14:textId="77777777" w:rsidR="002D260B" w:rsidRPr="000570FF" w:rsidRDefault="002D260B" w:rsidP="00B218D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0.685</w:t>
            </w:r>
          </w:p>
        </w:tc>
      </w:tr>
      <w:tr w:rsidR="002D260B" w:rsidRPr="000570FF" w14:paraId="45D76D34" w14:textId="77777777" w:rsidTr="00B218D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4297" w:type="dxa"/>
          </w:tcPr>
          <w:p w14:paraId="046D13F9" w14:textId="77777777" w:rsidR="002D260B" w:rsidRPr="000570FF" w:rsidRDefault="002D260B" w:rsidP="00B218D2">
            <w:pPr>
              <w:rPr>
                <w:rFonts w:ascii="Arial" w:hAnsi="Arial" w:cs="Arial"/>
                <w:sz w:val="20"/>
                <w:szCs w:val="20"/>
              </w:rPr>
            </w:pPr>
            <w:r w:rsidRPr="000570FF">
              <w:rPr>
                <w:rFonts w:ascii="Arial" w:hAnsi="Arial" w:cs="Arial"/>
                <w:sz w:val="20"/>
                <w:szCs w:val="20"/>
              </w:rPr>
              <w:t>SE(m)</w:t>
            </w:r>
          </w:p>
        </w:tc>
        <w:tc>
          <w:tcPr>
            <w:tcW w:w="1365" w:type="dxa"/>
          </w:tcPr>
          <w:p w14:paraId="67A3E623"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hAnsi="Arial" w:cs="Arial"/>
                <w:sz w:val="20"/>
                <w:szCs w:val="20"/>
              </w:rPr>
              <w:t>0.250</w:t>
            </w:r>
          </w:p>
        </w:tc>
        <w:tc>
          <w:tcPr>
            <w:tcW w:w="1118" w:type="dxa"/>
          </w:tcPr>
          <w:p w14:paraId="15C0ACC7" w14:textId="77777777" w:rsidR="002D260B" w:rsidRPr="000570FF" w:rsidRDefault="002D260B"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0.412</w:t>
            </w:r>
          </w:p>
        </w:tc>
        <w:tc>
          <w:tcPr>
            <w:tcW w:w="1118" w:type="dxa"/>
          </w:tcPr>
          <w:p w14:paraId="1BB0FC87" w14:textId="4DC6DA41" w:rsidR="002D260B" w:rsidRPr="000570FF" w:rsidRDefault="00CC1AA9" w:rsidP="00B218D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AA9">
              <w:rPr>
                <w:rFonts w:ascii="Arial" w:eastAsia="Times New Roman" w:hAnsi="Arial" w:cs="Arial"/>
                <w:sz w:val="20"/>
                <w:szCs w:val="20"/>
                <w:lang w:val="en-US"/>
              </w:rPr>
              <w:t>0.341</w:t>
            </w:r>
          </w:p>
        </w:tc>
        <w:tc>
          <w:tcPr>
            <w:tcW w:w="1118" w:type="dxa"/>
          </w:tcPr>
          <w:p w14:paraId="6FD47D4A" w14:textId="77777777" w:rsidR="002D260B" w:rsidRPr="000570FF" w:rsidRDefault="002D260B" w:rsidP="00B218D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570FF">
              <w:rPr>
                <w:rFonts w:ascii="Arial" w:eastAsia="Times New Roman" w:hAnsi="Arial" w:cs="Arial"/>
                <w:sz w:val="20"/>
                <w:szCs w:val="20"/>
              </w:rPr>
              <w:t>0.231</w:t>
            </w:r>
          </w:p>
        </w:tc>
      </w:tr>
    </w:tbl>
    <w:p w14:paraId="74853E54" w14:textId="77777777" w:rsidR="002D260B" w:rsidRPr="000570FF" w:rsidRDefault="002D260B" w:rsidP="002D260B">
      <w:pPr>
        <w:pStyle w:val="Caption"/>
        <w:rPr>
          <w:rFonts w:ascii="Arial" w:hAnsi="Arial" w:cs="Arial"/>
          <w:color w:val="0D0D0D" w:themeColor="text1" w:themeTint="F2"/>
        </w:rPr>
      </w:pPr>
      <w:r w:rsidRPr="000570FF">
        <w:rPr>
          <w:rFonts w:ascii="Arial" w:hAnsi="Arial" w:cs="Arial"/>
          <w:color w:val="0D0D0D" w:themeColor="text1" w:themeTint="F2"/>
        </w:rPr>
        <w:t>* MAS- Months after storage</w:t>
      </w:r>
    </w:p>
    <w:p w14:paraId="36B4FF92" w14:textId="77777777" w:rsidR="002D260B" w:rsidRPr="002D260B" w:rsidRDefault="002D260B" w:rsidP="002D260B">
      <w:pPr>
        <w:rPr>
          <w:rFonts w:ascii="Arial" w:hAnsi="Arial" w:cs="Arial"/>
          <w:sz w:val="22"/>
          <w:szCs w:val="22"/>
        </w:rPr>
      </w:pPr>
    </w:p>
    <w:p w14:paraId="58BD62F9" w14:textId="77777777" w:rsidR="002D260B" w:rsidRDefault="002D260B" w:rsidP="002D260B">
      <w:pPr>
        <w:rPr>
          <w:rFonts w:ascii="Arial" w:hAnsi="Arial" w:cs="Arial"/>
          <w:b/>
          <w:bCs/>
          <w:sz w:val="22"/>
          <w:szCs w:val="22"/>
        </w:rPr>
      </w:pPr>
      <w:r w:rsidRPr="002D260B">
        <w:rPr>
          <w:rFonts w:ascii="Arial" w:hAnsi="Arial" w:cs="Arial"/>
          <w:b/>
          <w:bCs/>
          <w:sz w:val="22"/>
          <w:szCs w:val="22"/>
        </w:rPr>
        <w:t>3.3 Mean germination time (MGT)</w:t>
      </w:r>
    </w:p>
    <w:p w14:paraId="6A86E99A" w14:textId="77777777" w:rsidR="002D260B" w:rsidRPr="002D260B" w:rsidRDefault="002D260B" w:rsidP="002D260B">
      <w:pPr>
        <w:rPr>
          <w:rFonts w:ascii="Arial" w:hAnsi="Arial" w:cs="Arial"/>
          <w:b/>
          <w:bCs/>
          <w:sz w:val="22"/>
          <w:szCs w:val="22"/>
        </w:rPr>
      </w:pPr>
    </w:p>
    <w:p w14:paraId="748AC99D" w14:textId="33507B41" w:rsidR="002D260B" w:rsidRPr="000570FF" w:rsidRDefault="002D260B" w:rsidP="002D260B">
      <w:pPr>
        <w:jc w:val="both"/>
        <w:rPr>
          <w:rFonts w:ascii="Arial" w:hAnsi="Arial" w:cs="Arial"/>
        </w:rPr>
      </w:pPr>
      <w:r>
        <w:rPr>
          <w:rFonts w:ascii="Arial" w:hAnsi="Arial" w:cs="Arial"/>
        </w:rPr>
        <w:tab/>
      </w:r>
      <w:r w:rsidRPr="000570FF">
        <w:rPr>
          <w:rFonts w:ascii="Arial" w:hAnsi="Arial" w:cs="Arial"/>
        </w:rPr>
        <w:t>Mean germination time increased over time, indicating slower germination with seed ageing. Previous studies indicate</w:t>
      </w:r>
      <w:r w:rsidR="00902E54">
        <w:rPr>
          <w:rFonts w:ascii="Arial" w:hAnsi="Arial" w:cs="Arial"/>
        </w:rPr>
        <w:t>s that</w:t>
      </w:r>
      <w:r w:rsidRPr="000570FF">
        <w:rPr>
          <w:rFonts w:ascii="Arial" w:hAnsi="Arial" w:cs="Arial"/>
        </w:rPr>
        <w:t xml:space="preserve"> lower MGT values correlates with better seed vigour. The initial MGT before the treatment was 3.95 days. Post application of the treatments, </w:t>
      </w:r>
      <w:r w:rsidR="00902E54">
        <w:rPr>
          <w:rFonts w:ascii="Arial" w:hAnsi="Arial" w:cs="Arial"/>
        </w:rPr>
        <w:t xml:space="preserve">a </w:t>
      </w:r>
      <w:r w:rsidRPr="000570FF">
        <w:rPr>
          <w:rFonts w:ascii="Arial" w:hAnsi="Arial" w:cs="Arial"/>
        </w:rPr>
        <w:t>combination of hydration-dehydration and neem oil recorded the lowest MGT of 3.22 days, a</w:t>
      </w:r>
      <w:r w:rsidR="00902E54">
        <w:rPr>
          <w:rFonts w:ascii="Arial" w:hAnsi="Arial" w:cs="Arial"/>
        </w:rPr>
        <w:t>n</w:t>
      </w:r>
      <w:r w:rsidRPr="000570FF">
        <w:rPr>
          <w:rFonts w:ascii="Arial" w:hAnsi="Arial" w:cs="Arial"/>
        </w:rPr>
        <w:t xml:space="preserve"> 18.48% reduction from the initial while the control showed a 1.52% increase from the initial (4.01 days). </w:t>
      </w:r>
    </w:p>
    <w:p w14:paraId="0B65801A" w14:textId="2FEF2813" w:rsidR="002D260B" w:rsidRDefault="002D260B" w:rsidP="002D260B">
      <w:pPr>
        <w:jc w:val="both"/>
        <w:rPr>
          <w:rFonts w:ascii="Arial" w:hAnsi="Arial" w:cs="Arial"/>
        </w:rPr>
      </w:pPr>
      <w:r>
        <w:rPr>
          <w:rFonts w:ascii="Arial" w:hAnsi="Arial" w:cs="Arial"/>
        </w:rPr>
        <w:tab/>
      </w:r>
      <w:r w:rsidRPr="000570FF">
        <w:rPr>
          <w:rFonts w:ascii="Arial" w:hAnsi="Arial" w:cs="Arial"/>
        </w:rPr>
        <w:t xml:space="preserve">During the storage, MGT values gradually increased across all treatments. At the end of the 3-month storage, hydration-dehydration in combination with neem oil and hydration-dehydration recorded the lowest MGT (4.23days and 4.28 days respectively) compared to the for the control which exhibited higher mean germination time </w:t>
      </w:r>
      <w:r w:rsidR="00902E54">
        <w:rPr>
          <w:rFonts w:ascii="Arial" w:hAnsi="Arial" w:cs="Arial"/>
        </w:rPr>
        <w:t xml:space="preserve">of </w:t>
      </w:r>
      <w:r w:rsidRPr="000570FF">
        <w:rPr>
          <w:rFonts w:ascii="Arial" w:hAnsi="Arial" w:cs="Arial"/>
        </w:rPr>
        <w:t xml:space="preserve">4.45 days. </w:t>
      </w:r>
    </w:p>
    <w:p w14:paraId="5D7C97D4" w14:textId="77777777" w:rsidR="002D260B" w:rsidRPr="000570FF" w:rsidRDefault="002D260B" w:rsidP="002D260B">
      <w:pPr>
        <w:jc w:val="both"/>
        <w:rPr>
          <w:rFonts w:ascii="Arial" w:hAnsi="Arial" w:cs="Arial"/>
        </w:rPr>
      </w:pPr>
    </w:p>
    <w:p w14:paraId="743DB5F6" w14:textId="77777777" w:rsidR="002D260B" w:rsidRPr="002D260B" w:rsidRDefault="002D260B" w:rsidP="002D260B">
      <w:pPr>
        <w:rPr>
          <w:rFonts w:ascii="Arial" w:hAnsi="Arial" w:cs="Arial"/>
          <w:b/>
          <w:bCs/>
          <w:sz w:val="22"/>
          <w:szCs w:val="22"/>
        </w:rPr>
      </w:pPr>
      <w:r w:rsidRPr="002D260B">
        <w:rPr>
          <w:rFonts w:ascii="Arial" w:hAnsi="Arial" w:cs="Arial"/>
          <w:b/>
          <w:bCs/>
          <w:sz w:val="22"/>
          <w:szCs w:val="22"/>
        </w:rPr>
        <w:t>3.4 Seedling vigour indices</w:t>
      </w:r>
    </w:p>
    <w:p w14:paraId="4FF026DB" w14:textId="5AF4967A" w:rsidR="002D260B" w:rsidRPr="000570FF" w:rsidRDefault="002D260B" w:rsidP="002D260B">
      <w:pPr>
        <w:jc w:val="both"/>
        <w:rPr>
          <w:rFonts w:ascii="Arial" w:hAnsi="Arial" w:cs="Arial"/>
          <w:b/>
          <w:bCs/>
        </w:rPr>
      </w:pPr>
      <w:r w:rsidRPr="000570FF">
        <w:rPr>
          <w:rFonts w:ascii="Arial" w:hAnsi="Arial" w:cs="Arial"/>
          <w:b/>
          <w:bCs/>
        </w:rPr>
        <w:t xml:space="preserve"> </w:t>
      </w:r>
    </w:p>
    <w:p w14:paraId="4B0F8F5A" w14:textId="04E11AC0" w:rsidR="002D260B" w:rsidRPr="000570FF" w:rsidRDefault="002D260B" w:rsidP="002D260B">
      <w:pPr>
        <w:jc w:val="both"/>
        <w:rPr>
          <w:rFonts w:ascii="Arial" w:hAnsi="Arial" w:cs="Arial"/>
        </w:rPr>
      </w:pPr>
      <w:r>
        <w:rPr>
          <w:rFonts w:ascii="Arial" w:hAnsi="Arial" w:cs="Arial"/>
        </w:rPr>
        <w:tab/>
      </w:r>
      <w:r w:rsidRPr="000570FF">
        <w:rPr>
          <w:rFonts w:ascii="Arial" w:hAnsi="Arial" w:cs="Arial"/>
        </w:rPr>
        <w:t>Seedling vigour indices I&amp;II trends showed results that closely paralleled to that were observed for germination percentage. For seedling vigour index I, hydration-dehydration in combination with neem oil achieved the highest values (2735 at post application of treatments, declining to 2159 at month 3), followed by hydration-dehydration (2717 to 2130). The control fell from 2552 to 1991, a 21.98% reduction.</w:t>
      </w:r>
    </w:p>
    <w:p w14:paraId="2EFB49D6" w14:textId="4ACBF3EB" w:rsidR="002D260B" w:rsidRDefault="002D260B" w:rsidP="002D260B">
      <w:pPr>
        <w:jc w:val="both"/>
        <w:rPr>
          <w:rFonts w:ascii="Arial" w:hAnsi="Arial" w:cs="Arial"/>
        </w:rPr>
      </w:pPr>
      <w:r>
        <w:rPr>
          <w:rFonts w:ascii="Arial" w:hAnsi="Arial" w:cs="Arial"/>
        </w:rPr>
        <w:tab/>
      </w:r>
      <w:r w:rsidRPr="000570FF">
        <w:rPr>
          <w:rFonts w:ascii="Arial" w:hAnsi="Arial" w:cs="Arial"/>
        </w:rPr>
        <w:t>Similarly, seedling vigour index II showed superior performance by hydration-dehydration in combination with neem oil</w:t>
      </w:r>
      <w:r w:rsidR="00902E54">
        <w:rPr>
          <w:rFonts w:ascii="Arial" w:hAnsi="Arial" w:cs="Arial"/>
        </w:rPr>
        <w:t>,</w:t>
      </w:r>
      <w:r w:rsidRPr="000570FF">
        <w:rPr>
          <w:rFonts w:ascii="Arial" w:hAnsi="Arial" w:cs="Arial"/>
        </w:rPr>
        <w:t xml:space="preserve"> maintain high values consistently throughout the storage period. The hydration-dehydration and neem oil treatments followed closely (2083 and 1962, respectively), while </w:t>
      </w:r>
      <w:r w:rsidRPr="000570FF">
        <w:rPr>
          <w:rFonts w:ascii="Arial" w:hAnsi="Arial" w:cs="Arial"/>
        </w:rPr>
        <w:lastRenderedPageBreak/>
        <w:t>the control recorded the lowest values (1623) at the conclusion of the storage period. These results not only indicate enhanced initial growth but also superior seedling growth characteristics such as increased shoot and root length, and greater dry matter production.</w:t>
      </w:r>
    </w:p>
    <w:p w14:paraId="62393D53" w14:textId="77777777" w:rsidR="003B6351" w:rsidRPr="000570FF" w:rsidRDefault="003B6351" w:rsidP="002D260B">
      <w:pPr>
        <w:jc w:val="both"/>
        <w:rPr>
          <w:rFonts w:ascii="Arial" w:hAnsi="Arial" w:cs="Arial"/>
        </w:rPr>
      </w:pPr>
    </w:p>
    <w:p w14:paraId="794C5DEC" w14:textId="77777777" w:rsidR="002D260B" w:rsidRPr="000570FF" w:rsidRDefault="002D260B" w:rsidP="002D260B">
      <w:pPr>
        <w:keepNext/>
        <w:jc w:val="both"/>
        <w:rPr>
          <w:rFonts w:ascii="Arial" w:hAnsi="Arial" w:cs="Arial"/>
        </w:rPr>
      </w:pPr>
      <w:r w:rsidRPr="000570FF">
        <w:rPr>
          <w:rFonts w:ascii="Arial" w:hAnsi="Arial" w:cs="Arial"/>
          <w:noProof/>
        </w:rPr>
        <w:drawing>
          <wp:inline distT="0" distB="0" distL="0" distR="0" wp14:anchorId="36CC1DE6" wp14:editId="4FA3E003">
            <wp:extent cx="5745480" cy="2743200"/>
            <wp:effectExtent l="0" t="0" r="7620" b="0"/>
            <wp:docPr id="1886696653" name="Chart 1">
              <a:extLst xmlns:a="http://schemas.openxmlformats.org/drawingml/2006/main">
                <a:ext uri="{FF2B5EF4-FFF2-40B4-BE49-F238E27FC236}">
                  <a16:creationId xmlns:a16="http://schemas.microsoft.com/office/drawing/2014/main" id="{C386EA2A-3354-4F4A-3F4B-73E757D98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BC1602" w14:textId="76857004" w:rsidR="002D260B" w:rsidRPr="000570FF" w:rsidRDefault="002D260B" w:rsidP="002D260B">
      <w:pPr>
        <w:pStyle w:val="Caption"/>
        <w:jc w:val="both"/>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Fig.</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1</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w:t>
      </w:r>
      <w:r w:rsidR="00902E54">
        <w:rPr>
          <w:rFonts w:ascii="Arial" w:hAnsi="Arial" w:cs="Arial"/>
          <w:b/>
          <w:bCs/>
          <w:i w:val="0"/>
          <w:iCs w:val="0"/>
          <w:color w:val="0D0D0D" w:themeColor="text1" w:themeTint="F2"/>
          <w:sz w:val="20"/>
          <w:szCs w:val="20"/>
        </w:rPr>
        <w:t>Mid-storage</w:t>
      </w:r>
      <w:r w:rsidRPr="000570FF">
        <w:rPr>
          <w:rFonts w:ascii="Arial" w:hAnsi="Arial" w:cs="Arial"/>
          <w:b/>
          <w:bCs/>
          <w:i w:val="0"/>
          <w:iCs w:val="0"/>
          <w:color w:val="0D0D0D" w:themeColor="text1" w:themeTint="F2"/>
          <w:sz w:val="20"/>
          <w:szCs w:val="20"/>
        </w:rPr>
        <w:t xml:space="preserve"> seed treatment on seedling vigour index I of five-month-old seeds</w:t>
      </w:r>
    </w:p>
    <w:p w14:paraId="27A4F42A" w14:textId="77777777" w:rsidR="002D260B" w:rsidRPr="000570FF" w:rsidRDefault="002D260B" w:rsidP="002D260B">
      <w:pPr>
        <w:pStyle w:val="Caption"/>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7E37B3E4" w14:textId="77777777" w:rsidR="002D260B" w:rsidRPr="000570FF" w:rsidRDefault="002D260B" w:rsidP="002D260B">
      <w:pPr>
        <w:keepNext/>
        <w:rPr>
          <w:rFonts w:ascii="Arial" w:hAnsi="Arial" w:cs="Arial"/>
        </w:rPr>
      </w:pPr>
      <w:r w:rsidRPr="000570FF">
        <w:rPr>
          <w:rFonts w:ascii="Arial" w:hAnsi="Arial" w:cs="Arial"/>
          <w:noProof/>
        </w:rPr>
        <w:drawing>
          <wp:inline distT="0" distB="0" distL="0" distR="0" wp14:anchorId="5CD5BCAA" wp14:editId="7C21E4D9">
            <wp:extent cx="5859780" cy="2743200"/>
            <wp:effectExtent l="0" t="0" r="7620" b="0"/>
            <wp:docPr id="1102721198" name="Chart 1">
              <a:extLst xmlns:a="http://schemas.openxmlformats.org/drawingml/2006/main">
                <a:ext uri="{FF2B5EF4-FFF2-40B4-BE49-F238E27FC236}">
                  <a16:creationId xmlns:a16="http://schemas.microsoft.com/office/drawing/2014/main" id="{F5AC1B99-4C48-25C6-8472-6D65511E2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FD315B" w14:textId="13AF4179" w:rsidR="002D260B" w:rsidRPr="000570FF" w:rsidRDefault="002D260B" w:rsidP="002D260B">
      <w:pPr>
        <w:pStyle w:val="Caption"/>
        <w:rPr>
          <w:rFonts w:ascii="Arial" w:hAnsi="Arial" w:cs="Arial"/>
          <w:b/>
          <w:bCs/>
          <w:i w:val="0"/>
          <w:iCs w:val="0"/>
          <w:color w:val="0D0D0D" w:themeColor="text1" w:themeTint="F2"/>
          <w:sz w:val="20"/>
          <w:szCs w:val="20"/>
        </w:rPr>
      </w:pPr>
      <w:r w:rsidRPr="000570FF">
        <w:rPr>
          <w:rFonts w:ascii="Arial" w:hAnsi="Arial" w:cs="Arial"/>
          <w:b/>
          <w:bCs/>
          <w:i w:val="0"/>
          <w:iCs w:val="0"/>
          <w:color w:val="0D0D0D" w:themeColor="text1" w:themeTint="F2"/>
          <w:sz w:val="20"/>
          <w:szCs w:val="20"/>
        </w:rPr>
        <w:t xml:space="preserve">Fig </w:t>
      </w:r>
      <w:r w:rsidRPr="000570FF">
        <w:rPr>
          <w:rFonts w:ascii="Arial" w:hAnsi="Arial" w:cs="Arial"/>
          <w:b/>
          <w:bCs/>
          <w:i w:val="0"/>
          <w:iCs w:val="0"/>
          <w:color w:val="0D0D0D" w:themeColor="text1" w:themeTint="F2"/>
          <w:sz w:val="20"/>
          <w:szCs w:val="20"/>
        </w:rPr>
        <w:fldChar w:fldCharType="begin"/>
      </w:r>
      <w:r w:rsidRPr="000570FF">
        <w:rPr>
          <w:rFonts w:ascii="Arial" w:hAnsi="Arial" w:cs="Arial"/>
          <w:b/>
          <w:bCs/>
          <w:i w:val="0"/>
          <w:iCs w:val="0"/>
          <w:color w:val="0D0D0D" w:themeColor="text1" w:themeTint="F2"/>
          <w:sz w:val="20"/>
          <w:szCs w:val="20"/>
        </w:rPr>
        <w:instrText xml:space="preserve"> SEQ Figure \* ARABIC </w:instrText>
      </w:r>
      <w:r w:rsidRPr="000570FF">
        <w:rPr>
          <w:rFonts w:ascii="Arial" w:hAnsi="Arial" w:cs="Arial"/>
          <w:b/>
          <w:bCs/>
          <w:i w:val="0"/>
          <w:iCs w:val="0"/>
          <w:color w:val="0D0D0D" w:themeColor="text1" w:themeTint="F2"/>
          <w:sz w:val="20"/>
          <w:szCs w:val="20"/>
        </w:rPr>
        <w:fldChar w:fldCharType="separate"/>
      </w:r>
      <w:r w:rsidRPr="000570FF">
        <w:rPr>
          <w:rFonts w:ascii="Arial" w:hAnsi="Arial" w:cs="Arial"/>
          <w:b/>
          <w:bCs/>
          <w:i w:val="0"/>
          <w:iCs w:val="0"/>
          <w:noProof/>
          <w:color w:val="0D0D0D" w:themeColor="text1" w:themeTint="F2"/>
          <w:sz w:val="20"/>
          <w:szCs w:val="20"/>
        </w:rPr>
        <w:t>2</w:t>
      </w:r>
      <w:r w:rsidRPr="000570FF">
        <w:rPr>
          <w:rFonts w:ascii="Arial" w:hAnsi="Arial" w:cs="Arial"/>
          <w:b/>
          <w:bCs/>
          <w:i w:val="0"/>
          <w:iCs w:val="0"/>
          <w:color w:val="0D0D0D" w:themeColor="text1" w:themeTint="F2"/>
          <w:sz w:val="20"/>
          <w:szCs w:val="20"/>
        </w:rPr>
        <w:fldChar w:fldCharType="end"/>
      </w:r>
      <w:r w:rsidRPr="000570FF">
        <w:rPr>
          <w:rFonts w:ascii="Arial" w:hAnsi="Arial" w:cs="Arial"/>
          <w:b/>
          <w:bCs/>
          <w:i w:val="0"/>
          <w:iCs w:val="0"/>
          <w:color w:val="0D0D0D" w:themeColor="text1" w:themeTint="F2"/>
          <w:sz w:val="20"/>
          <w:szCs w:val="20"/>
        </w:rPr>
        <w:t xml:space="preserve"> Effect of </w:t>
      </w:r>
      <w:r w:rsidR="00902E54">
        <w:rPr>
          <w:rFonts w:ascii="Arial" w:hAnsi="Arial" w:cs="Arial"/>
          <w:b/>
          <w:bCs/>
          <w:i w:val="0"/>
          <w:iCs w:val="0"/>
          <w:color w:val="0D0D0D" w:themeColor="text1" w:themeTint="F2"/>
          <w:sz w:val="20"/>
          <w:szCs w:val="20"/>
        </w:rPr>
        <w:t>Mid-storage</w:t>
      </w:r>
      <w:r w:rsidRPr="000570FF">
        <w:rPr>
          <w:rFonts w:ascii="Arial" w:hAnsi="Arial" w:cs="Arial"/>
          <w:b/>
          <w:bCs/>
          <w:i w:val="0"/>
          <w:iCs w:val="0"/>
          <w:color w:val="0D0D0D" w:themeColor="text1" w:themeTint="F2"/>
          <w:sz w:val="20"/>
          <w:szCs w:val="20"/>
        </w:rPr>
        <w:t xml:space="preserve"> seed treatment on seedling vigour index II of five-month-old seeds</w:t>
      </w:r>
    </w:p>
    <w:p w14:paraId="415B4FE4" w14:textId="77777777" w:rsidR="002D260B" w:rsidRPr="000570FF" w:rsidRDefault="002D260B" w:rsidP="002D260B">
      <w:pPr>
        <w:pStyle w:val="Caption"/>
        <w:jc w:val="center"/>
        <w:rPr>
          <w:rFonts w:ascii="Arial" w:hAnsi="Arial" w:cs="Arial"/>
          <w:color w:val="0D0D0D" w:themeColor="text1" w:themeTint="F2"/>
        </w:rPr>
      </w:pPr>
      <w:r w:rsidRPr="000570FF">
        <w:rPr>
          <w:rFonts w:ascii="Arial" w:hAnsi="Arial" w:cs="Arial"/>
          <w:color w:val="0D0D0D" w:themeColor="text1" w:themeTint="F2"/>
        </w:rPr>
        <w:t>* MAS- Months after storage</w:t>
      </w:r>
    </w:p>
    <w:p w14:paraId="6714C3E1" w14:textId="77777777" w:rsidR="002D260B" w:rsidRDefault="002D260B" w:rsidP="002D260B">
      <w:pPr>
        <w:jc w:val="both"/>
        <w:rPr>
          <w:rFonts w:ascii="Arial" w:hAnsi="Arial" w:cs="Arial"/>
          <w:b/>
          <w:bCs/>
          <w:sz w:val="22"/>
          <w:szCs w:val="22"/>
        </w:rPr>
      </w:pPr>
      <w:r w:rsidRPr="002D260B">
        <w:rPr>
          <w:rFonts w:ascii="Arial" w:hAnsi="Arial" w:cs="Arial"/>
          <w:b/>
          <w:bCs/>
          <w:sz w:val="22"/>
          <w:szCs w:val="22"/>
        </w:rPr>
        <w:t>3.6 Electrical conductivity (EC)</w:t>
      </w:r>
    </w:p>
    <w:p w14:paraId="6DFDFD63" w14:textId="77777777" w:rsidR="002D260B" w:rsidRPr="002D260B" w:rsidRDefault="002D260B" w:rsidP="002D260B">
      <w:pPr>
        <w:jc w:val="both"/>
        <w:rPr>
          <w:rFonts w:ascii="Arial" w:hAnsi="Arial" w:cs="Arial"/>
          <w:sz w:val="22"/>
          <w:szCs w:val="22"/>
        </w:rPr>
      </w:pPr>
    </w:p>
    <w:p w14:paraId="22AB77B7" w14:textId="77ABB7B0" w:rsidR="002D260B" w:rsidRDefault="002D260B" w:rsidP="002D260B">
      <w:pPr>
        <w:jc w:val="both"/>
        <w:rPr>
          <w:rFonts w:ascii="Arial" w:hAnsi="Arial" w:cs="Arial"/>
        </w:rPr>
      </w:pPr>
      <w:r>
        <w:rPr>
          <w:rFonts w:ascii="Arial" w:hAnsi="Arial" w:cs="Arial"/>
        </w:rPr>
        <w:tab/>
      </w:r>
      <w:r w:rsidRPr="000570FF">
        <w:rPr>
          <w:rFonts w:ascii="Arial" w:hAnsi="Arial" w:cs="Arial"/>
        </w:rPr>
        <w:t xml:space="preserve">The electrical conductivity test assesses the quantity of electrolytes released by seeds during soaking, which correlates with the condition of cell membranes </w:t>
      </w:r>
      <w:r w:rsidRPr="000570FF">
        <w:rPr>
          <w:rFonts w:ascii="Arial" w:hAnsi="Arial" w:cs="Arial"/>
        </w:rPr>
        <w:fldChar w:fldCharType="begin"/>
      </w:r>
      <w:r w:rsidRPr="000570FF">
        <w:rPr>
          <w:rFonts w:ascii="Arial" w:hAnsi="Arial" w:cs="Arial"/>
        </w:rPr>
        <w:instrText xml:space="preserve"> ADDIN ZOTERO_ITEM CSL_CITATION {"citationID":"qEwIOHaY","properties":{"formattedCitation":"(Matthews &amp; Powell, n.d.)","plainCitation":"(Matthews &amp; Powell, n.d.)","dontUpdate":true,"noteIndex":0},"citationItems":[{"id":207,"uris":["http://zotero.org/users/17653858/items/EXLB36HF"],"itemData":{"id":207,"type":"article-journal","language":"en","source":"Zotero","title":"Electrical Conductivity Vigour Test: Physiological Basis and Use","author":[{"family":"Matthews","given":"Stan"},{"family":"Powell","given":"Alison"}]}}],"schema":"https://github.com/citation-style-language/schema/raw/master/csl-citation.json"} </w:instrText>
      </w:r>
      <w:r w:rsidRPr="000570FF">
        <w:rPr>
          <w:rFonts w:ascii="Arial" w:hAnsi="Arial" w:cs="Arial"/>
        </w:rPr>
        <w:fldChar w:fldCharType="separate"/>
      </w:r>
      <w:r w:rsidRPr="000570FF">
        <w:rPr>
          <w:rFonts w:ascii="Arial" w:hAnsi="Arial" w:cs="Arial"/>
        </w:rPr>
        <w:t>(Matthews &amp; Powell, 1981.)</w:t>
      </w:r>
      <w:r w:rsidRPr="000570FF">
        <w:rPr>
          <w:rFonts w:ascii="Arial" w:hAnsi="Arial" w:cs="Arial"/>
        </w:rPr>
        <w:fldChar w:fldCharType="end"/>
      </w:r>
      <w:r w:rsidRPr="000570FF">
        <w:rPr>
          <w:rFonts w:ascii="Arial" w:hAnsi="Arial" w:cs="Arial"/>
        </w:rPr>
        <w:t xml:space="preserve">.Seeds of high vigour exhibits minimal electrolyte leakage, consequently conserving metabolic resources essential for successful germination. In contrast, seeds of low vigour display 2-3 times higher electrical conductivity </w:t>
      </w:r>
      <w:r w:rsidRPr="000570FF">
        <w:rPr>
          <w:rFonts w:ascii="Arial" w:hAnsi="Arial" w:cs="Arial"/>
        </w:rPr>
        <w:fldChar w:fldCharType="begin"/>
      </w:r>
      <w:r w:rsidRPr="000570FF">
        <w:rPr>
          <w:rFonts w:ascii="Arial" w:hAnsi="Arial" w:cs="Arial"/>
        </w:rPr>
        <w:instrText xml:space="preserve"> ADDIN ZOTERO_ITEM CSL_CITATION {"citationID":"lmtX1fAY","properties":{"formattedCitation":"(Colete et al., 2004; Prado et al., 2019)","plainCitation":"(Colete et al., 2004; Prado et al., 2019)","noteIndex":0},"citationItems":[{"id":208,"uris":["http://zotero.org/users/17653858/items/TSLFDPPV"],"itemData":{"id":208,"type":"article-journal","abstract":"Evaluation of soybean [Glycine max (L.) Merrill] seeds vigor and its relation with field seedling emergence can provide secure indicatives of seed physiological potential. The present research studied the relationship between the electrical conductivity test and the seedling emergence of soybean in field and laboratory. The field experiment was sown in November 26th, December 3td and 10th, 2000. Laboratory tests were performed using levels of water potential in the substrate (soil) -0.03; -0.2; -0.4; and -0.6 MPa. Fourteen seed lots, seven of 'Embrapa 48' and seven of 'BRS 133' soybean cultivars were used. Laboratory tests comprised seed water content determination, before and after the accelerated aging; germination and vigor tests (accelerated aging and electrical conductivity). Germination and seedling emergence decreased as the substrate water potential was reduced, indicating a relationship among the germination, water potential and seed vigor. For the 'Embrapa 48' higher vigor seed lots, the best performance occurred at -0.6 MPa water potential. The electrical conductivity test may be efficient to evaluate soybean seed vigor and, consequently, the performance potential in the field. However, further studies are necessary to determine the values or the range of values that indicate the seed vigor level and the adequate use of a given seed lot.\n          , \n            A avaliação do vigor e sua relação com a emergência de plântulas em campo é fundamental para a estimativa correta do potencial fisiológico de sementes de soja [Glycine max (L.) Merrill]. O presente trabalho objetivou verificar a relação entre os resultados do teste de condutividade elétrica (CE) e os da emergência de plântulas de soja em campo e em laboratório. Foram estudados níveis de disponibilidade de água no substrato -0,03; -0,2; -0,4; e -0,6 MPa. Foram avaliados 14 lotes de sementes das cultivares Embrapa 48 e BRS 133. O experimento em campo foi conduzido em três épocas de semeadura (26/11 e 3 e 10/12/2000); em laboratório, foram determinados o teor de água, antes e após o envelhecimento acelerado (EA) das sementes, a germinação e o vigor (testes de EA e de CE). A redução progressiva da quantidade de água no substrato provocou diminuição das porcentagens de germinação e de emergência de plântulas em laboratório, de modo que o desempenho germinativo das sementes dependeu dos níveis de estresse hídrico e do vigor da semente. Para lotes de maior vigor da cultivar Embrapa 48, o melhor desempenho ocorreu sob o potencial hídrico de -0,6 MPa. CE pode ser um eficiente procedimento para a avaliação do potencial fisiológico e desempenho de lotes de sementes de soja, necessitando, porém, que estudos adicionais sejam conduzidos para o estabelecimento de valores ou limites de valores para caracterizar o nível de vigor das sementes (alto, médio ou baixo) permitindo direcionar de maneira consistente o uso dos lotes de sementes.","container-title":"Scientia Agricola","DOI":"10.1590/S0103-90162004000400006","ISSN":"0103-9016","issue":"4","journalAbbreviation":"Sci. agric. (Piracicaba, Braz.)","page":"386-391","source":"DOI.org (Crossref)","title":"Electrical conductivity and soybean seedling emergence","URL":"http://www.scielo.br/scielo.php?script=sci_arttext&amp;pid=S0103-90162004000400006&amp;lng=en&amp;tlng=en","volume":"61","author":[{"family":"Colete","given":"Julio Cesar Fachini"},{"family":"Vieira","given":"Roberval Daiton"},{"family":"Dutra","given":"Alek Sandro"}],"accessed":{"date-parts":[["2025",11,3]]},"issued":{"date-parts":[["2004"]]}}},{"id":210,"uris":["http://zotero.org/users/17653858/items/P6FGLA8W"],"itemData":{"id":210,"type":"article-journal","abstract":"Abstract: Electrical conductivity (EC) stands out among vigor tests because of its capability of detecting damage in seeds in the initial stage, since EC is related to disorganization of the cell membrane. The aim of this paper was to study use of the EC test as an alternative for vigor evaluation in soybean seeds, verifying its relationship to different vigor tests and thus suggesting values and the range of values of electrical conductivity that indicate the performance potential of a seed lot in the field. Eleven seed lots from each of four soybean cultivars were used for this study. The moisture level was determined and the following tests were performed: electrical conductivity, germination, tetrazolium, accelerated aging, first germination count, seedling vigor classification and emergence of seedlings in the field and in sand. The EC test had a significant and negative correlation (p &lt; 0.01) with all the tests performed. Linear regression analysis allowed separation of the seed lots into classifications of very high vigor (EC ≤ 70 μS.cm-1.g-1), high vigor (EC from 71 to 90 μS.cm-1.g-1), medium vigor (EC from 91 to 110 μS.cm-1.g-1) and low vigor (EC ≥ 111 μS.cm-1.g-1).\n          , \n            Resumo: O teste de condutividade elétrica (CE) é capaz de detectar a deterioração de sementes ainda em sua fase inicial, tendo em vista que está relacionado com a desorganização das membranas celulares. Deste modo, o presente trabalho teve por objetivo o estudo da utilização do teste de CE como alternativa para avaliação de vigor de sementes de soja verificando sua relação com diferentes testes de vigor e, assim, sugerir valores e faixa de valores de condutividade elétrica que indiquem o potencial de desempenho de um lote de sementes em campo. Para tanto, foram utilizados lotes de sementes de soja de quatro cultivares, onze lotes de cada. Foram determinados o teor de água e realizados os testes de condutividade elétrica, germinação, tetrazólio, envelhecimento acelerado, primeira contagem, classificação de vigor de plântulas, emergência da plântula em campo e em areia. O teste de CE apresentou correlação significativa e negativa (p &lt; 0,01) para todos os testes avaliados. A análise de regressão linear possibilitou a separação dos lotes de sementes de vigor muito alto (CE ≤ 70 μS.cm-1.g-1), alto (CE entre 71 a 90 μS.cm-1.g-1), médio (CE entre 91 a 110 μS.cm-1.g-1) e baixo (CE ≥ 111 μS.cm-1.g-1).","container-title":"Journal of Seed Science","DOI":"10.1590/2317-1545v41n4214988","ISSN":"2317-1545, 2317-1537","issue":"4","journalAbbreviation":"J. Seed Sci.","license":"http://creativecommons.org/licenses/by/4.0/","page":"407-415","source":"DOI.org (Crossref)","title":"Physiological potential of soybean seeds and its relationshipto electrical conductivity","URL":"http://www.scielo.br/scielo.php?script=sci_arttext&amp;pid=S2317-15372019000400407&amp;tlng=en","volume":"41","author":[{"family":"Prado","given":"Jéssica Pavão Do"},{"family":"Krzyzanowski","given":"Francisco Carlos"},{"family":"Martins","given":"Cibele Chalita"},{"family":"Vieira","given":"Roberval Daiton"}],"accessed":{"date-parts":[["2025",11,3]]},"issued":{"date-parts":[["2019",10]]}}}],"schema":"https://github.com/citation-style-language/schema/raw/master/csl-citation.json"}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(Colete et al., 2004; Prado et al., 2019)</w:t>
      </w:r>
      <w:r w:rsidRPr="000570FF">
        <w:rPr>
          <w:rFonts w:ascii="Arial" w:hAnsi="Arial" w:cs="Arial"/>
        </w:rPr>
        <w:fldChar w:fldCharType="end"/>
      </w:r>
      <w:r w:rsidRPr="000570FF">
        <w:rPr>
          <w:rFonts w:ascii="Arial" w:hAnsi="Arial" w:cs="Arial"/>
        </w:rPr>
        <w:t>.  EC, reflecting membrane integrity, was lowest in hydration-dehydration in combination with neem oil (0.667 dSm</w:t>
      </w:r>
      <w:r w:rsidRPr="000570FF">
        <w:rPr>
          <w:rFonts w:ascii="Cambria Math" w:hAnsi="Cambria Math" w:cs="Cambria Math"/>
        </w:rPr>
        <w:t>⁻</w:t>
      </w:r>
      <w:r w:rsidRPr="000570FF">
        <w:rPr>
          <w:rFonts w:ascii="Arial" w:hAnsi="Arial" w:cs="Arial"/>
        </w:rPr>
        <w:t>¹), followed by hydration-dehydration (0.712 dSm</w:t>
      </w:r>
      <w:r w:rsidRPr="000570FF">
        <w:rPr>
          <w:rFonts w:ascii="Cambria Math" w:hAnsi="Cambria Math" w:cs="Cambria Math"/>
        </w:rPr>
        <w:t>⁻</w:t>
      </w:r>
      <w:r w:rsidRPr="000570FF">
        <w:rPr>
          <w:rFonts w:ascii="Arial" w:hAnsi="Arial" w:cs="Arial"/>
        </w:rPr>
        <w:t>¹) and neem oil (0.742 dSm</w:t>
      </w:r>
      <w:r w:rsidRPr="000570FF">
        <w:rPr>
          <w:rFonts w:ascii="Cambria Math" w:hAnsi="Cambria Math" w:cs="Cambria Math"/>
        </w:rPr>
        <w:t>⁻</w:t>
      </w:r>
      <w:r w:rsidRPr="000570FF">
        <w:rPr>
          <w:rFonts w:ascii="Arial" w:hAnsi="Arial" w:cs="Arial"/>
        </w:rPr>
        <w:t>¹) at the end of the storage period, compared to the control having the highest EC.</w:t>
      </w:r>
    </w:p>
    <w:p w14:paraId="411D3441" w14:textId="77777777" w:rsidR="002D260B" w:rsidRPr="000570FF" w:rsidRDefault="002D260B" w:rsidP="002D260B">
      <w:pPr>
        <w:jc w:val="both"/>
        <w:rPr>
          <w:rFonts w:ascii="Arial" w:hAnsi="Arial" w:cs="Arial"/>
        </w:rPr>
      </w:pPr>
    </w:p>
    <w:p w14:paraId="271C6D51" w14:textId="77777777" w:rsidR="002D260B" w:rsidRDefault="002D260B" w:rsidP="002D260B">
      <w:pPr>
        <w:rPr>
          <w:rFonts w:ascii="Arial" w:hAnsi="Arial" w:cs="Arial"/>
          <w:b/>
          <w:bCs/>
        </w:rPr>
      </w:pPr>
      <w:r w:rsidRPr="002D260B">
        <w:rPr>
          <w:rFonts w:ascii="Arial" w:hAnsi="Arial" w:cs="Arial"/>
          <w:b/>
          <w:bCs/>
          <w:sz w:val="22"/>
          <w:szCs w:val="22"/>
        </w:rPr>
        <w:lastRenderedPageBreak/>
        <w:t>3.7 Discussion</w:t>
      </w:r>
    </w:p>
    <w:p w14:paraId="490CE25A" w14:textId="77777777" w:rsidR="002D260B" w:rsidRPr="000570FF" w:rsidRDefault="002D260B" w:rsidP="002D260B">
      <w:pPr>
        <w:rPr>
          <w:rFonts w:ascii="Arial" w:hAnsi="Arial" w:cs="Arial"/>
          <w:b/>
          <w:bCs/>
        </w:rPr>
      </w:pPr>
    </w:p>
    <w:p w14:paraId="089A7AFF" w14:textId="38D8334B" w:rsidR="002D260B" w:rsidRPr="000570FF" w:rsidRDefault="002D260B" w:rsidP="002D260B">
      <w:pPr>
        <w:jc w:val="both"/>
        <w:rPr>
          <w:rFonts w:ascii="Arial" w:hAnsi="Arial" w:cs="Arial"/>
        </w:rPr>
      </w:pPr>
      <w:r>
        <w:rPr>
          <w:rFonts w:ascii="Arial" w:hAnsi="Arial" w:cs="Arial"/>
        </w:rPr>
        <w:tab/>
      </w:r>
      <w:r w:rsidRPr="000570FF">
        <w:rPr>
          <w:rFonts w:ascii="Arial" w:hAnsi="Arial" w:cs="Arial"/>
        </w:rPr>
        <w:t>The results demonstrate that mid-storage invigoration treatments effectively mitigate the natural decline in rice seed quality. Treated seeds exhibited enhanced germination, reduced mean germination time, and improved seedling vigour indices were observed compared to untreated control. The treatment hydration-dehydration achieved the highest germination rate (89.25%), seedling vigour indices I&amp;II (2159 and 2083 respectively), and lowest MGT (4.23 days) and EC (0.667 dSm</w:t>
      </w:r>
      <w:r w:rsidRPr="000570FF">
        <w:rPr>
          <w:rFonts w:ascii="Cambria Math" w:hAnsi="Cambria Math" w:cs="Cambria Math"/>
        </w:rPr>
        <w:t>⁻</w:t>
      </w:r>
      <w:r w:rsidRPr="000570FF">
        <w:rPr>
          <w:rFonts w:ascii="Arial" w:hAnsi="Arial" w:cs="Arial"/>
        </w:rPr>
        <w:t xml:space="preserve">¹), indicating enhanced metabolic efficiency and membrane stability. The findings are consistent with earlier studies indicating that hydration activates repair mechanisms and metabolic processes that occur during water absorption, mitigate the adverse effects of seed aging by resulting in improved germination rates, seedling establishment </w:t>
      </w:r>
      <w:r w:rsidRPr="000570FF">
        <w:rPr>
          <w:rFonts w:ascii="Arial" w:hAnsi="Arial" w:cs="Arial"/>
        </w:rPr>
        <w:fldChar w:fldCharType="begin"/>
      </w:r>
      <w:r w:rsidRPr="000570FF">
        <w:rPr>
          <w:rFonts w:ascii="Arial" w:hAnsi="Arial" w:cs="Arial"/>
        </w:rPr>
        <w:instrText xml:space="preserve"> ADDIN ZOTERO_ITEM CSL_CITATION {"citationID":"3dkFL5oP","properties":{"formattedCitation":"(Farooq et al., 2008; Galappaththi et al., 2020; Rajsekhar Adhikary &amp; Vivekananda Mandal, 2019)","plainCitation":"(Farooq et al., 2008; Galappaththi et al., 2020; Rajsekhar Adhikary &amp; Vivekananda Mandal, 2019)","noteIndex":0},"citationItems":[{"id":154,"uris":["http://zotero.org/users/17653858/items/N8USIQDD"],"itemData":{"id":154,"type":"article-journal","abstract":"Abstract\n            \n              In rice–wheat systems, late sowing of wheat is the major reason of low yield. This yield reduction is principally due to lower and erratic germination, and poor crop establishment because of low temperature prevailing. The present study was conducted to explore the possibility of improving late sown wheat performance by seed priming techniques. Seed priming strategies were: on</w:instrText>
      </w:r>
      <w:r w:rsidRPr="000570FF">
        <w:rPr>
          <w:rFonts w:ascii="Cambria Math" w:hAnsi="Cambria Math" w:cs="Cambria Math"/>
        </w:rPr>
        <w:instrText>‐</w:instrText>
      </w:r>
      <w:r w:rsidRPr="000570FF">
        <w:rPr>
          <w:rFonts w:ascii="Arial" w:hAnsi="Arial" w:cs="Arial"/>
        </w:rPr>
        <w:instrText>farm seed priming, hydropriming for 24 h, seed hardening for 12 h and osmohardening with KCl or CaCl\n              2\n              for 12 h. Seed priming improved emergence, stand establishment, tiller numbers, allometry, grain and straw yield, and harvest index. However, seed priming techniques did not affect plant height, number of spikelets, number of grains and 1000 grain weight. Osmohardening with CaCl\n              2\n              gave more grain and straw yield and harvest index compared with control and other priming treatments, followed by osmohardening with KCl and on</w:instrText>
      </w:r>
      <w:r w:rsidRPr="000570FF">
        <w:rPr>
          <w:rFonts w:ascii="Cambria Math" w:hAnsi="Cambria Math" w:cs="Cambria Math"/>
        </w:rPr>
        <w:instrText>‐</w:instrText>
      </w:r>
      <w:r w:rsidRPr="000570FF">
        <w:rPr>
          <w:rFonts w:ascii="Arial" w:hAnsi="Arial" w:cs="Arial"/>
        </w:rPr>
        <w:instrText xml:space="preserve">farm seed priming. Improved yield was attributed principally to better stand establishment and improved number of fertile tillers. Seed priming techniques can be effectively used to improve the performance of late sown wheat.","container-title":"Journal of Agronomy and Crop Science","DOI":"10.1111/j.1439-037X.2007.00287.x","ISSN":"0931-2250, 1439-037X","issue":"1","journalAbbreviation":"J Agronomy Crop Science","language":"en","license":"http://onlinelibrary.wiley.com/termsAndConditions#vor","page":"55-60","source":"DOI.org (Crossref)","title":"Seed Priming Enhances the Performance of Late Sown Wheat ( &lt;i&gt;Triticum aestivum&lt;/i&gt; L.) by Improving Chilling Tolerance","URL":"https://onlinelibrary.wiley.com/doi/10.1111/j.1439-037X.2007.00287.x","volume":"194","author":[{"family":"Farooq","given":"M."},{"family":"Basra","given":"S. M. A."},{"family":"Rehman","given":"H."},{"family":"Saleem","given":"B. A."}],"accessed":{"date-parts":[["2025",9,17]]},"issued":{"date-parts":[["2008",2]]}}},{"id":155,"uris":["http://zotero.org/users/17653858/items/ILYGD5X5"],"itemData":{"id":155,"type":"article-journal","abstract":"Although the demand for traditional rice varieties has increased, low initial germination and poor storability of these varieties impede its popularization. Thus, the aim of the study was to improve the seed quality using priming treatments and to suggest an effective storage practice of two of the traditional rice varieties; Suwendal and Batapola-el, in Sri Lanka. Seeds were subjected to hydro-priming under various time periods (0, 24, 48 and 72 hours). Seeds were stored in gunny, polysac and polythene bags at room temperature, 25 and 8 °C. Seed quality of primed and stored seeds was evaluated using seed germination, seed vigour (seedling growth and conductivity) and seedling emergence. Hydro-priming for 72 hours has increased the seed germination of the two varieties significantly compared to other priming methods. Further, seeds primed for 72 hours had the highest vigour and highest seedling emergence in both varieties. Storing Suwendal and Batapola-el seeds in polythene bags at 8 °C retained the highest viability and highest vigour for more than six months. Thus, hydro-priming for 72 hours could be recommended to enhancethe seed quality of these two tested varieties and storage at 8 °C in sealed polythene bags could be recommended as an effective storage practice to maintain the seed viability till the next sowing season.","container-title":"Oryza-An International Journal on Rice","DOI":"10.35709/ory.2020.57.1.3","ISSN":"2249-5266, 0474-7615","issue":"1","journalAbbreviation":"Oryza","language":"en","license":"http://arrworyza.com/journal/","page":"25-35","source":"DOI.org (Crossref)","title":"Storage and hydro-priming treatments to improve the seed quality of two traditional rice varieties; Batapola-el and Suwendal, from Sri Lanka","URL":"http://arrworyza.com/journal/","volume":"57","author":[{"family":"Galappaththi","given":"Mo"},{"family":"Jayasuriya","given":"Kmgg"},{"family":"Gama-Arachchige","given":"Ns"}],"accessed":{"date-parts":[["2025",9,17]]},"issued":{"date-parts":[["2020",3,31]]}}},{"id":152,"uris":["http://zotero.org/users/17653858/items/WB5FHITM"],"itemData":{"id":152,"type":"article-journal","container-title":"Russian Agricultural Sciences","DOI":"10.3103/S1068367419010129","ISSN":"1068-3674, 1934-8037","issue":"1","journalAbbreviation":"Russ. Agricult. Sci.","language":"en","page":"35-42","source":"DOI.org (Crossref)","title":"Hydro-Priming and Hydration-Dehydration Treatment Improve Seed Invigoration and Biotic Stress Tolerance","URL":"http://link.springer.com/10.3103/S1068367419010129","volume":"45","author":[{"literal":"Rajsekhar Adhikary"},{"literal":"Vivekananda Mandal"}],"accessed":{"date-parts":[["2025",9,16]]},"issued":{"date-parts":[["2019",1]]}}}],"schema":"https://github.com/citation-style-language/schema/raw/master/csl-citation.json"} </w:instrText>
      </w:r>
      <w:r w:rsidRPr="000570FF">
        <w:rPr>
          <w:rFonts w:ascii="Arial" w:hAnsi="Arial" w:cs="Arial"/>
        </w:rPr>
        <w:fldChar w:fldCharType="separate"/>
      </w:r>
      <w:r w:rsidRPr="000570FF">
        <w:rPr>
          <w:rFonts w:ascii="Arial" w:hAnsi="Arial" w:cs="Arial"/>
        </w:rPr>
        <w:t>(Farooq et al., 2008; Galappaththi et al., 2020; Rajsekhar Adhikary &amp; Vivekananda Mandal, 2019)</w:t>
      </w:r>
      <w:r w:rsidRPr="000570FF">
        <w:rPr>
          <w:rFonts w:ascii="Arial" w:hAnsi="Arial" w:cs="Arial"/>
        </w:rPr>
        <w:fldChar w:fldCharType="end"/>
      </w:r>
      <w:r w:rsidRPr="000570FF">
        <w:rPr>
          <w:rFonts w:ascii="Arial" w:hAnsi="Arial" w:cs="Arial"/>
        </w:rPr>
        <w:t xml:space="preserve">. </w:t>
      </w:r>
      <w:bookmarkStart w:id="1" w:name="_Hlk210729984"/>
      <w:r w:rsidRPr="000570FF">
        <w:rPr>
          <w:rFonts w:ascii="Arial" w:hAnsi="Arial" w:cs="Arial"/>
        </w:rPr>
        <w:t>The addition of neem oil enhances these effects by introducing bioactive components with antioxidant and antimicrobial properties, which protect cells against oxidative damage and fungal deterioration(</w:t>
      </w:r>
      <w:r w:rsidRPr="000570FF">
        <w:rPr>
          <w:rFonts w:ascii="Arial" w:hAnsi="Arial" w:cs="Arial"/>
        </w:rPr>
        <w:fldChar w:fldCharType="begin"/>
      </w:r>
      <w:r w:rsidRPr="000570FF">
        <w:rPr>
          <w:rFonts w:ascii="Arial" w:hAnsi="Arial" w:cs="Arial"/>
        </w:rPr>
        <w:instrText xml:space="preserve"> ADDIN ZOTERO_ITEM CSL_CITATION {"citationID":"hGCk2Tfb","properties":{"formattedCitation":"(Nahak &amp; Sahu, 2011; Revathi &amp; Thambidurai, 2019)","plainCitation":"(Nahak &amp; Sahu, 2011; Revathi &amp; Thambidurai, 2019)","noteIndex":0},"citationItems":[{"id":156,"uris":["http://zotero.org/users/17653858/items/DN9A3I73"],"itemData":{"id":156,"type":"article-journal","abstract":"The present study on evaluation of antioxidant activity of the flowers and seed oil of Neem plant Azardirachta indica A. Juss revealed that the ethanolic extract of flowers and seed oil at 200 ?g/ml producing the highest free radical scavenging activity i.e. 64.17±0.02% and 66.34±0.06% respectively. The Neem oil has the highest amount of total phenol content (132 ?g/ml) which is responsible for highest percentage of inhibition of DPPH radical. In conclusion Neem flower and seed oil have potential for use in human health which is used as food by common people and in diabetes and Neem seed oil is widely used for variety of diseases and also antioxidant potential for use in different pharmaceutical industries.","container-title":"Journal of Applied and Natural Science","DOI":"10.31018/jans.v3i1.158","ISSN":"2231-5209, 0974-9411","issue":"1","journalAbbreviation":"JANS","license":"https://creativecommons.org/licenses/by-nc/3.0/","page":"78-81","source":"DOI.org (Crossref)","title":"Evaluation of antioxidant activity of flower and seed oil of Azadirachta indica A. juss","URL":"https://journals.ansfoundation.org/index.php/jans/article/view/158","volume":"3","author":[{"family":"Nahak","given":"Gayatri"},{"family":"Sahu","given":"R.K."}],"accessed":{"date-parts":[["2025",9,17]]},"issued":{"date-parts":[["2011",6,1]]}}},{"id":172,"uris":["http://zotero.org/users/17653858/items/AHTY4CM3"],"itemData":{"id":172,"type":"article-journal","container-title":"International Journal of Biological Macromolecules","DOI":"10.1016/j.ijbiomac.2019.07.214","ISSN":"01418130","journalAbbreviation":"International Journal of Biological Macromolecules","language":"en","page":"867-878","source":"DOI.org (Crossref)","title":"Cytotoxic, antioxidant and antibacterial activities of copper oxide incorporated chitosan-neem seed biocomposites","URL":"https://linkinghub.elsevier.com/retrieve/pii/S014181301932971X","volume":"139","author":[{"family":"Revathi","given":"T."},{"family":"Thambidurai","given":"S."}],"accessed":{"date-parts":[["2025",9,17]]},"issued":{"date-parts":[["2019",10]]}}}],"schema":"https://github.com/citation-style-language/schema/raw/master/csl-citation.json"} </w:instrText>
      </w:r>
      <w:r w:rsidRPr="000570FF">
        <w:rPr>
          <w:rFonts w:ascii="Arial" w:hAnsi="Arial" w:cs="Arial"/>
        </w:rPr>
        <w:fldChar w:fldCharType="separate"/>
      </w:r>
      <w:r w:rsidRPr="000570FF">
        <w:rPr>
          <w:rFonts w:ascii="Arial" w:hAnsi="Arial" w:cs="Arial"/>
        </w:rPr>
        <w:t>(Nahak &amp; Sahu, 2011; Revathi &amp; Thambidurai, 2019)</w:t>
      </w:r>
      <w:r w:rsidRPr="000570FF">
        <w:rPr>
          <w:rFonts w:ascii="Arial" w:hAnsi="Arial" w:cs="Arial"/>
        </w:rPr>
        <w:fldChar w:fldCharType="end"/>
      </w:r>
      <w:bookmarkEnd w:id="1"/>
      <w:r w:rsidRPr="000570FF">
        <w:rPr>
          <w:rFonts w:ascii="Arial" w:hAnsi="Arial" w:cs="Arial"/>
        </w:rPr>
        <w:t xml:space="preserve">. In addition to antimicrobial and antioxidant effects for its allelopathic properties, primarily attributed to limonoids namely, azadirachtin, nimbicin, and salannin. Consequently, higher doses or prolonged exposure, neem compounds can exhibit inhibitory effects on germination due to interference with metabolic activity </w:t>
      </w:r>
      <w:r w:rsidRPr="000570FF">
        <w:rPr>
          <w:rFonts w:ascii="Arial" w:hAnsi="Arial" w:cs="Arial"/>
        </w:rPr>
        <w:fldChar w:fldCharType="begin"/>
      </w:r>
      <w:r w:rsidRPr="000570FF">
        <w:rPr>
          <w:rFonts w:ascii="Arial" w:hAnsi="Arial" w:cs="Arial"/>
        </w:rPr>
        <w:instrText xml:space="preserve"> ADDIN ZOTERO_ITEM CSL_CITATION {"citationID":"vqfElGZl","properties":{"formattedCitation":"(Grenzel et al., 2022; Rath et al., 2013)","plainCitation":"(Grenzel et al., 2022; Rath et al., 2013)","noteIndex":0},"citationItems":[{"id":214,"uris":["http://zotero.org/users/17653858/items/P3XJJXNE"],"itemData":{"id":214,"type":"article-journal","abstract":"The weed Ipomoea purpurea L. (Convolvulaceae), known generically as morning glory, is an important invasive plant introduced in Brazil, which not only causes significant losses in annual crops, but also makes harvesting difficult and already presents herbicide-tolerant biotypes in the country. In this context, alternative and sustainable ways of managing this plant are sought. The objective of this work was to evaluate the effect of neem oil on morning glory seeds and seedlings. The experiment was carried out in a completely randomized design, with six treatments composed of different oil dilutions, applied before and after germination, in addition to the control. Based on the experiment, it was observed that neem oil delayed seed germination by up to 1.4 days, although without significance. On the other hand, seedling fresh weight was severely affected by application after sowing, leading to a symptom of leaf blight. Morning glory seedling survival followed the same pattern, where there was a significant reduction by the application of neem oil only after sowing. It was concluded that neem oil has a phytotoxic effect on I. purpurea seedlings, reducing their survival and fresh weight when applied after germination, as well as influencing (delaying) seed emergence when applied to the soil. The study of the effect of lower concentrations, close to economically viable and practiced in the field, should be carried out in the future. © 2022 Friends Science Publishers","container-title":"International Journal of Agriculture and Biology","DOI":"10.17957/IJAB/15.1920","ISSN":"15608530, 18149596","issue":"03","journalAbbreviation":"IJAB","page":"228-232","source":"DOI.org (Crossref)","title":"Neem (Azadirachta indica) Oil Affects Morning Glory (Ipomoea purpurea) Seedling Development","URL":"http://www.fspublishers.org/Issue.php?no_download=published_papers/96413_07%20doi%2015.1920%20IJAB-21-0920%20(5)%20228-232.pdf&amp;issue_id=41748","volume":"27","author":[{"family":"Grenzel","given":"Inês Carolina"},{"family":"Silva Marinho","given":"Marcelo Da"},{"family":"Marques","given":"Eder"}],"accessed":{"date-parts":[["2025",11,3]]},"issued":{"date-parts":[["2022",3,1]]}}},{"id":213,"uris":["http://zotero.org/users/17653858/items/748Q3TK7"],"itemData":{"id":213,"type":"article-journal","abstract":"The present investigation was carried out with a biological plant protector, Neem Oil and a chemical yield booster, Terprosyn to observe their effect on the germination parameters of the green gram (Vigna radiata). The germination of green gram seeds was inhibited with neem oil treatment but was elevated with Terprosyn. The same was observed in case of Shoot and Root length, fresh and dry weights also. The investigations indicated that the plant protectors like neem oil is to be administered in very low concentrations and for shorter duration since higher concentration and duration is affecting all the germination parameters significantly.","language":"en","source":"Zotero","title":"Studies on effect of neem oil and teprosyn on the germination parameters of Vigna radiate (L.), wilczek","author":[{"family":"Rath","given":"Bb"},{"family":"Sudhakar","given":"P"},{"family":"Mohanty","given":"BK"}],"issued":{"date-parts":[["2013"]]}}}],"schema":"https://github.com/citation-style-language/schema/raw/master/csl-citation.json"}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(Grenzel et al., 2022; Rath et al., 2013)</w:t>
      </w:r>
      <w:r w:rsidRPr="000570FF">
        <w:rPr>
          <w:rFonts w:ascii="Arial" w:hAnsi="Arial" w:cs="Arial"/>
        </w:rPr>
        <w:fldChar w:fldCharType="end"/>
      </w:r>
      <w:r w:rsidRPr="000570FF">
        <w:rPr>
          <w:rFonts w:ascii="Arial" w:hAnsi="Arial" w:cs="Arial"/>
        </w:rPr>
        <w:t>.  In the present study, the concentration used was within a non-toxic, stimulatory range, promoting antioxidant activity. This allelopathic stimulation likely contributed to the enhanced vigour indices and reduced EC observed in neem oil and combination treatments. Thus, neem oil’s allelopathic action, when optimized, serves as a beneficial bio stimulant in seed invigoration protocols rather than as a germination inhibitor.</w:t>
      </w:r>
    </w:p>
    <w:p w14:paraId="296D2F74" w14:textId="46EAA627" w:rsidR="002D260B" w:rsidRPr="000570FF" w:rsidRDefault="002D260B" w:rsidP="002D260B">
      <w:pPr>
        <w:jc w:val="both"/>
        <w:rPr>
          <w:rFonts w:ascii="Arial" w:hAnsi="Arial" w:cs="Arial"/>
        </w:rPr>
      </w:pPr>
      <w:r>
        <w:rPr>
          <w:rFonts w:ascii="Arial" w:hAnsi="Arial" w:cs="Arial"/>
        </w:rPr>
        <w:tab/>
      </w:r>
      <w:r w:rsidRPr="000570FF">
        <w:rPr>
          <w:rFonts w:ascii="Arial" w:hAnsi="Arial" w:cs="Arial"/>
        </w:rPr>
        <w:t xml:space="preserve">The synergy between hydration-dehydration and neem oil is evident in the combination treatment’s superior performance, as it </w:t>
      </w:r>
      <w:proofErr w:type="spellStart"/>
      <w:r w:rsidRPr="000570FF">
        <w:rPr>
          <w:rFonts w:ascii="Arial" w:hAnsi="Arial" w:cs="Arial"/>
        </w:rPr>
        <w:t>maximises</w:t>
      </w:r>
      <w:proofErr w:type="spellEnd"/>
      <w:r w:rsidRPr="000570FF">
        <w:rPr>
          <w:rFonts w:ascii="Arial" w:hAnsi="Arial" w:cs="Arial"/>
        </w:rPr>
        <w:t xml:space="preserve"> germination enhancement by combining physiological repair with biochemical protection. Hydration-dehydration alone and Neem oil alone followed closely, maintaining germination rates of 88.50% and 88.00% respectively, at month 3, outperforming the untreated control with a germination percentage of 85.50%. These treatments also exhibited higher seedling vigour indices and lower EC values, following closely with the combination treatment. Their effectiveness stems from neem oil’s ability to inhibit microbial growth and hydration-dehydration’s capacity to repair cellular damage through controlled imbibition. Moisture content across treatments remained under 12% which is within the safe storage limits. Maintenance of stable moisture is critical to preserve longevity and reduce deterioration during storage </w:t>
      </w:r>
      <w:r w:rsidRPr="000570FF">
        <w:rPr>
          <w:rFonts w:ascii="Arial" w:hAnsi="Arial" w:cs="Arial"/>
        </w:rPr>
        <w:fldChar w:fldCharType="begin"/>
      </w:r>
      <w:r w:rsidRPr="000570FF">
        <w:rPr>
          <w:rFonts w:ascii="Arial" w:hAnsi="Arial" w:cs="Arial"/>
        </w:rPr>
        <w:instrText xml:space="preserve"> ADDIN ZOTERO_ITEM CSL_CITATION {"citationID":"A9n6PTF9","properties":{"formattedCitation":"(Bewley et al., 2013)","plainCitation":"(Bewley et al., 2013)","noteIndex":0},"citationItems":[{"id":173,"uris":["http://zotero.org/users/17653858/items/4UQBQFFA"],"itemData":{"id":173,"type":"book","event-place":"New York, NY","ISBN":"978-1-4614-4692-7","language":"en","license":"https://www.springernature.com/gp/researchers/text-and-data-mining","note":"DOI: 10.1007/978-1-4614-4693-4","publisher":"Springer New York","publisher-place":"New York, NY","source":"DOI.org (Crossref)","title":"Seeds: Physiology of Development, Germination and Dormancy, 3rd Edition","title-short":"Seeds","URL":"https://link.springer.com/10.1007/978-1-4614-4693-4","author":[{"family":"Bewley","given":"J. Derek"},{"family":"Bradford","given":"Kent J."},{"family":"Hilhorst","given":"Henk W.M."},{"family":"Nonogaki","given":"Hiro"}],"accessed":{"date-parts":[["2025",9,17]]},"issued":{"date-parts":[["2013"]]}}}],"schema":"https://github.com/citation-style-language/schema/raw/master/csl-citation.json"} </w:instrText>
      </w:r>
      <w:r w:rsidRPr="000570FF">
        <w:rPr>
          <w:rFonts w:ascii="Arial" w:hAnsi="Arial" w:cs="Arial"/>
        </w:rPr>
        <w:fldChar w:fldCharType="separate"/>
      </w:r>
      <w:r w:rsidRPr="000570FF">
        <w:rPr>
          <w:rFonts w:ascii="Arial" w:hAnsi="Arial" w:cs="Arial"/>
        </w:rPr>
        <w:t>(Bewley et al., 2013)</w:t>
      </w:r>
      <w:r w:rsidRPr="000570FF">
        <w:rPr>
          <w:rFonts w:ascii="Arial" w:hAnsi="Arial" w:cs="Arial"/>
        </w:rPr>
        <w:fldChar w:fldCharType="end"/>
      </w:r>
      <w:r w:rsidRPr="000570FF">
        <w:rPr>
          <w:rFonts w:ascii="Arial" w:hAnsi="Arial" w:cs="Arial"/>
        </w:rPr>
        <w:t>.</w:t>
      </w:r>
    </w:p>
    <w:p w14:paraId="0C238DFB" w14:textId="77777777" w:rsidR="002D260B" w:rsidRDefault="002D260B" w:rsidP="002D260B">
      <w:pPr>
        <w:jc w:val="both"/>
        <w:rPr>
          <w:rFonts w:ascii="Arial" w:hAnsi="Arial" w:cs="Arial"/>
          <w:b/>
          <w:bCs/>
        </w:rPr>
      </w:pPr>
    </w:p>
    <w:p w14:paraId="5CC22C10" w14:textId="628595D0" w:rsidR="002D260B" w:rsidRDefault="002D260B" w:rsidP="002D260B">
      <w:pPr>
        <w:jc w:val="both"/>
        <w:rPr>
          <w:rFonts w:ascii="Arial" w:hAnsi="Arial" w:cs="Arial"/>
          <w:b/>
          <w:bCs/>
          <w:sz w:val="22"/>
          <w:szCs w:val="22"/>
        </w:rPr>
      </w:pPr>
      <w:r w:rsidRPr="002D260B">
        <w:rPr>
          <w:rFonts w:ascii="Arial" w:hAnsi="Arial" w:cs="Arial"/>
          <w:b/>
          <w:bCs/>
          <w:sz w:val="22"/>
          <w:szCs w:val="22"/>
        </w:rPr>
        <w:t>5. CONCLUSION</w:t>
      </w:r>
    </w:p>
    <w:p w14:paraId="666E8B58" w14:textId="77777777" w:rsidR="002D260B" w:rsidRPr="002D260B" w:rsidRDefault="002D260B" w:rsidP="002D260B">
      <w:pPr>
        <w:jc w:val="both"/>
        <w:rPr>
          <w:rFonts w:ascii="Arial" w:hAnsi="Arial" w:cs="Arial"/>
          <w:b/>
          <w:bCs/>
          <w:sz w:val="22"/>
          <w:szCs w:val="22"/>
        </w:rPr>
      </w:pPr>
    </w:p>
    <w:p w14:paraId="20214120" w14:textId="77332AFA" w:rsidR="002D260B" w:rsidRDefault="002D260B" w:rsidP="002D260B">
      <w:pPr>
        <w:jc w:val="both"/>
        <w:rPr>
          <w:rFonts w:ascii="Arial" w:hAnsi="Arial" w:cs="Arial"/>
        </w:rPr>
      </w:pPr>
      <w:bookmarkStart w:id="2" w:name="_Hlk212972346"/>
      <w:r>
        <w:rPr>
          <w:rFonts w:ascii="Arial" w:hAnsi="Arial" w:cs="Arial"/>
        </w:rPr>
        <w:tab/>
      </w:r>
      <w:r w:rsidRPr="000570FF">
        <w:rPr>
          <w:rFonts w:ascii="Arial" w:hAnsi="Arial" w:cs="Arial"/>
        </w:rPr>
        <w:t xml:space="preserve">The study clearly demonstrates that mid-storage invigoration treatments effectively improved the germination percentage, seedling vigour indices, and maintained stable moisture content within the safe limits in five-month-old seeds. The treatments also exhibited lower electrical conductivity, indicating improved membrane integrity and stability. Among the treatments, hydration-dehydration in combination with neem oil yielded superior results, with hydration and neem oil closely trailing in performance. Eco-friendly treatments like neem oil and its combination with hydration-dehydration offer cost-effective alternatives to chemical methods, promoting farmer adoption for improved field emergence and yield. Future research should explore the scalability of the combination treatment and its performance across diverse rice ecotypes to </w:t>
      </w:r>
      <w:proofErr w:type="spellStart"/>
      <w:r w:rsidRPr="000570FF">
        <w:rPr>
          <w:rFonts w:ascii="Arial" w:hAnsi="Arial" w:cs="Arial"/>
        </w:rPr>
        <w:t>optimise</w:t>
      </w:r>
      <w:proofErr w:type="spellEnd"/>
      <w:r w:rsidRPr="000570FF">
        <w:rPr>
          <w:rFonts w:ascii="Arial" w:hAnsi="Arial" w:cs="Arial"/>
        </w:rPr>
        <w:t xml:space="preserve"> protocols for wider application.</w:t>
      </w:r>
    </w:p>
    <w:p w14:paraId="0104A6BF" w14:textId="331137FA" w:rsidR="00C50D05" w:rsidRDefault="00C50D05" w:rsidP="002D260B">
      <w:pPr>
        <w:jc w:val="both"/>
        <w:rPr>
          <w:rFonts w:ascii="Arial" w:hAnsi="Arial" w:cs="Arial"/>
          <w:b/>
          <w:bCs/>
        </w:rPr>
      </w:pPr>
    </w:p>
    <w:p w14:paraId="369D2E37" w14:textId="027F9E38" w:rsidR="00C50D05" w:rsidRDefault="00C50D05" w:rsidP="002D260B">
      <w:pPr>
        <w:jc w:val="both"/>
        <w:rPr>
          <w:rFonts w:ascii="Arial" w:hAnsi="Arial" w:cs="Arial"/>
          <w:b/>
          <w:bCs/>
        </w:rPr>
      </w:pPr>
    </w:p>
    <w:p w14:paraId="0D128ACA" w14:textId="77777777" w:rsidR="00C50D05" w:rsidRPr="00DA47DB" w:rsidRDefault="00C50D05" w:rsidP="00C50D05">
      <w:pPr>
        <w:rPr>
          <w:rFonts w:ascii="Calibri" w:eastAsia="Calibri" w:hAnsi="Calibri"/>
          <w:b/>
          <w:bCs/>
          <w:kern w:val="2"/>
        </w:rPr>
      </w:pPr>
      <w:bookmarkStart w:id="3" w:name="_Hlk204003461"/>
      <w:bookmarkStart w:id="4" w:name="_Hlk213070710"/>
      <w:r w:rsidRPr="00DA47DB">
        <w:rPr>
          <w:rFonts w:ascii="Calibri" w:eastAsia="Calibri" w:hAnsi="Calibri"/>
          <w:b/>
          <w:bCs/>
          <w:kern w:val="2"/>
        </w:rPr>
        <w:t>Disclaimer (Artificial intelligence)</w:t>
      </w:r>
    </w:p>
    <w:p w14:paraId="1B632799" w14:textId="77777777" w:rsidR="00C50D05" w:rsidRPr="00DA47DB" w:rsidRDefault="00C50D05" w:rsidP="00C50D05">
      <w:pPr>
        <w:rPr>
          <w:rFonts w:ascii="Calibri" w:eastAsia="Calibri" w:hAnsi="Calibri"/>
          <w:kern w:val="2"/>
        </w:rPr>
      </w:pPr>
      <w:r w:rsidRPr="00DA47DB">
        <w:rPr>
          <w:rFonts w:ascii="Calibri" w:eastAsia="Calibri" w:hAnsi="Calibri"/>
          <w:kern w:val="2"/>
        </w:rPr>
        <w:t>Option 1:</w:t>
      </w:r>
    </w:p>
    <w:p w14:paraId="45F2E59C" w14:textId="77777777" w:rsidR="00C50D05" w:rsidRPr="00DA47DB" w:rsidRDefault="00C50D05" w:rsidP="00C50D05">
      <w:pPr>
        <w:rPr>
          <w:rFonts w:ascii="Calibri" w:eastAsia="Calibri" w:hAnsi="Calibri"/>
          <w:kern w:val="2"/>
        </w:rPr>
      </w:pPr>
      <w:r w:rsidRPr="00DA47DB">
        <w:rPr>
          <w:rFonts w:ascii="Calibri" w:eastAsia="Calibri" w:hAnsi="Calibri"/>
          <w:kern w:val="2"/>
        </w:rPr>
        <w:t xml:space="preserve">Author(s) hereby </w:t>
      </w:r>
      <w:proofErr w:type="gramStart"/>
      <w:r w:rsidRPr="00DA47DB">
        <w:rPr>
          <w:rFonts w:ascii="Calibri" w:eastAsia="Calibri" w:hAnsi="Calibri"/>
          <w:kern w:val="2"/>
        </w:rPr>
        <w:t>declare</w:t>
      </w:r>
      <w:proofErr w:type="gramEnd"/>
      <w:r w:rsidRPr="00DA47DB">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bookmarkEnd w:id="3"/>
    <w:bookmarkEnd w:id="4"/>
    <w:p w14:paraId="74E572A7" w14:textId="77777777" w:rsidR="00C50D05" w:rsidRPr="000570FF" w:rsidRDefault="00C50D05" w:rsidP="002D260B">
      <w:pPr>
        <w:jc w:val="both"/>
        <w:rPr>
          <w:rFonts w:ascii="Arial" w:hAnsi="Arial" w:cs="Arial"/>
          <w:b/>
          <w:bCs/>
        </w:rPr>
      </w:pPr>
    </w:p>
    <w:bookmarkEnd w:id="2"/>
    <w:p w14:paraId="700D3F1D" w14:textId="77777777" w:rsidR="00790ADA" w:rsidRPr="00FB3A86" w:rsidRDefault="00790ADA" w:rsidP="00441B6F">
      <w:pPr>
        <w:pStyle w:val="Body"/>
        <w:spacing w:after="0"/>
        <w:rPr>
          <w:rFonts w:ascii="Arial" w:hAnsi="Arial" w:cs="Arial"/>
        </w:rPr>
      </w:pPr>
    </w:p>
    <w:p w14:paraId="3C61318F" w14:textId="77777777" w:rsidR="00CD6856" w:rsidRDefault="00CD6856" w:rsidP="00441B6F">
      <w:pPr>
        <w:pStyle w:val="ReferHead"/>
        <w:spacing w:after="0"/>
        <w:jc w:val="both"/>
        <w:rPr>
          <w:rFonts w:ascii="Arial" w:hAnsi="Arial" w:cs="Arial"/>
          <w:b w:val="0"/>
          <w:caps w:val="0"/>
          <w:sz w:val="20"/>
        </w:rPr>
      </w:pPr>
    </w:p>
    <w:p w14:paraId="72D8382B" w14:textId="528E436B" w:rsidR="00B01FCD" w:rsidRDefault="00B01FCD" w:rsidP="00441B6F">
      <w:pPr>
        <w:pStyle w:val="ReferHead"/>
        <w:spacing w:after="0"/>
        <w:jc w:val="both"/>
        <w:rPr>
          <w:rFonts w:ascii="Arial" w:hAnsi="Arial" w:cs="Arial"/>
        </w:rPr>
      </w:pPr>
      <w:r w:rsidRPr="00FB3A86">
        <w:rPr>
          <w:rFonts w:ascii="Arial" w:hAnsi="Arial" w:cs="Arial"/>
        </w:rPr>
        <w:t>References</w:t>
      </w:r>
    </w:p>
    <w:p w14:paraId="78174A7F"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fldChar w:fldCharType="begin"/>
      </w:r>
      <w:r w:rsidRPr="002D260B">
        <w:rPr>
          <w:rFonts w:ascii="Arial" w:hAnsi="Arial" w:cs="Arial"/>
        </w:rPr>
        <w:instrText xml:space="preserve"> ADDIN ZOTERO_BIBL {"uncited":[],"omitted":[],"custom":[]} CSL_BIBLIOGRAPHY </w:instrText>
      </w:r>
      <w:r w:rsidRPr="002D260B">
        <w:rPr>
          <w:rFonts w:ascii="Arial" w:hAnsi="Arial" w:cs="Arial"/>
        </w:rPr>
        <w:fldChar w:fldCharType="separate"/>
      </w:r>
      <w:r w:rsidRPr="002D260B">
        <w:rPr>
          <w:rFonts w:ascii="Arial" w:hAnsi="Arial" w:cs="Arial"/>
        </w:rPr>
        <w:t>Abdul</w:t>
      </w:r>
      <w:r w:rsidRPr="002D260B">
        <w:rPr>
          <w:rFonts w:ascii="Cambria Math" w:hAnsi="Cambria Math" w:cs="Cambria Math"/>
        </w:rPr>
        <w:t>‐</w:t>
      </w:r>
      <w:r w:rsidRPr="002D260B">
        <w:rPr>
          <w:rFonts w:ascii="Arial" w:hAnsi="Arial" w:cs="Arial"/>
        </w:rPr>
        <w:t>Baki, A. A., &amp; Anderson, J. D. (1973). Vigor Determination in Soybean Seed by Multiple Criteria</w:t>
      </w:r>
      <w:r w:rsidRPr="002D260B">
        <w:rPr>
          <w:rFonts w:ascii="Arial" w:hAnsi="Arial" w:cs="Arial"/>
          <w:vertAlign w:val="superscript"/>
        </w:rPr>
        <w:t>1</w:t>
      </w:r>
      <w:r w:rsidRPr="002D260B">
        <w:rPr>
          <w:rFonts w:ascii="Arial" w:hAnsi="Arial" w:cs="Arial"/>
        </w:rPr>
        <w:t xml:space="preserve">. </w:t>
      </w:r>
      <w:r w:rsidRPr="002D260B">
        <w:rPr>
          <w:rFonts w:ascii="Arial" w:hAnsi="Arial" w:cs="Arial"/>
          <w:i/>
          <w:iCs/>
        </w:rPr>
        <w:t>Crop Science</w:t>
      </w:r>
      <w:r w:rsidRPr="002D260B">
        <w:rPr>
          <w:rFonts w:ascii="Arial" w:hAnsi="Arial" w:cs="Arial"/>
        </w:rPr>
        <w:t xml:space="preserve">, </w:t>
      </w:r>
      <w:r w:rsidRPr="002D260B">
        <w:rPr>
          <w:rFonts w:ascii="Arial" w:hAnsi="Arial" w:cs="Arial"/>
          <w:i/>
          <w:iCs/>
        </w:rPr>
        <w:t>13</w:t>
      </w:r>
      <w:r w:rsidRPr="002D260B">
        <w:rPr>
          <w:rFonts w:ascii="Arial" w:hAnsi="Arial" w:cs="Arial"/>
        </w:rPr>
        <w:t>(6), 630–633. https://doi.org/10.2135/cropsci1973.0011183X001300060013x</w:t>
      </w:r>
    </w:p>
    <w:p w14:paraId="3091D6DC"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Afzal, I., Khalid, E., Basra, S. M. A., Afzal, A., &amp; Mahmood, K. (2019). </w:t>
      </w:r>
      <w:r w:rsidRPr="002D260B">
        <w:rPr>
          <w:rFonts w:ascii="Arial" w:hAnsi="Arial" w:cs="Arial"/>
          <w:i/>
          <w:iCs/>
        </w:rPr>
        <w:t>Maintaining Seed Quality of Maize and Wheat through Dry Chain Technology in Pakistan</w:t>
      </w:r>
      <w:r w:rsidRPr="002D260B">
        <w:rPr>
          <w:rFonts w:ascii="Arial" w:hAnsi="Arial" w:cs="Arial"/>
        </w:rPr>
        <w:t xml:space="preserve">. </w:t>
      </w:r>
      <w:r w:rsidRPr="002D260B">
        <w:rPr>
          <w:rFonts w:ascii="Arial" w:hAnsi="Arial" w:cs="Arial"/>
          <w:i/>
          <w:iCs/>
        </w:rPr>
        <w:t>22</w:t>
      </w:r>
      <w:r w:rsidRPr="002D260B">
        <w:rPr>
          <w:rFonts w:ascii="Arial" w:hAnsi="Arial" w:cs="Arial"/>
        </w:rPr>
        <w:t>(6).</w:t>
      </w:r>
    </w:p>
    <w:p w14:paraId="65EC7EFA"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lastRenderedPageBreak/>
        <w:t xml:space="preserve">Amruta, N., Sarika, G., Umesha, U., Maruthi, J. B., &amp; Basavaraju, G. V. (2015). Effect of botanicals and insecticides seed treatment and containers on seed longevity of black gram under natural ageing conditions.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7</w:t>
      </w:r>
      <w:r w:rsidRPr="002D260B">
        <w:rPr>
          <w:rFonts w:ascii="Arial" w:hAnsi="Arial" w:cs="Arial"/>
        </w:rPr>
        <w:t>(1), 328–334. https://doi.org/10.31018/jans.v7i1.610</w:t>
      </w:r>
    </w:p>
    <w:p w14:paraId="3CD01A7B"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Arif, M. A. R., Nagel, M., Lohwasser, U., &amp; Börner, A. (2017). Genetic architecture of seed longevity in bread wheat (Triticum aestivum L.). </w:t>
      </w:r>
      <w:r w:rsidRPr="002D260B">
        <w:rPr>
          <w:rFonts w:ascii="Arial" w:hAnsi="Arial" w:cs="Arial"/>
          <w:i/>
          <w:iCs/>
        </w:rPr>
        <w:t>Journal of Biosciences</w:t>
      </w:r>
      <w:r w:rsidRPr="002D260B">
        <w:rPr>
          <w:rFonts w:ascii="Arial" w:hAnsi="Arial" w:cs="Arial"/>
        </w:rPr>
        <w:t xml:space="preserve">, </w:t>
      </w:r>
      <w:r w:rsidRPr="002D260B">
        <w:rPr>
          <w:rFonts w:ascii="Arial" w:hAnsi="Arial" w:cs="Arial"/>
          <w:i/>
          <w:iCs/>
        </w:rPr>
        <w:t>42</w:t>
      </w:r>
      <w:r w:rsidRPr="002D260B">
        <w:rPr>
          <w:rFonts w:ascii="Arial" w:hAnsi="Arial" w:cs="Arial"/>
        </w:rPr>
        <w:t>(1), 81–89. https://doi.org/10.1007/s12038-016-9661-6</w:t>
      </w:r>
    </w:p>
    <w:p w14:paraId="1694BC79"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Bewley, J. D., Bradford, K. J., Hilhorst, H. W. M., &amp; Nonogaki, H. (2013). </w:t>
      </w:r>
      <w:r w:rsidRPr="002D260B">
        <w:rPr>
          <w:rFonts w:ascii="Arial" w:hAnsi="Arial" w:cs="Arial"/>
          <w:i/>
          <w:iCs/>
        </w:rPr>
        <w:t>Seeds: Physiology of Development, Germination and Dormancy, 3rd Edition</w:t>
      </w:r>
      <w:r w:rsidRPr="002D260B">
        <w:rPr>
          <w:rFonts w:ascii="Arial" w:hAnsi="Arial" w:cs="Arial"/>
        </w:rPr>
        <w:t>. Springer New York. https://doi.org/10.1007/978-1-4614-4693-4</w:t>
      </w:r>
    </w:p>
    <w:p w14:paraId="630F34FD"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Colete, J. C. F., Vieira, R. D., &amp; Dutra, A. S. (2004). Electrical conductivity and soybean seedling emergence. </w:t>
      </w:r>
      <w:r w:rsidRPr="002D260B">
        <w:rPr>
          <w:rFonts w:ascii="Arial" w:hAnsi="Arial" w:cs="Arial"/>
          <w:i/>
          <w:iCs/>
        </w:rPr>
        <w:t>Scientia Agricola</w:t>
      </w:r>
      <w:r w:rsidRPr="002D260B">
        <w:rPr>
          <w:rFonts w:ascii="Arial" w:hAnsi="Arial" w:cs="Arial"/>
        </w:rPr>
        <w:t xml:space="preserve">, </w:t>
      </w:r>
      <w:r w:rsidRPr="002D260B">
        <w:rPr>
          <w:rFonts w:ascii="Arial" w:hAnsi="Arial" w:cs="Arial"/>
          <w:i/>
          <w:iCs/>
        </w:rPr>
        <w:t>61</w:t>
      </w:r>
      <w:r w:rsidRPr="002D260B">
        <w:rPr>
          <w:rFonts w:ascii="Arial" w:hAnsi="Arial" w:cs="Arial"/>
        </w:rPr>
        <w:t>(4), 386–391. https://doi.org/10.1590/S0103-90162004000400006</w:t>
      </w:r>
    </w:p>
    <w:p w14:paraId="5970AF3E"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Farooq, M., Basra, S. M. A., Rehman, H., &amp; Saleem, B. A. (2008). Seed Priming Enhances the Performance of Late Sown Wheat ( </w:t>
      </w:r>
      <w:r w:rsidRPr="002D260B">
        <w:rPr>
          <w:rFonts w:ascii="Arial" w:hAnsi="Arial" w:cs="Arial"/>
          <w:i/>
          <w:iCs/>
        </w:rPr>
        <w:t>Triticum aestivum</w:t>
      </w:r>
      <w:r w:rsidRPr="002D260B">
        <w:rPr>
          <w:rFonts w:ascii="Arial" w:hAnsi="Arial" w:cs="Arial"/>
        </w:rPr>
        <w:t xml:space="preserve"> L.) by Improving Chilling Tolerance. </w:t>
      </w:r>
      <w:r w:rsidRPr="002D260B">
        <w:rPr>
          <w:rFonts w:ascii="Arial" w:hAnsi="Arial" w:cs="Arial"/>
          <w:i/>
          <w:iCs/>
        </w:rPr>
        <w:t>Journal of Agronomy and Crop Science</w:t>
      </w:r>
      <w:r w:rsidRPr="002D260B">
        <w:rPr>
          <w:rFonts w:ascii="Arial" w:hAnsi="Arial" w:cs="Arial"/>
        </w:rPr>
        <w:t xml:space="preserve">, </w:t>
      </w:r>
      <w:r w:rsidRPr="002D260B">
        <w:rPr>
          <w:rFonts w:ascii="Arial" w:hAnsi="Arial" w:cs="Arial"/>
          <w:i/>
          <w:iCs/>
        </w:rPr>
        <w:t>194</w:t>
      </w:r>
      <w:r w:rsidRPr="002D260B">
        <w:rPr>
          <w:rFonts w:ascii="Arial" w:hAnsi="Arial" w:cs="Arial"/>
        </w:rPr>
        <w:t>(1), 55–60. https://doi.org/10.1111/j.1439-037X.2007.00287.x</w:t>
      </w:r>
    </w:p>
    <w:p w14:paraId="52FFB57D"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Galappaththi, M., Jayasuriya, K., &amp; Gama-Arachchige, N. (2020). Storage and hydro-priming treatments to improve the seed quality of two traditional rice varieties; Batapola-el and Suwendal, from Sri Lanka. </w:t>
      </w:r>
      <w:r w:rsidRPr="002D260B">
        <w:rPr>
          <w:rFonts w:ascii="Arial" w:hAnsi="Arial" w:cs="Arial"/>
          <w:i/>
          <w:iCs/>
        </w:rPr>
        <w:t>Oryza-An International Journal on Rice</w:t>
      </w:r>
      <w:r w:rsidRPr="002D260B">
        <w:rPr>
          <w:rFonts w:ascii="Arial" w:hAnsi="Arial" w:cs="Arial"/>
        </w:rPr>
        <w:t xml:space="preserve">, </w:t>
      </w:r>
      <w:r w:rsidRPr="002D260B">
        <w:rPr>
          <w:rFonts w:ascii="Arial" w:hAnsi="Arial" w:cs="Arial"/>
          <w:i/>
          <w:iCs/>
        </w:rPr>
        <w:t>57</w:t>
      </w:r>
      <w:r w:rsidRPr="002D260B">
        <w:rPr>
          <w:rFonts w:ascii="Arial" w:hAnsi="Arial" w:cs="Arial"/>
        </w:rPr>
        <w:t>(1), 25–35. https://doi.org/10.35709/ory.2020.57.1.3</w:t>
      </w:r>
    </w:p>
    <w:p w14:paraId="7118AC89" w14:textId="77777777" w:rsidR="00723B76"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Girija, T., Girija, T., Dev, V. P. S., Dev, V. P. S., Sankar, M. A., Sankar, M. A., Nair, N. R., Nair, N. R., Kau, &amp; Kau. (1996). Hydration-dehydration technique, a mid-storage correction to prolong viability of rice seeds. </w:t>
      </w:r>
      <w:r w:rsidRPr="002D260B">
        <w:rPr>
          <w:rFonts w:ascii="Arial" w:hAnsi="Arial" w:cs="Arial"/>
          <w:i/>
          <w:iCs/>
        </w:rPr>
        <w:t>Null</w:t>
      </w:r>
      <w:r w:rsidRPr="002D260B">
        <w:rPr>
          <w:rFonts w:ascii="Arial" w:hAnsi="Arial" w:cs="Arial"/>
        </w:rPr>
        <w:t>. https://doi.org/null</w:t>
      </w:r>
    </w:p>
    <w:p w14:paraId="2EF631FF" w14:textId="6C070D44" w:rsidR="00723B76" w:rsidRPr="00723B76" w:rsidRDefault="00723B76" w:rsidP="00F665BE">
      <w:pPr>
        <w:pStyle w:val="Bibliography"/>
        <w:spacing w:line="360" w:lineRule="auto"/>
        <w:ind w:left="680" w:hanging="680"/>
        <w:jc w:val="both"/>
        <w:rPr>
          <w:rFonts w:ascii="Arial" w:hAnsi="Arial" w:cs="Arial"/>
        </w:rPr>
      </w:pPr>
      <w:r w:rsidRPr="00723B76">
        <w:rPr>
          <w:rFonts w:ascii="Arial" w:hAnsi="Arial" w:cs="Arial"/>
        </w:rPr>
        <w:t xml:space="preserve">Gopinath, P.P., Parsad, R., Joseph, B. and Adarsh, V.S. 2020. GRAPES: Rshiny Based Analysis   Platform   Empowered   by   Statistics   General,   Available: https://www.kaugrapes.com/home Accessed 16 </w:t>
      </w:r>
      <w:r w:rsidR="00FC7861">
        <w:rPr>
          <w:rFonts w:ascii="Arial" w:hAnsi="Arial" w:cs="Arial"/>
        </w:rPr>
        <w:t>October</w:t>
      </w:r>
      <w:r w:rsidRPr="00723B76">
        <w:rPr>
          <w:rFonts w:ascii="Arial" w:hAnsi="Arial" w:cs="Arial"/>
        </w:rPr>
        <w:t xml:space="preserve"> 202</w:t>
      </w:r>
      <w:r>
        <w:rPr>
          <w:rFonts w:ascii="Arial" w:hAnsi="Arial" w:cs="Arial"/>
        </w:rPr>
        <w:t>5</w:t>
      </w:r>
      <w:r w:rsidRPr="00723B76">
        <w:t xml:space="preserve">. </w:t>
      </w:r>
    </w:p>
    <w:p w14:paraId="3FEF762C" w14:textId="77777777" w:rsidR="00F665BE"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Grenzel, I. C., Silva Marinho, M. D., &amp; Marques, E. (2022). Neem (Azadirachta indica) Oil Affects Morning Glory (Ipomoea purpurea) Seedling Development. </w:t>
      </w:r>
      <w:r w:rsidRPr="002D260B">
        <w:rPr>
          <w:rFonts w:ascii="Arial" w:hAnsi="Arial" w:cs="Arial"/>
          <w:i/>
          <w:iCs/>
        </w:rPr>
        <w:t>International Journal of Agriculture and Biology</w:t>
      </w:r>
      <w:r w:rsidRPr="002D260B">
        <w:rPr>
          <w:rFonts w:ascii="Arial" w:hAnsi="Arial" w:cs="Arial"/>
        </w:rPr>
        <w:t xml:space="preserve">, </w:t>
      </w:r>
      <w:r w:rsidRPr="002D260B">
        <w:rPr>
          <w:rFonts w:ascii="Arial" w:hAnsi="Arial" w:cs="Arial"/>
          <w:i/>
          <w:iCs/>
        </w:rPr>
        <w:t>27</w:t>
      </w:r>
      <w:r w:rsidRPr="002D260B">
        <w:rPr>
          <w:rFonts w:ascii="Arial" w:hAnsi="Arial" w:cs="Arial"/>
        </w:rPr>
        <w:t>(03), 228–232. https://doi.org/10.17957/IJAB/15.1920</w:t>
      </w:r>
    </w:p>
    <w:p w14:paraId="679FA358" w14:textId="47270B76"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ISTA  [International  Seed  Testing  Association]  1985.  International  rules  for  seed  testing.  Rules 1985.Seed Sci. Technol. 13(2): 299-513.</w:t>
      </w:r>
    </w:p>
    <w:p w14:paraId="36331B65" w14:textId="77777777" w:rsidR="00FC7861" w:rsidRDefault="00FC7861" w:rsidP="00F665BE">
      <w:pPr>
        <w:pStyle w:val="Bibliography"/>
        <w:spacing w:line="360" w:lineRule="auto"/>
        <w:ind w:left="680" w:hanging="680"/>
        <w:jc w:val="both"/>
        <w:rPr>
          <w:rFonts w:ascii="Arial" w:hAnsi="Arial" w:cs="Arial"/>
        </w:rPr>
      </w:pPr>
      <w:r w:rsidRPr="00FC7861">
        <w:rPr>
          <w:rFonts w:ascii="Arial" w:hAnsi="Arial" w:cs="Arial"/>
        </w:rPr>
        <w:t>Matthews, S., &amp; Powell, A. (2006). Electrical conductivity vigour test: physiological basis and use. </w:t>
      </w:r>
      <w:r w:rsidRPr="00FC7861">
        <w:rPr>
          <w:rFonts w:ascii="Arial" w:hAnsi="Arial" w:cs="Arial"/>
          <w:i/>
          <w:iCs/>
        </w:rPr>
        <w:t>Seed Testing International</w:t>
      </w:r>
      <w:r w:rsidRPr="00FC7861">
        <w:rPr>
          <w:rFonts w:ascii="Arial" w:hAnsi="Arial" w:cs="Arial"/>
        </w:rPr>
        <w:t>, </w:t>
      </w:r>
      <w:r w:rsidRPr="00FC7861">
        <w:rPr>
          <w:rFonts w:ascii="Arial" w:hAnsi="Arial" w:cs="Arial"/>
          <w:i/>
          <w:iCs/>
        </w:rPr>
        <w:t>131</w:t>
      </w:r>
      <w:r w:rsidRPr="00FC7861">
        <w:rPr>
          <w:rFonts w:ascii="Arial" w:hAnsi="Arial" w:cs="Arial"/>
        </w:rPr>
        <w:t>(32.35).</w:t>
      </w:r>
    </w:p>
    <w:p w14:paraId="6611BC8A" w14:textId="5F400600"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Monicasri, A., Palathingal, V. F., Bastian, D., Vijayan, R., &amp; C.R., R. (2024). Upholding Seed Quality with Mid-storage Invigoration Treatments in Rice (Oryza sativa L.). </w:t>
      </w:r>
      <w:r w:rsidRPr="002D260B">
        <w:rPr>
          <w:rFonts w:ascii="Arial" w:hAnsi="Arial" w:cs="Arial"/>
          <w:i/>
          <w:iCs/>
        </w:rPr>
        <w:t>International Journal of Plant &amp; Soil Science</w:t>
      </w:r>
      <w:r w:rsidRPr="002D260B">
        <w:rPr>
          <w:rFonts w:ascii="Arial" w:hAnsi="Arial" w:cs="Arial"/>
        </w:rPr>
        <w:t xml:space="preserve">, </w:t>
      </w:r>
      <w:r w:rsidRPr="002D260B">
        <w:rPr>
          <w:rFonts w:ascii="Arial" w:hAnsi="Arial" w:cs="Arial"/>
          <w:i/>
          <w:iCs/>
        </w:rPr>
        <w:t>36</w:t>
      </w:r>
      <w:r w:rsidRPr="002D260B">
        <w:rPr>
          <w:rFonts w:ascii="Arial" w:hAnsi="Arial" w:cs="Arial"/>
        </w:rPr>
        <w:t>(7), 223–231. https://doi.org/10.9734/ijpss/2024/v36i74724</w:t>
      </w:r>
    </w:p>
    <w:p w14:paraId="517AE7D4"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Nahak, G., &amp; Sahu, R. K. (2011). Evaluation of antioxidant activity of flower and seed oil of Azadirachta indica A. juss. </w:t>
      </w:r>
      <w:r w:rsidRPr="002D260B">
        <w:rPr>
          <w:rFonts w:ascii="Arial" w:hAnsi="Arial" w:cs="Arial"/>
          <w:i/>
          <w:iCs/>
        </w:rPr>
        <w:t>Journal of Applied and Natural Science</w:t>
      </w:r>
      <w:r w:rsidRPr="002D260B">
        <w:rPr>
          <w:rFonts w:ascii="Arial" w:hAnsi="Arial" w:cs="Arial"/>
        </w:rPr>
        <w:t xml:space="preserve">, </w:t>
      </w:r>
      <w:r w:rsidRPr="002D260B">
        <w:rPr>
          <w:rFonts w:ascii="Arial" w:hAnsi="Arial" w:cs="Arial"/>
          <w:i/>
          <w:iCs/>
        </w:rPr>
        <w:t>3</w:t>
      </w:r>
      <w:r w:rsidRPr="002D260B">
        <w:rPr>
          <w:rFonts w:ascii="Arial" w:hAnsi="Arial" w:cs="Arial"/>
        </w:rPr>
        <w:t>(1), 78–81. https://doi.org/10.31018/jans.v3i1.158</w:t>
      </w:r>
    </w:p>
    <w:p w14:paraId="731C86DB"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lastRenderedPageBreak/>
        <w:t xml:space="preserve">Prado, J. P. D., Krzyzanowski, F. C., Martins, C. C., &amp; Vieira, R. D. (2019). Physiological potential of soybean seeds and its relationshipto electrical conductivity. </w:t>
      </w:r>
      <w:r w:rsidRPr="002D260B">
        <w:rPr>
          <w:rFonts w:ascii="Arial" w:hAnsi="Arial" w:cs="Arial"/>
          <w:i/>
          <w:iCs/>
        </w:rPr>
        <w:t>Journal of Seed Science</w:t>
      </w:r>
      <w:r w:rsidRPr="002D260B">
        <w:rPr>
          <w:rFonts w:ascii="Arial" w:hAnsi="Arial" w:cs="Arial"/>
        </w:rPr>
        <w:t xml:space="preserve">, </w:t>
      </w:r>
      <w:r w:rsidRPr="002D260B">
        <w:rPr>
          <w:rFonts w:ascii="Arial" w:hAnsi="Arial" w:cs="Arial"/>
          <w:i/>
          <w:iCs/>
        </w:rPr>
        <w:t>41</w:t>
      </w:r>
      <w:r w:rsidRPr="002D260B">
        <w:rPr>
          <w:rFonts w:ascii="Arial" w:hAnsi="Arial" w:cs="Arial"/>
        </w:rPr>
        <w:t>(4), 407–415. https://doi.org/10.1590/2317-1545v41n4214988</w:t>
      </w:r>
    </w:p>
    <w:p w14:paraId="286E6D68"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Rajjou, L., &amp; Debeaujon, I. (2008). Seed longevity: Survival and maintenance of high germination ability of dry seeds. </w:t>
      </w:r>
      <w:r w:rsidRPr="002D260B">
        <w:rPr>
          <w:rFonts w:ascii="Arial" w:hAnsi="Arial" w:cs="Arial"/>
          <w:i/>
          <w:iCs/>
        </w:rPr>
        <w:t>Comptes Rendus. Biologies</w:t>
      </w:r>
      <w:r w:rsidRPr="002D260B">
        <w:rPr>
          <w:rFonts w:ascii="Arial" w:hAnsi="Arial" w:cs="Arial"/>
        </w:rPr>
        <w:t xml:space="preserve">, </w:t>
      </w:r>
      <w:r w:rsidRPr="002D260B">
        <w:rPr>
          <w:rFonts w:ascii="Arial" w:hAnsi="Arial" w:cs="Arial"/>
          <w:i/>
          <w:iCs/>
        </w:rPr>
        <w:t>331</w:t>
      </w:r>
      <w:r w:rsidRPr="002D260B">
        <w:rPr>
          <w:rFonts w:ascii="Arial" w:hAnsi="Arial" w:cs="Arial"/>
        </w:rPr>
        <w:t>(10), 796–805. https://doi.org/10.1016/j.crvi.2008.07.021</w:t>
      </w:r>
    </w:p>
    <w:p w14:paraId="2F67ED59"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Rajsekhar Adhikary &amp; Vivekananda Mandal. (2019). Hydro-Priming and Hydration-Dehydration Treatment Improve Seed Invigoration and Biotic Stress Tolerance. </w:t>
      </w:r>
      <w:r w:rsidRPr="002D260B">
        <w:rPr>
          <w:rFonts w:ascii="Arial" w:hAnsi="Arial" w:cs="Arial"/>
          <w:i/>
          <w:iCs/>
        </w:rPr>
        <w:t>Russian Agricultural Sciences</w:t>
      </w:r>
      <w:r w:rsidRPr="002D260B">
        <w:rPr>
          <w:rFonts w:ascii="Arial" w:hAnsi="Arial" w:cs="Arial"/>
        </w:rPr>
        <w:t xml:space="preserve">, </w:t>
      </w:r>
      <w:r w:rsidRPr="002D260B">
        <w:rPr>
          <w:rFonts w:ascii="Arial" w:hAnsi="Arial" w:cs="Arial"/>
          <w:i/>
          <w:iCs/>
        </w:rPr>
        <w:t>45</w:t>
      </w:r>
      <w:r w:rsidRPr="002D260B">
        <w:rPr>
          <w:rFonts w:ascii="Arial" w:hAnsi="Arial" w:cs="Arial"/>
        </w:rPr>
        <w:t>(1), 35–42. https://doi.org/10.3103/S1068367419010129</w:t>
      </w:r>
    </w:p>
    <w:p w14:paraId="41093C82" w14:textId="77777777" w:rsid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Rath, B., Sudhakar, P., &amp; Mohanty, B. (2013). </w:t>
      </w:r>
      <w:r w:rsidRPr="002D260B">
        <w:rPr>
          <w:rFonts w:ascii="Arial" w:hAnsi="Arial" w:cs="Arial"/>
          <w:i/>
          <w:iCs/>
        </w:rPr>
        <w:t xml:space="preserve">Studies on effect of neem oil and teprosyn on the germination parameters of Vigna radiate (L.), </w:t>
      </w:r>
      <w:proofErr w:type="spellStart"/>
      <w:r w:rsidRPr="002D260B">
        <w:rPr>
          <w:rFonts w:ascii="Arial" w:hAnsi="Arial" w:cs="Arial"/>
          <w:i/>
          <w:iCs/>
        </w:rPr>
        <w:t>wilczek</w:t>
      </w:r>
      <w:proofErr w:type="spellEnd"/>
      <w:r w:rsidRPr="002D260B">
        <w:rPr>
          <w:rFonts w:ascii="Arial" w:hAnsi="Arial" w:cs="Arial"/>
        </w:rPr>
        <w:t>.</w:t>
      </w:r>
    </w:p>
    <w:p w14:paraId="14BE56E1" w14:textId="712652B0" w:rsidR="00DA47DB" w:rsidRPr="00DA47DB" w:rsidRDefault="00DA47DB" w:rsidP="00DA47DB">
      <w:pPr>
        <w:ind w:left="720" w:hanging="720"/>
      </w:pPr>
      <w:proofErr w:type="spellStart"/>
      <w:r w:rsidRPr="00DA47DB">
        <w:t>Renugadevi</w:t>
      </w:r>
      <w:proofErr w:type="spellEnd"/>
      <w:r w:rsidRPr="00DA47DB">
        <w:t xml:space="preserve">, J., Natarajan, N., &amp; Srimathi, P. (2006). Mid storage </w:t>
      </w:r>
      <w:proofErr w:type="spellStart"/>
      <w:r w:rsidRPr="00DA47DB">
        <w:t>invigouration</w:t>
      </w:r>
      <w:proofErr w:type="spellEnd"/>
      <w:r w:rsidRPr="00DA47DB">
        <w:t xml:space="preserve"> for viability maintenance in cluster bean [Cyamopsis </w:t>
      </w:r>
      <w:proofErr w:type="spellStart"/>
      <w:r w:rsidRPr="00DA47DB">
        <w:t>tetragonoloba</w:t>
      </w:r>
      <w:proofErr w:type="spellEnd"/>
      <w:r w:rsidRPr="00DA47DB">
        <w:t xml:space="preserve"> (L.) Taub.]. </w:t>
      </w:r>
      <w:r w:rsidRPr="00DA47DB">
        <w:rPr>
          <w:i/>
          <w:iCs/>
        </w:rPr>
        <w:t>Madras Agricultural Journal</w:t>
      </w:r>
      <w:r w:rsidRPr="00DA47DB">
        <w:t>.</w:t>
      </w:r>
    </w:p>
    <w:p w14:paraId="1A632484"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Revathi, T., &amp; Thambidurai, S. (2019). Cytotoxic, antioxidant and antibacterial activities of copper oxide incorporated chitosan-neem seed biocomposites. </w:t>
      </w:r>
      <w:r w:rsidRPr="002D260B">
        <w:rPr>
          <w:rFonts w:ascii="Arial" w:hAnsi="Arial" w:cs="Arial"/>
          <w:i/>
          <w:iCs/>
        </w:rPr>
        <w:t>International Journal of Biological Macromolecules</w:t>
      </w:r>
      <w:r w:rsidRPr="002D260B">
        <w:rPr>
          <w:rFonts w:ascii="Arial" w:hAnsi="Arial" w:cs="Arial"/>
        </w:rPr>
        <w:t xml:space="preserve">, </w:t>
      </w:r>
      <w:r w:rsidRPr="002D260B">
        <w:rPr>
          <w:rFonts w:ascii="Arial" w:hAnsi="Arial" w:cs="Arial"/>
          <w:i/>
          <w:iCs/>
        </w:rPr>
        <w:t>139</w:t>
      </w:r>
      <w:r w:rsidRPr="002D260B">
        <w:rPr>
          <w:rFonts w:ascii="Arial" w:hAnsi="Arial" w:cs="Arial"/>
        </w:rPr>
        <w:t>, 867–878. https://doi.org/10.1016/j.ijbiomac.2019.07.214</w:t>
      </w:r>
    </w:p>
    <w:p w14:paraId="687C94E6" w14:textId="77777777" w:rsidR="002D260B" w:rsidRPr="002D260B" w:rsidRDefault="002D260B" w:rsidP="00F665BE">
      <w:pPr>
        <w:pStyle w:val="Bibliography"/>
        <w:spacing w:line="360" w:lineRule="auto"/>
        <w:ind w:left="680" w:hanging="680"/>
        <w:jc w:val="both"/>
        <w:rPr>
          <w:rFonts w:ascii="Arial" w:hAnsi="Arial" w:cs="Arial"/>
        </w:rPr>
      </w:pPr>
      <w:r w:rsidRPr="002D260B">
        <w:rPr>
          <w:rFonts w:ascii="Arial" w:hAnsi="Arial" w:cs="Arial"/>
        </w:rPr>
        <w:t xml:space="preserve">Tiwari, S., &amp; Yadav, S. (2022). Ecofriendly Management of Major Insect Pests of Stored Maize. </w:t>
      </w:r>
      <w:r w:rsidRPr="002D260B">
        <w:rPr>
          <w:rFonts w:ascii="Arial" w:hAnsi="Arial" w:cs="Arial"/>
          <w:i/>
          <w:iCs/>
        </w:rPr>
        <w:t>Indian Journal of Entomology</w:t>
      </w:r>
      <w:r w:rsidRPr="002D260B">
        <w:rPr>
          <w:rFonts w:ascii="Arial" w:hAnsi="Arial" w:cs="Arial"/>
        </w:rPr>
        <w:t>, 312–316. https://doi.org/10.55446/IJE.2021.262</w:t>
      </w:r>
    </w:p>
    <w:p w14:paraId="0E691732" w14:textId="77777777" w:rsidR="002D260B" w:rsidRPr="002D260B" w:rsidRDefault="002D260B" w:rsidP="00F665BE">
      <w:pPr>
        <w:spacing w:line="360" w:lineRule="auto"/>
        <w:ind w:left="680" w:hanging="680"/>
        <w:jc w:val="both"/>
        <w:rPr>
          <w:rFonts w:ascii="Arial" w:hAnsi="Arial" w:cs="Arial"/>
        </w:rPr>
        <w:sectPr w:rsidR="002D260B" w:rsidRPr="002D260B" w:rsidSect="009C503B">
          <w:type w:val="continuous"/>
          <w:pgSz w:w="11906" w:h="16838"/>
          <w:pgMar w:top="1440" w:right="1440" w:bottom="1440" w:left="1440" w:header="708" w:footer="708" w:gutter="0"/>
          <w:cols w:space="708"/>
          <w:docGrid w:linePitch="360"/>
        </w:sectPr>
      </w:pPr>
      <w:r w:rsidRPr="002D260B">
        <w:rPr>
          <w:rFonts w:ascii="Arial" w:hAnsi="Arial" w:cs="Arial"/>
        </w:rPr>
        <w:fldChar w:fldCharType="end"/>
      </w:r>
    </w:p>
    <w:p w14:paraId="1549BC50" w14:textId="68A9CFD8" w:rsidR="004D4277" w:rsidRPr="00FB3A86" w:rsidRDefault="004D4277" w:rsidP="00441B6F">
      <w:pPr>
        <w:pStyle w:val="Appendix"/>
        <w:spacing w:after="0"/>
        <w:jc w:val="both"/>
        <w:rPr>
          <w:rFonts w:ascii="Arial" w:hAnsi="Arial" w:cs="Arial"/>
          <w:b w:val="0"/>
        </w:rPr>
        <w:sectPr w:rsidR="004D4277" w:rsidRPr="00FB3A86" w:rsidSect="009C503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8C9F533" w14:textId="77777777" w:rsidR="00B01FCD" w:rsidRPr="00FB3A86" w:rsidRDefault="00B01FCD" w:rsidP="00441B6F">
      <w:pPr>
        <w:pStyle w:val="Appendix"/>
        <w:spacing w:after="0"/>
        <w:jc w:val="both"/>
        <w:rPr>
          <w:rFonts w:ascii="Arial" w:hAnsi="Arial" w:cs="Arial"/>
          <w:b w:val="0"/>
        </w:rPr>
      </w:pPr>
    </w:p>
    <w:sectPr w:rsidR="00B01FCD" w:rsidRPr="00FB3A86" w:rsidSect="009C50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9591" w14:textId="77777777" w:rsidR="001E46D8" w:rsidRDefault="001E46D8" w:rsidP="00C37E61">
      <w:r>
        <w:separator/>
      </w:r>
    </w:p>
  </w:endnote>
  <w:endnote w:type="continuationSeparator" w:id="0">
    <w:p w14:paraId="0788C497" w14:textId="77777777" w:rsidR="001E46D8" w:rsidRDefault="001E46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3759" w14:textId="77777777" w:rsidR="00F4120C" w:rsidRDefault="00F41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3974" w14:textId="77777777" w:rsidR="00F4120C" w:rsidRDefault="00F41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60C1" w14:textId="3F3545CD" w:rsidR="00754C9A" w:rsidRPr="00F4120C" w:rsidRDefault="00754C9A" w:rsidP="00F412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7D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B7680" w14:textId="77777777" w:rsidR="001E46D8" w:rsidRDefault="001E46D8" w:rsidP="00C37E61">
      <w:r>
        <w:separator/>
      </w:r>
    </w:p>
  </w:footnote>
  <w:footnote w:type="continuationSeparator" w:id="0">
    <w:p w14:paraId="718694E6" w14:textId="77777777" w:rsidR="001E46D8" w:rsidRDefault="001E46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AD0E" w14:textId="0FA93DD0" w:rsidR="00F4120C" w:rsidRDefault="00000000">
    <w:pPr>
      <w:pStyle w:val="Header"/>
    </w:pPr>
    <w:r>
      <w:rPr>
        <w:noProof/>
      </w:rPr>
      <w:pict w14:anchorId="5AF8A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775C" w14:textId="68894F75" w:rsidR="00F4120C" w:rsidRDefault="00000000">
    <w:pPr>
      <w:pStyle w:val="Header"/>
    </w:pPr>
    <w:r>
      <w:rPr>
        <w:noProof/>
      </w:rPr>
      <w:pict w14:anchorId="591DD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A2FE" w14:textId="294A12B0" w:rsidR="00296529" w:rsidRPr="00296529" w:rsidRDefault="00000000" w:rsidP="00296529">
    <w:pPr>
      <w:ind w:left="2160"/>
      <w:jc w:val="center"/>
      <w:rPr>
        <w:rFonts w:ascii="Times New Roman" w:eastAsia="Calibri" w:hAnsi="Times New Roman"/>
        <w:i/>
        <w:sz w:val="18"/>
        <w:szCs w:val="22"/>
      </w:rPr>
    </w:pPr>
    <w:r>
      <w:rPr>
        <w:noProof/>
      </w:rPr>
      <w:pict w14:anchorId="1458A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6"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27ED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D996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6ACB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1652C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326D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A4D7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A00B" w14:textId="1D703354" w:rsidR="00F4120C" w:rsidRDefault="00000000">
    <w:pPr>
      <w:pStyle w:val="Header"/>
    </w:pPr>
    <w:r>
      <w:rPr>
        <w:noProof/>
      </w:rPr>
      <w:pict w14:anchorId="426E5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0" o:spid="_x0000_s1029"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F7B1" w14:textId="4431A289" w:rsidR="00F4120C" w:rsidRDefault="00000000">
    <w:pPr>
      <w:pStyle w:val="Header"/>
    </w:pPr>
    <w:r>
      <w:rPr>
        <w:noProof/>
      </w:rPr>
      <w:pict w14:anchorId="630B5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11" o:spid="_x0000_s1030"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B7DA" w14:textId="40634E5E" w:rsidR="00F4120C" w:rsidRDefault="00000000">
    <w:pPr>
      <w:pStyle w:val="Header"/>
    </w:pPr>
    <w:r>
      <w:rPr>
        <w:noProof/>
      </w:rPr>
      <w:pict w14:anchorId="59BCF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409" o:spid="_x0000_s1028"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EB4D37"/>
    <w:multiLevelType w:val="multilevel"/>
    <w:tmpl w:val="DD46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914672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9817608">
    <w:abstractNumId w:val="16"/>
  </w:num>
  <w:num w:numId="3" w16cid:durableId="680932889">
    <w:abstractNumId w:val="24"/>
  </w:num>
  <w:num w:numId="4" w16cid:durableId="18503678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47583930">
    <w:abstractNumId w:val="7"/>
  </w:num>
  <w:num w:numId="6" w16cid:durableId="6713057">
    <w:abstractNumId w:val="6"/>
  </w:num>
  <w:num w:numId="7" w16cid:durableId="1505587088">
    <w:abstractNumId w:val="1"/>
  </w:num>
  <w:num w:numId="8" w16cid:durableId="1556967322">
    <w:abstractNumId w:val="13"/>
  </w:num>
  <w:num w:numId="9" w16cid:durableId="1116412994">
    <w:abstractNumId w:val="26"/>
  </w:num>
  <w:num w:numId="10" w16cid:durableId="488638351">
    <w:abstractNumId w:val="2"/>
  </w:num>
  <w:num w:numId="11" w16cid:durableId="1042679276">
    <w:abstractNumId w:val="19"/>
  </w:num>
  <w:num w:numId="12" w16cid:durableId="1947499676">
    <w:abstractNumId w:val="3"/>
  </w:num>
  <w:num w:numId="13" w16cid:durableId="1153982923">
    <w:abstractNumId w:val="18"/>
  </w:num>
  <w:num w:numId="14" w16cid:durableId="1501967374">
    <w:abstractNumId w:val="8"/>
  </w:num>
  <w:num w:numId="15" w16cid:durableId="2006517764">
    <w:abstractNumId w:val="22"/>
  </w:num>
  <w:num w:numId="16" w16cid:durableId="2053264097">
    <w:abstractNumId w:val="5"/>
  </w:num>
  <w:num w:numId="17" w16cid:durableId="456338637">
    <w:abstractNumId w:val="23"/>
  </w:num>
  <w:num w:numId="18" w16cid:durableId="542794761">
    <w:abstractNumId w:val="15"/>
  </w:num>
  <w:num w:numId="19" w16cid:durableId="221521104">
    <w:abstractNumId w:val="29"/>
  </w:num>
  <w:num w:numId="20" w16cid:durableId="115562497">
    <w:abstractNumId w:val="12"/>
  </w:num>
  <w:num w:numId="21" w16cid:durableId="63841200">
    <w:abstractNumId w:val="10"/>
  </w:num>
  <w:num w:numId="22" w16cid:durableId="73667226">
    <w:abstractNumId w:val="14"/>
  </w:num>
  <w:num w:numId="23" w16cid:durableId="2017724942">
    <w:abstractNumId w:val="20"/>
  </w:num>
  <w:num w:numId="24" w16cid:durableId="643772852">
    <w:abstractNumId w:val="27"/>
  </w:num>
  <w:num w:numId="25" w16cid:durableId="967205465">
    <w:abstractNumId w:val="4"/>
  </w:num>
  <w:num w:numId="26" w16cid:durableId="1815877795">
    <w:abstractNumId w:val="17"/>
  </w:num>
  <w:num w:numId="27" w16cid:durableId="243925469">
    <w:abstractNumId w:val="21"/>
  </w:num>
  <w:num w:numId="28" w16cid:durableId="1281693000">
    <w:abstractNumId w:val="28"/>
  </w:num>
  <w:num w:numId="29" w16cid:durableId="935096464">
    <w:abstractNumId w:val="25"/>
  </w:num>
  <w:num w:numId="30" w16cid:durableId="152992194">
    <w:abstractNumId w:val="11"/>
  </w:num>
  <w:num w:numId="31" w16cid:durableId="1370567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1150"/>
    <w:rsid w:val="000A11F1"/>
    <w:rsid w:val="000A47FA"/>
    <w:rsid w:val="000A65D3"/>
    <w:rsid w:val="000B1E33"/>
    <w:rsid w:val="000B46D2"/>
    <w:rsid w:val="000B7E56"/>
    <w:rsid w:val="000D689F"/>
    <w:rsid w:val="000E7B7B"/>
    <w:rsid w:val="000E7D62"/>
    <w:rsid w:val="000F0EE9"/>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6D8"/>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60B"/>
    <w:rsid w:val="002E0D56"/>
    <w:rsid w:val="00314216"/>
    <w:rsid w:val="00315186"/>
    <w:rsid w:val="0033343E"/>
    <w:rsid w:val="003512C2"/>
    <w:rsid w:val="00371FB6"/>
    <w:rsid w:val="003763C1"/>
    <w:rsid w:val="00376BBE"/>
    <w:rsid w:val="0039224F"/>
    <w:rsid w:val="003A43A4"/>
    <w:rsid w:val="003A7E18"/>
    <w:rsid w:val="003B6351"/>
    <w:rsid w:val="003C4C86"/>
    <w:rsid w:val="003C6258"/>
    <w:rsid w:val="003E2904"/>
    <w:rsid w:val="00401927"/>
    <w:rsid w:val="0041027F"/>
    <w:rsid w:val="00412475"/>
    <w:rsid w:val="00423789"/>
    <w:rsid w:val="00440F43"/>
    <w:rsid w:val="00441B6F"/>
    <w:rsid w:val="00446221"/>
    <w:rsid w:val="00447D5C"/>
    <w:rsid w:val="00450E62"/>
    <w:rsid w:val="004539DB"/>
    <w:rsid w:val="00471A80"/>
    <w:rsid w:val="004C61DF"/>
    <w:rsid w:val="004D305E"/>
    <w:rsid w:val="004D4277"/>
    <w:rsid w:val="00502516"/>
    <w:rsid w:val="00505F06"/>
    <w:rsid w:val="00506828"/>
    <w:rsid w:val="00511E1B"/>
    <w:rsid w:val="0053056E"/>
    <w:rsid w:val="00530A46"/>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3B76"/>
    <w:rsid w:val="007369E6"/>
    <w:rsid w:val="00746E59"/>
    <w:rsid w:val="00754C9A"/>
    <w:rsid w:val="0075599A"/>
    <w:rsid w:val="00761D52"/>
    <w:rsid w:val="0077749E"/>
    <w:rsid w:val="00783FC0"/>
    <w:rsid w:val="00790ADA"/>
    <w:rsid w:val="007C086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AA1"/>
    <w:rsid w:val="008F69D6"/>
    <w:rsid w:val="00902823"/>
    <w:rsid w:val="00902E54"/>
    <w:rsid w:val="00915CA6"/>
    <w:rsid w:val="00927834"/>
    <w:rsid w:val="00942387"/>
    <w:rsid w:val="009500A6"/>
    <w:rsid w:val="00957471"/>
    <w:rsid w:val="00957C18"/>
    <w:rsid w:val="009659BA"/>
    <w:rsid w:val="00983040"/>
    <w:rsid w:val="009B3FB9"/>
    <w:rsid w:val="009C2465"/>
    <w:rsid w:val="009C503B"/>
    <w:rsid w:val="009D35A0"/>
    <w:rsid w:val="009D7EB7"/>
    <w:rsid w:val="009E048A"/>
    <w:rsid w:val="009E08E9"/>
    <w:rsid w:val="009E3DB9"/>
    <w:rsid w:val="009E6E35"/>
    <w:rsid w:val="009F0EDA"/>
    <w:rsid w:val="00A03B96"/>
    <w:rsid w:val="00A05B19"/>
    <w:rsid w:val="00A1134E"/>
    <w:rsid w:val="00A24E7E"/>
    <w:rsid w:val="00A258C3"/>
    <w:rsid w:val="00A347C0"/>
    <w:rsid w:val="00A34EB8"/>
    <w:rsid w:val="00A367D5"/>
    <w:rsid w:val="00A37677"/>
    <w:rsid w:val="00A51431"/>
    <w:rsid w:val="00A539AD"/>
    <w:rsid w:val="00A94063"/>
    <w:rsid w:val="00AA6219"/>
    <w:rsid w:val="00AA74E0"/>
    <w:rsid w:val="00AB703F"/>
    <w:rsid w:val="00AC6BB8"/>
    <w:rsid w:val="00AE008F"/>
    <w:rsid w:val="00B01FCD"/>
    <w:rsid w:val="00B1776C"/>
    <w:rsid w:val="00B239E5"/>
    <w:rsid w:val="00B52583"/>
    <w:rsid w:val="00B52896"/>
    <w:rsid w:val="00B85175"/>
    <w:rsid w:val="00B95236"/>
    <w:rsid w:val="00B96BD9"/>
    <w:rsid w:val="00BA1B01"/>
    <w:rsid w:val="00BA2641"/>
    <w:rsid w:val="00BB37AA"/>
    <w:rsid w:val="00BC53A0"/>
    <w:rsid w:val="00BC6DA8"/>
    <w:rsid w:val="00BE62AD"/>
    <w:rsid w:val="00BF121F"/>
    <w:rsid w:val="00BF1F80"/>
    <w:rsid w:val="00C166EF"/>
    <w:rsid w:val="00C17EB0"/>
    <w:rsid w:val="00C27F5F"/>
    <w:rsid w:val="00C30A0F"/>
    <w:rsid w:val="00C35338"/>
    <w:rsid w:val="00C37E61"/>
    <w:rsid w:val="00C428D8"/>
    <w:rsid w:val="00C50D05"/>
    <w:rsid w:val="00C70F1B"/>
    <w:rsid w:val="00C71A47"/>
    <w:rsid w:val="00C7464C"/>
    <w:rsid w:val="00C85588"/>
    <w:rsid w:val="00CC1AA9"/>
    <w:rsid w:val="00CD6755"/>
    <w:rsid w:val="00CD6856"/>
    <w:rsid w:val="00CE0089"/>
    <w:rsid w:val="00CE51EF"/>
    <w:rsid w:val="00CE6813"/>
    <w:rsid w:val="00CE793C"/>
    <w:rsid w:val="00CF193C"/>
    <w:rsid w:val="00CF75A7"/>
    <w:rsid w:val="00D173F1"/>
    <w:rsid w:val="00D461BA"/>
    <w:rsid w:val="00D74CB0"/>
    <w:rsid w:val="00D8295D"/>
    <w:rsid w:val="00DA47DB"/>
    <w:rsid w:val="00DB11A3"/>
    <w:rsid w:val="00DC0B1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111"/>
    <w:rsid w:val="00F31111"/>
    <w:rsid w:val="00F4120C"/>
    <w:rsid w:val="00F469F0"/>
    <w:rsid w:val="00F53273"/>
    <w:rsid w:val="00F665BE"/>
    <w:rsid w:val="00F755E4"/>
    <w:rsid w:val="00F77D02"/>
    <w:rsid w:val="00FB2584"/>
    <w:rsid w:val="00FB3A86"/>
    <w:rsid w:val="00FC1513"/>
    <w:rsid w:val="00FC7861"/>
    <w:rsid w:val="00FD36C8"/>
    <w:rsid w:val="00FF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D8C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11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31111"/>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2D260B"/>
    <w:pPr>
      <w:spacing w:after="200"/>
    </w:pPr>
    <w:rPr>
      <w:rFonts w:asciiTheme="minorHAnsi" w:eastAsiaTheme="minorHAnsi" w:hAnsiTheme="minorHAnsi" w:cstheme="minorBidi"/>
      <w:i/>
      <w:iCs/>
      <w:color w:val="1F497D" w:themeColor="text2"/>
      <w:kern w:val="2"/>
      <w:sz w:val="18"/>
      <w:szCs w:val="18"/>
      <w:lang w:val="en-IN"/>
    </w:rPr>
  </w:style>
  <w:style w:type="table" w:styleId="ListTable2">
    <w:name w:val="List Table 2"/>
    <w:basedOn w:val="TableNormal"/>
    <w:uiPriority w:val="47"/>
    <w:rsid w:val="002D260B"/>
    <w:rPr>
      <w:rFonts w:asciiTheme="minorHAnsi" w:eastAsiaTheme="minorHAnsi" w:hAnsiTheme="minorHAnsi" w:cstheme="minorBidi"/>
      <w:kern w:val="2"/>
      <w:sz w:val="22"/>
      <w:szCs w:val="22"/>
      <w:lang w:val="en-I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2D260B"/>
  </w:style>
  <w:style w:type="paragraph" w:styleId="Revision">
    <w:name w:val="Revision"/>
    <w:hidden/>
    <w:uiPriority w:val="99"/>
    <w:semiHidden/>
    <w:rsid w:val="00530A4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era\Downloads\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2664494524391348"/>
          <c:y val="7.407407407407407E-2"/>
          <c:w val="0.77052204515549616"/>
          <c:h val="0.74350320793234181"/>
        </c:manualLayout>
      </c:layout>
      <c:barChart>
        <c:barDir val="col"/>
        <c:grouping val="clustered"/>
        <c:varyColors val="0"/>
        <c:ser>
          <c:idx val="0"/>
          <c:order val="0"/>
          <c:tx>
            <c:strRef>
              <c:f>Sheet1!$B$1</c:f>
              <c:strCache>
                <c:ptCount val="1"/>
                <c:pt idx="0">
                  <c:v>1 MAS</c:v>
                </c:pt>
              </c:strCache>
            </c:strRef>
          </c:tx>
          <c:spPr>
            <a:solidFill>
              <a:schemeClr val="accent6">
                <a:shade val="65000"/>
              </a:schemeClr>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2369</c:v>
                </c:pt>
                <c:pt idx="1">
                  <c:v>2526</c:v>
                </c:pt>
                <c:pt idx="2">
                  <c:v>2506</c:v>
                </c:pt>
                <c:pt idx="3">
                  <c:v>2393</c:v>
                </c:pt>
                <c:pt idx="4">
                  <c:v>2552</c:v>
                </c:pt>
                <c:pt idx="5">
                  <c:v>2446</c:v>
                </c:pt>
                <c:pt idx="6">
                  <c:v>2434</c:v>
                </c:pt>
              </c:numCache>
            </c:numRef>
          </c:val>
          <c:extLst>
            <c:ext xmlns:c16="http://schemas.microsoft.com/office/drawing/2014/chart" uri="{C3380CC4-5D6E-409C-BE32-E72D297353CC}">
              <c16:uniqueId val="{00000000-140A-43B5-A3BF-064949197F98}"/>
            </c:ext>
          </c:extLst>
        </c:ser>
        <c:ser>
          <c:idx val="1"/>
          <c:order val="1"/>
          <c:tx>
            <c:strRef>
              <c:f>Sheet1!$C$1</c:f>
              <c:strCache>
                <c:ptCount val="1"/>
                <c:pt idx="0">
                  <c:v>2 MAS</c:v>
                </c:pt>
              </c:strCache>
            </c:strRef>
          </c:tx>
          <c:spPr>
            <a:solidFill>
              <a:schemeClr val="accent6"/>
            </a:solidFill>
            <a:ln>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2189</c:v>
                </c:pt>
                <c:pt idx="1">
                  <c:v>2335</c:v>
                </c:pt>
                <c:pt idx="2">
                  <c:v>2317</c:v>
                </c:pt>
                <c:pt idx="3">
                  <c:v>2201</c:v>
                </c:pt>
                <c:pt idx="4">
                  <c:v>2361</c:v>
                </c:pt>
                <c:pt idx="5">
                  <c:v>2261</c:v>
                </c:pt>
                <c:pt idx="6">
                  <c:v>2248</c:v>
                </c:pt>
              </c:numCache>
            </c:numRef>
          </c:val>
          <c:extLst>
            <c:ext xmlns:c16="http://schemas.microsoft.com/office/drawing/2014/chart" uri="{C3380CC4-5D6E-409C-BE32-E72D297353CC}">
              <c16:uniqueId val="{00000001-140A-43B5-A3BF-064949197F98}"/>
            </c:ext>
          </c:extLst>
        </c:ser>
        <c:ser>
          <c:idx val="2"/>
          <c:order val="2"/>
          <c:tx>
            <c:strRef>
              <c:f>Sheet1!$D$1</c:f>
              <c:strCache>
                <c:ptCount val="1"/>
                <c:pt idx="0">
                  <c:v>3 MAS</c:v>
                </c:pt>
              </c:strCache>
            </c:strRef>
          </c:tx>
          <c:spPr>
            <a:solidFill>
              <a:schemeClr val="accent6">
                <a:tint val="65000"/>
              </a:schemeClr>
            </a:solidFill>
            <a:ln w="28575">
              <a:noFill/>
            </a:ln>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1991</c:v>
                </c:pt>
                <c:pt idx="1">
                  <c:v>2130</c:v>
                </c:pt>
                <c:pt idx="2">
                  <c:v>2116</c:v>
                </c:pt>
                <c:pt idx="3">
                  <c:v>2024</c:v>
                </c:pt>
                <c:pt idx="4">
                  <c:v>2159</c:v>
                </c:pt>
                <c:pt idx="5">
                  <c:v>2069</c:v>
                </c:pt>
                <c:pt idx="6">
                  <c:v>2054</c:v>
                </c:pt>
              </c:numCache>
            </c:numRef>
          </c:val>
          <c:extLst>
            <c:ext xmlns:c16="http://schemas.microsoft.com/office/drawing/2014/chart" uri="{C3380CC4-5D6E-409C-BE32-E72D297353CC}">
              <c16:uniqueId val="{00000002-140A-43B5-A3BF-064949197F98}"/>
            </c:ext>
          </c:extLst>
        </c:ser>
        <c:dLbls>
          <c:showLegendKey val="0"/>
          <c:showVal val="0"/>
          <c:showCatName val="0"/>
          <c:showSerName val="0"/>
          <c:showPercent val="0"/>
          <c:showBubbleSize val="0"/>
        </c:dLbls>
        <c:gapWidth val="150"/>
        <c:axId val="882083919"/>
        <c:axId val="882099759"/>
      </c:barChart>
      <c:catAx>
        <c:axId val="882083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p>
            </c:rich>
          </c:tx>
          <c:layout>
            <c:manualLayout>
              <c:xMode val="edge"/>
              <c:yMode val="edge"/>
              <c:x val="0.43891197950388833"/>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99759"/>
        <c:crosses val="autoZero"/>
        <c:auto val="1"/>
        <c:lblAlgn val="ctr"/>
        <c:lblOffset val="100"/>
        <c:noMultiLvlLbl val="0"/>
      </c:catAx>
      <c:valAx>
        <c:axId val="88209975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Seedling</a:t>
                </a:r>
                <a:r>
                  <a:rPr lang="en-IN" baseline="0"/>
                  <a:t> vigour Index I</a:t>
                </a:r>
                <a:endParaRPr lang="en-IN"/>
              </a:p>
            </c:rich>
          </c:tx>
          <c:layout>
            <c:manualLayout>
              <c:xMode val="edge"/>
              <c:yMode val="edge"/>
              <c:x val="1.3262599469496022E-2"/>
              <c:y val="0.201577719451735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8391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1767267713122335"/>
          <c:y val="5.0925925925925923E-2"/>
          <c:w val="0.75982699009177823"/>
          <c:h val="0.7712809857101196"/>
        </c:manualLayout>
      </c:layout>
      <c:barChart>
        <c:barDir val="col"/>
        <c:grouping val="clustered"/>
        <c:varyColors val="0"/>
        <c:ser>
          <c:idx val="0"/>
          <c:order val="0"/>
          <c:tx>
            <c:strRef>
              <c:f>Sheet1!$B$17</c:f>
              <c:strCache>
                <c:ptCount val="1"/>
                <c:pt idx="0">
                  <c:v>1 MAS</c:v>
                </c:pt>
              </c:strCache>
            </c:strRef>
          </c:tx>
          <c:spPr>
            <a:solidFill>
              <a:schemeClr val="accent6">
                <a:shade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Sheet1!$B$18:$B$24</c:f>
              <c:numCache>
                <c:formatCode>General</c:formatCode>
                <c:ptCount val="7"/>
                <c:pt idx="0">
                  <c:v>1799</c:v>
                </c:pt>
                <c:pt idx="1">
                  <c:v>2327</c:v>
                </c:pt>
                <c:pt idx="2">
                  <c:v>2319</c:v>
                </c:pt>
                <c:pt idx="3">
                  <c:v>1990</c:v>
                </c:pt>
                <c:pt idx="4">
                  <c:v>2333</c:v>
                </c:pt>
                <c:pt idx="5">
                  <c:v>2241</c:v>
                </c:pt>
                <c:pt idx="6">
                  <c:v>2125</c:v>
                </c:pt>
              </c:numCache>
            </c:numRef>
          </c:val>
          <c:extLst>
            <c:ext xmlns:c16="http://schemas.microsoft.com/office/drawing/2014/chart" uri="{C3380CC4-5D6E-409C-BE32-E72D297353CC}">
              <c16:uniqueId val="{00000000-7522-471D-B2A9-B997110E5A07}"/>
            </c:ext>
          </c:extLst>
        </c:ser>
        <c:ser>
          <c:idx val="1"/>
          <c:order val="1"/>
          <c:tx>
            <c:strRef>
              <c:f>Sheet1!$C$17</c:f>
              <c:strCache>
                <c:ptCount val="1"/>
                <c:pt idx="0">
                  <c:v>2 MAS</c:v>
                </c:pt>
              </c:strCache>
            </c:strRef>
          </c:tx>
          <c:spPr>
            <a:solidFill>
              <a:schemeClr val="accent6"/>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Sheet1!$C$18:$C$24</c:f>
              <c:numCache>
                <c:formatCode>General</c:formatCode>
                <c:ptCount val="7"/>
                <c:pt idx="0">
                  <c:v>1681</c:v>
                </c:pt>
                <c:pt idx="1">
                  <c:v>2030</c:v>
                </c:pt>
                <c:pt idx="2">
                  <c:v>1996</c:v>
                </c:pt>
                <c:pt idx="3">
                  <c:v>1805</c:v>
                </c:pt>
                <c:pt idx="4">
                  <c:v>2096</c:v>
                </c:pt>
                <c:pt idx="5">
                  <c:v>1987</c:v>
                </c:pt>
                <c:pt idx="6">
                  <c:v>1927</c:v>
                </c:pt>
              </c:numCache>
            </c:numRef>
          </c:val>
          <c:extLst>
            <c:ext xmlns:c16="http://schemas.microsoft.com/office/drawing/2014/chart" uri="{C3380CC4-5D6E-409C-BE32-E72D297353CC}">
              <c16:uniqueId val="{00000001-7522-471D-B2A9-B997110E5A07}"/>
            </c:ext>
          </c:extLst>
        </c:ser>
        <c:ser>
          <c:idx val="2"/>
          <c:order val="2"/>
          <c:tx>
            <c:strRef>
              <c:f>Sheet1!$D$17</c:f>
              <c:strCache>
                <c:ptCount val="1"/>
                <c:pt idx="0">
                  <c:v>3 MAS</c:v>
                </c:pt>
              </c:strCache>
            </c:strRef>
          </c:tx>
          <c:spPr>
            <a:solidFill>
              <a:schemeClr val="accent6">
                <a:tint val="65000"/>
              </a:schemeClr>
            </a:solidFill>
            <a:ln>
              <a:noFill/>
            </a:ln>
            <a:effectLst/>
          </c:spPr>
          <c:invertIfNegative val="0"/>
          <c:cat>
            <c:strRef>
              <c:f>Sheet1!$A$18:$A$24</c:f>
              <c:strCache>
                <c:ptCount val="7"/>
                <c:pt idx="0">
                  <c:v>T1</c:v>
                </c:pt>
                <c:pt idx="1">
                  <c:v>T2</c:v>
                </c:pt>
                <c:pt idx="2">
                  <c:v>T3</c:v>
                </c:pt>
                <c:pt idx="3">
                  <c:v>T4</c:v>
                </c:pt>
                <c:pt idx="4">
                  <c:v>T5</c:v>
                </c:pt>
                <c:pt idx="5">
                  <c:v>T6</c:v>
                </c:pt>
                <c:pt idx="6">
                  <c:v>T7</c:v>
                </c:pt>
              </c:strCache>
            </c:strRef>
          </c:cat>
          <c:val>
            <c:numRef>
              <c:f>Sheet1!$D$18:$D$24</c:f>
              <c:numCache>
                <c:formatCode>General</c:formatCode>
                <c:ptCount val="7"/>
                <c:pt idx="0">
                  <c:v>1623</c:v>
                </c:pt>
                <c:pt idx="1">
                  <c:v>1962</c:v>
                </c:pt>
                <c:pt idx="2">
                  <c:v>1889</c:v>
                </c:pt>
                <c:pt idx="3">
                  <c:v>1623</c:v>
                </c:pt>
                <c:pt idx="4">
                  <c:v>2083</c:v>
                </c:pt>
                <c:pt idx="5">
                  <c:v>1858</c:v>
                </c:pt>
                <c:pt idx="6">
                  <c:v>1857</c:v>
                </c:pt>
              </c:numCache>
            </c:numRef>
          </c:val>
          <c:extLst>
            <c:ext xmlns:c16="http://schemas.microsoft.com/office/drawing/2014/chart" uri="{C3380CC4-5D6E-409C-BE32-E72D297353CC}">
              <c16:uniqueId val="{00000002-7522-471D-B2A9-B997110E5A07}"/>
            </c:ext>
          </c:extLst>
        </c:ser>
        <c:dLbls>
          <c:showLegendKey val="0"/>
          <c:showVal val="0"/>
          <c:showCatName val="0"/>
          <c:showSerName val="0"/>
          <c:showPercent val="0"/>
          <c:showBubbleSize val="0"/>
        </c:dLbls>
        <c:gapWidth val="150"/>
        <c:axId val="882074799"/>
        <c:axId val="882058479"/>
      </c:barChart>
      <c:catAx>
        <c:axId val="8820747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Treatment</a:t>
                </a:r>
                <a:r>
                  <a:rPr lang="en-IN" baseline="0"/>
                  <a:t> </a:t>
                </a:r>
                <a:endParaRPr lang="en-IN"/>
              </a:p>
            </c:rich>
          </c:tx>
          <c:layout>
            <c:manualLayout>
              <c:xMode val="edge"/>
              <c:yMode val="edge"/>
              <c:x val="0.44395950018601382"/>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58479"/>
        <c:crosses val="autoZero"/>
        <c:auto val="1"/>
        <c:lblAlgn val="ctr"/>
        <c:lblOffset val="100"/>
        <c:noMultiLvlLbl val="0"/>
      </c:catAx>
      <c:valAx>
        <c:axId val="882058479"/>
        <c:scaling>
          <c:orientation val="minMax"/>
        </c:scaling>
        <c:delete val="0"/>
        <c:axPos val="l"/>
        <c:majorGridlines>
          <c:spPr>
            <a:ln w="9525" cap="flat" cmpd="sng" algn="ctr">
              <a:solidFill>
                <a:schemeClr val="tx1">
                  <a:lumMod val="15000"/>
                  <a:lumOff val="85000"/>
                </a:schemeClr>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r>
                  <a:rPr lang="en-IN"/>
                  <a:t>Seedlin</a:t>
                </a:r>
                <a:r>
                  <a:rPr lang="en-IN" baseline="0"/>
                  <a:t> vigour Index II</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88207479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tx1">
        <a:lumMod val="95000"/>
        <a:lumOff val="5000"/>
      </a:schemeClr>
    </a:solidFill>
    <a:ln w="9525" cap="flat" cmpd="sng" algn="ctr">
      <a:solidFill>
        <a:schemeClr val="tx1">
          <a:lumMod val="15000"/>
          <a:lumOff val="85000"/>
        </a:schemeClr>
      </a:solidFill>
      <a:round/>
    </a:ln>
    <a:effectLst/>
  </c:spPr>
  <c:txPr>
    <a:bodyPr/>
    <a:lstStyle/>
    <a:p>
      <a:pPr>
        <a:defRPr>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57AC-F6AE-43A7-AE0F-D91C809E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10</Pages>
  <Words>10073</Words>
  <Characters>57419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Neeraja Rajan</cp:lastModifiedBy>
  <cp:revision>9</cp:revision>
  <cp:lastPrinted>1999-07-06T11:00:00Z</cp:lastPrinted>
  <dcterms:created xsi:type="dcterms:W3CDTF">2025-11-03T21:25:00Z</dcterms:created>
  <dcterms:modified xsi:type="dcterms:W3CDTF">2025-11-16T09:40:00Z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id="lGkp9QoM"/&gt;&lt;style id="http://www.zotero.org/styles/apa" locale="en-US" hasBibliography="1" bibliographyStyleHasBeenSet="0"/&gt;&lt;prefs&gt;&lt;pref name="fieldType" value="Field"/&gt;&lt;/prefs&gt;&lt;/data&gt;</vt:lpwstr>
  </property>
</Properties>
</file>