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28E6" w14:textId="77777777" w:rsidR="00B474EF" w:rsidRPr="00B474EF" w:rsidRDefault="00B474EF" w:rsidP="00B474EF">
      <w:pPr>
        <w:pStyle w:val="Title"/>
        <w:jc w:val="both"/>
        <w:rPr>
          <w:rFonts w:ascii="Arial" w:hAnsi="Arial" w:cs="Arial"/>
          <w:bCs/>
          <w:i/>
          <w:iCs/>
          <w:u w:val="single"/>
        </w:rPr>
      </w:pPr>
      <w:r w:rsidRPr="00B474EF">
        <w:rPr>
          <w:rFonts w:ascii="Arial" w:hAnsi="Arial" w:cs="Arial"/>
          <w:bCs/>
          <w:i/>
          <w:iCs/>
          <w:u w:val="single"/>
        </w:rPr>
        <w:t>Original Research Article</w:t>
      </w:r>
    </w:p>
    <w:p w14:paraId="28C36EE0" w14:textId="77777777" w:rsidR="00754C9A" w:rsidRDefault="00754C9A" w:rsidP="00441B6F">
      <w:pPr>
        <w:pStyle w:val="Title"/>
        <w:spacing w:after="0"/>
        <w:jc w:val="both"/>
        <w:rPr>
          <w:rFonts w:ascii="Arial" w:hAnsi="Arial" w:cs="Arial"/>
        </w:rPr>
      </w:pPr>
    </w:p>
    <w:p w14:paraId="6C8143B1" w14:textId="7C394B15" w:rsidR="00163BC4" w:rsidRPr="00163BC4" w:rsidRDefault="00E660E5" w:rsidP="00441B6F">
      <w:pPr>
        <w:pStyle w:val="Author"/>
        <w:spacing w:line="240" w:lineRule="auto"/>
        <w:rPr>
          <w:rFonts w:ascii="Arial" w:hAnsi="Arial" w:cs="Arial"/>
          <w:bCs/>
          <w:iCs/>
          <w:kern w:val="28"/>
          <w:sz w:val="36"/>
        </w:rPr>
      </w:pPr>
      <w:r w:rsidRPr="00E660E5">
        <w:rPr>
          <w:rFonts w:ascii="Arial" w:hAnsi="Arial" w:cs="Arial"/>
          <w:bCs/>
          <w:iCs/>
          <w:kern w:val="28"/>
          <w:sz w:val="36"/>
        </w:rPr>
        <w:t xml:space="preserve">Comparative In vitro Efficacy of Synthetic and Biological Fungicides Against </w:t>
      </w:r>
      <w:r w:rsidRPr="008341C4">
        <w:rPr>
          <w:rFonts w:ascii="Arial" w:hAnsi="Arial" w:cs="Arial"/>
          <w:bCs/>
          <w:i/>
          <w:kern w:val="28"/>
          <w:sz w:val="36"/>
        </w:rPr>
        <w:t>Colletotrichum</w:t>
      </w:r>
      <w:r w:rsidRPr="00E660E5">
        <w:rPr>
          <w:rFonts w:ascii="Arial" w:hAnsi="Arial" w:cs="Arial"/>
          <w:bCs/>
          <w:iCs/>
          <w:kern w:val="28"/>
          <w:sz w:val="36"/>
        </w:rPr>
        <w:t xml:space="preserve"> and </w:t>
      </w:r>
      <w:r w:rsidRPr="008341C4">
        <w:rPr>
          <w:rFonts w:ascii="Arial" w:hAnsi="Arial" w:cs="Arial"/>
          <w:bCs/>
          <w:i/>
          <w:kern w:val="28"/>
          <w:sz w:val="36"/>
        </w:rPr>
        <w:t>Fusarium</w:t>
      </w:r>
      <w:r w:rsidRPr="00E660E5">
        <w:rPr>
          <w:rFonts w:ascii="Arial" w:hAnsi="Arial" w:cs="Arial"/>
          <w:bCs/>
          <w:iCs/>
          <w:kern w:val="28"/>
          <w:sz w:val="36"/>
        </w:rPr>
        <w:t xml:space="preserve"> Infecting Black Pepper (</w:t>
      </w:r>
      <w:r w:rsidRPr="00E660E5">
        <w:rPr>
          <w:rFonts w:ascii="Arial" w:hAnsi="Arial" w:cs="Arial"/>
          <w:bCs/>
          <w:i/>
          <w:kern w:val="28"/>
          <w:sz w:val="36"/>
        </w:rPr>
        <w:t>Piper nigrum</w:t>
      </w:r>
      <w:r w:rsidRPr="00E660E5">
        <w:rPr>
          <w:rFonts w:ascii="Arial" w:hAnsi="Arial" w:cs="Arial"/>
          <w:bCs/>
          <w:iCs/>
          <w:kern w:val="28"/>
          <w:sz w:val="36"/>
        </w:rPr>
        <w:t xml:space="preserve"> L.) in Côte d’Ivoire</w:t>
      </w:r>
    </w:p>
    <w:p w14:paraId="360ECB1C" w14:textId="77777777" w:rsidR="00A258C3" w:rsidRPr="00790ADA" w:rsidRDefault="00A258C3" w:rsidP="00441B6F">
      <w:pPr>
        <w:pStyle w:val="Author"/>
        <w:spacing w:line="240" w:lineRule="auto"/>
        <w:jc w:val="both"/>
        <w:rPr>
          <w:rFonts w:ascii="Arial" w:hAnsi="Arial" w:cs="Arial"/>
          <w:sz w:val="36"/>
        </w:rPr>
      </w:pPr>
    </w:p>
    <w:p w14:paraId="34D3B5F7" w14:textId="77777777" w:rsidR="002C57D2" w:rsidRPr="0077085D" w:rsidRDefault="002C57D2" w:rsidP="00441B6F">
      <w:pPr>
        <w:pStyle w:val="Affiliation"/>
        <w:spacing w:after="0" w:line="240" w:lineRule="auto"/>
        <w:jc w:val="both"/>
        <w:rPr>
          <w:rFonts w:ascii="Arial" w:hAnsi="Arial" w:cs="Arial"/>
        </w:rPr>
      </w:pPr>
    </w:p>
    <w:p w14:paraId="78CD536A" w14:textId="77777777" w:rsidR="00B01FCD" w:rsidRPr="00FB3A86" w:rsidRDefault="00135FE3" w:rsidP="00441B6F">
      <w:pPr>
        <w:pStyle w:val="Copyright"/>
        <w:spacing w:after="0" w:line="240" w:lineRule="auto"/>
        <w:jc w:val="both"/>
        <w:rPr>
          <w:rFonts w:ascii="Arial" w:hAnsi="Arial" w:cs="Arial"/>
        </w:rPr>
        <w:sectPr w:rsidR="00B01FCD" w:rsidRPr="00FB3A86" w:rsidSect="001627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0607E9">
          <v:shapetype id="_x0000_t32" coordsize="21600,21600" o:spt="32" o:oned="t" path="m,l21600,21600e" filled="f">
            <v:path arrowok="t" fillok="f" o:connecttype="none"/>
            <o:lock v:ext="edit" shapetype="t"/>
          </v:shapetype>
          <v:shape id="_x0000_s2104"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05610E" w14:textId="70D5566A" w:rsidR="00B01FCD" w:rsidRPr="0047222E" w:rsidRDefault="00B01FCD" w:rsidP="00CC1677">
      <w:pPr>
        <w:pStyle w:val="Heading1"/>
      </w:pPr>
      <w:r w:rsidRPr="0047222E">
        <w:t>ABSTRACT</w:t>
      </w:r>
      <w:r w:rsidR="0066510A" w:rsidRPr="0047222E">
        <w:t xml:space="preserve"> </w:t>
      </w:r>
    </w:p>
    <w:p w14:paraId="7F68FF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D6EDA" w14:paraId="6FDA205B" w14:textId="77777777" w:rsidTr="001E44FE">
        <w:tc>
          <w:tcPr>
            <w:tcW w:w="9576" w:type="dxa"/>
            <w:shd w:val="clear" w:color="auto" w:fill="F2F2F2"/>
          </w:tcPr>
          <w:p w14:paraId="5BF011DA" w14:textId="62939641" w:rsidR="00EE0BDF" w:rsidRPr="00EE0BDF" w:rsidRDefault="00EE0BDF" w:rsidP="00EE0BDF">
            <w:pPr>
              <w:jc w:val="both"/>
              <w:rPr>
                <w:rFonts w:ascii="Arial" w:hAnsi="Arial" w:cs="Arial"/>
                <w:lang w:eastAsia="fr-CI"/>
              </w:rPr>
            </w:pPr>
            <w:r w:rsidRPr="00EE0BDF">
              <w:rPr>
                <w:rFonts w:ascii="Arial" w:hAnsi="Arial" w:cs="Arial"/>
                <w:b/>
                <w:bCs/>
                <w:lang w:eastAsia="fr-CI"/>
              </w:rPr>
              <w:t>Aims</w:t>
            </w:r>
            <w:r w:rsidRPr="006D6EDA">
              <w:rPr>
                <w:rFonts w:ascii="Arial" w:hAnsi="Arial" w:cs="Arial"/>
                <w:b/>
                <w:bCs/>
                <w:lang w:eastAsia="fr-CI"/>
              </w:rPr>
              <w:t xml:space="preserve">: </w:t>
            </w:r>
            <w:r w:rsidRPr="00EE0BDF">
              <w:rPr>
                <w:rFonts w:ascii="Arial" w:hAnsi="Arial" w:cs="Arial"/>
                <w:lang w:eastAsia="fr-CI"/>
              </w:rPr>
              <w:t>Black pepper (Piper nigrum L.) is gaining importance in agricultural systems due to the nutritional and medicinal value of its berries. However, its cultivation is increasingly threatened by fungal diseases</w:t>
            </w:r>
            <w:r w:rsidR="00B47D46">
              <w:rPr>
                <w:rFonts w:ascii="Arial" w:hAnsi="Arial" w:cs="Arial"/>
                <w:lang w:eastAsia="fr-CI"/>
              </w:rPr>
              <w:t>, primarily caused by Colletotrichum and Fusarium species, resulting</w:t>
            </w:r>
            <w:r w:rsidRPr="00EE0BDF">
              <w:rPr>
                <w:rFonts w:ascii="Arial" w:hAnsi="Arial" w:cs="Arial"/>
                <w:lang w:eastAsia="fr-CI"/>
              </w:rPr>
              <w:t xml:space="preserve"> in substantial yield losses in several producing regions, including Côte d’Ivoire.</w:t>
            </w:r>
          </w:p>
          <w:p w14:paraId="23E9BFD3" w14:textId="03D2A4BB" w:rsidR="00EE0BDF" w:rsidRPr="00EE0BDF" w:rsidRDefault="00EE0BDF" w:rsidP="00EE0BDF">
            <w:pPr>
              <w:jc w:val="both"/>
              <w:rPr>
                <w:rFonts w:ascii="Arial" w:hAnsi="Arial" w:cs="Arial"/>
                <w:lang w:eastAsia="fr-CI"/>
              </w:rPr>
            </w:pPr>
            <w:r w:rsidRPr="00EE0BDF">
              <w:rPr>
                <w:rFonts w:ascii="Arial" w:hAnsi="Arial" w:cs="Arial"/>
                <w:b/>
                <w:bCs/>
                <w:lang w:eastAsia="fr-CI"/>
              </w:rPr>
              <w:t xml:space="preserve">Study </w:t>
            </w:r>
            <w:r w:rsidR="00535542">
              <w:rPr>
                <w:rFonts w:ascii="Arial" w:hAnsi="Arial" w:cs="Arial"/>
                <w:b/>
                <w:bCs/>
                <w:lang w:eastAsia="fr-CI"/>
              </w:rPr>
              <w:t>d</w:t>
            </w:r>
            <w:r w:rsidRPr="00EE0BDF">
              <w:rPr>
                <w:rFonts w:ascii="Arial" w:hAnsi="Arial" w:cs="Arial"/>
                <w:b/>
                <w:bCs/>
                <w:lang w:eastAsia="fr-CI"/>
              </w:rPr>
              <w:t>esign</w:t>
            </w:r>
            <w:r w:rsidRPr="006D6EDA">
              <w:rPr>
                <w:rFonts w:ascii="Arial" w:hAnsi="Arial" w:cs="Arial"/>
                <w:b/>
                <w:bCs/>
                <w:lang w:eastAsia="fr-CI"/>
              </w:rPr>
              <w:t xml:space="preserve">: </w:t>
            </w:r>
            <w:r w:rsidRPr="00EE0BDF">
              <w:rPr>
                <w:rFonts w:ascii="Arial" w:hAnsi="Arial" w:cs="Arial"/>
                <w:lang w:eastAsia="fr-CI"/>
              </w:rPr>
              <w:t>This study evaluated the in vitro efficacy of nine synthetic fungicides and three biological formulations on mycelial growth, sporulation, and spore germination of these pathogens.</w:t>
            </w:r>
          </w:p>
          <w:p w14:paraId="5970BD25" w14:textId="13D1DDA2" w:rsidR="00EE0BDF" w:rsidRPr="00EE0BDF" w:rsidRDefault="00EE0BDF" w:rsidP="00EE0BDF">
            <w:pPr>
              <w:jc w:val="both"/>
              <w:rPr>
                <w:rFonts w:ascii="Arial" w:hAnsi="Arial" w:cs="Arial"/>
                <w:lang w:eastAsia="fr-CI"/>
              </w:rPr>
            </w:pPr>
            <w:r w:rsidRPr="00EE0BDF">
              <w:rPr>
                <w:rFonts w:ascii="Arial" w:hAnsi="Arial" w:cs="Arial"/>
                <w:b/>
                <w:bCs/>
                <w:lang w:eastAsia="fr-CI"/>
              </w:rPr>
              <w:t xml:space="preserve">Place and </w:t>
            </w:r>
            <w:r w:rsidR="00535542">
              <w:rPr>
                <w:rFonts w:ascii="Arial" w:hAnsi="Arial" w:cs="Arial"/>
                <w:b/>
                <w:bCs/>
                <w:lang w:eastAsia="fr-CI"/>
              </w:rPr>
              <w:t>d</w:t>
            </w:r>
            <w:r w:rsidRPr="00EE0BDF">
              <w:rPr>
                <w:rFonts w:ascii="Arial" w:hAnsi="Arial" w:cs="Arial"/>
                <w:b/>
                <w:bCs/>
                <w:lang w:eastAsia="fr-CI"/>
              </w:rPr>
              <w:t xml:space="preserve">uration of </w:t>
            </w:r>
            <w:r w:rsidR="00535542">
              <w:rPr>
                <w:rFonts w:ascii="Arial" w:hAnsi="Arial" w:cs="Arial"/>
                <w:b/>
                <w:bCs/>
                <w:lang w:eastAsia="fr-CI"/>
              </w:rPr>
              <w:t>st</w:t>
            </w:r>
            <w:r w:rsidRPr="00EE0BDF">
              <w:rPr>
                <w:rFonts w:ascii="Arial" w:hAnsi="Arial" w:cs="Arial"/>
                <w:b/>
                <w:bCs/>
                <w:lang w:eastAsia="fr-CI"/>
              </w:rPr>
              <w:t>udy</w:t>
            </w:r>
            <w:r w:rsidRPr="006D6EDA">
              <w:rPr>
                <w:rFonts w:ascii="Arial" w:hAnsi="Arial" w:cs="Arial"/>
                <w:b/>
                <w:bCs/>
                <w:lang w:eastAsia="fr-CI"/>
              </w:rPr>
              <w:t xml:space="preserve">: </w:t>
            </w:r>
            <w:r w:rsidRPr="00EE0BDF">
              <w:rPr>
                <w:rFonts w:ascii="Arial" w:hAnsi="Arial" w:cs="Arial"/>
                <w:lang w:eastAsia="fr-CI"/>
              </w:rPr>
              <w:t>The in vitro assay was conducted in the Plant Pathology and Plant Biology Laboratory at UMRI-SAPT, Institut National Polytechnique Félix HOUPHOUËT-BOIGNY, Côte d</w:t>
            </w:r>
            <w:r w:rsidR="00B47D46">
              <w:rPr>
                <w:rFonts w:ascii="Arial" w:hAnsi="Arial" w:cs="Arial"/>
                <w:lang w:eastAsia="fr-CI"/>
              </w:rPr>
              <w:t>’</w:t>
            </w:r>
            <w:r w:rsidRPr="00EE0BDF">
              <w:rPr>
                <w:rFonts w:ascii="Arial" w:hAnsi="Arial" w:cs="Arial"/>
                <w:lang w:eastAsia="fr-CI"/>
              </w:rPr>
              <w:t>Ivoire.</w:t>
            </w:r>
          </w:p>
          <w:p w14:paraId="551516D2" w14:textId="1345FB55" w:rsidR="00EE0BDF" w:rsidRPr="00EE0BDF" w:rsidRDefault="00EE0BDF" w:rsidP="00EE0BDF">
            <w:pPr>
              <w:jc w:val="both"/>
              <w:rPr>
                <w:rFonts w:ascii="Arial" w:hAnsi="Arial" w:cs="Arial"/>
                <w:lang w:eastAsia="fr-CI"/>
              </w:rPr>
            </w:pPr>
            <w:r w:rsidRPr="00EE0BDF">
              <w:rPr>
                <w:rFonts w:ascii="Arial" w:hAnsi="Arial" w:cs="Arial"/>
                <w:b/>
                <w:bCs/>
                <w:lang w:eastAsia="fr-CI"/>
              </w:rPr>
              <w:t>Methodology</w:t>
            </w:r>
            <w:r w:rsidRPr="006D6EDA">
              <w:rPr>
                <w:rFonts w:ascii="Arial" w:hAnsi="Arial" w:cs="Arial"/>
                <w:b/>
                <w:bCs/>
                <w:lang w:eastAsia="fr-CI"/>
              </w:rPr>
              <w:t xml:space="preserve">: </w:t>
            </w:r>
            <w:r w:rsidRPr="00EE0BDF">
              <w:rPr>
                <w:rFonts w:ascii="Arial" w:hAnsi="Arial" w:cs="Arial"/>
                <w:lang w:eastAsia="fr-CI"/>
              </w:rPr>
              <w:t xml:space="preserve">The study evaluated the in vitro efficacy of nine synthetic fungicides and three biological formulations on </w:t>
            </w:r>
            <w:r w:rsidR="007F199B">
              <w:rPr>
                <w:rFonts w:ascii="Arial" w:hAnsi="Arial" w:cs="Arial"/>
                <w:lang w:eastAsia="fr-CI"/>
              </w:rPr>
              <w:t>the mycelial growth, sporulation, and spore germination of these pathogens at three tested concentrations (D1 = ½ the recommended dose, D2 = the recommended dose,</w:t>
            </w:r>
            <w:r w:rsidRPr="00EE0BDF">
              <w:rPr>
                <w:rFonts w:ascii="Arial" w:hAnsi="Arial" w:cs="Arial"/>
                <w:lang w:eastAsia="fr-CI"/>
              </w:rPr>
              <w:t xml:space="preserve"> D3 = 2× the recommended dose).</w:t>
            </w:r>
          </w:p>
          <w:p w14:paraId="25196316" w14:textId="19AE52D5" w:rsidR="00EE0BDF" w:rsidRPr="00EE0BDF" w:rsidRDefault="00EE0BDF" w:rsidP="006D6EDA">
            <w:pPr>
              <w:jc w:val="both"/>
              <w:rPr>
                <w:rFonts w:ascii="Arial" w:hAnsi="Arial" w:cs="Arial"/>
                <w:lang w:eastAsia="fr-CI"/>
              </w:rPr>
            </w:pPr>
            <w:r w:rsidRPr="00EE0BDF">
              <w:rPr>
                <w:rFonts w:ascii="Arial" w:hAnsi="Arial" w:cs="Arial"/>
                <w:b/>
                <w:bCs/>
                <w:lang w:eastAsia="fr-CI"/>
              </w:rPr>
              <w:t>Results</w:t>
            </w:r>
            <w:r w:rsidRPr="006D6EDA">
              <w:rPr>
                <w:rFonts w:ascii="Arial" w:hAnsi="Arial" w:cs="Arial"/>
                <w:b/>
                <w:bCs/>
                <w:lang w:eastAsia="fr-CI"/>
              </w:rPr>
              <w:t xml:space="preserve">: </w:t>
            </w:r>
            <w:r w:rsidRPr="00EE0BDF">
              <w:rPr>
                <w:rFonts w:ascii="Arial" w:hAnsi="Arial" w:cs="Arial"/>
                <w:lang w:eastAsia="fr-CI"/>
              </w:rPr>
              <w:t>Several synthetic fungicides</w:t>
            </w:r>
            <w:r w:rsidR="006D6EDA" w:rsidRPr="006D6EDA">
              <w:rPr>
                <w:rFonts w:ascii="Arial" w:hAnsi="Arial" w:cs="Arial"/>
                <w:lang w:eastAsia="fr-CI"/>
              </w:rPr>
              <w:t xml:space="preserve"> </w:t>
            </w:r>
            <w:r w:rsidRPr="00EE0BDF">
              <w:rPr>
                <w:rFonts w:ascii="Arial" w:hAnsi="Arial" w:cs="Arial"/>
                <w:lang w:eastAsia="fr-CI"/>
              </w:rPr>
              <w:t>—</w:t>
            </w:r>
            <w:r w:rsidR="006D6EDA" w:rsidRPr="006D6EDA">
              <w:rPr>
                <w:rFonts w:ascii="Arial" w:hAnsi="Arial" w:cs="Arial"/>
                <w:lang w:eastAsia="fr-CI"/>
              </w:rPr>
              <w:t xml:space="preserve"> </w:t>
            </w:r>
            <w:r w:rsidRPr="00EE0BDF">
              <w:rPr>
                <w:rFonts w:ascii="Arial" w:hAnsi="Arial" w:cs="Arial"/>
                <w:lang w:eastAsia="fr-CI"/>
              </w:rPr>
              <w:t>chlorothalonil, carbendazim, carbendazim + mancozeb, azoxystrobin + mancozeb, picoxystrobin + mancozeb, and difenoconazole + spiroxamine—completely or significantly inhibited the growth of both fungal genera at all tested concentrations. Among biological products, the formulation Thymol–Gamma terpinene–Eugenol (NECO) fully suppressed the mycelial growth of </w:t>
            </w:r>
            <w:r w:rsidRPr="00EE0BDF">
              <w:rPr>
                <w:rFonts w:ascii="Arial" w:hAnsi="Arial" w:cs="Arial"/>
                <w:i/>
                <w:iCs/>
                <w:lang w:eastAsia="fr-CI"/>
              </w:rPr>
              <w:t>Colletotrichum</w:t>
            </w:r>
            <w:r w:rsidRPr="00EE0BDF">
              <w:rPr>
                <w:rFonts w:ascii="Arial" w:hAnsi="Arial" w:cs="Arial"/>
                <w:lang w:eastAsia="fr-CI"/>
              </w:rPr>
              <w:t> and </w:t>
            </w:r>
            <w:r w:rsidRPr="00EE0BDF">
              <w:rPr>
                <w:rFonts w:ascii="Arial" w:hAnsi="Arial" w:cs="Arial"/>
                <w:i/>
                <w:iCs/>
                <w:lang w:eastAsia="fr-CI"/>
              </w:rPr>
              <w:t>Fusarium</w:t>
            </w:r>
            <w:r w:rsidRPr="00EE0BDF">
              <w:rPr>
                <w:rFonts w:ascii="Arial" w:hAnsi="Arial" w:cs="Arial"/>
                <w:lang w:eastAsia="fr-CI"/>
              </w:rPr>
              <w:t> isolates at 80 mL/L (D2) and 160 mL/L (D3)</w:t>
            </w:r>
            <w:r w:rsidR="00830225">
              <w:rPr>
                <w:rFonts w:ascii="Arial" w:hAnsi="Arial" w:cs="Arial"/>
                <w:lang w:eastAsia="fr-CI"/>
              </w:rPr>
              <w:t xml:space="preserve">. In contrast, </w:t>
            </w:r>
            <w:r w:rsidRPr="00EE0BDF">
              <w:rPr>
                <w:rFonts w:ascii="Arial" w:hAnsi="Arial" w:cs="Arial"/>
                <w:i/>
                <w:iCs/>
                <w:lang w:eastAsia="fr-CI"/>
              </w:rPr>
              <w:t>Lippia multiflora</w:t>
            </w:r>
            <w:r w:rsidRPr="00EE0BDF">
              <w:rPr>
                <w:rFonts w:ascii="Arial" w:hAnsi="Arial" w:cs="Arial"/>
                <w:lang w:eastAsia="fr-CI"/>
              </w:rPr>
              <w:t> essential oil exhibited a dose-dependent inhibitory effect (12.5, 25, and 50 mL/L). In contrast, the aqueous extract of </w:t>
            </w:r>
            <w:r w:rsidRPr="00EE0BDF">
              <w:rPr>
                <w:rFonts w:ascii="Arial" w:hAnsi="Arial" w:cs="Arial"/>
                <w:i/>
                <w:iCs/>
                <w:lang w:eastAsia="fr-CI"/>
              </w:rPr>
              <w:t>Chromolaena odorata</w:t>
            </w:r>
            <w:r w:rsidRPr="00EE0BDF">
              <w:rPr>
                <w:rFonts w:ascii="Arial" w:hAnsi="Arial" w:cs="Arial"/>
                <w:lang w:eastAsia="fr-CI"/>
              </w:rPr>
              <w:t> displayed limited activity.</w:t>
            </w:r>
          </w:p>
          <w:p w14:paraId="170D2F3E" w14:textId="7F3552DE" w:rsidR="00505F06" w:rsidRPr="006D6EDA" w:rsidRDefault="00EE0BDF" w:rsidP="006D6EDA">
            <w:pPr>
              <w:jc w:val="both"/>
              <w:rPr>
                <w:rFonts w:ascii="Arial" w:eastAsia="Calibri" w:hAnsi="Arial" w:cs="Arial"/>
              </w:rPr>
            </w:pPr>
            <w:r w:rsidRPr="00EE0BDF">
              <w:rPr>
                <w:rFonts w:ascii="Arial" w:hAnsi="Arial" w:cs="Arial"/>
                <w:b/>
                <w:bCs/>
                <w:lang w:eastAsia="fr-CI"/>
              </w:rPr>
              <w:t>Conclusion</w:t>
            </w:r>
            <w:r w:rsidRPr="006D6EDA">
              <w:rPr>
                <w:rFonts w:ascii="Arial" w:hAnsi="Arial" w:cs="Arial"/>
                <w:b/>
                <w:bCs/>
                <w:lang w:eastAsia="fr-CI"/>
              </w:rPr>
              <w:t xml:space="preserve">: </w:t>
            </w:r>
            <w:r w:rsidRPr="00EE0BDF">
              <w:rPr>
                <w:rFonts w:ascii="Arial" w:hAnsi="Arial" w:cs="Arial"/>
                <w:lang w:eastAsia="fr-CI"/>
              </w:rPr>
              <w:t>These findings highlight the potential of biopesticides—particularly </w:t>
            </w:r>
            <w:r w:rsidRPr="00EE0BDF">
              <w:rPr>
                <w:rFonts w:ascii="Arial" w:hAnsi="Arial" w:cs="Arial"/>
                <w:i/>
                <w:iCs/>
                <w:lang w:eastAsia="fr-CI"/>
              </w:rPr>
              <w:t>Lippia multiflora</w:t>
            </w:r>
            <w:r w:rsidRPr="00EE0BDF">
              <w:rPr>
                <w:rFonts w:ascii="Arial" w:hAnsi="Arial" w:cs="Arial"/>
                <w:lang w:eastAsia="fr-CI"/>
              </w:rPr>
              <w:t> essential oil and NECO formulation</w:t>
            </w:r>
            <w:r w:rsidR="00830225">
              <w:rPr>
                <w:rFonts w:ascii="Arial" w:hAnsi="Arial" w:cs="Arial"/>
                <w:lang w:eastAsia="fr-CI"/>
              </w:rPr>
              <w:t>—</w:t>
            </w:r>
            <w:r w:rsidRPr="00EE0BDF">
              <w:rPr>
                <w:rFonts w:ascii="Arial" w:hAnsi="Arial" w:cs="Arial"/>
                <w:lang w:eastAsia="fr-CI"/>
              </w:rPr>
              <w:t>as promising alternatives for integration into sustainable management programs against fungal diseases of black pepper. Further field studies are required to validate their performance and optimize application strategies for local production systems in Côte d’Ivoire.</w:t>
            </w:r>
            <w:r w:rsidR="004E0A58" w:rsidRPr="006D6EDA">
              <w:rPr>
                <w:rFonts w:ascii="Arial" w:hAnsi="Arial" w:cs="Arial"/>
                <w:lang w:eastAsia="fr-CI"/>
              </w:rPr>
              <w:t>.</w:t>
            </w:r>
          </w:p>
        </w:tc>
      </w:tr>
    </w:tbl>
    <w:p w14:paraId="1E18442A" w14:textId="77777777" w:rsidR="00636EB2" w:rsidRDefault="00636EB2" w:rsidP="00441B6F">
      <w:pPr>
        <w:pStyle w:val="Body"/>
        <w:spacing w:after="0"/>
        <w:rPr>
          <w:rFonts w:ascii="Arial" w:hAnsi="Arial" w:cs="Arial"/>
          <w:i/>
        </w:rPr>
      </w:pPr>
    </w:p>
    <w:p w14:paraId="23FBB189" w14:textId="48A8A5B2" w:rsidR="00A24E7E" w:rsidRDefault="00A24E7E" w:rsidP="00441B6F">
      <w:pPr>
        <w:pStyle w:val="Body"/>
        <w:spacing w:after="0"/>
        <w:rPr>
          <w:rFonts w:ascii="Arial" w:hAnsi="Arial" w:cs="Arial"/>
          <w:i/>
        </w:rPr>
      </w:pPr>
      <w:r w:rsidRPr="00AA6730">
        <w:rPr>
          <w:rFonts w:ascii="Arial" w:hAnsi="Arial" w:cs="Arial"/>
          <w:b/>
          <w:bCs/>
          <w:i/>
        </w:rPr>
        <w:t>Keywords</w:t>
      </w:r>
      <w:r>
        <w:rPr>
          <w:rFonts w:ascii="Arial" w:hAnsi="Arial" w:cs="Arial"/>
          <w:i/>
        </w:rPr>
        <w:t xml:space="preserve">: </w:t>
      </w:r>
      <w:r w:rsidR="00E45EF2" w:rsidRPr="00E45EF2">
        <w:rPr>
          <w:rFonts w:ascii="Arial" w:hAnsi="Arial" w:cs="Arial"/>
          <w:i/>
        </w:rPr>
        <w:t>Piper nigrum L.; Colletotrichum; Fusarium; biopesticides; chemical control; integrated disease management</w:t>
      </w:r>
      <w:r w:rsidR="004E0A58" w:rsidRPr="004E0A58">
        <w:rPr>
          <w:rFonts w:ascii="Arial" w:hAnsi="Arial" w:cs="Arial"/>
          <w:i/>
        </w:rPr>
        <w:t>.</w:t>
      </w:r>
    </w:p>
    <w:p w14:paraId="09D6AA0B" w14:textId="77777777" w:rsidR="00790ADA" w:rsidRDefault="00790ADA" w:rsidP="00441B6F">
      <w:pPr>
        <w:pStyle w:val="Body"/>
        <w:spacing w:after="0"/>
        <w:rPr>
          <w:rFonts w:ascii="Arial" w:hAnsi="Arial" w:cs="Arial"/>
          <w:i/>
        </w:rPr>
      </w:pPr>
    </w:p>
    <w:p w14:paraId="36064E8D" w14:textId="77777777" w:rsidR="0024282C" w:rsidRDefault="0024282C" w:rsidP="00441B6F">
      <w:pPr>
        <w:pStyle w:val="Body"/>
        <w:spacing w:after="0"/>
        <w:rPr>
          <w:rFonts w:ascii="Arial" w:hAnsi="Arial" w:cs="Arial"/>
          <w:i/>
          <w:sz w:val="18"/>
        </w:rPr>
      </w:pPr>
    </w:p>
    <w:p w14:paraId="2B003A23" w14:textId="77777777" w:rsidR="00505F06" w:rsidRPr="00A24E7E" w:rsidRDefault="00505F06" w:rsidP="00441B6F">
      <w:pPr>
        <w:pStyle w:val="Body"/>
        <w:spacing w:after="0"/>
        <w:rPr>
          <w:rFonts w:ascii="Arial" w:hAnsi="Arial" w:cs="Arial"/>
          <w:i/>
        </w:rPr>
      </w:pPr>
    </w:p>
    <w:p w14:paraId="42C30C0F" w14:textId="2BFCF9A7" w:rsidR="007F7B32" w:rsidRPr="009F1654" w:rsidRDefault="00902823" w:rsidP="00CC1677">
      <w:pPr>
        <w:pStyle w:val="Heading1"/>
      </w:pPr>
      <w:r w:rsidRPr="009F1654">
        <w:lastRenderedPageBreak/>
        <w:t xml:space="preserve">1. </w:t>
      </w:r>
      <w:r w:rsidR="00B01FCD" w:rsidRPr="009F1654">
        <w:t>INTRODUCTION</w:t>
      </w:r>
      <w:r w:rsidR="007F7B32" w:rsidRPr="009F1654">
        <w:t xml:space="preserve"> </w:t>
      </w:r>
    </w:p>
    <w:p w14:paraId="4FB26FE5" w14:textId="77777777" w:rsidR="00790ADA" w:rsidRPr="009F1654" w:rsidRDefault="00790ADA" w:rsidP="00441B6F">
      <w:pPr>
        <w:pStyle w:val="AbstHead"/>
        <w:spacing w:after="0"/>
        <w:jc w:val="both"/>
        <w:rPr>
          <w:rFonts w:ascii="Arial" w:hAnsi="Arial" w:cs="Arial"/>
          <w:b w:val="0"/>
          <w:bCs/>
        </w:rPr>
      </w:pPr>
    </w:p>
    <w:p w14:paraId="3A5FFAF9" w14:textId="77777777" w:rsidR="00F97BE1" w:rsidRPr="009F1654" w:rsidRDefault="00F97BE1" w:rsidP="00F97BE1">
      <w:pPr>
        <w:pStyle w:val="Body"/>
        <w:spacing w:after="0"/>
        <w:rPr>
          <w:rFonts w:ascii="Arial" w:hAnsi="Arial" w:cs="Arial"/>
          <w:bCs/>
        </w:rPr>
      </w:pPr>
      <w:r w:rsidRPr="009F1654">
        <w:rPr>
          <w:rFonts w:ascii="Arial" w:hAnsi="Arial" w:cs="Arial"/>
          <w:bCs/>
        </w:rPr>
        <w:t>Black pepper (</w:t>
      </w:r>
      <w:r w:rsidRPr="009F1654">
        <w:rPr>
          <w:rFonts w:ascii="Arial" w:hAnsi="Arial" w:cs="Arial"/>
          <w:bCs/>
          <w:i/>
          <w:iCs/>
        </w:rPr>
        <w:t>Piper nigrum</w:t>
      </w:r>
      <w:r w:rsidRPr="009F1654">
        <w:rPr>
          <w:rFonts w:ascii="Arial" w:hAnsi="Arial" w:cs="Arial"/>
          <w:bCs/>
        </w:rPr>
        <w:t xml:space="preserve"> L.), commonly known as the “king of spices” or “black gold,” is a perennial climbing vine of the family </w:t>
      </w:r>
      <w:r w:rsidRPr="009F1654">
        <w:rPr>
          <w:rFonts w:ascii="Arial" w:hAnsi="Arial" w:cs="Arial"/>
          <w:bCs/>
          <w:i/>
          <w:iCs/>
        </w:rPr>
        <w:t>Piperaceae</w:t>
      </w:r>
      <w:r w:rsidRPr="009F1654">
        <w:rPr>
          <w:rFonts w:ascii="Arial" w:hAnsi="Arial" w:cs="Arial"/>
          <w:bCs/>
        </w:rPr>
        <w:t>. Native to Kerala in southern India (Chao et al., 2023), it is now cultivated in more than 26 countries, with major producers grouped within the International Pepper Community (IPC), including Vietnam, India, Brazil, Indonesia, Malaysia, China, and Sri Lanka (Dutta et al., 2023). Globally, black pepper covers approximately 0.4 million hectares, with an annual production estimated at 510,045 tons and a market value close to US$2 billion (Hu et al., 2019). Beyond its economic and culinary significance, black pepper is used worldwide as a condiment, preservative, and flavor enhancer (Quijia &amp; Chorilli, 2020). Its berries and essential oils also possess multiple biological properties, including antihypertensive, antioxidant, anti-inflammatory, antibacterial, and antifungal activities (Sultana et al., 2022).</w:t>
      </w:r>
    </w:p>
    <w:p w14:paraId="0F2BE5BF" w14:textId="77777777" w:rsidR="00F97BE1" w:rsidRPr="009F1654" w:rsidRDefault="00F97BE1" w:rsidP="00F97BE1">
      <w:pPr>
        <w:pStyle w:val="Body"/>
        <w:spacing w:after="0"/>
        <w:rPr>
          <w:rFonts w:ascii="Arial" w:hAnsi="Arial" w:cs="Arial"/>
          <w:bCs/>
        </w:rPr>
      </w:pPr>
      <w:r w:rsidRPr="009F1654">
        <w:rPr>
          <w:rFonts w:ascii="Arial" w:hAnsi="Arial" w:cs="Arial"/>
          <w:bCs/>
        </w:rPr>
        <w:t xml:space="preserve">In Côte d’Ivoire, black pepper cultivation—introduced during the colonial period—is concentrated in the southern, western, and central regions, notably Aboisso, </w:t>
      </w:r>
      <w:proofErr w:type="spellStart"/>
      <w:r w:rsidRPr="009F1654">
        <w:rPr>
          <w:rFonts w:ascii="Arial" w:hAnsi="Arial" w:cs="Arial"/>
          <w:bCs/>
        </w:rPr>
        <w:t>Agboville</w:t>
      </w:r>
      <w:proofErr w:type="spellEnd"/>
      <w:r w:rsidRPr="009F1654">
        <w:rPr>
          <w:rFonts w:ascii="Arial" w:hAnsi="Arial" w:cs="Arial"/>
          <w:bCs/>
        </w:rPr>
        <w:t xml:space="preserve">, Azaguié, Dabou, </w:t>
      </w:r>
      <w:proofErr w:type="spellStart"/>
      <w:r w:rsidRPr="009F1654">
        <w:rPr>
          <w:rFonts w:ascii="Arial" w:hAnsi="Arial" w:cs="Arial"/>
          <w:bCs/>
        </w:rPr>
        <w:t>N’Douci</w:t>
      </w:r>
      <w:proofErr w:type="spellEnd"/>
      <w:r w:rsidRPr="009F1654">
        <w:rPr>
          <w:rFonts w:ascii="Arial" w:hAnsi="Arial" w:cs="Arial"/>
          <w:bCs/>
        </w:rPr>
        <w:t xml:space="preserve">, Sikensi, Saïoua, and </w:t>
      </w:r>
      <w:proofErr w:type="spellStart"/>
      <w:r w:rsidRPr="009F1654">
        <w:rPr>
          <w:rFonts w:ascii="Arial" w:hAnsi="Arial" w:cs="Arial"/>
          <w:bCs/>
        </w:rPr>
        <w:t>Toumodi</w:t>
      </w:r>
      <w:proofErr w:type="spellEnd"/>
      <w:r w:rsidRPr="009F1654">
        <w:rPr>
          <w:rFonts w:ascii="Arial" w:hAnsi="Arial" w:cs="Arial"/>
          <w:bCs/>
        </w:rPr>
        <w:t xml:space="preserve">. Despite favorable agroclimatic conditions, national production, estimated at 180 tons, remains far below domestic demand, requiring annual imports of over 280 tons (FIRCA, 2020). The low productivity of Ivorian pepper farms is largely attributed to fungal diseases such as root rot caused by </w:t>
      </w:r>
      <w:r w:rsidRPr="009F1654">
        <w:rPr>
          <w:rFonts w:ascii="Arial" w:hAnsi="Arial" w:cs="Arial"/>
          <w:bCs/>
          <w:i/>
          <w:iCs/>
        </w:rPr>
        <w:t>Phytophthora</w:t>
      </w:r>
      <w:r w:rsidRPr="009F1654">
        <w:rPr>
          <w:rFonts w:ascii="Arial" w:hAnsi="Arial" w:cs="Arial"/>
          <w:bCs/>
        </w:rPr>
        <w:t xml:space="preserve"> spp., anthracnose caused by </w:t>
      </w:r>
      <w:r w:rsidRPr="009F1654">
        <w:rPr>
          <w:rFonts w:ascii="Arial" w:hAnsi="Arial" w:cs="Arial"/>
          <w:bCs/>
          <w:i/>
          <w:iCs/>
        </w:rPr>
        <w:t>Colletotrichum</w:t>
      </w:r>
      <w:r w:rsidRPr="009F1654">
        <w:rPr>
          <w:rFonts w:ascii="Arial" w:hAnsi="Arial" w:cs="Arial"/>
          <w:bCs/>
        </w:rPr>
        <w:t xml:space="preserve"> spp., and fusarium wilt caused by </w:t>
      </w:r>
      <w:r w:rsidRPr="009F1654">
        <w:rPr>
          <w:rFonts w:ascii="Arial" w:hAnsi="Arial" w:cs="Arial"/>
          <w:bCs/>
          <w:i/>
          <w:iCs/>
        </w:rPr>
        <w:t>Fusarium</w:t>
      </w:r>
      <w:r w:rsidRPr="009F1654">
        <w:rPr>
          <w:rFonts w:ascii="Arial" w:hAnsi="Arial" w:cs="Arial"/>
          <w:bCs/>
        </w:rPr>
        <w:t xml:space="preserve"> spp., which thrive under the hot and humid tropical conditions of the growing regions (Dagnogo et al., 2024).</w:t>
      </w:r>
    </w:p>
    <w:p w14:paraId="11A7354B" w14:textId="77777777" w:rsidR="00F97BE1" w:rsidRPr="009F1654" w:rsidRDefault="00F97BE1" w:rsidP="00F97BE1">
      <w:pPr>
        <w:pStyle w:val="Body"/>
        <w:spacing w:after="0"/>
        <w:rPr>
          <w:rFonts w:ascii="Arial" w:hAnsi="Arial" w:cs="Arial"/>
          <w:bCs/>
        </w:rPr>
      </w:pPr>
    </w:p>
    <w:p w14:paraId="0DEC4312" w14:textId="758A113F" w:rsidR="00F97BE1" w:rsidRPr="009F1654" w:rsidRDefault="00AB5B32" w:rsidP="00F97BE1">
      <w:pPr>
        <w:pStyle w:val="Body"/>
        <w:spacing w:after="0"/>
        <w:rPr>
          <w:rFonts w:ascii="Arial" w:hAnsi="Arial" w:cs="Arial"/>
          <w:bCs/>
        </w:rPr>
      </w:pPr>
      <w:r w:rsidRPr="009F1654">
        <w:rPr>
          <w:rFonts w:ascii="Arial" w:hAnsi="Arial" w:cs="Arial"/>
          <w:bCs/>
        </w:rPr>
        <w:t>Chemical fungicides remain the predominant method for controlling diseases in black pepper production because of their rapid and broad-spectrum efficacy. However, the indiscriminate and prolonged use of synthetic fungicides has resulted in the emergence of resistant pathogen strains, contamination of soil and water resources, and adverse impacts on human and environmental health (</w:t>
      </w:r>
      <w:proofErr w:type="spellStart"/>
      <w:r w:rsidRPr="009F1654">
        <w:rPr>
          <w:rFonts w:ascii="Arial" w:hAnsi="Arial" w:cs="Arial"/>
          <w:bCs/>
        </w:rPr>
        <w:t>Bilé</w:t>
      </w:r>
      <w:proofErr w:type="spellEnd"/>
      <w:r w:rsidRPr="009F1654">
        <w:rPr>
          <w:rFonts w:ascii="Arial" w:hAnsi="Arial" w:cs="Arial"/>
          <w:bCs/>
        </w:rPr>
        <w:t xml:space="preserve"> et al., 2025; </w:t>
      </w:r>
      <w:r w:rsidR="002316A6" w:rsidRPr="0068175D">
        <w:rPr>
          <w:rFonts w:ascii="Arial" w:hAnsi="Arial" w:cs="Arial"/>
          <w:bCs/>
        </w:rPr>
        <w:t xml:space="preserve">Huang et al., 2024; </w:t>
      </w:r>
      <w:r w:rsidR="00545544" w:rsidRPr="009F1654">
        <w:rPr>
          <w:rFonts w:ascii="Arial" w:hAnsi="Arial" w:cs="Arial"/>
          <w:bCs/>
        </w:rPr>
        <w:t>Islam et al., 2024</w:t>
      </w:r>
      <w:r w:rsidRPr="009F1654">
        <w:rPr>
          <w:rFonts w:ascii="Arial" w:hAnsi="Arial" w:cs="Arial"/>
          <w:bCs/>
        </w:rPr>
        <w:t xml:space="preserve">; </w:t>
      </w:r>
      <w:r w:rsidR="0068175D" w:rsidRPr="0068175D">
        <w:rPr>
          <w:rFonts w:ascii="Arial" w:hAnsi="Arial" w:cs="Arial"/>
          <w:bCs/>
        </w:rPr>
        <w:t>Tiénébo, 2016;</w:t>
      </w:r>
      <w:r w:rsidR="002316A6">
        <w:rPr>
          <w:rFonts w:ascii="Arial" w:hAnsi="Arial" w:cs="Arial"/>
          <w:bCs/>
        </w:rPr>
        <w:t xml:space="preserve"> </w:t>
      </w:r>
      <w:r w:rsidR="00F044DA">
        <w:rPr>
          <w:rFonts w:ascii="Arial" w:hAnsi="Arial" w:cs="Arial"/>
          <w:bCs/>
        </w:rPr>
        <w:t>T</w:t>
      </w:r>
      <w:r w:rsidR="00BB4A6D">
        <w:rPr>
          <w:rFonts w:ascii="Arial" w:hAnsi="Arial" w:cs="Arial"/>
          <w:bCs/>
        </w:rPr>
        <w:t xml:space="preserve">ienebo et al., 2019 ; </w:t>
      </w:r>
      <w:r w:rsidRPr="009F1654">
        <w:rPr>
          <w:rFonts w:ascii="Arial" w:hAnsi="Arial" w:cs="Arial"/>
          <w:bCs/>
        </w:rPr>
        <w:t>Wu et al., 2023). Consequently, these challenges have spurred interest in eco-friendly and sustainable alternatives that can be incorporated into integrated disease-management programs. Among these alternatives, essential oils and plant extracts have received growing scientific attention due to their broad-spectrum antifungal potential, biodegradability, and reduced toxicity to non-target organisms (Zulu et al., 2023; Hendel et al., 2024).</w:t>
      </w:r>
    </w:p>
    <w:p w14:paraId="58EFD137" w14:textId="77777777" w:rsidR="00AB5B32" w:rsidRPr="009F1654" w:rsidRDefault="00AB5B32" w:rsidP="00F97BE1">
      <w:pPr>
        <w:pStyle w:val="Body"/>
        <w:spacing w:after="0"/>
        <w:rPr>
          <w:rFonts w:ascii="Arial" w:hAnsi="Arial" w:cs="Arial"/>
          <w:bCs/>
        </w:rPr>
      </w:pPr>
    </w:p>
    <w:p w14:paraId="488B3F75" w14:textId="62B84EF2" w:rsidR="00F97BE1" w:rsidRPr="009F1654" w:rsidRDefault="00F97BE1" w:rsidP="00F97BE1">
      <w:pPr>
        <w:pStyle w:val="Body"/>
        <w:spacing w:after="0"/>
        <w:rPr>
          <w:rFonts w:ascii="Arial" w:hAnsi="Arial" w:cs="Arial"/>
          <w:bCs/>
        </w:rPr>
      </w:pPr>
      <w:r w:rsidRPr="009F1654">
        <w:rPr>
          <w:rFonts w:ascii="Arial" w:hAnsi="Arial" w:cs="Arial"/>
          <w:bCs/>
        </w:rPr>
        <w:t>Essential oils are complex mixtures of volatile secondary metabolites—mainly terpenes, phenols, and aldehydes—produced by aromatic plants. Their antifungal activity results from multiple mechanisms, including disruption of fungal cell membranes, inhibition of ergosterol biosynthesis, interference with enzyme systems, and suppression of spore germination and mycelial growth (</w:t>
      </w:r>
      <w:r w:rsidR="004F05E8" w:rsidRPr="009F1654">
        <w:rPr>
          <w:rFonts w:ascii="Arial" w:hAnsi="Arial" w:cs="Arial"/>
          <w:bCs/>
        </w:rPr>
        <w:t>Leiva-Mora et al., 2025; Tian et al., 2012</w:t>
      </w:r>
      <w:r w:rsidRPr="009F1654">
        <w:rPr>
          <w:rFonts w:ascii="Arial" w:hAnsi="Arial" w:cs="Arial"/>
          <w:bCs/>
        </w:rPr>
        <w:t xml:space="preserve">; Ayllón-Gutiérrez et al., 2024; Christova et al., 2024). Similarly, aqueous or ethanolic plant extracts contain phenolic compounds, flavonoids, alkaloids, and tannins that inhibit fungal development and may also elicit host defense responses (Aremu et al., 2024; Esmaeili et al., 2025). Their natural origin, rapid degradation, and minimal toxicity make them promising candidates for use in </w:t>
      </w:r>
      <w:r w:rsidRPr="009F1654">
        <w:rPr>
          <w:rFonts w:ascii="Arial" w:hAnsi="Arial" w:cs="Arial"/>
          <w:bCs/>
          <w:highlight w:val="yellow"/>
        </w:rPr>
        <w:t xml:space="preserve">integrated disease management (IDM) programs. Recent studies have emphasized their effectiveness against </w:t>
      </w:r>
      <w:r w:rsidRPr="009F1654">
        <w:rPr>
          <w:rFonts w:ascii="Arial" w:hAnsi="Arial" w:cs="Arial"/>
          <w:bCs/>
          <w:i/>
          <w:iCs/>
          <w:highlight w:val="yellow"/>
        </w:rPr>
        <w:t>Colletotrichum</w:t>
      </w:r>
      <w:r w:rsidRPr="009F1654">
        <w:rPr>
          <w:rFonts w:ascii="Arial" w:hAnsi="Arial" w:cs="Arial"/>
          <w:bCs/>
          <w:highlight w:val="yellow"/>
        </w:rPr>
        <w:t xml:space="preserve"> and </w:t>
      </w:r>
      <w:r w:rsidRPr="009F1654">
        <w:rPr>
          <w:rFonts w:ascii="Arial" w:hAnsi="Arial" w:cs="Arial"/>
          <w:bCs/>
          <w:i/>
          <w:iCs/>
          <w:highlight w:val="yellow"/>
        </w:rPr>
        <w:t>Fusarium</w:t>
      </w:r>
      <w:r w:rsidRPr="009F1654">
        <w:rPr>
          <w:rFonts w:ascii="Arial" w:hAnsi="Arial" w:cs="Arial"/>
          <w:bCs/>
          <w:highlight w:val="yellow"/>
        </w:rPr>
        <w:t xml:space="preserve"> species in various crops (Khare et al., 2025a; Khare et al., 2025b; </w:t>
      </w:r>
      <w:proofErr w:type="spellStart"/>
      <w:r w:rsidRPr="009F1654">
        <w:rPr>
          <w:rFonts w:ascii="Arial" w:hAnsi="Arial" w:cs="Arial"/>
          <w:bCs/>
          <w:highlight w:val="yellow"/>
        </w:rPr>
        <w:t>Lyubenova</w:t>
      </w:r>
      <w:proofErr w:type="spellEnd"/>
      <w:r w:rsidRPr="009F1654">
        <w:rPr>
          <w:rFonts w:ascii="Arial" w:hAnsi="Arial" w:cs="Arial"/>
          <w:bCs/>
          <w:highlight w:val="yellow"/>
        </w:rPr>
        <w:t>, 2023).</w:t>
      </w:r>
    </w:p>
    <w:p w14:paraId="6D63D6B7" w14:textId="77777777" w:rsidR="00F97BE1" w:rsidRPr="009F1654" w:rsidRDefault="00F97BE1" w:rsidP="00F97BE1">
      <w:pPr>
        <w:pStyle w:val="Body"/>
        <w:spacing w:after="0"/>
        <w:rPr>
          <w:rFonts w:ascii="Arial" w:hAnsi="Arial" w:cs="Arial"/>
          <w:bCs/>
        </w:rPr>
      </w:pPr>
    </w:p>
    <w:p w14:paraId="210E3C0E" w14:textId="77777777" w:rsidR="00F97BE1" w:rsidRPr="009F1654" w:rsidRDefault="00F97BE1" w:rsidP="00F97BE1">
      <w:pPr>
        <w:pStyle w:val="Body"/>
        <w:spacing w:after="0"/>
        <w:rPr>
          <w:rFonts w:ascii="Arial" w:hAnsi="Arial" w:cs="Arial"/>
          <w:bCs/>
        </w:rPr>
      </w:pPr>
      <w:r w:rsidRPr="009F1654">
        <w:rPr>
          <w:rFonts w:ascii="Arial" w:hAnsi="Arial" w:cs="Arial"/>
          <w:bCs/>
        </w:rPr>
        <w:t>The present study was therefore designed to: (</w:t>
      </w:r>
      <w:proofErr w:type="spellStart"/>
      <w:r w:rsidRPr="009F1654">
        <w:rPr>
          <w:rFonts w:ascii="Arial" w:hAnsi="Arial" w:cs="Arial"/>
          <w:bCs/>
        </w:rPr>
        <w:t>i</w:t>
      </w:r>
      <w:proofErr w:type="spellEnd"/>
      <w:r w:rsidRPr="009F1654">
        <w:rPr>
          <w:rFonts w:ascii="Arial" w:hAnsi="Arial" w:cs="Arial"/>
          <w:bCs/>
        </w:rPr>
        <w:t xml:space="preserve">) evaluate, under in vitro conditions, the efficacy of nine synthetic fungicides and three biological formulations on the mycelial growth, sporulation, and spore germination of </w:t>
      </w:r>
      <w:r w:rsidRPr="009F1654">
        <w:rPr>
          <w:rFonts w:ascii="Arial" w:hAnsi="Arial" w:cs="Arial"/>
          <w:bCs/>
          <w:i/>
          <w:iCs/>
        </w:rPr>
        <w:t>Colletotrichum</w:t>
      </w:r>
      <w:r w:rsidRPr="009F1654">
        <w:rPr>
          <w:rFonts w:ascii="Arial" w:hAnsi="Arial" w:cs="Arial"/>
          <w:bCs/>
        </w:rPr>
        <w:t xml:space="preserve"> and </w:t>
      </w:r>
      <w:r w:rsidRPr="009F1654">
        <w:rPr>
          <w:rFonts w:ascii="Arial" w:hAnsi="Arial" w:cs="Arial"/>
          <w:bCs/>
          <w:i/>
          <w:iCs/>
        </w:rPr>
        <w:t>Fusarium</w:t>
      </w:r>
      <w:r w:rsidRPr="009F1654">
        <w:rPr>
          <w:rFonts w:ascii="Arial" w:hAnsi="Arial" w:cs="Arial"/>
          <w:bCs/>
        </w:rPr>
        <w:t xml:space="preserve"> isolates from black pepper; and (ii) compare and rank these products according to their inhibitory effects, with </w:t>
      </w:r>
      <w:r w:rsidRPr="009F1654">
        <w:rPr>
          <w:rFonts w:ascii="Arial" w:hAnsi="Arial" w:cs="Arial"/>
          <w:bCs/>
        </w:rPr>
        <w:lastRenderedPageBreak/>
        <w:t>particular emphasis on the performance of essential oil– and plant extract–based fungicides as potential sustainable disease control options for Côte d’Ivoire’s pepper industry.</w:t>
      </w:r>
    </w:p>
    <w:p w14:paraId="5F3A438B" w14:textId="77777777" w:rsidR="00790ADA" w:rsidRPr="009F1654" w:rsidRDefault="00790ADA" w:rsidP="00441B6F">
      <w:pPr>
        <w:pStyle w:val="Body"/>
        <w:spacing w:after="0"/>
        <w:rPr>
          <w:rFonts w:ascii="Arial" w:hAnsi="Arial" w:cs="Arial"/>
          <w:bCs/>
        </w:rPr>
      </w:pPr>
    </w:p>
    <w:p w14:paraId="593E113F" w14:textId="0756E5CA" w:rsidR="007F7B32" w:rsidRDefault="00CC1677" w:rsidP="00CC1677">
      <w:pPr>
        <w:pStyle w:val="Heading1"/>
      </w:pPr>
      <w:r>
        <w:t xml:space="preserve">2. MATERIAL AND METHODS </w:t>
      </w:r>
    </w:p>
    <w:p w14:paraId="3D28915A" w14:textId="77777777" w:rsidR="00790ADA" w:rsidRPr="00FB3A86" w:rsidRDefault="00790ADA" w:rsidP="00441B6F">
      <w:pPr>
        <w:pStyle w:val="AbstHead"/>
        <w:spacing w:after="0"/>
        <w:jc w:val="both"/>
        <w:rPr>
          <w:rFonts w:ascii="Arial" w:hAnsi="Arial" w:cs="Arial"/>
        </w:rPr>
      </w:pPr>
    </w:p>
    <w:p w14:paraId="4AE09DB4" w14:textId="5B120E1C" w:rsidR="00CC2982" w:rsidRPr="00CC1677" w:rsidRDefault="00CC2982" w:rsidP="00CC1677">
      <w:pPr>
        <w:pStyle w:val="Heading2"/>
      </w:pPr>
      <w:r w:rsidRPr="00CC1677">
        <w:t xml:space="preserve">2.1. </w:t>
      </w:r>
      <w:r w:rsidR="00C8677B" w:rsidRPr="00C8677B">
        <w:t>Fungal material</w:t>
      </w:r>
    </w:p>
    <w:p w14:paraId="25197FDA" w14:textId="424D5A37" w:rsidR="00D82AC2" w:rsidRDefault="00D82AC2" w:rsidP="00D82AC2">
      <w:pPr>
        <w:jc w:val="both"/>
        <w:rPr>
          <w:rFonts w:ascii="Arial" w:hAnsi="Arial" w:cs="Arial"/>
        </w:rPr>
      </w:pPr>
      <w:r w:rsidRPr="00D82AC2">
        <w:rPr>
          <w:rFonts w:ascii="Arial" w:hAnsi="Arial" w:cs="Arial"/>
        </w:rPr>
        <w:t xml:space="preserve">Following morphological characterization and formal identification of the fungal isolates, three representative isolates were randomly selected from each identified morphological group. In total, 12 isolates of the genus </w:t>
      </w:r>
      <w:r w:rsidRPr="00D82AC2">
        <w:rPr>
          <w:rFonts w:ascii="Arial" w:hAnsi="Arial" w:cs="Arial"/>
          <w:i/>
          <w:iCs/>
        </w:rPr>
        <w:t>Colletotrichum</w:t>
      </w:r>
      <w:r w:rsidRPr="00D82AC2">
        <w:rPr>
          <w:rFonts w:ascii="Arial" w:hAnsi="Arial" w:cs="Arial"/>
        </w:rPr>
        <w:t xml:space="preserve"> and </w:t>
      </w:r>
      <w:r w:rsidR="00762CEE">
        <w:rPr>
          <w:rFonts w:ascii="Arial" w:hAnsi="Arial" w:cs="Arial"/>
        </w:rPr>
        <w:t>six</w:t>
      </w:r>
      <w:r w:rsidRPr="00D82AC2">
        <w:rPr>
          <w:rFonts w:ascii="Arial" w:hAnsi="Arial" w:cs="Arial"/>
        </w:rPr>
        <w:t xml:space="preserve"> isolates of the genus </w:t>
      </w:r>
      <w:r w:rsidRPr="00D82AC2">
        <w:rPr>
          <w:rFonts w:ascii="Arial" w:hAnsi="Arial" w:cs="Arial"/>
          <w:i/>
          <w:iCs/>
        </w:rPr>
        <w:t>Fusarium</w:t>
      </w:r>
      <w:r w:rsidRPr="00D82AC2">
        <w:rPr>
          <w:rFonts w:ascii="Arial" w:hAnsi="Arial" w:cs="Arial"/>
        </w:rPr>
        <w:t xml:space="preserve">, both frequently recovered from diseased pepper organs in Côte d’Ivoire, were retained for evaluation (Dagnogo et al., 2024; Dagnogo, 2025). The selected strains were chosen based on their ability to induce characteristic disease symptoms </w:t>
      </w:r>
      <w:r w:rsidR="00762CEE">
        <w:rPr>
          <w:rFonts w:ascii="Arial" w:hAnsi="Arial" w:cs="Arial"/>
        </w:rPr>
        <w:t>i</w:t>
      </w:r>
      <w:r w:rsidRPr="00D82AC2">
        <w:rPr>
          <w:rFonts w:ascii="Arial" w:hAnsi="Arial" w:cs="Arial"/>
        </w:rPr>
        <w:t>n black pepper tissues.</w:t>
      </w:r>
    </w:p>
    <w:p w14:paraId="02F0503D" w14:textId="77777777" w:rsidR="0011010F" w:rsidRPr="00D82AC2" w:rsidRDefault="0011010F" w:rsidP="00D82AC2">
      <w:pPr>
        <w:jc w:val="both"/>
        <w:rPr>
          <w:rFonts w:ascii="Arial" w:hAnsi="Arial" w:cs="Arial"/>
        </w:rPr>
      </w:pPr>
    </w:p>
    <w:p w14:paraId="5E4A89B0" w14:textId="77777777" w:rsidR="00D82AC2" w:rsidRDefault="00D82AC2" w:rsidP="00D82AC2">
      <w:pPr>
        <w:jc w:val="both"/>
        <w:rPr>
          <w:rFonts w:ascii="Arial" w:hAnsi="Arial" w:cs="Arial"/>
        </w:rPr>
      </w:pPr>
      <w:r w:rsidRPr="00D82AC2">
        <w:rPr>
          <w:rFonts w:ascii="Arial" w:hAnsi="Arial" w:cs="Arial"/>
        </w:rPr>
        <w:t xml:space="preserve">The </w:t>
      </w:r>
      <w:r w:rsidRPr="00D82AC2">
        <w:rPr>
          <w:rFonts w:ascii="Arial" w:hAnsi="Arial" w:cs="Arial"/>
          <w:i/>
          <w:iCs/>
        </w:rPr>
        <w:t>Colletotrichum</w:t>
      </w:r>
      <w:r w:rsidRPr="00D82AC2">
        <w:rPr>
          <w:rFonts w:ascii="Arial" w:hAnsi="Arial" w:cs="Arial"/>
        </w:rPr>
        <w:t xml:space="preserve"> isolates included PV4, PV6, PV8, PV19, PV31, PV34, PV36, PV37, PV39, PV44, PV46, and PV48, while the </w:t>
      </w:r>
      <w:r w:rsidRPr="00D82AC2">
        <w:rPr>
          <w:rFonts w:ascii="Arial" w:hAnsi="Arial" w:cs="Arial"/>
          <w:i/>
          <w:iCs/>
        </w:rPr>
        <w:t>Fusarium</w:t>
      </w:r>
      <w:r w:rsidRPr="00D82AC2">
        <w:rPr>
          <w:rFonts w:ascii="Arial" w:hAnsi="Arial" w:cs="Arial"/>
        </w:rPr>
        <w:t xml:space="preserve"> isolates comprised PV52, PV53, PV54, PV55, PV58, and PV59. All isolates were originally obtained from symptomatic leaves, stems, and berries of black pepper plants.</w:t>
      </w:r>
    </w:p>
    <w:p w14:paraId="3465A2B0" w14:textId="77777777" w:rsidR="0011010F" w:rsidRPr="00D82AC2" w:rsidRDefault="0011010F" w:rsidP="00D82AC2">
      <w:pPr>
        <w:jc w:val="both"/>
        <w:rPr>
          <w:rFonts w:ascii="Arial" w:hAnsi="Arial" w:cs="Arial"/>
        </w:rPr>
      </w:pPr>
    </w:p>
    <w:p w14:paraId="6C910751" w14:textId="77777777" w:rsidR="00D82AC2" w:rsidRPr="00D82AC2" w:rsidRDefault="00D82AC2" w:rsidP="00D82AC2">
      <w:pPr>
        <w:jc w:val="both"/>
        <w:rPr>
          <w:rFonts w:ascii="Arial" w:hAnsi="Arial" w:cs="Arial"/>
        </w:rPr>
      </w:pPr>
      <w:r w:rsidRPr="00D82AC2">
        <w:rPr>
          <w:rFonts w:ascii="Arial" w:hAnsi="Arial" w:cs="Arial"/>
          <w:b/>
          <w:bCs/>
        </w:rPr>
        <w:t>Figure 1</w:t>
      </w:r>
      <w:r w:rsidRPr="00D82AC2">
        <w:rPr>
          <w:rFonts w:ascii="Arial" w:hAnsi="Arial" w:cs="Arial"/>
        </w:rPr>
        <w:t xml:space="preserve"> presents the macroscopic and microscopic features of the </w:t>
      </w:r>
      <w:r w:rsidRPr="00D82AC2">
        <w:rPr>
          <w:rFonts w:ascii="Arial" w:hAnsi="Arial" w:cs="Arial"/>
          <w:i/>
          <w:iCs/>
        </w:rPr>
        <w:t>Colletotrichum</w:t>
      </w:r>
      <w:r w:rsidRPr="00D82AC2">
        <w:rPr>
          <w:rFonts w:ascii="Arial" w:hAnsi="Arial" w:cs="Arial"/>
        </w:rPr>
        <w:t xml:space="preserve"> and </w:t>
      </w:r>
      <w:r w:rsidRPr="00D82AC2">
        <w:rPr>
          <w:rFonts w:ascii="Arial" w:hAnsi="Arial" w:cs="Arial"/>
          <w:i/>
          <w:iCs/>
        </w:rPr>
        <w:t>Fusarium</w:t>
      </w:r>
      <w:r w:rsidRPr="00D82AC2">
        <w:rPr>
          <w:rFonts w:ascii="Arial" w:hAnsi="Arial" w:cs="Arial"/>
        </w:rPr>
        <w:t xml:space="preserve"> morphotypes examined.</w:t>
      </w:r>
    </w:p>
    <w:p w14:paraId="12D29B3A" w14:textId="4A2C6128" w:rsidR="00D82AC2" w:rsidRPr="00D82AC2" w:rsidRDefault="00135FE3" w:rsidP="00D82AC2">
      <w:pPr>
        <w:jc w:val="center"/>
        <w:rPr>
          <w:rFonts w:ascii="Arial" w:hAnsi="Arial" w:cs="Arial"/>
        </w:rPr>
      </w:pPr>
      <w:r>
        <w:rPr>
          <w:rFonts w:ascii="Arial" w:hAnsi="Arial" w:cs="Arial"/>
        </w:rPr>
      </w:r>
      <w:r>
        <w:rPr>
          <w:rFonts w:ascii="Arial" w:hAnsi="Arial" w:cs="Arial"/>
        </w:rPr>
        <w:pict w14:anchorId="235A32AA">
          <v:group id="Group 26" o:spid="_x0000_s2067" style="width:451.15pt;height:287.55pt;mso-position-horizontal-relative:char;mso-position-vertical-relative:line" coordsize="50222,31321">
            <v:group id="Groupe 1" o:spid="_x0000_s2068" style="position:absolute;top:3508;width:50222;height:27813" coordsize="50224,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BryAAAAOMAAAAPAAAAZHJzL2Rvd25yZXYueG1sRE9fa8Iw&#10;EH8X9h3CDXybaaaWrTOKyBw+yGA6GHs7mrMtNpfSxLZ++0UY+Hi//7dYDbYWHbW+cqxBTRIQxLkz&#10;FRcavo/bpxcQPiAbrB2Thit5WC0fRgvMjOv5i7pDKEQMYZ+hhjKEJpPS5yVZ9BPXEEfu5FqLIZ5t&#10;IU2LfQy3tXxOklRarDg2lNjQpqT8fLhYDR899uupeu/259Pm+nucf/7sFWk9fhzWbyACDeEu/nfv&#10;TJyv0vQ1mc9mCm4/RQDk8g8AAP//AwBQSwECLQAUAAYACAAAACEA2+H2y+4AAACFAQAAEwAAAAAA&#10;AAAAAAAAAAAAAAAAW0NvbnRlbnRfVHlwZXNdLnhtbFBLAQItABQABgAIAAAAIQBa9CxbvwAAABUB&#10;AAALAAAAAAAAAAAAAAAAAB8BAABfcmVscy8ucmVsc1BLAQItABQABgAIAAAAIQBDklB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69" type="#_x0000_t75" style="position:absolute;width:30880;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UVKyQAAAOIAAAAPAAAAZHJzL2Rvd25yZXYueG1sRI9PawIx&#10;FMTvhX6H8Aq91WSl+Gc1SikIHrxULXh8bF53Fzcva5J112/fCILHYWZ+wyzXg23ElXyoHWvIRgoE&#10;ceFMzaWG42HzMQMRIrLBxjFpuFGA9er1ZYm5cT3/0HUfS5EgHHLUUMXY5lKGoiKLYeRa4uT9OW8x&#10;JulLaTz2CW4bOVZqIi3WnBYqbOm7ouK876yGomPf7bLf+UUN7iQv/Uy2p6D1+9vwtQARaYjP8KO9&#10;NRom8081HU9VBvdL6Q7I1T8AAAD//wMAUEsBAi0AFAAGAAgAAAAhANvh9svuAAAAhQEAABMAAAAA&#10;AAAAAAAAAAAAAAAAAFtDb250ZW50X1R5cGVzXS54bWxQSwECLQAUAAYACAAAACEAWvQsW78AAAAV&#10;AQAACwAAAAAAAAAAAAAAAAAfAQAAX3JlbHMvLnJlbHNQSwECLQAUAAYACAAAACEAc/VFSskAAADi&#10;AAAADwAAAAAAAAAAAAAAAAAHAgAAZHJzL2Rvd25yZXYueG1sUEsFBgAAAAADAAMAtwAAAP0CAAAA&#10;AA==&#10;">
                <v:imagedata r:id="rId14" o:title=""/>
              </v:shape>
              <v:shape id="Image 1" o:spid="_x0000_s2070" type="#_x0000_t75" style="position:absolute;left:30882;top:86;width:19342;height:27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UEyQAAAOMAAAAPAAAAZHJzL2Rvd25yZXYueG1sRE9La8JA&#10;EL4X+h+WKfRWNzZqNLpKKRQUS/F18TZkxyQ0O5tmVxP767sFweN875ktOlOJCzWutKyg34tAEGdW&#10;l5wrOOw/XsYgnEfWWFkmBVdysJg/Psww1bblLV12PhchhF2KCgrv61RKlxVk0PVsTRy4k20M+nA2&#10;udQNtiHcVPI1ikbSYMmhocCa3gvKvndno+Azdl7Tul3+/iSD46RabVZf5Uap56fubQrCU+fv4pt7&#10;qcP8YRIng3EcDeH/pwCAnP8BAAD//wMAUEsBAi0AFAAGAAgAAAAhANvh9svuAAAAhQEAABMAAAAA&#10;AAAAAAAAAAAAAAAAAFtDb250ZW50X1R5cGVzXS54bWxQSwECLQAUAAYACAAAACEAWvQsW78AAAAV&#10;AQAACwAAAAAAAAAAAAAAAAAfAQAAX3JlbHMvLnJlbHNQSwECLQAUAAYACAAAACEA67AFBMkAAADj&#10;AAAADwAAAAAAAAAAAAAAAAAHAgAAZHJzL2Rvd25yZXYueG1sUEsFBgAAAAADAAMAtwAAAP0CAAAA&#10;AA==&#10;">
                <v:imagedata r:id="rId15" o:title=""/>
              </v:shape>
            </v:group>
            <v:shapetype id="_x0000_t202" coordsize="21600,21600" o:spt="202" path="m,l,21600r21600,l21600,xe">
              <v:stroke joinstyle="miter"/>
              <v:path gradientshapeok="t" o:connecttype="rect"/>
            </v:shapetype>
            <v:shape id="Zone de texte 1" o:spid="_x0000_s2071" type="#_x0000_t202" style="position:absolute;left:5693;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DjzQAAAOMAAAAPAAAAZHJzL2Rvd25yZXYueG1sRI/NTsNA&#10;DITvSLzDypW4ILoJLW1Ju60Q4k/caAqoNyvrJhFZb5RdkvD2+IDE0Z7xzOfNbnSN6qkLtWcD6TQB&#10;RVx4W3Np4JA/Xq1AhYhssfFMBn4owG57frbBzPqB36jfx1JJCIcMDVQxtpnWoajIYZj6lli0k+8c&#10;Rhm7UtsOBwl3jb5OkoV2WLM0VNjSfUXF1/7bGThelp+vYXx6H2Y3s/bhuc+XHzY35mIy3q1BRRrj&#10;v/nv+sUK/jxNbherdC7Q8pMsQG9/AQAA//8DAFBLAQItABQABgAIAAAAIQDb4fbL7gAAAIUBAAAT&#10;AAAAAAAAAAAAAAAAAAAAAABbQ29udGVudF9UeXBlc10ueG1sUEsBAi0AFAAGAAgAAAAhAFr0LFu/&#10;AAAAFQEAAAsAAAAAAAAAAAAAAAAAHwEAAF9yZWxzLy5yZWxzUEsBAi0AFAAGAAgAAAAhAPsZoOPN&#10;AAAA4wAAAA8AAAAAAAAAAAAAAAAABwIAAGRycy9kb3ducmV2LnhtbFBLBQYAAAAAAwADALcAAAAB&#10;AwAAAAA=&#10;" fillcolor="white [3201]" stroked="f" strokeweight=".5pt">
              <v:textbox style="mso-next-textbox:#Zone de texte 1">
                <w:txbxContent>
                  <w:p w14:paraId="65495BBD" w14:textId="77777777" w:rsidR="00D82AC2" w:rsidRPr="001079A0" w:rsidRDefault="00D82AC2" w:rsidP="00D82AC2">
                    <w:pPr>
                      <w:rPr>
                        <w:rFonts w:ascii="Times New Roman" w:hAnsi="Times New Roman"/>
                      </w:rPr>
                    </w:pPr>
                    <w:r w:rsidRPr="001079A0">
                      <w:rPr>
                        <w:rFonts w:ascii="Times New Roman" w:hAnsi="Times New Roman"/>
                      </w:rPr>
                      <w:t>A</w:t>
                    </w:r>
                  </w:p>
                </w:txbxContent>
              </v:textbox>
            </v:shape>
            <v:shape id="Zone de texte 1" o:spid="_x0000_s2072" type="#_x0000_t202" style="position:absolute;left:14837;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ghyQAAAOMAAAAPAAAAZHJzL2Rvd25yZXYueG1sRE9LS8NA&#10;EL4X/A/LCF6K3a2haYndliK+8GajLd6G7JgEs7Mhuybpv+8KBY/zvWe9HW0jeup87VjDfKZAEBfO&#10;1Fxq+MifblcgfEA22DgmDSfysN1cTdaYGTfwO/X7UIoYwj5DDVUIbSalLyqy6GeuJY7ct+sshnh2&#10;pTQdDjHcNvJOqVRarDk2VNjSQ0XFz/7Xavialsc3Pz5/DskiaR9f+nx5MLnWN9fj7h5EoDH8iy/u&#10;VxPnp8skTZVaJfD3UwRAbs4AAAD//wMAUEsBAi0AFAAGAAgAAAAhANvh9svuAAAAhQEAABMAAAAA&#10;AAAAAAAAAAAAAAAAAFtDb250ZW50X1R5cGVzXS54bWxQSwECLQAUAAYACAAAACEAWvQsW78AAAAV&#10;AQAACwAAAAAAAAAAAAAAAAAfAQAAX3JlbHMvLnJlbHNQSwECLQAUAAYACAAAACEA17oYIckAAADj&#10;AAAADwAAAAAAAAAAAAAAAAAHAgAAZHJzL2Rvd25yZXYueG1sUEsFBgAAAAADAAMAtwAAAP0CAAAA&#10;AA==&#10;" fillcolor="white [3201]" stroked="f" strokeweight=".5pt">
              <v:textbox>
                <w:txbxContent>
                  <w:p w14:paraId="4A515294" w14:textId="77777777" w:rsidR="00D82AC2" w:rsidRPr="001079A0" w:rsidRDefault="00D82AC2" w:rsidP="00D82AC2">
                    <w:pPr>
                      <w:rPr>
                        <w:rFonts w:ascii="Times New Roman" w:hAnsi="Times New Roman"/>
                      </w:rPr>
                    </w:pPr>
                    <w:r>
                      <w:rPr>
                        <w:rFonts w:ascii="Times New Roman" w:hAnsi="Times New Roman"/>
                      </w:rPr>
                      <w:t>B</w:t>
                    </w:r>
                  </w:p>
                </w:txbxContent>
              </v:textbox>
            </v:shape>
            <v:shape id="Zone de texte 1" o:spid="_x0000_s2073" type="#_x0000_t202" style="position:absolute;left:23521;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A6zAAAAOIAAAAPAAAAZHJzL2Rvd25yZXYueG1sRI9bS8NA&#10;FITfC/6H5Qi+FLvpxTTGbouIN3wzaRXfDtljEsyeDdk1if/eLRT6OMzMN8xmN5pG9NS52rKC+SwC&#10;QVxYXXOpYJ8/XScgnEfW2FgmBX/kYLe9mGww1Xbgd+ozX4oAYZeigsr7NpXSFRUZdDPbEgfv23YG&#10;fZBdKXWHQ4CbRi6iKJYGaw4LFbb0UFHxk/0aBV/T8vPNjc+HYXmzbB9f+nz9oXOlri7H+zsQnkZ/&#10;Dp/ar1pBsp4vVvFtEsPxUrgDcvsPAAD//wMAUEsBAi0AFAAGAAgAAAAhANvh9svuAAAAhQEAABMA&#10;AAAAAAAAAAAAAAAAAAAAAFtDb250ZW50X1R5cGVzXS54bWxQSwECLQAUAAYACAAAACEAWvQsW78A&#10;AAAVAQAACwAAAAAAAAAAAAAAAAAfAQAAX3JlbHMvLnJlbHNQSwECLQAUAAYACAAAACEAWbaAOswA&#10;AADiAAAADwAAAAAAAAAAAAAAAAAHAgAAZHJzL2Rvd25yZXYueG1sUEsFBgAAAAADAAMAtwAAAAAD&#10;AAAAAA==&#10;" fillcolor="white [3201]" stroked="f" strokeweight=".5pt">
              <v:textbox>
                <w:txbxContent>
                  <w:p w14:paraId="2CD9C757" w14:textId="77777777" w:rsidR="00D82AC2" w:rsidRPr="001079A0" w:rsidRDefault="00D82AC2" w:rsidP="00D82AC2">
                    <w:pPr>
                      <w:rPr>
                        <w:rFonts w:ascii="Times New Roman" w:hAnsi="Times New Roman"/>
                      </w:rPr>
                    </w:pPr>
                    <w:r>
                      <w:rPr>
                        <w:rFonts w:ascii="Times New Roman" w:hAnsi="Times New Roman"/>
                      </w:rPr>
                      <w:t>C</w:t>
                    </w:r>
                  </w:p>
                </w:txbxContent>
              </v:textbox>
            </v:shape>
            <v:shape id="Zone de texte 1" o:spid="_x0000_s2074" type="#_x0000_t202" style="position:absolute;left:33873;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LEzAAAAOIAAAAPAAAAZHJzL2Rvd25yZXYueG1sRI9BS8NA&#10;FITvgv9heUIvpd3YktjGbotItaU3m6p4e2SfSTD7NmTXJP33bqHgcZiZb5jVZjC16Kh1lWUF99MI&#10;BHFudcWFglP2MlmAcB5ZY22ZFJzJwWZ9e7PCVNue36g7+kIECLsUFZTeN6mULi/JoJvahjh437Y1&#10;6INsC6lb7APc1HIWRYk0WHFYKLGh55Lyn+OvUfA1Lj4Pbnh97+fxvNnuuuzhQ2dKje6Gp0cQngb/&#10;H76291rBIk6W8WyZJHC5FO6AXP8BAAD//wMAUEsBAi0AFAAGAAgAAAAhANvh9svuAAAAhQEAABMA&#10;AAAAAAAAAAAAAAAAAAAAAFtDb250ZW50X1R5cGVzXS54bWxQSwECLQAUAAYACAAAACEAWvQsW78A&#10;AAAVAQAACwAAAAAAAAAAAAAAAAAfAQAAX3JlbHMvLnJlbHNQSwECLQAUAAYACAAAACEAlFZixMwA&#10;AADiAAAADwAAAAAAAAAAAAAAAAAHAgAAZHJzL2Rvd25yZXYueG1sUEsFBgAAAAADAAMAtwAAAAAD&#10;AAAAAA==&#10;" fillcolor="white [3201]" stroked="f" strokeweight=".5pt">
              <v:textbox>
                <w:txbxContent>
                  <w:p w14:paraId="39C12AB3" w14:textId="77777777" w:rsidR="00D82AC2" w:rsidRPr="001079A0" w:rsidRDefault="00D82AC2" w:rsidP="00D82AC2">
                    <w:pPr>
                      <w:rPr>
                        <w:rFonts w:ascii="Times New Roman" w:hAnsi="Times New Roman"/>
                      </w:rPr>
                    </w:pPr>
                    <w:r>
                      <w:rPr>
                        <w:rFonts w:ascii="Times New Roman" w:hAnsi="Times New Roman"/>
                      </w:rPr>
                      <w:t>D</w:t>
                    </w:r>
                  </w:p>
                </w:txbxContent>
              </v:textbox>
            </v:shape>
            <v:shape id="Zone de texte 1" o:spid="_x0000_s2075" type="#_x0000_t202" style="position:absolute;left:43247;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GXLzQAAAOMAAAAPAAAAZHJzL2Rvd25yZXYueG1sRI9LT8NA&#10;DITvSP0PK1figugmhLYodFtViEfFjYaHuFlZk0TNeqPskoR/jw9IHO0Zz3ze7CbXqoH60Hg2kC4S&#10;UMSltw1XBl6Lh8sbUCEiW2w9k4EfCrDbzs42mFs/8gsNx1gpCeGQo4E6xi7XOpQ1OQwL3xGL9uV7&#10;h1HGvtK2x1HCXauvkmSlHTYsDTV2dFdTeTp+OwOfF9XHc5ge38ZsmXX3T0OxfreFMefzaX8LKtIU&#10;/81/1wcr+Ktlur7OslSg5SdZgN7+AgAA//8DAFBLAQItABQABgAIAAAAIQDb4fbL7gAAAIUBAAAT&#10;AAAAAAAAAAAAAAAAAAAAAABbQ29udGVudF9UeXBlc10ueG1sUEsBAi0AFAAGAAgAAAAhAFr0LFu/&#10;AAAAFQEAAAsAAAAAAAAAAAAAAAAAHwEAAF9yZWxzLy5yZWxzUEsBAi0AFAAGAAgAAAAhAMHYZcvN&#10;AAAA4wAAAA8AAAAAAAAAAAAAAAAABwIAAGRycy9kb3ducmV2LnhtbFBLBQYAAAAAAwADALcAAAAB&#10;AwAAAAA=&#10;" fillcolor="white [3201]" stroked="f" strokeweight=".5pt">
              <v:textbox>
                <w:txbxContent>
                  <w:p w14:paraId="428FE38D" w14:textId="77777777" w:rsidR="00D82AC2" w:rsidRPr="001079A0" w:rsidRDefault="00D82AC2" w:rsidP="00D82AC2">
                    <w:pPr>
                      <w:rPr>
                        <w:rFonts w:ascii="Times New Roman" w:hAnsi="Times New Roman"/>
                      </w:rPr>
                    </w:pPr>
                    <w:r>
                      <w:rPr>
                        <w:rFonts w:ascii="Times New Roman" w:hAnsi="Times New Roman"/>
                      </w:rPr>
                      <w:t>E</w:t>
                    </w:r>
                  </w:p>
                </w:txbxContent>
              </v:textbox>
            </v:shape>
            <w10:anchorlock/>
          </v:group>
        </w:pict>
      </w:r>
    </w:p>
    <w:p w14:paraId="3499A9A8" w14:textId="77777777" w:rsidR="00D82AC2" w:rsidRPr="00D82AC2" w:rsidRDefault="00D82AC2" w:rsidP="00D82AC2">
      <w:pPr>
        <w:jc w:val="both"/>
        <w:rPr>
          <w:rFonts w:ascii="Arial" w:hAnsi="Arial" w:cs="Arial"/>
        </w:rPr>
      </w:pPr>
      <w:r w:rsidRPr="00D82AC2">
        <w:rPr>
          <w:rFonts w:ascii="Arial" w:hAnsi="Arial" w:cs="Arial"/>
          <w:b/>
          <w:bCs/>
        </w:rPr>
        <w:t>Figure 1.</w:t>
      </w:r>
      <w:r w:rsidRPr="00D82AC2">
        <w:rPr>
          <w:rFonts w:ascii="Arial" w:hAnsi="Arial" w:cs="Arial"/>
        </w:rPr>
        <w:t xml:space="preserve"> Macroscopic and microscopic characteristics of </w:t>
      </w:r>
      <w:r w:rsidRPr="00D82AC2">
        <w:rPr>
          <w:rFonts w:ascii="Arial" w:hAnsi="Arial" w:cs="Arial"/>
          <w:i/>
          <w:iCs/>
        </w:rPr>
        <w:t>Colletotrichum</w:t>
      </w:r>
      <w:r w:rsidRPr="00D82AC2">
        <w:rPr>
          <w:rFonts w:ascii="Arial" w:hAnsi="Arial" w:cs="Arial"/>
        </w:rPr>
        <w:t xml:space="preserve"> and </w:t>
      </w:r>
      <w:r w:rsidRPr="00D82AC2">
        <w:rPr>
          <w:rFonts w:ascii="Arial" w:hAnsi="Arial" w:cs="Arial"/>
          <w:i/>
          <w:iCs/>
        </w:rPr>
        <w:t>Fusarium</w:t>
      </w:r>
      <w:r w:rsidRPr="00D82AC2">
        <w:rPr>
          <w:rFonts w:ascii="Arial" w:hAnsi="Arial" w:cs="Arial"/>
        </w:rPr>
        <w:t xml:space="preserve"> isolates.</w:t>
      </w:r>
    </w:p>
    <w:p w14:paraId="2EAF0E36" w14:textId="060E649B" w:rsidR="00CC2982" w:rsidRPr="006659B6" w:rsidRDefault="00D82AC2" w:rsidP="00D82AC2">
      <w:pPr>
        <w:jc w:val="both"/>
        <w:rPr>
          <w:rFonts w:ascii="Arial" w:hAnsi="Arial" w:cs="Arial"/>
          <w:i/>
          <w:iCs/>
          <w:sz w:val="18"/>
          <w:szCs w:val="18"/>
        </w:rPr>
      </w:pPr>
      <w:r w:rsidRPr="006659B6">
        <w:rPr>
          <w:rFonts w:ascii="Arial" w:hAnsi="Arial" w:cs="Arial"/>
          <w:i/>
          <w:iCs/>
          <w:sz w:val="18"/>
          <w:szCs w:val="18"/>
        </w:rPr>
        <w:t>L1: colony surface; L2: colony underside; L3: spores. A–C: Colletotrichum morphotypes; D–E: Fusarium morphotypes.</w:t>
      </w:r>
    </w:p>
    <w:p w14:paraId="7D238CE0" w14:textId="77777777" w:rsidR="00D82AC2" w:rsidRPr="00D82AC2" w:rsidRDefault="00D82AC2" w:rsidP="00D82AC2">
      <w:pPr>
        <w:jc w:val="both"/>
        <w:rPr>
          <w:rFonts w:ascii="Arial" w:hAnsi="Arial" w:cs="Arial"/>
        </w:rPr>
      </w:pPr>
    </w:p>
    <w:p w14:paraId="2EBF0A4C" w14:textId="13D83294" w:rsidR="004D3503" w:rsidRPr="00D3548C" w:rsidRDefault="00CC2982" w:rsidP="004D3503">
      <w:pPr>
        <w:pStyle w:val="Heading2"/>
      </w:pPr>
      <w:r w:rsidRPr="00A74BCD">
        <w:t xml:space="preserve">2.2. </w:t>
      </w:r>
      <w:r w:rsidR="004D3503" w:rsidRPr="00B31F16">
        <w:t>In</w:t>
      </w:r>
      <w:r w:rsidR="004D3503">
        <w:t xml:space="preserve"> </w:t>
      </w:r>
      <w:r w:rsidR="004D3503" w:rsidRPr="00B31F16">
        <w:t>vitro</w:t>
      </w:r>
      <w:r w:rsidR="004D3503">
        <w:t xml:space="preserve"> </w:t>
      </w:r>
      <w:r w:rsidR="004D3503" w:rsidRPr="00B31F16">
        <w:t>evaluation</w:t>
      </w:r>
      <w:r w:rsidR="004D3503">
        <w:t xml:space="preserve"> </w:t>
      </w:r>
      <w:r w:rsidR="004D3503" w:rsidRPr="00B31F16">
        <w:t>of</w:t>
      </w:r>
      <w:r w:rsidR="004D3503">
        <w:t xml:space="preserve"> </w:t>
      </w:r>
      <w:r w:rsidR="004D3503" w:rsidRPr="00B31F16">
        <w:t>fungicide</w:t>
      </w:r>
      <w:r w:rsidR="004D3503">
        <w:t xml:space="preserve"> </w:t>
      </w:r>
      <w:r w:rsidR="004D3503" w:rsidRPr="00B31F16">
        <w:t>efficacy</w:t>
      </w:r>
      <w:r w:rsidR="004D3503">
        <w:t xml:space="preserve"> </w:t>
      </w:r>
      <w:r w:rsidR="004D3503" w:rsidRPr="00B31F16">
        <w:t>against</w:t>
      </w:r>
      <w:r w:rsidR="004D3503">
        <w:t xml:space="preserve"> </w:t>
      </w:r>
      <w:r w:rsidR="004D3503" w:rsidRPr="00B31F16">
        <w:t>the</w:t>
      </w:r>
      <w:r w:rsidR="004D3503">
        <w:t xml:space="preserve"> </w:t>
      </w:r>
      <w:r w:rsidR="004D3503" w:rsidRPr="00B31F16">
        <w:t>main</w:t>
      </w:r>
      <w:r w:rsidR="004D3503">
        <w:t xml:space="preserve"> </w:t>
      </w:r>
      <w:r w:rsidR="004D3503" w:rsidRPr="00B31F16">
        <w:t>isolated</w:t>
      </w:r>
      <w:r w:rsidR="004D3503">
        <w:t xml:space="preserve"> </w:t>
      </w:r>
      <w:r w:rsidR="004D3503" w:rsidRPr="00B31F16">
        <w:t>fungi</w:t>
      </w:r>
    </w:p>
    <w:p w14:paraId="71FAE24B" w14:textId="4CF57717" w:rsidR="004D3503" w:rsidRPr="00336573" w:rsidRDefault="00336573"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2.2.1. </w:t>
      </w:r>
      <w:r w:rsidR="004D3503" w:rsidRPr="00336573">
        <w:rPr>
          <w:rFonts w:ascii="Arial" w:hAnsi="Arial" w:cs="Arial"/>
          <w:sz w:val="20"/>
          <w:szCs w:val="20"/>
          <w:u w:val="single"/>
        </w:rPr>
        <w:t>Factors studied</w:t>
      </w:r>
    </w:p>
    <w:p w14:paraId="40C84B89" w14:textId="77777777" w:rsidR="004D3503" w:rsidRPr="004D3503" w:rsidRDefault="004D3503" w:rsidP="004D3503">
      <w:pPr>
        <w:jc w:val="both"/>
        <w:rPr>
          <w:rFonts w:ascii="Arial" w:hAnsi="Arial" w:cs="Arial"/>
        </w:rPr>
      </w:pPr>
      <w:r w:rsidRPr="004D3503">
        <w:rPr>
          <w:rFonts w:ascii="Arial" w:hAnsi="Arial" w:cs="Arial"/>
        </w:rPr>
        <w:lastRenderedPageBreak/>
        <w:t xml:space="preserve">The study evaluated the in vitro effects of nine synthetic fungicides—six commercially available and three under registration—and three biological fungicides on </w:t>
      </w:r>
      <w:r w:rsidRPr="004D3503">
        <w:rPr>
          <w:rFonts w:ascii="Arial" w:hAnsi="Arial" w:cs="Arial"/>
          <w:i/>
          <w:iCs/>
        </w:rPr>
        <w:t>Colletotrichum</w:t>
      </w:r>
      <w:r w:rsidRPr="004D3503">
        <w:rPr>
          <w:rFonts w:ascii="Arial" w:hAnsi="Arial" w:cs="Arial"/>
        </w:rPr>
        <w:t xml:space="preserve"> and </w:t>
      </w:r>
      <w:r w:rsidRPr="004D3503">
        <w:rPr>
          <w:rFonts w:ascii="Arial" w:hAnsi="Arial" w:cs="Arial"/>
          <w:i/>
          <w:iCs/>
        </w:rPr>
        <w:t>Fusarium</w:t>
      </w:r>
      <w:r w:rsidRPr="004D3503">
        <w:rPr>
          <w:rFonts w:ascii="Arial" w:hAnsi="Arial" w:cs="Arial"/>
        </w:rPr>
        <w:t xml:space="preserve"> isolates obtained from diseased black pepper plants. The antifungal activity of these products was assessed on three parameters: mycelial growth, sporulation, and spore germination. The characteristics of the biological and synthetic fungicides are summarized in </w:t>
      </w:r>
      <w:r w:rsidRPr="009F1654">
        <w:rPr>
          <w:rFonts w:ascii="Arial" w:hAnsi="Arial" w:cs="Arial"/>
        </w:rPr>
        <w:t>Tables 1 and 2, respectively. The sensitivity of the fungal isolates and the comparative</w:t>
      </w:r>
      <w:r w:rsidRPr="004D3503">
        <w:rPr>
          <w:rFonts w:ascii="Arial" w:hAnsi="Arial" w:cs="Arial"/>
        </w:rPr>
        <w:t xml:space="preserve"> efficacy of the fungicides were the main factors analyzed.</w:t>
      </w:r>
    </w:p>
    <w:p w14:paraId="5F069D03" w14:textId="77777777" w:rsidR="004D3503" w:rsidRPr="004D3503" w:rsidRDefault="004D3503" w:rsidP="004D3503">
      <w:pPr>
        <w:jc w:val="both"/>
        <w:rPr>
          <w:rFonts w:ascii="Arial" w:hAnsi="Arial" w:cs="Arial"/>
        </w:rPr>
      </w:pPr>
    </w:p>
    <w:p w14:paraId="1BC2588E" w14:textId="77777777" w:rsidR="004D3503" w:rsidRDefault="004D3503" w:rsidP="004D3503">
      <w:pPr>
        <w:rPr>
          <w:rFonts w:ascii="Arial" w:hAnsi="Arial" w:cs="Arial"/>
        </w:rPr>
      </w:pPr>
      <w:r w:rsidRPr="004D3503">
        <w:rPr>
          <w:rFonts w:ascii="Arial" w:hAnsi="Arial" w:cs="Arial"/>
          <w:b/>
          <w:bCs/>
        </w:rPr>
        <w:t>Table 1.</w:t>
      </w:r>
      <w:r w:rsidRPr="004D3503">
        <w:rPr>
          <w:rFonts w:ascii="Arial" w:hAnsi="Arial" w:cs="Arial"/>
        </w:rPr>
        <w:t xml:space="preserve"> Characteristics of the biological fungicides tested.</w:t>
      </w:r>
    </w:p>
    <w:p w14:paraId="0E4E0DC6" w14:textId="77777777" w:rsidR="0011010F" w:rsidRPr="004D3503" w:rsidRDefault="0011010F" w:rsidP="004D3503">
      <w:pPr>
        <w:rPr>
          <w:rFonts w:ascii="Arial" w:hAnsi="Arial" w:cs="Arial"/>
        </w:rPr>
      </w:pPr>
    </w:p>
    <w:tbl>
      <w:tblPr>
        <w:tblStyle w:val="GridTable1Light"/>
        <w:tblW w:w="5000" w:type="pct"/>
        <w:tblLook w:val="04A0" w:firstRow="1" w:lastRow="0" w:firstColumn="1" w:lastColumn="0" w:noHBand="0" w:noVBand="1"/>
      </w:tblPr>
      <w:tblGrid>
        <w:gridCol w:w="1903"/>
        <w:gridCol w:w="1318"/>
        <w:gridCol w:w="1663"/>
        <w:gridCol w:w="1860"/>
        <w:gridCol w:w="1680"/>
      </w:tblGrid>
      <w:tr w:rsidR="004D3503" w:rsidRPr="00AD5D34" w14:paraId="56617BC9"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pct"/>
            <w:hideMark/>
          </w:tcPr>
          <w:p w14:paraId="09CBF89C" w14:textId="77777777" w:rsidR="004D3503" w:rsidRPr="00AD5D34" w:rsidRDefault="004D3503" w:rsidP="004D3503">
            <w:pPr>
              <w:rPr>
                <w:rFonts w:ascii="Arial" w:hAnsi="Arial" w:cs="Arial"/>
                <w:sz w:val="20"/>
                <w:szCs w:val="20"/>
              </w:rPr>
            </w:pPr>
            <w:r w:rsidRPr="00AD5D34">
              <w:rPr>
                <w:rFonts w:ascii="Arial" w:hAnsi="Arial" w:cs="Arial"/>
                <w:sz w:val="20"/>
                <w:szCs w:val="20"/>
              </w:rPr>
              <w:t>Active ingredient</w:t>
            </w:r>
          </w:p>
        </w:tc>
        <w:tc>
          <w:tcPr>
            <w:tcW w:w="782" w:type="pct"/>
            <w:hideMark/>
          </w:tcPr>
          <w:p w14:paraId="710D34E9"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Chemical nature</w:t>
            </w:r>
          </w:p>
        </w:tc>
        <w:tc>
          <w:tcPr>
            <w:tcW w:w="987" w:type="pct"/>
            <w:hideMark/>
          </w:tcPr>
          <w:p w14:paraId="22B3D059"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Formulation</w:t>
            </w:r>
          </w:p>
        </w:tc>
        <w:tc>
          <w:tcPr>
            <w:tcW w:w="1104" w:type="pct"/>
            <w:hideMark/>
          </w:tcPr>
          <w:p w14:paraId="674CA9FD"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Mode of action</w:t>
            </w:r>
          </w:p>
        </w:tc>
        <w:tc>
          <w:tcPr>
            <w:tcW w:w="997" w:type="pct"/>
            <w:hideMark/>
          </w:tcPr>
          <w:p w14:paraId="03224FF1"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Trade name / Common name</w:t>
            </w:r>
          </w:p>
        </w:tc>
      </w:tr>
      <w:tr w:rsidR="004D3503" w:rsidRPr="00AD5D34" w14:paraId="18D7B272"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74D6A071" w14:textId="77777777" w:rsidR="004D3503" w:rsidRPr="00AD5D34" w:rsidRDefault="004D3503" w:rsidP="004D3503">
            <w:pPr>
              <w:rPr>
                <w:rFonts w:ascii="Arial" w:hAnsi="Arial" w:cs="Arial"/>
                <w:sz w:val="20"/>
                <w:szCs w:val="20"/>
              </w:rPr>
            </w:pPr>
            <w:r w:rsidRPr="00AD5D34">
              <w:rPr>
                <w:rFonts w:ascii="Arial" w:hAnsi="Arial" w:cs="Arial"/>
                <w:sz w:val="20"/>
                <w:szCs w:val="20"/>
              </w:rPr>
              <w:t>Thymol–Gamma terpinene–Eugenol</w:t>
            </w:r>
          </w:p>
        </w:tc>
        <w:tc>
          <w:tcPr>
            <w:tcW w:w="782" w:type="pct"/>
            <w:hideMark/>
          </w:tcPr>
          <w:p w14:paraId="68D5F86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73A749E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Emulsifiable </w:t>
            </w:r>
            <w:proofErr w:type="gramStart"/>
            <w:r w:rsidRPr="00AD5D34">
              <w:rPr>
                <w:rFonts w:ascii="Arial" w:hAnsi="Arial" w:cs="Arial"/>
                <w:sz w:val="20"/>
                <w:szCs w:val="20"/>
              </w:rPr>
              <w:t>concentrate</w:t>
            </w:r>
            <w:proofErr w:type="gramEnd"/>
            <w:r w:rsidRPr="00AD5D34">
              <w:rPr>
                <w:rFonts w:ascii="Arial" w:hAnsi="Arial" w:cs="Arial"/>
                <w:sz w:val="20"/>
                <w:szCs w:val="20"/>
              </w:rPr>
              <w:t xml:space="preserve"> (EC)</w:t>
            </w:r>
          </w:p>
        </w:tc>
        <w:tc>
          <w:tcPr>
            <w:tcW w:w="1104" w:type="pct"/>
            <w:hideMark/>
          </w:tcPr>
          <w:p w14:paraId="73CA1AFF"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Inhibits spore germination and mycelial growth (Doumbouya et al., 2012)</w:t>
            </w:r>
          </w:p>
        </w:tc>
        <w:tc>
          <w:tcPr>
            <w:tcW w:w="997" w:type="pct"/>
            <w:hideMark/>
          </w:tcPr>
          <w:p w14:paraId="2B7A95F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NECO 50 EC</w:t>
            </w:r>
          </w:p>
        </w:tc>
      </w:tr>
      <w:tr w:rsidR="004D3503" w:rsidRPr="00AD5D34" w14:paraId="3740E793"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25E57C1C" w14:textId="77777777" w:rsidR="004D3503" w:rsidRPr="00AD5D34" w:rsidRDefault="004D3503" w:rsidP="004D3503">
            <w:pPr>
              <w:rPr>
                <w:rFonts w:ascii="Arial" w:hAnsi="Arial" w:cs="Arial"/>
                <w:sz w:val="20"/>
                <w:szCs w:val="20"/>
              </w:rPr>
            </w:pPr>
            <w:r w:rsidRPr="00AD5D34">
              <w:rPr>
                <w:rFonts w:ascii="Arial" w:hAnsi="Arial" w:cs="Arial"/>
                <w:i/>
                <w:iCs/>
                <w:sz w:val="20"/>
                <w:szCs w:val="20"/>
              </w:rPr>
              <w:t>Chromolaena odorata</w:t>
            </w:r>
            <w:r w:rsidRPr="00AD5D34">
              <w:rPr>
                <w:rFonts w:ascii="Arial" w:hAnsi="Arial" w:cs="Arial"/>
                <w:sz w:val="20"/>
                <w:szCs w:val="20"/>
              </w:rPr>
              <w:t xml:space="preserve"> (aqueous extract)</w:t>
            </w:r>
          </w:p>
        </w:tc>
        <w:tc>
          <w:tcPr>
            <w:tcW w:w="782" w:type="pct"/>
            <w:hideMark/>
          </w:tcPr>
          <w:p w14:paraId="6FD6F69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24BEF671"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Powder extract</w:t>
            </w:r>
          </w:p>
        </w:tc>
        <w:tc>
          <w:tcPr>
            <w:tcW w:w="1104" w:type="pct"/>
            <w:hideMark/>
          </w:tcPr>
          <w:p w14:paraId="4D0122FE"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Inhibits sporulation and spore germination</w:t>
            </w:r>
          </w:p>
        </w:tc>
        <w:tc>
          <w:tcPr>
            <w:tcW w:w="997" w:type="pct"/>
            <w:hideMark/>
          </w:tcPr>
          <w:p w14:paraId="3FA8513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Sékou Touré</w:t>
            </w:r>
          </w:p>
        </w:tc>
      </w:tr>
      <w:tr w:rsidR="004D3503" w:rsidRPr="00AD5D34" w14:paraId="02F9EC55"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5000D382" w14:textId="77777777" w:rsidR="004D3503" w:rsidRPr="00AD5D34" w:rsidRDefault="004D3503" w:rsidP="004D3503">
            <w:pPr>
              <w:rPr>
                <w:rFonts w:ascii="Arial" w:hAnsi="Arial" w:cs="Arial"/>
                <w:sz w:val="20"/>
                <w:szCs w:val="20"/>
              </w:rPr>
            </w:pPr>
            <w:r w:rsidRPr="00AD5D34">
              <w:rPr>
                <w:rFonts w:ascii="Arial" w:hAnsi="Arial" w:cs="Arial"/>
                <w:i/>
                <w:iCs/>
                <w:sz w:val="20"/>
                <w:szCs w:val="20"/>
              </w:rPr>
              <w:t>Lippia multiflora</w:t>
            </w:r>
            <w:r w:rsidRPr="00AD5D34">
              <w:rPr>
                <w:rFonts w:ascii="Arial" w:hAnsi="Arial" w:cs="Arial"/>
                <w:sz w:val="20"/>
                <w:szCs w:val="20"/>
              </w:rPr>
              <w:t xml:space="preserve"> (essential oil)</w:t>
            </w:r>
          </w:p>
        </w:tc>
        <w:tc>
          <w:tcPr>
            <w:tcW w:w="782" w:type="pct"/>
            <w:hideMark/>
          </w:tcPr>
          <w:p w14:paraId="4ABF0BA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1E2ECEF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Oil extract</w:t>
            </w:r>
          </w:p>
        </w:tc>
        <w:tc>
          <w:tcPr>
            <w:tcW w:w="1104" w:type="pct"/>
            <w:hideMark/>
          </w:tcPr>
          <w:p w14:paraId="04C60C7C"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Inhibits mycelial growth</w:t>
            </w:r>
          </w:p>
        </w:tc>
        <w:tc>
          <w:tcPr>
            <w:tcW w:w="997" w:type="pct"/>
            <w:hideMark/>
          </w:tcPr>
          <w:p w14:paraId="3CD99A1C"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Thé</w:t>
            </w:r>
            <w:proofErr w:type="spellEnd"/>
            <w:r w:rsidRPr="00AD5D34">
              <w:rPr>
                <w:rFonts w:ascii="Arial" w:hAnsi="Arial" w:cs="Arial"/>
                <w:sz w:val="20"/>
                <w:szCs w:val="20"/>
              </w:rPr>
              <w:t xml:space="preserve"> de </w:t>
            </w:r>
            <w:proofErr w:type="spellStart"/>
            <w:r w:rsidRPr="00AD5D34">
              <w:rPr>
                <w:rFonts w:ascii="Arial" w:hAnsi="Arial" w:cs="Arial"/>
                <w:sz w:val="20"/>
                <w:szCs w:val="20"/>
              </w:rPr>
              <w:t>savane</w:t>
            </w:r>
            <w:proofErr w:type="spellEnd"/>
          </w:p>
        </w:tc>
      </w:tr>
    </w:tbl>
    <w:p w14:paraId="48EC2948" w14:textId="77777777" w:rsidR="004D3503" w:rsidRPr="004D3503" w:rsidRDefault="004D3503" w:rsidP="004D3503">
      <w:pPr>
        <w:rPr>
          <w:rFonts w:ascii="Arial" w:hAnsi="Arial" w:cs="Arial"/>
          <w:b/>
          <w:bCs/>
        </w:rPr>
      </w:pPr>
    </w:p>
    <w:p w14:paraId="26F89609" w14:textId="77777777" w:rsidR="004D3503" w:rsidRDefault="004D3503" w:rsidP="004D3503">
      <w:pPr>
        <w:rPr>
          <w:rFonts w:ascii="Arial" w:hAnsi="Arial" w:cs="Arial"/>
        </w:rPr>
      </w:pPr>
      <w:r w:rsidRPr="004D3503">
        <w:rPr>
          <w:rFonts w:ascii="Arial" w:hAnsi="Arial" w:cs="Arial"/>
          <w:b/>
          <w:bCs/>
        </w:rPr>
        <w:t>Table 2.</w:t>
      </w:r>
      <w:r w:rsidRPr="004D3503">
        <w:rPr>
          <w:rFonts w:ascii="Arial" w:hAnsi="Arial" w:cs="Arial"/>
        </w:rPr>
        <w:t xml:space="preserve"> Characteristics of the synthetic fungicides tested.</w:t>
      </w:r>
    </w:p>
    <w:p w14:paraId="36831B4F" w14:textId="77777777" w:rsidR="00E02A2D" w:rsidRPr="004D3503" w:rsidRDefault="00E02A2D" w:rsidP="004D3503">
      <w:pPr>
        <w:rPr>
          <w:rFonts w:ascii="Arial" w:hAnsi="Arial" w:cs="Arial"/>
        </w:rPr>
      </w:pPr>
    </w:p>
    <w:tbl>
      <w:tblPr>
        <w:tblStyle w:val="GridTable1Light"/>
        <w:tblW w:w="5000" w:type="pct"/>
        <w:tblLook w:val="04A0" w:firstRow="1" w:lastRow="0" w:firstColumn="1" w:lastColumn="0" w:noHBand="0" w:noVBand="1"/>
      </w:tblPr>
      <w:tblGrid>
        <w:gridCol w:w="1870"/>
        <w:gridCol w:w="1970"/>
        <w:gridCol w:w="1633"/>
        <w:gridCol w:w="1959"/>
        <w:gridCol w:w="992"/>
      </w:tblGrid>
      <w:tr w:rsidR="004D3503" w:rsidRPr="004D3503" w14:paraId="449F7060"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hideMark/>
          </w:tcPr>
          <w:p w14:paraId="29A0B0CF" w14:textId="77777777" w:rsidR="004D3503" w:rsidRPr="00AD5D34" w:rsidRDefault="004D3503" w:rsidP="004D3503">
            <w:pPr>
              <w:rPr>
                <w:rFonts w:ascii="Arial" w:hAnsi="Arial" w:cs="Arial"/>
                <w:sz w:val="20"/>
                <w:szCs w:val="20"/>
              </w:rPr>
            </w:pPr>
            <w:r w:rsidRPr="00AD5D34">
              <w:rPr>
                <w:rFonts w:ascii="Arial" w:hAnsi="Arial" w:cs="Arial"/>
                <w:sz w:val="20"/>
                <w:szCs w:val="20"/>
              </w:rPr>
              <w:t>Active ingredient</w:t>
            </w:r>
          </w:p>
        </w:tc>
        <w:tc>
          <w:tcPr>
            <w:tcW w:w="1169" w:type="pct"/>
            <w:hideMark/>
          </w:tcPr>
          <w:p w14:paraId="14ABD15D"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Chemical family</w:t>
            </w:r>
          </w:p>
        </w:tc>
        <w:tc>
          <w:tcPr>
            <w:tcW w:w="969" w:type="pct"/>
            <w:hideMark/>
          </w:tcPr>
          <w:p w14:paraId="1E8BA04C"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Formulation</w:t>
            </w:r>
          </w:p>
        </w:tc>
        <w:tc>
          <w:tcPr>
            <w:tcW w:w="1163" w:type="pct"/>
            <w:hideMark/>
          </w:tcPr>
          <w:p w14:paraId="6D915055"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Mode of action</w:t>
            </w:r>
          </w:p>
        </w:tc>
        <w:tc>
          <w:tcPr>
            <w:tcW w:w="589" w:type="pct"/>
            <w:hideMark/>
          </w:tcPr>
          <w:p w14:paraId="7AC3CD14"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Trade name</w:t>
            </w:r>
          </w:p>
        </w:tc>
      </w:tr>
      <w:tr w:rsidR="004D3503" w:rsidRPr="004D3503" w14:paraId="03447E32"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33A6F34F" w14:textId="77777777" w:rsidR="004D3503" w:rsidRPr="00AD5D34" w:rsidRDefault="004D3503" w:rsidP="004D3503">
            <w:pPr>
              <w:rPr>
                <w:rFonts w:ascii="Arial" w:hAnsi="Arial" w:cs="Arial"/>
                <w:sz w:val="20"/>
                <w:szCs w:val="20"/>
              </w:rPr>
            </w:pPr>
            <w:r w:rsidRPr="00AD5D34">
              <w:rPr>
                <w:rFonts w:ascii="Arial" w:hAnsi="Arial" w:cs="Arial"/>
                <w:sz w:val="20"/>
                <w:szCs w:val="20"/>
              </w:rPr>
              <w:t>Chlorothalonil + Carbendazim</w:t>
            </w:r>
          </w:p>
        </w:tc>
        <w:tc>
          <w:tcPr>
            <w:tcW w:w="1169" w:type="pct"/>
            <w:hideMark/>
          </w:tcPr>
          <w:p w14:paraId="26D0EEC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Chloronitrile</w:t>
            </w:r>
            <w:proofErr w:type="spellEnd"/>
            <w:r w:rsidRPr="00AD5D34">
              <w:rPr>
                <w:rFonts w:ascii="Arial" w:hAnsi="Arial" w:cs="Arial"/>
                <w:sz w:val="20"/>
                <w:szCs w:val="20"/>
              </w:rPr>
              <w:t xml:space="preserve"> + Benzimidazole</w:t>
            </w:r>
          </w:p>
        </w:tc>
        <w:tc>
          <w:tcPr>
            <w:tcW w:w="969" w:type="pct"/>
            <w:hideMark/>
          </w:tcPr>
          <w:p w14:paraId="3864E9F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w:t>
            </w:r>
          </w:p>
        </w:tc>
        <w:tc>
          <w:tcPr>
            <w:tcW w:w="1163" w:type="pct"/>
            <w:hideMark/>
          </w:tcPr>
          <w:p w14:paraId="126F650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Contact and systemic; inhibits mycelial growth</w:t>
            </w:r>
          </w:p>
        </w:tc>
        <w:tc>
          <w:tcPr>
            <w:tcW w:w="589" w:type="pct"/>
            <w:hideMark/>
          </w:tcPr>
          <w:p w14:paraId="5683399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Banko Plus</w:t>
            </w:r>
          </w:p>
        </w:tc>
      </w:tr>
      <w:tr w:rsidR="004D3503" w:rsidRPr="004D3503" w14:paraId="5099A12C"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75A9E3B5" w14:textId="77777777" w:rsidR="004D3503" w:rsidRPr="00AD5D34" w:rsidRDefault="004D3503" w:rsidP="004D3503">
            <w:pPr>
              <w:rPr>
                <w:rFonts w:ascii="Arial" w:hAnsi="Arial" w:cs="Arial"/>
                <w:sz w:val="20"/>
                <w:szCs w:val="20"/>
              </w:rPr>
            </w:pPr>
            <w:r w:rsidRPr="00AD5D34">
              <w:rPr>
                <w:rFonts w:ascii="Arial" w:hAnsi="Arial" w:cs="Arial"/>
                <w:sz w:val="20"/>
                <w:szCs w:val="20"/>
              </w:rPr>
              <w:t>Mancozeb</w:t>
            </w:r>
          </w:p>
        </w:tc>
        <w:tc>
          <w:tcPr>
            <w:tcW w:w="1169" w:type="pct"/>
            <w:hideMark/>
          </w:tcPr>
          <w:p w14:paraId="119182A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Dithiocarbamate</w:t>
            </w:r>
          </w:p>
        </w:tc>
        <w:tc>
          <w:tcPr>
            <w:tcW w:w="969" w:type="pct"/>
            <w:hideMark/>
          </w:tcPr>
          <w:p w14:paraId="164E20CE"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4E4D3409" w14:textId="313B2EB0"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Contact</w:t>
            </w:r>
            <w:r w:rsidR="0082679B">
              <w:rPr>
                <w:rFonts w:ascii="Arial" w:hAnsi="Arial" w:cs="Arial"/>
                <w:sz w:val="20"/>
                <w:szCs w:val="20"/>
              </w:rPr>
              <w:t>:</w:t>
            </w:r>
            <w:r w:rsidRPr="00AD5D34">
              <w:rPr>
                <w:rFonts w:ascii="Arial" w:hAnsi="Arial" w:cs="Arial"/>
                <w:sz w:val="20"/>
                <w:szCs w:val="20"/>
              </w:rPr>
              <w:t xml:space="preserve"> inhibits mycelial growth</w:t>
            </w:r>
          </w:p>
        </w:tc>
        <w:tc>
          <w:tcPr>
            <w:tcW w:w="589" w:type="pct"/>
            <w:hideMark/>
          </w:tcPr>
          <w:p w14:paraId="02D215C4"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Blocus</w:t>
            </w:r>
            <w:proofErr w:type="spellEnd"/>
          </w:p>
        </w:tc>
      </w:tr>
      <w:tr w:rsidR="004D3503" w:rsidRPr="004D3503" w14:paraId="2015D45F"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30C8EBD4" w14:textId="77777777" w:rsidR="004D3503" w:rsidRPr="00AD5D34" w:rsidRDefault="004D3503" w:rsidP="004D3503">
            <w:pPr>
              <w:rPr>
                <w:rFonts w:ascii="Arial" w:hAnsi="Arial" w:cs="Arial"/>
                <w:sz w:val="20"/>
                <w:szCs w:val="20"/>
              </w:rPr>
            </w:pPr>
            <w:r w:rsidRPr="00AD5D34">
              <w:rPr>
                <w:rFonts w:ascii="Arial" w:hAnsi="Arial" w:cs="Arial"/>
                <w:sz w:val="20"/>
                <w:szCs w:val="20"/>
              </w:rPr>
              <w:t>Copper hydroxide</w:t>
            </w:r>
          </w:p>
        </w:tc>
        <w:tc>
          <w:tcPr>
            <w:tcW w:w="1169" w:type="pct"/>
            <w:hideMark/>
          </w:tcPr>
          <w:p w14:paraId="270C0281"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Copper compound</w:t>
            </w:r>
          </w:p>
        </w:tc>
        <w:tc>
          <w:tcPr>
            <w:tcW w:w="969" w:type="pct"/>
            <w:hideMark/>
          </w:tcPr>
          <w:p w14:paraId="12C8C43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3B1C320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inhibits sporulation</w:t>
            </w:r>
          </w:p>
        </w:tc>
        <w:tc>
          <w:tcPr>
            <w:tcW w:w="589" w:type="pct"/>
            <w:hideMark/>
          </w:tcPr>
          <w:p w14:paraId="43B8B57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Fongex 77 WP</w:t>
            </w:r>
          </w:p>
        </w:tc>
      </w:tr>
      <w:tr w:rsidR="004D3503" w:rsidRPr="004D3503" w14:paraId="5E5B6C13"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008100F4" w14:textId="77777777" w:rsidR="004D3503" w:rsidRPr="00AD5D34" w:rsidRDefault="004D3503" w:rsidP="004D3503">
            <w:pPr>
              <w:rPr>
                <w:rFonts w:ascii="Arial" w:hAnsi="Arial" w:cs="Arial"/>
                <w:sz w:val="20"/>
                <w:szCs w:val="20"/>
              </w:rPr>
            </w:pPr>
            <w:r w:rsidRPr="00AD5D34">
              <w:rPr>
                <w:rFonts w:ascii="Arial" w:hAnsi="Arial" w:cs="Arial"/>
                <w:sz w:val="20"/>
                <w:szCs w:val="20"/>
              </w:rPr>
              <w:t>Carbendazim + Mancozeb</w:t>
            </w:r>
          </w:p>
        </w:tc>
        <w:tc>
          <w:tcPr>
            <w:tcW w:w="1169" w:type="pct"/>
            <w:hideMark/>
          </w:tcPr>
          <w:p w14:paraId="700E4C3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Benzimidazole + Dithiocarbamate</w:t>
            </w:r>
          </w:p>
        </w:tc>
        <w:tc>
          <w:tcPr>
            <w:tcW w:w="969" w:type="pct"/>
            <w:hideMark/>
          </w:tcPr>
          <w:p w14:paraId="6F8E769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4768E629"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1E52823F"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Kaju</w:t>
            </w:r>
          </w:p>
        </w:tc>
      </w:tr>
      <w:tr w:rsidR="004D3503" w:rsidRPr="004D3503" w14:paraId="2BD7957C"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744DEFCA" w14:textId="77777777" w:rsidR="004D3503" w:rsidRPr="00AD5D34" w:rsidRDefault="004D3503" w:rsidP="004D3503">
            <w:pPr>
              <w:rPr>
                <w:rFonts w:ascii="Arial" w:hAnsi="Arial" w:cs="Arial"/>
                <w:sz w:val="20"/>
                <w:szCs w:val="20"/>
              </w:rPr>
            </w:pPr>
            <w:r w:rsidRPr="00AD5D34">
              <w:rPr>
                <w:rFonts w:ascii="Arial" w:hAnsi="Arial" w:cs="Arial"/>
                <w:sz w:val="20"/>
                <w:szCs w:val="20"/>
              </w:rPr>
              <w:t>Azoxystrobin + Difenoconazole</w:t>
            </w:r>
          </w:p>
        </w:tc>
        <w:tc>
          <w:tcPr>
            <w:tcW w:w="1169" w:type="pct"/>
            <w:hideMark/>
          </w:tcPr>
          <w:p w14:paraId="6CF4FEE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Strobilurin + Triazole</w:t>
            </w:r>
          </w:p>
        </w:tc>
        <w:tc>
          <w:tcPr>
            <w:tcW w:w="969" w:type="pct"/>
            <w:hideMark/>
          </w:tcPr>
          <w:p w14:paraId="0DE3108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 (SC)</w:t>
            </w:r>
          </w:p>
        </w:tc>
        <w:tc>
          <w:tcPr>
            <w:tcW w:w="1163" w:type="pct"/>
            <w:hideMark/>
          </w:tcPr>
          <w:p w14:paraId="5AFDB839" w14:textId="5A0B612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w:t>
            </w:r>
            <w:r w:rsidR="0082679B">
              <w:rPr>
                <w:rFonts w:ascii="Arial" w:hAnsi="Arial" w:cs="Arial"/>
                <w:sz w:val="20"/>
                <w:szCs w:val="20"/>
              </w:rPr>
              <w:t>,</w:t>
            </w:r>
            <w:r w:rsidRPr="00AD5D34">
              <w:rPr>
                <w:rFonts w:ascii="Arial" w:hAnsi="Arial" w:cs="Arial"/>
                <w:sz w:val="20"/>
                <w:szCs w:val="20"/>
              </w:rPr>
              <w:t xml:space="preserve"> preventive</w:t>
            </w:r>
            <w:r w:rsidR="0082679B">
              <w:rPr>
                <w:rFonts w:ascii="Arial" w:hAnsi="Arial" w:cs="Arial"/>
                <w:sz w:val="20"/>
                <w:szCs w:val="20"/>
              </w:rPr>
              <w:t>,</w:t>
            </w:r>
            <w:r w:rsidRPr="00AD5D34">
              <w:rPr>
                <w:rFonts w:ascii="Arial" w:hAnsi="Arial" w:cs="Arial"/>
                <w:sz w:val="20"/>
                <w:szCs w:val="20"/>
              </w:rPr>
              <w:t xml:space="preserve"> and curative</w:t>
            </w:r>
          </w:p>
        </w:tc>
        <w:tc>
          <w:tcPr>
            <w:tcW w:w="589" w:type="pct"/>
            <w:hideMark/>
          </w:tcPr>
          <w:p w14:paraId="529150D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Hortigo 82 SC</w:t>
            </w:r>
          </w:p>
        </w:tc>
      </w:tr>
      <w:tr w:rsidR="004D3503" w:rsidRPr="004D3503" w14:paraId="192446ED"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088E8B2B" w14:textId="77777777" w:rsidR="004D3503" w:rsidRPr="00AD5D34" w:rsidRDefault="004D3503" w:rsidP="004D3503">
            <w:pPr>
              <w:rPr>
                <w:rFonts w:ascii="Arial" w:hAnsi="Arial" w:cs="Arial"/>
                <w:sz w:val="20"/>
                <w:szCs w:val="20"/>
              </w:rPr>
            </w:pPr>
            <w:r w:rsidRPr="00AD5D34">
              <w:rPr>
                <w:rFonts w:ascii="Arial" w:hAnsi="Arial" w:cs="Arial"/>
                <w:sz w:val="20"/>
                <w:szCs w:val="20"/>
              </w:rPr>
              <w:t>Difenoconazole</w:t>
            </w:r>
          </w:p>
        </w:tc>
        <w:tc>
          <w:tcPr>
            <w:tcW w:w="1169" w:type="pct"/>
            <w:hideMark/>
          </w:tcPr>
          <w:p w14:paraId="5F7DB14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Triazole</w:t>
            </w:r>
          </w:p>
        </w:tc>
        <w:tc>
          <w:tcPr>
            <w:tcW w:w="969" w:type="pct"/>
            <w:hideMark/>
          </w:tcPr>
          <w:p w14:paraId="74070DFD"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Emulsifiable </w:t>
            </w:r>
            <w:proofErr w:type="gramStart"/>
            <w:r w:rsidRPr="00AD5D34">
              <w:rPr>
                <w:rFonts w:ascii="Arial" w:hAnsi="Arial" w:cs="Arial"/>
                <w:sz w:val="20"/>
                <w:szCs w:val="20"/>
              </w:rPr>
              <w:t>concentrate</w:t>
            </w:r>
            <w:proofErr w:type="gramEnd"/>
            <w:r w:rsidRPr="00AD5D34">
              <w:rPr>
                <w:rFonts w:ascii="Arial" w:hAnsi="Arial" w:cs="Arial"/>
                <w:sz w:val="20"/>
                <w:szCs w:val="20"/>
              </w:rPr>
              <w:t xml:space="preserve"> (EC)</w:t>
            </w:r>
          </w:p>
        </w:tc>
        <w:tc>
          <w:tcPr>
            <w:tcW w:w="1163" w:type="pct"/>
            <w:hideMark/>
          </w:tcPr>
          <w:p w14:paraId="4DB0A642" w14:textId="57331394"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w:t>
            </w:r>
            <w:r w:rsidR="0082679B">
              <w:rPr>
                <w:rFonts w:ascii="Arial" w:hAnsi="Arial" w:cs="Arial"/>
                <w:sz w:val="20"/>
                <w:szCs w:val="20"/>
              </w:rPr>
              <w:t>,</w:t>
            </w:r>
            <w:r w:rsidRPr="00AD5D34">
              <w:rPr>
                <w:rFonts w:ascii="Arial" w:hAnsi="Arial" w:cs="Arial"/>
                <w:sz w:val="20"/>
                <w:szCs w:val="20"/>
              </w:rPr>
              <w:t xml:space="preserve"> preventive</w:t>
            </w:r>
            <w:r w:rsidR="0082679B">
              <w:rPr>
                <w:rFonts w:ascii="Arial" w:hAnsi="Arial" w:cs="Arial"/>
                <w:sz w:val="20"/>
                <w:szCs w:val="20"/>
              </w:rPr>
              <w:t>,</w:t>
            </w:r>
            <w:r w:rsidRPr="00AD5D34">
              <w:rPr>
                <w:rFonts w:ascii="Arial" w:hAnsi="Arial" w:cs="Arial"/>
                <w:sz w:val="20"/>
                <w:szCs w:val="20"/>
              </w:rPr>
              <w:t xml:space="preserve"> and curative; inhibits mycelial growth</w:t>
            </w:r>
          </w:p>
        </w:tc>
        <w:tc>
          <w:tcPr>
            <w:tcW w:w="589" w:type="pct"/>
            <w:hideMark/>
          </w:tcPr>
          <w:p w14:paraId="0CE71BD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Boneur 250 EC</w:t>
            </w:r>
          </w:p>
        </w:tc>
      </w:tr>
      <w:tr w:rsidR="004D3503" w:rsidRPr="004D3503" w14:paraId="56243218"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1FC1A593" w14:textId="77777777" w:rsidR="004D3503" w:rsidRPr="00AD5D34" w:rsidRDefault="004D3503" w:rsidP="004D3503">
            <w:pPr>
              <w:rPr>
                <w:rFonts w:ascii="Arial" w:hAnsi="Arial" w:cs="Arial"/>
                <w:sz w:val="20"/>
                <w:szCs w:val="20"/>
              </w:rPr>
            </w:pPr>
            <w:r w:rsidRPr="00AD5D34">
              <w:rPr>
                <w:rFonts w:ascii="Arial" w:hAnsi="Arial" w:cs="Arial"/>
                <w:sz w:val="20"/>
                <w:szCs w:val="20"/>
              </w:rPr>
              <w:t>Azoxystrobin + Mancozeb</w:t>
            </w:r>
          </w:p>
        </w:tc>
        <w:tc>
          <w:tcPr>
            <w:tcW w:w="1169" w:type="pct"/>
            <w:hideMark/>
          </w:tcPr>
          <w:p w14:paraId="62F9CA1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Strobilurin + Dithiocarbamate</w:t>
            </w:r>
          </w:p>
        </w:tc>
        <w:tc>
          <w:tcPr>
            <w:tcW w:w="969" w:type="pct"/>
            <w:hideMark/>
          </w:tcPr>
          <w:p w14:paraId="23CA144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 (SC)</w:t>
            </w:r>
          </w:p>
        </w:tc>
        <w:tc>
          <w:tcPr>
            <w:tcW w:w="1163" w:type="pct"/>
            <w:hideMark/>
          </w:tcPr>
          <w:p w14:paraId="1A794F79"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3AEAA0B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NH1</w:t>
            </w:r>
          </w:p>
        </w:tc>
      </w:tr>
      <w:tr w:rsidR="004D3503" w:rsidRPr="004D3503" w14:paraId="0D9E7A9A"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45A2A39A" w14:textId="77777777" w:rsidR="004D3503" w:rsidRPr="00AD5D34" w:rsidRDefault="004D3503" w:rsidP="004D3503">
            <w:pPr>
              <w:rPr>
                <w:rFonts w:ascii="Arial" w:hAnsi="Arial" w:cs="Arial"/>
                <w:sz w:val="20"/>
                <w:szCs w:val="20"/>
              </w:rPr>
            </w:pPr>
            <w:r w:rsidRPr="00AD5D34">
              <w:rPr>
                <w:rFonts w:ascii="Arial" w:hAnsi="Arial" w:cs="Arial"/>
                <w:sz w:val="20"/>
                <w:szCs w:val="20"/>
              </w:rPr>
              <w:t>Picoxystrobin + Mancozeb</w:t>
            </w:r>
          </w:p>
        </w:tc>
        <w:tc>
          <w:tcPr>
            <w:tcW w:w="1169" w:type="pct"/>
            <w:hideMark/>
          </w:tcPr>
          <w:p w14:paraId="0B6B1F7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Methoxyacrylate</w:t>
            </w:r>
            <w:proofErr w:type="spellEnd"/>
            <w:r w:rsidRPr="00AD5D34">
              <w:rPr>
                <w:rFonts w:ascii="Arial" w:hAnsi="Arial" w:cs="Arial"/>
                <w:sz w:val="20"/>
                <w:szCs w:val="20"/>
              </w:rPr>
              <w:t xml:space="preserve"> + Dithiocarbamate</w:t>
            </w:r>
          </w:p>
        </w:tc>
        <w:tc>
          <w:tcPr>
            <w:tcW w:w="969" w:type="pct"/>
            <w:hideMark/>
          </w:tcPr>
          <w:p w14:paraId="27A2EDE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308C7574"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1782BD2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NH2</w:t>
            </w:r>
          </w:p>
        </w:tc>
      </w:tr>
      <w:tr w:rsidR="004D3503" w:rsidRPr="004D3503" w14:paraId="54E0E6BB"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13D210BB" w14:textId="77777777" w:rsidR="004D3503" w:rsidRPr="00AD5D34" w:rsidRDefault="004D3503" w:rsidP="004D3503">
            <w:pPr>
              <w:rPr>
                <w:rFonts w:ascii="Arial" w:hAnsi="Arial" w:cs="Arial"/>
                <w:sz w:val="20"/>
                <w:szCs w:val="20"/>
              </w:rPr>
            </w:pPr>
            <w:r w:rsidRPr="00AD5D34">
              <w:rPr>
                <w:rFonts w:ascii="Arial" w:hAnsi="Arial" w:cs="Arial"/>
                <w:sz w:val="20"/>
                <w:szCs w:val="20"/>
              </w:rPr>
              <w:t>Difenoconazole + Spiroxamine</w:t>
            </w:r>
          </w:p>
        </w:tc>
        <w:tc>
          <w:tcPr>
            <w:tcW w:w="1169" w:type="pct"/>
            <w:hideMark/>
          </w:tcPr>
          <w:p w14:paraId="7CD8A4E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Triazole + </w:t>
            </w:r>
            <w:proofErr w:type="spellStart"/>
            <w:r w:rsidRPr="00AD5D34">
              <w:rPr>
                <w:rFonts w:ascii="Arial" w:hAnsi="Arial" w:cs="Arial"/>
                <w:sz w:val="20"/>
                <w:szCs w:val="20"/>
              </w:rPr>
              <w:t>Spiroketalamine</w:t>
            </w:r>
            <w:proofErr w:type="spellEnd"/>
          </w:p>
        </w:tc>
        <w:tc>
          <w:tcPr>
            <w:tcW w:w="969" w:type="pct"/>
            <w:hideMark/>
          </w:tcPr>
          <w:p w14:paraId="1E3B435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Emulsifiable </w:t>
            </w:r>
            <w:proofErr w:type="gramStart"/>
            <w:r w:rsidRPr="00AD5D34">
              <w:rPr>
                <w:rFonts w:ascii="Arial" w:hAnsi="Arial" w:cs="Arial"/>
                <w:sz w:val="20"/>
                <w:szCs w:val="20"/>
              </w:rPr>
              <w:t>concentrate</w:t>
            </w:r>
            <w:proofErr w:type="gramEnd"/>
            <w:r w:rsidRPr="00AD5D34">
              <w:rPr>
                <w:rFonts w:ascii="Arial" w:hAnsi="Arial" w:cs="Arial"/>
                <w:sz w:val="20"/>
                <w:szCs w:val="20"/>
              </w:rPr>
              <w:t xml:space="preserve"> </w:t>
            </w:r>
            <w:r w:rsidRPr="00AD5D34">
              <w:rPr>
                <w:rFonts w:ascii="Arial" w:hAnsi="Arial" w:cs="Arial"/>
                <w:sz w:val="20"/>
                <w:szCs w:val="20"/>
              </w:rPr>
              <w:lastRenderedPageBreak/>
              <w:t>(EC)</w:t>
            </w:r>
          </w:p>
        </w:tc>
        <w:tc>
          <w:tcPr>
            <w:tcW w:w="1163" w:type="pct"/>
            <w:hideMark/>
          </w:tcPr>
          <w:p w14:paraId="6293C34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lastRenderedPageBreak/>
              <w:t xml:space="preserve">Systemic and contact; inhibits </w:t>
            </w:r>
            <w:r w:rsidRPr="00AD5D34">
              <w:rPr>
                <w:rFonts w:ascii="Arial" w:hAnsi="Arial" w:cs="Arial"/>
                <w:sz w:val="20"/>
                <w:szCs w:val="20"/>
              </w:rPr>
              <w:lastRenderedPageBreak/>
              <w:t>mycelial growth</w:t>
            </w:r>
          </w:p>
        </w:tc>
        <w:tc>
          <w:tcPr>
            <w:tcW w:w="589" w:type="pct"/>
            <w:hideMark/>
          </w:tcPr>
          <w:p w14:paraId="59B6CCF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lastRenderedPageBreak/>
              <w:t>NH3</w:t>
            </w:r>
          </w:p>
        </w:tc>
      </w:tr>
    </w:tbl>
    <w:p w14:paraId="558B138E" w14:textId="58F982BA" w:rsidR="004D3503" w:rsidRPr="003E15F2" w:rsidRDefault="004D3503" w:rsidP="004D3503">
      <w:pPr>
        <w:rPr>
          <w:rFonts w:ascii="Arial" w:hAnsi="Arial" w:cs="Arial"/>
          <w:i/>
          <w:iCs/>
          <w:sz w:val="18"/>
          <w:szCs w:val="18"/>
        </w:rPr>
      </w:pPr>
      <w:r w:rsidRPr="003E15F2">
        <w:rPr>
          <w:rFonts w:ascii="Arial" w:hAnsi="Arial" w:cs="Arial"/>
          <w:i/>
          <w:iCs/>
          <w:sz w:val="18"/>
          <w:szCs w:val="18"/>
        </w:rPr>
        <w:t>NH1–NH3 refer to unregistered fungicidal formulations currently under evaluation.</w:t>
      </w:r>
    </w:p>
    <w:p w14:paraId="537A03B4" w14:textId="77777777" w:rsidR="004D3503" w:rsidRPr="004D3503" w:rsidRDefault="004D3503" w:rsidP="004D3503">
      <w:pPr>
        <w:rPr>
          <w:rFonts w:ascii="Arial" w:hAnsi="Arial" w:cs="Arial"/>
        </w:rPr>
      </w:pPr>
    </w:p>
    <w:p w14:paraId="0AECF76C" w14:textId="7B5848C1" w:rsidR="004D3503" w:rsidRPr="00B82DDD" w:rsidRDefault="00B82DDD"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2.2.2. </w:t>
      </w:r>
      <w:r w:rsidR="004D3503" w:rsidRPr="00B82DDD">
        <w:rPr>
          <w:rFonts w:ascii="Arial" w:hAnsi="Arial" w:cs="Arial"/>
          <w:sz w:val="20"/>
          <w:szCs w:val="20"/>
          <w:u w:val="single"/>
        </w:rPr>
        <w:t>Experimental design</w:t>
      </w:r>
    </w:p>
    <w:p w14:paraId="3FDC9458" w14:textId="77777777" w:rsidR="004D3503" w:rsidRDefault="004D3503" w:rsidP="004D3503">
      <w:pPr>
        <w:jc w:val="both"/>
        <w:rPr>
          <w:rFonts w:ascii="Arial" w:hAnsi="Arial" w:cs="Arial"/>
        </w:rPr>
      </w:pPr>
      <w:r w:rsidRPr="004D3503">
        <w:rPr>
          <w:rFonts w:ascii="Arial" w:hAnsi="Arial" w:cs="Arial"/>
        </w:rPr>
        <w:t>For synthetic fungicides, three concentrations were tested: half the recommended dose (D1), the recommended dose (D2), and double the recommended dose (D3), following the protocol of Kouadia et al. (2022).</w:t>
      </w:r>
    </w:p>
    <w:p w14:paraId="53161454" w14:textId="77777777" w:rsidR="0011010F" w:rsidRPr="004D3503" w:rsidRDefault="0011010F" w:rsidP="004D3503">
      <w:pPr>
        <w:jc w:val="both"/>
        <w:rPr>
          <w:rFonts w:ascii="Arial" w:hAnsi="Arial" w:cs="Arial"/>
        </w:rPr>
      </w:pPr>
    </w:p>
    <w:p w14:paraId="0C33D0F5" w14:textId="77777777" w:rsidR="004D3503" w:rsidRDefault="004D3503" w:rsidP="004D3503">
      <w:pPr>
        <w:jc w:val="both"/>
        <w:rPr>
          <w:rFonts w:ascii="Arial" w:hAnsi="Arial" w:cs="Arial"/>
        </w:rPr>
      </w:pPr>
      <w:r w:rsidRPr="004D3503">
        <w:rPr>
          <w:rFonts w:ascii="Arial" w:hAnsi="Arial" w:cs="Arial"/>
        </w:rPr>
        <w:t>The biological fungicide Thymol–Gamma terpinene–Eugenol was tested at 40, 80, and 160 mL/L (respectively coded as D1, D2, and D3).</w:t>
      </w:r>
    </w:p>
    <w:p w14:paraId="61FB4681" w14:textId="77777777" w:rsidR="0011010F" w:rsidRPr="004D3503" w:rsidRDefault="0011010F" w:rsidP="004D3503">
      <w:pPr>
        <w:jc w:val="both"/>
        <w:rPr>
          <w:rFonts w:ascii="Arial" w:hAnsi="Arial" w:cs="Arial"/>
        </w:rPr>
      </w:pPr>
    </w:p>
    <w:p w14:paraId="3AE40A71" w14:textId="77777777" w:rsidR="004D3503" w:rsidRDefault="004D3503" w:rsidP="004D3503">
      <w:pPr>
        <w:jc w:val="both"/>
        <w:rPr>
          <w:rFonts w:ascii="Arial" w:hAnsi="Arial" w:cs="Arial"/>
        </w:rPr>
      </w:pPr>
      <w:r w:rsidRPr="004D3503">
        <w:rPr>
          <w:rFonts w:ascii="Arial" w:hAnsi="Arial" w:cs="Arial"/>
        </w:rPr>
        <w:t xml:space="preserve">The aqueous extract of </w:t>
      </w:r>
      <w:r w:rsidRPr="004D3503">
        <w:rPr>
          <w:rFonts w:ascii="Arial" w:hAnsi="Arial" w:cs="Arial"/>
          <w:i/>
          <w:iCs/>
        </w:rPr>
        <w:t>Chromolaena odorata</w:t>
      </w:r>
      <w:r w:rsidRPr="004D3503">
        <w:rPr>
          <w:rFonts w:ascii="Arial" w:hAnsi="Arial" w:cs="Arial"/>
        </w:rPr>
        <w:t xml:space="preserve"> and the essential oil of </w:t>
      </w:r>
      <w:r w:rsidRPr="004D3503">
        <w:rPr>
          <w:rFonts w:ascii="Arial" w:hAnsi="Arial" w:cs="Arial"/>
          <w:i/>
          <w:iCs/>
        </w:rPr>
        <w:t>Lippia multiflora</w:t>
      </w:r>
      <w:r w:rsidRPr="004D3503">
        <w:rPr>
          <w:rFonts w:ascii="Arial" w:hAnsi="Arial" w:cs="Arial"/>
        </w:rPr>
        <w:t xml:space="preserve"> were evaluated at five concentrations (T1–T5): 3.12, 6.25, 12.5, 25, and 50 mg/mL, established using the geometric half-log dilution method (Ahon et al., 2011).</w:t>
      </w:r>
    </w:p>
    <w:p w14:paraId="732B460E" w14:textId="77777777" w:rsidR="0011010F" w:rsidRPr="004D3503" w:rsidRDefault="0011010F" w:rsidP="004D3503">
      <w:pPr>
        <w:jc w:val="both"/>
        <w:rPr>
          <w:rFonts w:ascii="Arial" w:hAnsi="Arial" w:cs="Arial"/>
        </w:rPr>
      </w:pPr>
    </w:p>
    <w:p w14:paraId="597156CF" w14:textId="77777777" w:rsidR="004D3503" w:rsidRPr="00032B6C" w:rsidRDefault="004D3503" w:rsidP="004D3503">
      <w:pPr>
        <w:jc w:val="both"/>
        <w:rPr>
          <w:rFonts w:ascii="Arial" w:hAnsi="Arial" w:cs="Arial"/>
        </w:rPr>
      </w:pPr>
      <w:r w:rsidRPr="004D3503">
        <w:rPr>
          <w:rFonts w:ascii="Arial" w:hAnsi="Arial" w:cs="Arial"/>
        </w:rPr>
        <w:t>A completely randomized design (</w:t>
      </w:r>
      <w:proofErr w:type="spellStart"/>
      <w:r w:rsidRPr="004D3503">
        <w:rPr>
          <w:rFonts w:ascii="Arial" w:hAnsi="Arial" w:cs="Arial"/>
        </w:rPr>
        <w:t>CRD</w:t>
      </w:r>
      <w:proofErr w:type="spellEnd"/>
      <w:r w:rsidRPr="004D3503">
        <w:rPr>
          <w:rFonts w:ascii="Arial" w:hAnsi="Arial" w:cs="Arial"/>
        </w:rPr>
        <w:t xml:space="preserve">) was used, with seven replicates per treatment. The </w:t>
      </w:r>
      <w:r w:rsidRPr="00032B6C">
        <w:rPr>
          <w:rFonts w:ascii="Arial" w:hAnsi="Arial" w:cs="Arial"/>
        </w:rPr>
        <w:t>details of synthetic and biological fungicide treatments are presented in Tables 3 and 4.</w:t>
      </w:r>
    </w:p>
    <w:p w14:paraId="23AAE019" w14:textId="77777777" w:rsidR="00A9787F" w:rsidRPr="004D3503" w:rsidRDefault="00A9787F" w:rsidP="004D3503">
      <w:pPr>
        <w:jc w:val="both"/>
        <w:rPr>
          <w:rFonts w:ascii="Arial" w:hAnsi="Arial" w:cs="Arial"/>
        </w:rPr>
      </w:pPr>
    </w:p>
    <w:p w14:paraId="6C1C2128" w14:textId="26F9BC5D" w:rsidR="004D3503" w:rsidRDefault="004D3503" w:rsidP="004D3503">
      <w:pPr>
        <w:jc w:val="both"/>
        <w:rPr>
          <w:rFonts w:ascii="Arial" w:hAnsi="Arial" w:cs="Arial"/>
        </w:rPr>
      </w:pPr>
      <w:r w:rsidRPr="004D3503">
        <w:rPr>
          <w:rFonts w:ascii="Arial" w:hAnsi="Arial" w:cs="Arial"/>
          <w:b/>
          <w:bCs/>
        </w:rPr>
        <w:t>Table 3.</w:t>
      </w:r>
      <w:r w:rsidRPr="004D3503">
        <w:rPr>
          <w:rFonts w:ascii="Arial" w:hAnsi="Arial" w:cs="Arial"/>
        </w:rPr>
        <w:t xml:space="preserve"> Treatments and doses of synthetic fungicides tested (mg</w:t>
      </w:r>
      <w:r w:rsidR="00A9787F">
        <w:rPr>
          <w:rFonts w:ascii="Arial" w:hAnsi="Arial" w:cs="Arial"/>
        </w:rPr>
        <w:t>/</w:t>
      </w:r>
      <w:r w:rsidRPr="004D3503">
        <w:rPr>
          <w:rFonts w:ascii="Arial" w:hAnsi="Arial" w:cs="Arial"/>
        </w:rPr>
        <w:t>mL).</w:t>
      </w:r>
    </w:p>
    <w:p w14:paraId="086DAC3D" w14:textId="77777777" w:rsidR="00A9787F" w:rsidRPr="004D3503" w:rsidRDefault="00A9787F" w:rsidP="004D3503">
      <w:pPr>
        <w:jc w:val="both"/>
        <w:rPr>
          <w:rFonts w:ascii="Arial" w:hAnsi="Arial" w:cs="Arial"/>
        </w:rPr>
      </w:pPr>
    </w:p>
    <w:tbl>
      <w:tblPr>
        <w:tblStyle w:val="PlainTable2"/>
        <w:tblW w:w="5000" w:type="pct"/>
        <w:tblLook w:val="04A0" w:firstRow="1" w:lastRow="0" w:firstColumn="1" w:lastColumn="0" w:noHBand="0" w:noVBand="1"/>
      </w:tblPr>
      <w:tblGrid>
        <w:gridCol w:w="5047"/>
        <w:gridCol w:w="633"/>
        <w:gridCol w:w="965"/>
        <w:gridCol w:w="812"/>
        <w:gridCol w:w="967"/>
      </w:tblGrid>
      <w:tr w:rsidR="004D3503" w:rsidRPr="00A9787F" w14:paraId="060FB7D2"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vMerge w:val="restart"/>
            <w:hideMark/>
          </w:tcPr>
          <w:p w14:paraId="0E30F332"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Trade name</w:t>
            </w:r>
          </w:p>
        </w:tc>
        <w:tc>
          <w:tcPr>
            <w:tcW w:w="2005" w:type="pct"/>
            <w:gridSpan w:val="4"/>
            <w:hideMark/>
          </w:tcPr>
          <w:p w14:paraId="06EE7BCA" w14:textId="77777777" w:rsidR="004D3503" w:rsidRPr="00A9787F" w:rsidRDefault="004D3503" w:rsidP="004D35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Concentrations (mg/mL)</w:t>
            </w:r>
          </w:p>
        </w:tc>
      </w:tr>
      <w:tr w:rsidR="004D3503" w:rsidRPr="00A9787F" w14:paraId="57937785"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vMerge/>
          </w:tcPr>
          <w:p w14:paraId="240BB90D" w14:textId="77777777" w:rsidR="004D3503" w:rsidRPr="00A9787F" w:rsidRDefault="004D3503" w:rsidP="004D3503">
            <w:pPr>
              <w:jc w:val="center"/>
              <w:rPr>
                <w:rFonts w:ascii="Arial" w:hAnsi="Arial" w:cs="Arial"/>
                <w:b w:val="0"/>
                <w:bCs w:val="0"/>
                <w:sz w:val="20"/>
                <w:szCs w:val="20"/>
              </w:rPr>
            </w:pPr>
          </w:p>
        </w:tc>
        <w:tc>
          <w:tcPr>
            <w:tcW w:w="376" w:type="pct"/>
          </w:tcPr>
          <w:p w14:paraId="70C6DF5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T0</w:t>
            </w:r>
          </w:p>
        </w:tc>
        <w:tc>
          <w:tcPr>
            <w:tcW w:w="573" w:type="pct"/>
          </w:tcPr>
          <w:p w14:paraId="18721E17"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T1</w:t>
            </w:r>
          </w:p>
        </w:tc>
        <w:tc>
          <w:tcPr>
            <w:tcW w:w="482" w:type="pct"/>
          </w:tcPr>
          <w:p w14:paraId="6CF90EFA"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T2</w:t>
            </w:r>
          </w:p>
        </w:tc>
        <w:tc>
          <w:tcPr>
            <w:tcW w:w="574" w:type="pct"/>
          </w:tcPr>
          <w:p w14:paraId="29C0769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T3</w:t>
            </w:r>
          </w:p>
        </w:tc>
      </w:tr>
      <w:tr w:rsidR="004D3503" w:rsidRPr="00A9787F" w14:paraId="7FF1A0E3"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4F5D0747"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Chlorothalonil + Carbendazim</w:t>
            </w:r>
          </w:p>
        </w:tc>
        <w:tc>
          <w:tcPr>
            <w:tcW w:w="376" w:type="pct"/>
            <w:hideMark/>
          </w:tcPr>
          <w:p w14:paraId="3EED0017"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5294F4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2.6</w:t>
            </w:r>
          </w:p>
        </w:tc>
        <w:tc>
          <w:tcPr>
            <w:tcW w:w="482" w:type="pct"/>
            <w:hideMark/>
          </w:tcPr>
          <w:p w14:paraId="3CD2C689"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5.3</w:t>
            </w:r>
          </w:p>
        </w:tc>
        <w:tc>
          <w:tcPr>
            <w:tcW w:w="574" w:type="pct"/>
            <w:hideMark/>
          </w:tcPr>
          <w:p w14:paraId="7D173FA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11.2</w:t>
            </w:r>
          </w:p>
        </w:tc>
      </w:tr>
      <w:tr w:rsidR="004D3503" w:rsidRPr="00A9787F" w14:paraId="76B3630F"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73B61FB8"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Mancozeb</w:t>
            </w:r>
          </w:p>
        </w:tc>
        <w:tc>
          <w:tcPr>
            <w:tcW w:w="376" w:type="pct"/>
            <w:hideMark/>
          </w:tcPr>
          <w:p w14:paraId="2CEBCE68"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D5A294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36EF275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0FC43F0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5CB2A6FA"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5AEC1D06"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Copper hydroxide</w:t>
            </w:r>
          </w:p>
        </w:tc>
        <w:tc>
          <w:tcPr>
            <w:tcW w:w="376" w:type="pct"/>
            <w:hideMark/>
          </w:tcPr>
          <w:p w14:paraId="2F2262A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552F2A42"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0D750969"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5DF6B60B"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6620B8C4"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4CBC9CA3"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Carbendazim + Mancozeb</w:t>
            </w:r>
          </w:p>
        </w:tc>
        <w:tc>
          <w:tcPr>
            <w:tcW w:w="376" w:type="pct"/>
            <w:hideMark/>
          </w:tcPr>
          <w:p w14:paraId="7AD1EE8E"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2B9B98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3.33</w:t>
            </w:r>
          </w:p>
        </w:tc>
        <w:tc>
          <w:tcPr>
            <w:tcW w:w="482" w:type="pct"/>
            <w:hideMark/>
          </w:tcPr>
          <w:p w14:paraId="0A0EE79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6.66</w:t>
            </w:r>
          </w:p>
        </w:tc>
        <w:tc>
          <w:tcPr>
            <w:tcW w:w="574" w:type="pct"/>
            <w:hideMark/>
          </w:tcPr>
          <w:p w14:paraId="78D6DE7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13.32</w:t>
            </w:r>
          </w:p>
        </w:tc>
      </w:tr>
      <w:tr w:rsidR="004D3503" w:rsidRPr="00A9787F" w14:paraId="21DD77B7"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105D3310"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Azoxystrobin + Difenoconazole</w:t>
            </w:r>
          </w:p>
        </w:tc>
        <w:tc>
          <w:tcPr>
            <w:tcW w:w="376" w:type="pct"/>
            <w:hideMark/>
          </w:tcPr>
          <w:p w14:paraId="627CA9F4"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390D7D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46B664D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5E48973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60B7210E"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48466871"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Difenoconazole</w:t>
            </w:r>
          </w:p>
        </w:tc>
        <w:tc>
          <w:tcPr>
            <w:tcW w:w="376" w:type="pct"/>
            <w:hideMark/>
          </w:tcPr>
          <w:p w14:paraId="5021A365"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35864C8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1.33</w:t>
            </w:r>
          </w:p>
        </w:tc>
        <w:tc>
          <w:tcPr>
            <w:tcW w:w="482" w:type="pct"/>
            <w:hideMark/>
          </w:tcPr>
          <w:p w14:paraId="7C33CEE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2.66</w:t>
            </w:r>
          </w:p>
        </w:tc>
        <w:tc>
          <w:tcPr>
            <w:tcW w:w="574" w:type="pct"/>
            <w:hideMark/>
          </w:tcPr>
          <w:p w14:paraId="6A94922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5.32</w:t>
            </w:r>
          </w:p>
        </w:tc>
      </w:tr>
      <w:tr w:rsidR="004D3503" w:rsidRPr="00A9787F" w14:paraId="6B3C1539"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6C7BF5D8"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Azoxystrobin + Mancozeb</w:t>
            </w:r>
          </w:p>
        </w:tc>
        <w:tc>
          <w:tcPr>
            <w:tcW w:w="376" w:type="pct"/>
            <w:hideMark/>
          </w:tcPr>
          <w:p w14:paraId="6A933E8D"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DD3946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18.75</w:t>
            </w:r>
          </w:p>
        </w:tc>
        <w:tc>
          <w:tcPr>
            <w:tcW w:w="482" w:type="pct"/>
            <w:hideMark/>
          </w:tcPr>
          <w:p w14:paraId="28F0B31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37.5</w:t>
            </w:r>
          </w:p>
        </w:tc>
        <w:tc>
          <w:tcPr>
            <w:tcW w:w="574" w:type="pct"/>
            <w:hideMark/>
          </w:tcPr>
          <w:p w14:paraId="35146A3A"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75.0</w:t>
            </w:r>
          </w:p>
        </w:tc>
      </w:tr>
      <w:tr w:rsidR="004D3503" w:rsidRPr="00A9787F" w14:paraId="382713B7"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7B0729F5"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Picoxystrobin + Mancozeb</w:t>
            </w:r>
          </w:p>
        </w:tc>
        <w:tc>
          <w:tcPr>
            <w:tcW w:w="376" w:type="pct"/>
            <w:hideMark/>
          </w:tcPr>
          <w:p w14:paraId="5CE19EC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56942A9A"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482" w:type="pct"/>
            <w:hideMark/>
          </w:tcPr>
          <w:p w14:paraId="0D3343A5"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25.0</w:t>
            </w:r>
          </w:p>
        </w:tc>
        <w:tc>
          <w:tcPr>
            <w:tcW w:w="574" w:type="pct"/>
            <w:hideMark/>
          </w:tcPr>
          <w:p w14:paraId="02B6C16D"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50.0</w:t>
            </w:r>
          </w:p>
        </w:tc>
      </w:tr>
      <w:tr w:rsidR="004D3503" w:rsidRPr="00A9787F" w14:paraId="0A7A908B"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4E2C3843"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Difenoconazole + Spiroxamine</w:t>
            </w:r>
          </w:p>
        </w:tc>
        <w:tc>
          <w:tcPr>
            <w:tcW w:w="376" w:type="pct"/>
            <w:hideMark/>
          </w:tcPr>
          <w:p w14:paraId="11773896"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5C28898"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6.25</w:t>
            </w:r>
          </w:p>
        </w:tc>
        <w:tc>
          <w:tcPr>
            <w:tcW w:w="482" w:type="pct"/>
            <w:hideMark/>
          </w:tcPr>
          <w:p w14:paraId="32FEE83E"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574" w:type="pct"/>
            <w:hideMark/>
          </w:tcPr>
          <w:p w14:paraId="78204EC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25.0</w:t>
            </w:r>
          </w:p>
        </w:tc>
      </w:tr>
      <w:tr w:rsidR="004D3503" w:rsidRPr="00A9787F" w14:paraId="40C03664"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1B07E829"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Thymol–Gamma terpinene–Eugenol</w:t>
            </w:r>
          </w:p>
        </w:tc>
        <w:tc>
          <w:tcPr>
            <w:tcW w:w="376" w:type="pct"/>
            <w:hideMark/>
          </w:tcPr>
          <w:p w14:paraId="1962213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4A04CC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40</w:t>
            </w:r>
          </w:p>
        </w:tc>
        <w:tc>
          <w:tcPr>
            <w:tcW w:w="482" w:type="pct"/>
            <w:hideMark/>
          </w:tcPr>
          <w:p w14:paraId="74ADA74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80</w:t>
            </w:r>
          </w:p>
        </w:tc>
        <w:tc>
          <w:tcPr>
            <w:tcW w:w="574" w:type="pct"/>
            <w:hideMark/>
          </w:tcPr>
          <w:p w14:paraId="44F687B0"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160</w:t>
            </w:r>
          </w:p>
        </w:tc>
      </w:tr>
    </w:tbl>
    <w:p w14:paraId="28F370CC" w14:textId="77777777" w:rsidR="004D3503" w:rsidRPr="004D3503" w:rsidRDefault="004D3503" w:rsidP="004D3503">
      <w:pPr>
        <w:rPr>
          <w:rFonts w:ascii="Arial" w:hAnsi="Arial" w:cs="Arial"/>
          <w:b/>
          <w:bCs/>
        </w:rPr>
      </w:pPr>
    </w:p>
    <w:p w14:paraId="1E3B0D1D" w14:textId="38C225DD" w:rsidR="004D3503" w:rsidRDefault="004D3503" w:rsidP="004D3503">
      <w:pPr>
        <w:jc w:val="both"/>
        <w:rPr>
          <w:rFonts w:ascii="Arial" w:hAnsi="Arial" w:cs="Arial"/>
        </w:rPr>
      </w:pPr>
      <w:r w:rsidRPr="004D3503">
        <w:rPr>
          <w:rFonts w:ascii="Arial" w:hAnsi="Arial" w:cs="Arial"/>
          <w:b/>
          <w:bCs/>
        </w:rPr>
        <w:t>Table 4.</w:t>
      </w:r>
      <w:r w:rsidRPr="004D3503">
        <w:rPr>
          <w:rFonts w:ascii="Arial" w:hAnsi="Arial" w:cs="Arial"/>
        </w:rPr>
        <w:t xml:space="preserve"> Concentrations of plant-based fungicides tested (mg</w:t>
      </w:r>
      <w:r w:rsidR="00A9787F">
        <w:rPr>
          <w:rFonts w:ascii="Arial" w:hAnsi="Arial" w:cs="Arial"/>
        </w:rPr>
        <w:t>/</w:t>
      </w:r>
      <w:r w:rsidRPr="004D3503">
        <w:rPr>
          <w:rFonts w:ascii="Arial" w:hAnsi="Arial" w:cs="Arial"/>
        </w:rPr>
        <w:t>mL).</w:t>
      </w:r>
    </w:p>
    <w:p w14:paraId="2AE9AFB3" w14:textId="77777777" w:rsidR="00A9787F" w:rsidRPr="004D3503" w:rsidRDefault="00A9787F" w:rsidP="004D3503">
      <w:pPr>
        <w:jc w:val="both"/>
        <w:rPr>
          <w:rFonts w:ascii="Arial" w:hAnsi="Arial" w:cs="Arial"/>
        </w:rPr>
      </w:pPr>
    </w:p>
    <w:tbl>
      <w:tblPr>
        <w:tblStyle w:val="PlainTable2"/>
        <w:tblW w:w="5000" w:type="pct"/>
        <w:tblLook w:val="04A0" w:firstRow="1" w:lastRow="0" w:firstColumn="1" w:lastColumn="0" w:noHBand="0" w:noVBand="1"/>
      </w:tblPr>
      <w:tblGrid>
        <w:gridCol w:w="3484"/>
        <w:gridCol w:w="723"/>
        <w:gridCol w:w="925"/>
        <w:gridCol w:w="925"/>
        <w:gridCol w:w="925"/>
        <w:gridCol w:w="723"/>
        <w:gridCol w:w="719"/>
      </w:tblGrid>
      <w:tr w:rsidR="004D3503" w:rsidRPr="00A9787F" w14:paraId="7B6D9732"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vMerge w:val="restart"/>
            <w:hideMark/>
          </w:tcPr>
          <w:p w14:paraId="5A72E48E"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Plant species</w:t>
            </w:r>
          </w:p>
        </w:tc>
        <w:tc>
          <w:tcPr>
            <w:tcW w:w="2932" w:type="pct"/>
            <w:gridSpan w:val="6"/>
          </w:tcPr>
          <w:p w14:paraId="04B6FF52" w14:textId="77777777" w:rsidR="004D3503" w:rsidRPr="00A9787F" w:rsidRDefault="004D3503" w:rsidP="004D35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Concentrations (mg/mL)</w:t>
            </w:r>
          </w:p>
        </w:tc>
      </w:tr>
      <w:tr w:rsidR="004D3503" w:rsidRPr="00A9787F" w14:paraId="780611CE"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vMerge/>
          </w:tcPr>
          <w:p w14:paraId="364E5206" w14:textId="77777777" w:rsidR="004D3503" w:rsidRPr="00A9787F" w:rsidRDefault="004D3503" w:rsidP="004D3503">
            <w:pPr>
              <w:jc w:val="center"/>
              <w:rPr>
                <w:rFonts w:ascii="Arial" w:hAnsi="Arial" w:cs="Arial"/>
                <w:b w:val="0"/>
                <w:bCs w:val="0"/>
                <w:sz w:val="20"/>
                <w:szCs w:val="20"/>
              </w:rPr>
            </w:pPr>
          </w:p>
        </w:tc>
        <w:tc>
          <w:tcPr>
            <w:tcW w:w="429" w:type="pct"/>
          </w:tcPr>
          <w:p w14:paraId="75AD899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T0</w:t>
            </w:r>
          </w:p>
        </w:tc>
        <w:tc>
          <w:tcPr>
            <w:tcW w:w="549" w:type="pct"/>
          </w:tcPr>
          <w:p w14:paraId="1D83744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T1</w:t>
            </w:r>
          </w:p>
        </w:tc>
        <w:tc>
          <w:tcPr>
            <w:tcW w:w="549" w:type="pct"/>
          </w:tcPr>
          <w:p w14:paraId="5710207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T2</w:t>
            </w:r>
          </w:p>
        </w:tc>
        <w:tc>
          <w:tcPr>
            <w:tcW w:w="549" w:type="pct"/>
          </w:tcPr>
          <w:p w14:paraId="20B9F47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T3</w:t>
            </w:r>
          </w:p>
        </w:tc>
        <w:tc>
          <w:tcPr>
            <w:tcW w:w="429" w:type="pct"/>
          </w:tcPr>
          <w:p w14:paraId="18E4F39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T4</w:t>
            </w:r>
          </w:p>
        </w:tc>
        <w:tc>
          <w:tcPr>
            <w:tcW w:w="427" w:type="pct"/>
          </w:tcPr>
          <w:p w14:paraId="2260D63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T5</w:t>
            </w:r>
          </w:p>
        </w:tc>
      </w:tr>
      <w:tr w:rsidR="004D3503" w:rsidRPr="00A9787F" w14:paraId="739FAEAE" w14:textId="77777777" w:rsidTr="00B51652">
        <w:tc>
          <w:tcPr>
            <w:cnfStyle w:val="001000000000" w:firstRow="0" w:lastRow="0" w:firstColumn="1" w:lastColumn="0" w:oddVBand="0" w:evenVBand="0" w:oddHBand="0" w:evenHBand="0" w:firstRowFirstColumn="0" w:firstRowLastColumn="0" w:lastRowFirstColumn="0" w:lastRowLastColumn="0"/>
            <w:tcW w:w="2068" w:type="pct"/>
            <w:hideMark/>
          </w:tcPr>
          <w:p w14:paraId="1BE5FD48" w14:textId="77777777" w:rsidR="004D3503" w:rsidRPr="00A9787F" w:rsidRDefault="004D3503" w:rsidP="004D3503">
            <w:pPr>
              <w:jc w:val="center"/>
              <w:rPr>
                <w:rFonts w:ascii="Arial" w:hAnsi="Arial" w:cs="Arial"/>
                <w:sz w:val="20"/>
                <w:szCs w:val="20"/>
              </w:rPr>
            </w:pPr>
            <w:r w:rsidRPr="00A9787F">
              <w:rPr>
                <w:rFonts w:ascii="Arial" w:hAnsi="Arial" w:cs="Arial"/>
                <w:i/>
                <w:iCs/>
                <w:sz w:val="20"/>
                <w:szCs w:val="20"/>
              </w:rPr>
              <w:t>Chromolaena odorata</w:t>
            </w:r>
          </w:p>
        </w:tc>
        <w:tc>
          <w:tcPr>
            <w:tcW w:w="429" w:type="pct"/>
            <w:hideMark/>
          </w:tcPr>
          <w:p w14:paraId="613266EE"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49" w:type="pct"/>
            <w:hideMark/>
          </w:tcPr>
          <w:p w14:paraId="65A3A601"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3.12</w:t>
            </w:r>
          </w:p>
        </w:tc>
        <w:tc>
          <w:tcPr>
            <w:tcW w:w="549" w:type="pct"/>
            <w:hideMark/>
          </w:tcPr>
          <w:p w14:paraId="522463A2"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6.25</w:t>
            </w:r>
          </w:p>
        </w:tc>
        <w:tc>
          <w:tcPr>
            <w:tcW w:w="549" w:type="pct"/>
            <w:hideMark/>
          </w:tcPr>
          <w:p w14:paraId="590F0D9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429" w:type="pct"/>
            <w:hideMark/>
          </w:tcPr>
          <w:p w14:paraId="3188A46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27" w:type="pct"/>
            <w:hideMark/>
          </w:tcPr>
          <w:p w14:paraId="6218FC9B"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r>
      <w:tr w:rsidR="004D3503" w:rsidRPr="00A9787F" w14:paraId="122D90FA"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hideMark/>
          </w:tcPr>
          <w:p w14:paraId="4FFD4A63" w14:textId="77777777" w:rsidR="004D3503" w:rsidRPr="00A9787F" w:rsidRDefault="004D3503" w:rsidP="004D3503">
            <w:pPr>
              <w:jc w:val="center"/>
              <w:rPr>
                <w:rFonts w:ascii="Arial" w:hAnsi="Arial" w:cs="Arial"/>
                <w:sz w:val="20"/>
                <w:szCs w:val="20"/>
              </w:rPr>
            </w:pPr>
            <w:r w:rsidRPr="00A9787F">
              <w:rPr>
                <w:rFonts w:ascii="Arial" w:hAnsi="Arial" w:cs="Arial"/>
                <w:i/>
                <w:iCs/>
                <w:sz w:val="20"/>
                <w:szCs w:val="20"/>
              </w:rPr>
              <w:t>Lippia multiflora</w:t>
            </w:r>
          </w:p>
        </w:tc>
        <w:tc>
          <w:tcPr>
            <w:tcW w:w="429" w:type="pct"/>
            <w:hideMark/>
          </w:tcPr>
          <w:p w14:paraId="431B9780"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49" w:type="pct"/>
            <w:hideMark/>
          </w:tcPr>
          <w:p w14:paraId="148FD3A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0.62</w:t>
            </w:r>
          </w:p>
        </w:tc>
        <w:tc>
          <w:tcPr>
            <w:tcW w:w="549" w:type="pct"/>
            <w:hideMark/>
          </w:tcPr>
          <w:p w14:paraId="6CB88D4E"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549" w:type="pct"/>
            <w:hideMark/>
          </w:tcPr>
          <w:p w14:paraId="7F11D408"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29" w:type="pct"/>
            <w:hideMark/>
          </w:tcPr>
          <w:p w14:paraId="6A0029EB"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w:t>
            </w:r>
          </w:p>
        </w:tc>
        <w:tc>
          <w:tcPr>
            <w:tcW w:w="427" w:type="pct"/>
            <w:hideMark/>
          </w:tcPr>
          <w:p w14:paraId="235515A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10</w:t>
            </w:r>
          </w:p>
        </w:tc>
      </w:tr>
    </w:tbl>
    <w:p w14:paraId="791F7559" w14:textId="77777777" w:rsidR="004D3503" w:rsidRPr="004D3503" w:rsidRDefault="004D3503" w:rsidP="004D3503">
      <w:pPr>
        <w:rPr>
          <w:rFonts w:ascii="Arial" w:hAnsi="Arial" w:cs="Arial"/>
        </w:rPr>
      </w:pPr>
    </w:p>
    <w:p w14:paraId="46E5CFD1" w14:textId="0AA3D586" w:rsidR="004D3503" w:rsidRPr="00B82DDD" w:rsidRDefault="00B82DDD"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2.2.3. </w:t>
      </w:r>
      <w:r w:rsidR="004D3503" w:rsidRPr="00B82DDD">
        <w:rPr>
          <w:rFonts w:ascii="Arial" w:hAnsi="Arial" w:cs="Arial"/>
          <w:sz w:val="20"/>
          <w:szCs w:val="20"/>
          <w:u w:val="single"/>
        </w:rPr>
        <w:t>Evaluation of mycelial growth</w:t>
      </w:r>
    </w:p>
    <w:p w14:paraId="796261C2" w14:textId="77777777" w:rsidR="004D3503" w:rsidRDefault="004D3503" w:rsidP="004D3503">
      <w:pPr>
        <w:jc w:val="both"/>
        <w:rPr>
          <w:rFonts w:ascii="Arial" w:hAnsi="Arial" w:cs="Arial"/>
        </w:rPr>
      </w:pPr>
      <w:r w:rsidRPr="004D3503">
        <w:rPr>
          <w:rFonts w:ascii="Arial" w:hAnsi="Arial" w:cs="Arial"/>
        </w:rPr>
        <w:t>Mycelial growth was measured following the two-perpendicular-diameter method on the reverse side of Petri dishes (Figure 2). Measurements were recorded daily until full growth was observed in the controls. The mean colony diameter (mm) for each dish was calculated as the average of the two diameters.</w:t>
      </w:r>
    </w:p>
    <w:p w14:paraId="563803D1" w14:textId="77777777" w:rsidR="0011010F" w:rsidRPr="004D3503" w:rsidRDefault="0011010F" w:rsidP="004D3503">
      <w:pPr>
        <w:jc w:val="both"/>
        <w:rPr>
          <w:rFonts w:ascii="Arial" w:hAnsi="Arial" w:cs="Arial"/>
        </w:rPr>
      </w:pPr>
    </w:p>
    <w:p w14:paraId="4E4D51B4" w14:textId="77777777" w:rsidR="004D3503" w:rsidRPr="004D3503" w:rsidRDefault="004D3503" w:rsidP="004D3503">
      <w:pPr>
        <w:jc w:val="both"/>
        <w:rPr>
          <w:rFonts w:ascii="Arial" w:hAnsi="Arial" w:cs="Arial"/>
        </w:rPr>
      </w:pPr>
      <w:r w:rsidRPr="004D3503">
        <w:rPr>
          <w:rFonts w:ascii="Arial" w:hAnsi="Arial" w:cs="Arial"/>
        </w:rPr>
        <w:t>The percentage inhibition of mycelial growth (PIc) was computed according to Leroux and Gredet (1978):</w:t>
      </w:r>
    </w:p>
    <w:p w14:paraId="0744348B" w14:textId="77777777" w:rsidR="004D3503" w:rsidRPr="004D3503" w:rsidRDefault="004D3503" w:rsidP="004D3503">
      <w:pPr>
        <w:jc w:val="both"/>
        <w:rPr>
          <w:rFonts w:ascii="Arial" w:eastAsiaTheme="minorEastAsia" w:hAnsi="Arial" w:cs="Arial"/>
        </w:rPr>
      </w:pPr>
      <m:oMathPara>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c</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w:rPr>
                      <w:rFonts w:ascii="Cambria Math" w:hAnsi="Cambria Math" w:cs="Arial"/>
                    </w:rPr>
                    <m:t>o</m:t>
                  </m:r>
                </m:sub>
              </m:sSub>
              <m:r>
                <w:rPr>
                  <w:rFonts w:ascii="Cambria Math" w:hAnsi="Cambria Math" w:cs="Arial"/>
                </w:rPr>
                <m:t>-</m:t>
              </m:r>
              <m:sSub>
                <m:sSubPr>
                  <m:ctrlPr>
                    <w:rPr>
                      <w:rFonts w:ascii="Cambria Math" w:hAnsi="Cambria Math" w:cs="Arial"/>
                    </w:rPr>
                  </m:ctrlPr>
                </m:sSubPr>
                <m:e>
                  <m:r>
                    <w:rPr>
                      <w:rFonts w:ascii="Cambria Math" w:hAnsi="Cambria Math" w:cs="Arial"/>
                    </w:rPr>
                    <m:t>D</m:t>
                  </m:r>
                </m:e>
                <m:sub>
                  <m:r>
                    <w:rPr>
                      <w:rFonts w:ascii="Cambria Math" w:hAnsi="Cambria Math" w:cs="Arial"/>
                    </w:rPr>
                    <m:t>c</m:t>
                  </m:r>
                </m:sub>
              </m:sSub>
            </m:num>
            <m:den>
              <m:sSub>
                <m:sSubPr>
                  <m:ctrlPr>
                    <w:rPr>
                      <w:rFonts w:ascii="Cambria Math" w:hAnsi="Cambria Math" w:cs="Arial"/>
                    </w:rPr>
                  </m:ctrlPr>
                </m:sSubPr>
                <m:e>
                  <m:r>
                    <w:rPr>
                      <w:rFonts w:ascii="Cambria Math" w:hAnsi="Cambria Math" w:cs="Arial"/>
                    </w:rPr>
                    <m:t>D</m:t>
                  </m:r>
                </m:e>
                <m:sub>
                  <m:r>
                    <w:rPr>
                      <w:rFonts w:ascii="Cambria Math" w:hAnsi="Cambria Math" w:cs="Arial"/>
                    </w:rPr>
                    <m:t>o</m:t>
                  </m:r>
                </m:sub>
              </m:sSub>
            </m:den>
          </m:f>
        </m:oMath>
      </m:oMathPara>
    </w:p>
    <w:p w14:paraId="5EA07D47" w14:textId="77777777" w:rsidR="004D3503" w:rsidRPr="004D3503" w:rsidRDefault="004D3503" w:rsidP="004D3503">
      <w:pPr>
        <w:jc w:val="center"/>
        <w:rPr>
          <w:rFonts w:ascii="Arial" w:hAnsi="Arial" w:cs="Arial"/>
        </w:rPr>
      </w:pPr>
      <w:r w:rsidRPr="004D3503">
        <w:rPr>
          <w:rFonts w:ascii="Arial" w:eastAsiaTheme="minorEastAsia" w:hAnsi="Arial" w:cs="Arial"/>
        </w:rPr>
        <w:t>(1)</w:t>
      </w:r>
    </w:p>
    <w:p w14:paraId="4DF30341" w14:textId="77777777" w:rsidR="004D3503" w:rsidRDefault="004D3503" w:rsidP="004D3503">
      <w:pPr>
        <w:jc w:val="both"/>
        <w:rPr>
          <w:rFonts w:ascii="Arial" w:hAnsi="Arial" w:cs="Arial"/>
        </w:rPr>
      </w:pPr>
      <w:r w:rsidRPr="004D3503">
        <w:rPr>
          <w:rFonts w:ascii="Arial" w:hAnsi="Arial" w:cs="Arial"/>
        </w:rPr>
        <w:lastRenderedPageBreak/>
        <w:t xml:space="preserve">where </w:t>
      </w:r>
      <w:r w:rsidRPr="004D3503">
        <w:rPr>
          <w:rFonts w:ascii="Arial" w:hAnsi="Arial" w:cs="Arial"/>
          <w:i/>
          <w:iCs/>
        </w:rPr>
        <w:t>Dₒ</w:t>
      </w:r>
      <w:r w:rsidRPr="004D3503">
        <w:rPr>
          <w:rFonts w:ascii="Arial" w:hAnsi="Arial" w:cs="Arial"/>
        </w:rPr>
        <w:t xml:space="preserve"> is the colony diameter in the control (without fungicide) and </w:t>
      </w:r>
      <w:r w:rsidRPr="004D3503">
        <w:rPr>
          <w:rFonts w:ascii="Arial" w:hAnsi="Arial" w:cs="Arial"/>
          <w:i/>
          <w:iCs/>
        </w:rPr>
        <w:t>Dc</w:t>
      </w:r>
      <w:r w:rsidRPr="004D3503">
        <w:rPr>
          <w:rFonts w:ascii="Arial" w:hAnsi="Arial" w:cs="Arial"/>
        </w:rPr>
        <w:t xml:space="preserve"> is the colony diameter at concentration </w:t>
      </w:r>
      <w:r w:rsidRPr="004D3503">
        <w:rPr>
          <w:rFonts w:ascii="Arial" w:hAnsi="Arial" w:cs="Arial"/>
          <w:i/>
          <w:iCs/>
        </w:rPr>
        <w:t>c</w:t>
      </w:r>
      <w:r w:rsidRPr="004D3503">
        <w:rPr>
          <w:rFonts w:ascii="Arial" w:hAnsi="Arial" w:cs="Arial"/>
        </w:rPr>
        <w:t xml:space="preserve"> of the fungicide.</w:t>
      </w:r>
    </w:p>
    <w:p w14:paraId="20A64D44" w14:textId="77777777" w:rsidR="0011010F" w:rsidRPr="004D3503" w:rsidRDefault="0011010F" w:rsidP="004D3503">
      <w:pPr>
        <w:jc w:val="both"/>
        <w:rPr>
          <w:rFonts w:ascii="Arial" w:hAnsi="Arial" w:cs="Arial"/>
        </w:rPr>
      </w:pPr>
    </w:p>
    <w:p w14:paraId="7ED0B51E" w14:textId="77777777" w:rsidR="004D3503" w:rsidRPr="00032B6C" w:rsidRDefault="004D3503" w:rsidP="004D3503">
      <w:pPr>
        <w:jc w:val="both"/>
        <w:rPr>
          <w:rFonts w:ascii="Arial" w:hAnsi="Arial" w:cs="Arial"/>
        </w:rPr>
      </w:pPr>
      <w:r w:rsidRPr="00032B6C">
        <w:rPr>
          <w:rFonts w:ascii="Arial" w:hAnsi="Arial" w:cs="Arial"/>
        </w:rPr>
        <w:t>The resulting inhibition values were used to determine the minimum inhibitory concentration (MIC) and the minimum fungicidal concentration (MFC) for each fungicide, following the method used by Saraka et al. (2019). The MIC corresponded to the concentration producing 100% inhibition, while the MFC represented the lowest concentration at which no regrowth occurred after subculturing.</w:t>
      </w:r>
    </w:p>
    <w:p w14:paraId="1A10241A" w14:textId="77777777" w:rsidR="0011010F" w:rsidRPr="004D3503" w:rsidRDefault="0011010F" w:rsidP="004D3503">
      <w:pPr>
        <w:jc w:val="both"/>
        <w:rPr>
          <w:rFonts w:ascii="Arial" w:hAnsi="Arial" w:cs="Arial"/>
        </w:rPr>
      </w:pPr>
    </w:p>
    <w:p w14:paraId="27C13E4E" w14:textId="09D22533" w:rsidR="004D3503" w:rsidRPr="004D3503" w:rsidRDefault="00135FE3" w:rsidP="004D3503">
      <w:pPr>
        <w:jc w:val="center"/>
        <w:rPr>
          <w:rFonts w:ascii="Arial" w:hAnsi="Arial" w:cs="Arial"/>
        </w:rPr>
      </w:pPr>
      <w:r>
        <w:rPr>
          <w:rFonts w:ascii="Arial" w:hAnsi="Arial" w:cs="Arial"/>
        </w:rPr>
      </w:r>
      <w:r>
        <w:rPr>
          <w:rFonts w:ascii="Arial" w:hAnsi="Arial" w:cs="Arial"/>
        </w:rPr>
        <w:pict w14:anchorId="6763889E">
          <v:group id="Groupe 5" o:spid="_x0000_s2076" style="width:320.75pt;height:161.4pt;mso-position-horizontal-relative:char;mso-position-vertical-relative:line" coordsize="44170,18541">
            <v:group id="Groupe 205" o:spid="_x0000_s2077" style="position:absolute;width:21352;height:17885" coordsize="10751,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K/yQAAAOMAAAAPAAAAZHJzL2Rvd25yZXYueG1sRE9La8JA&#10;EL4X+h+WKfRWNzG42OgqIrb0IAUfULwN2TEJZmdDdpvEf98tFHqc7z3L9Wgb0VPna8ca0kkCgrhw&#10;puZSw/n09jIH4QOywcYxabiTh/Xq8WGJuXEDH6g/hlLEEPY5aqhCaHMpfVGRRT9xLXHkrq6zGOLZ&#10;ldJ0OMRw28hpkihpsebYUGFL24qK2/HbangfcNhk6a7f367b++U0+/zap6T189O4WYAINIZ/8Z/7&#10;w8T5SqVqlqnXDH5/igDI1Q8AAAD//wMAUEsBAi0AFAAGAAgAAAAhANvh9svuAAAAhQEAABMAAAAA&#10;AAAAAAAAAAAAAAAAAFtDb250ZW50X1R5cGVzXS54bWxQSwECLQAUAAYACAAAACEAWvQsW78AAAAV&#10;AQAACwAAAAAAAAAAAAAAAAAfAQAAX3JlbHMvLnJlbHNQSwECLQAUAAYACAAAACEAyT5iv8kAAADj&#10;AAAADwAAAAAAAAAAAAAAAAAHAgAAZHJzL2Rvd25yZXYueG1sUEsFBgAAAAADAAMAtwAAAP0CAAAA&#10;AA==&#10;">
              <v:oval id="Ellipse 237" o:spid="_x0000_s2078" style="position:absolute;left:3567;top:3969;width:3409;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OryAAAAOMAAAAPAAAAZHJzL2Rvd25yZXYueG1sRE/NasJA&#10;EL4LvsMygjfdpIRqU1eRoiDUi6keehuyYzY0Oxuzq6Z9erdQ6HG+/1msetuIG3W+dqwgnSYgiEun&#10;a64UHD+2kzkIH5A1No5JwTd5WC2HgwXm2t35QLciVCKGsM9RgQmhzaX0pSGLfupa4sidXWcxxLOr&#10;pO7wHsNtI5+S5FlarDk2GGzpzVD5VVytgs+i/cmK9216vh4PG2Ntubuc9kqNR/36FUSgPvyL/9w7&#10;HednL2maZbNkBr8/RQDk8gEAAP//AwBQSwECLQAUAAYACAAAACEA2+H2y+4AAACFAQAAEwAAAAAA&#10;AAAAAAAAAAAAAAAAW0NvbnRlbnRfVHlwZXNdLnhtbFBLAQItABQABgAIAAAAIQBa9CxbvwAAABUB&#10;AAALAAAAAAAAAAAAAAAAAB8BAABfcmVscy8ucmVsc1BLAQItABQABgAIAAAAIQBCFbOryAAAAOMA&#10;AAAPAAAAAAAAAAAAAAAAAAcCAABkcnMvZG93bnJldi54bWxQSwUGAAAAAAMAAwC3AAAA/AIAAAAA&#10;" fillcolor="#4472c4" strokeweight="1pt">
                <v:stroke joinstyle="miter"/>
              </v:oval>
              <v:oval id="Ellipse 238" o:spid="_x0000_s2079" style="position:absolute;left:50;top:100;width:10450;height:11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NNxwAAAOMAAAAPAAAAZHJzL2Rvd25yZXYueG1sRE9fT8Iw&#10;EH838Ts0R+KbdMywLYNCjIkKj6KB8Has5zZdr7MtML49NTHx8X7/b74cTCdO5HxrWcFknIAgrqxu&#10;uVbw8f58X4DwAVljZ5kUXMjDcnF7M8dS2zO/0WkTahFD2JeooAmhL6X0VUMG/dj2xJH7tM5giKer&#10;pXZ4juGmk2mSZNJgy7GhwZ6eGqq+N0ejYPqS68697nf7w2Ay+cP5dv3llLobDY8zEIGG8C/+c690&#10;nP9QpFlWJHkKvz9FAOTiCgAA//8DAFBLAQItABQABgAIAAAAIQDb4fbL7gAAAIUBAAATAAAAAAAA&#10;AAAAAAAAAAAAAABbQ29udGVudF9UeXBlc10ueG1sUEsBAi0AFAAGAAgAAAAhAFr0LFu/AAAAFQEA&#10;AAsAAAAAAAAAAAAAAAAAHwEAAF9yZWxzLy5yZWxzUEsBAi0AFAAGAAgAAAAhAK+0c03HAAAA4wAA&#10;AA8AAAAAAAAAAAAAAAAABwIAAGRycy9kb3ducmV2LnhtbFBLBQYAAAAAAwADALcAAAD7AgAAAAA=&#10;" filled="f" strokeweight="1pt">
                <v:stroke joinstyle="miter"/>
              </v:oval>
              <v:line id="Connecteur droit 239" o:spid="_x0000_s2080" style="position:absolute;visibility:visible;mso-wrap-style:square" from="0,5677" to="10751,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fQxQAAAOMAAAAPAAAAZHJzL2Rvd25yZXYueG1sRE9fa8Iw&#10;EH8f+B3CCXubia6TWo0ig8HwbVrfj+Zsq82lJJm2334ZDPZ4v/+32Q22E3fyoXWsYT5TIIgrZ1qu&#10;NZSnj5ccRIjIBjvHpGGkALvt5GmDhXEP/qL7MdYihXAoUEMTY19IGaqGLIaZ64kTd3HeYkynr6Xx&#10;+EjhtpMLpZbSYsupocGe3huqbsdvqwEP6nAux9PbpUObXcdy5c3VaP08HfZrEJGG+C/+c3+aNF/l&#10;2Spb5vNX+P0pASC3PwAAAP//AwBQSwECLQAUAAYACAAAACEA2+H2y+4AAACFAQAAEwAAAAAAAAAA&#10;AAAAAAAAAAAAW0NvbnRlbnRfVHlwZXNdLnhtbFBLAQItABQABgAIAAAAIQBa9CxbvwAAABUBAAAL&#10;AAAAAAAAAAAAAAAAAB8BAABfcmVscy8ucmVsc1BLAQItABQABgAIAAAAIQBPECfQxQAAAOMAAAAP&#10;AAAAAAAAAAAAAAAAAAcCAABkcnMvZG93bnJldi54bWxQSwUGAAAAAAMAAwC3AAAA+QIAAAAA&#10;" strokeweight=".5pt">
                <v:stroke joinstyle="miter"/>
              </v:line>
              <v:line id="Connecteur droit 261" o:spid="_x0000_s2081" style="position:absolute;flip:x;visibility:visible;mso-wrap-style:square" from="5225,0" to="5275,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vQxgAAAOMAAAAPAAAAZHJzL2Rvd25yZXYueG1sRE9fa8Iw&#10;EH8X/A7hhL1p6sCq1SgibBTGHlr9AGdzNt2aS2ky7b79MhB8vN//2+4H24ob9b5xrGA+S0AQV043&#10;XCs4n96mKxA+IGtsHZOCX/Kw341HW8y0u3NBtzLUIoawz1CBCaHLpPSVIYt+5jriyF1dbzHEs6+l&#10;7vEew20rX5MklRYbjg0GOzoaqr7LH6vgc3Uq8CMvlqjpmuPX+8VwdVHqZTIcNiACDeEpfrhzHefP&#10;1+kyXSTrBfz/FAGQuz8AAAD//wMAUEsBAi0AFAAGAAgAAAAhANvh9svuAAAAhQEAABMAAAAAAAAA&#10;AAAAAAAAAAAAAFtDb250ZW50X1R5cGVzXS54bWxQSwECLQAUAAYACAAAACEAWvQsW78AAAAVAQAA&#10;CwAAAAAAAAAAAAAAAAAfAQAAX3JlbHMvLnJlbHNQSwECLQAUAAYACAAAACEAZUD70MYAAADjAAAA&#10;DwAAAAAAAAAAAAAAAAAHAgAAZHJzL2Rvd25yZXYueG1sUEsFBgAAAAADAAMAtwAAAPoCAAAAAA==&#10;" strokeweight=".5pt">
                <v:stroke joinstyle="miter"/>
              </v:line>
            </v:group>
            <v:shape id="Connecteur droit avec flèche 263" o:spid="_x0000_s2082" type="#_x0000_t32" style="position:absolute;left:10081;top:2160;width:180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lXyQAAAOIAAAAPAAAAZHJzL2Rvd25yZXYueG1sRI/NasJA&#10;FIX3hb7DcAvd1YklTZroKCIIXXSjRkh3l8w1Cc3cCTOjpm/fEQpdHs7Px1muJzOIKznfW1YwnyUg&#10;iBure24VVMfdyzsIH5A1DpZJwQ95WK8eH5ZYanvjPV0PoRVxhH2JCroQxlJK33Rk0M/sSBy9s3UG&#10;Q5SuldrhLY6bQb4mSSYN9hwJHY607aj5PlxMhIz5l87qjZOnqtYXk6f2s6iVen6aNgsQgabwH/5r&#10;f2gFb2mS5UUxT+F+Kd4BufoFAAD//wMAUEsBAi0AFAAGAAgAAAAhANvh9svuAAAAhQEAABMAAAAA&#10;AAAAAAAAAAAAAAAAAFtDb250ZW50X1R5cGVzXS54bWxQSwECLQAUAAYACAAAACEAWvQsW78AAAAV&#10;AQAACwAAAAAAAAAAAAAAAAAfAQAAX3JlbHMvLnJlbHNQSwECLQAUAAYACAAAACEAbiu5V8kAAADi&#10;AAAADwAAAAAAAAAAAAAAAAAHAgAAZHJzL2Rvd25yZXYueG1sUEsFBgAAAAADAAMAtwAAAP0CAAAA&#10;AA==&#10;" strokeweight="1pt">
              <v:stroke endarrow="block" joinstyle="miter"/>
            </v:shape>
            <v:group id="Groupe 264" o:spid="_x0000_s2083" style="position:absolute;left:11344;top:5040;width:16981;height:2880" coordorigin="11344,5040" coordsize="1698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EVyQAAAOMAAAAPAAAAZHJzL2Rvd25yZXYueG1sRE9fa8Iw&#10;EH8f7DuEG+xtptFtamcUETf2IMJUEN+O5myLzaU0sa3ffhkIe7zf/5steluJlhpfOtagBgkI4syZ&#10;knMNh/3nywSED8gGK8ek4UYeFvPHhxmmxnX8Q+0u5CKGsE9RQxFCnUrps4Is+oGriSN3do3FEM8m&#10;l6bBLobbSg6T5F1aLDk2FFjTqqDssrtaDV8ddsuRWreby3l1O+3ftseNIq2fn/rlB4hAffgX393f&#10;Js6fTNXreKpGQ/j7KQIg578AAAD//wMAUEsBAi0AFAAGAAgAAAAhANvh9svuAAAAhQEAABMAAAAA&#10;AAAAAAAAAAAAAAAAAFtDb250ZW50X1R5cGVzXS54bWxQSwECLQAUAAYACAAAACEAWvQsW78AAAAV&#10;AQAACwAAAAAAAAAAAAAAAAAfAQAAX3JlbHMvLnJlbHNQSwECLQAUAAYACAAAACEAW6uhFckAAADj&#10;AAAADwAAAAAAAAAAAAAAAAAHAgAAZHJzL2Rvd25yZXYueG1sUEsFBgAAAAADAAMAtwAAAP0CAAAA&#10;AA==&#10;">
              <v:shape id="Connecteur droit avec flèche 265" o:spid="_x0000_s2084" type="#_x0000_t32" style="position:absolute;left:11344;top:5040;width:2881;height:2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yQAAAOIAAAAPAAAAZHJzL2Rvd25yZXYueG1sRI9La8JA&#10;FIX3Bf/DcAvd1UmsJBodRQShi27qA+LukrkmoZk7YWbU9N93CoLLw3l8nOV6MJ24kfOtZQXpOAFB&#10;XFndcq3geNi9z0D4gKyxs0wKfsnDejV6WWKh7Z2/6bYPtYgj7AtU0ITQF1L6qiGDfmx74uhdrDMY&#10;onS11A7vcdx0cpIkmTTYciQ02NO2oepnfzUR0udnnZUbJ0/HUl9NPrVf81Kpt9dhswARaAjP8KP9&#10;qRXM8iyZztP0A/4vxTsgV38AAAD//wMAUEsBAi0AFAAGAAgAAAAhANvh9svuAAAAhQEAABMAAAAA&#10;AAAAAAAAAAAAAAAAAFtDb250ZW50X1R5cGVzXS54bWxQSwECLQAUAAYACAAAACEAWvQsW78AAAAV&#10;AQAACwAAAAAAAAAAAAAAAAAfAQAAX3JlbHMvLnJlbHNQSwECLQAUAAYACAAAACEArOP/hckAAADi&#10;AAAADwAAAAAAAAAAAAAAAAAHAgAAZHJzL2Rvd25yZXYueG1sUEsFBgAAAAADAAMAtwAAAP0CAAAA&#10;AA==&#10;" strokeweight="1pt">
                <v:stroke endarrow="block" joinstyle="miter"/>
              </v:shape>
              <v:line id="Connecteur droit 266" o:spid="_x0000_s2085" style="position:absolute;visibility:visible;mso-wrap-style:square" from="14098,5040" to="28325,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SdygAAAOMAAAAPAAAAZHJzL2Rvd25yZXYueG1sRI/RSgMx&#10;EEXfhf5DmIJvNmmVEtamxVYUUUGtfsCwGXcXN5NlE9vUr3ceBB9n7p17z6w2JfTqQGPqIjuYzwwo&#10;4jr6jhsHH+93FxZUysge+8jk4EQJNuvJ2QorH4/8Rod9bpSEcKrQQZvzUGmd6pYCplkciEX7jGPA&#10;LOPYaD/iUcJDrxfGLHXAjqWhxYF2LdVf++/g4Mc8FTS2f3llvl0094/b0zMX586n5eYaVKaS/81/&#10;1w9e8K1dWnM5vxJo+UkWoNe/AAAA//8DAFBLAQItABQABgAIAAAAIQDb4fbL7gAAAIUBAAATAAAA&#10;AAAAAAAAAAAAAAAAAABbQ29udGVudF9UeXBlc10ueG1sUEsBAi0AFAAGAAgAAAAhAFr0LFu/AAAA&#10;FQEAAAsAAAAAAAAAAAAAAAAAHwEAAF9yZWxzLy5yZWxzUEsBAi0AFAAGAAgAAAAhABiOJJ3KAAAA&#10;4wAAAA8AAAAAAAAAAAAAAAAABwIAAGRycy9kb3ducmV2LnhtbFBLBQYAAAAAAwADALcAAAD+AgAA&#10;AAA=&#10;" strokeweight="1pt">
                <v:stroke joinstyle="miter"/>
              </v:line>
            </v:group>
            <v:shape id="Connecteur droit avec flèche 267" o:spid="_x0000_s2086" type="#_x0000_t32" style="position:absolute;left:14225;top:17567;width:141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E7ygAAAOMAAAAPAAAAZHJzL2Rvd25yZXYueG1sRI9Pa8JA&#10;EMXvQr/DMgVvujFYo6mriCB46MV/EG9DdkxCs7Nhd9X023eFQo8z7837vVmue9OKBznfWFYwGScg&#10;iEurG64UnE+70RyED8gaW8uk4Ic8rFdvgyXm2j75QI9jqEQMYZ+jgjqELpfSlzUZ9GPbEUftZp3B&#10;EEdXSe3wGcNNK9MkmUmDDUdCjR1tayq/j3cTIV121bNi4+TlXOi7yab2a1EoNXzvN58gAvXh3/x3&#10;vdexfpZNJ+k8ST/g9VNcgFz9AgAA//8DAFBLAQItABQABgAIAAAAIQDb4fbL7gAAAIUBAAATAAAA&#10;AAAAAAAAAAAAAAAAAABbQ29udGVudF9UeXBlc10ueG1sUEsBAi0AFAAGAAgAAAAhAFr0LFu/AAAA&#10;FQEAAAsAAAAAAAAAAAAAAAAAHwEAAF9yZWxzLy5yZWxzUEsBAi0AFAAGAAgAAAAhAJjKgTvKAAAA&#10;4wAAAA8AAAAAAAAAAAAAAAAABwIAAGRycy9kb3ducmV2LnhtbFBLBQYAAAAAAwADALcAAAD+AgAA&#10;AAA=&#10;" strokeweight="1pt">
              <v:stroke endarrow="block" joinstyle="miter"/>
              <o:lock v:ext="edit" shapetype="f"/>
            </v:shape>
            <v:group id="Groupe 268" o:spid="_x0000_s2087" style="position:absolute;left:15121;top:9141;width:13682;height:2852" coordorigin="15121,9141" coordsize="1368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R/ywAAAOIAAAAPAAAAZHJzL2Rvd25yZXYueG1sRI9Ba8JA&#10;FITvBf/D8gq91U3SRDR1FRFbehBBLRRvj+wzCWbfhuw2if++Wyj0OMzMN8xyPZpG9NS52rKCeBqB&#10;IC6srrlU8Hl+e56DcB5ZY2OZFNzJwXo1eVhiru3AR+pPvhQBwi5HBZX3bS6lKyoy6Ka2JQ7e1XYG&#10;fZBdKXWHQ4CbRiZRNJMGaw4LFba0rai4nb6NgvcBh81LvOv3t+v2fjlnh699TEo9PY6bVxCeRv8f&#10;/mt/aAXpPE2ydJEl8Hsp3AG5+gEAAP//AwBQSwECLQAUAAYACAAAACEA2+H2y+4AAACFAQAAEwAA&#10;AAAAAAAAAAAAAAAAAAAAW0NvbnRlbnRfVHlwZXNdLnhtbFBLAQItABQABgAIAAAAIQBa9CxbvwAA&#10;ABUBAAALAAAAAAAAAAAAAAAAAB8BAABfcmVscy8ucmVsc1BLAQItABQABgAIAAAAIQCrQDR/ywAA&#10;AOIAAAAPAAAAAAAAAAAAAAAAAAcCAABkcnMvZG93bnJldi54bWxQSwUGAAAAAAMAAwC3AAAA/wIA&#10;AAAA&#10;">
              <v:line id="Connecteur droit 269" o:spid="_x0000_s2088" style="position:absolute;visibility:visible;mso-wrap-style:square" from="15121,11993" to="28803,1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PfywAAAOMAAAAPAAAAZHJzL2Rvd25yZXYueG1sRI/RTsMw&#10;DEXfkfYPkZF4Y8lWiVVl2cRAIDQmAYMPsBrTVjRO1YQt29fjByQebV/fe89ynX2vDjTGLrCF2dSA&#10;Iq6D67ix8PnxeF2CignZYR+YLJwowno1uVhi5cKR3+mwT40SE44VWmhTGiqtY92SxzgNA7HcvsLo&#10;Mck4NtqNeBRz3+u5MTfaY8eS0OJA9y3V3/sfb+FsXjKasn99Y36YN0/bzWnH2dqry3x3CypRTv/i&#10;v+9nJ/XLoigXi1khFMIkC9CrXwAAAP//AwBQSwECLQAUAAYACAAAACEA2+H2y+4AAACFAQAAEwAA&#10;AAAAAAAAAAAAAAAAAAAAW0NvbnRlbnRfVHlwZXNdLnhtbFBLAQItABQABgAIAAAAIQBa9CxbvwAA&#10;ABUBAAALAAAAAAAAAAAAAAAAAB8BAABfcmVscy8ucmVsc1BLAQItABQABgAIAAAAIQBjmdPfywAA&#10;AOMAAAAPAAAAAAAAAAAAAAAAAAcCAABkcnMvZG93bnJldi54bWxQSwUGAAAAAAMAAwC3AAAA/wIA&#10;AAAA&#10;" strokeweight="1pt">
                <v:stroke joinstyle="miter"/>
                <o:lock v:ext="edit" shapetype="f"/>
              </v:line>
              <v:shape id="Connecteur droit avec flèche 270" o:spid="_x0000_s2089" type="#_x0000_t32" style="position:absolute;left:15121;top:9141;width:0;height:2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G4ygAAAOMAAAAPAAAAZHJzL2Rvd25yZXYueG1sRI9Ba8JA&#10;EIXvBf/DMoK3ulEkMdFVRCj04KVWId6G7JgEs7Nhd9X477uFQo8z78373qy3g+nEg5xvLSuYTRMQ&#10;xJXVLdcKTt8f70sQPiBr7CyTghd52G5Gb2sstH3yFz2OoRYxhH2BCpoQ+kJKXzVk0E9tTxy1q3UG&#10;QxxdLbXDZww3nZwnSSoNthwJDfa0b6i6He8mQvrsotNy5+T5VOq7yRb2kJdKTcbDbgUi0BD+zX/X&#10;nzrWz9I8Xc6SeQ6/P8UFyM0PAAAA//8DAFBLAQItABQABgAIAAAAIQDb4fbL7gAAAIUBAAATAAAA&#10;AAAAAAAAAAAAAAAAAABbQ29udGVudF9UeXBlc10ueG1sUEsBAi0AFAAGAAgAAAAhAFr0LFu/AAAA&#10;FQEAAAsAAAAAAAAAAAAAAAAAHwEAAF9yZWxzLy5yZWxzUEsBAi0AFAAGAAgAAAAhAKIZkbjKAAAA&#10;4wAAAA8AAAAAAAAAAAAAAAAABwIAAGRycy9kb3ducmV2LnhtbFBLBQYAAAAAAwADALcAAAD+AgAA&#10;AAA=&#10;" strokeweight="1pt">
                <v:stroke endarrow="block" joinstyle="miter"/>
              </v:shape>
            </v:group>
            <v:shape id="Zone de texte 20" o:spid="_x0000_s2090" type="#_x0000_t202" style="position:absolute;left:28446;top:3835;width:15724;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1VyQAAAOMAAAAPAAAAZHJzL2Rvd25yZXYueG1sRE/RasJA&#10;EHwX+g/HFnzTO2uNNnqKKAWfWmpV6NuSW5PQ3F7InSb+vScUOm+7szOzs1h1thJXanzpWMNoqEAQ&#10;Z86UnGs4fL8PZiB8QDZYOSYNN/KwWj71Fpga1/IXXfchF9GEfYoaihDqVEqfFWTRD11NHLmzayyG&#10;ODa5NA220dxW8kWpRFosOSYUWNOmoOx3f7Eajh/nn9Or+sy3dlK3rlOS7ZvUuv/crecgAnXh//hP&#10;vTPx/el4kiSzCHh0iguQyzsAAAD//wMAUEsBAi0AFAAGAAgAAAAhANvh9svuAAAAhQEAABMAAAAA&#10;AAAAAAAAAAAAAAAAAFtDb250ZW50X1R5cGVzXS54bWxQSwECLQAUAAYACAAAACEAWvQsW78AAAAV&#10;AQAACwAAAAAAAAAAAAAAAAAfAQAAX3JlbHMvLnJlbHNQSwECLQAUAAYACAAAACEAQRLdVckAAADj&#10;AAAADwAAAAAAAAAAAAAAAAAHAgAAZHJzL2Rvd25yZXYueG1sUEsFBgAAAAADAAMAtwAAAP0CAAAA&#10;AA==&#10;" filled="f" stroked="f">
              <v:textbox style="mso-next-textbox:#Zone de texte 20">
                <w:txbxContent>
                  <w:p w14:paraId="63F4C099" w14:textId="60363332"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4 mm mycelial disc</w:t>
                    </w:r>
                  </w:p>
                </w:txbxContent>
              </v:textbox>
            </v:shape>
            <v:shape id="Zone de texte 20" o:spid="_x0000_s2091" type="#_x0000_t202" style="position:absolute;left:28777;top:16265;width:1433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PqpxgAAAOMAAAAPAAAAZHJzL2Rvd25yZXYueG1sRE9LawIx&#10;EL4L/Q9hhN408VndGkUsBU+KthV6Gzbj7tLNZNmk7vrvjSB4nO89i1VrS3Gh2heONQz6CgRx6kzB&#10;mYbvr8/eDIQPyAZLx6ThSh5Wy5fOAhPjGj7Q5RgyEUPYJ6ghD6FKpPRpThZ931XEkTu72mKIZ51J&#10;U2MTw20ph0pNpcWCY0OOFW1ySv+O/1bDz+78exqrffZhJ1XjWiXZzqXWr912/Q4iUBue4od7a+L8&#10;0eRtNJ6r4RTuP0UA5PIGAAD//wMAUEsBAi0AFAAGAAgAAAAhANvh9svuAAAAhQEAABMAAAAAAAAA&#10;AAAAAAAAAAAAAFtDb250ZW50X1R5cGVzXS54bWxQSwECLQAUAAYACAAAACEAWvQsW78AAAAVAQAA&#10;CwAAAAAAAAAAAAAAAAAfAQAAX3JlbHMvLnJlbHNQSwECLQAUAAYACAAAACEAgSD6qcYAAADjAAAA&#10;DwAAAAAAAAAAAAAAAAAHAgAAZHJzL2Rvd25yZXYueG1sUEsFBgAAAAADAAMAtwAAAPoCAAAAAA==&#10;" filled="f" stroked="f">
              <v:textbox>
                <w:txbxContent>
                  <w:p w14:paraId="3F8DA4B8" w14:textId="77777777"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90 mm Petri dish</w:t>
                    </w:r>
                  </w:p>
                  <w:p w14:paraId="37F4F957" w14:textId="77777777" w:rsidR="004D3503" w:rsidRPr="00254ACC" w:rsidRDefault="004D3503" w:rsidP="004D3503">
                    <w:pPr>
                      <w:spacing w:line="256" w:lineRule="auto"/>
                      <w:textAlignment w:val="baseline"/>
                      <w:rPr>
                        <w:rFonts w:ascii="Book Antiqua" w:hAnsi="Book Antiqua"/>
                        <w:color w:val="000000"/>
                        <w:kern w:val="24"/>
                        <w:sz w:val="16"/>
                        <w:szCs w:val="16"/>
                      </w:rPr>
                    </w:pPr>
                  </w:p>
                </w:txbxContent>
              </v:textbox>
            </v:shape>
            <v:shape id="Zone de texte 20" o:spid="_x0000_s2092" type="#_x0000_t202" style="position:absolute;left:28803;top:10878;width:12709;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5eyQAAAOMAAAAPAAAAZHJzL2Rvd25yZXYueG1sRI9Pa8JA&#10;FMTvhX6H5RW81d1YIxpdpbQUerL4F7w9ss8kmH0bsqtJv31XKHgcZuY3zGLV21rcqPWVYw3JUIEg&#10;zp2puNCw3329TkH4gGywdkwafsnDavn8tMDMuI43dNuGQkQI+ww1lCE0mZQ+L8miH7qGOHpn11oM&#10;UbaFNC12EW5rOVJqIi1WHBdKbOijpPyyvVoNh/X5dByrn+LTpk3neiXZzqTWg5f+fQ4iUB8e4f/2&#10;t9EwSlSSTsbqLYX7p/gH5PIPAAD//wMAUEsBAi0AFAAGAAgAAAAhANvh9svuAAAAhQEAABMAAAAA&#10;AAAAAAAAAAAAAAAAAFtDb250ZW50X1R5cGVzXS54bWxQSwECLQAUAAYACAAAACEAWvQsW78AAAAV&#10;AQAACwAAAAAAAAAAAAAAAAAfAQAAX3JlbHMvLnJlbHNQSwECLQAUAAYACAAAACEAww5OXskAAADj&#10;AAAADwAAAAAAAAAAAAAAAAAHAgAAZHJzL2Rvd25yZXYueG1sUEsFBgAAAAADAAMAtwAAAP0CAAAA&#10;AA==&#10;" filled="f" stroked="f">
              <v:textbox>
                <w:txbxContent>
                  <w:p w14:paraId="4C0E57EB" w14:textId="77777777"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Horizontal axis</w:t>
                    </w:r>
                  </w:p>
                  <w:p w14:paraId="5D4FBFFD" w14:textId="77777777" w:rsidR="004D3503" w:rsidRPr="007F44B4" w:rsidRDefault="004D3503" w:rsidP="004D3503">
                    <w:pPr>
                      <w:spacing w:line="256" w:lineRule="auto"/>
                      <w:textAlignment w:val="baseline"/>
                      <w:rPr>
                        <w:rFonts w:ascii="Arial" w:hAnsi="Arial" w:cs="Arial"/>
                      </w:rPr>
                    </w:pPr>
                  </w:p>
                </w:txbxContent>
              </v:textbox>
            </v:shape>
            <v:shape id="Zone de texte 20" o:spid="_x0000_s2093" type="#_x0000_t202" style="position:absolute;left:28557;top:1050;width:123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OCXyQAAAOIAAAAPAAAAZHJzL2Rvd25yZXYueG1sRI9Pa8JA&#10;FMTvhX6H5RV6q7vaVmN0FVEKPSn+BW+P7DMJZt+G7GrSb+8WCj0OM/MbZjrvbCXu1PjSsYZ+T4Eg&#10;zpwpOddw2H+9JSB8QDZYOSYNP+RhPnt+mmJqXMtbuu9CLiKEfYoaihDqVEqfFWTR91xNHL2LayyG&#10;KJtcmgbbCLeVHCg1lBZLjgsF1rQsKLvublbDcX05nz7UJl/Zz7p1nZJsx1Lr15duMQERqAv/4b/2&#10;t9Eweu8nSo2SMfxeindAzh4AAAD//wMAUEsBAi0AFAAGAAgAAAAhANvh9svuAAAAhQEAABMAAAAA&#10;AAAAAAAAAAAAAAAAAFtDb250ZW50X1R5cGVzXS54bWxQSwECLQAUAAYACAAAACEAWvQsW78AAAAV&#10;AQAACwAAAAAAAAAAAAAAAAAfAQAAX3JlbHMvLnJlbHNQSwECLQAUAAYACAAAACEAjeDgl8kAAADi&#10;AAAADwAAAAAAAAAAAAAAAAAHAgAAZHJzL2Rvd25yZXYueG1sUEsFBgAAAAADAAMAtwAAAP0CAAAA&#10;AA==&#10;" filled="f" stroked="f">
              <v:textbox>
                <w:txbxContent>
                  <w:p w14:paraId="467A7E2F" w14:textId="33614DD5"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Vertical axis</w:t>
                    </w:r>
                  </w:p>
                </w:txbxContent>
              </v:textbox>
            </v:shape>
            <w10:anchorlock/>
          </v:group>
        </w:pict>
      </w:r>
    </w:p>
    <w:p w14:paraId="3B7FFA4C" w14:textId="77777777" w:rsidR="004D3503" w:rsidRDefault="004D3503" w:rsidP="004D3503">
      <w:pPr>
        <w:jc w:val="both"/>
        <w:rPr>
          <w:rFonts w:ascii="Arial" w:hAnsi="Arial" w:cs="Arial"/>
        </w:rPr>
      </w:pPr>
      <w:r w:rsidRPr="004D3503">
        <w:rPr>
          <w:rFonts w:ascii="Arial" w:hAnsi="Arial" w:cs="Arial"/>
          <w:b/>
          <w:bCs/>
        </w:rPr>
        <w:t>Figure 2.</w:t>
      </w:r>
      <w:r w:rsidRPr="004D3503">
        <w:rPr>
          <w:rFonts w:ascii="Arial" w:hAnsi="Arial" w:cs="Arial"/>
        </w:rPr>
        <w:t xml:space="preserve"> Measurement of mycelial colony diameter of </w:t>
      </w:r>
      <w:r w:rsidRPr="004D3503">
        <w:rPr>
          <w:rFonts w:ascii="Arial" w:hAnsi="Arial" w:cs="Arial"/>
          <w:i/>
          <w:iCs/>
        </w:rPr>
        <w:t>Colletotrichum</w:t>
      </w:r>
      <w:r w:rsidRPr="004D3503">
        <w:rPr>
          <w:rFonts w:ascii="Arial" w:hAnsi="Arial" w:cs="Arial"/>
        </w:rPr>
        <w:t xml:space="preserve"> and </w:t>
      </w:r>
      <w:r w:rsidRPr="004D3503">
        <w:rPr>
          <w:rFonts w:ascii="Arial" w:hAnsi="Arial" w:cs="Arial"/>
          <w:i/>
          <w:iCs/>
        </w:rPr>
        <w:t>Fusarium</w:t>
      </w:r>
      <w:r w:rsidRPr="004D3503">
        <w:rPr>
          <w:rFonts w:ascii="Arial" w:hAnsi="Arial" w:cs="Arial"/>
        </w:rPr>
        <w:t xml:space="preserve"> isolates.</w:t>
      </w:r>
    </w:p>
    <w:p w14:paraId="2961592E" w14:textId="77777777" w:rsidR="003E15F2" w:rsidRPr="004D3503" w:rsidRDefault="003E15F2" w:rsidP="004D3503">
      <w:pPr>
        <w:jc w:val="both"/>
        <w:rPr>
          <w:rFonts w:ascii="Arial" w:hAnsi="Arial" w:cs="Arial"/>
        </w:rPr>
      </w:pPr>
    </w:p>
    <w:p w14:paraId="37B205C9" w14:textId="6482F05C" w:rsidR="004D3503" w:rsidRPr="003E15F2" w:rsidRDefault="003E15F2"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2.2.4. </w:t>
      </w:r>
      <w:r w:rsidR="004D3503" w:rsidRPr="003E15F2">
        <w:rPr>
          <w:rFonts w:ascii="Arial" w:hAnsi="Arial" w:cs="Arial"/>
          <w:sz w:val="20"/>
          <w:szCs w:val="20"/>
          <w:u w:val="single"/>
        </w:rPr>
        <w:t>Assessment of fungitoxicity</w:t>
      </w:r>
    </w:p>
    <w:p w14:paraId="4394B122" w14:textId="4C289448" w:rsidR="004D3503" w:rsidRPr="00032B6C" w:rsidRDefault="004D3503" w:rsidP="004D3503">
      <w:pPr>
        <w:jc w:val="both"/>
        <w:rPr>
          <w:rFonts w:ascii="Arial" w:hAnsi="Arial" w:cs="Arial"/>
        </w:rPr>
      </w:pPr>
      <w:r w:rsidRPr="00032B6C">
        <w:rPr>
          <w:rFonts w:ascii="Arial" w:hAnsi="Arial" w:cs="Arial"/>
        </w:rPr>
        <w:t xml:space="preserve">To assess fungitoxicity, fungal plugs from treatments </w:t>
      </w:r>
      <w:r w:rsidR="0008116F" w:rsidRPr="00032B6C">
        <w:rPr>
          <w:rFonts w:ascii="Arial" w:hAnsi="Arial" w:cs="Arial"/>
        </w:rPr>
        <w:t>that showed complete growth inhibition were transferred to fresh PDA medium</w:t>
      </w:r>
      <w:r w:rsidRPr="00032B6C">
        <w:rPr>
          <w:rFonts w:ascii="Arial" w:hAnsi="Arial" w:cs="Arial"/>
        </w:rPr>
        <w:t xml:space="preserve"> without fungicide. If mycelial regrowth occurred, the fungicide was considered fungistatic (growth inhibition without cell death). Conversely, the absence of regrowth indicated fungitoxic activity, implying lethal effects on the pathogen (Silué, 2019).</w:t>
      </w:r>
    </w:p>
    <w:p w14:paraId="09BB2C37" w14:textId="77777777" w:rsidR="00E01F08" w:rsidRPr="004D3503" w:rsidRDefault="00E01F08" w:rsidP="004D3503">
      <w:pPr>
        <w:jc w:val="both"/>
        <w:rPr>
          <w:rFonts w:ascii="Arial" w:hAnsi="Arial" w:cs="Arial"/>
        </w:rPr>
      </w:pPr>
    </w:p>
    <w:p w14:paraId="3A5C3946" w14:textId="23F35093" w:rsidR="004D3503" w:rsidRPr="00E01F08" w:rsidRDefault="00E01F08"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2.2.5. </w:t>
      </w:r>
      <w:r w:rsidR="004D3503" w:rsidRPr="00E01F08">
        <w:rPr>
          <w:rFonts w:ascii="Arial" w:hAnsi="Arial" w:cs="Arial"/>
          <w:sz w:val="20"/>
          <w:szCs w:val="20"/>
          <w:u w:val="single"/>
        </w:rPr>
        <w:t>Evaluation of fungal sporulation</w:t>
      </w:r>
    </w:p>
    <w:p w14:paraId="7F0DF6B0" w14:textId="77777777" w:rsidR="004D3503" w:rsidRDefault="004D3503" w:rsidP="004D3503">
      <w:pPr>
        <w:jc w:val="both"/>
        <w:rPr>
          <w:rFonts w:ascii="Arial" w:hAnsi="Arial" w:cs="Arial"/>
        </w:rPr>
      </w:pPr>
      <w:r w:rsidRPr="004D3503">
        <w:rPr>
          <w:rFonts w:ascii="Arial" w:hAnsi="Arial" w:cs="Arial"/>
        </w:rPr>
        <w:t>The impact of fungicides on spore production was evaluated using the method of Tonon et al. (2017). From each Petri dish previously used for mycelial growth measurements, three mycelial discs (6 mm diameter) were excised and placed into test tubes containing 3 mL of sterile distilled water. The tubes were vortexed for 15 seconds to dislodge conidia, and the suspensions were filtered through muslin to remove mycelial fragments.</w:t>
      </w:r>
    </w:p>
    <w:p w14:paraId="5921D2A9" w14:textId="77777777" w:rsidR="007F44B4" w:rsidRPr="004D3503" w:rsidRDefault="007F44B4" w:rsidP="004D3503">
      <w:pPr>
        <w:jc w:val="both"/>
        <w:rPr>
          <w:rFonts w:ascii="Arial" w:hAnsi="Arial" w:cs="Arial"/>
        </w:rPr>
      </w:pPr>
    </w:p>
    <w:p w14:paraId="55BDA9FC" w14:textId="77777777" w:rsidR="004D3503" w:rsidRPr="004D3503" w:rsidRDefault="004D3503" w:rsidP="004D3503">
      <w:pPr>
        <w:jc w:val="both"/>
        <w:rPr>
          <w:rFonts w:ascii="Arial" w:hAnsi="Arial" w:cs="Arial"/>
        </w:rPr>
      </w:pPr>
      <w:r w:rsidRPr="004D3503">
        <w:rPr>
          <w:rFonts w:ascii="Arial" w:hAnsi="Arial" w:cs="Arial"/>
        </w:rPr>
        <w:t xml:space="preserve">Spore density was quantified using a </w:t>
      </w:r>
      <w:proofErr w:type="spellStart"/>
      <w:r w:rsidRPr="004D3503">
        <w:rPr>
          <w:rFonts w:ascii="Arial" w:hAnsi="Arial" w:cs="Arial"/>
        </w:rPr>
        <w:t>Malassez</w:t>
      </w:r>
      <w:proofErr w:type="spellEnd"/>
      <w:r w:rsidRPr="004D3503">
        <w:rPr>
          <w:rFonts w:ascii="Arial" w:hAnsi="Arial" w:cs="Arial"/>
        </w:rPr>
        <w:t xml:space="preserve"> counting chamber. Three counts were made per suspension, and the mean number of spores per mL was calculated. The percentage inhibition of sporulation (PIs) was determined as follows (Leroux &amp; Gredet, 1978):</w:t>
      </w:r>
    </w:p>
    <w:p w14:paraId="682EFFB0" w14:textId="77777777" w:rsidR="004D3503" w:rsidRPr="004D3503" w:rsidRDefault="004D3503" w:rsidP="004D3503">
      <w:pPr>
        <w:jc w:val="both"/>
        <w:rPr>
          <w:rFonts w:ascii="Arial" w:eastAsiaTheme="minorEastAsia" w:hAnsi="Arial" w:cs="Arial"/>
        </w:rPr>
      </w:pPr>
      <m:oMathPara>
        <m:oMathParaPr>
          <m:jc m:val="center"/>
        </m:oMathParaPr>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s</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N</m:t>
                  </m:r>
                </m:e>
                <m:sub>
                  <m:r>
                    <w:rPr>
                      <w:rFonts w:ascii="Cambria Math" w:hAnsi="Cambria Math" w:cs="Arial"/>
                    </w:rPr>
                    <m:t>ms</m:t>
                  </m:r>
                </m:sub>
              </m:sSub>
              <m: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se</m:t>
                  </m:r>
                </m:sub>
              </m:sSub>
            </m:num>
            <m:den>
              <m:sSub>
                <m:sSubPr>
                  <m:ctrlPr>
                    <w:rPr>
                      <w:rFonts w:ascii="Cambria Math" w:hAnsi="Cambria Math" w:cs="Arial"/>
                    </w:rPr>
                  </m:ctrlPr>
                </m:sSubPr>
                <m:e>
                  <m:r>
                    <w:rPr>
                      <w:rFonts w:ascii="Cambria Math" w:hAnsi="Cambria Math" w:cs="Arial"/>
                    </w:rPr>
                    <m:t>N</m:t>
                  </m:r>
                </m:e>
                <m:sub>
                  <m:r>
                    <w:rPr>
                      <w:rFonts w:ascii="Cambria Math" w:hAnsi="Cambria Math" w:cs="Arial"/>
                    </w:rPr>
                    <m:t>ms</m:t>
                  </m:r>
                </m:sub>
              </m:sSub>
            </m:den>
          </m:f>
        </m:oMath>
      </m:oMathPara>
    </w:p>
    <w:p w14:paraId="6E13E64A" w14:textId="77777777" w:rsidR="004D3503" w:rsidRPr="004D3503" w:rsidRDefault="004D3503" w:rsidP="004D3503">
      <w:pPr>
        <w:jc w:val="center"/>
        <w:rPr>
          <w:rFonts w:ascii="Arial" w:hAnsi="Arial" w:cs="Arial"/>
        </w:rPr>
      </w:pPr>
      <w:r w:rsidRPr="004D3503">
        <w:rPr>
          <w:rFonts w:ascii="Arial" w:eastAsiaTheme="minorEastAsia" w:hAnsi="Arial" w:cs="Arial"/>
        </w:rPr>
        <w:t>(2)</w:t>
      </w:r>
    </w:p>
    <w:p w14:paraId="0C769F8B" w14:textId="77777777" w:rsidR="004D3503" w:rsidRDefault="004D3503" w:rsidP="004D3503">
      <w:pPr>
        <w:jc w:val="both"/>
        <w:rPr>
          <w:rFonts w:ascii="Arial" w:hAnsi="Arial" w:cs="Arial"/>
        </w:rPr>
      </w:pPr>
      <w:r w:rsidRPr="004D3503">
        <w:rPr>
          <w:rFonts w:ascii="Arial" w:hAnsi="Arial" w:cs="Arial"/>
        </w:rPr>
        <w:t xml:space="preserve">where </w:t>
      </w:r>
      <w:r w:rsidRPr="004D3503">
        <w:rPr>
          <w:rFonts w:ascii="Arial" w:hAnsi="Arial" w:cs="Arial"/>
          <w:i/>
          <w:iCs/>
        </w:rPr>
        <w:t>N</w:t>
      </w:r>
      <w:r w:rsidRPr="004D3503">
        <w:rPr>
          <w:rFonts w:ascii="Cambria Math" w:hAnsi="Cambria Math" w:cs="Cambria Math"/>
          <w:i/>
          <w:iCs/>
        </w:rPr>
        <w:t>ₘₛ</w:t>
      </w:r>
      <w:r w:rsidRPr="004D3503">
        <w:rPr>
          <w:rFonts w:ascii="Arial" w:hAnsi="Arial" w:cs="Arial"/>
        </w:rPr>
        <w:t xml:space="preserve"> represents the mean spore number in the control and </w:t>
      </w:r>
      <w:r w:rsidRPr="004D3503">
        <w:rPr>
          <w:rFonts w:ascii="Arial" w:hAnsi="Arial" w:cs="Arial"/>
          <w:i/>
          <w:iCs/>
        </w:rPr>
        <w:t>N</w:t>
      </w:r>
      <w:r w:rsidRPr="004D3503">
        <w:rPr>
          <w:rFonts w:ascii="Cambria Math" w:hAnsi="Cambria Math" w:cs="Cambria Math"/>
          <w:i/>
          <w:iCs/>
        </w:rPr>
        <w:t>ₛ</w:t>
      </w:r>
      <w:r w:rsidRPr="004D3503">
        <w:rPr>
          <w:rFonts w:ascii="Arial" w:hAnsi="Arial" w:cs="Arial"/>
          <w:i/>
          <w:iCs/>
        </w:rPr>
        <w:t>ₑ</w:t>
      </w:r>
      <w:r w:rsidRPr="004D3503">
        <w:rPr>
          <w:rFonts w:ascii="Arial" w:hAnsi="Arial" w:cs="Arial"/>
        </w:rPr>
        <w:t xml:space="preserve"> the mean spore number in the presence of fungicide.</w:t>
      </w:r>
    </w:p>
    <w:p w14:paraId="3C1E1848" w14:textId="77777777" w:rsidR="00E01F08" w:rsidRPr="004D3503" w:rsidRDefault="00E01F08" w:rsidP="004D3503">
      <w:pPr>
        <w:jc w:val="both"/>
        <w:rPr>
          <w:rFonts w:ascii="Arial" w:hAnsi="Arial" w:cs="Arial"/>
        </w:rPr>
      </w:pPr>
    </w:p>
    <w:p w14:paraId="3DD3584F" w14:textId="654A1B3C" w:rsidR="004D3503" w:rsidRPr="00E01F08" w:rsidRDefault="00C36AA7"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2.2.6. </w:t>
      </w:r>
      <w:r w:rsidR="004D3503" w:rsidRPr="00E01F08">
        <w:rPr>
          <w:rFonts w:ascii="Arial" w:hAnsi="Arial" w:cs="Arial"/>
          <w:sz w:val="20"/>
          <w:szCs w:val="20"/>
          <w:u w:val="single"/>
        </w:rPr>
        <w:t>Evaluation of spore germination</w:t>
      </w:r>
    </w:p>
    <w:p w14:paraId="6FEFAD1B" w14:textId="23C015B3" w:rsidR="004D3503" w:rsidRDefault="004D3503" w:rsidP="004D3503">
      <w:pPr>
        <w:jc w:val="both"/>
        <w:rPr>
          <w:rFonts w:ascii="Arial" w:hAnsi="Arial" w:cs="Arial"/>
        </w:rPr>
      </w:pPr>
      <w:r w:rsidRPr="004D3503">
        <w:rPr>
          <w:rFonts w:ascii="Arial" w:hAnsi="Arial" w:cs="Arial"/>
        </w:rPr>
        <w:t xml:space="preserve">Spore germination assays were conducted by spreading 0.1 mL of spore suspension onto PDA media amended with different concentrations of each fungicide. Controls were prepared without fungicide. </w:t>
      </w:r>
      <w:r w:rsidR="0008116F">
        <w:rPr>
          <w:rFonts w:ascii="Arial" w:hAnsi="Arial" w:cs="Arial"/>
        </w:rPr>
        <w:t>The plates were incubated at 28 °C in the dark for 48 hours</w:t>
      </w:r>
      <w:r w:rsidRPr="004D3503">
        <w:rPr>
          <w:rFonts w:ascii="Arial" w:hAnsi="Arial" w:cs="Arial"/>
        </w:rPr>
        <w:t xml:space="preserve">. Germinated and non-germinated spores were counted microscopically </w:t>
      </w:r>
      <w:r w:rsidRPr="00950FA7">
        <w:rPr>
          <w:rFonts w:ascii="Arial" w:hAnsi="Arial" w:cs="Arial"/>
          <w:highlight w:val="yellow"/>
        </w:rPr>
        <w:t>(Nana et al., 2023).</w:t>
      </w:r>
      <w:r w:rsidRPr="004D3503">
        <w:rPr>
          <w:rFonts w:ascii="Arial" w:hAnsi="Arial" w:cs="Arial"/>
        </w:rPr>
        <w:t xml:space="preserve"> A </w:t>
      </w:r>
      <w:r w:rsidRPr="004D3503">
        <w:rPr>
          <w:rFonts w:ascii="Arial" w:hAnsi="Arial" w:cs="Arial"/>
        </w:rPr>
        <w:lastRenderedPageBreak/>
        <w:t>spore was considered germinated when the germ tube length reached at least 10 µm (Mlaiki, 1970).</w:t>
      </w:r>
    </w:p>
    <w:p w14:paraId="72669251" w14:textId="77777777" w:rsidR="007F44B4" w:rsidRPr="004D3503" w:rsidRDefault="007F44B4" w:rsidP="004D3503">
      <w:pPr>
        <w:jc w:val="both"/>
        <w:rPr>
          <w:rFonts w:ascii="Arial" w:hAnsi="Arial" w:cs="Arial"/>
        </w:rPr>
      </w:pPr>
    </w:p>
    <w:p w14:paraId="58D0DFEA" w14:textId="77777777" w:rsidR="004D3503" w:rsidRPr="004D3503" w:rsidRDefault="004D3503" w:rsidP="004D3503">
      <w:pPr>
        <w:jc w:val="both"/>
        <w:rPr>
          <w:rFonts w:ascii="Arial" w:hAnsi="Arial" w:cs="Arial"/>
        </w:rPr>
      </w:pPr>
      <w:r w:rsidRPr="004D3503">
        <w:rPr>
          <w:rFonts w:ascii="Arial" w:hAnsi="Arial" w:cs="Arial"/>
        </w:rPr>
        <w:t>The inhibition percentage of spore germination (PIg) was calculated using the formula of Leroux and Gredet (1978):</w:t>
      </w:r>
    </w:p>
    <w:p w14:paraId="602AFEA1" w14:textId="77777777" w:rsidR="004D3503" w:rsidRPr="004D3503" w:rsidRDefault="004D3503" w:rsidP="004D3503">
      <w:pPr>
        <w:jc w:val="both"/>
        <w:rPr>
          <w:rFonts w:ascii="Arial" w:eastAsiaTheme="minorEastAsia" w:hAnsi="Arial" w:cs="Arial"/>
        </w:rPr>
      </w:pPr>
      <m:oMathPara>
        <m:oMathParaPr>
          <m:jc m:val="center"/>
        </m:oMathParaPr>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g</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N</m:t>
                  </m:r>
                </m:e>
                <m:sub>
                  <m:r>
                    <w:rPr>
                      <w:rFonts w:ascii="Cambria Math" w:hAnsi="Cambria Math" w:cs="Arial"/>
                    </w:rPr>
                    <m:t>o</m:t>
                  </m:r>
                </m:sub>
              </m:sSub>
              <m: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c</m:t>
                  </m:r>
                </m:sub>
              </m:sSub>
            </m:num>
            <m:den>
              <m:sSub>
                <m:sSubPr>
                  <m:ctrlPr>
                    <w:rPr>
                      <w:rFonts w:ascii="Cambria Math" w:hAnsi="Cambria Math" w:cs="Arial"/>
                    </w:rPr>
                  </m:ctrlPr>
                </m:sSubPr>
                <m:e>
                  <m:r>
                    <w:rPr>
                      <w:rFonts w:ascii="Cambria Math" w:hAnsi="Cambria Math" w:cs="Arial"/>
                    </w:rPr>
                    <m:t>N</m:t>
                  </m:r>
                </m:e>
                <m:sub>
                  <m:r>
                    <w:rPr>
                      <w:rFonts w:ascii="Cambria Math" w:hAnsi="Cambria Math" w:cs="Arial"/>
                    </w:rPr>
                    <m:t>o</m:t>
                  </m:r>
                </m:sub>
              </m:sSub>
            </m:den>
          </m:f>
        </m:oMath>
      </m:oMathPara>
    </w:p>
    <w:p w14:paraId="6C775288" w14:textId="77777777" w:rsidR="004D3503" w:rsidRPr="004D3503" w:rsidRDefault="004D3503" w:rsidP="004D3503">
      <w:pPr>
        <w:jc w:val="center"/>
        <w:rPr>
          <w:rFonts w:ascii="Arial" w:hAnsi="Arial" w:cs="Arial"/>
        </w:rPr>
      </w:pPr>
      <w:r w:rsidRPr="004D3503">
        <w:rPr>
          <w:rFonts w:ascii="Arial" w:eastAsiaTheme="minorEastAsia" w:hAnsi="Arial" w:cs="Arial"/>
        </w:rPr>
        <w:t>(3)</w:t>
      </w:r>
    </w:p>
    <w:p w14:paraId="38A628C3" w14:textId="396E50FB" w:rsidR="004D3503" w:rsidRPr="004D3503" w:rsidRDefault="004D3503" w:rsidP="004D3503">
      <w:pPr>
        <w:jc w:val="both"/>
        <w:rPr>
          <w:rFonts w:ascii="Arial" w:hAnsi="Arial" w:cs="Arial"/>
        </w:rPr>
      </w:pPr>
      <w:r w:rsidRPr="004D3503">
        <w:rPr>
          <w:rFonts w:ascii="Arial" w:hAnsi="Arial" w:cs="Arial"/>
        </w:rPr>
        <w:t xml:space="preserve">where </w:t>
      </w:r>
      <w:r w:rsidRPr="004D3503">
        <w:rPr>
          <w:rFonts w:ascii="Arial" w:hAnsi="Arial" w:cs="Arial"/>
          <w:i/>
          <w:iCs/>
        </w:rPr>
        <w:t>Nₒ</w:t>
      </w:r>
      <w:r w:rsidRPr="004D3503">
        <w:rPr>
          <w:rFonts w:ascii="Arial" w:hAnsi="Arial" w:cs="Arial"/>
        </w:rPr>
        <w:t xml:space="preserve"> is the number of germinated spores in the control and </w:t>
      </w:r>
      <w:r w:rsidRPr="004D3503">
        <w:rPr>
          <w:rFonts w:ascii="Arial" w:hAnsi="Arial" w:cs="Arial"/>
          <w:i/>
          <w:iCs/>
        </w:rPr>
        <w:t>Nc</w:t>
      </w:r>
      <w:r w:rsidRPr="004D3503">
        <w:rPr>
          <w:rFonts w:ascii="Arial" w:hAnsi="Arial" w:cs="Arial"/>
        </w:rPr>
        <w:t xml:space="preserve"> </w:t>
      </w:r>
      <w:r w:rsidR="0008116F">
        <w:rPr>
          <w:rFonts w:ascii="Arial" w:hAnsi="Arial" w:cs="Arial"/>
        </w:rPr>
        <w:t xml:space="preserve">is </w:t>
      </w:r>
      <w:r w:rsidRPr="004D3503">
        <w:rPr>
          <w:rFonts w:ascii="Arial" w:hAnsi="Arial" w:cs="Arial"/>
        </w:rPr>
        <w:t xml:space="preserve">the number of germinated spores in the presence of fungicide concentration </w:t>
      </w:r>
      <w:r w:rsidRPr="004D3503">
        <w:rPr>
          <w:rFonts w:ascii="Arial" w:hAnsi="Arial" w:cs="Arial"/>
          <w:i/>
          <w:iCs/>
        </w:rPr>
        <w:t>c</w:t>
      </w:r>
      <w:r w:rsidRPr="004D3503">
        <w:rPr>
          <w:rFonts w:ascii="Arial" w:hAnsi="Arial" w:cs="Arial"/>
        </w:rPr>
        <w:t>.</w:t>
      </w:r>
    </w:p>
    <w:p w14:paraId="23D1772B" w14:textId="7104B49D" w:rsidR="00CC2982" w:rsidRDefault="00CC2982" w:rsidP="00CC2982">
      <w:pPr>
        <w:jc w:val="both"/>
        <w:rPr>
          <w:rFonts w:ascii="Arial" w:hAnsi="Arial" w:cs="Arial"/>
        </w:rPr>
      </w:pPr>
    </w:p>
    <w:p w14:paraId="166556F8" w14:textId="687ED5E4" w:rsidR="009551B3" w:rsidRPr="009551B3" w:rsidRDefault="00C02112" w:rsidP="009551B3">
      <w:pPr>
        <w:pStyle w:val="Heading2"/>
      </w:pPr>
      <w:r>
        <w:t xml:space="preserve">2.3. </w:t>
      </w:r>
      <w:r w:rsidR="009551B3" w:rsidRPr="009551B3">
        <w:t>Classification of fungicides according to their levels of efficacy</w:t>
      </w:r>
    </w:p>
    <w:p w14:paraId="48C620AA" w14:textId="06AC0096" w:rsidR="009551B3" w:rsidRDefault="009551B3" w:rsidP="009551B3">
      <w:pPr>
        <w:jc w:val="both"/>
        <w:rPr>
          <w:rFonts w:ascii="Arial" w:hAnsi="Arial" w:cs="Arial"/>
        </w:rPr>
      </w:pPr>
      <w:r w:rsidRPr="009551B3">
        <w:rPr>
          <w:rFonts w:ascii="Arial" w:hAnsi="Arial" w:cs="Arial"/>
        </w:rPr>
        <w:t xml:space="preserve">The percentages of inhibition of mycelial growth, sporulation, and spore germination were </w:t>
      </w:r>
      <w:r w:rsidR="00360A9A">
        <w:rPr>
          <w:rFonts w:ascii="Arial" w:hAnsi="Arial" w:cs="Arial"/>
        </w:rPr>
        <w:t>converted into probit values to facilitate a</w:t>
      </w:r>
      <w:r w:rsidRPr="009551B3">
        <w:rPr>
          <w:rFonts w:ascii="Arial" w:hAnsi="Arial" w:cs="Arial"/>
        </w:rPr>
        <w:t xml:space="preserve"> quantitative comparison of fungicide efficacy. Regression equations were then established for each fungicide–pathogen combination using the model </w:t>
      </w:r>
      <m:oMath>
        <m:r>
          <w:rPr>
            <w:rFonts w:ascii="Cambria Math" w:hAnsi="Cambria Math" w:cs="Arial"/>
          </w:rPr>
          <m:t>y=a</m:t>
        </m:r>
        <m:r>
          <m:rPr>
            <m:sty m:val="p"/>
          </m:rPr>
          <w:rPr>
            <w:rFonts w:ascii="Cambria Math" w:hAnsi="Cambria Math" w:cs="Arial"/>
          </w:rPr>
          <m:t>log</m:t>
        </m:r>
        <m:r>
          <w:rPr>
            <w:rFonts w:ascii="Cambria Math" w:hAnsi="Cambria Math" w:cs="Arial"/>
          </w:rPr>
          <m:t>⁡x+b</m:t>
        </m:r>
      </m:oMath>
      <w:r w:rsidRPr="009551B3">
        <w:rPr>
          <w:rFonts w:ascii="Arial" w:hAnsi="Arial" w:cs="Arial"/>
        </w:rPr>
        <w:t xml:space="preserve">, where </w:t>
      </w:r>
      <w:r w:rsidRPr="009551B3">
        <w:rPr>
          <w:rFonts w:ascii="Arial" w:hAnsi="Arial" w:cs="Arial"/>
          <w:i/>
          <w:iCs/>
        </w:rPr>
        <w:t>y</w:t>
      </w:r>
      <w:r w:rsidRPr="009551B3">
        <w:rPr>
          <w:rFonts w:ascii="Arial" w:hAnsi="Arial" w:cs="Arial"/>
        </w:rPr>
        <w:t xml:space="preserve"> represents the probit value, </w:t>
      </w:r>
      <w:r w:rsidRPr="009551B3">
        <w:rPr>
          <w:rFonts w:ascii="Arial" w:hAnsi="Arial" w:cs="Arial"/>
          <w:i/>
          <w:iCs/>
        </w:rPr>
        <w:t>a</w:t>
      </w:r>
      <w:r w:rsidRPr="009551B3">
        <w:rPr>
          <w:rFonts w:ascii="Arial" w:hAnsi="Arial" w:cs="Arial"/>
        </w:rPr>
        <w:t xml:space="preserve"> the regression coefficient, </w:t>
      </w:r>
      <w:r w:rsidRPr="009551B3">
        <w:rPr>
          <w:rFonts w:ascii="Arial" w:hAnsi="Arial" w:cs="Arial"/>
          <w:i/>
          <w:iCs/>
        </w:rPr>
        <w:t>b</w:t>
      </w:r>
      <w:r w:rsidRPr="009551B3">
        <w:rPr>
          <w:rFonts w:ascii="Arial" w:hAnsi="Arial" w:cs="Arial"/>
        </w:rPr>
        <w:t xml:space="preserve"> a constant, and </w:t>
      </w:r>
      <w:r w:rsidRPr="009551B3">
        <w:rPr>
          <w:rFonts w:ascii="Arial" w:hAnsi="Arial" w:cs="Arial"/>
          <w:i/>
          <w:iCs/>
        </w:rPr>
        <w:t>x</w:t>
      </w:r>
      <w:r w:rsidRPr="009551B3">
        <w:rPr>
          <w:rFonts w:ascii="Arial" w:hAnsi="Arial" w:cs="Arial"/>
        </w:rPr>
        <w:t xml:space="preserve"> the fungicide concentration expressed as a decimal logarithm.</w:t>
      </w:r>
    </w:p>
    <w:p w14:paraId="303609F5" w14:textId="77777777" w:rsidR="007F44B4" w:rsidRPr="009551B3" w:rsidRDefault="007F44B4" w:rsidP="009551B3">
      <w:pPr>
        <w:jc w:val="both"/>
        <w:rPr>
          <w:rFonts w:ascii="Arial" w:hAnsi="Arial" w:cs="Arial"/>
        </w:rPr>
      </w:pPr>
    </w:p>
    <w:p w14:paraId="73DFF8EA" w14:textId="77777777" w:rsidR="009551B3" w:rsidRDefault="009551B3" w:rsidP="009551B3">
      <w:pPr>
        <w:jc w:val="both"/>
        <w:rPr>
          <w:rFonts w:ascii="Arial" w:hAnsi="Arial" w:cs="Arial"/>
        </w:rPr>
      </w:pPr>
      <w:r w:rsidRPr="00450E04">
        <w:rPr>
          <w:rFonts w:ascii="Arial" w:hAnsi="Arial" w:cs="Arial"/>
        </w:rPr>
        <w:t>From these regression lines, the LC</w:t>
      </w:r>
      <w:r w:rsidRPr="00450E04">
        <w:rPr>
          <w:rFonts w:ascii="Cambria Math" w:hAnsi="Cambria Math" w:cs="Cambria Math"/>
        </w:rPr>
        <w:t>₅₀</w:t>
      </w:r>
      <w:r w:rsidRPr="00450E04">
        <w:rPr>
          <w:rFonts w:ascii="Arial" w:hAnsi="Arial" w:cs="Arial"/>
        </w:rPr>
        <w:t xml:space="preserve"> and LC</w:t>
      </w:r>
      <w:r w:rsidRPr="00450E04">
        <w:rPr>
          <w:rFonts w:ascii="Cambria Math" w:hAnsi="Cambria Math" w:cs="Cambria Math"/>
        </w:rPr>
        <w:t>₉₀</w:t>
      </w:r>
      <w:r w:rsidRPr="00450E04">
        <w:rPr>
          <w:rFonts w:ascii="Arial" w:hAnsi="Arial" w:cs="Arial"/>
        </w:rPr>
        <w:t xml:space="preserve"> values—corresponding respectively to the</w:t>
      </w:r>
      <w:r w:rsidRPr="009551B3">
        <w:rPr>
          <w:rFonts w:ascii="Arial" w:hAnsi="Arial" w:cs="Arial"/>
        </w:rPr>
        <w:t xml:space="preserve"> concentrations of fungicide causing 50% and 90% reduction of fungal mycelial growth—were determined by graphical projection. These values provided an estimation of the isolate’s sensitivity or resistance to each fungicide.</w:t>
      </w:r>
    </w:p>
    <w:p w14:paraId="6C07D0F0" w14:textId="77777777" w:rsidR="007F44B4" w:rsidRPr="009551B3" w:rsidRDefault="007F44B4" w:rsidP="009551B3">
      <w:pPr>
        <w:jc w:val="both"/>
        <w:rPr>
          <w:rFonts w:ascii="Arial" w:hAnsi="Arial" w:cs="Arial"/>
        </w:rPr>
      </w:pPr>
    </w:p>
    <w:p w14:paraId="725D1D12" w14:textId="77777777" w:rsidR="009551B3" w:rsidRDefault="009551B3" w:rsidP="009551B3">
      <w:pPr>
        <w:jc w:val="both"/>
        <w:rPr>
          <w:rFonts w:ascii="Arial" w:hAnsi="Arial" w:cs="Arial"/>
        </w:rPr>
      </w:pPr>
      <w:r w:rsidRPr="009551B3">
        <w:rPr>
          <w:rFonts w:ascii="Arial" w:hAnsi="Arial" w:cs="Arial"/>
        </w:rPr>
        <w:t>The classification of fungicide efficacy was based on the scale proposed by Kumar et al. (2007), with minor modifications to fit the current study (Table 5). This classification distinguishes five levels of fungal sensitivity and corresponding degrees of fungicide performance.</w:t>
      </w:r>
    </w:p>
    <w:p w14:paraId="47245AB4" w14:textId="77777777" w:rsidR="00C02112" w:rsidRPr="009551B3" w:rsidRDefault="00C02112" w:rsidP="009551B3">
      <w:pPr>
        <w:jc w:val="both"/>
        <w:rPr>
          <w:rFonts w:ascii="Arial" w:hAnsi="Arial" w:cs="Arial"/>
        </w:rPr>
      </w:pPr>
    </w:p>
    <w:p w14:paraId="79312350" w14:textId="77777777" w:rsidR="009551B3" w:rsidRDefault="009551B3" w:rsidP="009551B3">
      <w:pPr>
        <w:jc w:val="both"/>
        <w:rPr>
          <w:rFonts w:ascii="Arial" w:hAnsi="Arial" w:cs="Arial"/>
        </w:rPr>
      </w:pPr>
      <w:r w:rsidRPr="009551B3">
        <w:rPr>
          <w:rFonts w:ascii="Arial" w:hAnsi="Arial" w:cs="Arial"/>
          <w:b/>
          <w:bCs/>
        </w:rPr>
        <w:t xml:space="preserve">Table 5. </w:t>
      </w:r>
      <w:r w:rsidRPr="009551B3">
        <w:rPr>
          <w:rFonts w:ascii="Arial" w:hAnsi="Arial" w:cs="Arial"/>
        </w:rPr>
        <w:t>Classification of fungicide efficacy according to the modified scale of Kumar et al. (2007)</w:t>
      </w:r>
    </w:p>
    <w:p w14:paraId="0AB2AA7A" w14:textId="77777777" w:rsidR="00C02112" w:rsidRPr="009551B3" w:rsidRDefault="00C02112" w:rsidP="009551B3">
      <w:pPr>
        <w:jc w:val="both"/>
        <w:rPr>
          <w:rFonts w:ascii="Arial" w:hAnsi="Arial" w:cs="Arial"/>
        </w:rPr>
      </w:pPr>
    </w:p>
    <w:tbl>
      <w:tblPr>
        <w:tblStyle w:val="GridTable1Light"/>
        <w:tblW w:w="4936" w:type="pct"/>
        <w:tblLook w:val="04A0" w:firstRow="1" w:lastRow="0" w:firstColumn="1" w:lastColumn="0" w:noHBand="0" w:noVBand="1"/>
      </w:tblPr>
      <w:tblGrid>
        <w:gridCol w:w="883"/>
        <w:gridCol w:w="2769"/>
        <w:gridCol w:w="2317"/>
        <w:gridCol w:w="2347"/>
      </w:tblGrid>
      <w:tr w:rsidR="009551B3" w:rsidRPr="009551B3" w14:paraId="56EE29DD"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6D24A3EE"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Ladder</w:t>
            </w:r>
          </w:p>
        </w:tc>
        <w:tc>
          <w:tcPr>
            <w:tcW w:w="1666" w:type="pct"/>
            <w:vAlign w:val="center"/>
            <w:hideMark/>
          </w:tcPr>
          <w:p w14:paraId="31B1C2A5"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Mycelial growth inhibition rate classes I (%)</w:t>
            </w:r>
          </w:p>
        </w:tc>
        <w:tc>
          <w:tcPr>
            <w:tcW w:w="1394" w:type="pct"/>
            <w:vAlign w:val="center"/>
            <w:hideMark/>
          </w:tcPr>
          <w:p w14:paraId="0B84FE0D"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Levels of fungal sensitivity/resistance</w:t>
            </w:r>
          </w:p>
        </w:tc>
        <w:tc>
          <w:tcPr>
            <w:tcW w:w="1412" w:type="pct"/>
            <w:vAlign w:val="center"/>
            <w:hideMark/>
          </w:tcPr>
          <w:p w14:paraId="0812DE7E"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Levels of fungicide efficacy</w:t>
            </w:r>
          </w:p>
        </w:tc>
      </w:tr>
      <w:tr w:rsidR="009551B3" w:rsidRPr="009551B3" w14:paraId="343F2D09"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09C8F5EE"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1</w:t>
            </w:r>
          </w:p>
        </w:tc>
        <w:tc>
          <w:tcPr>
            <w:tcW w:w="1666" w:type="pct"/>
            <w:vAlign w:val="center"/>
            <w:hideMark/>
          </w:tcPr>
          <w:p w14:paraId="7D8F5B7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I &gt; 90 %</w:t>
            </w:r>
          </w:p>
        </w:tc>
        <w:tc>
          <w:tcPr>
            <w:tcW w:w="1394" w:type="pct"/>
            <w:vAlign w:val="center"/>
            <w:hideMark/>
          </w:tcPr>
          <w:p w14:paraId="7FB5B4CE"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sensitive</w:t>
            </w:r>
          </w:p>
        </w:tc>
        <w:tc>
          <w:tcPr>
            <w:tcW w:w="1412" w:type="pct"/>
            <w:vAlign w:val="center"/>
            <w:hideMark/>
          </w:tcPr>
          <w:p w14:paraId="78E64056"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effective (+++)</w:t>
            </w:r>
          </w:p>
        </w:tc>
      </w:tr>
      <w:tr w:rsidR="009551B3" w:rsidRPr="009551B3" w14:paraId="39A29CB8"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76AF8D9B"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2</w:t>
            </w:r>
          </w:p>
        </w:tc>
        <w:tc>
          <w:tcPr>
            <w:tcW w:w="1666" w:type="pct"/>
            <w:vAlign w:val="center"/>
            <w:hideMark/>
          </w:tcPr>
          <w:p w14:paraId="47D85D42"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75 % &lt; I ≤ 90 %</w:t>
            </w:r>
          </w:p>
        </w:tc>
        <w:tc>
          <w:tcPr>
            <w:tcW w:w="1394" w:type="pct"/>
            <w:vAlign w:val="center"/>
            <w:hideMark/>
          </w:tcPr>
          <w:p w14:paraId="527E80D2"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Sensitive</w:t>
            </w:r>
          </w:p>
        </w:tc>
        <w:tc>
          <w:tcPr>
            <w:tcW w:w="1412" w:type="pct"/>
            <w:vAlign w:val="center"/>
            <w:hideMark/>
          </w:tcPr>
          <w:p w14:paraId="5A20DBF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Good efficiency ( ++ )</w:t>
            </w:r>
          </w:p>
        </w:tc>
      </w:tr>
      <w:tr w:rsidR="009551B3" w:rsidRPr="009551B3" w14:paraId="1685B1B4"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2E631576"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3</w:t>
            </w:r>
          </w:p>
        </w:tc>
        <w:tc>
          <w:tcPr>
            <w:tcW w:w="1666" w:type="pct"/>
            <w:vAlign w:val="center"/>
            <w:hideMark/>
          </w:tcPr>
          <w:p w14:paraId="2A3B28CF"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60 % &lt; I ≤ 75 %</w:t>
            </w:r>
          </w:p>
        </w:tc>
        <w:tc>
          <w:tcPr>
            <w:tcW w:w="1394" w:type="pct"/>
            <w:vAlign w:val="center"/>
            <w:hideMark/>
          </w:tcPr>
          <w:p w14:paraId="3A9957FA"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Moderately resistant</w:t>
            </w:r>
          </w:p>
        </w:tc>
        <w:tc>
          <w:tcPr>
            <w:tcW w:w="1412" w:type="pct"/>
            <w:vAlign w:val="center"/>
            <w:hideMark/>
          </w:tcPr>
          <w:p w14:paraId="27D0F64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Average efficiency ( + )</w:t>
            </w:r>
          </w:p>
        </w:tc>
      </w:tr>
      <w:tr w:rsidR="009551B3" w:rsidRPr="009551B3" w14:paraId="2F02F1AF"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21FF160B"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4</w:t>
            </w:r>
          </w:p>
        </w:tc>
        <w:tc>
          <w:tcPr>
            <w:tcW w:w="1666" w:type="pct"/>
            <w:vAlign w:val="center"/>
            <w:hideMark/>
          </w:tcPr>
          <w:p w14:paraId="51FD5AB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40 % &lt; I ≤ 60 %</w:t>
            </w:r>
          </w:p>
        </w:tc>
        <w:tc>
          <w:tcPr>
            <w:tcW w:w="1394" w:type="pct"/>
            <w:vAlign w:val="center"/>
            <w:hideMark/>
          </w:tcPr>
          <w:p w14:paraId="7F8D2910"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Resistant</w:t>
            </w:r>
          </w:p>
        </w:tc>
        <w:tc>
          <w:tcPr>
            <w:tcW w:w="1412" w:type="pct"/>
            <w:vAlign w:val="center"/>
            <w:hideMark/>
          </w:tcPr>
          <w:p w14:paraId="656D592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Low efficiency ( – )</w:t>
            </w:r>
          </w:p>
        </w:tc>
      </w:tr>
      <w:tr w:rsidR="009551B3" w:rsidRPr="009551B3" w14:paraId="67D878D4"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1EFE945A"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5</w:t>
            </w:r>
          </w:p>
        </w:tc>
        <w:tc>
          <w:tcPr>
            <w:tcW w:w="1666" w:type="pct"/>
            <w:vAlign w:val="center"/>
            <w:hideMark/>
          </w:tcPr>
          <w:p w14:paraId="278E090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I ≤ 40 %</w:t>
            </w:r>
          </w:p>
        </w:tc>
        <w:tc>
          <w:tcPr>
            <w:tcW w:w="1394" w:type="pct"/>
            <w:vAlign w:val="center"/>
            <w:hideMark/>
          </w:tcPr>
          <w:p w14:paraId="0EFC29B5"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resistant</w:t>
            </w:r>
          </w:p>
        </w:tc>
        <w:tc>
          <w:tcPr>
            <w:tcW w:w="1412" w:type="pct"/>
            <w:vAlign w:val="center"/>
            <w:hideMark/>
          </w:tcPr>
          <w:p w14:paraId="7AD8BD06"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Very low efficiency ( – )</w:t>
            </w:r>
          </w:p>
        </w:tc>
      </w:tr>
    </w:tbl>
    <w:p w14:paraId="76A03B59" w14:textId="77777777" w:rsidR="009551B3" w:rsidRPr="009551B3" w:rsidRDefault="009551B3" w:rsidP="009551B3">
      <w:pPr>
        <w:rPr>
          <w:rFonts w:ascii="Arial" w:hAnsi="Arial" w:cs="Arial"/>
        </w:rPr>
      </w:pPr>
    </w:p>
    <w:p w14:paraId="7C11B978" w14:textId="51A435BC" w:rsidR="009551B3" w:rsidRPr="00476DF8" w:rsidRDefault="00476DF8" w:rsidP="009551B3">
      <w:pPr>
        <w:pStyle w:val="Heading2"/>
      </w:pPr>
      <w:r>
        <w:t xml:space="preserve">2.4. </w:t>
      </w:r>
      <w:r w:rsidR="009551B3" w:rsidRPr="00476DF8">
        <w:t>Data analysis</w:t>
      </w:r>
    </w:p>
    <w:p w14:paraId="4F051F69" w14:textId="77777777" w:rsidR="009551B3" w:rsidRPr="00450E04" w:rsidRDefault="009551B3" w:rsidP="009551B3">
      <w:pPr>
        <w:jc w:val="both"/>
        <w:rPr>
          <w:rFonts w:ascii="Arial" w:hAnsi="Arial" w:cs="Arial"/>
        </w:rPr>
      </w:pPr>
      <w:r w:rsidRPr="00450E04">
        <w:rPr>
          <w:rFonts w:ascii="Arial" w:hAnsi="Arial" w:cs="Arial"/>
        </w:rPr>
        <w:t xml:space="preserve">Data on mycelial growth inhibition, sporulation, and spore germination of </w:t>
      </w:r>
      <w:r w:rsidRPr="00450E04">
        <w:rPr>
          <w:rFonts w:ascii="Arial" w:hAnsi="Arial" w:cs="Arial"/>
          <w:i/>
          <w:iCs/>
        </w:rPr>
        <w:t>Colletotrichum</w:t>
      </w:r>
      <w:r w:rsidRPr="00450E04">
        <w:rPr>
          <w:rFonts w:ascii="Arial" w:hAnsi="Arial" w:cs="Arial"/>
        </w:rPr>
        <w:t xml:space="preserve"> spp. and </w:t>
      </w:r>
      <w:r w:rsidRPr="00450E04">
        <w:rPr>
          <w:rFonts w:ascii="Arial" w:hAnsi="Arial" w:cs="Arial"/>
          <w:i/>
          <w:iCs/>
        </w:rPr>
        <w:t>Fusarium</w:t>
      </w:r>
      <w:r w:rsidRPr="00450E04">
        <w:rPr>
          <w:rFonts w:ascii="Arial" w:hAnsi="Arial" w:cs="Arial"/>
        </w:rPr>
        <w:t xml:space="preserve"> spp. were entered and pre-processed using Microsoft Excel 2016. Prior to statistical analysis, the Lilliefors test was applied to assess the normality of each dataset at a significance level of 5%.</w:t>
      </w:r>
    </w:p>
    <w:p w14:paraId="0208E92D" w14:textId="77777777" w:rsidR="007F44B4" w:rsidRPr="00450E04" w:rsidRDefault="007F44B4" w:rsidP="009551B3">
      <w:pPr>
        <w:jc w:val="both"/>
        <w:rPr>
          <w:rFonts w:ascii="Arial" w:hAnsi="Arial" w:cs="Arial"/>
        </w:rPr>
      </w:pPr>
    </w:p>
    <w:p w14:paraId="1292F1DD" w14:textId="3DBEDDA3" w:rsidR="009551B3" w:rsidRPr="00450E04" w:rsidRDefault="009551B3" w:rsidP="009551B3">
      <w:pPr>
        <w:jc w:val="both"/>
        <w:rPr>
          <w:rFonts w:ascii="Arial" w:hAnsi="Arial" w:cs="Arial"/>
        </w:rPr>
      </w:pPr>
      <w:r w:rsidRPr="00450E04">
        <w:rPr>
          <w:rFonts w:ascii="Arial" w:hAnsi="Arial" w:cs="Arial"/>
        </w:rPr>
        <w:t>Since most data did not follow a normal distribution, non-parametric analyses were performed using XLSTAT software (version 2016). Specifically, the Kruskal–</w:t>
      </w:r>
      <w:proofErr w:type="gramStart"/>
      <w:r w:rsidRPr="00450E04">
        <w:rPr>
          <w:rFonts w:ascii="Arial" w:hAnsi="Arial" w:cs="Arial"/>
        </w:rPr>
        <w:t>Wallis</w:t>
      </w:r>
      <w:proofErr w:type="gramEnd"/>
      <w:r w:rsidRPr="00450E04">
        <w:rPr>
          <w:rFonts w:ascii="Arial" w:hAnsi="Arial" w:cs="Arial"/>
        </w:rPr>
        <w:t xml:space="preserve"> test was used to compare inhibition rates, sporulation, and spore germination among treatments at the 5% significance level. When significant differences were detected, mean separation was carried out using the Conover–Iman post-hoc test at the same threshold.</w:t>
      </w:r>
    </w:p>
    <w:p w14:paraId="6C8983D0" w14:textId="77777777" w:rsidR="007F44B4" w:rsidRPr="00450E04" w:rsidRDefault="007F44B4" w:rsidP="009551B3">
      <w:pPr>
        <w:jc w:val="both"/>
        <w:rPr>
          <w:rFonts w:ascii="Arial" w:hAnsi="Arial" w:cs="Arial"/>
        </w:rPr>
      </w:pPr>
    </w:p>
    <w:p w14:paraId="6EE3B551" w14:textId="614B0620" w:rsidR="009551B3" w:rsidRPr="00450E04" w:rsidRDefault="009551B3" w:rsidP="009551B3">
      <w:pPr>
        <w:jc w:val="both"/>
        <w:rPr>
          <w:rFonts w:ascii="Arial" w:hAnsi="Arial" w:cs="Arial"/>
        </w:rPr>
      </w:pPr>
      <w:r w:rsidRPr="00450E04">
        <w:rPr>
          <w:rFonts w:ascii="Arial" w:hAnsi="Arial" w:cs="Arial"/>
        </w:rPr>
        <w:lastRenderedPageBreak/>
        <w:t>To further explore patterns of fungicidal performance, a Hierarchical Ascending Classification (HAC) was conducted to group fungicides according to their efficacy levels across the evaluated parameters.</w:t>
      </w:r>
    </w:p>
    <w:p w14:paraId="35D58530" w14:textId="77777777" w:rsidR="00CC2982" w:rsidRPr="00A74BCD" w:rsidRDefault="00CC2982" w:rsidP="00CC2982">
      <w:pPr>
        <w:spacing w:line="360" w:lineRule="auto"/>
        <w:rPr>
          <w:rFonts w:ascii="Arial" w:hAnsi="Arial" w:cs="Arial"/>
        </w:rPr>
      </w:pPr>
    </w:p>
    <w:p w14:paraId="2C1089A7" w14:textId="7336C410" w:rsidR="00902823" w:rsidRPr="00CC1677" w:rsidRDefault="00CC1677" w:rsidP="00CC1677">
      <w:pPr>
        <w:pStyle w:val="Heading1"/>
      </w:pPr>
      <w:r w:rsidRPr="00CC1677">
        <w:t>3. RESULTS AND DISCUSSION</w:t>
      </w:r>
    </w:p>
    <w:p w14:paraId="117D93C1" w14:textId="77777777" w:rsidR="00790ADA" w:rsidRPr="00FB3A86" w:rsidRDefault="00790ADA" w:rsidP="00441B6F">
      <w:pPr>
        <w:pStyle w:val="Head1"/>
        <w:spacing w:after="0"/>
        <w:jc w:val="both"/>
        <w:rPr>
          <w:rFonts w:ascii="Arial" w:hAnsi="Arial" w:cs="Arial"/>
        </w:rPr>
      </w:pPr>
    </w:p>
    <w:p w14:paraId="166B0AD1" w14:textId="464E69CE" w:rsidR="000A32BD" w:rsidRPr="00781742" w:rsidRDefault="00F04CDC" w:rsidP="000A32BD">
      <w:pPr>
        <w:pStyle w:val="Heading2"/>
      </w:pPr>
      <w:r w:rsidRPr="00CC1677">
        <w:t xml:space="preserve">3.1. </w:t>
      </w:r>
      <w:r w:rsidR="000A32BD" w:rsidRPr="00781742">
        <w:t xml:space="preserve">Effect of synthetic and biological fungicides on the in vitro growth of </w:t>
      </w:r>
      <w:r w:rsidR="000A32BD" w:rsidRPr="00781742">
        <w:rPr>
          <w:i/>
          <w:iCs/>
        </w:rPr>
        <w:t>Colletotrichum</w:t>
      </w:r>
      <w:r w:rsidR="000A32BD" w:rsidRPr="00781742">
        <w:t xml:space="preserve"> and </w:t>
      </w:r>
      <w:r w:rsidR="000A32BD" w:rsidRPr="00781742">
        <w:rPr>
          <w:i/>
          <w:iCs/>
        </w:rPr>
        <w:t>Fusarium</w:t>
      </w:r>
    </w:p>
    <w:p w14:paraId="238AA35C" w14:textId="77777777" w:rsidR="000A32BD" w:rsidRPr="003A486E" w:rsidRDefault="000A32BD" w:rsidP="000A32BD">
      <w:pPr>
        <w:jc w:val="both"/>
        <w:rPr>
          <w:rFonts w:ascii="Arial" w:hAnsi="Arial" w:cs="Arial"/>
        </w:rPr>
      </w:pPr>
      <w:r w:rsidRPr="003A486E">
        <w:rPr>
          <w:rFonts w:ascii="Arial" w:hAnsi="Arial" w:cs="Arial"/>
        </w:rPr>
        <w:t xml:space="preserve">Among the twelve fungicides tested, five synthetic formulations — Chlorothalonil + Carbendazim, Carbendazim + Mancozeb, Azoxystrobin + Mancozeb, Picoxystrobin + Mancozeb, and Difenoconazole + Spiroxamine — completely inhibited mycelial growth of both </w:t>
      </w:r>
      <w:r w:rsidRPr="003A486E">
        <w:rPr>
          <w:rFonts w:ascii="Arial" w:hAnsi="Arial" w:cs="Arial"/>
          <w:i/>
          <w:iCs/>
        </w:rPr>
        <w:t>Colletotrichum</w:t>
      </w:r>
      <w:r w:rsidRPr="003A486E">
        <w:rPr>
          <w:rFonts w:ascii="Arial" w:hAnsi="Arial" w:cs="Arial"/>
        </w:rPr>
        <w:t xml:space="preserve"> and </w:t>
      </w:r>
      <w:r w:rsidRPr="003A486E">
        <w:rPr>
          <w:rFonts w:ascii="Arial" w:hAnsi="Arial" w:cs="Arial"/>
          <w:i/>
          <w:iCs/>
        </w:rPr>
        <w:t>Fusarium</w:t>
      </w:r>
      <w:r w:rsidRPr="003A486E">
        <w:rPr>
          <w:rFonts w:ascii="Arial" w:hAnsi="Arial" w:cs="Arial"/>
        </w:rPr>
        <w:t xml:space="preserve"> isolates at all concentrations tested. The remaining seven fungicides exhibited partial inhibitory effects, acting variably on mycelial growth, sporulation, or spore germination.</w:t>
      </w:r>
    </w:p>
    <w:p w14:paraId="53C757D0" w14:textId="77777777" w:rsidR="007F44B4" w:rsidRPr="003A486E" w:rsidRDefault="007F44B4" w:rsidP="000A32BD">
      <w:pPr>
        <w:jc w:val="both"/>
        <w:rPr>
          <w:rFonts w:ascii="Arial" w:hAnsi="Arial" w:cs="Arial"/>
        </w:rPr>
      </w:pPr>
    </w:p>
    <w:p w14:paraId="18A9B313" w14:textId="77777777" w:rsidR="000A32BD" w:rsidRPr="003A486E" w:rsidRDefault="000A32BD" w:rsidP="000A32BD">
      <w:pPr>
        <w:jc w:val="both"/>
        <w:rPr>
          <w:rFonts w:ascii="Arial" w:hAnsi="Arial" w:cs="Arial"/>
        </w:rPr>
      </w:pPr>
      <w:r w:rsidRPr="003A486E">
        <w:rPr>
          <w:rFonts w:ascii="Arial" w:hAnsi="Arial" w:cs="Arial"/>
        </w:rPr>
        <w:t>The inhibition rates for these fungicides were recorded on the ninth day of incubation, corresponding to the point at which the control colonies fully covered the Petri dishes. Statistical analysis using the Conover–Iman test (p &lt; 0.05) revealed six distinct efficacy groups for both fungal genera (Figures 3 and 4).</w:t>
      </w:r>
    </w:p>
    <w:p w14:paraId="4A072612" w14:textId="77777777" w:rsidR="0011010F" w:rsidRPr="003A486E" w:rsidRDefault="0011010F" w:rsidP="000A32BD">
      <w:pPr>
        <w:jc w:val="both"/>
        <w:rPr>
          <w:rFonts w:ascii="Arial" w:hAnsi="Arial" w:cs="Arial"/>
        </w:rPr>
      </w:pPr>
    </w:p>
    <w:p w14:paraId="4147B1A6" w14:textId="3B2F86A4" w:rsidR="000A32BD" w:rsidRPr="003A486E" w:rsidRDefault="000A32BD" w:rsidP="000A32BD">
      <w:pPr>
        <w:jc w:val="both"/>
        <w:rPr>
          <w:rFonts w:ascii="Arial" w:hAnsi="Arial" w:cs="Arial"/>
        </w:rPr>
      </w:pPr>
      <w:r w:rsidRPr="003A486E">
        <w:rPr>
          <w:rFonts w:ascii="Arial" w:hAnsi="Arial" w:cs="Arial"/>
        </w:rPr>
        <w:t xml:space="preserve">For </w:t>
      </w:r>
      <w:r w:rsidRPr="003A486E">
        <w:rPr>
          <w:rFonts w:ascii="Arial" w:hAnsi="Arial" w:cs="Arial"/>
          <w:i/>
          <w:iCs/>
        </w:rPr>
        <w:t>Colletotrichum</w:t>
      </w:r>
      <w:r w:rsidRPr="003A486E">
        <w:rPr>
          <w:rFonts w:ascii="Arial" w:hAnsi="Arial" w:cs="Arial"/>
        </w:rPr>
        <w:t xml:space="preserve">, the aqueous extract of </w:t>
      </w:r>
      <w:r w:rsidRPr="003A486E">
        <w:rPr>
          <w:rFonts w:ascii="Arial" w:hAnsi="Arial" w:cs="Arial"/>
          <w:i/>
          <w:iCs/>
        </w:rPr>
        <w:t>Chromolaena odorata</w:t>
      </w:r>
      <w:r w:rsidRPr="003A486E">
        <w:rPr>
          <w:rFonts w:ascii="Arial" w:hAnsi="Arial" w:cs="Arial"/>
        </w:rPr>
        <w:t xml:space="preserve"> showed the lowest inhibition rate (7.56%), forming the first group. The copper hydroxide fungicide, with an inhibition rate of 69.85%, constituted the second group. The essential oil of </w:t>
      </w:r>
      <w:r w:rsidRPr="003A486E">
        <w:rPr>
          <w:rFonts w:ascii="Arial" w:hAnsi="Arial" w:cs="Arial"/>
          <w:i/>
          <w:iCs/>
        </w:rPr>
        <w:t>Lippia multiflora</w:t>
      </w:r>
      <w:r w:rsidRPr="003A486E">
        <w:rPr>
          <w:rFonts w:ascii="Arial" w:hAnsi="Arial" w:cs="Arial"/>
        </w:rPr>
        <w:t xml:space="preserve"> occupied the third group with a 71.06% inhibition rate. The fourth group was represented by Azoxystrobin + Difenoconazole and the biological fungicide Thymol–Gamma terpinene–Eugenol (NECO), which showed comparable inhibition rates of 85.00% and 84.49%, respectively. The Difenoconazole fungicide alone formed the fifth group with an inhibition rate of 89.62%. Finally, </w:t>
      </w:r>
      <w:r w:rsidR="007F199B" w:rsidRPr="003A486E">
        <w:rPr>
          <w:rFonts w:ascii="Arial" w:hAnsi="Arial" w:cs="Arial"/>
        </w:rPr>
        <w:t>m</w:t>
      </w:r>
      <w:r w:rsidRPr="003A486E">
        <w:rPr>
          <w:rFonts w:ascii="Arial" w:hAnsi="Arial" w:cs="Arial"/>
        </w:rPr>
        <w:t>ancozeb was the most effective among the partially inhibitory fungicides, forming the sixth group with 92.53% inhibition.</w:t>
      </w:r>
    </w:p>
    <w:p w14:paraId="1E7696EE" w14:textId="77777777" w:rsidR="0011010F" w:rsidRPr="003A486E" w:rsidRDefault="0011010F" w:rsidP="000A32BD">
      <w:pPr>
        <w:jc w:val="both"/>
        <w:rPr>
          <w:rFonts w:ascii="Arial" w:hAnsi="Arial" w:cs="Arial"/>
        </w:rPr>
      </w:pPr>
    </w:p>
    <w:p w14:paraId="76770DA9" w14:textId="52558FDE" w:rsidR="000A32BD" w:rsidRPr="003A486E" w:rsidRDefault="000A32BD" w:rsidP="000A32BD">
      <w:pPr>
        <w:jc w:val="both"/>
        <w:rPr>
          <w:rFonts w:ascii="Arial" w:hAnsi="Arial" w:cs="Arial"/>
        </w:rPr>
      </w:pPr>
      <w:r w:rsidRPr="003A486E">
        <w:rPr>
          <w:rFonts w:ascii="Arial" w:hAnsi="Arial" w:cs="Arial"/>
        </w:rPr>
        <w:t xml:space="preserve">For </w:t>
      </w:r>
      <w:r w:rsidRPr="003A486E">
        <w:rPr>
          <w:rFonts w:ascii="Arial" w:hAnsi="Arial" w:cs="Arial"/>
          <w:i/>
          <w:iCs/>
        </w:rPr>
        <w:t>Fusarium</w:t>
      </w:r>
      <w:r w:rsidRPr="003A486E">
        <w:rPr>
          <w:rFonts w:ascii="Arial" w:hAnsi="Arial" w:cs="Arial"/>
        </w:rPr>
        <w:t xml:space="preserve">, a similar pattern was observed. The aqueous extract of </w:t>
      </w:r>
      <w:r w:rsidRPr="003A486E">
        <w:rPr>
          <w:rFonts w:ascii="Arial" w:hAnsi="Arial" w:cs="Arial"/>
          <w:i/>
          <w:iCs/>
        </w:rPr>
        <w:t>C. odorata</w:t>
      </w:r>
      <w:r w:rsidRPr="003A486E">
        <w:rPr>
          <w:rFonts w:ascii="Arial" w:hAnsi="Arial" w:cs="Arial"/>
        </w:rPr>
        <w:t xml:space="preserve"> exhibited the lowest inhibition (7.33%), followed by copper hydroxide (75.31%) and </w:t>
      </w:r>
      <w:r w:rsidRPr="003A486E">
        <w:rPr>
          <w:rFonts w:ascii="Arial" w:hAnsi="Arial" w:cs="Arial"/>
          <w:i/>
          <w:iCs/>
        </w:rPr>
        <w:t>L. multiflora</w:t>
      </w:r>
      <w:r w:rsidRPr="003A486E">
        <w:rPr>
          <w:rFonts w:ascii="Arial" w:hAnsi="Arial" w:cs="Arial"/>
        </w:rPr>
        <w:t xml:space="preserve"> essential oil (78.81%)</w:t>
      </w:r>
      <w:r w:rsidR="00941DEA" w:rsidRPr="003A486E">
        <w:rPr>
          <w:rFonts w:ascii="Arial" w:hAnsi="Arial" w:cs="Arial"/>
        </w:rPr>
        <w:t>,</w:t>
      </w:r>
      <w:r w:rsidRPr="003A486E">
        <w:rPr>
          <w:rFonts w:ascii="Arial" w:hAnsi="Arial" w:cs="Arial"/>
        </w:rPr>
        <w:t xml:space="preserve"> forming the first three groups. The fourth group consisted solely of NECO, with an inhibition rate of 86.52%. </w:t>
      </w:r>
      <w:r w:rsidR="00941DEA" w:rsidRPr="003A486E">
        <w:rPr>
          <w:rFonts w:ascii="Arial" w:hAnsi="Arial" w:cs="Arial"/>
        </w:rPr>
        <w:t>Azoxystrobin represented the fifth group</w:t>
      </w:r>
      <w:r w:rsidRPr="003A486E">
        <w:rPr>
          <w:rFonts w:ascii="Arial" w:hAnsi="Arial" w:cs="Arial"/>
        </w:rPr>
        <w:t>, while Mancozeb and Difenoconazole, with inhibition rates of 96.21% and 97.81%, respectively, were classified into the sixth and most effective group.</w:t>
      </w:r>
    </w:p>
    <w:p w14:paraId="61E342B9" w14:textId="77777777" w:rsidR="0011010F" w:rsidRPr="003A486E" w:rsidRDefault="0011010F" w:rsidP="000A32BD">
      <w:pPr>
        <w:jc w:val="both"/>
        <w:rPr>
          <w:rFonts w:ascii="Arial" w:hAnsi="Arial" w:cs="Arial"/>
        </w:rPr>
      </w:pPr>
    </w:p>
    <w:p w14:paraId="5053FCDC" w14:textId="77777777" w:rsidR="000A32BD" w:rsidRPr="000A32BD" w:rsidRDefault="000A32BD" w:rsidP="000E700F">
      <w:pPr>
        <w:ind w:left="-270"/>
        <w:rPr>
          <w:rFonts w:ascii="Arial" w:hAnsi="Arial" w:cs="Arial"/>
        </w:rPr>
      </w:pPr>
      <w:r w:rsidRPr="000A32BD">
        <w:rPr>
          <w:rFonts w:ascii="Arial" w:hAnsi="Arial" w:cs="Arial"/>
          <w:noProof/>
        </w:rPr>
        <w:lastRenderedPageBreak/>
        <w:drawing>
          <wp:inline distT="0" distB="0" distL="0" distR="0" wp14:anchorId="72832A85" wp14:editId="2D031219">
            <wp:extent cx="5972810" cy="2790190"/>
            <wp:effectExtent l="0" t="0" r="8890" b="10160"/>
            <wp:docPr id="248851550" name="Graphique 1">
              <a:extLst xmlns:a="http://schemas.openxmlformats.org/drawingml/2006/main">
                <a:ext uri="{FF2B5EF4-FFF2-40B4-BE49-F238E27FC236}">
                  <a16:creationId xmlns:a16="http://schemas.microsoft.com/office/drawing/2014/main" id="{50ACB654-C4F2-0754-78D7-23DA8B36A0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18767D" w14:textId="77777777" w:rsidR="000A32BD" w:rsidRPr="000A32BD" w:rsidRDefault="000A32BD" w:rsidP="000A32BD">
      <w:pPr>
        <w:rPr>
          <w:rFonts w:ascii="Arial" w:hAnsi="Arial" w:cs="Arial"/>
        </w:rPr>
      </w:pPr>
      <w:r w:rsidRPr="000A32BD">
        <w:rPr>
          <w:rFonts w:ascii="Arial" w:hAnsi="Arial" w:cs="Arial"/>
          <w:b/>
          <w:bCs/>
        </w:rPr>
        <w:t xml:space="preserve">Figure 3. </w:t>
      </w:r>
      <w:r w:rsidRPr="000A32BD">
        <w:rPr>
          <w:rFonts w:ascii="Arial" w:hAnsi="Arial" w:cs="Arial"/>
          <w:i/>
          <w:iCs/>
        </w:rPr>
        <w:t>In vitro</w:t>
      </w:r>
      <w:r w:rsidRPr="000A32BD">
        <w:rPr>
          <w:rFonts w:ascii="Arial" w:hAnsi="Arial" w:cs="Arial"/>
        </w:rPr>
        <w:t xml:space="preserve"> mycelial growth inhibition rates of </w:t>
      </w:r>
      <w:r w:rsidRPr="000A32BD">
        <w:rPr>
          <w:rFonts w:ascii="Arial" w:hAnsi="Arial" w:cs="Arial"/>
          <w:i/>
          <w:iCs/>
        </w:rPr>
        <w:t>Colletotrichum</w:t>
      </w:r>
      <w:r w:rsidRPr="000A32BD">
        <w:rPr>
          <w:rFonts w:ascii="Arial" w:hAnsi="Arial" w:cs="Arial"/>
        </w:rPr>
        <w:t xml:space="preserve"> isolates exposed to all fungicide treatments nine days after incubation. </w:t>
      </w:r>
    </w:p>
    <w:p w14:paraId="628668D5" w14:textId="77777777" w:rsidR="000A32BD" w:rsidRPr="007F44B4" w:rsidRDefault="000A32BD" w:rsidP="000A32BD">
      <w:pPr>
        <w:rPr>
          <w:rFonts w:ascii="Arial" w:hAnsi="Arial" w:cs="Arial"/>
          <w:i/>
          <w:iCs/>
          <w:sz w:val="18"/>
          <w:szCs w:val="18"/>
        </w:rPr>
      </w:pPr>
      <w:r w:rsidRPr="007F44B4">
        <w:rPr>
          <w:rFonts w:ascii="Arial" w:hAnsi="Arial" w:cs="Arial"/>
          <w:i/>
          <w:iCs/>
          <w:sz w:val="18"/>
          <w:szCs w:val="18"/>
        </w:rPr>
        <w:t>Bars sharing the same letters are not significantly different at the 5% significance level according to the Conover–Iman test.</w:t>
      </w:r>
    </w:p>
    <w:p w14:paraId="5970A1E6" w14:textId="77777777" w:rsidR="000A32BD" w:rsidRPr="000A32BD" w:rsidRDefault="000A32BD" w:rsidP="000A32BD">
      <w:pPr>
        <w:rPr>
          <w:rFonts w:ascii="Arial" w:hAnsi="Arial" w:cs="Arial"/>
        </w:rPr>
      </w:pPr>
    </w:p>
    <w:p w14:paraId="50FFCB52" w14:textId="77777777" w:rsidR="000A32BD" w:rsidRPr="000A32BD" w:rsidRDefault="000A32BD" w:rsidP="000D511C">
      <w:pPr>
        <w:ind w:left="-270"/>
        <w:rPr>
          <w:rFonts w:ascii="Arial" w:hAnsi="Arial" w:cs="Arial"/>
          <w:lang w:val="fr-FR"/>
        </w:rPr>
      </w:pPr>
      <w:r w:rsidRPr="000A32BD">
        <w:rPr>
          <w:rFonts w:ascii="Arial" w:hAnsi="Arial" w:cs="Arial"/>
          <w:noProof/>
        </w:rPr>
        <w:drawing>
          <wp:inline distT="0" distB="0" distL="0" distR="0" wp14:anchorId="69DA2491" wp14:editId="1BDF536B">
            <wp:extent cx="5972810" cy="2954020"/>
            <wp:effectExtent l="0" t="0" r="8890" b="17780"/>
            <wp:docPr id="1324868223" name="Graphique 1">
              <a:extLst xmlns:a="http://schemas.openxmlformats.org/drawingml/2006/main">
                <a:ext uri="{FF2B5EF4-FFF2-40B4-BE49-F238E27FC236}">
                  <a16:creationId xmlns:a16="http://schemas.microsoft.com/office/drawing/2014/main" id="{AE157A93-A256-630A-282C-C56C130E0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27EFAB" w14:textId="77777777" w:rsidR="000A32BD" w:rsidRPr="000A32BD" w:rsidRDefault="000A32BD" w:rsidP="000A32BD">
      <w:pPr>
        <w:jc w:val="both"/>
        <w:rPr>
          <w:rFonts w:ascii="Arial" w:hAnsi="Arial" w:cs="Arial"/>
        </w:rPr>
      </w:pPr>
      <w:r w:rsidRPr="000A32BD">
        <w:rPr>
          <w:rFonts w:ascii="Arial" w:hAnsi="Arial" w:cs="Arial"/>
          <w:b/>
          <w:bCs/>
        </w:rPr>
        <w:t xml:space="preserve">Figure 4. </w:t>
      </w:r>
      <w:r w:rsidRPr="000A32BD">
        <w:rPr>
          <w:rFonts w:ascii="Arial" w:hAnsi="Arial" w:cs="Arial"/>
          <w:i/>
          <w:iCs/>
        </w:rPr>
        <w:t>In vitro</w:t>
      </w:r>
      <w:r w:rsidRPr="000A32BD">
        <w:rPr>
          <w:rFonts w:ascii="Arial" w:hAnsi="Arial" w:cs="Arial"/>
        </w:rPr>
        <w:t xml:space="preserve"> mycelial growth inhibition rates of </w:t>
      </w:r>
      <w:r w:rsidRPr="000A32BD">
        <w:rPr>
          <w:rFonts w:ascii="Arial" w:hAnsi="Arial" w:cs="Arial"/>
          <w:i/>
          <w:iCs/>
        </w:rPr>
        <w:t>Fusarium</w:t>
      </w:r>
      <w:r w:rsidRPr="000A32BD">
        <w:rPr>
          <w:rFonts w:ascii="Arial" w:hAnsi="Arial" w:cs="Arial"/>
        </w:rPr>
        <w:t xml:space="preserve"> isolates exposed to all fungicide treatments nine days after incubation. </w:t>
      </w:r>
    </w:p>
    <w:p w14:paraId="172235A9" w14:textId="77777777" w:rsidR="000A32BD" w:rsidRPr="007F44B4" w:rsidRDefault="000A32BD" w:rsidP="000A32BD">
      <w:pPr>
        <w:jc w:val="both"/>
        <w:rPr>
          <w:rFonts w:ascii="Arial" w:hAnsi="Arial" w:cs="Arial"/>
          <w:i/>
          <w:iCs/>
          <w:sz w:val="18"/>
          <w:szCs w:val="18"/>
        </w:rPr>
      </w:pPr>
      <w:r w:rsidRPr="007F44B4">
        <w:rPr>
          <w:rFonts w:ascii="Arial" w:hAnsi="Arial" w:cs="Arial"/>
          <w:i/>
          <w:iCs/>
          <w:sz w:val="18"/>
          <w:szCs w:val="18"/>
        </w:rPr>
        <w:t>Bars sharing the same letters are not significantly different at the 5% significance level according to the Conover–Iman test.</w:t>
      </w:r>
    </w:p>
    <w:p w14:paraId="16715344" w14:textId="77777777" w:rsidR="000A32BD" w:rsidRPr="000A32BD" w:rsidRDefault="000A32BD" w:rsidP="000A32BD">
      <w:pPr>
        <w:jc w:val="both"/>
        <w:rPr>
          <w:rFonts w:ascii="Arial" w:hAnsi="Arial" w:cs="Arial"/>
        </w:rPr>
      </w:pPr>
    </w:p>
    <w:p w14:paraId="14940266" w14:textId="1B7255BD" w:rsidR="000A32BD" w:rsidRPr="00132265" w:rsidRDefault="00132265" w:rsidP="000A32BD">
      <w:pPr>
        <w:pStyle w:val="Heading2"/>
        <w:rPr>
          <w:szCs w:val="22"/>
        </w:rPr>
      </w:pPr>
      <w:r>
        <w:rPr>
          <w:szCs w:val="22"/>
        </w:rPr>
        <w:t xml:space="preserve">3.2. </w:t>
      </w:r>
      <w:r w:rsidR="000A32BD" w:rsidRPr="00132265">
        <w:rPr>
          <w:szCs w:val="22"/>
        </w:rPr>
        <w:t xml:space="preserve">Effect of synthetic and biological fungicides on spore production by </w:t>
      </w:r>
      <w:r w:rsidR="000A32BD" w:rsidRPr="00132265">
        <w:rPr>
          <w:i/>
          <w:iCs/>
          <w:szCs w:val="22"/>
        </w:rPr>
        <w:t>Colletotrichum</w:t>
      </w:r>
      <w:r w:rsidR="000A32BD" w:rsidRPr="00132265">
        <w:rPr>
          <w:szCs w:val="22"/>
        </w:rPr>
        <w:t xml:space="preserve"> and </w:t>
      </w:r>
      <w:r w:rsidR="000A32BD" w:rsidRPr="00132265">
        <w:rPr>
          <w:i/>
          <w:iCs/>
          <w:szCs w:val="22"/>
        </w:rPr>
        <w:t>Fusarium</w:t>
      </w:r>
    </w:p>
    <w:p w14:paraId="0D2CAC8D" w14:textId="6AA015C8" w:rsidR="000A32BD" w:rsidRPr="003A486E" w:rsidRDefault="000A32BD" w:rsidP="000A32BD">
      <w:pPr>
        <w:jc w:val="both"/>
        <w:rPr>
          <w:rFonts w:ascii="Arial" w:hAnsi="Arial" w:cs="Arial"/>
        </w:rPr>
      </w:pPr>
      <w:r w:rsidRPr="003A486E">
        <w:rPr>
          <w:rFonts w:ascii="Arial" w:hAnsi="Arial" w:cs="Arial"/>
        </w:rPr>
        <w:t xml:space="preserve">Spore production was observed at all fungicide concentrations that permitted mycelial growth. The presence and abundance of spores varied </w:t>
      </w:r>
      <w:r w:rsidR="00003823" w:rsidRPr="003A486E">
        <w:rPr>
          <w:rFonts w:ascii="Arial" w:hAnsi="Arial" w:cs="Arial"/>
        </w:rPr>
        <w:t xml:space="preserve">significantly depending on the type </w:t>
      </w:r>
      <w:r w:rsidR="00003823" w:rsidRPr="003A486E">
        <w:rPr>
          <w:rFonts w:ascii="Arial" w:hAnsi="Arial" w:cs="Arial"/>
        </w:rPr>
        <w:lastRenderedPageBreak/>
        <w:t>and concentration of the fungicide</w:t>
      </w:r>
      <w:r w:rsidRPr="003A486E">
        <w:rPr>
          <w:rFonts w:ascii="Arial" w:hAnsi="Arial" w:cs="Arial"/>
        </w:rPr>
        <w:t xml:space="preserve">. Media supplemented with the aqueous extract of </w:t>
      </w:r>
      <w:r w:rsidRPr="003A486E">
        <w:rPr>
          <w:rFonts w:ascii="Arial" w:hAnsi="Arial" w:cs="Arial"/>
          <w:i/>
          <w:iCs/>
        </w:rPr>
        <w:t>Chromolaena odorata</w:t>
      </w:r>
      <w:r w:rsidRPr="003A486E">
        <w:rPr>
          <w:rFonts w:ascii="Arial" w:hAnsi="Arial" w:cs="Arial"/>
        </w:rPr>
        <w:t xml:space="preserve"> consistently exhibited very high spore densities at all five concentrations tested for both fungal genera (Tables 6 and 7).</w:t>
      </w:r>
    </w:p>
    <w:p w14:paraId="79176EE8" w14:textId="77777777" w:rsidR="007F44B4" w:rsidRPr="003A486E" w:rsidRDefault="007F44B4" w:rsidP="000A32BD">
      <w:pPr>
        <w:jc w:val="both"/>
        <w:rPr>
          <w:rFonts w:ascii="Arial" w:hAnsi="Arial" w:cs="Arial"/>
        </w:rPr>
      </w:pPr>
    </w:p>
    <w:p w14:paraId="05E44A51" w14:textId="77777777" w:rsidR="000A32BD" w:rsidRPr="003A486E" w:rsidRDefault="000A32BD" w:rsidP="000A32BD">
      <w:pPr>
        <w:jc w:val="both"/>
        <w:rPr>
          <w:rFonts w:ascii="Arial" w:hAnsi="Arial" w:cs="Arial"/>
        </w:rPr>
      </w:pPr>
      <w:r w:rsidRPr="003A486E">
        <w:rPr>
          <w:rFonts w:ascii="Arial" w:hAnsi="Arial" w:cs="Arial"/>
        </w:rPr>
        <w:t>In contrast, treatments with difenoconazole, copper hydroxide, and the combination azoxystrobin + difenoconazole supported relatively high levels of sporulation at lower concentrations (D1 = 2.5 mL/L and D2 = 5 mL/L). However, spore production decreased markedly as concentration increased.</w:t>
      </w:r>
    </w:p>
    <w:p w14:paraId="74250F87" w14:textId="77777777" w:rsidR="007F44B4" w:rsidRPr="003A486E" w:rsidRDefault="007F44B4" w:rsidP="000A32BD">
      <w:pPr>
        <w:jc w:val="both"/>
        <w:rPr>
          <w:rFonts w:ascii="Arial" w:hAnsi="Arial" w:cs="Arial"/>
        </w:rPr>
      </w:pPr>
    </w:p>
    <w:p w14:paraId="2203A7BA" w14:textId="77777777" w:rsidR="000A32BD" w:rsidRPr="003A486E" w:rsidRDefault="000A32BD" w:rsidP="000A32BD">
      <w:pPr>
        <w:jc w:val="both"/>
        <w:rPr>
          <w:rFonts w:ascii="Arial" w:hAnsi="Arial" w:cs="Arial"/>
        </w:rPr>
      </w:pPr>
      <w:r w:rsidRPr="003A486E">
        <w:rPr>
          <w:rFonts w:ascii="Arial" w:hAnsi="Arial" w:cs="Arial"/>
        </w:rPr>
        <w:t xml:space="preserve">Among all treatments, </w:t>
      </w:r>
      <w:r w:rsidRPr="003A486E">
        <w:rPr>
          <w:rFonts w:ascii="Arial" w:hAnsi="Arial" w:cs="Arial"/>
          <w:i/>
          <w:iCs/>
        </w:rPr>
        <w:t>Lippia multiflora</w:t>
      </w:r>
      <w:r w:rsidRPr="003A486E">
        <w:rPr>
          <w:rFonts w:ascii="Arial" w:hAnsi="Arial" w:cs="Arial"/>
        </w:rPr>
        <w:t xml:space="preserve"> essential oil extract and mancozeb were the most effective in reducing sporulation, as they yielded the lowest number of spores across all tested concentrations. The biological fungicide Thymol–Gamma terpinene–Eugenol (NECO) also exhibited a strong inhibitory effect, producing only a small number of spores at D1 (40 mL/L), while completely suppressing sporulation at D2 (80 mL/L) and D3 (160 mL/L).</w:t>
      </w:r>
    </w:p>
    <w:p w14:paraId="7C9581A4" w14:textId="77777777" w:rsidR="007F44B4" w:rsidRPr="003A486E" w:rsidRDefault="007F44B4" w:rsidP="000A32BD">
      <w:pPr>
        <w:jc w:val="both"/>
        <w:rPr>
          <w:rFonts w:ascii="Arial" w:hAnsi="Arial" w:cs="Arial"/>
        </w:rPr>
      </w:pPr>
    </w:p>
    <w:p w14:paraId="01464D3E" w14:textId="77777777" w:rsidR="000A32BD" w:rsidRPr="003A486E" w:rsidRDefault="000A32BD" w:rsidP="000A32BD">
      <w:pPr>
        <w:jc w:val="both"/>
        <w:rPr>
          <w:rFonts w:ascii="Arial" w:hAnsi="Arial" w:cs="Arial"/>
        </w:rPr>
      </w:pPr>
      <w:r w:rsidRPr="003A486E">
        <w:rPr>
          <w:rFonts w:ascii="Arial" w:hAnsi="Arial" w:cs="Arial"/>
        </w:rPr>
        <w:t xml:space="preserve">Similarly, no spores were detected in media treated with D1 (2.5 mL/L) and D2 (5 mL/L) of copper hydroxide, D3 (10 mL/L) of azoxystrobin + difenoconazole, and D4 (5 mL/L) and D5 (10 mL/L) of </w:t>
      </w:r>
      <w:r w:rsidRPr="003A486E">
        <w:rPr>
          <w:rFonts w:ascii="Arial" w:hAnsi="Arial" w:cs="Arial"/>
          <w:i/>
          <w:iCs/>
        </w:rPr>
        <w:t>Lippia multiflora</w:t>
      </w:r>
      <w:r w:rsidRPr="003A486E">
        <w:rPr>
          <w:rFonts w:ascii="Arial" w:hAnsi="Arial" w:cs="Arial"/>
        </w:rPr>
        <w:t xml:space="preserve"> essential oil extract, confirming the complete inhibition of fungal development at these concentrations.</w:t>
      </w:r>
    </w:p>
    <w:p w14:paraId="010DF1D5" w14:textId="77777777" w:rsidR="000A32BD" w:rsidRDefault="000A32BD" w:rsidP="000A32BD">
      <w:pPr>
        <w:jc w:val="both"/>
        <w:rPr>
          <w:rFonts w:ascii="Arial" w:hAnsi="Arial" w:cs="Arial"/>
        </w:rPr>
      </w:pPr>
      <w:r w:rsidRPr="000A32BD">
        <w:rPr>
          <w:rFonts w:ascii="Arial" w:hAnsi="Arial" w:cs="Arial"/>
          <w:b/>
          <w:bCs/>
        </w:rPr>
        <w:t>Table 6.</w:t>
      </w:r>
      <w:r w:rsidRPr="000A32BD">
        <w:rPr>
          <w:rFonts w:ascii="Arial" w:hAnsi="Arial" w:cs="Arial"/>
        </w:rPr>
        <w:t xml:space="preserve"> Effect of different fungicides and their concentrations on </w:t>
      </w:r>
      <w:r w:rsidRPr="000A32BD">
        <w:rPr>
          <w:rFonts w:ascii="Arial" w:hAnsi="Arial" w:cs="Arial"/>
          <w:i/>
          <w:iCs/>
        </w:rPr>
        <w:t>Colletotrichum</w:t>
      </w:r>
      <w:r w:rsidRPr="000A32BD">
        <w:rPr>
          <w:rFonts w:ascii="Arial" w:hAnsi="Arial" w:cs="Arial"/>
        </w:rPr>
        <w:t xml:space="preserve"> spore production after nine days of incubation on PDA medium</w:t>
      </w:r>
    </w:p>
    <w:p w14:paraId="21780F87" w14:textId="77777777" w:rsidR="0011010F" w:rsidRPr="000A32BD" w:rsidRDefault="0011010F" w:rsidP="000A32BD">
      <w:pPr>
        <w:jc w:val="both"/>
        <w:rPr>
          <w:rFonts w:ascii="Arial" w:hAnsi="Arial" w:cs="Arial"/>
        </w:rPr>
      </w:pPr>
    </w:p>
    <w:tbl>
      <w:tblPr>
        <w:tblStyle w:val="PlainTable2"/>
        <w:tblW w:w="5000" w:type="pct"/>
        <w:tblLook w:val="04A0" w:firstRow="1" w:lastRow="0" w:firstColumn="1" w:lastColumn="0" w:noHBand="0" w:noVBand="1"/>
      </w:tblPr>
      <w:tblGrid>
        <w:gridCol w:w="3333"/>
        <w:gridCol w:w="1018"/>
        <w:gridCol w:w="1018"/>
        <w:gridCol w:w="1018"/>
        <w:gridCol w:w="1018"/>
        <w:gridCol w:w="1019"/>
      </w:tblGrid>
      <w:tr w:rsidR="000A32BD" w:rsidRPr="000A32BD" w14:paraId="779295C0" w14:textId="77777777" w:rsidTr="00547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vMerge w:val="restart"/>
            <w:hideMark/>
          </w:tcPr>
          <w:p w14:paraId="0F03359A" w14:textId="77777777" w:rsidR="000A32BD" w:rsidRPr="000A32BD" w:rsidRDefault="000A32BD" w:rsidP="000A32BD">
            <w:pPr>
              <w:rPr>
                <w:rFonts w:ascii="Arial" w:hAnsi="Arial" w:cs="Arial"/>
                <w:sz w:val="20"/>
                <w:szCs w:val="20"/>
              </w:rPr>
            </w:pPr>
            <w:r w:rsidRPr="000A32BD">
              <w:rPr>
                <w:rFonts w:ascii="Arial" w:hAnsi="Arial" w:cs="Arial"/>
                <w:sz w:val="20"/>
                <w:szCs w:val="20"/>
              </w:rPr>
              <w:t>Fungicides</w:t>
            </w:r>
          </w:p>
        </w:tc>
        <w:tc>
          <w:tcPr>
            <w:tcW w:w="3021" w:type="pct"/>
            <w:gridSpan w:val="5"/>
            <w:hideMark/>
          </w:tcPr>
          <w:p w14:paraId="092BFCEC" w14:textId="77777777" w:rsidR="000A32BD" w:rsidRPr="000A32BD" w:rsidRDefault="000A32BD" w:rsidP="000A32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Spore production as a function of concentrations</w:t>
            </w:r>
          </w:p>
        </w:tc>
      </w:tr>
      <w:tr w:rsidR="00547005" w:rsidRPr="000A32BD" w14:paraId="2F150BD4"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vMerge/>
            <w:hideMark/>
          </w:tcPr>
          <w:p w14:paraId="4D87EF28" w14:textId="77777777" w:rsidR="00547005" w:rsidRPr="000A32BD" w:rsidRDefault="00547005" w:rsidP="00547005">
            <w:pPr>
              <w:rPr>
                <w:rFonts w:ascii="Arial" w:hAnsi="Arial" w:cs="Arial"/>
                <w:sz w:val="20"/>
                <w:szCs w:val="20"/>
              </w:rPr>
            </w:pPr>
          </w:p>
        </w:tc>
        <w:tc>
          <w:tcPr>
            <w:tcW w:w="604" w:type="pct"/>
            <w:vAlign w:val="center"/>
            <w:hideMark/>
          </w:tcPr>
          <w:p w14:paraId="72EEB243" w14:textId="2444B01B"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D1 or T1</w:t>
            </w:r>
          </w:p>
        </w:tc>
        <w:tc>
          <w:tcPr>
            <w:tcW w:w="604" w:type="pct"/>
            <w:vAlign w:val="center"/>
            <w:hideMark/>
          </w:tcPr>
          <w:p w14:paraId="4A39A149" w14:textId="7144DD10"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D2 or T2</w:t>
            </w:r>
          </w:p>
        </w:tc>
        <w:tc>
          <w:tcPr>
            <w:tcW w:w="604" w:type="pct"/>
            <w:vAlign w:val="center"/>
            <w:hideMark/>
          </w:tcPr>
          <w:p w14:paraId="1FED4B8F" w14:textId="5E60A81A"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D3 or T3</w:t>
            </w:r>
          </w:p>
        </w:tc>
        <w:tc>
          <w:tcPr>
            <w:tcW w:w="604" w:type="pct"/>
            <w:vAlign w:val="center"/>
            <w:hideMark/>
          </w:tcPr>
          <w:p w14:paraId="6D785ED9" w14:textId="3A508EBE"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T4</w:t>
            </w:r>
          </w:p>
        </w:tc>
        <w:tc>
          <w:tcPr>
            <w:tcW w:w="604" w:type="pct"/>
            <w:vAlign w:val="center"/>
            <w:hideMark/>
          </w:tcPr>
          <w:p w14:paraId="3DDBA9FC" w14:textId="510A6598"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T5</w:t>
            </w:r>
          </w:p>
        </w:tc>
      </w:tr>
      <w:tr w:rsidR="000A32BD" w:rsidRPr="000A32BD" w14:paraId="309D08D7"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55739157" w14:textId="77777777" w:rsidR="000A32BD" w:rsidRPr="000A32BD" w:rsidRDefault="000A32BD" w:rsidP="000A32BD">
            <w:pPr>
              <w:rPr>
                <w:rFonts w:ascii="Arial" w:hAnsi="Arial" w:cs="Arial"/>
                <w:sz w:val="20"/>
                <w:szCs w:val="20"/>
              </w:rPr>
            </w:pPr>
            <w:r w:rsidRPr="000A32BD">
              <w:rPr>
                <w:rFonts w:ascii="Arial" w:hAnsi="Arial" w:cs="Arial"/>
                <w:sz w:val="20"/>
                <w:szCs w:val="20"/>
              </w:rPr>
              <w:t>Mancozeb</w:t>
            </w:r>
          </w:p>
        </w:tc>
        <w:tc>
          <w:tcPr>
            <w:tcW w:w="604" w:type="pct"/>
            <w:hideMark/>
          </w:tcPr>
          <w:p w14:paraId="4D9BA1D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669C1915"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D7B1705"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62ECCD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0C76476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C9E6A43"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1368E737" w14:textId="77777777" w:rsidR="000A32BD" w:rsidRPr="000A32BD" w:rsidRDefault="000A32BD" w:rsidP="000A32BD">
            <w:pPr>
              <w:rPr>
                <w:rFonts w:ascii="Arial" w:hAnsi="Arial" w:cs="Arial"/>
                <w:sz w:val="20"/>
                <w:szCs w:val="20"/>
              </w:rPr>
            </w:pPr>
            <w:r w:rsidRPr="000A32BD">
              <w:rPr>
                <w:rFonts w:ascii="Arial" w:hAnsi="Arial" w:cs="Arial"/>
                <w:sz w:val="20"/>
                <w:szCs w:val="20"/>
              </w:rPr>
              <w:t>Difenoconazole</w:t>
            </w:r>
          </w:p>
        </w:tc>
        <w:tc>
          <w:tcPr>
            <w:tcW w:w="604" w:type="pct"/>
            <w:hideMark/>
          </w:tcPr>
          <w:p w14:paraId="3A7AEAEB"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8930D38"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5C6EDAA2"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23C66905"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4" w:type="pct"/>
            <w:hideMark/>
          </w:tcPr>
          <w:p w14:paraId="0DB7BB70"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2044D2C7"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445F7D7B" w14:textId="77777777" w:rsidR="000A32BD" w:rsidRPr="000A32BD" w:rsidRDefault="000A32BD" w:rsidP="000A32BD">
            <w:pPr>
              <w:rPr>
                <w:rFonts w:ascii="Arial" w:hAnsi="Arial" w:cs="Arial"/>
                <w:sz w:val="20"/>
                <w:szCs w:val="20"/>
              </w:rPr>
            </w:pPr>
            <w:r w:rsidRPr="000A32BD">
              <w:rPr>
                <w:rFonts w:ascii="Arial" w:hAnsi="Arial" w:cs="Arial"/>
                <w:sz w:val="20"/>
                <w:szCs w:val="20"/>
              </w:rPr>
              <w:t>Copper hydroxide</w:t>
            </w:r>
          </w:p>
        </w:tc>
        <w:tc>
          <w:tcPr>
            <w:tcW w:w="604" w:type="pct"/>
            <w:hideMark/>
          </w:tcPr>
          <w:p w14:paraId="1E5DBC2A"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D0860F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57D9990"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E78E003"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4E369D7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16536BC1"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0B56D445" w14:textId="77777777" w:rsidR="000A32BD" w:rsidRPr="000A32BD" w:rsidRDefault="000A32BD" w:rsidP="000A32BD">
            <w:pPr>
              <w:rPr>
                <w:rFonts w:ascii="Arial" w:hAnsi="Arial" w:cs="Arial"/>
                <w:sz w:val="20"/>
                <w:szCs w:val="20"/>
              </w:rPr>
            </w:pPr>
            <w:r w:rsidRPr="000A32BD">
              <w:rPr>
                <w:rFonts w:ascii="Arial" w:hAnsi="Arial" w:cs="Arial"/>
                <w:sz w:val="20"/>
                <w:szCs w:val="20"/>
              </w:rPr>
              <w:t>Azoxystrobin + Difenoconazole</w:t>
            </w:r>
          </w:p>
        </w:tc>
        <w:tc>
          <w:tcPr>
            <w:tcW w:w="604" w:type="pct"/>
            <w:hideMark/>
          </w:tcPr>
          <w:p w14:paraId="1D1A027B"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9DDF0FE"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2272FE9E"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09EABAC"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4" w:type="pct"/>
            <w:hideMark/>
          </w:tcPr>
          <w:p w14:paraId="522CA8C5"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493DEE7A"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19598AF4" w14:textId="77777777" w:rsidR="000A32BD" w:rsidRPr="000A32BD" w:rsidRDefault="000A32BD" w:rsidP="000A32BD">
            <w:pPr>
              <w:rPr>
                <w:rFonts w:ascii="Arial" w:hAnsi="Arial" w:cs="Arial"/>
                <w:sz w:val="20"/>
                <w:szCs w:val="20"/>
              </w:rPr>
            </w:pPr>
            <w:r w:rsidRPr="000A32BD">
              <w:rPr>
                <w:rFonts w:ascii="Arial" w:hAnsi="Arial" w:cs="Arial"/>
                <w:sz w:val="20"/>
                <w:szCs w:val="20"/>
              </w:rPr>
              <w:t>NECO</w:t>
            </w:r>
          </w:p>
        </w:tc>
        <w:tc>
          <w:tcPr>
            <w:tcW w:w="604" w:type="pct"/>
            <w:hideMark/>
          </w:tcPr>
          <w:p w14:paraId="1B34833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899AC6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A775E0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605E38DC"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19B82A5D"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62CBBE71"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67F29D1A" w14:textId="77777777" w:rsidR="000A32BD" w:rsidRPr="000A32BD" w:rsidRDefault="000A32BD" w:rsidP="000A32BD">
            <w:pPr>
              <w:rPr>
                <w:rFonts w:ascii="Arial" w:hAnsi="Arial" w:cs="Arial"/>
                <w:sz w:val="20"/>
                <w:szCs w:val="20"/>
              </w:rPr>
            </w:pPr>
            <w:r w:rsidRPr="000A32BD">
              <w:rPr>
                <w:rFonts w:ascii="Arial" w:hAnsi="Arial" w:cs="Arial"/>
                <w:i/>
                <w:iCs/>
                <w:sz w:val="20"/>
                <w:szCs w:val="20"/>
              </w:rPr>
              <w:t>Chromolaena odorata</w:t>
            </w:r>
          </w:p>
        </w:tc>
        <w:tc>
          <w:tcPr>
            <w:tcW w:w="604" w:type="pct"/>
            <w:hideMark/>
          </w:tcPr>
          <w:p w14:paraId="6181E607"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F6296D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441E9C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FB28D86"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FEC2EC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r w:rsidR="000A32BD" w:rsidRPr="000A32BD" w14:paraId="79CA05E4"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3D55E4B2" w14:textId="77777777" w:rsidR="000A32BD" w:rsidRPr="000A32BD" w:rsidRDefault="000A32BD" w:rsidP="000A32BD">
            <w:pPr>
              <w:rPr>
                <w:rFonts w:ascii="Arial" w:hAnsi="Arial" w:cs="Arial"/>
                <w:sz w:val="20"/>
                <w:szCs w:val="20"/>
              </w:rPr>
            </w:pPr>
            <w:r w:rsidRPr="000A32BD">
              <w:rPr>
                <w:rFonts w:ascii="Arial" w:hAnsi="Arial" w:cs="Arial"/>
                <w:i/>
                <w:iCs/>
                <w:sz w:val="20"/>
                <w:szCs w:val="20"/>
              </w:rPr>
              <w:t>Lippia multiflora</w:t>
            </w:r>
          </w:p>
        </w:tc>
        <w:tc>
          <w:tcPr>
            <w:tcW w:w="604" w:type="pct"/>
            <w:hideMark/>
          </w:tcPr>
          <w:p w14:paraId="23334CD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218B01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8279110"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70F4C337"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78F212D9"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bl>
    <w:p w14:paraId="2C6917BC" w14:textId="62DBAE16" w:rsidR="00547005" w:rsidRPr="004F25F6" w:rsidRDefault="000A32BD" w:rsidP="00547005">
      <w:pPr>
        <w:jc w:val="both"/>
        <w:rPr>
          <w:rFonts w:ascii="Arial" w:hAnsi="Arial" w:cs="Arial"/>
          <w:i/>
          <w:iCs/>
          <w:sz w:val="18"/>
          <w:szCs w:val="18"/>
        </w:rPr>
      </w:pPr>
      <w:r w:rsidRPr="00AB6F34">
        <w:rPr>
          <w:rFonts w:ascii="Arial" w:hAnsi="Arial" w:cs="Arial"/>
          <w:i/>
          <w:iCs/>
          <w:sz w:val="18"/>
          <w:szCs w:val="18"/>
        </w:rPr>
        <w:t>+++ = Very high spore production; ++ = High spore production; + = Moderate spore production; – = No spores detected.</w:t>
      </w:r>
      <w:r w:rsidR="00547005">
        <w:rPr>
          <w:rFonts w:ascii="Arial" w:hAnsi="Arial" w:cs="Arial"/>
          <w:i/>
          <w:iCs/>
          <w:sz w:val="18"/>
          <w:szCs w:val="18"/>
        </w:rPr>
        <w:t xml:space="preserve"> </w:t>
      </w:r>
      <w:r w:rsidR="00547005"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003823">
        <w:rPr>
          <w:rFonts w:ascii="Arial" w:hAnsi="Arial" w:cs="Arial"/>
          <w:i/>
          <w:iCs/>
          <w:sz w:val="18"/>
          <w:szCs w:val="18"/>
        </w:rPr>
        <w:t>concentrations of 40, 80, and 160 mL/L (designated as D1, D2, and D3, respectively</w:t>
      </w:r>
      <w:r w:rsidR="00547005" w:rsidRPr="004F25F6">
        <w:rPr>
          <w:rFonts w:ascii="Arial" w:hAnsi="Arial" w:cs="Arial"/>
          <w:i/>
          <w:iCs/>
          <w:sz w:val="18"/>
          <w:szCs w:val="18"/>
        </w:rPr>
        <w:t>). The aqueous extract of Chromolaena odorata and the essential oil of Lippia multiflora were evaluated at five concentrations (T1–T5): 3.12, 6.25, 12.5, 25, and 50 mg/</w:t>
      </w:r>
      <w:proofErr w:type="spellStart"/>
      <w:r w:rsidR="00547005" w:rsidRPr="004F25F6">
        <w:rPr>
          <w:rFonts w:ascii="Arial" w:hAnsi="Arial" w:cs="Arial"/>
          <w:i/>
          <w:iCs/>
          <w:sz w:val="18"/>
          <w:szCs w:val="18"/>
        </w:rPr>
        <w:t>mL</w:t>
      </w:r>
      <w:r w:rsidR="00003823">
        <w:rPr>
          <w:rFonts w:ascii="Arial" w:hAnsi="Arial" w:cs="Arial"/>
          <w:i/>
          <w:iCs/>
          <w:sz w:val="18"/>
          <w:szCs w:val="18"/>
        </w:rPr>
        <w:t>.</w:t>
      </w:r>
      <w:proofErr w:type="spellEnd"/>
    </w:p>
    <w:p w14:paraId="0E2E2F4B" w14:textId="77777777" w:rsidR="00AB6F34" w:rsidRPr="00AB6F34" w:rsidRDefault="00AB6F34" w:rsidP="000A32BD">
      <w:pPr>
        <w:jc w:val="both"/>
        <w:rPr>
          <w:rFonts w:ascii="Arial" w:hAnsi="Arial" w:cs="Arial"/>
          <w:i/>
          <w:iCs/>
          <w:sz w:val="18"/>
          <w:szCs w:val="18"/>
        </w:rPr>
      </w:pPr>
    </w:p>
    <w:p w14:paraId="79BF6939" w14:textId="77777777" w:rsidR="000A32BD" w:rsidRDefault="000A32BD" w:rsidP="000A32BD">
      <w:pPr>
        <w:jc w:val="both"/>
        <w:rPr>
          <w:rFonts w:ascii="Arial" w:hAnsi="Arial" w:cs="Arial"/>
        </w:rPr>
      </w:pPr>
      <w:r w:rsidRPr="000A32BD">
        <w:rPr>
          <w:rFonts w:ascii="Arial" w:hAnsi="Arial" w:cs="Arial"/>
          <w:b/>
          <w:bCs/>
        </w:rPr>
        <w:t>Table 7.</w:t>
      </w:r>
      <w:r w:rsidRPr="000A32BD">
        <w:rPr>
          <w:rFonts w:ascii="Arial" w:hAnsi="Arial" w:cs="Arial"/>
        </w:rPr>
        <w:t xml:space="preserve"> Effect of different fungicides and their concentrations on </w:t>
      </w:r>
      <w:r w:rsidRPr="000A32BD">
        <w:rPr>
          <w:rFonts w:ascii="Arial" w:hAnsi="Arial" w:cs="Arial"/>
          <w:i/>
          <w:iCs/>
        </w:rPr>
        <w:t>Fusarium</w:t>
      </w:r>
      <w:r w:rsidRPr="000A32BD">
        <w:rPr>
          <w:rFonts w:ascii="Arial" w:hAnsi="Arial" w:cs="Arial"/>
        </w:rPr>
        <w:t xml:space="preserve"> spore production after nine days of incubation on PDA medium</w:t>
      </w:r>
    </w:p>
    <w:p w14:paraId="2DCF1E78" w14:textId="77777777" w:rsidR="00AB6F34" w:rsidRPr="000A32BD" w:rsidRDefault="00AB6F34" w:rsidP="000A32BD">
      <w:pPr>
        <w:jc w:val="both"/>
        <w:rPr>
          <w:rFonts w:ascii="Arial" w:hAnsi="Arial" w:cs="Arial"/>
        </w:rPr>
      </w:pPr>
    </w:p>
    <w:tbl>
      <w:tblPr>
        <w:tblStyle w:val="PlainTable2"/>
        <w:tblW w:w="0" w:type="auto"/>
        <w:tblLook w:val="04A0" w:firstRow="1" w:lastRow="0" w:firstColumn="1" w:lastColumn="0" w:noHBand="0" w:noVBand="1"/>
      </w:tblPr>
      <w:tblGrid>
        <w:gridCol w:w="3189"/>
        <w:gridCol w:w="1192"/>
        <w:gridCol w:w="1192"/>
        <w:gridCol w:w="1192"/>
        <w:gridCol w:w="665"/>
        <w:gridCol w:w="665"/>
      </w:tblGrid>
      <w:tr w:rsidR="00AB6F34" w:rsidRPr="000A32BD" w14:paraId="588524CA" w14:textId="77777777" w:rsidTr="00CC3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F349FCD" w14:textId="77777777" w:rsidR="00AB6F34" w:rsidRPr="000A32BD" w:rsidRDefault="00AB6F34" w:rsidP="000A32BD">
            <w:pPr>
              <w:jc w:val="both"/>
              <w:rPr>
                <w:rFonts w:ascii="Arial" w:hAnsi="Arial" w:cs="Arial"/>
                <w:b w:val="0"/>
                <w:bCs w:val="0"/>
                <w:sz w:val="20"/>
                <w:szCs w:val="20"/>
              </w:rPr>
            </w:pPr>
            <w:r w:rsidRPr="000A32BD">
              <w:rPr>
                <w:rFonts w:ascii="Arial" w:hAnsi="Arial" w:cs="Arial"/>
                <w:sz w:val="20"/>
                <w:szCs w:val="20"/>
              </w:rPr>
              <w:t>Fungicides</w:t>
            </w:r>
          </w:p>
        </w:tc>
        <w:tc>
          <w:tcPr>
            <w:tcW w:w="0" w:type="auto"/>
            <w:gridSpan w:val="5"/>
            <w:hideMark/>
          </w:tcPr>
          <w:p w14:paraId="7DCDBAD3" w14:textId="3F849DF8" w:rsidR="00AB6F34" w:rsidRPr="000A32BD" w:rsidRDefault="00AB6F34" w:rsidP="000A32B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Spore production as a function of concentrations</w:t>
            </w:r>
          </w:p>
        </w:tc>
      </w:tr>
      <w:tr w:rsidR="00547005" w:rsidRPr="000A32BD" w14:paraId="78BE8435" w14:textId="77777777" w:rsidTr="00B24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6E14835" w14:textId="77777777" w:rsidR="00547005" w:rsidRPr="000A32BD" w:rsidRDefault="00547005" w:rsidP="00547005">
            <w:pPr>
              <w:jc w:val="both"/>
              <w:rPr>
                <w:rFonts w:ascii="Arial" w:hAnsi="Arial" w:cs="Arial"/>
                <w:sz w:val="20"/>
                <w:szCs w:val="20"/>
              </w:rPr>
            </w:pPr>
          </w:p>
        </w:tc>
        <w:tc>
          <w:tcPr>
            <w:tcW w:w="0" w:type="auto"/>
            <w:vAlign w:val="center"/>
            <w:hideMark/>
          </w:tcPr>
          <w:p w14:paraId="0B9BBF2C" w14:textId="5355A042"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D1 or T1</w:t>
            </w:r>
          </w:p>
        </w:tc>
        <w:tc>
          <w:tcPr>
            <w:tcW w:w="0" w:type="auto"/>
            <w:vAlign w:val="center"/>
            <w:hideMark/>
          </w:tcPr>
          <w:p w14:paraId="7101AB03" w14:textId="5A9D6CA7"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D2 or T2</w:t>
            </w:r>
          </w:p>
        </w:tc>
        <w:tc>
          <w:tcPr>
            <w:tcW w:w="0" w:type="auto"/>
            <w:vAlign w:val="center"/>
            <w:hideMark/>
          </w:tcPr>
          <w:p w14:paraId="680A7C7C" w14:textId="0C163AC5"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D3 or T3</w:t>
            </w:r>
          </w:p>
        </w:tc>
        <w:tc>
          <w:tcPr>
            <w:tcW w:w="0" w:type="auto"/>
            <w:vAlign w:val="center"/>
            <w:hideMark/>
          </w:tcPr>
          <w:p w14:paraId="75569E8D" w14:textId="69E45962"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T4</w:t>
            </w:r>
          </w:p>
        </w:tc>
        <w:tc>
          <w:tcPr>
            <w:tcW w:w="0" w:type="auto"/>
            <w:vAlign w:val="center"/>
            <w:hideMark/>
          </w:tcPr>
          <w:p w14:paraId="170D6A95" w14:textId="2CDAB68F"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T5</w:t>
            </w:r>
          </w:p>
        </w:tc>
      </w:tr>
      <w:tr w:rsidR="000A32BD" w:rsidRPr="000A32BD" w14:paraId="2984CFE1"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3FE2DA4B"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Mancozeb</w:t>
            </w:r>
          </w:p>
        </w:tc>
        <w:tc>
          <w:tcPr>
            <w:tcW w:w="0" w:type="auto"/>
            <w:hideMark/>
          </w:tcPr>
          <w:p w14:paraId="7CDD3E97"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EB734C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570449A"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1F04BC63"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3BBDFC9"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BEC88DE"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27A482"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Difenoconazole</w:t>
            </w:r>
          </w:p>
        </w:tc>
        <w:tc>
          <w:tcPr>
            <w:tcW w:w="0" w:type="auto"/>
            <w:hideMark/>
          </w:tcPr>
          <w:p w14:paraId="76DEEAC9"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0E21FDF"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5DED9BC8"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7F7E2577"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25702FF5"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60DE19CE"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1C4B95B3"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Copper hydroxide</w:t>
            </w:r>
          </w:p>
        </w:tc>
        <w:tc>
          <w:tcPr>
            <w:tcW w:w="0" w:type="auto"/>
            <w:hideMark/>
          </w:tcPr>
          <w:p w14:paraId="1ABAC0D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98465D4"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37431D34"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4C42DA8"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1850BD"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F7FC474"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0E80D"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Azoxystrobin + Difenoconazole</w:t>
            </w:r>
          </w:p>
        </w:tc>
        <w:tc>
          <w:tcPr>
            <w:tcW w:w="0" w:type="auto"/>
            <w:hideMark/>
          </w:tcPr>
          <w:p w14:paraId="29230A00"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0435C38"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7335AF5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D94F5D2"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06A76950"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275C4543"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43A07E4B"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NECO</w:t>
            </w:r>
          </w:p>
        </w:tc>
        <w:tc>
          <w:tcPr>
            <w:tcW w:w="0" w:type="auto"/>
            <w:hideMark/>
          </w:tcPr>
          <w:p w14:paraId="7F19C927"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1B46C911"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59C5A3C"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5A3E6718"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05DF82"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3CD21A1A"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9D650" w14:textId="77777777" w:rsidR="000A32BD" w:rsidRPr="000A32BD" w:rsidRDefault="000A32BD" w:rsidP="000A32BD">
            <w:pPr>
              <w:jc w:val="both"/>
              <w:rPr>
                <w:rFonts w:ascii="Arial" w:hAnsi="Arial" w:cs="Arial"/>
                <w:sz w:val="20"/>
                <w:szCs w:val="20"/>
              </w:rPr>
            </w:pPr>
            <w:r w:rsidRPr="000A32BD">
              <w:rPr>
                <w:rFonts w:ascii="Arial" w:hAnsi="Arial" w:cs="Arial"/>
                <w:i/>
                <w:iCs/>
                <w:sz w:val="20"/>
                <w:szCs w:val="20"/>
              </w:rPr>
              <w:t>Chromolaena odorata</w:t>
            </w:r>
          </w:p>
        </w:tc>
        <w:tc>
          <w:tcPr>
            <w:tcW w:w="0" w:type="auto"/>
            <w:hideMark/>
          </w:tcPr>
          <w:p w14:paraId="54FF6CA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5F89909"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D13E1F6"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ED05F3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AE20B23"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r w:rsidR="000A32BD" w:rsidRPr="000A32BD" w14:paraId="2985E571"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63402FDC" w14:textId="77777777" w:rsidR="000A32BD" w:rsidRPr="000A32BD" w:rsidRDefault="000A32BD" w:rsidP="000A32BD">
            <w:pPr>
              <w:jc w:val="both"/>
              <w:rPr>
                <w:rFonts w:ascii="Arial" w:hAnsi="Arial" w:cs="Arial"/>
                <w:sz w:val="20"/>
                <w:szCs w:val="20"/>
              </w:rPr>
            </w:pPr>
            <w:r w:rsidRPr="000A32BD">
              <w:rPr>
                <w:rFonts w:ascii="Arial" w:hAnsi="Arial" w:cs="Arial"/>
                <w:i/>
                <w:iCs/>
                <w:sz w:val="20"/>
                <w:szCs w:val="20"/>
              </w:rPr>
              <w:t>Lippia multiflora</w:t>
            </w:r>
          </w:p>
        </w:tc>
        <w:tc>
          <w:tcPr>
            <w:tcW w:w="0" w:type="auto"/>
            <w:hideMark/>
          </w:tcPr>
          <w:p w14:paraId="3078F1A6"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ADB484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3970462D"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340EE49"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D023A5E"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bl>
    <w:p w14:paraId="77806693" w14:textId="566E063F" w:rsidR="00547005" w:rsidRPr="004F25F6" w:rsidRDefault="000A32BD" w:rsidP="00547005">
      <w:pPr>
        <w:jc w:val="both"/>
        <w:rPr>
          <w:rFonts w:ascii="Arial" w:hAnsi="Arial" w:cs="Arial"/>
          <w:i/>
          <w:iCs/>
          <w:sz w:val="18"/>
          <w:szCs w:val="18"/>
        </w:rPr>
      </w:pPr>
      <w:r w:rsidRPr="00547005">
        <w:rPr>
          <w:rFonts w:ascii="Arial" w:hAnsi="Arial" w:cs="Arial"/>
          <w:i/>
          <w:iCs/>
          <w:sz w:val="18"/>
          <w:szCs w:val="18"/>
        </w:rPr>
        <w:t>+++ = Very high spore production; ++ = High spore production; + = Moderate spore production; – = No spores detected.</w:t>
      </w:r>
      <w:r w:rsidR="00547005">
        <w:rPr>
          <w:rFonts w:ascii="Arial" w:hAnsi="Arial" w:cs="Arial"/>
          <w:i/>
          <w:iCs/>
          <w:sz w:val="18"/>
          <w:szCs w:val="18"/>
        </w:rPr>
        <w:t xml:space="preserve"> </w:t>
      </w:r>
      <w:r w:rsidR="00547005"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w:t>
      </w:r>
      <w:r w:rsidR="00547005" w:rsidRPr="004F25F6">
        <w:rPr>
          <w:rFonts w:ascii="Arial" w:hAnsi="Arial" w:cs="Arial"/>
          <w:i/>
          <w:iCs/>
          <w:sz w:val="18"/>
          <w:szCs w:val="18"/>
        </w:rPr>
        <w:lastRenderedPageBreak/>
        <w:t xml:space="preserve">fungicide Thymol–Gamma terpinene–Eugenol was tested at </w:t>
      </w:r>
      <w:r w:rsidR="00003823">
        <w:rPr>
          <w:rFonts w:ascii="Arial" w:hAnsi="Arial" w:cs="Arial"/>
          <w:i/>
          <w:iCs/>
          <w:sz w:val="18"/>
          <w:szCs w:val="18"/>
        </w:rPr>
        <w:t>concentrations of 40, 80, and 160 mL/L (designated as D1, D2, and D3, respectively</w:t>
      </w:r>
      <w:r w:rsidR="00547005" w:rsidRPr="004F25F6">
        <w:rPr>
          <w:rFonts w:ascii="Arial" w:hAnsi="Arial" w:cs="Arial"/>
          <w:i/>
          <w:iCs/>
          <w:sz w:val="18"/>
          <w:szCs w:val="18"/>
        </w:rPr>
        <w:t>). The aqueous extract of Chromolaena odorata and the essential oil of Lippia multiflora were evaluated at five concentrations (T1–T5): 3.12, 6.25, 12.5, 25, and 50 mg/</w:t>
      </w:r>
      <w:proofErr w:type="spellStart"/>
      <w:r w:rsidR="00547005" w:rsidRPr="004F25F6">
        <w:rPr>
          <w:rFonts w:ascii="Arial" w:hAnsi="Arial" w:cs="Arial"/>
          <w:i/>
          <w:iCs/>
          <w:sz w:val="18"/>
          <w:szCs w:val="18"/>
        </w:rPr>
        <w:t>mL</w:t>
      </w:r>
      <w:r w:rsidR="00003823">
        <w:rPr>
          <w:rFonts w:ascii="Arial" w:hAnsi="Arial" w:cs="Arial"/>
          <w:i/>
          <w:iCs/>
          <w:sz w:val="18"/>
          <w:szCs w:val="18"/>
        </w:rPr>
        <w:t>.</w:t>
      </w:r>
      <w:proofErr w:type="spellEnd"/>
    </w:p>
    <w:p w14:paraId="2D7B4D2D" w14:textId="77777777" w:rsidR="000A32BD" w:rsidRPr="000A32BD" w:rsidRDefault="000A32BD" w:rsidP="000A32BD">
      <w:pPr>
        <w:jc w:val="both"/>
        <w:rPr>
          <w:rFonts w:ascii="Arial" w:hAnsi="Arial" w:cs="Arial"/>
        </w:rPr>
      </w:pPr>
    </w:p>
    <w:p w14:paraId="6E4C9049" w14:textId="28023046" w:rsidR="000A32BD" w:rsidRPr="00982914" w:rsidRDefault="00A168A1" w:rsidP="000A32BD">
      <w:pPr>
        <w:pStyle w:val="Heading2"/>
        <w:rPr>
          <w:szCs w:val="22"/>
        </w:rPr>
      </w:pPr>
      <w:r>
        <w:rPr>
          <w:szCs w:val="22"/>
        </w:rPr>
        <w:t xml:space="preserve">3.3. </w:t>
      </w:r>
      <w:r w:rsidR="000A32BD" w:rsidRPr="00982914">
        <w:rPr>
          <w:szCs w:val="22"/>
        </w:rPr>
        <w:t xml:space="preserve">Effect of synthetic and biological fungicides on the germination of </w:t>
      </w:r>
      <w:r w:rsidR="000A32BD" w:rsidRPr="00982914">
        <w:rPr>
          <w:i/>
          <w:iCs/>
          <w:szCs w:val="22"/>
        </w:rPr>
        <w:t>Colletotrichum</w:t>
      </w:r>
      <w:r w:rsidR="000A32BD" w:rsidRPr="00982914">
        <w:rPr>
          <w:szCs w:val="22"/>
        </w:rPr>
        <w:t xml:space="preserve"> and </w:t>
      </w:r>
      <w:r w:rsidR="000A32BD" w:rsidRPr="00982914">
        <w:rPr>
          <w:i/>
          <w:iCs/>
          <w:szCs w:val="22"/>
        </w:rPr>
        <w:t>Fusarium</w:t>
      </w:r>
      <w:r w:rsidR="000A32BD" w:rsidRPr="00982914">
        <w:rPr>
          <w:szCs w:val="22"/>
        </w:rPr>
        <w:t xml:space="preserve"> spores</w:t>
      </w:r>
    </w:p>
    <w:p w14:paraId="0A4831AA" w14:textId="1CEECEA0" w:rsidR="000A32BD" w:rsidRDefault="000A32BD" w:rsidP="000A32BD">
      <w:pPr>
        <w:jc w:val="both"/>
        <w:rPr>
          <w:rFonts w:ascii="Arial" w:hAnsi="Arial" w:cs="Arial"/>
        </w:rPr>
      </w:pPr>
      <w:r w:rsidRPr="000A32BD">
        <w:rPr>
          <w:rFonts w:ascii="Arial" w:hAnsi="Arial" w:cs="Arial"/>
        </w:rPr>
        <w:t>The effect</w:t>
      </w:r>
      <w:r w:rsidR="002A543B">
        <w:rPr>
          <w:rFonts w:ascii="Arial" w:hAnsi="Arial" w:cs="Arial"/>
        </w:rPr>
        <w:t xml:space="preserve">s of fungicides and their </w:t>
      </w:r>
      <w:proofErr w:type="gramStart"/>
      <w:r w:rsidR="003A486E">
        <w:rPr>
          <w:rFonts w:ascii="Arial" w:hAnsi="Arial" w:cs="Arial"/>
        </w:rPr>
        <w:t>concentrations</w:t>
      </w:r>
      <w:proofErr w:type="gramEnd"/>
      <w:r w:rsidR="002A543B">
        <w:rPr>
          <w:rFonts w:ascii="Arial" w:hAnsi="Arial" w:cs="Arial"/>
        </w:rPr>
        <w:t xml:space="preserve"> on spore germination are</w:t>
      </w:r>
      <w:r w:rsidRPr="000A32BD">
        <w:rPr>
          <w:rFonts w:ascii="Arial" w:hAnsi="Arial" w:cs="Arial"/>
        </w:rPr>
        <w:t xml:space="preserve"> summarized in Tables 8 and 9. In general, the spore germination rate decreases with increasing concentration for all fungicides tested. The combination of azoxystrobin + difenoconazole, NECO, and difenoconazole alone </w:t>
      </w:r>
      <w:r w:rsidR="002A543B">
        <w:rPr>
          <w:rFonts w:ascii="Arial" w:hAnsi="Arial" w:cs="Arial"/>
        </w:rPr>
        <w:t>are</w:t>
      </w:r>
      <w:r w:rsidRPr="000A32BD">
        <w:rPr>
          <w:rFonts w:ascii="Arial" w:hAnsi="Arial" w:cs="Arial"/>
        </w:rPr>
        <w:t xml:space="preserve"> the active ingredients that effectively inhibit spore germination of </w:t>
      </w:r>
      <w:r w:rsidRPr="000A32BD">
        <w:rPr>
          <w:rFonts w:ascii="Arial" w:hAnsi="Arial" w:cs="Arial"/>
          <w:i/>
          <w:iCs/>
        </w:rPr>
        <w:t>Colletotrichum</w:t>
      </w:r>
      <w:r w:rsidRPr="000A32BD">
        <w:rPr>
          <w:rFonts w:ascii="Arial" w:hAnsi="Arial" w:cs="Arial"/>
        </w:rPr>
        <w:t xml:space="preserve"> isolates. With these fungicides, the germination inhibition rates are 69.76%, 59.02%, and 67.95% at concentration D1 (2.5, 40, and 1.33 ml/l for azoxystrobin + difenoconazole, NECO, and difenoconazole, respectively). From D2 (5; 80 and 2.66 ml/l for Azoxystrobin + Difenoconazole, NECO and Difenoconazole respectively), all fungicides inhibit spore germination by more than 75%. At concentration D3, 10</w:t>
      </w:r>
      <w:r w:rsidR="002A543B">
        <w:rPr>
          <w:rFonts w:ascii="Arial" w:hAnsi="Arial" w:cs="Arial"/>
        </w:rPr>
        <w:t>,</w:t>
      </w:r>
      <w:r w:rsidRPr="000A32BD">
        <w:rPr>
          <w:rFonts w:ascii="Arial" w:hAnsi="Arial" w:cs="Arial"/>
        </w:rPr>
        <w:t xml:space="preserve"> 160</w:t>
      </w:r>
      <w:r w:rsidR="00363D39">
        <w:rPr>
          <w:rFonts w:ascii="Arial" w:hAnsi="Arial" w:cs="Arial"/>
        </w:rPr>
        <w:t>,</w:t>
      </w:r>
      <w:r w:rsidRPr="000A32BD">
        <w:rPr>
          <w:rFonts w:ascii="Arial" w:hAnsi="Arial" w:cs="Arial"/>
        </w:rPr>
        <w:t xml:space="preserve"> and 5.32 ml/l for Azoxystrobin + Difenoconazole, NECO</w:t>
      </w:r>
      <w:r w:rsidR="00363D39">
        <w:rPr>
          <w:rFonts w:ascii="Arial" w:hAnsi="Arial" w:cs="Arial"/>
        </w:rPr>
        <w:t>,</w:t>
      </w:r>
      <w:r w:rsidRPr="000A32BD">
        <w:rPr>
          <w:rFonts w:ascii="Arial" w:hAnsi="Arial" w:cs="Arial"/>
        </w:rPr>
        <w:t xml:space="preserve"> and Difenoconazole</w:t>
      </w:r>
      <w:r w:rsidR="00363D39">
        <w:rPr>
          <w:rFonts w:ascii="Arial" w:hAnsi="Arial" w:cs="Arial"/>
        </w:rPr>
        <w:t>,</w:t>
      </w:r>
      <w:r w:rsidRPr="000A32BD">
        <w:rPr>
          <w:rFonts w:ascii="Arial" w:hAnsi="Arial" w:cs="Arial"/>
        </w:rPr>
        <w:t xml:space="preserve"> respectively, the fungicide NECO completely inhibited spore germination, while with </w:t>
      </w:r>
      <w:r w:rsidRPr="000A32BD">
        <w:rPr>
          <w:rFonts w:ascii="Arial" w:hAnsi="Arial" w:cs="Arial"/>
          <w:i/>
          <w:iCs/>
        </w:rPr>
        <w:t>Lippia multiflora</w:t>
      </w:r>
      <w:r w:rsidRPr="000A32BD">
        <w:rPr>
          <w:rFonts w:ascii="Arial" w:hAnsi="Arial" w:cs="Arial"/>
        </w:rPr>
        <w:t xml:space="preserve"> oil extract, inhibition was complete from D4 (5 ml/l). </w:t>
      </w:r>
    </w:p>
    <w:p w14:paraId="2E07B422" w14:textId="77777777" w:rsidR="00547005" w:rsidRPr="000A32BD" w:rsidRDefault="00547005" w:rsidP="000A32BD">
      <w:pPr>
        <w:jc w:val="both"/>
        <w:rPr>
          <w:rFonts w:ascii="Arial" w:hAnsi="Arial" w:cs="Arial"/>
        </w:rPr>
      </w:pPr>
    </w:p>
    <w:p w14:paraId="0EA60507" w14:textId="66F1C612" w:rsidR="000A32BD" w:rsidRDefault="000A32BD" w:rsidP="000A32BD">
      <w:pPr>
        <w:jc w:val="both"/>
        <w:rPr>
          <w:rFonts w:ascii="Arial" w:hAnsi="Arial" w:cs="Arial"/>
        </w:rPr>
      </w:pPr>
      <w:r w:rsidRPr="000A32BD">
        <w:rPr>
          <w:rFonts w:ascii="Arial" w:hAnsi="Arial" w:cs="Arial"/>
        </w:rPr>
        <w:t xml:space="preserve">For the Fusarium genus, the active ingredients Mancozeb, Difenoconazole, and NECO were effective. </w:t>
      </w:r>
      <w:r w:rsidR="00632197">
        <w:rPr>
          <w:rFonts w:ascii="Arial" w:hAnsi="Arial" w:cs="Arial"/>
        </w:rPr>
        <w:t>Except for</w:t>
      </w:r>
      <w:r w:rsidRPr="000A32BD">
        <w:rPr>
          <w:rFonts w:ascii="Arial" w:hAnsi="Arial" w:cs="Arial"/>
        </w:rPr>
        <w:t xml:space="preserve"> Azoxystrobin, Copper Hydroxide, and Difenoconazole, the D2 concentration (5 ml/l) was sufficient to </w:t>
      </w:r>
      <w:r w:rsidR="00CC3EFF">
        <w:rPr>
          <w:rFonts w:ascii="Arial" w:hAnsi="Arial" w:cs="Arial"/>
        </w:rPr>
        <w:t>inhibit spore germination with all other fungicides completely</w:t>
      </w:r>
      <w:r w:rsidRPr="000A32BD">
        <w:rPr>
          <w:rFonts w:ascii="Arial" w:hAnsi="Arial" w:cs="Arial"/>
        </w:rPr>
        <w:t xml:space="preserve">. With the biological fungicide consisting of </w:t>
      </w:r>
      <w:r w:rsidRPr="000A32BD">
        <w:rPr>
          <w:rFonts w:ascii="Arial" w:hAnsi="Arial" w:cs="Arial"/>
          <w:i/>
          <w:iCs/>
        </w:rPr>
        <w:t>Lippia multiflora</w:t>
      </w:r>
      <w:r w:rsidRPr="000A32BD">
        <w:rPr>
          <w:rFonts w:ascii="Arial" w:hAnsi="Arial" w:cs="Arial"/>
        </w:rPr>
        <w:t xml:space="preserve"> oil extract, the D4 concentration (5 ml/l) completely inhibited spore germination.</w:t>
      </w:r>
    </w:p>
    <w:p w14:paraId="35BC7151" w14:textId="77777777" w:rsidR="00547005" w:rsidRPr="000A32BD" w:rsidRDefault="00547005" w:rsidP="000A32BD">
      <w:pPr>
        <w:jc w:val="both"/>
        <w:rPr>
          <w:rFonts w:ascii="Arial" w:hAnsi="Arial" w:cs="Arial"/>
        </w:rPr>
      </w:pPr>
    </w:p>
    <w:p w14:paraId="121B8ED9" w14:textId="4A71635E" w:rsidR="000A32BD" w:rsidRDefault="000A32BD" w:rsidP="000A32BD">
      <w:pPr>
        <w:rPr>
          <w:rFonts w:ascii="Arial" w:hAnsi="Arial" w:cs="Arial"/>
        </w:rPr>
      </w:pPr>
      <w:r w:rsidRPr="000A32BD">
        <w:rPr>
          <w:rFonts w:ascii="Arial" w:hAnsi="Arial" w:cs="Arial"/>
          <w:b/>
          <w:bCs/>
        </w:rPr>
        <w:t xml:space="preserve">Table 8: Effect of different fungicides and their </w:t>
      </w:r>
      <w:r w:rsidR="00B57224" w:rsidRPr="000A32BD">
        <w:rPr>
          <w:rFonts w:ascii="Arial" w:hAnsi="Arial" w:cs="Arial"/>
          <w:b/>
          <w:bCs/>
        </w:rPr>
        <w:t>concentration</w:t>
      </w:r>
      <w:r w:rsidRPr="000A32BD">
        <w:rPr>
          <w:rFonts w:ascii="Arial" w:hAnsi="Arial" w:cs="Arial"/>
          <w:b/>
          <w:bCs/>
        </w:rPr>
        <w:t xml:space="preserve"> on the germination of </w:t>
      </w:r>
      <w:r w:rsidRPr="000A32BD">
        <w:rPr>
          <w:rFonts w:ascii="Arial" w:hAnsi="Arial" w:cs="Arial"/>
          <w:b/>
          <w:bCs/>
          <w:i/>
          <w:iCs/>
        </w:rPr>
        <w:t>Colletotrichum</w:t>
      </w:r>
      <w:r w:rsidRPr="000A32BD">
        <w:rPr>
          <w:rFonts w:ascii="Arial" w:hAnsi="Arial" w:cs="Arial"/>
          <w:b/>
          <w:bCs/>
        </w:rPr>
        <w:t xml:space="preserve"> spores</w:t>
      </w:r>
      <w:r w:rsidRPr="000A32BD">
        <w:rPr>
          <w:rFonts w:ascii="Arial" w:hAnsi="Arial" w:cs="Arial"/>
        </w:rPr>
        <w:t xml:space="preserve"> </w:t>
      </w:r>
    </w:p>
    <w:p w14:paraId="670B862A" w14:textId="77777777" w:rsidR="00547005" w:rsidRPr="000A32BD" w:rsidRDefault="00547005" w:rsidP="000A32BD">
      <w:pPr>
        <w:rPr>
          <w:rFonts w:ascii="Arial" w:hAnsi="Arial" w:cs="Arial"/>
        </w:rPr>
      </w:pPr>
    </w:p>
    <w:tbl>
      <w:tblPr>
        <w:tblStyle w:val="PlainTable2"/>
        <w:tblW w:w="5000" w:type="pct"/>
        <w:tblLook w:val="04A0" w:firstRow="1" w:lastRow="0" w:firstColumn="1" w:lastColumn="0" w:noHBand="0" w:noVBand="1"/>
      </w:tblPr>
      <w:tblGrid>
        <w:gridCol w:w="3189"/>
        <w:gridCol w:w="1041"/>
        <w:gridCol w:w="1042"/>
        <w:gridCol w:w="1050"/>
        <w:gridCol w:w="1050"/>
        <w:gridCol w:w="1052"/>
      </w:tblGrid>
      <w:tr w:rsidR="000A32BD" w:rsidRPr="000A32BD" w14:paraId="1D7CE2D2" w14:textId="77777777" w:rsidTr="004F25F6">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vMerge w:val="restart"/>
            <w:noWrap/>
            <w:vAlign w:val="center"/>
            <w:hideMark/>
          </w:tcPr>
          <w:p w14:paraId="4643E23D" w14:textId="77777777" w:rsidR="000A32BD" w:rsidRPr="000A32BD" w:rsidRDefault="000A32BD" w:rsidP="004F25F6">
            <w:pPr>
              <w:jc w:val="center"/>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Fungicides</w:t>
            </w:r>
          </w:p>
        </w:tc>
        <w:tc>
          <w:tcPr>
            <w:tcW w:w="3386" w:type="pct"/>
            <w:gridSpan w:val="5"/>
            <w:vAlign w:val="center"/>
            <w:hideMark/>
          </w:tcPr>
          <w:p w14:paraId="354B1BF9" w14:textId="77777777" w:rsidR="000A32BD" w:rsidRPr="000A32BD" w:rsidRDefault="000A32BD" w:rsidP="004F2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Spore germination inhibition rate (%)</w:t>
            </w:r>
          </w:p>
        </w:tc>
      </w:tr>
      <w:tr w:rsidR="000A32BD" w:rsidRPr="000A32BD" w14:paraId="70316C24"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vMerge/>
            <w:vAlign w:val="center"/>
            <w:hideMark/>
          </w:tcPr>
          <w:p w14:paraId="5B165114" w14:textId="77777777" w:rsidR="000A32BD" w:rsidRPr="000A32BD" w:rsidRDefault="000A32BD" w:rsidP="004F25F6">
            <w:pPr>
              <w:jc w:val="center"/>
              <w:rPr>
                <w:rFonts w:ascii="Arial" w:eastAsia="Times New Roman" w:hAnsi="Arial" w:cs="Arial"/>
                <w:b w:val="0"/>
                <w:bCs w:val="0"/>
                <w:color w:val="000000"/>
                <w:sz w:val="20"/>
                <w:szCs w:val="20"/>
                <w:lang w:val="fr-FR"/>
              </w:rPr>
            </w:pPr>
          </w:p>
        </w:tc>
        <w:tc>
          <w:tcPr>
            <w:tcW w:w="674" w:type="pct"/>
            <w:noWrap/>
            <w:vAlign w:val="center"/>
            <w:hideMark/>
          </w:tcPr>
          <w:p w14:paraId="02314E5A"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D1 or T1</w:t>
            </w:r>
          </w:p>
        </w:tc>
        <w:tc>
          <w:tcPr>
            <w:tcW w:w="674" w:type="pct"/>
            <w:noWrap/>
            <w:vAlign w:val="center"/>
            <w:hideMark/>
          </w:tcPr>
          <w:p w14:paraId="38977D41"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D2 or T2</w:t>
            </w:r>
          </w:p>
        </w:tc>
        <w:tc>
          <w:tcPr>
            <w:tcW w:w="679" w:type="pct"/>
            <w:noWrap/>
            <w:vAlign w:val="center"/>
            <w:hideMark/>
          </w:tcPr>
          <w:p w14:paraId="26AD070D"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D3 or T3</w:t>
            </w:r>
          </w:p>
        </w:tc>
        <w:tc>
          <w:tcPr>
            <w:tcW w:w="679" w:type="pct"/>
            <w:noWrap/>
            <w:vAlign w:val="center"/>
            <w:hideMark/>
          </w:tcPr>
          <w:p w14:paraId="56F43F6F"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T4</w:t>
            </w:r>
          </w:p>
        </w:tc>
        <w:tc>
          <w:tcPr>
            <w:tcW w:w="679" w:type="pct"/>
            <w:noWrap/>
            <w:vAlign w:val="center"/>
            <w:hideMark/>
          </w:tcPr>
          <w:p w14:paraId="73326AA0"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T5</w:t>
            </w:r>
          </w:p>
        </w:tc>
      </w:tr>
      <w:tr w:rsidR="000A32BD" w:rsidRPr="000A32BD" w14:paraId="5F9E67F7"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330E9033"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Mancozeb</w:t>
            </w:r>
          </w:p>
        </w:tc>
        <w:tc>
          <w:tcPr>
            <w:tcW w:w="674" w:type="pct"/>
            <w:noWrap/>
            <w:vAlign w:val="center"/>
            <w:hideMark/>
          </w:tcPr>
          <w:p w14:paraId="50BEB663"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34.41 b</w:t>
            </w:r>
          </w:p>
        </w:tc>
        <w:tc>
          <w:tcPr>
            <w:tcW w:w="674" w:type="pct"/>
            <w:noWrap/>
            <w:vAlign w:val="center"/>
            <w:hideMark/>
          </w:tcPr>
          <w:p w14:paraId="3F67E734"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34.68 b</w:t>
            </w:r>
          </w:p>
        </w:tc>
        <w:tc>
          <w:tcPr>
            <w:tcW w:w="679" w:type="pct"/>
            <w:noWrap/>
            <w:vAlign w:val="center"/>
            <w:hideMark/>
          </w:tcPr>
          <w:p w14:paraId="101D9DAB"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44.67 a</w:t>
            </w:r>
          </w:p>
        </w:tc>
        <w:tc>
          <w:tcPr>
            <w:tcW w:w="679" w:type="pct"/>
            <w:noWrap/>
            <w:vAlign w:val="center"/>
            <w:hideMark/>
          </w:tcPr>
          <w:p w14:paraId="5B36728D"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2D5655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07886AAF"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B075DFF"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Difenoconazole</w:t>
            </w:r>
          </w:p>
        </w:tc>
        <w:tc>
          <w:tcPr>
            <w:tcW w:w="674" w:type="pct"/>
            <w:noWrap/>
            <w:vAlign w:val="center"/>
            <w:hideMark/>
          </w:tcPr>
          <w:p w14:paraId="44ADF5B9"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59.02 ab</w:t>
            </w:r>
          </w:p>
        </w:tc>
        <w:tc>
          <w:tcPr>
            <w:tcW w:w="674" w:type="pct"/>
            <w:noWrap/>
            <w:vAlign w:val="center"/>
            <w:hideMark/>
          </w:tcPr>
          <w:p w14:paraId="60B89E3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69.27 c</w:t>
            </w:r>
          </w:p>
        </w:tc>
        <w:tc>
          <w:tcPr>
            <w:tcW w:w="679" w:type="pct"/>
            <w:noWrap/>
            <w:vAlign w:val="center"/>
            <w:hideMark/>
          </w:tcPr>
          <w:p w14:paraId="259B5072"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76.59 bc</w:t>
            </w:r>
          </w:p>
        </w:tc>
        <w:tc>
          <w:tcPr>
            <w:tcW w:w="679" w:type="pct"/>
            <w:noWrap/>
            <w:vAlign w:val="center"/>
            <w:hideMark/>
          </w:tcPr>
          <w:p w14:paraId="5269E76D"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43E01B69"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31F1903C"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17715F65"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Copper hydroxide</w:t>
            </w:r>
          </w:p>
        </w:tc>
        <w:tc>
          <w:tcPr>
            <w:tcW w:w="674" w:type="pct"/>
            <w:noWrap/>
            <w:vAlign w:val="center"/>
            <w:hideMark/>
          </w:tcPr>
          <w:p w14:paraId="7365526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64.25 c</w:t>
            </w:r>
          </w:p>
        </w:tc>
        <w:tc>
          <w:tcPr>
            <w:tcW w:w="674" w:type="pct"/>
            <w:noWrap/>
            <w:vAlign w:val="center"/>
            <w:hideMark/>
          </w:tcPr>
          <w:p w14:paraId="1117E3EF"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64.88 ab</w:t>
            </w:r>
          </w:p>
        </w:tc>
        <w:tc>
          <w:tcPr>
            <w:tcW w:w="679" w:type="pct"/>
            <w:noWrap/>
            <w:vAlign w:val="center"/>
            <w:hideMark/>
          </w:tcPr>
          <w:p w14:paraId="5C90147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70.65 c</w:t>
            </w:r>
          </w:p>
        </w:tc>
        <w:tc>
          <w:tcPr>
            <w:tcW w:w="679" w:type="pct"/>
            <w:noWrap/>
            <w:vAlign w:val="center"/>
            <w:hideMark/>
          </w:tcPr>
          <w:p w14:paraId="1E6E5F32"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0B46B09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3358467C"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1B371F8C"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Azoxystrobin + Difenoconazole</w:t>
            </w:r>
          </w:p>
        </w:tc>
        <w:tc>
          <w:tcPr>
            <w:tcW w:w="674" w:type="pct"/>
            <w:noWrap/>
            <w:vAlign w:val="center"/>
            <w:hideMark/>
          </w:tcPr>
          <w:p w14:paraId="2CC1F7DB"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69.76 d</w:t>
            </w:r>
          </w:p>
        </w:tc>
        <w:tc>
          <w:tcPr>
            <w:tcW w:w="674" w:type="pct"/>
            <w:noWrap/>
            <w:vAlign w:val="center"/>
            <w:hideMark/>
          </w:tcPr>
          <w:p w14:paraId="284E56AA"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74.73 bc</w:t>
            </w:r>
          </w:p>
        </w:tc>
        <w:tc>
          <w:tcPr>
            <w:tcW w:w="679" w:type="pct"/>
            <w:noWrap/>
            <w:vAlign w:val="center"/>
            <w:hideMark/>
          </w:tcPr>
          <w:p w14:paraId="605F83E2"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75.47 bc</w:t>
            </w:r>
          </w:p>
        </w:tc>
        <w:tc>
          <w:tcPr>
            <w:tcW w:w="679" w:type="pct"/>
            <w:noWrap/>
            <w:vAlign w:val="center"/>
            <w:hideMark/>
          </w:tcPr>
          <w:p w14:paraId="4B5363E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92D2103"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672D9D77"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C94C715"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NECO</w:t>
            </w:r>
          </w:p>
        </w:tc>
        <w:tc>
          <w:tcPr>
            <w:tcW w:w="674" w:type="pct"/>
            <w:noWrap/>
            <w:vAlign w:val="center"/>
            <w:hideMark/>
          </w:tcPr>
          <w:p w14:paraId="52A647C5"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67.95 bc</w:t>
            </w:r>
          </w:p>
        </w:tc>
        <w:tc>
          <w:tcPr>
            <w:tcW w:w="674" w:type="pct"/>
            <w:noWrap/>
            <w:vAlign w:val="center"/>
            <w:hideMark/>
          </w:tcPr>
          <w:p w14:paraId="501C33E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85.04 d</w:t>
            </w:r>
          </w:p>
        </w:tc>
        <w:tc>
          <w:tcPr>
            <w:tcW w:w="679" w:type="pct"/>
            <w:noWrap/>
            <w:vAlign w:val="center"/>
            <w:hideMark/>
          </w:tcPr>
          <w:p w14:paraId="6500B907"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79" w:type="pct"/>
            <w:noWrap/>
            <w:vAlign w:val="center"/>
            <w:hideMark/>
          </w:tcPr>
          <w:p w14:paraId="67C728A4"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E6F1962"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664A238B"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BFEC867" w14:textId="77777777" w:rsidR="000A32BD" w:rsidRPr="000A32BD" w:rsidRDefault="000A32BD" w:rsidP="004F25F6">
            <w:pPr>
              <w:jc w:val="center"/>
              <w:rPr>
                <w:rFonts w:ascii="Arial" w:eastAsia="Times New Roman" w:hAnsi="Arial" w:cs="Arial"/>
                <w:i/>
                <w:iCs/>
                <w:color w:val="000000"/>
                <w:sz w:val="20"/>
                <w:szCs w:val="20"/>
              </w:rPr>
            </w:pPr>
            <w:r w:rsidRPr="000A32BD">
              <w:rPr>
                <w:rFonts w:ascii="Arial" w:eastAsia="Times New Roman" w:hAnsi="Arial" w:cs="Arial"/>
                <w:i/>
                <w:iCs/>
                <w:color w:val="000000"/>
                <w:sz w:val="20"/>
                <w:szCs w:val="20"/>
              </w:rPr>
              <w:t>Chromolaena odorata</w:t>
            </w:r>
          </w:p>
        </w:tc>
        <w:tc>
          <w:tcPr>
            <w:tcW w:w="674" w:type="pct"/>
            <w:noWrap/>
            <w:vAlign w:val="center"/>
            <w:hideMark/>
          </w:tcPr>
          <w:p w14:paraId="585B0004"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27.58 a</w:t>
            </w:r>
          </w:p>
        </w:tc>
        <w:tc>
          <w:tcPr>
            <w:tcW w:w="674" w:type="pct"/>
            <w:noWrap/>
            <w:vAlign w:val="center"/>
            <w:hideMark/>
          </w:tcPr>
          <w:p w14:paraId="361C892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30.29 a</w:t>
            </w:r>
          </w:p>
        </w:tc>
        <w:tc>
          <w:tcPr>
            <w:tcW w:w="679" w:type="pct"/>
            <w:noWrap/>
            <w:vAlign w:val="center"/>
            <w:hideMark/>
          </w:tcPr>
          <w:p w14:paraId="7FC73027"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64.15 ab</w:t>
            </w:r>
          </w:p>
        </w:tc>
        <w:tc>
          <w:tcPr>
            <w:tcW w:w="679" w:type="pct"/>
            <w:noWrap/>
            <w:vAlign w:val="center"/>
            <w:hideMark/>
          </w:tcPr>
          <w:p w14:paraId="178F39D6"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72.44 a</w:t>
            </w:r>
          </w:p>
        </w:tc>
        <w:tc>
          <w:tcPr>
            <w:tcW w:w="679" w:type="pct"/>
            <w:noWrap/>
            <w:vAlign w:val="center"/>
            <w:hideMark/>
          </w:tcPr>
          <w:p w14:paraId="6CAA8F58"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75.08 a</w:t>
            </w:r>
          </w:p>
        </w:tc>
      </w:tr>
      <w:tr w:rsidR="000A32BD" w:rsidRPr="000A32BD" w14:paraId="382E04C8"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45428002" w14:textId="77777777" w:rsidR="000A32BD" w:rsidRPr="000A32BD" w:rsidRDefault="000A32BD" w:rsidP="004F25F6">
            <w:pPr>
              <w:jc w:val="center"/>
              <w:rPr>
                <w:rFonts w:ascii="Arial" w:eastAsia="Times New Roman" w:hAnsi="Arial" w:cs="Arial"/>
                <w:i/>
                <w:iCs/>
                <w:color w:val="000000"/>
                <w:sz w:val="20"/>
                <w:szCs w:val="20"/>
              </w:rPr>
            </w:pPr>
            <w:r w:rsidRPr="000A32BD">
              <w:rPr>
                <w:rFonts w:ascii="Arial" w:eastAsia="Times New Roman" w:hAnsi="Arial" w:cs="Arial"/>
                <w:i/>
                <w:iCs/>
                <w:color w:val="000000"/>
                <w:sz w:val="20"/>
                <w:szCs w:val="20"/>
              </w:rPr>
              <w:t>Lippia multiflora</w:t>
            </w:r>
          </w:p>
        </w:tc>
        <w:tc>
          <w:tcPr>
            <w:tcW w:w="674" w:type="pct"/>
            <w:noWrap/>
            <w:vAlign w:val="center"/>
            <w:hideMark/>
          </w:tcPr>
          <w:p w14:paraId="2335B7E0"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58.54 ab</w:t>
            </w:r>
          </w:p>
        </w:tc>
        <w:tc>
          <w:tcPr>
            <w:tcW w:w="674" w:type="pct"/>
            <w:noWrap/>
            <w:vAlign w:val="center"/>
            <w:hideMark/>
          </w:tcPr>
          <w:p w14:paraId="5EDBDC7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59.25 b</w:t>
            </w:r>
          </w:p>
        </w:tc>
        <w:tc>
          <w:tcPr>
            <w:tcW w:w="679" w:type="pct"/>
            <w:noWrap/>
            <w:vAlign w:val="center"/>
            <w:hideMark/>
          </w:tcPr>
          <w:p w14:paraId="33A5EE77"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60.15 b</w:t>
            </w:r>
          </w:p>
        </w:tc>
        <w:tc>
          <w:tcPr>
            <w:tcW w:w="679" w:type="pct"/>
            <w:noWrap/>
            <w:vAlign w:val="center"/>
            <w:hideMark/>
          </w:tcPr>
          <w:p w14:paraId="7FBA2345"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c>
          <w:tcPr>
            <w:tcW w:w="679" w:type="pct"/>
            <w:noWrap/>
            <w:vAlign w:val="center"/>
            <w:hideMark/>
          </w:tcPr>
          <w:p w14:paraId="22E7F851"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r>
    </w:tbl>
    <w:p w14:paraId="587A3FD3" w14:textId="28DEC085" w:rsidR="000A32BD" w:rsidRPr="004F25F6" w:rsidRDefault="000A32BD" w:rsidP="000A32BD">
      <w:pPr>
        <w:jc w:val="both"/>
        <w:rPr>
          <w:rFonts w:ascii="Arial" w:hAnsi="Arial" w:cs="Arial"/>
          <w:i/>
          <w:iCs/>
          <w:sz w:val="18"/>
          <w:szCs w:val="18"/>
        </w:rPr>
      </w:pPr>
      <w:r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CC3EFF">
        <w:rPr>
          <w:rFonts w:ascii="Arial" w:hAnsi="Arial" w:cs="Arial"/>
          <w:i/>
          <w:iCs/>
          <w:sz w:val="18"/>
          <w:szCs w:val="18"/>
        </w:rPr>
        <w:t>concentrations of 40, 80, and 160 mL/L (designated as D1, D2, and D3, respectively</w:t>
      </w:r>
      <w:r w:rsidRPr="004F25F6">
        <w:rPr>
          <w:rFonts w:ascii="Arial" w:hAnsi="Arial" w:cs="Arial"/>
          <w:i/>
          <w:iCs/>
          <w:sz w:val="18"/>
          <w:szCs w:val="18"/>
        </w:rPr>
        <w:t>). The aqueous extract of Chromolaena odorata and the essential oil of Lippia multiflora were evaluated at five concentrations (T1–T5): 3.12, 6.25, 12.5, 25, and 50 mg/</w:t>
      </w:r>
      <w:proofErr w:type="spellStart"/>
      <w:r w:rsidRPr="004F25F6">
        <w:rPr>
          <w:rFonts w:ascii="Arial" w:hAnsi="Arial" w:cs="Arial"/>
          <w:i/>
          <w:iCs/>
          <w:sz w:val="18"/>
          <w:szCs w:val="18"/>
        </w:rPr>
        <w:t>mL</w:t>
      </w:r>
      <w:r w:rsidR="00CC3EFF">
        <w:rPr>
          <w:rFonts w:ascii="Arial" w:hAnsi="Arial" w:cs="Arial"/>
          <w:i/>
          <w:iCs/>
          <w:sz w:val="18"/>
          <w:szCs w:val="18"/>
        </w:rPr>
        <w:t>.</w:t>
      </w:r>
      <w:proofErr w:type="spellEnd"/>
    </w:p>
    <w:p w14:paraId="64EF7351" w14:textId="3F14B8AB" w:rsidR="000A32BD" w:rsidRPr="004F25F6" w:rsidRDefault="000A32BD" w:rsidP="000A32BD">
      <w:pPr>
        <w:jc w:val="both"/>
        <w:rPr>
          <w:rFonts w:ascii="Arial" w:hAnsi="Arial" w:cs="Arial"/>
          <w:i/>
          <w:iCs/>
          <w:sz w:val="18"/>
          <w:szCs w:val="18"/>
        </w:rPr>
      </w:pPr>
      <w:r w:rsidRPr="004F25F6">
        <w:rPr>
          <w:rFonts w:ascii="Arial" w:hAnsi="Arial" w:cs="Arial"/>
          <w:i/>
          <w:iCs/>
          <w:sz w:val="18"/>
          <w:szCs w:val="18"/>
        </w:rPr>
        <w:lastRenderedPageBreak/>
        <w:t>Values followed by the same letters in a column are statistically identical at the 5% significance level according to the Conover-Iman test</w:t>
      </w:r>
      <w:r w:rsidR="00CC3EFF">
        <w:rPr>
          <w:rFonts w:ascii="Arial" w:hAnsi="Arial" w:cs="Arial"/>
          <w:i/>
          <w:iCs/>
          <w:sz w:val="18"/>
          <w:szCs w:val="18"/>
        </w:rPr>
        <w:t>.</w:t>
      </w:r>
      <w:r w:rsidRPr="004F25F6">
        <w:rPr>
          <w:rFonts w:ascii="Arial" w:hAnsi="Arial" w:cs="Arial"/>
          <w:i/>
          <w:iCs/>
          <w:sz w:val="18"/>
          <w:szCs w:val="18"/>
        </w:rPr>
        <w:t xml:space="preserve"> </w:t>
      </w:r>
    </w:p>
    <w:p w14:paraId="5127D952" w14:textId="77777777" w:rsidR="000A32BD" w:rsidRPr="000A32BD" w:rsidRDefault="000A32BD" w:rsidP="000A32BD">
      <w:pPr>
        <w:rPr>
          <w:rFonts w:ascii="Arial" w:hAnsi="Arial" w:cs="Arial"/>
        </w:rPr>
      </w:pPr>
    </w:p>
    <w:p w14:paraId="00C8F20A" w14:textId="77777777" w:rsidR="000A32BD" w:rsidRDefault="000A32BD" w:rsidP="000A32BD">
      <w:pPr>
        <w:rPr>
          <w:rFonts w:ascii="Arial" w:hAnsi="Arial" w:cs="Arial"/>
        </w:rPr>
      </w:pPr>
      <w:r w:rsidRPr="000A32BD">
        <w:rPr>
          <w:rFonts w:ascii="Arial" w:hAnsi="Arial" w:cs="Arial"/>
          <w:b/>
          <w:bCs/>
        </w:rPr>
        <w:t>Table 9.</w:t>
      </w:r>
      <w:r w:rsidRPr="000A32BD">
        <w:rPr>
          <w:rFonts w:ascii="Arial" w:hAnsi="Arial" w:cs="Arial"/>
        </w:rPr>
        <w:t xml:space="preserve"> Effect of different fungicides and their concentrations on </w:t>
      </w:r>
      <w:r w:rsidRPr="000A32BD">
        <w:rPr>
          <w:rFonts w:ascii="Arial" w:hAnsi="Arial" w:cs="Arial"/>
          <w:i/>
          <w:iCs/>
        </w:rPr>
        <w:t>Fusarium</w:t>
      </w:r>
      <w:r w:rsidRPr="000A32BD">
        <w:rPr>
          <w:rFonts w:ascii="Arial" w:hAnsi="Arial" w:cs="Arial"/>
        </w:rPr>
        <w:t xml:space="preserve"> spore germination.</w:t>
      </w:r>
    </w:p>
    <w:p w14:paraId="4A6B6433" w14:textId="77777777" w:rsidR="004F25F6" w:rsidRPr="000A32BD" w:rsidRDefault="004F25F6" w:rsidP="000A32BD">
      <w:pPr>
        <w:rPr>
          <w:rFonts w:ascii="Arial" w:hAnsi="Arial" w:cs="Arial"/>
        </w:rPr>
      </w:pPr>
    </w:p>
    <w:tbl>
      <w:tblPr>
        <w:tblStyle w:val="PlainTable2"/>
        <w:tblW w:w="5000" w:type="pct"/>
        <w:tblLook w:val="04A0" w:firstRow="1" w:lastRow="0" w:firstColumn="1" w:lastColumn="0" w:noHBand="0" w:noVBand="1"/>
      </w:tblPr>
      <w:tblGrid>
        <w:gridCol w:w="3189"/>
        <w:gridCol w:w="953"/>
        <w:gridCol w:w="102"/>
        <w:gridCol w:w="928"/>
        <w:gridCol w:w="101"/>
        <w:gridCol w:w="961"/>
        <w:gridCol w:w="100"/>
        <w:gridCol w:w="963"/>
        <w:gridCol w:w="97"/>
        <w:gridCol w:w="967"/>
        <w:gridCol w:w="63"/>
      </w:tblGrid>
      <w:tr w:rsidR="000A32BD" w:rsidRPr="000A32BD" w14:paraId="32CF585E" w14:textId="77777777" w:rsidTr="00987781">
        <w:trPr>
          <w:gridAfter w:val="1"/>
          <w:cnfStyle w:val="100000000000" w:firstRow="1" w:lastRow="0" w:firstColumn="0" w:lastColumn="0" w:oddVBand="0" w:evenVBand="0" w:oddHBand="0" w:evenHBand="0" w:firstRowFirstColumn="0" w:firstRowLastColumn="0" w:lastRowFirstColumn="0" w:lastRowLastColumn="0"/>
          <w:wAfter w:w="67" w:type="pct"/>
          <w:trHeight w:val="308"/>
        </w:trPr>
        <w:tc>
          <w:tcPr>
            <w:cnfStyle w:val="001000000000" w:firstRow="0" w:lastRow="0" w:firstColumn="1" w:lastColumn="0" w:oddVBand="0" w:evenVBand="0" w:oddHBand="0" w:evenHBand="0" w:firstRowFirstColumn="0" w:firstRowLastColumn="0" w:lastRowFirstColumn="0" w:lastRowLastColumn="0"/>
            <w:tcW w:w="1592" w:type="pct"/>
            <w:vMerge w:val="restart"/>
            <w:noWrap/>
            <w:vAlign w:val="center"/>
            <w:hideMark/>
          </w:tcPr>
          <w:p w14:paraId="37FA158B" w14:textId="77777777" w:rsidR="000A32BD" w:rsidRPr="000A32BD" w:rsidRDefault="000A32BD" w:rsidP="00D1490B">
            <w:pPr>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Fungicides</w:t>
            </w:r>
          </w:p>
        </w:tc>
        <w:tc>
          <w:tcPr>
            <w:tcW w:w="3341" w:type="pct"/>
            <w:gridSpan w:val="9"/>
            <w:vAlign w:val="center"/>
            <w:hideMark/>
          </w:tcPr>
          <w:p w14:paraId="101939E9" w14:textId="77777777" w:rsidR="000A32BD" w:rsidRPr="000A32BD" w:rsidRDefault="000A32BD" w:rsidP="009877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fr-FR"/>
              </w:rPr>
            </w:pPr>
            <w:r w:rsidRPr="000A32BD">
              <w:rPr>
                <w:rFonts w:ascii="Arial" w:eastAsia="Times New Roman" w:hAnsi="Arial" w:cs="Arial"/>
                <w:color w:val="000000"/>
                <w:sz w:val="20"/>
                <w:szCs w:val="20"/>
              </w:rPr>
              <w:t>Spore germination inhibition rate (%)</w:t>
            </w:r>
          </w:p>
        </w:tc>
      </w:tr>
      <w:tr w:rsidR="000A32BD" w:rsidRPr="000A32BD" w14:paraId="0C61D892" w14:textId="77777777" w:rsidTr="0098778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92" w:type="pct"/>
            <w:vMerge/>
            <w:vAlign w:val="center"/>
            <w:hideMark/>
          </w:tcPr>
          <w:p w14:paraId="577DD4E1" w14:textId="77777777" w:rsidR="000A32BD" w:rsidRPr="000A32BD" w:rsidRDefault="000A32BD" w:rsidP="00D1490B">
            <w:pPr>
              <w:rPr>
                <w:rFonts w:ascii="Arial" w:eastAsia="Times New Roman" w:hAnsi="Arial" w:cs="Arial"/>
                <w:b w:val="0"/>
                <w:bCs w:val="0"/>
                <w:color w:val="000000"/>
                <w:sz w:val="20"/>
                <w:szCs w:val="20"/>
                <w:lang w:val="fr-FR"/>
              </w:rPr>
            </w:pPr>
          </w:p>
        </w:tc>
        <w:tc>
          <w:tcPr>
            <w:tcW w:w="663" w:type="pct"/>
            <w:gridSpan w:val="2"/>
            <w:noWrap/>
            <w:vAlign w:val="center"/>
            <w:hideMark/>
          </w:tcPr>
          <w:p w14:paraId="115CA790"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D1 or T1</w:t>
            </w:r>
          </w:p>
        </w:tc>
        <w:tc>
          <w:tcPr>
            <w:tcW w:w="672" w:type="pct"/>
            <w:gridSpan w:val="2"/>
            <w:noWrap/>
            <w:vAlign w:val="center"/>
            <w:hideMark/>
          </w:tcPr>
          <w:p w14:paraId="2A950167"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D2 or T2</w:t>
            </w:r>
          </w:p>
        </w:tc>
        <w:tc>
          <w:tcPr>
            <w:tcW w:w="691" w:type="pct"/>
            <w:gridSpan w:val="2"/>
            <w:noWrap/>
            <w:vAlign w:val="center"/>
            <w:hideMark/>
          </w:tcPr>
          <w:p w14:paraId="316387D6"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D3 or T3</w:t>
            </w:r>
          </w:p>
        </w:tc>
        <w:tc>
          <w:tcPr>
            <w:tcW w:w="691" w:type="pct"/>
            <w:gridSpan w:val="2"/>
            <w:noWrap/>
            <w:vAlign w:val="center"/>
            <w:hideMark/>
          </w:tcPr>
          <w:p w14:paraId="525EF827"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T4</w:t>
            </w:r>
          </w:p>
        </w:tc>
        <w:tc>
          <w:tcPr>
            <w:tcW w:w="691" w:type="pct"/>
            <w:gridSpan w:val="2"/>
            <w:noWrap/>
            <w:vAlign w:val="center"/>
            <w:hideMark/>
          </w:tcPr>
          <w:p w14:paraId="2062E116"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T5</w:t>
            </w:r>
          </w:p>
        </w:tc>
      </w:tr>
      <w:tr w:rsidR="000A32BD" w:rsidRPr="000A32BD" w14:paraId="6F13F969" w14:textId="77777777" w:rsidTr="00987781">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20BE08C5" w14:textId="77777777" w:rsidR="000A32BD" w:rsidRPr="000A32BD" w:rsidRDefault="000A32BD" w:rsidP="00D1490B">
            <w:pPr>
              <w:rPr>
                <w:rFonts w:ascii="Arial" w:eastAsia="Times New Roman" w:hAnsi="Arial" w:cs="Arial"/>
                <w:color w:val="000000"/>
                <w:sz w:val="20"/>
                <w:szCs w:val="20"/>
              </w:rPr>
            </w:pPr>
            <w:r w:rsidRPr="000A32BD">
              <w:rPr>
                <w:rFonts w:ascii="Arial" w:eastAsia="Times New Roman" w:hAnsi="Arial" w:cs="Arial"/>
                <w:color w:val="000000"/>
                <w:sz w:val="20"/>
                <w:szCs w:val="20"/>
              </w:rPr>
              <w:t>Mancozeb</w:t>
            </w:r>
          </w:p>
        </w:tc>
        <w:tc>
          <w:tcPr>
            <w:tcW w:w="596" w:type="pct"/>
            <w:noWrap/>
            <w:vAlign w:val="center"/>
            <w:hideMark/>
          </w:tcPr>
          <w:p w14:paraId="35633C18"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47,24 b</w:t>
            </w:r>
          </w:p>
        </w:tc>
        <w:tc>
          <w:tcPr>
            <w:tcW w:w="672" w:type="pct"/>
            <w:gridSpan w:val="2"/>
            <w:noWrap/>
            <w:vAlign w:val="center"/>
            <w:hideMark/>
          </w:tcPr>
          <w:p w14:paraId="3B0525FB"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vAlign w:val="center"/>
            <w:hideMark/>
          </w:tcPr>
          <w:p w14:paraId="4F8EF00A"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vAlign w:val="center"/>
            <w:hideMark/>
          </w:tcPr>
          <w:p w14:paraId="399B9204"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vAlign w:val="center"/>
            <w:hideMark/>
          </w:tcPr>
          <w:p w14:paraId="203D69E3"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2F3E0857" w14:textId="77777777" w:rsidTr="00987781">
        <w:trPr>
          <w:gridAfter w:val="1"/>
          <w:cnfStyle w:val="000000100000" w:firstRow="0" w:lastRow="0" w:firstColumn="0" w:lastColumn="0" w:oddVBand="0" w:evenVBand="0" w:oddHBand="1" w:evenHBand="0" w:firstRowFirstColumn="0" w:firstRowLastColumn="0" w:lastRowFirstColumn="0" w:lastRowLastColumn="0"/>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6C542A14" w14:textId="77777777" w:rsidR="000A32BD" w:rsidRPr="000A32BD" w:rsidRDefault="000A32BD" w:rsidP="00D1490B">
            <w:pPr>
              <w:rPr>
                <w:rFonts w:ascii="Arial" w:eastAsia="Times New Roman" w:hAnsi="Arial" w:cs="Arial"/>
                <w:color w:val="000000"/>
                <w:sz w:val="20"/>
                <w:szCs w:val="20"/>
              </w:rPr>
            </w:pPr>
            <w:r w:rsidRPr="000A32BD">
              <w:rPr>
                <w:rFonts w:ascii="Arial" w:eastAsia="Times New Roman" w:hAnsi="Arial" w:cs="Arial"/>
                <w:color w:val="000000"/>
                <w:sz w:val="20"/>
                <w:szCs w:val="20"/>
              </w:rPr>
              <w:t>Difenoconazole</w:t>
            </w:r>
          </w:p>
        </w:tc>
        <w:tc>
          <w:tcPr>
            <w:tcW w:w="596" w:type="pct"/>
            <w:noWrap/>
            <w:vAlign w:val="center"/>
            <w:hideMark/>
          </w:tcPr>
          <w:p w14:paraId="73DF21B2"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80,71 d</w:t>
            </w:r>
          </w:p>
        </w:tc>
        <w:tc>
          <w:tcPr>
            <w:tcW w:w="672" w:type="pct"/>
            <w:gridSpan w:val="2"/>
            <w:noWrap/>
            <w:vAlign w:val="center"/>
            <w:hideMark/>
          </w:tcPr>
          <w:p w14:paraId="521CA12D"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85,81 c</w:t>
            </w:r>
          </w:p>
        </w:tc>
        <w:tc>
          <w:tcPr>
            <w:tcW w:w="691" w:type="pct"/>
            <w:gridSpan w:val="2"/>
            <w:noWrap/>
            <w:vAlign w:val="center"/>
            <w:hideMark/>
          </w:tcPr>
          <w:p w14:paraId="2F600A66"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87,21 c</w:t>
            </w:r>
          </w:p>
        </w:tc>
        <w:tc>
          <w:tcPr>
            <w:tcW w:w="691" w:type="pct"/>
            <w:gridSpan w:val="2"/>
            <w:noWrap/>
            <w:vAlign w:val="center"/>
            <w:hideMark/>
          </w:tcPr>
          <w:p w14:paraId="127BB6BC"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vAlign w:val="center"/>
            <w:hideMark/>
          </w:tcPr>
          <w:p w14:paraId="2F1E0F4F"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640B093F" w14:textId="77777777" w:rsidTr="00987781">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79D2C5BF" w14:textId="77777777" w:rsidR="000A32BD" w:rsidRPr="000A32BD" w:rsidRDefault="000A32BD" w:rsidP="00D1490B">
            <w:pPr>
              <w:rPr>
                <w:rFonts w:ascii="Arial" w:eastAsia="Times New Roman" w:hAnsi="Arial" w:cs="Arial"/>
                <w:color w:val="000000"/>
                <w:sz w:val="20"/>
                <w:szCs w:val="20"/>
              </w:rPr>
            </w:pPr>
            <w:r w:rsidRPr="000A32BD">
              <w:rPr>
                <w:rFonts w:ascii="Arial" w:eastAsia="Times New Roman" w:hAnsi="Arial" w:cs="Arial"/>
                <w:color w:val="000000"/>
                <w:sz w:val="20"/>
                <w:szCs w:val="20"/>
              </w:rPr>
              <w:t>Copper hydroxide</w:t>
            </w:r>
          </w:p>
        </w:tc>
        <w:tc>
          <w:tcPr>
            <w:tcW w:w="596" w:type="pct"/>
            <w:noWrap/>
            <w:vAlign w:val="center"/>
            <w:hideMark/>
          </w:tcPr>
          <w:p w14:paraId="25F92FEB"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47,24 b</w:t>
            </w:r>
          </w:p>
        </w:tc>
        <w:tc>
          <w:tcPr>
            <w:tcW w:w="672" w:type="pct"/>
            <w:gridSpan w:val="2"/>
            <w:noWrap/>
            <w:vAlign w:val="center"/>
            <w:hideMark/>
          </w:tcPr>
          <w:p w14:paraId="63B003D7"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52,49 b</w:t>
            </w:r>
          </w:p>
        </w:tc>
        <w:tc>
          <w:tcPr>
            <w:tcW w:w="691" w:type="pct"/>
            <w:gridSpan w:val="2"/>
            <w:noWrap/>
            <w:vAlign w:val="center"/>
            <w:hideMark/>
          </w:tcPr>
          <w:p w14:paraId="72903528"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59,79 ab</w:t>
            </w:r>
          </w:p>
        </w:tc>
        <w:tc>
          <w:tcPr>
            <w:tcW w:w="691" w:type="pct"/>
            <w:gridSpan w:val="2"/>
            <w:noWrap/>
            <w:vAlign w:val="center"/>
            <w:hideMark/>
          </w:tcPr>
          <w:p w14:paraId="21542882"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vAlign w:val="center"/>
            <w:hideMark/>
          </w:tcPr>
          <w:p w14:paraId="34A2C923"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0C605DE6" w14:textId="77777777" w:rsidTr="00987781">
        <w:trPr>
          <w:gridAfter w:val="1"/>
          <w:cnfStyle w:val="000000100000" w:firstRow="0" w:lastRow="0" w:firstColumn="0" w:lastColumn="0" w:oddVBand="0" w:evenVBand="0" w:oddHBand="1" w:evenHBand="0" w:firstRowFirstColumn="0" w:firstRowLastColumn="0" w:lastRowFirstColumn="0" w:lastRowLastColumn="0"/>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166EA54F" w14:textId="77777777" w:rsidR="000A32BD" w:rsidRPr="000A32BD" w:rsidRDefault="000A32BD" w:rsidP="00D1490B">
            <w:pPr>
              <w:rPr>
                <w:rFonts w:ascii="Arial" w:eastAsia="Times New Roman" w:hAnsi="Arial" w:cs="Arial"/>
                <w:color w:val="000000"/>
                <w:sz w:val="20"/>
                <w:szCs w:val="20"/>
              </w:rPr>
            </w:pPr>
            <w:r w:rsidRPr="000A32BD">
              <w:rPr>
                <w:rFonts w:ascii="Arial" w:eastAsia="Times New Roman" w:hAnsi="Arial" w:cs="Arial"/>
                <w:color w:val="000000"/>
                <w:sz w:val="20"/>
                <w:szCs w:val="20"/>
              </w:rPr>
              <w:t>Azoxystrobin + Difenoconazole</w:t>
            </w:r>
          </w:p>
        </w:tc>
        <w:tc>
          <w:tcPr>
            <w:tcW w:w="596" w:type="pct"/>
            <w:noWrap/>
            <w:vAlign w:val="center"/>
            <w:hideMark/>
          </w:tcPr>
          <w:p w14:paraId="2DC87EFF"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44,17 a</w:t>
            </w:r>
          </w:p>
        </w:tc>
        <w:tc>
          <w:tcPr>
            <w:tcW w:w="672" w:type="pct"/>
            <w:gridSpan w:val="2"/>
            <w:noWrap/>
            <w:vAlign w:val="center"/>
            <w:hideMark/>
          </w:tcPr>
          <w:p w14:paraId="7FBCD86C"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51,82 b</w:t>
            </w:r>
          </w:p>
        </w:tc>
        <w:tc>
          <w:tcPr>
            <w:tcW w:w="691" w:type="pct"/>
            <w:gridSpan w:val="2"/>
            <w:noWrap/>
            <w:vAlign w:val="center"/>
            <w:hideMark/>
          </w:tcPr>
          <w:p w14:paraId="0AC794A2"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59,51 ab</w:t>
            </w:r>
          </w:p>
        </w:tc>
        <w:tc>
          <w:tcPr>
            <w:tcW w:w="691" w:type="pct"/>
            <w:gridSpan w:val="2"/>
            <w:noWrap/>
            <w:vAlign w:val="center"/>
            <w:hideMark/>
          </w:tcPr>
          <w:p w14:paraId="259DC5D2"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vAlign w:val="center"/>
            <w:hideMark/>
          </w:tcPr>
          <w:p w14:paraId="30BAE142"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5955CF72" w14:textId="77777777" w:rsidTr="00987781">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67FEE784" w14:textId="77777777" w:rsidR="000A32BD" w:rsidRPr="000A32BD" w:rsidRDefault="000A32BD" w:rsidP="00D1490B">
            <w:pPr>
              <w:rPr>
                <w:rFonts w:ascii="Arial" w:eastAsia="Times New Roman" w:hAnsi="Arial" w:cs="Arial"/>
                <w:color w:val="000000"/>
                <w:sz w:val="20"/>
                <w:szCs w:val="20"/>
              </w:rPr>
            </w:pPr>
            <w:r w:rsidRPr="000A32BD">
              <w:rPr>
                <w:rFonts w:ascii="Arial" w:eastAsia="Times New Roman" w:hAnsi="Arial" w:cs="Arial"/>
                <w:color w:val="000000"/>
                <w:sz w:val="20"/>
                <w:szCs w:val="20"/>
              </w:rPr>
              <w:t>NECO</w:t>
            </w:r>
          </w:p>
        </w:tc>
        <w:tc>
          <w:tcPr>
            <w:tcW w:w="596" w:type="pct"/>
            <w:noWrap/>
            <w:vAlign w:val="center"/>
            <w:hideMark/>
          </w:tcPr>
          <w:p w14:paraId="39049E2D"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65,09 c</w:t>
            </w:r>
          </w:p>
        </w:tc>
        <w:tc>
          <w:tcPr>
            <w:tcW w:w="672" w:type="pct"/>
            <w:gridSpan w:val="2"/>
            <w:noWrap/>
            <w:vAlign w:val="center"/>
            <w:hideMark/>
          </w:tcPr>
          <w:p w14:paraId="0134FB6B"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vAlign w:val="center"/>
            <w:hideMark/>
          </w:tcPr>
          <w:p w14:paraId="689DEDE4"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vAlign w:val="center"/>
            <w:hideMark/>
          </w:tcPr>
          <w:p w14:paraId="0DBC429D"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vAlign w:val="center"/>
            <w:hideMark/>
          </w:tcPr>
          <w:p w14:paraId="0A542681"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4BFD769E" w14:textId="77777777" w:rsidTr="00987781">
        <w:trPr>
          <w:gridAfter w:val="1"/>
          <w:cnfStyle w:val="000000100000" w:firstRow="0" w:lastRow="0" w:firstColumn="0" w:lastColumn="0" w:oddVBand="0" w:evenVBand="0" w:oddHBand="1" w:evenHBand="0" w:firstRowFirstColumn="0" w:firstRowLastColumn="0" w:lastRowFirstColumn="0" w:lastRowLastColumn="0"/>
          <w:wAfter w:w="67" w:type="pct"/>
          <w:trHeight w:val="249"/>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4C04252D" w14:textId="77777777" w:rsidR="000A32BD" w:rsidRPr="000A32BD" w:rsidRDefault="000A32BD" w:rsidP="00D1490B">
            <w:pPr>
              <w:rPr>
                <w:rFonts w:ascii="Arial" w:eastAsia="Times New Roman" w:hAnsi="Arial" w:cs="Arial"/>
                <w:i/>
                <w:iCs/>
                <w:color w:val="000000"/>
                <w:sz w:val="20"/>
                <w:szCs w:val="20"/>
              </w:rPr>
            </w:pPr>
            <w:r w:rsidRPr="000A32BD">
              <w:rPr>
                <w:rFonts w:ascii="Arial" w:eastAsia="Times New Roman" w:hAnsi="Arial" w:cs="Arial"/>
                <w:i/>
                <w:iCs/>
                <w:color w:val="000000"/>
                <w:sz w:val="20"/>
                <w:szCs w:val="20"/>
              </w:rPr>
              <w:t>Chromolaena odorata</w:t>
            </w:r>
          </w:p>
        </w:tc>
        <w:tc>
          <w:tcPr>
            <w:tcW w:w="596" w:type="pct"/>
            <w:noWrap/>
            <w:vAlign w:val="center"/>
            <w:hideMark/>
          </w:tcPr>
          <w:p w14:paraId="5613043E"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47,46 b</w:t>
            </w:r>
          </w:p>
        </w:tc>
        <w:tc>
          <w:tcPr>
            <w:tcW w:w="672" w:type="pct"/>
            <w:gridSpan w:val="2"/>
            <w:noWrap/>
            <w:vAlign w:val="center"/>
            <w:hideMark/>
          </w:tcPr>
          <w:p w14:paraId="329690A5"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48,82 a</w:t>
            </w:r>
          </w:p>
        </w:tc>
        <w:tc>
          <w:tcPr>
            <w:tcW w:w="691" w:type="pct"/>
            <w:gridSpan w:val="2"/>
            <w:noWrap/>
            <w:vAlign w:val="center"/>
            <w:hideMark/>
          </w:tcPr>
          <w:p w14:paraId="5537E6C7"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53,47 b</w:t>
            </w:r>
          </w:p>
        </w:tc>
        <w:tc>
          <w:tcPr>
            <w:tcW w:w="691" w:type="pct"/>
            <w:gridSpan w:val="2"/>
            <w:noWrap/>
            <w:vAlign w:val="center"/>
            <w:hideMark/>
          </w:tcPr>
          <w:p w14:paraId="5C9D3C27"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61,50 a</w:t>
            </w:r>
          </w:p>
        </w:tc>
        <w:tc>
          <w:tcPr>
            <w:tcW w:w="691" w:type="pct"/>
            <w:gridSpan w:val="2"/>
            <w:noWrap/>
            <w:vAlign w:val="center"/>
            <w:hideMark/>
          </w:tcPr>
          <w:p w14:paraId="17199889" w14:textId="77777777" w:rsidR="000A32BD" w:rsidRPr="000A32BD" w:rsidRDefault="000A32BD" w:rsidP="0098778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68,95 a</w:t>
            </w:r>
          </w:p>
        </w:tc>
      </w:tr>
      <w:tr w:rsidR="000A32BD" w:rsidRPr="000A32BD" w14:paraId="348C781D" w14:textId="77777777" w:rsidTr="00987781">
        <w:trPr>
          <w:gridAfter w:val="1"/>
          <w:wAfter w:w="67" w:type="pct"/>
          <w:trHeight w:val="280"/>
        </w:trPr>
        <w:tc>
          <w:tcPr>
            <w:cnfStyle w:val="001000000000" w:firstRow="0" w:lastRow="0" w:firstColumn="1" w:lastColumn="0" w:oddVBand="0" w:evenVBand="0" w:oddHBand="0" w:evenHBand="0" w:firstRowFirstColumn="0" w:firstRowLastColumn="0" w:lastRowFirstColumn="0" w:lastRowLastColumn="0"/>
            <w:tcW w:w="1592" w:type="pct"/>
            <w:noWrap/>
            <w:vAlign w:val="center"/>
            <w:hideMark/>
          </w:tcPr>
          <w:p w14:paraId="55BC63BD" w14:textId="77777777" w:rsidR="000A32BD" w:rsidRPr="000A32BD" w:rsidRDefault="000A32BD" w:rsidP="00D1490B">
            <w:pPr>
              <w:rPr>
                <w:rFonts w:ascii="Arial" w:eastAsia="Times New Roman" w:hAnsi="Arial" w:cs="Arial"/>
                <w:i/>
                <w:iCs/>
                <w:color w:val="000000"/>
                <w:sz w:val="20"/>
                <w:szCs w:val="20"/>
              </w:rPr>
            </w:pPr>
            <w:r w:rsidRPr="000A32BD">
              <w:rPr>
                <w:rFonts w:ascii="Arial" w:eastAsia="Times New Roman" w:hAnsi="Arial" w:cs="Arial"/>
                <w:i/>
                <w:iCs/>
                <w:color w:val="000000"/>
                <w:sz w:val="20"/>
                <w:szCs w:val="20"/>
              </w:rPr>
              <w:t>Lippia multiflora</w:t>
            </w:r>
          </w:p>
        </w:tc>
        <w:tc>
          <w:tcPr>
            <w:tcW w:w="596" w:type="pct"/>
            <w:noWrap/>
            <w:vAlign w:val="center"/>
            <w:hideMark/>
          </w:tcPr>
          <w:p w14:paraId="374B296B"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46,25 b</w:t>
            </w:r>
          </w:p>
        </w:tc>
        <w:tc>
          <w:tcPr>
            <w:tcW w:w="672" w:type="pct"/>
            <w:gridSpan w:val="2"/>
            <w:noWrap/>
            <w:vAlign w:val="center"/>
            <w:hideMark/>
          </w:tcPr>
          <w:p w14:paraId="5980CCF4"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47,49 a</w:t>
            </w:r>
          </w:p>
        </w:tc>
        <w:tc>
          <w:tcPr>
            <w:tcW w:w="691" w:type="pct"/>
            <w:gridSpan w:val="2"/>
            <w:noWrap/>
            <w:vAlign w:val="center"/>
            <w:hideMark/>
          </w:tcPr>
          <w:p w14:paraId="3D4399BD"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49,27 a</w:t>
            </w:r>
          </w:p>
        </w:tc>
        <w:tc>
          <w:tcPr>
            <w:tcW w:w="691" w:type="pct"/>
            <w:gridSpan w:val="2"/>
            <w:noWrap/>
            <w:vAlign w:val="center"/>
            <w:hideMark/>
          </w:tcPr>
          <w:p w14:paraId="656DAD1E"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c>
          <w:tcPr>
            <w:tcW w:w="691" w:type="pct"/>
            <w:gridSpan w:val="2"/>
            <w:noWrap/>
            <w:vAlign w:val="center"/>
            <w:hideMark/>
          </w:tcPr>
          <w:p w14:paraId="3B974059" w14:textId="77777777" w:rsidR="000A32BD" w:rsidRPr="000A32BD" w:rsidRDefault="000A32BD" w:rsidP="0098778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r>
    </w:tbl>
    <w:p w14:paraId="0BE8CBF4" w14:textId="7AD7DBB1" w:rsidR="000A32BD" w:rsidRDefault="000A32BD" w:rsidP="000A32BD">
      <w:pPr>
        <w:jc w:val="both"/>
        <w:rPr>
          <w:rFonts w:ascii="Arial" w:hAnsi="Arial" w:cs="Arial"/>
          <w:i/>
          <w:iCs/>
          <w:sz w:val="18"/>
          <w:szCs w:val="18"/>
        </w:rPr>
      </w:pPr>
      <w:r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CC3EFF">
        <w:rPr>
          <w:rFonts w:ascii="Arial" w:hAnsi="Arial" w:cs="Arial"/>
          <w:i/>
          <w:iCs/>
          <w:sz w:val="18"/>
          <w:szCs w:val="18"/>
        </w:rPr>
        <w:t>concentrations of 40, 80, and 160 mL/L (designated as D1, D2, and D3, respectively</w:t>
      </w:r>
      <w:r w:rsidRPr="004F25F6">
        <w:rPr>
          <w:rFonts w:ascii="Arial" w:hAnsi="Arial" w:cs="Arial"/>
          <w:i/>
          <w:iCs/>
          <w:sz w:val="18"/>
          <w:szCs w:val="18"/>
        </w:rPr>
        <w:t>). The aqueous extract of Chromolaena odorata and the essential oil of Lippia multiflora were evaluated at five concentrations (T1–T5): 3.12, 6.25, 12.5, 25, and 50 mg/</w:t>
      </w:r>
      <w:proofErr w:type="spellStart"/>
      <w:r w:rsidRPr="004F25F6">
        <w:rPr>
          <w:rFonts w:ascii="Arial" w:hAnsi="Arial" w:cs="Arial"/>
          <w:i/>
          <w:iCs/>
          <w:sz w:val="18"/>
          <w:szCs w:val="18"/>
        </w:rPr>
        <w:t>mL</w:t>
      </w:r>
      <w:r w:rsidR="00CC3EFF">
        <w:rPr>
          <w:rFonts w:ascii="Arial" w:hAnsi="Arial" w:cs="Arial"/>
          <w:i/>
          <w:iCs/>
          <w:sz w:val="18"/>
          <w:szCs w:val="18"/>
        </w:rPr>
        <w:t>.</w:t>
      </w:r>
      <w:proofErr w:type="spellEnd"/>
    </w:p>
    <w:p w14:paraId="7CE4F3D4" w14:textId="544E6FE0" w:rsidR="000A32BD" w:rsidRPr="00EB0C57" w:rsidRDefault="000A32BD" w:rsidP="000A32BD">
      <w:pPr>
        <w:jc w:val="both"/>
        <w:rPr>
          <w:rFonts w:ascii="Arial" w:hAnsi="Arial" w:cs="Arial"/>
          <w:i/>
          <w:iCs/>
          <w:sz w:val="18"/>
          <w:szCs w:val="18"/>
        </w:rPr>
      </w:pPr>
      <w:r w:rsidRPr="00EB0C57">
        <w:rPr>
          <w:rFonts w:ascii="Arial" w:hAnsi="Arial" w:cs="Arial"/>
          <w:i/>
          <w:iCs/>
          <w:sz w:val="18"/>
          <w:szCs w:val="18"/>
          <w:highlight w:val="yellow"/>
        </w:rPr>
        <w:t>Values followed by the same letters in a column are statistically identical at the 5% significance level according to the Conover-Iman test</w:t>
      </w:r>
      <w:r w:rsidR="00CC3EFF" w:rsidRPr="00EB0C57">
        <w:rPr>
          <w:rFonts w:ascii="Arial" w:hAnsi="Arial" w:cs="Arial"/>
          <w:i/>
          <w:iCs/>
          <w:sz w:val="18"/>
          <w:szCs w:val="18"/>
          <w:highlight w:val="yellow"/>
        </w:rPr>
        <w:t>.</w:t>
      </w:r>
      <w:r w:rsidRPr="00EB0C57">
        <w:rPr>
          <w:rFonts w:ascii="Arial" w:hAnsi="Arial" w:cs="Arial"/>
          <w:i/>
          <w:iCs/>
          <w:sz w:val="18"/>
          <w:szCs w:val="18"/>
        </w:rPr>
        <w:t xml:space="preserve"> </w:t>
      </w:r>
    </w:p>
    <w:p w14:paraId="766B01F3" w14:textId="77777777" w:rsidR="000A32BD" w:rsidRPr="000A32BD" w:rsidRDefault="000A32BD" w:rsidP="000A32BD">
      <w:pPr>
        <w:rPr>
          <w:rFonts w:ascii="Arial" w:hAnsi="Arial" w:cs="Arial"/>
        </w:rPr>
      </w:pPr>
    </w:p>
    <w:p w14:paraId="0236C3E3" w14:textId="7D62F1C1" w:rsidR="000A32BD" w:rsidRPr="00A168A1" w:rsidRDefault="00A168A1" w:rsidP="000A32BD">
      <w:pPr>
        <w:pStyle w:val="Heading2"/>
        <w:rPr>
          <w:szCs w:val="22"/>
        </w:rPr>
      </w:pPr>
      <w:r>
        <w:rPr>
          <w:szCs w:val="22"/>
        </w:rPr>
        <w:t xml:space="preserve">3.4. </w:t>
      </w:r>
      <w:r w:rsidR="000A32BD" w:rsidRPr="00A168A1">
        <w:rPr>
          <w:szCs w:val="22"/>
        </w:rPr>
        <w:t xml:space="preserve">Hierarchical classification of fungicides based on efficacy against </w:t>
      </w:r>
      <w:r w:rsidR="000A32BD" w:rsidRPr="00A168A1">
        <w:rPr>
          <w:i/>
          <w:iCs/>
          <w:szCs w:val="22"/>
        </w:rPr>
        <w:t>Colletotrichum</w:t>
      </w:r>
      <w:r w:rsidR="000A32BD" w:rsidRPr="00A168A1">
        <w:rPr>
          <w:szCs w:val="22"/>
        </w:rPr>
        <w:t xml:space="preserve"> and </w:t>
      </w:r>
      <w:r w:rsidR="000A32BD" w:rsidRPr="00A168A1">
        <w:rPr>
          <w:i/>
          <w:iCs/>
          <w:szCs w:val="22"/>
        </w:rPr>
        <w:t>Fusarium</w:t>
      </w:r>
    </w:p>
    <w:p w14:paraId="0A0591A4" w14:textId="77777777" w:rsidR="000A32BD" w:rsidRDefault="000A32BD" w:rsidP="000A32BD">
      <w:pPr>
        <w:jc w:val="both"/>
        <w:rPr>
          <w:rFonts w:ascii="Arial" w:hAnsi="Arial" w:cs="Arial"/>
        </w:rPr>
      </w:pPr>
      <w:r w:rsidRPr="000A32BD">
        <w:rPr>
          <w:rFonts w:ascii="Arial" w:hAnsi="Arial" w:cs="Arial"/>
        </w:rPr>
        <w:t>Hierarchical Ascending Classification (HAC) was employed to categorize the twelve tested fungicides into distinct efficacy groups based on their combined effects on mycelial growth, sporulation, and spore germination.</w:t>
      </w:r>
    </w:p>
    <w:p w14:paraId="3370DBEF" w14:textId="77777777" w:rsidR="00A168A1" w:rsidRPr="000A32BD" w:rsidRDefault="00A168A1" w:rsidP="000A32BD">
      <w:pPr>
        <w:jc w:val="both"/>
        <w:rPr>
          <w:rFonts w:ascii="Arial" w:hAnsi="Arial" w:cs="Arial"/>
        </w:rPr>
      </w:pPr>
    </w:p>
    <w:p w14:paraId="12B10093" w14:textId="77777777" w:rsidR="000A32BD" w:rsidRPr="003A486E" w:rsidRDefault="000A32BD" w:rsidP="000A32BD">
      <w:pPr>
        <w:jc w:val="both"/>
        <w:rPr>
          <w:rFonts w:ascii="Arial" w:hAnsi="Arial" w:cs="Arial"/>
        </w:rPr>
      </w:pPr>
      <w:r w:rsidRPr="003A486E">
        <w:rPr>
          <w:rFonts w:ascii="Arial" w:hAnsi="Arial" w:cs="Arial"/>
        </w:rPr>
        <w:t xml:space="preserve">For </w:t>
      </w:r>
      <w:r w:rsidRPr="003A486E">
        <w:rPr>
          <w:rFonts w:ascii="Arial" w:hAnsi="Arial" w:cs="Arial"/>
          <w:i/>
          <w:iCs/>
        </w:rPr>
        <w:t>Colletotrichum</w:t>
      </w:r>
      <w:r w:rsidRPr="003A486E">
        <w:rPr>
          <w:rFonts w:ascii="Arial" w:hAnsi="Arial" w:cs="Arial"/>
        </w:rPr>
        <w:t xml:space="preserve"> isolates, the HAC delineated three primary groups (G1, G2, and G3), encompassing 41.66%, 8.34%, and 50% of the fungicides, respectively (Figure 5). Group 1 comprised five synthetic fungicide combinations: Azoxystrobin + Mancozeb (</w:t>
      </w:r>
      <w:proofErr w:type="spellStart"/>
      <w:r w:rsidRPr="003A486E">
        <w:rPr>
          <w:rFonts w:ascii="Arial" w:hAnsi="Arial" w:cs="Arial"/>
        </w:rPr>
        <w:t>Az+Ma</w:t>
      </w:r>
      <w:proofErr w:type="spellEnd"/>
      <w:r w:rsidRPr="003A486E">
        <w:rPr>
          <w:rFonts w:ascii="Arial" w:hAnsi="Arial" w:cs="Arial"/>
        </w:rPr>
        <w:t>), Picoxystrobin + Mancozeb (</w:t>
      </w:r>
      <w:proofErr w:type="spellStart"/>
      <w:r w:rsidRPr="003A486E">
        <w:rPr>
          <w:rFonts w:ascii="Arial" w:hAnsi="Arial" w:cs="Arial"/>
        </w:rPr>
        <w:t>Pi+Ma</w:t>
      </w:r>
      <w:proofErr w:type="spellEnd"/>
      <w:r w:rsidRPr="003A486E">
        <w:rPr>
          <w:rFonts w:ascii="Arial" w:hAnsi="Arial" w:cs="Arial"/>
        </w:rPr>
        <w:t>), Difenoconazole + Spiroxamine (</w:t>
      </w:r>
      <w:proofErr w:type="spellStart"/>
      <w:r w:rsidRPr="003A486E">
        <w:rPr>
          <w:rFonts w:ascii="Arial" w:hAnsi="Arial" w:cs="Arial"/>
        </w:rPr>
        <w:t>Di+Sp</w:t>
      </w:r>
      <w:proofErr w:type="spellEnd"/>
      <w:r w:rsidRPr="003A486E">
        <w:rPr>
          <w:rFonts w:ascii="Arial" w:hAnsi="Arial" w:cs="Arial"/>
        </w:rPr>
        <w:t>), Carbendazim + Mancozeb (Ca+Ma), and Chlorothalonil + Carbendazim (</w:t>
      </w:r>
      <w:proofErr w:type="spellStart"/>
      <w:r w:rsidRPr="003A486E">
        <w:rPr>
          <w:rFonts w:ascii="Arial" w:hAnsi="Arial" w:cs="Arial"/>
        </w:rPr>
        <w:t>Ch+Ca</w:t>
      </w:r>
      <w:proofErr w:type="spellEnd"/>
      <w:r w:rsidRPr="003A486E">
        <w:rPr>
          <w:rFonts w:ascii="Arial" w:hAnsi="Arial" w:cs="Arial"/>
        </w:rPr>
        <w:t xml:space="preserve">). These formulations demonstrated complete inhibition (100%) of mycelial growth, sporulation, and spore germination for all </w:t>
      </w:r>
      <w:r w:rsidRPr="003A486E">
        <w:rPr>
          <w:rFonts w:ascii="Arial" w:hAnsi="Arial" w:cs="Arial"/>
          <w:i/>
          <w:iCs/>
        </w:rPr>
        <w:t>Colletotrichum</w:t>
      </w:r>
      <w:r w:rsidRPr="003A486E">
        <w:rPr>
          <w:rFonts w:ascii="Arial" w:hAnsi="Arial" w:cs="Arial"/>
        </w:rPr>
        <w:t xml:space="preserve"> and </w:t>
      </w:r>
      <w:r w:rsidRPr="003A486E">
        <w:rPr>
          <w:rFonts w:ascii="Arial" w:hAnsi="Arial" w:cs="Arial"/>
          <w:i/>
          <w:iCs/>
        </w:rPr>
        <w:t>Fusarium</w:t>
      </w:r>
      <w:r w:rsidRPr="003A486E">
        <w:rPr>
          <w:rFonts w:ascii="Arial" w:hAnsi="Arial" w:cs="Arial"/>
        </w:rPr>
        <w:t xml:space="preserve"> isolates. In stark contrast, Group 2 contained solely the aqueous extract of </w:t>
      </w:r>
      <w:r w:rsidRPr="003A486E">
        <w:rPr>
          <w:rFonts w:ascii="Arial" w:hAnsi="Arial" w:cs="Arial"/>
          <w:i/>
          <w:iCs/>
        </w:rPr>
        <w:t>Chromolaena odorata</w:t>
      </w:r>
      <w:r w:rsidRPr="003A486E">
        <w:rPr>
          <w:rFonts w:ascii="Arial" w:hAnsi="Arial" w:cs="Arial"/>
        </w:rPr>
        <w:t xml:space="preserve"> (Ea CO), which exhibited negligible efficacy across all three measured parameters. Group 3 included fungicides with intermediate to high efficacy, namely Azoxystrobin + Difenoconazole (Az+Di), Difenoconazole (Di), Copper Hydroxide (Hc), Mancozeb (Ma), the oily extract of </w:t>
      </w:r>
      <w:r w:rsidRPr="003A486E">
        <w:rPr>
          <w:rFonts w:ascii="Arial" w:hAnsi="Arial" w:cs="Arial"/>
          <w:i/>
          <w:iCs/>
        </w:rPr>
        <w:t>Lippia multiflora</w:t>
      </w:r>
      <w:r w:rsidRPr="003A486E">
        <w:rPr>
          <w:rFonts w:ascii="Arial" w:hAnsi="Arial" w:cs="Arial"/>
        </w:rPr>
        <w:t xml:space="preserve"> (He </w:t>
      </w:r>
      <w:proofErr w:type="spellStart"/>
      <w:r w:rsidRPr="003A486E">
        <w:rPr>
          <w:rFonts w:ascii="Arial" w:hAnsi="Arial" w:cs="Arial"/>
        </w:rPr>
        <w:t>LM</w:t>
      </w:r>
      <w:proofErr w:type="spellEnd"/>
      <w:r w:rsidRPr="003A486E">
        <w:rPr>
          <w:rFonts w:ascii="Arial" w:hAnsi="Arial" w:cs="Arial"/>
        </w:rPr>
        <w:t xml:space="preserve">), and the </w:t>
      </w:r>
      <w:proofErr w:type="spellStart"/>
      <w:r w:rsidRPr="003A486E">
        <w:rPr>
          <w:rFonts w:ascii="Arial" w:hAnsi="Arial" w:cs="Arial"/>
        </w:rPr>
        <w:t>biofungicide</w:t>
      </w:r>
      <w:proofErr w:type="spellEnd"/>
      <w:r w:rsidRPr="003A486E">
        <w:rPr>
          <w:rFonts w:ascii="Arial" w:hAnsi="Arial" w:cs="Arial"/>
        </w:rPr>
        <w:t xml:space="preserve"> NECO. The products in this group inhibited mycelial growth, sporulation, and spore germination of the pathogens within a range of 50% to 97%.</w:t>
      </w:r>
    </w:p>
    <w:p w14:paraId="270BD767" w14:textId="77777777" w:rsidR="00A168A1" w:rsidRPr="003A486E" w:rsidRDefault="00A168A1" w:rsidP="000A32BD">
      <w:pPr>
        <w:jc w:val="both"/>
        <w:rPr>
          <w:rFonts w:ascii="Arial" w:hAnsi="Arial" w:cs="Arial"/>
        </w:rPr>
      </w:pPr>
    </w:p>
    <w:p w14:paraId="2B6FB028" w14:textId="77777777" w:rsidR="000A32BD" w:rsidRPr="003A486E" w:rsidRDefault="000A32BD" w:rsidP="000A32BD">
      <w:pPr>
        <w:jc w:val="both"/>
        <w:rPr>
          <w:rFonts w:ascii="Arial" w:hAnsi="Arial" w:cs="Arial"/>
        </w:rPr>
      </w:pPr>
      <w:r w:rsidRPr="003A486E">
        <w:rPr>
          <w:rFonts w:ascii="Arial" w:hAnsi="Arial" w:cs="Arial"/>
        </w:rPr>
        <w:t xml:space="preserve">A similar HAC analysis for </w:t>
      </w:r>
      <w:r w:rsidRPr="003A486E">
        <w:rPr>
          <w:rFonts w:ascii="Arial" w:hAnsi="Arial" w:cs="Arial"/>
          <w:i/>
          <w:iCs/>
        </w:rPr>
        <w:t>Fusarium</w:t>
      </w:r>
      <w:r w:rsidRPr="003A486E">
        <w:rPr>
          <w:rFonts w:ascii="Arial" w:hAnsi="Arial" w:cs="Arial"/>
        </w:rPr>
        <w:t xml:space="preserve"> isolates also yielded three groups, though with a different composition (Figure 6). Group 1 (41.66% of fungicides) was identical to that for </w:t>
      </w:r>
      <w:r w:rsidRPr="003A486E">
        <w:rPr>
          <w:rFonts w:ascii="Arial" w:hAnsi="Arial" w:cs="Arial"/>
          <w:i/>
          <w:iCs/>
        </w:rPr>
        <w:t>Colletotrichum</w:t>
      </w:r>
      <w:r w:rsidRPr="003A486E">
        <w:rPr>
          <w:rFonts w:ascii="Arial" w:hAnsi="Arial" w:cs="Arial"/>
        </w:rPr>
        <w:t xml:space="preserve">, containing the same five synthetic combinations that provided complete inhibition. Group 2 (41.66%) consisted of Azoxystrobin + Difenoconazole (Az+Di), </w:t>
      </w:r>
      <w:r w:rsidRPr="003A486E">
        <w:rPr>
          <w:rFonts w:ascii="Arial" w:hAnsi="Arial" w:cs="Arial"/>
        </w:rPr>
        <w:lastRenderedPageBreak/>
        <w:t xml:space="preserve">Difenoconazole (Di), Copper Hydroxide (Hc), Mancozeb (Ma), and the </w:t>
      </w:r>
      <w:proofErr w:type="spellStart"/>
      <w:r w:rsidRPr="003A486E">
        <w:rPr>
          <w:rFonts w:ascii="Arial" w:hAnsi="Arial" w:cs="Arial"/>
        </w:rPr>
        <w:t>biofungicide</w:t>
      </w:r>
      <w:proofErr w:type="spellEnd"/>
      <w:r w:rsidRPr="003A486E">
        <w:rPr>
          <w:rFonts w:ascii="Arial" w:hAnsi="Arial" w:cs="Arial"/>
        </w:rPr>
        <w:t xml:space="preserve"> NECO, which suppressed fungal development by 50% to 97%. Group 3 (16.66%) contained the two plant-derived extracts: the essential oil of </w:t>
      </w:r>
      <w:r w:rsidRPr="003A486E">
        <w:rPr>
          <w:rFonts w:ascii="Arial" w:hAnsi="Arial" w:cs="Arial"/>
          <w:i/>
          <w:iCs/>
        </w:rPr>
        <w:t>Lippia multiflora</w:t>
      </w:r>
      <w:r w:rsidRPr="003A486E">
        <w:rPr>
          <w:rFonts w:ascii="Arial" w:hAnsi="Arial" w:cs="Arial"/>
        </w:rPr>
        <w:t xml:space="preserve"> (He </w:t>
      </w:r>
      <w:proofErr w:type="spellStart"/>
      <w:r w:rsidRPr="003A486E">
        <w:rPr>
          <w:rFonts w:ascii="Arial" w:hAnsi="Arial" w:cs="Arial"/>
        </w:rPr>
        <w:t>LM</w:t>
      </w:r>
      <w:proofErr w:type="spellEnd"/>
      <w:r w:rsidRPr="003A486E">
        <w:rPr>
          <w:rFonts w:ascii="Arial" w:hAnsi="Arial" w:cs="Arial"/>
        </w:rPr>
        <w:t xml:space="preserve">) and the aqueous extract of </w:t>
      </w:r>
      <w:r w:rsidRPr="003A486E">
        <w:rPr>
          <w:rFonts w:ascii="Arial" w:hAnsi="Arial" w:cs="Arial"/>
          <w:i/>
          <w:iCs/>
        </w:rPr>
        <w:t>Chromolaena odorata</w:t>
      </w:r>
      <w:r w:rsidRPr="003A486E">
        <w:rPr>
          <w:rFonts w:ascii="Arial" w:hAnsi="Arial" w:cs="Arial"/>
        </w:rPr>
        <w:t xml:space="preserve"> (Ea CO). The inhibitory effects of the compounds in this group ranged from 6% to 88%.</w:t>
      </w:r>
    </w:p>
    <w:p w14:paraId="76C5B1ED" w14:textId="49F6EBEC" w:rsidR="000A32BD" w:rsidRPr="000A32BD" w:rsidRDefault="00135FE3" w:rsidP="000A32BD">
      <w:pPr>
        <w:jc w:val="center"/>
        <w:rPr>
          <w:rFonts w:ascii="Arial" w:hAnsi="Arial" w:cs="Arial"/>
        </w:rPr>
      </w:pPr>
      <w:r>
        <w:rPr>
          <w:rFonts w:ascii="Arial" w:hAnsi="Arial" w:cs="Arial"/>
        </w:rPr>
      </w:r>
      <w:r>
        <w:rPr>
          <w:rFonts w:ascii="Arial" w:hAnsi="Arial" w:cs="Arial"/>
        </w:rPr>
        <w:pict w14:anchorId="795D5AB5">
          <v:group id="Group 27" o:spid="_x0000_s2099" style="width:422.35pt;height:253.05pt;mso-position-horizontal-relative:char;mso-position-vertical-relative:line" coordsize="53638,32137">
            <v:shape id="Graphique 2140589546" o:spid="_x0000_s2100" type="#_x0000_t75" style="position:absolute;width:53644;height:32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H1vxAAAAN0AAAAPAAAAZHJzL2Rvd25yZXYueG1sRE9Na8JA&#10;EL0L/Q/LFLzprhVqia6SttT2IrQxB70N2TEJZmfT7Krpv3cFobd5vM9ZrHrbiDN1vnasYTJWIIgL&#10;Z2ouNeTbj9ELCB+QDTaOScMfeVgtHwYLTIy78A+ds1CKGMI+QQ1VCG0ipS8qsujHriWO3MF1FkOE&#10;XSlNh5cYbhv5pNSztFhzbKiwpbeKimN2sho265nZfebfh5Dm+83rb/q+d2ar9fCxT+cgAvXhX3x3&#10;f5k4X6kp3L6JJ8jlFQAA//8DAFBLAQItABQABgAIAAAAIQDb4fbL7gAAAIUBAAATAAAAAAAAAAAA&#10;AAAAAAAAAABbQ29udGVudF9UeXBlc10ueG1sUEsBAi0AFAAGAAgAAAAhAFr0LFu/AAAAFQEAAAsA&#10;AAAAAAAAAAAAAAAAHwEAAF9yZWxzLy5yZWxzUEsBAi0AFAAGAAgAAAAhADQwfW/EAAAA3QAAAA8A&#10;AAAAAAAAAAAAAAAABwIAAGRycy9kb3ducmV2LnhtbFBLBQYAAAAAAwADALcAAAD4AgAAAAA=&#10;">
              <v:imagedata r:id="rId18" o:title=""/>
              <o:lock v:ext="edit" aspectratio="f"/>
            </v:shape>
            <v:shape id="Text Box 386" o:spid="_x0000_s2101" type="#_x0000_t202" style="position:absolute;left:13629;top:26396;width:55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wyxwAAAOMAAAAPAAAAZHJzL2Rvd25yZXYueG1sRE9La8JA&#10;EL4X/A/LFHqru/Hd1FXEUuip0lSF3obsmASzsyG7Nem/d4WCx/nes1z3thYXan3lWEMyVCCIc2cq&#10;LjTsv9+fFyB8QDZYOyYNf+RhvRo8LDE1ruMvumShEDGEfYoayhCaVEqfl2TRD11DHLmTay2GeLaF&#10;NC12MdzWcqTUTFqsODaU2NC2pPyc/VoNh8/Tz3GidsWbnTad65Vk+yK1fnrsN68gAvXhLv53f5g4&#10;P5nNp+NFoiZw+ykCIFdXAAAA//8DAFBLAQItABQABgAIAAAAIQDb4fbL7gAAAIUBAAATAAAAAAAA&#10;AAAAAAAAAAAAAABbQ29udGVudF9UeXBlc10ueG1sUEsBAi0AFAAGAAgAAAAhAFr0LFu/AAAAFQEA&#10;AAsAAAAAAAAAAAAAAAAAHwEAAF9yZWxzLy5yZWxzUEsBAi0AFAAGAAgAAAAhAJOOPDLHAAAA4wAA&#10;AA8AAAAAAAAAAAAAAAAABwIAAGRycy9kb3ducmV2LnhtbFBLBQYAAAAAAwADALcAAAD7AgAAAAA=&#10;" filled="f" stroked="f">
              <v:textbox style="mso-next-textbox:#Text Box 386">
                <w:txbxContent>
                  <w:p w14:paraId="796978C8" w14:textId="77777777" w:rsidR="000A32BD" w:rsidRPr="00A65B4B" w:rsidRDefault="000A32BD" w:rsidP="000A32BD">
                    <w:pPr>
                      <w:rPr>
                        <w:rFonts w:ascii="Times New Roman" w:hAnsi="Times New Roman"/>
                      </w:rPr>
                    </w:pPr>
                    <w:r w:rsidRPr="00A65B4B">
                      <w:rPr>
                        <w:rFonts w:ascii="Times New Roman" w:hAnsi="Times New Roman"/>
                      </w:rPr>
                      <w:t>G1</w:t>
                    </w:r>
                  </w:p>
                </w:txbxContent>
              </v:textbox>
            </v:shape>
            <v:shape id="Text Box 388" o:spid="_x0000_s2102" type="#_x0000_t202" style="position:absolute;left:35195;top:24038;width:428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UkPxQAAAOIAAAAPAAAAZHJzL2Rvd25yZXYueG1sRE9ba8Iw&#10;FH4X9h/CGfimyaoT1zXKmAx8UnRzsLdDc3phzUlpMlv/vREGPn5892w92EacqfO1Yw1PUwWCOHem&#10;5lLD1+fHZAnCB2SDjWPScCEP69XDKMPUuJ4PdD6GUsQQ9ilqqEJoUyl9XpFFP3UtceQK11kMEXal&#10;NB32Mdw2MlFqIS3WHBsqbOm9ovz3+Gc1nHbFz/dc7cuNfW57NyjJ9kVqPX4c3l5BBBrCXfzv3po4&#10;P0kWSs1mc7hdihjk6goAAP//AwBQSwECLQAUAAYACAAAACEA2+H2y+4AAACFAQAAEwAAAAAAAAAA&#10;AAAAAAAAAAAAW0NvbnRlbnRfVHlwZXNdLnhtbFBLAQItABQABgAIAAAAIQBa9CxbvwAAABUBAAAL&#10;AAAAAAAAAAAAAAAAAB8BAABfcmVscy8ucmVsc1BLAQItABQABgAIAAAAIQCi6UkPxQAAAOIAAAAP&#10;AAAAAAAAAAAAAAAAAAcCAABkcnMvZG93bnJldi54bWxQSwUGAAAAAAMAAwC3AAAA+QIAAAAA&#10;" filled="f" stroked="f">
              <v:textbox style="mso-next-textbox:#Text Box 388">
                <w:txbxContent>
                  <w:p w14:paraId="1154F874" w14:textId="77777777" w:rsidR="000A32BD" w:rsidRPr="00A65B4B" w:rsidRDefault="000A32BD" w:rsidP="000A32BD">
                    <w:pPr>
                      <w:rPr>
                        <w:rFonts w:ascii="Times New Roman" w:hAnsi="Times New Roman"/>
                      </w:rPr>
                    </w:pPr>
                    <w:r w:rsidRPr="00A65B4B">
                      <w:rPr>
                        <w:rFonts w:ascii="Times New Roman" w:hAnsi="Times New Roman"/>
                      </w:rPr>
                      <w:t>G3</w:t>
                    </w:r>
                  </w:p>
                </w:txbxContent>
              </v:textbox>
            </v:shape>
            <v:shape id="Text Box 387" o:spid="_x0000_s2103" type="#_x0000_t202" style="position:absolute;left:24786;top:26166;width:4286;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0l6xgAAAOMAAAAPAAAAZHJzL2Rvd25yZXYueG1sRE9fa8Iw&#10;EH8f+B3CCb7NRKndrEYRZeCTY+oGezuasy02l9Jktn57Mxjs8X7/b7nubS1u1PrKsYbJWIEgzp2p&#10;uNBwPr09v4LwAdlg7Zg03MnDejV4WmJmXMcfdDuGQsQQ9hlqKENoMil9XpJFP3YNceQurrUY4tkW&#10;0rTYxXBby6lSqbRYcWwosaFtSfn1+GM1fB4u31+Jei92dtZ0rleS7VxqPRr2mwWIQH34F/+59ybO&#10;n6skTV+SZAa/P0UA5OoBAAD//wMAUEsBAi0AFAAGAAgAAAAhANvh9svuAAAAhQEAABMAAAAAAAAA&#10;AAAAAAAAAAAAAFtDb250ZW50X1R5cGVzXS54bWxQSwECLQAUAAYACAAAACEAWvQsW78AAAAVAQAA&#10;CwAAAAAAAAAAAAAAAAAfAQAAX3JlbHMvLnJlbHNQSwECLQAUAAYACAAAACEAy4NJesYAAADjAAAA&#10;DwAAAAAAAAAAAAAAAAAHAgAAZHJzL2Rvd25yZXYueG1sUEsFBgAAAAADAAMAtwAAAPoCAAAAAA==&#10;" filled="f" stroked="f">
              <v:textbox style="mso-next-textbox:#Text Box 387">
                <w:txbxContent>
                  <w:p w14:paraId="497AC987" w14:textId="77777777" w:rsidR="000A32BD" w:rsidRPr="00A65B4B" w:rsidRDefault="000A32BD" w:rsidP="000A32BD">
                    <w:pPr>
                      <w:rPr>
                        <w:rFonts w:ascii="Times New Roman" w:hAnsi="Times New Roman"/>
                      </w:rPr>
                    </w:pPr>
                    <w:r w:rsidRPr="00A65B4B">
                      <w:rPr>
                        <w:rFonts w:ascii="Times New Roman" w:hAnsi="Times New Roman"/>
                      </w:rPr>
                      <w:t>G2</w:t>
                    </w:r>
                  </w:p>
                </w:txbxContent>
              </v:textbox>
            </v:shape>
            <w10:anchorlock/>
          </v:group>
        </w:pict>
      </w:r>
    </w:p>
    <w:p w14:paraId="1947CCEB" w14:textId="77777777" w:rsidR="000A32BD" w:rsidRPr="000A32BD" w:rsidRDefault="000A32BD" w:rsidP="000A32BD">
      <w:pPr>
        <w:jc w:val="both"/>
        <w:rPr>
          <w:rFonts w:ascii="Arial" w:hAnsi="Arial" w:cs="Arial"/>
        </w:rPr>
      </w:pPr>
      <w:r w:rsidRPr="000A32BD">
        <w:rPr>
          <w:rFonts w:ascii="Arial" w:hAnsi="Arial" w:cs="Arial"/>
          <w:b/>
          <w:bCs/>
        </w:rPr>
        <w:t>Figure 5:</w:t>
      </w:r>
      <w:r w:rsidRPr="000A32BD">
        <w:rPr>
          <w:rFonts w:ascii="Arial" w:hAnsi="Arial" w:cs="Arial"/>
        </w:rPr>
        <w:t xml:space="preserve"> Dendrogram from Hierarchical Ascending Classification (HAC) of fungicides tested against </w:t>
      </w:r>
      <w:r w:rsidRPr="000A32BD">
        <w:rPr>
          <w:rFonts w:ascii="Arial" w:hAnsi="Arial" w:cs="Arial"/>
          <w:i/>
          <w:iCs/>
        </w:rPr>
        <w:t>Colletotrichum</w:t>
      </w:r>
      <w:r w:rsidRPr="000A32BD">
        <w:rPr>
          <w:rFonts w:ascii="Arial" w:hAnsi="Arial" w:cs="Arial"/>
        </w:rPr>
        <w:t xml:space="preserve"> sp. isolates based on their efficacy.</w:t>
      </w:r>
    </w:p>
    <w:p w14:paraId="728D2052" w14:textId="77777777" w:rsidR="000A32BD" w:rsidRPr="003A486E" w:rsidRDefault="000A32BD" w:rsidP="000A32BD">
      <w:pPr>
        <w:jc w:val="both"/>
        <w:rPr>
          <w:rFonts w:ascii="Arial" w:hAnsi="Arial" w:cs="Arial"/>
          <w:i/>
          <w:iCs/>
          <w:sz w:val="18"/>
          <w:szCs w:val="18"/>
        </w:rPr>
      </w:pPr>
      <w:proofErr w:type="spellStart"/>
      <w:r w:rsidRPr="003A486E">
        <w:rPr>
          <w:rFonts w:ascii="Arial" w:hAnsi="Arial" w:cs="Arial"/>
          <w:i/>
          <w:iCs/>
          <w:sz w:val="18"/>
          <w:szCs w:val="18"/>
        </w:rPr>
        <w:t>Az+Ma</w:t>
      </w:r>
      <w:proofErr w:type="spellEnd"/>
      <w:r w:rsidRPr="003A486E">
        <w:rPr>
          <w:rFonts w:ascii="Arial" w:hAnsi="Arial" w:cs="Arial"/>
          <w:i/>
          <w:iCs/>
          <w:sz w:val="18"/>
          <w:szCs w:val="18"/>
        </w:rPr>
        <w:t xml:space="preserve">: Azoxystrobin + Mancozeb; </w:t>
      </w:r>
      <w:proofErr w:type="spellStart"/>
      <w:r w:rsidRPr="003A486E">
        <w:rPr>
          <w:rFonts w:ascii="Arial" w:hAnsi="Arial" w:cs="Arial"/>
          <w:i/>
          <w:iCs/>
          <w:sz w:val="18"/>
          <w:szCs w:val="18"/>
        </w:rPr>
        <w:t>Pi+Ma</w:t>
      </w:r>
      <w:proofErr w:type="spellEnd"/>
      <w:r w:rsidRPr="003A486E">
        <w:rPr>
          <w:rFonts w:ascii="Arial" w:hAnsi="Arial" w:cs="Arial"/>
          <w:i/>
          <w:iCs/>
          <w:sz w:val="18"/>
          <w:szCs w:val="18"/>
        </w:rPr>
        <w:t xml:space="preserve">: Picoxystrobin + Mancozeb; </w:t>
      </w:r>
      <w:proofErr w:type="spellStart"/>
      <w:r w:rsidRPr="003A486E">
        <w:rPr>
          <w:rFonts w:ascii="Arial" w:hAnsi="Arial" w:cs="Arial"/>
          <w:i/>
          <w:iCs/>
          <w:sz w:val="18"/>
          <w:szCs w:val="18"/>
        </w:rPr>
        <w:t>Di+Sp</w:t>
      </w:r>
      <w:proofErr w:type="spellEnd"/>
      <w:r w:rsidRPr="003A486E">
        <w:rPr>
          <w:rFonts w:ascii="Arial" w:hAnsi="Arial" w:cs="Arial"/>
          <w:i/>
          <w:iCs/>
          <w:sz w:val="18"/>
          <w:szCs w:val="18"/>
        </w:rPr>
        <w:t xml:space="preserve">: Difenoconazole + Spiroxamine; Ca+Ma: Carbendazim + Mancozeb; </w:t>
      </w:r>
      <w:proofErr w:type="spellStart"/>
      <w:r w:rsidRPr="003A486E">
        <w:rPr>
          <w:rFonts w:ascii="Arial" w:hAnsi="Arial" w:cs="Arial"/>
          <w:i/>
          <w:iCs/>
          <w:sz w:val="18"/>
          <w:szCs w:val="18"/>
        </w:rPr>
        <w:t>Ch+Ca</w:t>
      </w:r>
      <w:proofErr w:type="spellEnd"/>
      <w:r w:rsidRPr="003A486E">
        <w:rPr>
          <w:rFonts w:ascii="Arial" w:hAnsi="Arial" w:cs="Arial"/>
          <w:i/>
          <w:iCs/>
          <w:sz w:val="18"/>
          <w:szCs w:val="18"/>
        </w:rPr>
        <w:t xml:space="preserve">: Chlorothalonil + Carbendazim; Ea CO: Chromolaena odorata aqueous extract; Az+Di: Azoxystrobin + Difenoconazole; Di: Difenoconazole; Hc: Copper hydroxide; Ma: Mancozeb; He </w:t>
      </w:r>
      <w:proofErr w:type="spellStart"/>
      <w:r w:rsidRPr="003A486E">
        <w:rPr>
          <w:rFonts w:ascii="Arial" w:hAnsi="Arial" w:cs="Arial"/>
          <w:i/>
          <w:iCs/>
          <w:sz w:val="18"/>
          <w:szCs w:val="18"/>
        </w:rPr>
        <w:t>LM</w:t>
      </w:r>
      <w:proofErr w:type="spellEnd"/>
      <w:r w:rsidRPr="003A486E">
        <w:rPr>
          <w:rFonts w:ascii="Arial" w:hAnsi="Arial" w:cs="Arial"/>
          <w:i/>
          <w:iCs/>
          <w:sz w:val="18"/>
          <w:szCs w:val="18"/>
        </w:rPr>
        <w:t>: Lippia multiflora oil extract; NECO: Thymol-Gamma terpinene Eugenol.</w:t>
      </w:r>
    </w:p>
    <w:p w14:paraId="2EE54194" w14:textId="77777777" w:rsidR="00A168A1" w:rsidRPr="00A168A1" w:rsidRDefault="00A168A1" w:rsidP="000A32BD">
      <w:pPr>
        <w:jc w:val="both"/>
        <w:rPr>
          <w:rFonts w:ascii="Arial" w:hAnsi="Arial" w:cs="Arial"/>
          <w:i/>
          <w:iCs/>
          <w:sz w:val="18"/>
          <w:szCs w:val="18"/>
        </w:rPr>
      </w:pPr>
    </w:p>
    <w:p w14:paraId="2B1DD889" w14:textId="6E95907C" w:rsidR="000A32BD" w:rsidRPr="000A32BD" w:rsidRDefault="00135FE3" w:rsidP="000A32BD">
      <w:pPr>
        <w:rPr>
          <w:rFonts w:ascii="Arial" w:hAnsi="Arial" w:cs="Arial"/>
        </w:rPr>
      </w:pPr>
      <w:r>
        <w:rPr>
          <w:rFonts w:ascii="Arial" w:hAnsi="Arial" w:cs="Arial"/>
        </w:rPr>
      </w:r>
      <w:r>
        <w:rPr>
          <w:rFonts w:ascii="Arial" w:hAnsi="Arial" w:cs="Arial"/>
        </w:rPr>
        <w:pict w14:anchorId="6F8FF7DB">
          <v:group id="Group 28" o:spid="_x0000_s2094" style="width:425pt;height:218.7pt;mso-position-horizontal-relative:char;mso-position-vertical-relative:line" coordsize="53975,27774">
            <v:shape id="Graphique 2140589547" o:spid="_x0000_s2095" type="#_x0000_t75" style="position:absolute;width:54010;height:277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3AzxAAAAN0AAAAPAAAAZHJzL2Rvd25yZXYueG1sRI9Bi8Iw&#10;EIXvwv6HMAveNNGDutVURBD0ILJ2D3ucbca2tJmUJmr990ZY8DbDe9+bN6t1bxtxo85XjjVMxgoE&#10;ce5MxYWGn2w3WoDwAdlg45g0PMjDOv0YrDAx7s7fdDuHQsQQ9glqKENoEyl9XpJFP3YtcdQurrMY&#10;4toV0nR4j+G2kVOlZtJixfFCiS1tS8rr89XGGjs1//t1m+aRUc370+E4mc++tB5+9psliEB9eJv/&#10;6b2JnFJTeH0TR5DpEwAA//8DAFBLAQItABQABgAIAAAAIQDb4fbL7gAAAIUBAAATAAAAAAAAAAAA&#10;AAAAAAAAAABbQ29udGVudF9UeXBlc10ueG1sUEsBAi0AFAAGAAgAAAAhAFr0LFu/AAAAFQEAAAsA&#10;AAAAAAAAAAAAAAAAHwEAAF9yZWxzLy5yZWxzUEsBAi0AFAAGAAgAAAAhAMTncDPEAAAA3QAAAA8A&#10;AAAAAAAAAAAAAAAABwIAAGRycy9kb3ducmV2LnhtbFBLBQYAAAAAAwADALcAAAD4AgAAAAA=&#10;">
              <v:imagedata r:id="rId19" o:title=""/>
              <o:lock v:ext="edit" aspectratio="f"/>
            </v:shape>
            <v:shape id="Text Box 389" o:spid="_x0000_s2096" type="#_x0000_t202" style="position:absolute;left:14434;top:21163;width:428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juxwAAAOMAAAAPAAAAZHJzL2Rvd25yZXYueG1sRE9fa8Iw&#10;EH8X9h3CDfamyTqVWo0yNgY+KXMq+HY0Z1tsLqXJbPftF0Hw8X7/b7HqbS2u1PrKsYbXkQJBnDtT&#10;caFh//M1TEH4gGywdkwa/sjDavk0WGBmXMffdN2FQsQQ9hlqKENoMil9XpJFP3INceTOrrUY4tkW&#10;0rTYxXBby0SpqbRYcWwosaGPkvLL7tdqOGzOp+NYbYtPO2k61yvJdia1fnnu3+cgAvXhIb671ybO&#10;T99mSZImkyncfooAyOU/AAAA//8DAFBLAQItABQABgAIAAAAIQDb4fbL7gAAAIUBAAATAAAAAAAA&#10;AAAAAAAAAAAAAABbQ29udGVudF9UeXBlc10ueG1sUEsBAi0AFAAGAAgAAAAhAFr0LFu/AAAAFQEA&#10;AAsAAAAAAAAAAAAAAAAAHwEAAF9yZWxzLy5yZWxzUEsBAi0AFAAGAAgAAAAhANkZqO7HAAAA4wAA&#10;AA8AAAAAAAAAAAAAAAAABwIAAGRycy9kb3ducmV2LnhtbFBLBQYAAAAAAwADALcAAAD7AgAAAAA=&#10;" filled="f" stroked="f">
              <v:textbox style="mso-next-textbox:#Text Box 389">
                <w:txbxContent>
                  <w:p w14:paraId="30C94450" w14:textId="77777777" w:rsidR="000A32BD" w:rsidRPr="00AB5668" w:rsidRDefault="000A32BD" w:rsidP="000A32BD">
                    <w:pPr>
                      <w:rPr>
                        <w:rFonts w:ascii="Times New Roman" w:hAnsi="Times New Roman"/>
                      </w:rPr>
                    </w:pPr>
                    <w:r w:rsidRPr="00AB5668">
                      <w:rPr>
                        <w:rFonts w:ascii="Times New Roman" w:hAnsi="Times New Roman"/>
                      </w:rPr>
                      <w:t>G1</w:t>
                    </w:r>
                  </w:p>
                </w:txbxContent>
              </v:textbox>
            </v:shape>
            <v:shape id="Text Box 390" o:spid="_x0000_s2097" type="#_x0000_t202" style="position:absolute;left:30882;top:18115;width:39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RuxQAAAOIAAAAPAAAAZHJzL2Rvd25yZXYueG1sRE9da8Iw&#10;FH0X9h/CHexNE0uV2RlFlMGeFN0m+HZprm1Zc1OaaLt/bwTBx8P5ni97W4srtb5yrGE8UiCIc2cq&#10;LjT8fH8O30H4gGywdkwa/snDcvEymGNmXMd7uh5CIWII+ww1lCE0mZQ+L8miH7mGOHJn11oMEbaF&#10;NC12MdzWMlFqKi1WHBtKbGhdUv53uFgNv9vz6ZiqXbGxk6ZzvZJsZ1Lrt9d+9QEiUB+e4of7y8T5&#10;STpJx9NZAvdLEYNc3AAAAP//AwBQSwECLQAUAAYACAAAACEA2+H2y+4AAACFAQAAEwAAAAAAAAAA&#10;AAAAAAAAAAAAW0NvbnRlbnRfVHlwZXNdLnhtbFBLAQItABQABgAIAAAAIQBa9CxbvwAAABUBAAAL&#10;AAAAAAAAAAAAAAAAAB8BAABfcmVscy8ucmVsc1BLAQItABQABgAIAAAAIQBnNKRuxQAAAOIAAAAP&#10;AAAAAAAAAAAAAAAAAAcCAABkcnMvZG93bnJldi54bWxQSwUGAAAAAAMAAwC3AAAA+QIAAAAA&#10;" filled="f" stroked="f">
              <v:textbox style="mso-next-textbox:#Text Box 390">
                <w:txbxContent>
                  <w:p w14:paraId="4458EFE9" w14:textId="77777777" w:rsidR="000A32BD" w:rsidRPr="00AB5668" w:rsidRDefault="000A32BD" w:rsidP="000A32BD">
                    <w:pPr>
                      <w:rPr>
                        <w:rFonts w:ascii="Times New Roman" w:hAnsi="Times New Roman"/>
                      </w:rPr>
                    </w:pPr>
                    <w:r w:rsidRPr="00AB5668">
                      <w:rPr>
                        <w:rFonts w:ascii="Times New Roman" w:hAnsi="Times New Roman"/>
                      </w:rPr>
                      <w:t>G2</w:t>
                    </w:r>
                  </w:p>
                </w:txbxContent>
              </v:textbox>
            </v:shape>
            <v:shape id="Text Box 391" o:spid="_x0000_s2098" type="#_x0000_t202" style="position:absolute;left:44454;top:16735;width:390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GcywAAAOMAAAAPAAAAZHJzL2Rvd25yZXYueG1sRI9Pa8JA&#10;FMTvQr/D8gq96a6m/mnqKmIp9KQ0VaG3R/aZhGbfhuzWpN++Kwgeh5n5DbNc97YWF2p95VjDeKRA&#10;EOfOVFxoOHy9DxcgfEA2WDsmDX/kYb16GCwxNa7jT7pkoRARwj5FDWUITSqlz0uy6EeuIY7e2bUW&#10;Q5RtIU2LXYTbWk6UmkmLFceFEhvalpT/ZL9Ww3F3/j49q33xZqdN53ol2b5IrZ8e+80riEB9uIdv&#10;7Q+jYaKSmUqSxXwM10/xD8jVPwAAAP//AwBQSwECLQAUAAYACAAAACEA2+H2y+4AAACFAQAAEwAA&#10;AAAAAAAAAAAAAAAAAAAAW0NvbnRlbnRfVHlwZXNdLnhtbFBLAQItABQABgAIAAAAIQBa9CxbvwAA&#10;ABUBAAALAAAAAAAAAAAAAAAAAB8BAABfcmVscy8ucmVsc1BLAQItABQABgAIAAAAIQAXyEGcywAA&#10;AOMAAAAPAAAAAAAAAAAAAAAAAAcCAABkcnMvZG93bnJldi54bWxQSwUGAAAAAAMAAwC3AAAA/wIA&#10;AAAA&#10;" filled="f" stroked="f">
              <v:textbox style="mso-next-textbox:#Text Box 391">
                <w:txbxContent>
                  <w:p w14:paraId="337F7CC0" w14:textId="77777777" w:rsidR="000A32BD" w:rsidRPr="00AB5668" w:rsidRDefault="000A32BD" w:rsidP="000A32BD">
                    <w:pPr>
                      <w:rPr>
                        <w:rFonts w:ascii="Times New Roman" w:hAnsi="Times New Roman"/>
                      </w:rPr>
                    </w:pPr>
                    <w:r w:rsidRPr="00AB5668">
                      <w:rPr>
                        <w:rFonts w:ascii="Times New Roman" w:hAnsi="Times New Roman"/>
                      </w:rPr>
                      <w:t>G3</w:t>
                    </w:r>
                  </w:p>
                </w:txbxContent>
              </v:textbox>
            </v:shape>
            <w10:anchorlock/>
          </v:group>
        </w:pict>
      </w:r>
    </w:p>
    <w:p w14:paraId="5F000F83" w14:textId="77777777" w:rsidR="00010AC2" w:rsidRDefault="000A32BD" w:rsidP="000A32BD">
      <w:pPr>
        <w:jc w:val="both"/>
        <w:rPr>
          <w:rFonts w:ascii="Arial" w:hAnsi="Arial" w:cs="Arial"/>
        </w:rPr>
      </w:pPr>
      <w:r w:rsidRPr="000A32BD">
        <w:rPr>
          <w:rFonts w:ascii="Arial" w:hAnsi="Arial" w:cs="Arial"/>
          <w:b/>
          <w:bCs/>
        </w:rPr>
        <w:lastRenderedPageBreak/>
        <w:t>Figure 6:</w:t>
      </w:r>
      <w:r w:rsidRPr="000A32BD">
        <w:rPr>
          <w:rFonts w:ascii="Arial" w:hAnsi="Arial" w:cs="Arial"/>
        </w:rPr>
        <w:t xml:space="preserve"> Dendrogram from Hierarchical Ascending Classification (HAC) of fungicides tested against </w:t>
      </w:r>
      <w:r w:rsidRPr="000A32BD">
        <w:rPr>
          <w:rFonts w:ascii="Arial" w:hAnsi="Arial" w:cs="Arial"/>
          <w:i/>
          <w:iCs/>
        </w:rPr>
        <w:t>Fusarium</w:t>
      </w:r>
      <w:r w:rsidRPr="000A32BD">
        <w:rPr>
          <w:rFonts w:ascii="Arial" w:hAnsi="Arial" w:cs="Arial"/>
        </w:rPr>
        <w:t xml:space="preserve"> sp. isolates based on their efficacy.</w:t>
      </w:r>
    </w:p>
    <w:p w14:paraId="3308C53B" w14:textId="6D837BD7" w:rsidR="000A32BD" w:rsidRPr="000A32BD" w:rsidRDefault="000A32BD" w:rsidP="000A32BD">
      <w:pPr>
        <w:jc w:val="both"/>
        <w:rPr>
          <w:rFonts w:ascii="Arial" w:hAnsi="Arial" w:cs="Arial"/>
        </w:rPr>
      </w:pPr>
      <w:r w:rsidRPr="00010AC2">
        <w:rPr>
          <w:rFonts w:ascii="Arial" w:hAnsi="Arial" w:cs="Arial"/>
          <w:i/>
          <w:iCs/>
          <w:sz w:val="18"/>
          <w:szCs w:val="18"/>
        </w:rPr>
        <w:t xml:space="preserve">Abbreviations </w:t>
      </w:r>
      <w:proofErr w:type="gramStart"/>
      <w:r w:rsidR="00DB7016">
        <w:rPr>
          <w:rFonts w:ascii="Arial" w:hAnsi="Arial" w:cs="Arial"/>
          <w:i/>
          <w:iCs/>
          <w:sz w:val="18"/>
          <w:szCs w:val="18"/>
        </w:rPr>
        <w:t xml:space="preserve">are </w:t>
      </w:r>
      <w:r w:rsidRPr="00010AC2">
        <w:rPr>
          <w:rFonts w:ascii="Arial" w:hAnsi="Arial" w:cs="Arial"/>
          <w:i/>
          <w:iCs/>
          <w:sz w:val="18"/>
          <w:szCs w:val="18"/>
        </w:rPr>
        <w:t>as</w:t>
      </w:r>
      <w:proofErr w:type="gramEnd"/>
      <w:r w:rsidRPr="00010AC2">
        <w:rPr>
          <w:rFonts w:ascii="Arial" w:hAnsi="Arial" w:cs="Arial"/>
          <w:i/>
          <w:iCs/>
          <w:sz w:val="18"/>
          <w:szCs w:val="18"/>
        </w:rPr>
        <w:t xml:space="preserve"> defined in Figure 5.</w:t>
      </w:r>
    </w:p>
    <w:p w14:paraId="1FE2AA94" w14:textId="346A9F2E" w:rsidR="00F04CDC" w:rsidRPr="000A32BD" w:rsidRDefault="00F04CDC" w:rsidP="000A32BD">
      <w:pPr>
        <w:jc w:val="both"/>
        <w:rPr>
          <w:rFonts w:ascii="Arial" w:hAnsi="Arial" w:cs="Arial"/>
          <w:i/>
          <w:iCs/>
        </w:rPr>
      </w:pPr>
    </w:p>
    <w:p w14:paraId="55B6BB5E" w14:textId="77777777" w:rsidR="00F04CDC" w:rsidRPr="00E13494" w:rsidRDefault="00F04CDC" w:rsidP="00F04CDC">
      <w:pPr>
        <w:spacing w:line="360" w:lineRule="auto"/>
        <w:rPr>
          <w:rFonts w:ascii="Times New Roman" w:hAnsi="Times New Roman"/>
        </w:rPr>
      </w:pPr>
    </w:p>
    <w:p w14:paraId="4298F43D" w14:textId="796AD936" w:rsidR="00F1391E" w:rsidRPr="003A486E" w:rsidRDefault="009F2BC7" w:rsidP="00CC1677">
      <w:pPr>
        <w:pStyle w:val="Heading2"/>
      </w:pPr>
      <w:r w:rsidRPr="003A486E">
        <w:t>3.5</w:t>
      </w:r>
      <w:r w:rsidR="00F1391E" w:rsidRPr="003A486E">
        <w:t>. Discussion</w:t>
      </w:r>
    </w:p>
    <w:p w14:paraId="31755CFF" w14:textId="798EDAA5" w:rsidR="004B163E" w:rsidRPr="003A486E" w:rsidRDefault="004B163E" w:rsidP="00BF34CB">
      <w:pPr>
        <w:jc w:val="both"/>
        <w:rPr>
          <w:rFonts w:ascii="Arial" w:hAnsi="Arial" w:cs="Arial"/>
          <w:bCs/>
        </w:rPr>
      </w:pPr>
      <w:r w:rsidRPr="003A486E">
        <w:rPr>
          <w:rFonts w:ascii="Arial" w:hAnsi="Arial" w:cs="Arial"/>
          <w:bCs/>
        </w:rPr>
        <w:t xml:space="preserve">This study provides an </w:t>
      </w:r>
      <w:r w:rsidRPr="003A486E">
        <w:rPr>
          <w:rFonts w:ascii="Arial" w:hAnsi="Arial" w:cs="Arial"/>
          <w:bCs/>
          <w:i/>
          <w:iCs/>
        </w:rPr>
        <w:t>in vitro</w:t>
      </w:r>
      <w:r w:rsidRPr="003A486E">
        <w:rPr>
          <w:rFonts w:ascii="Arial" w:hAnsi="Arial" w:cs="Arial"/>
          <w:bCs/>
        </w:rPr>
        <w:t xml:space="preserve"> assessment of the efficacy of nine synthetic and three biological fungicides against key developmental stages—mycelial growth, sporulation, and spore germination—of </w:t>
      </w:r>
      <w:r w:rsidRPr="003A486E">
        <w:rPr>
          <w:rFonts w:ascii="Arial" w:hAnsi="Arial" w:cs="Arial"/>
          <w:bCs/>
          <w:i/>
          <w:iCs/>
        </w:rPr>
        <w:t>Colletotrichum</w:t>
      </w:r>
      <w:r w:rsidRPr="003A486E">
        <w:rPr>
          <w:rFonts w:ascii="Arial" w:hAnsi="Arial" w:cs="Arial"/>
          <w:bCs/>
        </w:rPr>
        <w:t xml:space="preserve"> and </w:t>
      </w:r>
      <w:r w:rsidRPr="003A486E">
        <w:rPr>
          <w:rFonts w:ascii="Arial" w:hAnsi="Arial" w:cs="Arial"/>
          <w:bCs/>
          <w:i/>
          <w:iCs/>
        </w:rPr>
        <w:t>Fusarium</w:t>
      </w:r>
      <w:r w:rsidRPr="003A486E">
        <w:rPr>
          <w:rFonts w:ascii="Arial" w:hAnsi="Arial" w:cs="Arial"/>
          <w:bCs/>
        </w:rPr>
        <w:t xml:space="preserve"> pathogens affecting black pepper in Côte d</w:t>
      </w:r>
      <w:r w:rsidR="00DB7016" w:rsidRPr="003A486E">
        <w:rPr>
          <w:rFonts w:ascii="Arial" w:hAnsi="Arial" w:cs="Arial"/>
          <w:bCs/>
        </w:rPr>
        <w:t>’</w:t>
      </w:r>
      <w:r w:rsidRPr="003A486E">
        <w:rPr>
          <w:rFonts w:ascii="Arial" w:hAnsi="Arial" w:cs="Arial"/>
          <w:bCs/>
        </w:rPr>
        <w:t>Ivoire. All tested products exhibited some degree of influence on these fungal life stages, with efficacy varying considerably among the different active ingredients and formulations.</w:t>
      </w:r>
    </w:p>
    <w:p w14:paraId="36F9BCE1" w14:textId="77777777" w:rsidR="00BF34CB" w:rsidRPr="003A486E" w:rsidRDefault="00BF34CB" w:rsidP="00BF34CB">
      <w:pPr>
        <w:jc w:val="both"/>
        <w:rPr>
          <w:rFonts w:ascii="Arial" w:hAnsi="Arial" w:cs="Arial"/>
          <w:bCs/>
        </w:rPr>
      </w:pPr>
    </w:p>
    <w:p w14:paraId="7E7D7547" w14:textId="77777777" w:rsidR="004B163E" w:rsidRPr="003A486E" w:rsidRDefault="004B163E" w:rsidP="00BF34CB">
      <w:pPr>
        <w:jc w:val="both"/>
        <w:rPr>
          <w:rFonts w:ascii="Arial" w:hAnsi="Arial" w:cs="Arial"/>
          <w:bCs/>
        </w:rPr>
      </w:pPr>
      <w:r w:rsidRPr="003A486E">
        <w:rPr>
          <w:rFonts w:ascii="Arial" w:hAnsi="Arial" w:cs="Arial"/>
          <w:bCs/>
        </w:rPr>
        <w:t>The most pronounced inhibition of mycelial growth for both fungal genera was achieved by five synthetic fungicide combinations: Chlorothalonil + Carbendazim, Carbendazim + Mancozeb, Azoxystrobin + Mancozeb, Picoxystrobin + Mancozeb, and Difenoconazole + Spiroxamine, which resulted in complete suppression. Other synthetic formulations, namely mancozeb, difenoconazole, copper hydroxide, and azoxystrobin + difenoconazole, significantly reduced mycelial growth, sporulation, and spore germination in a dose-dependent manner. As anticipated, the highest concentration (D3, twice the recommended dose) was generally the most effective, followed by the recommended dose (D2), while the half-dose (D1) showed the least inhibition. This variability in performance is likely attributable to the distinct modes of action of the respective active ingredients (</w:t>
      </w:r>
      <w:proofErr w:type="spellStart"/>
      <w:r w:rsidRPr="003A486E">
        <w:rPr>
          <w:rFonts w:ascii="Arial" w:hAnsi="Arial" w:cs="Arial"/>
          <w:bCs/>
        </w:rPr>
        <w:t>Petchayo</w:t>
      </w:r>
      <w:proofErr w:type="spellEnd"/>
      <w:r w:rsidRPr="003A486E">
        <w:rPr>
          <w:rFonts w:ascii="Arial" w:hAnsi="Arial" w:cs="Arial"/>
          <w:bCs/>
        </w:rPr>
        <w:t>, 2022).</w:t>
      </w:r>
    </w:p>
    <w:p w14:paraId="5A317761" w14:textId="77777777" w:rsidR="00BF34CB" w:rsidRPr="003A486E" w:rsidRDefault="00BF34CB" w:rsidP="00BF34CB">
      <w:pPr>
        <w:jc w:val="both"/>
        <w:rPr>
          <w:rFonts w:ascii="Arial" w:hAnsi="Arial" w:cs="Arial"/>
          <w:bCs/>
        </w:rPr>
      </w:pPr>
    </w:p>
    <w:p w14:paraId="2E093269" w14:textId="77777777" w:rsidR="004B163E" w:rsidRPr="003A486E" w:rsidRDefault="004B163E" w:rsidP="00BF34CB">
      <w:pPr>
        <w:jc w:val="both"/>
        <w:rPr>
          <w:rFonts w:ascii="Arial" w:hAnsi="Arial" w:cs="Arial"/>
          <w:bCs/>
        </w:rPr>
      </w:pPr>
      <w:r w:rsidRPr="003A486E">
        <w:rPr>
          <w:rFonts w:ascii="Arial" w:hAnsi="Arial" w:cs="Arial"/>
          <w:bCs/>
        </w:rPr>
        <w:t xml:space="preserve">The combination of Chlorothalonil and Carbendazim, a contact and systemic fungicide commonly used in horticulture, demonstrated complete pathogen suppression in our assays. Its efficacy has been similarly documented against fungal diseases in papaya, mango, and banana (Kouadia et al., 2022; Kouadia, 2023). Tonon et al. (2017) reported 100% inhibition of mycelial growth, germination, and sporulation of </w:t>
      </w:r>
      <w:r w:rsidRPr="003A486E">
        <w:rPr>
          <w:rFonts w:ascii="Arial" w:hAnsi="Arial" w:cs="Arial"/>
          <w:bCs/>
          <w:i/>
          <w:iCs/>
        </w:rPr>
        <w:t>Colletotrichum gloeosporioides</w:t>
      </w:r>
      <w:r w:rsidRPr="003A486E">
        <w:rPr>
          <w:rFonts w:ascii="Arial" w:hAnsi="Arial" w:cs="Arial"/>
          <w:bCs/>
        </w:rPr>
        <w:t xml:space="preserve"> in cashew using this combination, while Camara et al. (2023) noted over 70% inhibition of mycelial growth in </w:t>
      </w:r>
      <w:r w:rsidRPr="003A486E">
        <w:rPr>
          <w:rFonts w:ascii="Arial" w:hAnsi="Arial" w:cs="Arial"/>
          <w:bCs/>
          <w:i/>
          <w:iCs/>
        </w:rPr>
        <w:t>Fusarium</w:t>
      </w:r>
      <w:r w:rsidRPr="003A486E">
        <w:rPr>
          <w:rFonts w:ascii="Arial" w:hAnsi="Arial" w:cs="Arial"/>
          <w:bCs/>
        </w:rPr>
        <w:t xml:space="preserve"> sp. and </w:t>
      </w:r>
      <w:r w:rsidRPr="003A486E">
        <w:rPr>
          <w:rFonts w:ascii="Arial" w:hAnsi="Arial" w:cs="Arial"/>
          <w:bCs/>
          <w:i/>
          <w:iCs/>
        </w:rPr>
        <w:t>Curvularia</w:t>
      </w:r>
      <w:r w:rsidRPr="003A486E">
        <w:rPr>
          <w:rFonts w:ascii="Arial" w:hAnsi="Arial" w:cs="Arial"/>
          <w:bCs/>
        </w:rPr>
        <w:t xml:space="preserve"> sp. However, these results contrast with findings by </w:t>
      </w:r>
      <w:proofErr w:type="spellStart"/>
      <w:r w:rsidRPr="003A486E">
        <w:rPr>
          <w:rFonts w:ascii="Arial" w:hAnsi="Arial" w:cs="Arial"/>
          <w:bCs/>
        </w:rPr>
        <w:t>Hamdache</w:t>
      </w:r>
      <w:proofErr w:type="spellEnd"/>
      <w:r w:rsidRPr="003A486E">
        <w:rPr>
          <w:rFonts w:ascii="Arial" w:hAnsi="Arial" w:cs="Arial"/>
          <w:bCs/>
        </w:rPr>
        <w:t xml:space="preserve"> et al. (2010), who reported only moderate efficacy against </w:t>
      </w:r>
      <w:r w:rsidRPr="003A486E">
        <w:rPr>
          <w:rFonts w:ascii="Arial" w:hAnsi="Arial" w:cs="Arial"/>
          <w:bCs/>
          <w:i/>
          <w:iCs/>
        </w:rPr>
        <w:t>Botrytis cinerea</w:t>
      </w:r>
      <w:r w:rsidRPr="003A486E">
        <w:rPr>
          <w:rFonts w:ascii="Arial" w:hAnsi="Arial" w:cs="Arial"/>
          <w:bCs/>
        </w:rPr>
        <w:t>.</w:t>
      </w:r>
    </w:p>
    <w:p w14:paraId="029A5EF4" w14:textId="77777777" w:rsidR="00433417" w:rsidRPr="003A486E" w:rsidRDefault="00433417" w:rsidP="00BF34CB">
      <w:pPr>
        <w:jc w:val="both"/>
        <w:rPr>
          <w:rFonts w:ascii="Arial" w:hAnsi="Arial" w:cs="Arial"/>
          <w:bCs/>
        </w:rPr>
      </w:pPr>
    </w:p>
    <w:p w14:paraId="31DFA54F" w14:textId="77777777" w:rsidR="004B163E" w:rsidRPr="003A486E" w:rsidRDefault="004B163E" w:rsidP="00BF34CB">
      <w:pPr>
        <w:jc w:val="both"/>
        <w:rPr>
          <w:rFonts w:ascii="Arial" w:hAnsi="Arial" w:cs="Arial"/>
          <w:bCs/>
        </w:rPr>
      </w:pPr>
      <w:r w:rsidRPr="003A486E">
        <w:rPr>
          <w:rFonts w:ascii="Arial" w:hAnsi="Arial" w:cs="Arial"/>
          <w:bCs/>
        </w:rPr>
        <w:t>Carbendazim, a benzimidazole, disrupts fungal cell division by interfering with chromatic spindle formation and function (</w:t>
      </w:r>
      <w:proofErr w:type="spellStart"/>
      <w:r w:rsidRPr="003A486E">
        <w:rPr>
          <w:rFonts w:ascii="Arial" w:hAnsi="Arial" w:cs="Arial"/>
          <w:bCs/>
        </w:rPr>
        <w:t>Davidse</w:t>
      </w:r>
      <w:proofErr w:type="spellEnd"/>
      <w:r w:rsidRPr="003A486E">
        <w:rPr>
          <w:rFonts w:ascii="Arial" w:hAnsi="Arial" w:cs="Arial"/>
          <w:bCs/>
        </w:rPr>
        <w:t xml:space="preserve"> and Flach, 1978). It inhibits beta-tubulin synthesis, thereby impeding reproduction, germ tube development, appressoria formation, and mycelial growth. The high efficacy of carbendazim, even at low concentrations, is well-established (Silué, 2019; Soro et al., 2023), with </w:t>
      </w:r>
      <w:proofErr w:type="spellStart"/>
      <w:r w:rsidRPr="003A486E">
        <w:rPr>
          <w:rFonts w:ascii="Arial" w:hAnsi="Arial" w:cs="Arial"/>
          <w:bCs/>
        </w:rPr>
        <w:t>Filoda</w:t>
      </w:r>
      <w:proofErr w:type="spellEnd"/>
      <w:r w:rsidRPr="003A486E">
        <w:rPr>
          <w:rFonts w:ascii="Arial" w:hAnsi="Arial" w:cs="Arial"/>
          <w:bCs/>
        </w:rPr>
        <w:t xml:space="preserve"> (2008) reporting mycelial growth inhibition exceeding 80% at minimal doses.</w:t>
      </w:r>
    </w:p>
    <w:p w14:paraId="7F15A790" w14:textId="77777777" w:rsidR="00433417" w:rsidRPr="003A486E" w:rsidRDefault="00433417" w:rsidP="00BF34CB">
      <w:pPr>
        <w:jc w:val="both"/>
        <w:rPr>
          <w:rFonts w:ascii="Arial" w:hAnsi="Arial" w:cs="Arial"/>
          <w:bCs/>
        </w:rPr>
      </w:pPr>
    </w:p>
    <w:p w14:paraId="6BD5A642" w14:textId="6A8654C5" w:rsidR="004B163E" w:rsidRPr="003A486E" w:rsidRDefault="004B163E" w:rsidP="00BF34CB">
      <w:pPr>
        <w:jc w:val="both"/>
        <w:rPr>
          <w:rFonts w:ascii="Arial" w:hAnsi="Arial" w:cs="Arial"/>
          <w:bCs/>
        </w:rPr>
      </w:pPr>
      <w:r w:rsidRPr="003A486E">
        <w:rPr>
          <w:rFonts w:ascii="Arial" w:hAnsi="Arial" w:cs="Arial"/>
          <w:bCs/>
        </w:rPr>
        <w:t xml:space="preserve">Mancozeb, a multisite contact fungicide from the </w:t>
      </w:r>
      <w:proofErr w:type="spellStart"/>
      <w:r w:rsidRPr="003A486E">
        <w:rPr>
          <w:rFonts w:ascii="Arial" w:hAnsi="Arial" w:cs="Arial"/>
          <w:bCs/>
        </w:rPr>
        <w:t>dithiocarbamate</w:t>
      </w:r>
      <w:proofErr w:type="spellEnd"/>
      <w:r w:rsidRPr="003A486E">
        <w:rPr>
          <w:rFonts w:ascii="Arial" w:hAnsi="Arial" w:cs="Arial"/>
          <w:bCs/>
        </w:rPr>
        <w:t xml:space="preserve"> family, is believed to disrupt microtubule activity, which is critical for nutrient transport and cell division in fungi (Kouadia et al., 2022; Kouadia, 2023). Its broad-spectrum activity has led to its use against approximately 400 fungal pathogens on over 100 crops (Kouadia et al., 2022; Kouadia, 2023; Ngoh et al., 2021a). Supporting our findings, Ngoh et al. (2021b) reported inhibitory effects of mancozeb on the radial growth of </w:t>
      </w:r>
      <w:r w:rsidRPr="003A486E">
        <w:rPr>
          <w:rFonts w:ascii="Arial" w:hAnsi="Arial" w:cs="Arial"/>
          <w:bCs/>
          <w:i/>
          <w:iCs/>
        </w:rPr>
        <w:t>Phytophthora infestans</w:t>
      </w:r>
      <w:r w:rsidRPr="003A486E">
        <w:rPr>
          <w:rFonts w:ascii="Arial" w:hAnsi="Arial" w:cs="Arial"/>
          <w:bCs/>
        </w:rPr>
        <w:t xml:space="preserve">, </w:t>
      </w:r>
      <w:r w:rsidRPr="003A486E">
        <w:rPr>
          <w:rFonts w:ascii="Arial" w:hAnsi="Arial" w:cs="Arial"/>
          <w:bCs/>
          <w:i/>
          <w:iCs/>
        </w:rPr>
        <w:t>Botrytis cinerea</w:t>
      </w:r>
      <w:r w:rsidRPr="003A486E">
        <w:rPr>
          <w:rFonts w:ascii="Arial" w:hAnsi="Arial" w:cs="Arial"/>
          <w:bCs/>
        </w:rPr>
        <w:t xml:space="preserve">, and </w:t>
      </w:r>
      <w:r w:rsidRPr="003A486E">
        <w:rPr>
          <w:rFonts w:ascii="Arial" w:hAnsi="Arial" w:cs="Arial"/>
          <w:bCs/>
          <w:i/>
          <w:iCs/>
        </w:rPr>
        <w:t>C. gloeosporioides</w:t>
      </w:r>
      <w:r w:rsidRPr="003A486E">
        <w:rPr>
          <w:rFonts w:ascii="Arial" w:hAnsi="Arial" w:cs="Arial"/>
          <w:bCs/>
        </w:rPr>
        <w:t xml:space="preserve">, and </w:t>
      </w:r>
      <w:proofErr w:type="spellStart"/>
      <w:r w:rsidRPr="003A486E">
        <w:rPr>
          <w:rFonts w:ascii="Arial" w:hAnsi="Arial" w:cs="Arial"/>
          <w:bCs/>
        </w:rPr>
        <w:t>Kassankogno</w:t>
      </w:r>
      <w:proofErr w:type="spellEnd"/>
      <w:r w:rsidRPr="003A486E">
        <w:rPr>
          <w:rFonts w:ascii="Arial" w:hAnsi="Arial" w:cs="Arial"/>
          <w:bCs/>
        </w:rPr>
        <w:t xml:space="preserve"> et al. (2023) demonstrated high efficacy against </w:t>
      </w:r>
      <w:r w:rsidRPr="003A486E">
        <w:rPr>
          <w:rFonts w:ascii="Arial" w:hAnsi="Arial" w:cs="Arial"/>
          <w:bCs/>
          <w:i/>
          <w:iCs/>
        </w:rPr>
        <w:t>Curvularia lunata</w:t>
      </w:r>
      <w:r w:rsidRPr="003A486E">
        <w:rPr>
          <w:rFonts w:ascii="Arial" w:hAnsi="Arial" w:cs="Arial"/>
          <w:bCs/>
        </w:rPr>
        <w:t xml:space="preserve"> in rice, with mycelial growth inhibition exceeding 95%.</w:t>
      </w:r>
    </w:p>
    <w:p w14:paraId="00B442B7" w14:textId="77777777" w:rsidR="00433417" w:rsidRPr="003A486E" w:rsidRDefault="00433417" w:rsidP="00BF34CB">
      <w:pPr>
        <w:jc w:val="both"/>
        <w:rPr>
          <w:rFonts w:ascii="Arial" w:hAnsi="Arial" w:cs="Arial"/>
          <w:bCs/>
        </w:rPr>
      </w:pPr>
    </w:p>
    <w:p w14:paraId="7E5814A7" w14:textId="12BF998D" w:rsidR="004B163E" w:rsidRPr="003A486E" w:rsidRDefault="004B163E" w:rsidP="00BF34CB">
      <w:pPr>
        <w:jc w:val="both"/>
        <w:rPr>
          <w:rFonts w:ascii="Arial" w:hAnsi="Arial" w:cs="Arial"/>
          <w:bCs/>
        </w:rPr>
      </w:pPr>
      <w:r w:rsidRPr="003A486E">
        <w:rPr>
          <w:rFonts w:ascii="Arial" w:hAnsi="Arial" w:cs="Arial"/>
          <w:bCs/>
        </w:rPr>
        <w:t xml:space="preserve">Azoxystrobin, a systemic strobilurin, functions preventively and curatively by inhibiting mitochondrial energy production. </w:t>
      </w:r>
      <w:r w:rsidR="00556106" w:rsidRPr="003A486E">
        <w:rPr>
          <w:rFonts w:ascii="Arial" w:hAnsi="Arial" w:cs="Arial"/>
          <w:bCs/>
        </w:rPr>
        <w:t>Several studies have confirmed its effectiveness against various phytopathogenic fungi</w:t>
      </w:r>
      <w:r w:rsidRPr="003A486E">
        <w:rPr>
          <w:rFonts w:ascii="Arial" w:hAnsi="Arial" w:cs="Arial"/>
          <w:bCs/>
        </w:rPr>
        <w:t xml:space="preserve">. For instance, Nana et al. (2023) reported its efficacy against </w:t>
      </w:r>
      <w:proofErr w:type="spellStart"/>
      <w:r w:rsidRPr="003A486E">
        <w:rPr>
          <w:rFonts w:ascii="Arial" w:hAnsi="Arial" w:cs="Arial"/>
          <w:bCs/>
          <w:i/>
          <w:iCs/>
        </w:rPr>
        <w:t>Cercospora</w:t>
      </w:r>
      <w:proofErr w:type="spellEnd"/>
      <w:r w:rsidRPr="003A486E">
        <w:rPr>
          <w:rFonts w:ascii="Arial" w:hAnsi="Arial" w:cs="Arial"/>
          <w:bCs/>
        </w:rPr>
        <w:t xml:space="preserve"> leaf spot in </w:t>
      </w:r>
      <w:proofErr w:type="gramStart"/>
      <w:r w:rsidRPr="003A486E">
        <w:rPr>
          <w:rFonts w:ascii="Arial" w:hAnsi="Arial" w:cs="Arial"/>
          <w:bCs/>
        </w:rPr>
        <w:t>groundnut</w:t>
      </w:r>
      <w:proofErr w:type="gramEnd"/>
      <w:r w:rsidRPr="003A486E">
        <w:rPr>
          <w:rFonts w:ascii="Arial" w:hAnsi="Arial" w:cs="Arial"/>
          <w:bCs/>
        </w:rPr>
        <w:t xml:space="preserve">, while Camara et al. (2023) and Kouadio et al. (2017) </w:t>
      </w:r>
      <w:r w:rsidRPr="003A486E">
        <w:rPr>
          <w:rFonts w:ascii="Arial" w:hAnsi="Arial" w:cs="Arial"/>
          <w:bCs/>
        </w:rPr>
        <w:lastRenderedPageBreak/>
        <w:t xml:space="preserve">observed 82.73% inhibition of </w:t>
      </w:r>
      <w:r w:rsidRPr="003A486E">
        <w:rPr>
          <w:rFonts w:ascii="Arial" w:hAnsi="Arial" w:cs="Arial"/>
          <w:bCs/>
          <w:i/>
          <w:iCs/>
        </w:rPr>
        <w:t>Curvularia</w:t>
      </w:r>
      <w:r w:rsidRPr="003A486E">
        <w:rPr>
          <w:rFonts w:ascii="Arial" w:hAnsi="Arial" w:cs="Arial"/>
          <w:bCs/>
        </w:rPr>
        <w:t xml:space="preserve"> sp. mycelial growth </w:t>
      </w:r>
      <w:r w:rsidRPr="003A486E">
        <w:rPr>
          <w:rFonts w:ascii="Arial" w:hAnsi="Arial" w:cs="Arial"/>
          <w:bCs/>
          <w:i/>
          <w:iCs/>
        </w:rPr>
        <w:t>in vitro</w:t>
      </w:r>
      <w:r w:rsidRPr="003A486E">
        <w:rPr>
          <w:rFonts w:ascii="Arial" w:hAnsi="Arial" w:cs="Arial"/>
          <w:bCs/>
        </w:rPr>
        <w:t xml:space="preserve"> at 50 ppm. Picoxystrobin, another strobilurin, shares a broad spectrum of activity and high efficacy in both preventive and curative applications, interacting with multiple enzyme systems in a manner akin to multisite fungicides but with prolonged effects (Leroux, 2003). The robust results obtained from combining mancozeb with either azoxystrobin or picoxystrobin in this study can be attributed to the complementary modes of action of these compounds. This aligns with the findings of Hrabětová et al. (2016), who highlighted the effectiveness of combining fungicides from triazole, strobilurin, and </w:t>
      </w:r>
      <w:proofErr w:type="spellStart"/>
      <w:r w:rsidRPr="003A486E">
        <w:rPr>
          <w:rFonts w:ascii="Arial" w:hAnsi="Arial" w:cs="Arial"/>
          <w:bCs/>
        </w:rPr>
        <w:t>dithiocarbamate</w:t>
      </w:r>
      <w:proofErr w:type="spellEnd"/>
      <w:r w:rsidRPr="003A486E">
        <w:rPr>
          <w:rFonts w:ascii="Arial" w:hAnsi="Arial" w:cs="Arial"/>
          <w:bCs/>
        </w:rPr>
        <w:t xml:space="preserve"> groups for managing fungal diseases.</w:t>
      </w:r>
    </w:p>
    <w:p w14:paraId="221808C4" w14:textId="77777777" w:rsidR="00433417" w:rsidRPr="003A486E" w:rsidRDefault="00433417" w:rsidP="00BF34CB">
      <w:pPr>
        <w:jc w:val="both"/>
        <w:rPr>
          <w:rFonts w:ascii="Arial" w:hAnsi="Arial" w:cs="Arial"/>
          <w:bCs/>
        </w:rPr>
      </w:pPr>
    </w:p>
    <w:p w14:paraId="141D536A" w14:textId="77777777" w:rsidR="004B163E" w:rsidRPr="003A486E" w:rsidRDefault="004B163E" w:rsidP="00BF34CB">
      <w:pPr>
        <w:jc w:val="both"/>
        <w:rPr>
          <w:rFonts w:ascii="Arial" w:hAnsi="Arial" w:cs="Arial"/>
          <w:bCs/>
        </w:rPr>
      </w:pPr>
      <w:r w:rsidRPr="003A486E">
        <w:rPr>
          <w:rFonts w:ascii="Arial" w:hAnsi="Arial" w:cs="Arial"/>
          <w:bCs/>
        </w:rPr>
        <w:t xml:space="preserve">The combination of difenoconazole (a triazole) and spiroxamine (a morpholine) acts by inhibiting sterol biosynthesis (IBS), a mode of action employed against a wide range of fungi and accounting for nearly 30% of the global fungicide market </w:t>
      </w:r>
      <w:r w:rsidRPr="003A486E">
        <w:rPr>
          <w:rFonts w:ascii="Arial" w:hAnsi="Arial" w:cs="Arial"/>
          <w:bCs/>
          <w:highlight w:val="yellow"/>
        </w:rPr>
        <w:t>(Mbaye et al., 2008).</w:t>
      </w:r>
      <w:r w:rsidRPr="003A486E">
        <w:rPr>
          <w:rFonts w:ascii="Arial" w:hAnsi="Arial" w:cs="Arial"/>
          <w:bCs/>
        </w:rPr>
        <w:t xml:space="preserve"> Difenoconazole is recognized as one of the most potent triazoles and has proven effective against pathogens such as </w:t>
      </w:r>
      <w:r w:rsidRPr="003A486E">
        <w:rPr>
          <w:rFonts w:ascii="Arial" w:hAnsi="Arial" w:cs="Arial"/>
          <w:bCs/>
          <w:i/>
          <w:iCs/>
        </w:rPr>
        <w:t>Venturia inaequalis</w:t>
      </w:r>
      <w:r w:rsidRPr="003A486E">
        <w:rPr>
          <w:rFonts w:ascii="Arial" w:hAnsi="Arial" w:cs="Arial"/>
          <w:bCs/>
        </w:rPr>
        <w:t>, the causal agent of apple scab (Irina et al., 2021).</w:t>
      </w:r>
    </w:p>
    <w:p w14:paraId="057D000F" w14:textId="77777777" w:rsidR="00433417" w:rsidRPr="003A486E" w:rsidRDefault="00433417" w:rsidP="00BF34CB">
      <w:pPr>
        <w:jc w:val="both"/>
        <w:rPr>
          <w:rFonts w:ascii="Arial" w:hAnsi="Arial" w:cs="Arial"/>
          <w:bCs/>
        </w:rPr>
      </w:pPr>
    </w:p>
    <w:p w14:paraId="4415D004" w14:textId="43876169" w:rsidR="004B163E" w:rsidRPr="003A486E" w:rsidRDefault="004B163E" w:rsidP="00BF34CB">
      <w:pPr>
        <w:jc w:val="both"/>
        <w:rPr>
          <w:rFonts w:ascii="Arial" w:hAnsi="Arial" w:cs="Arial"/>
          <w:bCs/>
        </w:rPr>
      </w:pPr>
      <w:r w:rsidRPr="003A486E">
        <w:rPr>
          <w:rFonts w:ascii="Arial" w:hAnsi="Arial" w:cs="Arial"/>
          <w:bCs/>
        </w:rPr>
        <w:t xml:space="preserve">Copper hydroxide, an inorganic contact fungicide registered for foliar application, demonstrated </w:t>
      </w:r>
      <w:r w:rsidR="00CB7E26" w:rsidRPr="003A486E">
        <w:rPr>
          <w:rFonts w:ascii="Arial" w:hAnsi="Arial" w:cs="Arial"/>
          <w:bCs/>
        </w:rPr>
        <w:t>promising</w:t>
      </w:r>
      <w:r w:rsidRPr="003A486E">
        <w:rPr>
          <w:rFonts w:ascii="Arial" w:hAnsi="Arial" w:cs="Arial"/>
          <w:bCs/>
        </w:rPr>
        <w:t xml:space="preserve"> efficacy in our tests. This may be explained by the fact that the tested </w:t>
      </w:r>
      <w:r w:rsidRPr="003A486E">
        <w:rPr>
          <w:rFonts w:ascii="Arial" w:hAnsi="Arial" w:cs="Arial"/>
          <w:bCs/>
          <w:i/>
          <w:iCs/>
        </w:rPr>
        <w:t>Colletotrichum</w:t>
      </w:r>
      <w:r w:rsidRPr="003A486E">
        <w:rPr>
          <w:rFonts w:ascii="Arial" w:hAnsi="Arial" w:cs="Arial"/>
          <w:bCs/>
        </w:rPr>
        <w:t xml:space="preserve"> and </w:t>
      </w:r>
      <w:r w:rsidRPr="003A486E">
        <w:rPr>
          <w:rFonts w:ascii="Arial" w:hAnsi="Arial" w:cs="Arial"/>
          <w:bCs/>
          <w:i/>
          <w:iCs/>
        </w:rPr>
        <w:t>Fusarium</w:t>
      </w:r>
      <w:r w:rsidRPr="003A486E">
        <w:rPr>
          <w:rFonts w:ascii="Arial" w:hAnsi="Arial" w:cs="Arial"/>
          <w:bCs/>
        </w:rPr>
        <w:t xml:space="preserve"> isolates were primarily obtained from symptomatic pepper leaves, the primary target for such a protectant. Its effectiveness against </w:t>
      </w:r>
      <w:r w:rsidRPr="003A486E">
        <w:rPr>
          <w:rFonts w:ascii="Arial" w:hAnsi="Arial" w:cs="Arial"/>
          <w:bCs/>
          <w:i/>
          <w:iCs/>
        </w:rPr>
        <w:t>Curvularia lunata</w:t>
      </w:r>
      <w:r w:rsidRPr="003A486E">
        <w:rPr>
          <w:rFonts w:ascii="Arial" w:hAnsi="Arial" w:cs="Arial"/>
          <w:bCs/>
        </w:rPr>
        <w:t xml:space="preserve"> has also been reported (</w:t>
      </w:r>
      <w:proofErr w:type="spellStart"/>
      <w:r w:rsidRPr="003A486E">
        <w:rPr>
          <w:rFonts w:ascii="Arial" w:hAnsi="Arial" w:cs="Arial"/>
          <w:bCs/>
        </w:rPr>
        <w:t>Kassankogno</w:t>
      </w:r>
      <w:proofErr w:type="spellEnd"/>
      <w:r w:rsidRPr="003A486E">
        <w:rPr>
          <w:rFonts w:ascii="Arial" w:hAnsi="Arial" w:cs="Arial"/>
          <w:bCs/>
        </w:rPr>
        <w:t xml:space="preserve"> et al., 2023).</w:t>
      </w:r>
    </w:p>
    <w:p w14:paraId="3D3AB884" w14:textId="77777777" w:rsidR="00433417" w:rsidRPr="003A486E" w:rsidRDefault="00433417" w:rsidP="00BF34CB">
      <w:pPr>
        <w:jc w:val="both"/>
        <w:rPr>
          <w:rFonts w:ascii="Arial" w:hAnsi="Arial" w:cs="Arial"/>
          <w:bCs/>
        </w:rPr>
      </w:pPr>
    </w:p>
    <w:p w14:paraId="13DA005F" w14:textId="77777777" w:rsidR="004B163E" w:rsidRPr="003A486E" w:rsidRDefault="004B163E" w:rsidP="00BF34CB">
      <w:pPr>
        <w:jc w:val="both"/>
        <w:rPr>
          <w:rFonts w:ascii="Arial" w:hAnsi="Arial" w:cs="Arial"/>
          <w:bCs/>
        </w:rPr>
      </w:pPr>
      <w:r w:rsidRPr="003A486E">
        <w:rPr>
          <w:rFonts w:ascii="Arial" w:hAnsi="Arial" w:cs="Arial"/>
          <w:bCs/>
          <w:highlight w:val="yellow"/>
        </w:rPr>
        <w:t xml:space="preserve">Among the </w:t>
      </w:r>
      <w:proofErr w:type="spellStart"/>
      <w:r w:rsidRPr="003A486E">
        <w:rPr>
          <w:rFonts w:ascii="Arial" w:hAnsi="Arial" w:cs="Arial"/>
          <w:bCs/>
          <w:highlight w:val="yellow"/>
        </w:rPr>
        <w:t>biofungicides</w:t>
      </w:r>
      <w:proofErr w:type="spellEnd"/>
      <w:r w:rsidRPr="003A486E">
        <w:rPr>
          <w:rFonts w:ascii="Arial" w:hAnsi="Arial" w:cs="Arial"/>
          <w:bCs/>
          <w:highlight w:val="yellow"/>
        </w:rPr>
        <w:t xml:space="preserve">, the formulation NECO (Thymol–Gamma terpinene–Eugenol) was the most effective, followed by the essential oil of </w:t>
      </w:r>
      <w:r w:rsidRPr="003A486E">
        <w:rPr>
          <w:rFonts w:ascii="Arial" w:hAnsi="Arial" w:cs="Arial"/>
          <w:bCs/>
          <w:i/>
          <w:iCs/>
          <w:highlight w:val="yellow"/>
        </w:rPr>
        <w:t>Lippia multiflora</w:t>
      </w:r>
      <w:r w:rsidRPr="003A486E">
        <w:rPr>
          <w:rFonts w:ascii="Arial" w:hAnsi="Arial" w:cs="Arial"/>
          <w:bCs/>
          <w:highlight w:val="yellow"/>
        </w:rPr>
        <w:t xml:space="preserve">. In contrast, the aqueous extract of </w:t>
      </w:r>
      <w:r w:rsidRPr="003A486E">
        <w:rPr>
          <w:rFonts w:ascii="Arial" w:hAnsi="Arial" w:cs="Arial"/>
          <w:bCs/>
          <w:i/>
          <w:iCs/>
          <w:highlight w:val="yellow"/>
        </w:rPr>
        <w:t>Chromolaena odorata</w:t>
      </w:r>
      <w:r w:rsidRPr="003A486E">
        <w:rPr>
          <w:rFonts w:ascii="Arial" w:hAnsi="Arial" w:cs="Arial"/>
          <w:bCs/>
          <w:highlight w:val="yellow"/>
        </w:rPr>
        <w:t xml:space="preserve"> showed negligible activity against the mycelial growth of both pathogens across all tested doses. The high efficacy of NECO corroborates the work of Bamba et al. (2023), who reported complete inhibition of </w:t>
      </w:r>
      <w:r w:rsidRPr="003A486E">
        <w:rPr>
          <w:rFonts w:ascii="Arial" w:hAnsi="Arial" w:cs="Arial"/>
          <w:bCs/>
          <w:i/>
          <w:iCs/>
          <w:highlight w:val="yellow"/>
        </w:rPr>
        <w:t>Sclerotium rolfsii</w:t>
      </w:r>
      <w:r w:rsidRPr="003A486E">
        <w:rPr>
          <w:rFonts w:ascii="Arial" w:hAnsi="Arial" w:cs="Arial"/>
          <w:bCs/>
          <w:highlight w:val="yellow"/>
        </w:rPr>
        <w:t xml:space="preserve"> mycelial growth at concentrations of 1000 and 2000 ppm. Similarly, Kouadia (2023) demonstrated the </w:t>
      </w:r>
      <w:r w:rsidRPr="003A486E">
        <w:rPr>
          <w:rFonts w:ascii="Arial" w:hAnsi="Arial" w:cs="Arial"/>
          <w:bCs/>
          <w:i/>
          <w:iCs/>
          <w:highlight w:val="yellow"/>
        </w:rPr>
        <w:t>in vitro</w:t>
      </w:r>
      <w:r w:rsidRPr="003A486E">
        <w:rPr>
          <w:rFonts w:ascii="Arial" w:hAnsi="Arial" w:cs="Arial"/>
          <w:bCs/>
          <w:highlight w:val="yellow"/>
        </w:rPr>
        <w:t xml:space="preserve"> efficacy of NECO against </w:t>
      </w:r>
      <w:r w:rsidRPr="003A486E">
        <w:rPr>
          <w:rFonts w:ascii="Arial" w:hAnsi="Arial" w:cs="Arial"/>
          <w:bCs/>
          <w:i/>
          <w:iCs/>
          <w:highlight w:val="yellow"/>
        </w:rPr>
        <w:t>Colletotrichum gloeosporioides</w:t>
      </w:r>
      <w:r w:rsidRPr="003A486E">
        <w:rPr>
          <w:rFonts w:ascii="Arial" w:hAnsi="Arial" w:cs="Arial"/>
          <w:bCs/>
          <w:highlight w:val="yellow"/>
        </w:rPr>
        <w:t xml:space="preserve"> on various fruits. The activity of </w:t>
      </w:r>
      <w:r w:rsidRPr="003A486E">
        <w:rPr>
          <w:rFonts w:ascii="Arial" w:hAnsi="Arial" w:cs="Arial"/>
          <w:bCs/>
          <w:i/>
          <w:iCs/>
          <w:highlight w:val="yellow"/>
        </w:rPr>
        <w:t>Lippia multiflora</w:t>
      </w:r>
      <w:r w:rsidRPr="003A486E">
        <w:rPr>
          <w:rFonts w:ascii="Arial" w:hAnsi="Arial" w:cs="Arial"/>
          <w:bCs/>
          <w:highlight w:val="yellow"/>
        </w:rPr>
        <w:t xml:space="preserve"> essential oil is consistent with findings by Sirima et al. (2020), who documented its efficacy against </w:t>
      </w:r>
      <w:r w:rsidRPr="003A486E">
        <w:rPr>
          <w:rFonts w:ascii="Arial" w:hAnsi="Arial" w:cs="Arial"/>
          <w:bCs/>
          <w:i/>
          <w:iCs/>
          <w:highlight w:val="yellow"/>
        </w:rPr>
        <w:t>Alternaria</w:t>
      </w:r>
      <w:r w:rsidRPr="003A486E">
        <w:rPr>
          <w:rFonts w:ascii="Arial" w:hAnsi="Arial" w:cs="Arial"/>
          <w:bCs/>
          <w:highlight w:val="yellow"/>
        </w:rPr>
        <w:t xml:space="preserve"> sp. on tomato in Burkina Faso.</w:t>
      </w:r>
    </w:p>
    <w:p w14:paraId="408005C2" w14:textId="77777777" w:rsidR="00433417" w:rsidRPr="003A486E" w:rsidRDefault="00433417" w:rsidP="00BF34CB">
      <w:pPr>
        <w:jc w:val="both"/>
        <w:rPr>
          <w:rFonts w:ascii="Arial" w:hAnsi="Arial" w:cs="Arial"/>
          <w:bCs/>
        </w:rPr>
      </w:pPr>
    </w:p>
    <w:p w14:paraId="2D4D0AF7" w14:textId="77777777" w:rsidR="004B163E" w:rsidRPr="003A486E" w:rsidRDefault="004B163E" w:rsidP="00BF34CB">
      <w:pPr>
        <w:jc w:val="both"/>
        <w:rPr>
          <w:rFonts w:ascii="Arial" w:hAnsi="Arial" w:cs="Arial"/>
          <w:bCs/>
        </w:rPr>
      </w:pPr>
      <w:r w:rsidRPr="003A486E">
        <w:rPr>
          <w:rFonts w:ascii="Arial" w:hAnsi="Arial" w:cs="Arial"/>
          <w:bCs/>
        </w:rPr>
        <w:t xml:space="preserve">Evaluation of fungicide effects on spore germination highlighted the efficacy of mancozeb and difenoconazole. These active ingredients are known to disrupt fungal metabolism by blocking thiol groups and inhibiting processes such as nucleic acid synthesis, fatty acid breakdown, or glucose oxidation. Our results are supported by Silué (2019), who demonstrated the effectiveness of mancozeb and mancozeb + cymoxanil on spore germination and mycelial growth of </w:t>
      </w:r>
      <w:r w:rsidRPr="003A486E">
        <w:rPr>
          <w:rFonts w:ascii="Arial" w:hAnsi="Arial" w:cs="Arial"/>
          <w:bCs/>
          <w:i/>
          <w:iCs/>
        </w:rPr>
        <w:t>C. gloeosporioides</w:t>
      </w:r>
      <w:r w:rsidRPr="003A486E">
        <w:rPr>
          <w:rFonts w:ascii="Arial" w:hAnsi="Arial" w:cs="Arial"/>
          <w:bCs/>
        </w:rPr>
        <w:t xml:space="preserve"> from cashew. Furthermore, Shcherbakova et al. (2020) confirmed the inhibitory effect of triazoles on mycelial growth and spore germination in various </w:t>
      </w:r>
      <w:r w:rsidRPr="003A486E">
        <w:rPr>
          <w:rFonts w:ascii="Arial" w:hAnsi="Arial" w:cs="Arial"/>
          <w:bCs/>
          <w:i/>
          <w:iCs/>
        </w:rPr>
        <w:t>Fusarium</w:t>
      </w:r>
      <w:r w:rsidRPr="003A486E">
        <w:rPr>
          <w:rFonts w:ascii="Arial" w:hAnsi="Arial" w:cs="Arial"/>
          <w:bCs/>
        </w:rPr>
        <w:t xml:space="preserve"> strains affecting wheat.</w:t>
      </w:r>
    </w:p>
    <w:p w14:paraId="42AF590E" w14:textId="77777777" w:rsidR="00433417" w:rsidRPr="003A486E" w:rsidRDefault="00433417" w:rsidP="00BF34CB">
      <w:pPr>
        <w:jc w:val="both"/>
        <w:rPr>
          <w:rFonts w:ascii="Arial" w:hAnsi="Arial" w:cs="Arial"/>
          <w:bCs/>
        </w:rPr>
      </w:pPr>
    </w:p>
    <w:p w14:paraId="7FAA6005" w14:textId="4DD30AC8" w:rsidR="004B163E" w:rsidRPr="003A486E" w:rsidRDefault="004B163E" w:rsidP="00BF34CB">
      <w:pPr>
        <w:jc w:val="both"/>
        <w:rPr>
          <w:rFonts w:ascii="Arial" w:hAnsi="Arial" w:cs="Arial"/>
          <w:bCs/>
        </w:rPr>
      </w:pPr>
      <w:r w:rsidRPr="003A486E">
        <w:rPr>
          <w:rFonts w:ascii="Arial" w:hAnsi="Arial" w:cs="Arial"/>
          <w:bCs/>
        </w:rPr>
        <w:t>Currently, no fungicides are officially registered for use against pepper pathogens in Côte d</w:t>
      </w:r>
      <w:r w:rsidR="00CB7E26" w:rsidRPr="003A486E">
        <w:rPr>
          <w:rFonts w:ascii="Arial" w:hAnsi="Arial" w:cs="Arial"/>
          <w:bCs/>
        </w:rPr>
        <w:t>’</w:t>
      </w:r>
      <w:r w:rsidRPr="003A486E">
        <w:rPr>
          <w:rFonts w:ascii="Arial" w:hAnsi="Arial" w:cs="Arial"/>
          <w:bCs/>
        </w:rPr>
        <w:t xml:space="preserve">Ivoire. To broaden the arsenal available to farmers for managing </w:t>
      </w:r>
      <w:r w:rsidRPr="003A486E">
        <w:rPr>
          <w:rFonts w:ascii="Arial" w:hAnsi="Arial" w:cs="Arial"/>
          <w:bCs/>
          <w:i/>
          <w:iCs/>
        </w:rPr>
        <w:t>Colletotrichum</w:t>
      </w:r>
      <w:r w:rsidRPr="003A486E">
        <w:rPr>
          <w:rFonts w:ascii="Arial" w:hAnsi="Arial" w:cs="Arial"/>
          <w:bCs/>
        </w:rPr>
        <w:t xml:space="preserve"> and </w:t>
      </w:r>
      <w:r w:rsidRPr="003A486E">
        <w:rPr>
          <w:rFonts w:ascii="Arial" w:hAnsi="Arial" w:cs="Arial"/>
          <w:bCs/>
          <w:i/>
          <w:iCs/>
        </w:rPr>
        <w:t>Fusarium</w:t>
      </w:r>
      <w:r w:rsidRPr="003A486E">
        <w:rPr>
          <w:rFonts w:ascii="Arial" w:hAnsi="Arial" w:cs="Arial"/>
          <w:bCs/>
        </w:rPr>
        <w:t xml:space="preserve"> diseases, it is imperative to extend these investigations to include other synthetic and biological fungicides. Such efforts would be instrumental in diversifying the options for effective and sustainable pathogen control within integrated disease management frameworks.</w:t>
      </w:r>
    </w:p>
    <w:p w14:paraId="589548E5" w14:textId="77777777" w:rsidR="00F1391E" w:rsidRPr="003A486E" w:rsidRDefault="00F1391E" w:rsidP="00BF34CB">
      <w:pPr>
        <w:jc w:val="both"/>
        <w:rPr>
          <w:rFonts w:ascii="Arial" w:hAnsi="Arial" w:cs="Arial"/>
          <w:bCs/>
        </w:rPr>
      </w:pPr>
    </w:p>
    <w:p w14:paraId="5DD355D3" w14:textId="03A6BA2E" w:rsidR="00B01FCD" w:rsidRDefault="00CC1677" w:rsidP="00CC1677">
      <w:pPr>
        <w:pStyle w:val="Heading1"/>
      </w:pPr>
      <w:r>
        <w:t xml:space="preserve">4. </w:t>
      </w:r>
      <w:r w:rsidRPr="00FB3A86">
        <w:t>CONCLUSION</w:t>
      </w:r>
    </w:p>
    <w:p w14:paraId="0F907658" w14:textId="77777777" w:rsidR="00790ADA" w:rsidRPr="00184D3E" w:rsidRDefault="00790ADA" w:rsidP="00184D3E">
      <w:pPr>
        <w:pStyle w:val="ConcHead"/>
        <w:spacing w:after="0"/>
        <w:jc w:val="both"/>
        <w:rPr>
          <w:rFonts w:ascii="Arial" w:hAnsi="Arial" w:cs="Arial"/>
          <w:sz w:val="20"/>
        </w:rPr>
      </w:pPr>
    </w:p>
    <w:p w14:paraId="070CC943" w14:textId="46536EC9" w:rsidR="00F66254" w:rsidRDefault="00F66254" w:rsidP="00F66254">
      <w:pPr>
        <w:jc w:val="both"/>
        <w:rPr>
          <w:rFonts w:ascii="Arial" w:hAnsi="Arial" w:cs="Arial"/>
        </w:rPr>
      </w:pPr>
      <w:r w:rsidRPr="00F66254">
        <w:rPr>
          <w:rFonts w:ascii="Arial" w:hAnsi="Arial" w:cs="Arial"/>
        </w:rPr>
        <w:t xml:space="preserve">This study provides compelling </w:t>
      </w:r>
      <w:r w:rsidRPr="00F66254">
        <w:rPr>
          <w:rFonts w:ascii="Arial" w:hAnsi="Arial" w:cs="Arial"/>
          <w:i/>
          <w:iCs/>
        </w:rPr>
        <w:t>in vitro</w:t>
      </w:r>
      <w:r w:rsidRPr="00F66254">
        <w:rPr>
          <w:rFonts w:ascii="Arial" w:hAnsi="Arial" w:cs="Arial"/>
        </w:rPr>
        <w:t xml:space="preserve"> evidence for the potential of integrating both synthetic and biological fungicides into the management of fungal diseases affecting black pepper in </w:t>
      </w:r>
      <w:r w:rsidRPr="00F66254">
        <w:rPr>
          <w:rFonts w:ascii="Arial" w:hAnsi="Arial" w:cs="Arial"/>
        </w:rPr>
        <w:lastRenderedPageBreak/>
        <w:t>Côte d</w:t>
      </w:r>
      <w:r w:rsidR="007F199B">
        <w:rPr>
          <w:rFonts w:ascii="Arial" w:hAnsi="Arial" w:cs="Arial"/>
        </w:rPr>
        <w:t>’</w:t>
      </w:r>
      <w:r w:rsidRPr="00F66254">
        <w:rPr>
          <w:rFonts w:ascii="Arial" w:hAnsi="Arial" w:cs="Arial"/>
        </w:rPr>
        <w:t xml:space="preserve">Ivoire. Our findings demonstrate that several synthetic formulations, namely Chlorothalonil + Carbendazim, Carbendazim + Mancozeb, Azoxystrobin + Mancozeb, Picoxystrobin + Mancozeb, and Difenoconazole + Spiroxamine, elicited complete inhibition of mycelial growth in both </w:t>
      </w:r>
      <w:r w:rsidRPr="00F66254">
        <w:rPr>
          <w:rFonts w:ascii="Arial" w:hAnsi="Arial" w:cs="Arial"/>
          <w:i/>
          <w:iCs/>
        </w:rPr>
        <w:t>Colletotrichum</w:t>
      </w:r>
      <w:r w:rsidRPr="00F66254">
        <w:rPr>
          <w:rFonts w:ascii="Arial" w:hAnsi="Arial" w:cs="Arial"/>
        </w:rPr>
        <w:t xml:space="preserve"> and </w:t>
      </w:r>
      <w:r w:rsidRPr="00F66254">
        <w:rPr>
          <w:rFonts w:ascii="Arial" w:hAnsi="Arial" w:cs="Arial"/>
          <w:i/>
          <w:iCs/>
        </w:rPr>
        <w:t>Fusarium</w:t>
      </w:r>
      <w:r w:rsidRPr="00F66254">
        <w:rPr>
          <w:rFonts w:ascii="Arial" w:hAnsi="Arial" w:cs="Arial"/>
        </w:rPr>
        <w:t xml:space="preserve"> isolates. Notably, this high efficacy was consistent across all tested concentrations, including half the recommended dose (D1), the full recommended dose (D2), and double the recommended dose (D3).</w:t>
      </w:r>
    </w:p>
    <w:p w14:paraId="587BACDF" w14:textId="77777777" w:rsidR="00F66254" w:rsidRPr="00F66254" w:rsidRDefault="00F66254" w:rsidP="00F66254">
      <w:pPr>
        <w:jc w:val="both"/>
        <w:rPr>
          <w:rFonts w:ascii="Arial" w:hAnsi="Arial" w:cs="Arial"/>
        </w:rPr>
      </w:pPr>
    </w:p>
    <w:p w14:paraId="1091CB10" w14:textId="52577321" w:rsidR="00F66254" w:rsidRDefault="00F66254" w:rsidP="00F66254">
      <w:pPr>
        <w:jc w:val="both"/>
        <w:rPr>
          <w:rFonts w:ascii="Arial" w:hAnsi="Arial" w:cs="Arial"/>
        </w:rPr>
      </w:pPr>
      <w:r w:rsidRPr="00F66254">
        <w:rPr>
          <w:rFonts w:ascii="Arial" w:hAnsi="Arial" w:cs="Arial"/>
        </w:rPr>
        <w:t xml:space="preserve">In contrast, other synthetic active ingredients, such as Mancozeb alone, Copper Hydroxide, Difenoconazole, and the combination </w:t>
      </w:r>
      <w:r w:rsidR="006A04BB">
        <w:rPr>
          <w:rFonts w:ascii="Arial" w:hAnsi="Arial" w:cs="Arial"/>
        </w:rPr>
        <w:t>of azoxystrobin and d</w:t>
      </w:r>
      <w:r w:rsidRPr="00F66254">
        <w:rPr>
          <w:rFonts w:ascii="Arial" w:hAnsi="Arial" w:cs="Arial"/>
        </w:rPr>
        <w:t>ifenoconazole, exhibited a dose-dependent response. These compounds moderately suppressed mycelial growth at the recommended dose (D2) and achieved complete inhibition at the higher concentration (D3).</w:t>
      </w:r>
    </w:p>
    <w:p w14:paraId="2C9B520A" w14:textId="77777777" w:rsidR="00F66254" w:rsidRPr="00F66254" w:rsidRDefault="00F66254" w:rsidP="00F66254">
      <w:pPr>
        <w:jc w:val="both"/>
        <w:rPr>
          <w:rFonts w:ascii="Arial" w:hAnsi="Arial" w:cs="Arial"/>
        </w:rPr>
      </w:pPr>
    </w:p>
    <w:p w14:paraId="4427DAE0" w14:textId="6C0613EC" w:rsidR="00F66254" w:rsidRDefault="00F66254" w:rsidP="00F66254">
      <w:pPr>
        <w:jc w:val="both"/>
        <w:rPr>
          <w:rFonts w:ascii="Arial" w:hAnsi="Arial" w:cs="Arial"/>
        </w:rPr>
      </w:pPr>
      <w:r w:rsidRPr="00F66254">
        <w:rPr>
          <w:rFonts w:ascii="Arial" w:hAnsi="Arial" w:cs="Arial"/>
        </w:rPr>
        <w:t xml:space="preserve">Evaluation of biological fungicides revealed distinct performance levels. The formulation Thymol–Gamma terpinene–Eugenol (NECO) proved highly effective, completely inhibiting mycelial growth at doses D2 (80 mL/L) and D3 (160 mL/L). The essential oil of </w:t>
      </w:r>
      <w:r w:rsidRPr="00F66254">
        <w:rPr>
          <w:rFonts w:ascii="Arial" w:hAnsi="Arial" w:cs="Arial"/>
          <w:i/>
          <w:iCs/>
        </w:rPr>
        <w:t>Lippia multiflora</w:t>
      </w:r>
      <w:r w:rsidRPr="00F66254">
        <w:rPr>
          <w:rFonts w:ascii="Arial" w:hAnsi="Arial" w:cs="Arial"/>
        </w:rPr>
        <w:t xml:space="preserve"> also showed promising, concentration-dependent efficacy, with significant inhibition observed at doses D3 (12.5 mL/L), D4 (25 mL/L), and D5 (50 mL/L). Conversely, the aqueous extract of </w:t>
      </w:r>
      <w:r w:rsidRPr="00F66254">
        <w:rPr>
          <w:rFonts w:ascii="Arial" w:hAnsi="Arial" w:cs="Arial"/>
          <w:i/>
          <w:iCs/>
        </w:rPr>
        <w:t>Chromolaena odorata</w:t>
      </w:r>
      <w:r w:rsidRPr="00F66254">
        <w:rPr>
          <w:rFonts w:ascii="Arial" w:hAnsi="Arial" w:cs="Arial"/>
        </w:rPr>
        <w:t xml:space="preserve"> </w:t>
      </w:r>
      <w:r w:rsidR="006A04BB">
        <w:rPr>
          <w:rFonts w:ascii="Arial" w:hAnsi="Arial" w:cs="Arial"/>
        </w:rPr>
        <w:t>exhibited limited antifungal activity across the entire concentration range</w:t>
      </w:r>
      <w:r w:rsidRPr="00F66254">
        <w:rPr>
          <w:rFonts w:ascii="Arial" w:hAnsi="Arial" w:cs="Arial"/>
        </w:rPr>
        <w:t xml:space="preserve"> tested (3.12 to 50 mg/mL).</w:t>
      </w:r>
    </w:p>
    <w:p w14:paraId="3D98770C" w14:textId="77777777" w:rsidR="00F66254" w:rsidRPr="00F66254" w:rsidRDefault="00F66254" w:rsidP="00F66254">
      <w:pPr>
        <w:jc w:val="both"/>
        <w:rPr>
          <w:rFonts w:ascii="Arial" w:hAnsi="Arial" w:cs="Arial"/>
        </w:rPr>
      </w:pPr>
    </w:p>
    <w:p w14:paraId="48048C18" w14:textId="39D8BF7A" w:rsidR="00F66254" w:rsidRPr="00F66254" w:rsidRDefault="00F66254" w:rsidP="00F66254">
      <w:pPr>
        <w:jc w:val="both"/>
        <w:rPr>
          <w:rFonts w:ascii="Arial" w:hAnsi="Arial" w:cs="Arial"/>
        </w:rPr>
      </w:pPr>
      <w:r w:rsidRPr="00F66254">
        <w:rPr>
          <w:rFonts w:ascii="Arial" w:hAnsi="Arial" w:cs="Arial"/>
        </w:rPr>
        <w:t xml:space="preserve">In summary, this research confirms the significant potential of specific biopesticides, particularly </w:t>
      </w:r>
      <w:r w:rsidRPr="00F66254">
        <w:rPr>
          <w:rFonts w:ascii="Arial" w:hAnsi="Arial" w:cs="Arial"/>
          <w:i/>
          <w:iCs/>
        </w:rPr>
        <w:t>Lippia multiflora</w:t>
      </w:r>
      <w:r w:rsidRPr="00F66254">
        <w:rPr>
          <w:rFonts w:ascii="Arial" w:hAnsi="Arial" w:cs="Arial"/>
        </w:rPr>
        <w:t xml:space="preserve"> essential oil and the NECO formulation, as viable components for integrated disease management strategies in black pepper. However, to translate these promising </w:t>
      </w:r>
      <w:r w:rsidRPr="00F66254">
        <w:rPr>
          <w:rFonts w:ascii="Arial" w:hAnsi="Arial" w:cs="Arial"/>
          <w:i/>
          <w:iCs/>
        </w:rPr>
        <w:t>in vitro</w:t>
      </w:r>
      <w:r w:rsidRPr="00F66254">
        <w:rPr>
          <w:rFonts w:ascii="Arial" w:hAnsi="Arial" w:cs="Arial"/>
        </w:rPr>
        <w:t xml:space="preserve"> results into practical applications, further validation under field conditions is essential. Such studies are needed to confirm efficacy, determine optimal application regimes, and develop sustainable control strategies tailored to the local production systems of Côte d</w:t>
      </w:r>
      <w:r w:rsidR="006A04BB">
        <w:rPr>
          <w:rFonts w:ascii="Arial" w:hAnsi="Arial" w:cs="Arial"/>
        </w:rPr>
        <w:t>’</w:t>
      </w:r>
      <w:r w:rsidRPr="00F66254">
        <w:rPr>
          <w:rFonts w:ascii="Arial" w:hAnsi="Arial" w:cs="Arial"/>
        </w:rPr>
        <w:t>Ivoire.</w:t>
      </w:r>
    </w:p>
    <w:p w14:paraId="4B8DA09C" w14:textId="77777777" w:rsidR="00184D3E" w:rsidRPr="00F66254" w:rsidRDefault="00184D3E" w:rsidP="00F66254">
      <w:pPr>
        <w:jc w:val="both"/>
        <w:rPr>
          <w:rFonts w:ascii="Arial" w:hAnsi="Arial" w:cs="Arial"/>
        </w:rPr>
      </w:pPr>
    </w:p>
    <w:p w14:paraId="332416B6" w14:textId="77777777" w:rsidR="00790ADA" w:rsidRPr="00F66254" w:rsidRDefault="00790ADA" w:rsidP="00F66254">
      <w:pPr>
        <w:pStyle w:val="Body"/>
        <w:spacing w:after="0"/>
        <w:rPr>
          <w:rFonts w:ascii="Arial" w:hAnsi="Arial" w:cs="Arial"/>
        </w:rPr>
      </w:pPr>
    </w:p>
    <w:p w14:paraId="61B55F0C" w14:textId="79772C35" w:rsidR="00860000" w:rsidRDefault="00BA2967" w:rsidP="00BA2967">
      <w:pPr>
        <w:pStyle w:val="Heading1"/>
      </w:pPr>
      <w:r w:rsidRPr="00786D36">
        <w:t>COMPETING INTERESTS</w:t>
      </w:r>
    </w:p>
    <w:p w14:paraId="060C308C" w14:textId="77777777" w:rsidR="00860000" w:rsidRDefault="00860000" w:rsidP="00441B6F">
      <w:pPr>
        <w:pStyle w:val="ReferHead"/>
        <w:spacing w:after="0"/>
        <w:jc w:val="both"/>
        <w:rPr>
          <w:rFonts w:ascii="Arial" w:hAnsi="Arial" w:cs="Arial"/>
        </w:rPr>
      </w:pPr>
    </w:p>
    <w:p w14:paraId="35374621" w14:textId="77777777" w:rsidR="0006697A" w:rsidRPr="00BF51C2" w:rsidRDefault="0006697A" w:rsidP="00BF51C2">
      <w:pPr>
        <w:pStyle w:val="Body"/>
        <w:spacing w:after="0"/>
        <w:rPr>
          <w:rFonts w:ascii="Arial" w:hAnsi="Arial" w:cs="Arial"/>
        </w:rPr>
      </w:pPr>
      <w:r w:rsidRPr="0006697A">
        <w:rPr>
          <w:rFonts w:ascii="Arial" w:hAnsi="Arial" w:cs="Arial"/>
        </w:rPr>
        <w:t>Authors have declared that they have no known</w:t>
      </w:r>
      <w:r w:rsidRPr="00BF51C2">
        <w:rPr>
          <w:rFonts w:ascii="Arial" w:hAnsi="Arial" w:cs="Arial"/>
        </w:rPr>
        <w:t xml:space="preserve"> </w:t>
      </w:r>
      <w:r w:rsidRPr="0006697A">
        <w:rPr>
          <w:rFonts w:ascii="Arial" w:hAnsi="Arial" w:cs="Arial"/>
        </w:rPr>
        <w:t>competing financial interests or non-financial</w:t>
      </w:r>
      <w:r w:rsidRPr="00BF51C2">
        <w:rPr>
          <w:rFonts w:ascii="Arial" w:hAnsi="Arial" w:cs="Arial"/>
        </w:rPr>
        <w:t xml:space="preserve"> </w:t>
      </w:r>
      <w:r w:rsidRPr="0006697A">
        <w:rPr>
          <w:rFonts w:ascii="Arial" w:hAnsi="Arial" w:cs="Arial"/>
        </w:rPr>
        <w:t>interests or personal relationships that could</w:t>
      </w:r>
      <w:r w:rsidRPr="00BF51C2">
        <w:rPr>
          <w:rFonts w:ascii="Arial" w:hAnsi="Arial" w:cs="Arial"/>
        </w:rPr>
        <w:t xml:space="preserve"> </w:t>
      </w:r>
      <w:r w:rsidRPr="0006697A">
        <w:rPr>
          <w:rFonts w:ascii="Arial" w:hAnsi="Arial" w:cs="Arial"/>
        </w:rPr>
        <w:t>have appeared to influence the work reported in</w:t>
      </w:r>
      <w:r w:rsidRPr="00BF51C2">
        <w:rPr>
          <w:rFonts w:ascii="Arial" w:hAnsi="Arial" w:cs="Arial"/>
        </w:rPr>
        <w:t xml:space="preserve"> </w:t>
      </w:r>
      <w:r w:rsidRPr="0006697A">
        <w:rPr>
          <w:rFonts w:ascii="Arial" w:hAnsi="Arial" w:cs="Arial"/>
        </w:rPr>
        <w:t>this paper.</w:t>
      </w:r>
    </w:p>
    <w:p w14:paraId="02CD1635" w14:textId="62630EBB" w:rsidR="00371FB6" w:rsidRDefault="00371FB6" w:rsidP="00BF51C2">
      <w:pPr>
        <w:pStyle w:val="Body"/>
        <w:spacing w:after="0"/>
        <w:rPr>
          <w:rFonts w:ascii="Arial" w:hAnsi="Arial" w:cs="Arial"/>
        </w:rPr>
      </w:pPr>
    </w:p>
    <w:p w14:paraId="0D3917DE" w14:textId="625563C2" w:rsidR="00AC5480" w:rsidRDefault="00AC5480" w:rsidP="00BF51C2">
      <w:pPr>
        <w:pStyle w:val="Body"/>
        <w:spacing w:after="0"/>
        <w:rPr>
          <w:rFonts w:ascii="Arial" w:hAnsi="Arial" w:cs="Arial"/>
        </w:rPr>
      </w:pPr>
    </w:p>
    <w:p w14:paraId="4F2144BA" w14:textId="77777777" w:rsidR="00AC5480" w:rsidRPr="00135FE3" w:rsidRDefault="00AC5480" w:rsidP="00135FE3">
      <w:pPr>
        <w:pStyle w:val="Heading1"/>
      </w:pPr>
      <w:bookmarkStart w:id="0" w:name="_Hlk204003461"/>
      <w:bookmarkStart w:id="1" w:name="_Hlk213070710"/>
      <w:r w:rsidRPr="00135FE3">
        <w:rPr>
          <w:highlight w:val="yellow"/>
        </w:rPr>
        <w:t>Disclaimer (Artificial intelligence)</w:t>
      </w:r>
    </w:p>
    <w:p w14:paraId="6FE9DB34" w14:textId="77777777" w:rsidR="00AC5480" w:rsidRPr="00135FE3" w:rsidRDefault="00AC5480" w:rsidP="00135FE3">
      <w:pPr>
        <w:pStyle w:val="Body"/>
        <w:spacing w:after="0"/>
        <w:rPr>
          <w:rFonts w:ascii="Arial" w:hAnsi="Arial" w:cs="Arial"/>
        </w:rPr>
      </w:pPr>
      <w:r w:rsidRPr="00135FE3">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135FE3">
        <w:rPr>
          <w:rFonts w:ascii="Arial" w:hAnsi="Arial" w:cs="Arial"/>
        </w:rPr>
        <w:t xml:space="preserve"> </w:t>
      </w:r>
    </w:p>
    <w:bookmarkEnd w:id="0"/>
    <w:bookmarkEnd w:id="1"/>
    <w:p w14:paraId="00E0E797" w14:textId="77777777" w:rsidR="00AC5480" w:rsidRPr="00BF51C2" w:rsidRDefault="00AC5480" w:rsidP="00BF51C2">
      <w:pPr>
        <w:pStyle w:val="Body"/>
        <w:spacing w:after="0"/>
        <w:rPr>
          <w:rFonts w:ascii="Arial" w:hAnsi="Arial" w:cs="Arial"/>
        </w:rPr>
      </w:pPr>
    </w:p>
    <w:p w14:paraId="515F85A9" w14:textId="77777777" w:rsidR="002B685A" w:rsidRDefault="002B685A" w:rsidP="00441B6F">
      <w:pPr>
        <w:pStyle w:val="ReferHead"/>
        <w:spacing w:after="0"/>
        <w:jc w:val="both"/>
        <w:rPr>
          <w:rFonts w:ascii="Arial" w:hAnsi="Arial" w:cs="Arial"/>
          <w:b w:val="0"/>
          <w:caps w:val="0"/>
          <w:sz w:val="20"/>
        </w:rPr>
      </w:pPr>
    </w:p>
    <w:p w14:paraId="6CFBE6E7" w14:textId="0740EA9C" w:rsidR="00B01FCD" w:rsidRDefault="003355E7" w:rsidP="00EE1E96">
      <w:pPr>
        <w:pStyle w:val="Heading1"/>
      </w:pPr>
      <w:r w:rsidRPr="00FB3A86">
        <w:t>REFERENCES</w:t>
      </w:r>
    </w:p>
    <w:p w14:paraId="16D61319" w14:textId="77777777" w:rsidR="00790ADA" w:rsidRPr="00FB3A86" w:rsidRDefault="00790ADA" w:rsidP="00EE1E96">
      <w:pPr>
        <w:pStyle w:val="ReferHead"/>
        <w:spacing w:after="0"/>
        <w:jc w:val="both"/>
        <w:rPr>
          <w:rFonts w:ascii="Arial" w:hAnsi="Arial" w:cs="Arial"/>
        </w:rPr>
      </w:pPr>
    </w:p>
    <w:p w14:paraId="2B6C174F"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Aremu, A. O., </w:t>
      </w:r>
      <w:proofErr w:type="spellStart"/>
      <w:r w:rsidRPr="003513B4">
        <w:rPr>
          <w:rFonts w:ascii="Arial" w:hAnsi="Arial" w:cs="Arial"/>
        </w:rPr>
        <w:t>Omogbene</w:t>
      </w:r>
      <w:proofErr w:type="spellEnd"/>
      <w:r w:rsidRPr="003513B4">
        <w:rPr>
          <w:rFonts w:ascii="Arial" w:hAnsi="Arial" w:cs="Arial"/>
        </w:rPr>
        <w:t xml:space="preserve">, T. O., </w:t>
      </w:r>
      <w:proofErr w:type="spellStart"/>
      <w:r w:rsidRPr="003513B4">
        <w:rPr>
          <w:rFonts w:ascii="Arial" w:hAnsi="Arial" w:cs="Arial"/>
        </w:rPr>
        <w:t>Fadiji</w:t>
      </w:r>
      <w:proofErr w:type="spellEnd"/>
      <w:r w:rsidRPr="003513B4">
        <w:rPr>
          <w:rFonts w:ascii="Arial" w:hAnsi="Arial" w:cs="Arial"/>
        </w:rPr>
        <w:t>, T., Lawal, I. O., Opara, U. L., &amp; Fawole, O. A. (2024). Plants as an alternative to the use of chemicals for crop protection against biotic threats: Trends and future perspectives. </w:t>
      </w:r>
      <w:r w:rsidRPr="003513B4">
        <w:rPr>
          <w:rFonts w:ascii="Arial" w:hAnsi="Arial" w:cs="Arial"/>
          <w:i/>
          <w:iCs/>
        </w:rPr>
        <w:t>European Journal of Plant Pathology, 170</w:t>
      </w:r>
      <w:r w:rsidRPr="003513B4">
        <w:rPr>
          <w:rFonts w:ascii="Arial" w:hAnsi="Arial" w:cs="Arial"/>
        </w:rPr>
        <w:t>(4), 711–766. </w:t>
      </w:r>
      <w:hyperlink r:id="rId20" w:tgtFrame="_blank" w:history="1">
        <w:r w:rsidRPr="003513B4">
          <w:rPr>
            <w:rStyle w:val="Hyperlink"/>
            <w:rFonts w:ascii="Arial" w:hAnsi="Arial" w:cs="Arial"/>
          </w:rPr>
          <w:t>https://doi.org/10.1007/s10658-024-02924-y</w:t>
        </w:r>
      </w:hyperlink>
    </w:p>
    <w:p w14:paraId="6CC70C23" w14:textId="77777777"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Ayllón-Gutiérrez, R., Díaz-Rubio, L., Montaño-Soto, M., Haro-Vázquez, M. del P., &amp; Córdova-Guerrero, I. (2024). Applications of Plant Essential Oils in Pest Control and Their Encapsulation for Controlled Release: A Review. </w:t>
      </w:r>
      <w:r w:rsidRPr="003513B4">
        <w:rPr>
          <w:rFonts w:ascii="Arial" w:hAnsi="Arial" w:cs="Arial"/>
          <w:i/>
          <w:iCs/>
          <w:lang w:val="fr-FR"/>
        </w:rPr>
        <w:t>Agriculture, 14</w:t>
      </w:r>
      <w:r w:rsidRPr="003513B4">
        <w:rPr>
          <w:rFonts w:ascii="Arial" w:hAnsi="Arial" w:cs="Arial"/>
          <w:lang w:val="fr-FR"/>
        </w:rPr>
        <w:t>(10), 1766. </w:t>
      </w:r>
      <w:hyperlink r:id="rId21" w:tgtFrame="_blank" w:history="1">
        <w:r w:rsidRPr="003513B4">
          <w:rPr>
            <w:rStyle w:val="Hyperlink"/>
            <w:rFonts w:ascii="Arial" w:hAnsi="Arial" w:cs="Arial"/>
            <w:lang w:val="fr-FR"/>
          </w:rPr>
          <w:t>https://doi.org/10.3390/agriculture14101766</w:t>
        </w:r>
      </w:hyperlink>
    </w:p>
    <w:p w14:paraId="2B297DC6" w14:textId="77777777" w:rsidR="003513B4" w:rsidRDefault="003513B4" w:rsidP="003513B4">
      <w:pPr>
        <w:widowControl w:val="0"/>
        <w:autoSpaceDE w:val="0"/>
        <w:autoSpaceDN w:val="0"/>
        <w:adjustRightInd w:val="0"/>
        <w:ind w:left="630" w:hanging="630"/>
        <w:jc w:val="both"/>
      </w:pPr>
      <w:r w:rsidRPr="003513B4">
        <w:rPr>
          <w:rFonts w:ascii="Arial" w:hAnsi="Arial" w:cs="Arial"/>
          <w:lang w:val="fr-FR"/>
        </w:rPr>
        <w:t xml:space="preserve">Bamba, B., Tuo, S., Bolou, B. B. A., Koné, K. N., </w:t>
      </w:r>
      <w:proofErr w:type="spellStart"/>
      <w:r w:rsidRPr="003513B4">
        <w:rPr>
          <w:rFonts w:ascii="Arial" w:hAnsi="Arial" w:cs="Arial"/>
          <w:lang w:val="fr-FR"/>
        </w:rPr>
        <w:t>Guinagui</w:t>
      </w:r>
      <w:proofErr w:type="spellEnd"/>
      <w:r w:rsidRPr="003513B4">
        <w:rPr>
          <w:rFonts w:ascii="Arial" w:hAnsi="Arial" w:cs="Arial"/>
          <w:lang w:val="fr-FR"/>
        </w:rPr>
        <w:t xml:space="preserve">, N. B., &amp; Koné, D. (2023). </w:t>
      </w:r>
      <w:r w:rsidRPr="003513B4">
        <w:rPr>
          <w:rFonts w:ascii="Arial" w:hAnsi="Arial" w:cs="Arial"/>
        </w:rPr>
        <w:lastRenderedPageBreak/>
        <w:t>Evaluation of the antifungal efficacy of biopesticides on the growth of </w:t>
      </w:r>
      <w:r w:rsidRPr="003513B4">
        <w:rPr>
          <w:rFonts w:ascii="Arial" w:hAnsi="Arial" w:cs="Arial"/>
          <w:i/>
          <w:iCs/>
        </w:rPr>
        <w:t>Sclerotium rolfsii</w:t>
      </w:r>
      <w:r w:rsidRPr="003513B4">
        <w:rPr>
          <w:rFonts w:ascii="Arial" w:hAnsi="Arial" w:cs="Arial"/>
        </w:rPr>
        <w:t> isolates from vegetable crops in Côte d’Ivoire. </w:t>
      </w:r>
      <w:r w:rsidRPr="003513B4">
        <w:rPr>
          <w:rFonts w:ascii="Arial" w:hAnsi="Arial" w:cs="Arial"/>
          <w:i/>
          <w:iCs/>
        </w:rPr>
        <w:t>American Journal of Microbiological Research, 11</w:t>
      </w:r>
      <w:r w:rsidRPr="003513B4">
        <w:rPr>
          <w:rFonts w:ascii="Arial" w:hAnsi="Arial" w:cs="Arial"/>
        </w:rPr>
        <w:t>(3), 64–72. </w:t>
      </w:r>
      <w:hyperlink r:id="rId22" w:tgtFrame="_blank" w:history="1">
        <w:r w:rsidRPr="003513B4">
          <w:rPr>
            <w:rStyle w:val="Hyperlink"/>
            <w:rFonts w:ascii="Arial" w:hAnsi="Arial" w:cs="Arial"/>
          </w:rPr>
          <w:t>https://doi.org/10.12691/ajmr-11-3-1</w:t>
        </w:r>
      </w:hyperlink>
    </w:p>
    <w:p w14:paraId="21D1E9D2" w14:textId="77777777" w:rsidR="002A4318" w:rsidRPr="002A4318" w:rsidRDefault="002A4318" w:rsidP="002A4318">
      <w:pPr>
        <w:widowControl w:val="0"/>
        <w:autoSpaceDE w:val="0"/>
        <w:autoSpaceDN w:val="0"/>
        <w:adjustRightInd w:val="0"/>
        <w:ind w:left="630" w:hanging="630"/>
        <w:jc w:val="both"/>
        <w:rPr>
          <w:rFonts w:ascii="Arial" w:hAnsi="Arial" w:cs="Arial"/>
        </w:rPr>
      </w:pPr>
      <w:proofErr w:type="spellStart"/>
      <w:r w:rsidRPr="002A4318">
        <w:rPr>
          <w:rFonts w:ascii="Arial" w:hAnsi="Arial" w:cs="Arial"/>
        </w:rPr>
        <w:t>Bilé</w:t>
      </w:r>
      <w:proofErr w:type="spellEnd"/>
      <w:r w:rsidRPr="002A4318">
        <w:rPr>
          <w:rFonts w:ascii="Arial" w:hAnsi="Arial" w:cs="Arial"/>
        </w:rPr>
        <w:t xml:space="preserve">, E. E. J., Gadji, A. A. G., Tienebo, E.-O., </w:t>
      </w:r>
      <w:proofErr w:type="spellStart"/>
      <w:r w:rsidRPr="002A4318">
        <w:rPr>
          <w:rFonts w:ascii="Arial" w:hAnsi="Arial" w:cs="Arial"/>
        </w:rPr>
        <w:t>Kambiré</w:t>
      </w:r>
      <w:proofErr w:type="spellEnd"/>
      <w:r w:rsidRPr="002A4318">
        <w:rPr>
          <w:rFonts w:ascii="Arial" w:hAnsi="Arial" w:cs="Arial"/>
        </w:rPr>
        <w:t xml:space="preserve">, O., Kouadia, M.-J. A., Kouadio, T. K., Nganko, J. M., &amp; Abo, K. (2025). Valorization of Agricultural and Industrial Wastes to Produce Trichoderma virens, an Effective Plant Disease Biocontrol Agent. </w:t>
      </w:r>
      <w:r w:rsidRPr="002A4318">
        <w:rPr>
          <w:rFonts w:ascii="Arial" w:hAnsi="Arial" w:cs="Arial"/>
          <w:i/>
          <w:iCs/>
        </w:rPr>
        <w:t>Waste and Biomass Valorization</w:t>
      </w:r>
      <w:r w:rsidRPr="002A4318">
        <w:rPr>
          <w:rFonts w:ascii="Arial" w:hAnsi="Arial" w:cs="Arial"/>
        </w:rPr>
        <w:t xml:space="preserve">. </w:t>
      </w:r>
      <w:hyperlink r:id="rId23" w:history="1">
        <w:r w:rsidRPr="002A4318">
          <w:rPr>
            <w:rStyle w:val="Hyperlink"/>
            <w:rFonts w:ascii="Arial" w:hAnsi="Arial" w:cs="Arial"/>
          </w:rPr>
          <w:t>https://doi.org/10.1007/s12649-025-02888-y</w:t>
        </w:r>
      </w:hyperlink>
    </w:p>
    <w:p w14:paraId="71CACD7F"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Camara, B., Coulibaly, K., Dagnogo, T., Tuo, S., &amp; Koné, D. (2023). Characterization of fungal diseases in palm oil nurseries and implementation of control methods. </w:t>
      </w:r>
      <w:r w:rsidRPr="003513B4">
        <w:rPr>
          <w:rFonts w:ascii="Arial" w:hAnsi="Arial" w:cs="Arial"/>
          <w:i/>
          <w:iCs/>
        </w:rPr>
        <w:t>American Journal of Bioscience and Bioengineering, 11</w:t>
      </w:r>
      <w:r w:rsidRPr="003513B4">
        <w:rPr>
          <w:rFonts w:ascii="Arial" w:hAnsi="Arial" w:cs="Arial"/>
        </w:rPr>
        <w:t>(6), 92–102. </w:t>
      </w:r>
      <w:hyperlink r:id="rId24" w:tgtFrame="_blank" w:history="1">
        <w:r w:rsidRPr="003513B4">
          <w:rPr>
            <w:rStyle w:val="Hyperlink"/>
            <w:rFonts w:ascii="Arial" w:hAnsi="Arial" w:cs="Arial"/>
          </w:rPr>
          <w:t>https://doi.org/10.11648/j.bio.20231106.11</w:t>
        </w:r>
      </w:hyperlink>
    </w:p>
    <w:p w14:paraId="0C3A86AA" w14:textId="77777777"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 xml:space="preserve">Chao, X., Siwei, W., Tian, T., </w:t>
      </w:r>
      <w:proofErr w:type="spellStart"/>
      <w:r w:rsidRPr="003513B4">
        <w:rPr>
          <w:rFonts w:ascii="Arial" w:hAnsi="Arial" w:cs="Arial"/>
        </w:rPr>
        <w:t>Yafeng</w:t>
      </w:r>
      <w:proofErr w:type="spellEnd"/>
      <w:r w:rsidRPr="003513B4">
        <w:rPr>
          <w:rFonts w:ascii="Arial" w:hAnsi="Arial" w:cs="Arial"/>
        </w:rPr>
        <w:t xml:space="preserve">, G., </w:t>
      </w:r>
      <w:proofErr w:type="spellStart"/>
      <w:r w:rsidRPr="003513B4">
        <w:rPr>
          <w:rFonts w:ascii="Arial" w:hAnsi="Arial" w:cs="Arial"/>
        </w:rPr>
        <w:t>Shichao</w:t>
      </w:r>
      <w:proofErr w:type="spellEnd"/>
      <w:r w:rsidRPr="003513B4">
        <w:rPr>
          <w:rFonts w:ascii="Arial" w:hAnsi="Arial" w:cs="Arial"/>
        </w:rPr>
        <w:t xml:space="preserve">, L., </w:t>
      </w:r>
      <w:proofErr w:type="spellStart"/>
      <w:r w:rsidRPr="003513B4">
        <w:rPr>
          <w:rFonts w:ascii="Arial" w:hAnsi="Arial" w:cs="Arial"/>
        </w:rPr>
        <w:t>Shengfeng</w:t>
      </w:r>
      <w:proofErr w:type="spellEnd"/>
      <w:r w:rsidRPr="003513B4">
        <w:rPr>
          <w:rFonts w:ascii="Arial" w:hAnsi="Arial" w:cs="Arial"/>
        </w:rPr>
        <w:t xml:space="preserve">, G., </w:t>
      </w:r>
      <w:proofErr w:type="spellStart"/>
      <w:r w:rsidRPr="003513B4">
        <w:rPr>
          <w:rFonts w:ascii="Arial" w:hAnsi="Arial" w:cs="Arial"/>
        </w:rPr>
        <w:t>Shiwei</w:t>
      </w:r>
      <w:proofErr w:type="spellEnd"/>
      <w:r w:rsidRPr="003513B4">
        <w:rPr>
          <w:rFonts w:ascii="Arial" w:hAnsi="Arial" w:cs="Arial"/>
        </w:rPr>
        <w:t>, S., &amp; Qianqian, M. (2023). </w:t>
      </w:r>
      <w:r w:rsidRPr="003513B4">
        <w:rPr>
          <w:rFonts w:ascii="Arial" w:hAnsi="Arial" w:cs="Arial"/>
          <w:i/>
          <w:iCs/>
        </w:rPr>
        <w:t>Identification, prevalence, and genetic diversity analysis of pathogens causing black pepper anthracnose in Hainan, China</w:t>
      </w:r>
      <w:r w:rsidRPr="003513B4">
        <w:rPr>
          <w:rFonts w:ascii="Arial" w:hAnsi="Arial" w:cs="Arial"/>
        </w:rPr>
        <w:t xml:space="preserve">. Spice and Beverage Research Institute, Chinese Academy of Tropical Agricultural Sciences. </w:t>
      </w:r>
      <w:r w:rsidRPr="003513B4">
        <w:rPr>
          <w:rFonts w:ascii="Arial" w:hAnsi="Arial" w:cs="Arial"/>
          <w:lang w:val="fr-FR"/>
        </w:rPr>
        <w:t>(12 pp.).</w:t>
      </w:r>
    </w:p>
    <w:p w14:paraId="3C4CCF3F" w14:textId="77777777" w:rsidR="003513B4" w:rsidRPr="003513B4" w:rsidRDefault="003513B4" w:rsidP="003513B4">
      <w:pPr>
        <w:widowControl w:val="0"/>
        <w:autoSpaceDE w:val="0"/>
        <w:autoSpaceDN w:val="0"/>
        <w:adjustRightInd w:val="0"/>
        <w:ind w:left="630" w:hanging="630"/>
        <w:jc w:val="both"/>
        <w:rPr>
          <w:rFonts w:ascii="Arial" w:hAnsi="Arial" w:cs="Arial"/>
        </w:rPr>
      </w:pPr>
      <w:proofErr w:type="spellStart"/>
      <w:r w:rsidRPr="003513B4">
        <w:rPr>
          <w:rFonts w:ascii="Arial" w:hAnsi="Arial" w:cs="Arial"/>
          <w:lang w:val="fr-FR"/>
        </w:rPr>
        <w:t>Christova</w:t>
      </w:r>
      <w:proofErr w:type="spellEnd"/>
      <w:r w:rsidRPr="003513B4">
        <w:rPr>
          <w:rFonts w:ascii="Arial" w:hAnsi="Arial" w:cs="Arial"/>
          <w:lang w:val="fr-FR"/>
        </w:rPr>
        <w:t xml:space="preserve">, P. K., </w:t>
      </w:r>
      <w:proofErr w:type="spellStart"/>
      <w:r w:rsidRPr="003513B4">
        <w:rPr>
          <w:rFonts w:ascii="Arial" w:hAnsi="Arial" w:cs="Arial"/>
          <w:lang w:val="fr-FR"/>
        </w:rPr>
        <w:t>Dobreva</w:t>
      </w:r>
      <w:proofErr w:type="spellEnd"/>
      <w:r w:rsidRPr="003513B4">
        <w:rPr>
          <w:rFonts w:ascii="Arial" w:hAnsi="Arial" w:cs="Arial"/>
          <w:lang w:val="fr-FR"/>
        </w:rPr>
        <w:t xml:space="preserve">, A. M., </w:t>
      </w:r>
      <w:proofErr w:type="spellStart"/>
      <w:r w:rsidRPr="003513B4">
        <w:rPr>
          <w:rFonts w:ascii="Arial" w:hAnsi="Arial" w:cs="Arial"/>
          <w:lang w:val="fr-FR"/>
        </w:rPr>
        <w:t>Dzhurmanski</w:t>
      </w:r>
      <w:proofErr w:type="spellEnd"/>
      <w:r w:rsidRPr="003513B4">
        <w:rPr>
          <w:rFonts w:ascii="Arial" w:hAnsi="Arial" w:cs="Arial"/>
          <w:lang w:val="fr-FR"/>
        </w:rPr>
        <w:t xml:space="preserve">, A. G., </w:t>
      </w:r>
      <w:proofErr w:type="spellStart"/>
      <w:r w:rsidRPr="003513B4">
        <w:rPr>
          <w:rFonts w:ascii="Arial" w:hAnsi="Arial" w:cs="Arial"/>
          <w:lang w:val="fr-FR"/>
        </w:rPr>
        <w:t>Dincheva</w:t>
      </w:r>
      <w:proofErr w:type="spellEnd"/>
      <w:r w:rsidRPr="003513B4">
        <w:rPr>
          <w:rFonts w:ascii="Arial" w:hAnsi="Arial" w:cs="Arial"/>
          <w:lang w:val="fr-FR"/>
        </w:rPr>
        <w:t xml:space="preserve">, I. N., </w:t>
      </w:r>
      <w:proofErr w:type="spellStart"/>
      <w:r w:rsidRPr="003513B4">
        <w:rPr>
          <w:rFonts w:ascii="Arial" w:hAnsi="Arial" w:cs="Arial"/>
          <w:lang w:val="fr-FR"/>
        </w:rPr>
        <w:t>Dimkova</w:t>
      </w:r>
      <w:proofErr w:type="spellEnd"/>
      <w:r w:rsidRPr="003513B4">
        <w:rPr>
          <w:rFonts w:ascii="Arial" w:hAnsi="Arial" w:cs="Arial"/>
          <w:lang w:val="fr-FR"/>
        </w:rPr>
        <w:t xml:space="preserve">, S. D., &amp; </w:t>
      </w:r>
      <w:proofErr w:type="spellStart"/>
      <w:r w:rsidRPr="003513B4">
        <w:rPr>
          <w:rFonts w:ascii="Arial" w:hAnsi="Arial" w:cs="Arial"/>
          <w:lang w:val="fr-FR"/>
        </w:rPr>
        <w:t>Zapryanova</w:t>
      </w:r>
      <w:proofErr w:type="spellEnd"/>
      <w:r w:rsidRPr="003513B4">
        <w:rPr>
          <w:rFonts w:ascii="Arial" w:hAnsi="Arial" w:cs="Arial"/>
          <w:lang w:val="fr-FR"/>
        </w:rPr>
        <w:t xml:space="preserve">, N. G. (2024). </w:t>
      </w:r>
      <w:r w:rsidRPr="003513B4">
        <w:rPr>
          <w:rFonts w:ascii="Arial" w:hAnsi="Arial" w:cs="Arial"/>
        </w:rPr>
        <w:t>The Impact of Plant Essential Oils on the Growth of the Pathogens </w:t>
      </w:r>
      <w:r w:rsidRPr="003513B4">
        <w:rPr>
          <w:rFonts w:ascii="Arial" w:hAnsi="Arial" w:cs="Arial"/>
          <w:i/>
          <w:iCs/>
        </w:rPr>
        <w:t>Botrytis cinerea</w:t>
      </w:r>
      <w:r w:rsidRPr="003513B4">
        <w:rPr>
          <w:rFonts w:ascii="Arial" w:hAnsi="Arial" w:cs="Arial"/>
        </w:rPr>
        <w:t>, </w:t>
      </w:r>
      <w:r w:rsidRPr="003513B4">
        <w:rPr>
          <w:rFonts w:ascii="Arial" w:hAnsi="Arial" w:cs="Arial"/>
          <w:i/>
          <w:iCs/>
        </w:rPr>
        <w:t xml:space="preserve">Fusarium </w:t>
      </w:r>
      <w:proofErr w:type="spellStart"/>
      <w:r w:rsidRPr="003513B4">
        <w:rPr>
          <w:rFonts w:ascii="Arial" w:hAnsi="Arial" w:cs="Arial"/>
          <w:i/>
          <w:iCs/>
        </w:rPr>
        <w:t>solani</w:t>
      </w:r>
      <w:proofErr w:type="spellEnd"/>
      <w:r w:rsidRPr="003513B4">
        <w:rPr>
          <w:rFonts w:ascii="Arial" w:hAnsi="Arial" w:cs="Arial"/>
        </w:rPr>
        <w:t>, and </w:t>
      </w:r>
      <w:r w:rsidRPr="003513B4">
        <w:rPr>
          <w:rFonts w:ascii="Arial" w:hAnsi="Arial" w:cs="Arial"/>
          <w:i/>
          <w:iCs/>
        </w:rPr>
        <w:t xml:space="preserve">Phytophthora </w:t>
      </w:r>
      <w:proofErr w:type="spellStart"/>
      <w:r w:rsidRPr="003513B4">
        <w:rPr>
          <w:rFonts w:ascii="Arial" w:hAnsi="Arial" w:cs="Arial"/>
          <w:i/>
          <w:iCs/>
        </w:rPr>
        <w:t>pseudocryptogea</w:t>
      </w:r>
      <w:proofErr w:type="spellEnd"/>
      <w:r w:rsidRPr="003513B4">
        <w:rPr>
          <w:rFonts w:ascii="Arial" w:hAnsi="Arial" w:cs="Arial"/>
        </w:rPr>
        <w:t>. </w:t>
      </w:r>
      <w:r w:rsidRPr="003513B4">
        <w:rPr>
          <w:rFonts w:ascii="Arial" w:hAnsi="Arial" w:cs="Arial"/>
          <w:i/>
          <w:iCs/>
        </w:rPr>
        <w:t>Life, 14</w:t>
      </w:r>
      <w:r w:rsidRPr="003513B4">
        <w:rPr>
          <w:rFonts w:ascii="Arial" w:hAnsi="Arial" w:cs="Arial"/>
        </w:rPr>
        <w:t>(7), 817. </w:t>
      </w:r>
      <w:hyperlink r:id="rId25" w:tgtFrame="_blank" w:history="1">
        <w:r w:rsidRPr="003513B4">
          <w:rPr>
            <w:rStyle w:val="Hyperlink"/>
            <w:rFonts w:ascii="Arial" w:hAnsi="Arial" w:cs="Arial"/>
          </w:rPr>
          <w:t>https://doi.org/10.3390/life14070817</w:t>
        </w:r>
      </w:hyperlink>
    </w:p>
    <w:p w14:paraId="69B77329" w14:textId="77777777"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Dagnogo, M. (2025). </w:t>
      </w:r>
      <w:r w:rsidRPr="003513B4">
        <w:rPr>
          <w:rFonts w:ascii="Arial" w:hAnsi="Arial" w:cs="Arial"/>
          <w:i/>
          <w:iCs/>
        </w:rPr>
        <w:t>Contribution to the study of fungal diseases affecting Piper nigrum L. pepper plants in Côte d’Ivoire</w:t>
      </w:r>
      <w:r w:rsidRPr="003513B4">
        <w:rPr>
          <w:rFonts w:ascii="Arial" w:hAnsi="Arial" w:cs="Arial"/>
        </w:rPr>
        <w:t xml:space="preserve"> [Unpublished doctoral thesis]. </w:t>
      </w:r>
      <w:r w:rsidRPr="003513B4">
        <w:rPr>
          <w:rFonts w:ascii="Arial" w:hAnsi="Arial" w:cs="Arial"/>
          <w:lang w:val="fr-FR"/>
        </w:rPr>
        <w:t>Institut National Polytechnique Félix Houphouët Boigny.</w:t>
      </w:r>
    </w:p>
    <w:p w14:paraId="3DC9CC7A"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lang w:val="fr-FR"/>
        </w:rPr>
        <w:t xml:space="preserve">Dagnogo, M., Kouadio, K. T., Tienebo, E. O., Kouadia, A. M. J., Adja, N. A., Kouakou, K. P. M., &amp; Abo, K. (2024). </w:t>
      </w:r>
      <w:r w:rsidRPr="003513B4">
        <w:rPr>
          <w:rFonts w:ascii="Arial" w:hAnsi="Arial" w:cs="Arial"/>
        </w:rPr>
        <w:t>Spatial distribution, prevalence, and severity of fungal diseases affecting black pepper cultivation in Côte d’Ivoire. </w:t>
      </w:r>
      <w:r w:rsidRPr="003513B4">
        <w:rPr>
          <w:rFonts w:ascii="Arial" w:hAnsi="Arial" w:cs="Arial"/>
          <w:i/>
          <w:iCs/>
        </w:rPr>
        <w:t>The Journal of Animal and Plant Sciences, 6</w:t>
      </w:r>
      <w:r w:rsidRPr="003513B4">
        <w:rPr>
          <w:rFonts w:ascii="Arial" w:hAnsi="Arial" w:cs="Arial"/>
        </w:rPr>
        <w:t>. </w:t>
      </w:r>
      <w:hyperlink r:id="rId26" w:tgtFrame="_blank" w:history="1">
        <w:r w:rsidRPr="003513B4">
          <w:rPr>
            <w:rStyle w:val="Hyperlink"/>
            <w:rFonts w:ascii="Arial" w:hAnsi="Arial" w:cs="Arial"/>
          </w:rPr>
          <w:t>https://doi.org/10.36899/japs.2024.6.0825</w:t>
        </w:r>
      </w:hyperlink>
    </w:p>
    <w:p w14:paraId="01B64355"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lang w:val="fr-FR"/>
        </w:rPr>
        <w:t xml:space="preserve">Doumbouya, M., Abo, K., Lepengue, A. N., Camara, B., Kanko, K., </w:t>
      </w:r>
      <w:proofErr w:type="spellStart"/>
      <w:r w:rsidRPr="003513B4">
        <w:rPr>
          <w:rFonts w:ascii="Arial" w:hAnsi="Arial" w:cs="Arial"/>
          <w:lang w:val="fr-FR"/>
        </w:rPr>
        <w:t>Aidara</w:t>
      </w:r>
      <w:proofErr w:type="spellEnd"/>
      <w:r w:rsidRPr="003513B4">
        <w:rPr>
          <w:rFonts w:ascii="Arial" w:hAnsi="Arial" w:cs="Arial"/>
          <w:lang w:val="fr-FR"/>
        </w:rPr>
        <w:t xml:space="preserve">, D., &amp; Koné, D. (2012). </w:t>
      </w:r>
      <w:r w:rsidRPr="003513B4">
        <w:rPr>
          <w:rFonts w:ascii="Arial" w:hAnsi="Arial" w:cs="Arial"/>
        </w:rPr>
        <w:t>Comparative in vitro activities of two synthetic fungicides and two essential oils on soil borne fungi in vegetable crops in Côte d’Ivoire. </w:t>
      </w:r>
      <w:r w:rsidRPr="003513B4">
        <w:rPr>
          <w:rFonts w:ascii="Arial" w:hAnsi="Arial" w:cs="Arial"/>
          <w:i/>
          <w:iCs/>
        </w:rPr>
        <w:t>Journal of Applied Biosciences, 50</w:t>
      </w:r>
      <w:r w:rsidRPr="003513B4">
        <w:rPr>
          <w:rFonts w:ascii="Arial" w:hAnsi="Arial" w:cs="Arial"/>
        </w:rPr>
        <w:t>, 3520–3532.</w:t>
      </w:r>
    </w:p>
    <w:p w14:paraId="4841D3A5"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Dutta, P., Yasin, A., Kumari, A., Mahanta, M., &amp; Sharma, A. (2023). Diseases of pepper (</w:t>
      </w:r>
      <w:r w:rsidRPr="003513B4">
        <w:rPr>
          <w:rFonts w:ascii="Arial" w:hAnsi="Arial" w:cs="Arial"/>
          <w:i/>
          <w:iCs/>
        </w:rPr>
        <w:t>Piper nigrum</w:t>
      </w:r>
      <w:r w:rsidRPr="003513B4">
        <w:rPr>
          <w:rFonts w:ascii="Arial" w:hAnsi="Arial" w:cs="Arial"/>
        </w:rPr>
        <w:t> L.) and their integrated management. In A. Bahadur &amp; P. Dutta (Eds.), </w:t>
      </w:r>
      <w:r w:rsidRPr="003513B4">
        <w:rPr>
          <w:rFonts w:ascii="Arial" w:hAnsi="Arial" w:cs="Arial"/>
          <w:i/>
          <w:iCs/>
        </w:rPr>
        <w:t>Diseases of commercial crops and their integrated management</w:t>
      </w:r>
      <w:r w:rsidRPr="003513B4">
        <w:rPr>
          <w:rFonts w:ascii="Arial" w:hAnsi="Arial" w:cs="Arial"/>
        </w:rPr>
        <w:t xml:space="preserve"> (1st ed., 19 </w:t>
      </w:r>
      <w:proofErr w:type="gramStart"/>
      <w:r w:rsidRPr="003513B4">
        <w:rPr>
          <w:rFonts w:ascii="Arial" w:hAnsi="Arial" w:cs="Arial"/>
        </w:rPr>
        <w:t>pp</w:t>
      </w:r>
      <w:proofErr w:type="gramEnd"/>
      <w:r w:rsidRPr="003513B4">
        <w:rPr>
          <w:rFonts w:ascii="Arial" w:hAnsi="Arial" w:cs="Arial"/>
        </w:rPr>
        <w:t>.).</w:t>
      </w:r>
    </w:p>
    <w:p w14:paraId="20612A87"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Esmaeili, A., Saleh, I., &amp; Abu-</w:t>
      </w:r>
      <w:proofErr w:type="spellStart"/>
      <w:r w:rsidRPr="003513B4">
        <w:rPr>
          <w:rFonts w:ascii="Arial" w:hAnsi="Arial" w:cs="Arial"/>
        </w:rPr>
        <w:t>Dieyeh</w:t>
      </w:r>
      <w:proofErr w:type="spellEnd"/>
      <w:r w:rsidRPr="003513B4">
        <w:rPr>
          <w:rFonts w:ascii="Arial" w:hAnsi="Arial" w:cs="Arial"/>
        </w:rPr>
        <w:t>, M. H. (2025). Antifungal potential of plant-based extracts against </w:t>
      </w:r>
      <w:r w:rsidRPr="003513B4">
        <w:rPr>
          <w:rFonts w:ascii="Arial" w:hAnsi="Arial" w:cs="Arial"/>
          <w:i/>
          <w:iCs/>
        </w:rPr>
        <w:t>Candida</w:t>
      </w:r>
      <w:r w:rsidRPr="003513B4">
        <w:rPr>
          <w:rFonts w:ascii="Arial" w:hAnsi="Arial" w:cs="Arial"/>
        </w:rPr>
        <w:t> species: Values, safety concerns, and possible applications. </w:t>
      </w:r>
      <w:r w:rsidRPr="003513B4">
        <w:rPr>
          <w:rFonts w:ascii="Arial" w:hAnsi="Arial" w:cs="Arial"/>
          <w:i/>
          <w:iCs/>
        </w:rPr>
        <w:t>Phytochemistry Reviews</w:t>
      </w:r>
      <w:r w:rsidRPr="003513B4">
        <w:rPr>
          <w:rFonts w:ascii="Arial" w:hAnsi="Arial" w:cs="Arial"/>
        </w:rPr>
        <w:t>. Advance online publication. </w:t>
      </w:r>
      <w:hyperlink r:id="rId27" w:tgtFrame="_blank" w:history="1">
        <w:r w:rsidRPr="003513B4">
          <w:rPr>
            <w:rStyle w:val="Hyperlink"/>
            <w:rFonts w:ascii="Arial" w:hAnsi="Arial" w:cs="Arial"/>
          </w:rPr>
          <w:t>https://doi.org/10.1007/s11101-025-10093-x</w:t>
        </w:r>
      </w:hyperlink>
    </w:p>
    <w:p w14:paraId="4AA92F65" w14:textId="77777777"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FIRCA. (2020). </w:t>
      </w:r>
      <w:r w:rsidRPr="003513B4">
        <w:rPr>
          <w:rFonts w:ascii="Arial" w:hAnsi="Arial" w:cs="Arial"/>
          <w:i/>
          <w:iCs/>
        </w:rPr>
        <w:t>The Pepper Industry</w:t>
      </w:r>
      <w:r w:rsidRPr="003513B4">
        <w:rPr>
          <w:rFonts w:ascii="Arial" w:hAnsi="Arial" w:cs="Arial"/>
        </w:rPr>
        <w:t xml:space="preserve"> (Report, act 23). </w:t>
      </w:r>
      <w:r w:rsidRPr="003513B4">
        <w:rPr>
          <w:rFonts w:ascii="Arial" w:hAnsi="Arial" w:cs="Arial"/>
          <w:lang w:val="fr-FR"/>
        </w:rPr>
        <w:t>Abidjan, Côte d’Ivoire.</w:t>
      </w:r>
    </w:p>
    <w:p w14:paraId="578C11ED" w14:textId="77777777" w:rsidR="003513B4" w:rsidRPr="003513B4" w:rsidRDefault="003513B4" w:rsidP="003513B4">
      <w:pPr>
        <w:widowControl w:val="0"/>
        <w:autoSpaceDE w:val="0"/>
        <w:autoSpaceDN w:val="0"/>
        <w:adjustRightInd w:val="0"/>
        <w:ind w:left="630" w:hanging="630"/>
        <w:jc w:val="both"/>
        <w:rPr>
          <w:rFonts w:ascii="Arial" w:hAnsi="Arial" w:cs="Arial"/>
        </w:rPr>
      </w:pPr>
      <w:proofErr w:type="spellStart"/>
      <w:r w:rsidRPr="003513B4">
        <w:rPr>
          <w:rFonts w:ascii="Arial" w:hAnsi="Arial" w:cs="Arial"/>
          <w:lang w:val="fr-FR"/>
        </w:rPr>
        <w:t>Hamdache</w:t>
      </w:r>
      <w:proofErr w:type="spellEnd"/>
      <w:r w:rsidRPr="003513B4">
        <w:rPr>
          <w:rFonts w:ascii="Arial" w:hAnsi="Arial" w:cs="Arial"/>
          <w:lang w:val="fr-FR"/>
        </w:rPr>
        <w:t xml:space="preserve">, A., </w:t>
      </w:r>
      <w:proofErr w:type="spellStart"/>
      <w:r w:rsidRPr="003513B4">
        <w:rPr>
          <w:rFonts w:ascii="Arial" w:hAnsi="Arial" w:cs="Arial"/>
          <w:lang w:val="fr-FR"/>
        </w:rPr>
        <w:t>Lamarti</w:t>
      </w:r>
      <w:proofErr w:type="spellEnd"/>
      <w:r w:rsidRPr="003513B4">
        <w:rPr>
          <w:rFonts w:ascii="Arial" w:hAnsi="Arial" w:cs="Arial"/>
          <w:lang w:val="fr-FR"/>
        </w:rPr>
        <w:t xml:space="preserve">, A., &amp; </w:t>
      </w:r>
      <w:proofErr w:type="spellStart"/>
      <w:r w:rsidRPr="003513B4">
        <w:rPr>
          <w:rFonts w:ascii="Arial" w:hAnsi="Arial" w:cs="Arial"/>
          <w:lang w:val="fr-FR"/>
        </w:rPr>
        <w:t>Badoc</w:t>
      </w:r>
      <w:proofErr w:type="spellEnd"/>
      <w:r w:rsidRPr="003513B4">
        <w:rPr>
          <w:rFonts w:ascii="Arial" w:hAnsi="Arial" w:cs="Arial"/>
          <w:lang w:val="fr-FR"/>
        </w:rPr>
        <w:t xml:space="preserve">, A. (2010). </w:t>
      </w:r>
      <w:r w:rsidRPr="003513B4">
        <w:rPr>
          <w:rFonts w:ascii="Arial" w:hAnsi="Arial" w:cs="Arial"/>
        </w:rPr>
        <w:t>In vitro resistance of </w:t>
      </w:r>
      <w:r w:rsidRPr="003513B4">
        <w:rPr>
          <w:rFonts w:ascii="Arial" w:hAnsi="Arial" w:cs="Arial"/>
          <w:i/>
          <w:iCs/>
        </w:rPr>
        <w:t>Botrytis cinerea</w:t>
      </w:r>
      <w:r w:rsidRPr="003513B4">
        <w:rPr>
          <w:rFonts w:ascii="Arial" w:hAnsi="Arial" w:cs="Arial"/>
        </w:rPr>
        <w:t> to three fungicides. </w:t>
      </w:r>
      <w:r w:rsidRPr="003513B4">
        <w:rPr>
          <w:rFonts w:ascii="Arial" w:hAnsi="Arial" w:cs="Arial"/>
          <w:i/>
          <w:iCs/>
        </w:rPr>
        <w:t>Bulletin of the Bordeaux Pharmaceutical Society, 149</w:t>
      </w:r>
      <w:r w:rsidRPr="003513B4">
        <w:rPr>
          <w:rFonts w:ascii="Arial" w:hAnsi="Arial" w:cs="Arial"/>
        </w:rPr>
        <w:t>, 103–114.</w:t>
      </w:r>
    </w:p>
    <w:p w14:paraId="3398A1F1" w14:textId="77777777" w:rsidR="003513B4" w:rsidRDefault="003513B4" w:rsidP="003513B4">
      <w:pPr>
        <w:widowControl w:val="0"/>
        <w:autoSpaceDE w:val="0"/>
        <w:autoSpaceDN w:val="0"/>
        <w:adjustRightInd w:val="0"/>
        <w:ind w:left="630" w:hanging="630"/>
        <w:jc w:val="both"/>
      </w:pPr>
      <w:r w:rsidRPr="003513B4">
        <w:rPr>
          <w:rFonts w:ascii="Arial" w:hAnsi="Arial" w:cs="Arial"/>
        </w:rPr>
        <w:t>Hendel, N., Sarri, D., Sarri, M., Napoli, E., Palumbo Piccionello, A., &amp; Ruberto, G. (2024). Phytochemical Analysis and Antioxidant and Antifungal Activities of Powders, Methanol Extracts, and Essential Oils from </w:t>
      </w:r>
      <w:r w:rsidRPr="003513B4">
        <w:rPr>
          <w:rFonts w:ascii="Arial" w:hAnsi="Arial" w:cs="Arial"/>
          <w:i/>
          <w:iCs/>
        </w:rPr>
        <w:t>Rosmarinus officinalis</w:t>
      </w:r>
      <w:r w:rsidRPr="003513B4">
        <w:rPr>
          <w:rFonts w:ascii="Arial" w:hAnsi="Arial" w:cs="Arial"/>
        </w:rPr>
        <w:t> L. and </w:t>
      </w:r>
      <w:r w:rsidRPr="003513B4">
        <w:rPr>
          <w:rFonts w:ascii="Arial" w:hAnsi="Arial" w:cs="Arial"/>
          <w:i/>
          <w:iCs/>
        </w:rPr>
        <w:t xml:space="preserve">Thymus </w:t>
      </w:r>
      <w:proofErr w:type="spellStart"/>
      <w:r w:rsidRPr="003513B4">
        <w:rPr>
          <w:rFonts w:ascii="Arial" w:hAnsi="Arial" w:cs="Arial"/>
          <w:i/>
          <w:iCs/>
        </w:rPr>
        <w:t>ciliatus</w:t>
      </w:r>
      <w:proofErr w:type="spellEnd"/>
      <w:r w:rsidRPr="003513B4">
        <w:rPr>
          <w:rFonts w:ascii="Arial" w:hAnsi="Arial" w:cs="Arial"/>
        </w:rPr>
        <w:t> Desf. Benth. </w:t>
      </w:r>
      <w:r w:rsidRPr="003513B4">
        <w:rPr>
          <w:rFonts w:ascii="Arial" w:hAnsi="Arial" w:cs="Arial"/>
          <w:i/>
          <w:iCs/>
        </w:rPr>
        <w:t>International Journal of Molecular Sciences, 25</w:t>
      </w:r>
      <w:r w:rsidRPr="003513B4">
        <w:rPr>
          <w:rFonts w:ascii="Arial" w:hAnsi="Arial" w:cs="Arial"/>
        </w:rPr>
        <w:t>(14), 7989. </w:t>
      </w:r>
      <w:hyperlink r:id="rId28" w:tgtFrame="_blank" w:history="1">
        <w:r w:rsidRPr="003513B4">
          <w:rPr>
            <w:rStyle w:val="Hyperlink"/>
            <w:rFonts w:ascii="Arial" w:hAnsi="Arial" w:cs="Arial"/>
          </w:rPr>
          <w:t>https://doi.org/10.3390/ijms25147989</w:t>
        </w:r>
      </w:hyperlink>
    </w:p>
    <w:p w14:paraId="5FB002AF" w14:textId="77777777" w:rsidR="00C442DB" w:rsidRPr="00C442DB" w:rsidRDefault="00C442DB" w:rsidP="00C442DB">
      <w:pPr>
        <w:widowControl w:val="0"/>
        <w:autoSpaceDE w:val="0"/>
        <w:autoSpaceDN w:val="0"/>
        <w:adjustRightInd w:val="0"/>
        <w:ind w:left="630" w:hanging="630"/>
      </w:pPr>
      <w:r w:rsidRPr="00C442DB">
        <w:t xml:space="preserve">Huang, P.-C., Yuan, P., </w:t>
      </w:r>
      <w:proofErr w:type="spellStart"/>
      <w:r w:rsidRPr="00C442DB">
        <w:t>Grunseich</w:t>
      </w:r>
      <w:proofErr w:type="spellEnd"/>
      <w:r w:rsidRPr="00C442DB">
        <w:t xml:space="preserve">, J. M., Taylor, J., Tiénébo, E.-O., Pierson, E. A., Bernal, J. S., Kenerley, C. M., &amp; Kolomiets, M. V. (2024). Trichoderma virens and Pseudomonas chlororaphis Differentially Regulate Maize Resistance to Anthracnose Leaf Blight and Insect Herbivores When Grown in Sterile versus Non-Sterile Soils. </w:t>
      </w:r>
      <w:r w:rsidRPr="00C442DB">
        <w:rPr>
          <w:i/>
          <w:iCs/>
        </w:rPr>
        <w:t>Plants</w:t>
      </w:r>
      <w:r w:rsidRPr="00C442DB">
        <w:t xml:space="preserve">, </w:t>
      </w:r>
      <w:r w:rsidRPr="00C442DB">
        <w:rPr>
          <w:i/>
          <w:iCs/>
        </w:rPr>
        <w:t>13</w:t>
      </w:r>
      <w:r w:rsidRPr="00C442DB">
        <w:t xml:space="preserve">(9), Article 9. </w:t>
      </w:r>
      <w:hyperlink r:id="rId29" w:history="1">
        <w:r w:rsidRPr="00C442DB">
          <w:rPr>
            <w:rStyle w:val="Hyperlink"/>
          </w:rPr>
          <w:t>https://doi.org/10.3390/plants13091240</w:t>
        </w:r>
      </w:hyperlink>
    </w:p>
    <w:p w14:paraId="01896329"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Hrabětová, M., Černý, K., Zahradník, D., &amp; </w:t>
      </w:r>
      <w:proofErr w:type="spellStart"/>
      <w:r w:rsidRPr="003513B4">
        <w:rPr>
          <w:rFonts w:ascii="Arial" w:hAnsi="Arial" w:cs="Arial"/>
        </w:rPr>
        <w:t>Havrdová</w:t>
      </w:r>
      <w:proofErr w:type="spellEnd"/>
      <w:r w:rsidRPr="003513B4">
        <w:rPr>
          <w:rFonts w:ascii="Arial" w:hAnsi="Arial" w:cs="Arial"/>
        </w:rPr>
        <w:t>, L. (2016). Efficacy of fungicides on </w:t>
      </w:r>
      <w:proofErr w:type="spellStart"/>
      <w:r w:rsidRPr="003513B4">
        <w:rPr>
          <w:rFonts w:ascii="Arial" w:hAnsi="Arial" w:cs="Arial"/>
          <w:i/>
          <w:iCs/>
        </w:rPr>
        <w:t>Hymenoscyphus</w:t>
      </w:r>
      <w:proofErr w:type="spellEnd"/>
      <w:r w:rsidRPr="003513B4">
        <w:rPr>
          <w:rFonts w:ascii="Arial" w:hAnsi="Arial" w:cs="Arial"/>
          <w:i/>
          <w:iCs/>
        </w:rPr>
        <w:t xml:space="preserve"> </w:t>
      </w:r>
      <w:proofErr w:type="spellStart"/>
      <w:r w:rsidRPr="003513B4">
        <w:rPr>
          <w:rFonts w:ascii="Arial" w:hAnsi="Arial" w:cs="Arial"/>
          <w:i/>
          <w:iCs/>
        </w:rPr>
        <w:t>fraxineus</w:t>
      </w:r>
      <w:proofErr w:type="spellEnd"/>
      <w:r w:rsidRPr="003513B4">
        <w:rPr>
          <w:rFonts w:ascii="Arial" w:hAnsi="Arial" w:cs="Arial"/>
        </w:rPr>
        <w:t xml:space="preserve"> and their potential for control of ash dieback in forest </w:t>
      </w:r>
      <w:r w:rsidRPr="003513B4">
        <w:rPr>
          <w:rFonts w:ascii="Arial" w:hAnsi="Arial" w:cs="Arial"/>
        </w:rPr>
        <w:lastRenderedPageBreak/>
        <w:t>nurseries. </w:t>
      </w:r>
      <w:r w:rsidRPr="003513B4">
        <w:rPr>
          <w:rFonts w:ascii="Arial" w:hAnsi="Arial" w:cs="Arial"/>
          <w:i/>
          <w:iCs/>
        </w:rPr>
        <w:t>Forest Pathology, 47</w:t>
      </w:r>
      <w:r w:rsidRPr="003513B4">
        <w:rPr>
          <w:rFonts w:ascii="Arial" w:hAnsi="Arial" w:cs="Arial"/>
        </w:rPr>
        <w:t>(2), 123–131. </w:t>
      </w:r>
      <w:hyperlink r:id="rId30" w:tgtFrame="_blank" w:history="1">
        <w:r w:rsidRPr="003513B4">
          <w:rPr>
            <w:rStyle w:val="Hyperlink"/>
            <w:rFonts w:ascii="Arial" w:hAnsi="Arial" w:cs="Arial"/>
          </w:rPr>
          <w:t>https://doi.org/10.1111/efp.12311</w:t>
        </w:r>
      </w:hyperlink>
    </w:p>
    <w:p w14:paraId="0EADCFC0"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Islam, T., </w:t>
      </w:r>
      <w:proofErr w:type="spellStart"/>
      <w:r w:rsidRPr="003513B4">
        <w:rPr>
          <w:rFonts w:ascii="Arial" w:hAnsi="Arial" w:cs="Arial"/>
        </w:rPr>
        <w:t>Danishuddin</w:t>
      </w:r>
      <w:proofErr w:type="spellEnd"/>
      <w:r w:rsidRPr="003513B4">
        <w:rPr>
          <w:rFonts w:ascii="Arial" w:hAnsi="Arial" w:cs="Arial"/>
        </w:rPr>
        <w:t>, Tamanna, N. T., Matin, M. N., Barai, H. R., &amp; Haque, M. A. (2024). Resistance Mechanisms of Plant Pathogenic Fungi to Fungicide, Environmental Impacts of Fungicides, and Sustainable Solutions. </w:t>
      </w:r>
      <w:r w:rsidRPr="003513B4">
        <w:rPr>
          <w:rFonts w:ascii="Arial" w:hAnsi="Arial" w:cs="Arial"/>
          <w:i/>
          <w:iCs/>
        </w:rPr>
        <w:t>Plants, 13</w:t>
      </w:r>
      <w:r w:rsidRPr="003513B4">
        <w:rPr>
          <w:rFonts w:ascii="Arial" w:hAnsi="Arial" w:cs="Arial"/>
        </w:rPr>
        <w:t>(19), 2737. </w:t>
      </w:r>
      <w:hyperlink r:id="rId31" w:tgtFrame="_blank" w:history="1">
        <w:r w:rsidRPr="003513B4">
          <w:rPr>
            <w:rStyle w:val="Hyperlink"/>
            <w:rFonts w:ascii="Arial" w:hAnsi="Arial" w:cs="Arial"/>
          </w:rPr>
          <w:t>https://doi.org/10.3390/plants13192737</w:t>
        </w:r>
      </w:hyperlink>
    </w:p>
    <w:p w14:paraId="3D07A08A" w14:textId="77777777" w:rsidR="003513B4" w:rsidRPr="003513B4" w:rsidRDefault="003513B4" w:rsidP="003513B4">
      <w:pPr>
        <w:widowControl w:val="0"/>
        <w:autoSpaceDE w:val="0"/>
        <w:autoSpaceDN w:val="0"/>
        <w:adjustRightInd w:val="0"/>
        <w:ind w:left="630" w:hanging="630"/>
        <w:jc w:val="both"/>
        <w:rPr>
          <w:rFonts w:ascii="Arial" w:hAnsi="Arial" w:cs="Arial"/>
        </w:rPr>
      </w:pPr>
      <w:proofErr w:type="spellStart"/>
      <w:r w:rsidRPr="003513B4">
        <w:rPr>
          <w:rFonts w:ascii="Arial" w:hAnsi="Arial" w:cs="Arial"/>
        </w:rPr>
        <w:t>Kassankogno</w:t>
      </w:r>
      <w:proofErr w:type="spellEnd"/>
      <w:r w:rsidRPr="003513B4">
        <w:rPr>
          <w:rFonts w:ascii="Arial" w:hAnsi="Arial" w:cs="Arial"/>
        </w:rPr>
        <w:t>, A. I., Guigma, A. K., Koita, K., Nana, A., &amp; Wonni, I. (2023). Evaluation of the efficiency of three fungicides on radial mycelial growth, sporulation and germination of </w:t>
      </w:r>
      <w:r w:rsidRPr="003513B4">
        <w:rPr>
          <w:rFonts w:ascii="Arial" w:hAnsi="Arial" w:cs="Arial"/>
          <w:i/>
          <w:iCs/>
        </w:rPr>
        <w:t>Curvularia lunata</w:t>
      </w:r>
      <w:r w:rsidRPr="003513B4">
        <w:rPr>
          <w:rFonts w:ascii="Arial" w:hAnsi="Arial" w:cs="Arial"/>
        </w:rPr>
        <w:t xml:space="preserve">, a rice </w:t>
      </w:r>
      <w:proofErr w:type="spellStart"/>
      <w:r w:rsidRPr="003513B4">
        <w:rPr>
          <w:rFonts w:ascii="Arial" w:hAnsi="Arial" w:cs="Arial"/>
        </w:rPr>
        <w:t>curvulariosis</w:t>
      </w:r>
      <w:proofErr w:type="spellEnd"/>
      <w:r w:rsidRPr="003513B4">
        <w:rPr>
          <w:rFonts w:ascii="Arial" w:hAnsi="Arial" w:cs="Arial"/>
        </w:rPr>
        <w:t xml:space="preserve"> disease in Burkina Faso. </w:t>
      </w:r>
      <w:r w:rsidRPr="003513B4">
        <w:rPr>
          <w:rFonts w:ascii="Arial" w:hAnsi="Arial" w:cs="Arial"/>
          <w:i/>
          <w:iCs/>
        </w:rPr>
        <w:t>African Journal of Agricultural Research, 19</w:t>
      </w:r>
      <w:r w:rsidRPr="003513B4">
        <w:rPr>
          <w:rFonts w:ascii="Arial" w:hAnsi="Arial" w:cs="Arial"/>
        </w:rPr>
        <w:t>(4), 437–443. </w:t>
      </w:r>
      <w:hyperlink r:id="rId32" w:tgtFrame="_blank" w:history="1">
        <w:r w:rsidRPr="003513B4">
          <w:rPr>
            <w:rStyle w:val="Hyperlink"/>
            <w:rFonts w:ascii="Arial" w:hAnsi="Arial" w:cs="Arial"/>
          </w:rPr>
          <w:t>https://doi.org/10.5897/AJAR2022.16308</w:t>
        </w:r>
      </w:hyperlink>
    </w:p>
    <w:p w14:paraId="68A69E6B"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Khare, A. K., Kumar, A., Chouhan, A., Sharma, R., </w:t>
      </w:r>
      <w:proofErr w:type="spellStart"/>
      <w:r w:rsidRPr="003513B4">
        <w:rPr>
          <w:rFonts w:ascii="Arial" w:hAnsi="Arial" w:cs="Arial"/>
        </w:rPr>
        <w:t>Namdeo</w:t>
      </w:r>
      <w:proofErr w:type="spellEnd"/>
      <w:r w:rsidRPr="003513B4">
        <w:rPr>
          <w:rFonts w:ascii="Arial" w:hAnsi="Arial" w:cs="Arial"/>
        </w:rPr>
        <w:t xml:space="preserve">, P., Dubey, R. K., </w:t>
      </w:r>
      <w:proofErr w:type="spellStart"/>
      <w:r w:rsidRPr="003513B4">
        <w:rPr>
          <w:rFonts w:ascii="Arial" w:hAnsi="Arial" w:cs="Arial"/>
        </w:rPr>
        <w:t>Dhurwey</w:t>
      </w:r>
      <w:proofErr w:type="spellEnd"/>
      <w:r w:rsidRPr="003513B4">
        <w:rPr>
          <w:rFonts w:ascii="Arial" w:hAnsi="Arial" w:cs="Arial"/>
        </w:rPr>
        <w:t>, P., Manik, S. K., Mishra, S., &amp; Laha, D. (2025). Morphological Characterization of </w:t>
      </w:r>
      <w:r w:rsidRPr="003513B4">
        <w:rPr>
          <w:rFonts w:ascii="Arial" w:hAnsi="Arial" w:cs="Arial"/>
          <w:i/>
          <w:iCs/>
        </w:rPr>
        <w:t xml:space="preserve">Colletotrichum </w:t>
      </w:r>
      <w:proofErr w:type="spellStart"/>
      <w:r w:rsidRPr="003513B4">
        <w:rPr>
          <w:rFonts w:ascii="Arial" w:hAnsi="Arial" w:cs="Arial"/>
          <w:i/>
          <w:iCs/>
        </w:rPr>
        <w:t>truncatum</w:t>
      </w:r>
      <w:proofErr w:type="spellEnd"/>
      <w:r w:rsidRPr="003513B4">
        <w:rPr>
          <w:rFonts w:ascii="Arial" w:hAnsi="Arial" w:cs="Arial"/>
        </w:rPr>
        <w:t> from Diverse Agro-climatic Zones of Madhya Pradesh, India. </w:t>
      </w:r>
      <w:r w:rsidRPr="003513B4">
        <w:rPr>
          <w:rFonts w:ascii="Arial" w:hAnsi="Arial" w:cs="Arial"/>
          <w:i/>
          <w:iCs/>
        </w:rPr>
        <w:t>Journal of Scientific Research and Reports, 31</w:t>
      </w:r>
      <w:r w:rsidRPr="003513B4">
        <w:rPr>
          <w:rFonts w:ascii="Arial" w:hAnsi="Arial" w:cs="Arial"/>
        </w:rPr>
        <w:t>(10), 733–744. </w:t>
      </w:r>
      <w:hyperlink r:id="rId33" w:tgtFrame="_blank" w:history="1">
        <w:r w:rsidRPr="003513B4">
          <w:rPr>
            <w:rStyle w:val="Hyperlink"/>
            <w:rFonts w:ascii="Arial" w:hAnsi="Arial" w:cs="Arial"/>
          </w:rPr>
          <w:t>https://doi.org/10.9734/jsrr/2025/v31i103617</w:t>
        </w:r>
      </w:hyperlink>
    </w:p>
    <w:p w14:paraId="5B184D94"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Khare, A. K., Kumar, A., Chouhan, A., Sharma, S., Ramakrishnan, R. S., Sharma, R., </w:t>
      </w:r>
      <w:proofErr w:type="spellStart"/>
      <w:r w:rsidRPr="003513B4">
        <w:rPr>
          <w:rFonts w:ascii="Arial" w:hAnsi="Arial" w:cs="Arial"/>
        </w:rPr>
        <w:t>Jhariya</w:t>
      </w:r>
      <w:proofErr w:type="spellEnd"/>
      <w:r w:rsidRPr="003513B4">
        <w:rPr>
          <w:rFonts w:ascii="Arial" w:hAnsi="Arial" w:cs="Arial"/>
        </w:rPr>
        <w:t>, R., &amp; Dubey, A. (2025). In-vitro Efficacy of Fungicides against </w:t>
      </w:r>
      <w:r w:rsidRPr="003513B4">
        <w:rPr>
          <w:rFonts w:ascii="Arial" w:hAnsi="Arial" w:cs="Arial"/>
          <w:i/>
          <w:iCs/>
        </w:rPr>
        <w:t xml:space="preserve">Colletotrichum </w:t>
      </w:r>
      <w:proofErr w:type="spellStart"/>
      <w:r w:rsidRPr="003513B4">
        <w:rPr>
          <w:rFonts w:ascii="Arial" w:hAnsi="Arial" w:cs="Arial"/>
          <w:i/>
          <w:iCs/>
        </w:rPr>
        <w:t>truncatum</w:t>
      </w:r>
      <w:proofErr w:type="spellEnd"/>
      <w:r w:rsidRPr="003513B4">
        <w:rPr>
          <w:rFonts w:ascii="Arial" w:hAnsi="Arial" w:cs="Arial"/>
        </w:rPr>
        <w:t> Causing Anthracnose of Soybean. </w:t>
      </w:r>
      <w:r w:rsidRPr="003513B4">
        <w:rPr>
          <w:rFonts w:ascii="Arial" w:hAnsi="Arial" w:cs="Arial"/>
          <w:i/>
          <w:iCs/>
        </w:rPr>
        <w:t>Journal of Advances in Biology &amp; Biotechnology, 28</w:t>
      </w:r>
      <w:r w:rsidRPr="003513B4">
        <w:rPr>
          <w:rFonts w:ascii="Arial" w:hAnsi="Arial" w:cs="Arial"/>
        </w:rPr>
        <w:t>(10), 1133–1141. </w:t>
      </w:r>
      <w:hyperlink r:id="rId34" w:tgtFrame="_blank" w:history="1">
        <w:r w:rsidRPr="003513B4">
          <w:rPr>
            <w:rStyle w:val="Hyperlink"/>
            <w:rFonts w:ascii="Arial" w:hAnsi="Arial" w:cs="Arial"/>
          </w:rPr>
          <w:t>https://doi.org/10.9734/jabb/2025/v28i103132</w:t>
        </w:r>
      </w:hyperlink>
    </w:p>
    <w:p w14:paraId="4E651762" w14:textId="5AA7CBEB"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Kouadia, A. M. J. Tienebo, E.-O., Kouadio, K., Adja, N., &amp; Abo, K. (2022). Morphometric Analysis of Isolated Conidia of Various Species of </w:t>
      </w:r>
      <w:r w:rsidRPr="003513B4">
        <w:rPr>
          <w:rFonts w:ascii="Arial" w:hAnsi="Arial" w:cs="Arial"/>
          <w:i/>
          <w:iCs/>
        </w:rPr>
        <w:t>Colletotrichum</w:t>
      </w:r>
      <w:r w:rsidRPr="003513B4">
        <w:rPr>
          <w:rFonts w:ascii="Arial" w:hAnsi="Arial" w:cs="Arial"/>
        </w:rPr>
        <w:t> sp. From Avocado and Mango in Côte d’Ivoire. </w:t>
      </w:r>
      <w:r w:rsidRPr="003513B4">
        <w:rPr>
          <w:rFonts w:ascii="Arial" w:hAnsi="Arial" w:cs="Arial"/>
          <w:i/>
          <w:iCs/>
        </w:rPr>
        <w:t>Plant Pathology Journal, 22</w:t>
      </w:r>
      <w:r w:rsidRPr="003513B4">
        <w:rPr>
          <w:rFonts w:ascii="Arial" w:hAnsi="Arial" w:cs="Arial"/>
        </w:rPr>
        <w:t>(1), 1–16. </w:t>
      </w:r>
      <w:hyperlink r:id="rId35" w:tgtFrame="_blank" w:history="1">
        <w:r w:rsidRPr="003513B4">
          <w:rPr>
            <w:rStyle w:val="Hyperlink"/>
            <w:rFonts w:ascii="Arial" w:hAnsi="Arial" w:cs="Arial"/>
          </w:rPr>
          <w:t>https://doi.org/10.3923/ppj.2023.1.16</w:t>
        </w:r>
      </w:hyperlink>
    </w:p>
    <w:p w14:paraId="173EE4AB" w14:textId="248E582F"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Kouadia, A. M. J. (2023). </w:t>
      </w:r>
      <w:r w:rsidRPr="003513B4">
        <w:rPr>
          <w:rFonts w:ascii="Arial" w:hAnsi="Arial" w:cs="Arial"/>
          <w:i/>
          <w:iCs/>
        </w:rPr>
        <w:t>Study of post-harvest infections in avocados, bananas, mangoes, and papayas in Côte d’Ivoire: Morpho biological analysis of populations of Colletotrichum sp., one of the main agents of fruit degradation</w:t>
      </w:r>
      <w:r w:rsidRPr="003513B4">
        <w:rPr>
          <w:rFonts w:ascii="Arial" w:hAnsi="Arial" w:cs="Arial"/>
        </w:rPr>
        <w:t xml:space="preserve"> [Unpublished doctoral thesis]. </w:t>
      </w:r>
      <w:r w:rsidRPr="003513B4">
        <w:rPr>
          <w:rFonts w:ascii="Arial" w:hAnsi="Arial" w:cs="Arial"/>
          <w:lang w:val="fr-FR"/>
        </w:rPr>
        <w:t>Institut National Polytechnique Félix Houphouët Boigny.</w:t>
      </w:r>
    </w:p>
    <w:p w14:paraId="62D73455" w14:textId="5A100299"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lang w:val="fr-FR"/>
        </w:rPr>
        <w:t>Kouadio, K. T., Agneroh, T. A., Pohé, J., Tiénébo, E. O., &amp; Ohoussou, N. I. L. V. (2017). Inventaire des champignons pathogènes post récolte de la banane dessert « Cavendish » et évaluation de leur sensibilité à l’azoxystrobine en Côte d’Ivoire. </w:t>
      </w:r>
      <w:r w:rsidRPr="003513B4">
        <w:rPr>
          <w:rFonts w:ascii="Arial" w:hAnsi="Arial" w:cs="Arial"/>
          <w:i/>
          <w:iCs/>
          <w:lang w:val="fr-FR"/>
        </w:rPr>
        <w:t>European Scientific Journal, 13</w:t>
      </w:r>
      <w:r w:rsidRPr="003513B4">
        <w:rPr>
          <w:rFonts w:ascii="Arial" w:hAnsi="Arial" w:cs="Arial"/>
          <w:lang w:val="fr-FR"/>
        </w:rPr>
        <w:t>(21), 26–43.</w:t>
      </w:r>
      <w:r w:rsidR="00B17170">
        <w:rPr>
          <w:rFonts w:ascii="Arial" w:hAnsi="Arial" w:cs="Arial"/>
          <w:lang w:val="fr-FR"/>
        </w:rPr>
        <w:t xml:space="preserve"> </w:t>
      </w:r>
      <w:hyperlink r:id="rId36" w:tgtFrame="_blank" w:history="1">
        <w:r w:rsidRPr="003513B4">
          <w:rPr>
            <w:rStyle w:val="Hyperlink"/>
            <w:rFonts w:ascii="Arial" w:hAnsi="Arial" w:cs="Arial"/>
            <w:lang w:val="fr-FR"/>
          </w:rPr>
          <w:t>http://dx.doi.org/10.19044/esj.2017.v13n21p26</w:t>
        </w:r>
      </w:hyperlink>
    </w:p>
    <w:p w14:paraId="74FF9444"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lang w:val="fr-FR"/>
        </w:rPr>
        <w:t xml:space="preserve">Kumar, S. A., Reddy, E. P. N., Reddy, H. K., &amp; Devi, C. M. (2007). </w:t>
      </w:r>
      <w:r w:rsidRPr="003513B4">
        <w:rPr>
          <w:rFonts w:ascii="Arial" w:hAnsi="Arial" w:cs="Arial"/>
        </w:rPr>
        <w:t>Evaluation of fungicidal resistance among </w:t>
      </w:r>
      <w:r w:rsidRPr="003513B4">
        <w:rPr>
          <w:rFonts w:ascii="Arial" w:hAnsi="Arial" w:cs="Arial"/>
          <w:i/>
          <w:iCs/>
        </w:rPr>
        <w:t>Colletotrichum gloeosporioides</w:t>
      </w:r>
      <w:r w:rsidRPr="003513B4">
        <w:rPr>
          <w:rFonts w:ascii="Arial" w:hAnsi="Arial" w:cs="Arial"/>
        </w:rPr>
        <w:t> isolates causing mango anthracnose in Agri export zone of Andhra Pradesh, India. </w:t>
      </w:r>
      <w:r w:rsidRPr="003513B4">
        <w:rPr>
          <w:rFonts w:ascii="Arial" w:hAnsi="Arial" w:cs="Arial"/>
          <w:i/>
          <w:iCs/>
        </w:rPr>
        <w:t>Plant Pathology Bulletin, 16</w:t>
      </w:r>
      <w:r w:rsidRPr="003513B4">
        <w:rPr>
          <w:rFonts w:ascii="Arial" w:hAnsi="Arial" w:cs="Arial"/>
        </w:rPr>
        <w:t>, 157–160.</w:t>
      </w:r>
    </w:p>
    <w:p w14:paraId="0BE7EA6B" w14:textId="7DB4C4B9" w:rsidR="003513B4" w:rsidRPr="003513B4" w:rsidRDefault="003513B4" w:rsidP="00B17170">
      <w:pPr>
        <w:widowControl w:val="0"/>
        <w:autoSpaceDE w:val="0"/>
        <w:autoSpaceDN w:val="0"/>
        <w:adjustRightInd w:val="0"/>
        <w:ind w:left="630" w:hanging="630"/>
        <w:jc w:val="both"/>
        <w:rPr>
          <w:rFonts w:ascii="Arial" w:hAnsi="Arial" w:cs="Arial"/>
        </w:rPr>
      </w:pPr>
      <w:r w:rsidRPr="003513B4">
        <w:rPr>
          <w:rFonts w:ascii="Arial" w:hAnsi="Arial" w:cs="Arial"/>
        </w:rPr>
        <w:t xml:space="preserve">Leiva-Mora, M., Bustillos, D., Arteaga, C., Hidalgo, K., Guevara-Freire, D., López-Hernández, O., Saa, L. R., Padilla, P. S., &amp; Bustillos, A. (2025). Antifungal Mechanisms of Plant Essential Oils: A Comprehensive Literature Review for </w:t>
      </w:r>
      <w:proofErr w:type="spellStart"/>
      <w:r w:rsidRPr="003513B4">
        <w:rPr>
          <w:rFonts w:ascii="Arial" w:hAnsi="Arial" w:cs="Arial"/>
        </w:rPr>
        <w:t>Biofungicide</w:t>
      </w:r>
      <w:proofErr w:type="spellEnd"/>
      <w:r w:rsidRPr="003513B4">
        <w:rPr>
          <w:rFonts w:ascii="Arial" w:hAnsi="Arial" w:cs="Arial"/>
        </w:rPr>
        <w:t xml:space="preserve"> Development. </w:t>
      </w:r>
      <w:r w:rsidRPr="003513B4">
        <w:rPr>
          <w:rFonts w:ascii="Arial" w:hAnsi="Arial" w:cs="Arial"/>
          <w:i/>
          <w:iCs/>
        </w:rPr>
        <w:t>Agriculture, 15</w:t>
      </w:r>
      <w:r w:rsidRPr="003513B4">
        <w:rPr>
          <w:rFonts w:ascii="Arial" w:hAnsi="Arial" w:cs="Arial"/>
        </w:rPr>
        <w:t>(21), 2303.</w:t>
      </w:r>
      <w:r w:rsidR="00B17170">
        <w:rPr>
          <w:rFonts w:ascii="Arial" w:hAnsi="Arial" w:cs="Arial"/>
        </w:rPr>
        <w:t xml:space="preserve"> </w:t>
      </w:r>
      <w:hyperlink r:id="rId37" w:tgtFrame="_blank" w:history="1">
        <w:r w:rsidRPr="003513B4">
          <w:rPr>
            <w:rStyle w:val="Hyperlink"/>
            <w:rFonts w:ascii="Arial" w:hAnsi="Arial" w:cs="Arial"/>
          </w:rPr>
          <w:t>https://doi.org/10.3390/agriculture15212303</w:t>
        </w:r>
      </w:hyperlink>
    </w:p>
    <w:p w14:paraId="5B18CC22"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Leroux, P., &amp; Credet, A. (1978). </w:t>
      </w:r>
      <w:r w:rsidRPr="003513B4">
        <w:rPr>
          <w:rFonts w:ascii="Arial" w:hAnsi="Arial" w:cs="Arial"/>
          <w:i/>
          <w:iCs/>
        </w:rPr>
        <w:t>Document on the study of fungicide activity</w:t>
      </w:r>
      <w:r w:rsidRPr="003513B4">
        <w:rPr>
          <w:rFonts w:ascii="Arial" w:hAnsi="Arial" w:cs="Arial"/>
        </w:rPr>
        <w:t xml:space="preserve">. </w:t>
      </w:r>
      <w:proofErr w:type="spellStart"/>
      <w:r w:rsidRPr="003513B4">
        <w:rPr>
          <w:rFonts w:ascii="Arial" w:hAnsi="Arial" w:cs="Arial"/>
        </w:rPr>
        <w:t>INRA</w:t>
      </w:r>
      <w:proofErr w:type="spellEnd"/>
      <w:r w:rsidRPr="003513B4">
        <w:rPr>
          <w:rFonts w:ascii="Arial" w:hAnsi="Arial" w:cs="Arial"/>
        </w:rPr>
        <w:t>.</w:t>
      </w:r>
    </w:p>
    <w:p w14:paraId="615C1635"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Leroux, P., &amp; Credet, A. (2003). </w:t>
      </w:r>
      <w:proofErr w:type="spellStart"/>
      <w:r w:rsidRPr="003513B4">
        <w:rPr>
          <w:rFonts w:ascii="Arial" w:hAnsi="Arial" w:cs="Arial"/>
          <w:i/>
          <w:iCs/>
        </w:rPr>
        <w:t>Biologies</w:t>
      </w:r>
      <w:proofErr w:type="spellEnd"/>
      <w:r w:rsidRPr="003513B4">
        <w:rPr>
          <w:rFonts w:ascii="Arial" w:hAnsi="Arial" w:cs="Arial"/>
        </w:rPr>
        <w:t xml:space="preserve">. </w:t>
      </w:r>
      <w:proofErr w:type="spellStart"/>
      <w:r w:rsidRPr="003513B4">
        <w:rPr>
          <w:rFonts w:ascii="Arial" w:hAnsi="Arial" w:cs="Arial"/>
        </w:rPr>
        <w:t>INRA</w:t>
      </w:r>
      <w:proofErr w:type="spellEnd"/>
      <w:r w:rsidRPr="003513B4">
        <w:rPr>
          <w:rFonts w:ascii="Arial" w:hAnsi="Arial" w:cs="Arial"/>
        </w:rPr>
        <w:t>.</w:t>
      </w:r>
    </w:p>
    <w:p w14:paraId="24CCD1A3"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Lyubenova, A., Georgieva, L., &amp; Antonova, V. (2023). Utilization of plant secondary metabolites for plant protection. </w:t>
      </w:r>
      <w:r w:rsidRPr="003513B4">
        <w:rPr>
          <w:rFonts w:ascii="Arial" w:hAnsi="Arial" w:cs="Arial"/>
          <w:i/>
          <w:iCs/>
        </w:rPr>
        <w:t>Biotechnology &amp; Biotechnological Equipment, 37</w:t>
      </w:r>
      <w:r w:rsidRPr="003513B4">
        <w:rPr>
          <w:rFonts w:ascii="Arial" w:hAnsi="Arial" w:cs="Arial"/>
        </w:rPr>
        <w:t>(1), 2297533. </w:t>
      </w:r>
      <w:hyperlink r:id="rId38" w:tgtFrame="_blank" w:history="1">
        <w:r w:rsidRPr="003513B4">
          <w:rPr>
            <w:rStyle w:val="Hyperlink"/>
            <w:rFonts w:ascii="Arial" w:hAnsi="Arial" w:cs="Arial"/>
          </w:rPr>
          <w:t>https://doi.org/10.1080/13102818.2023.2297533</w:t>
        </w:r>
      </w:hyperlink>
    </w:p>
    <w:p w14:paraId="609320A5" w14:textId="77777777" w:rsidR="003513B4" w:rsidRPr="003513B4" w:rsidRDefault="003513B4" w:rsidP="003513B4">
      <w:pPr>
        <w:widowControl w:val="0"/>
        <w:autoSpaceDE w:val="0"/>
        <w:autoSpaceDN w:val="0"/>
        <w:adjustRightInd w:val="0"/>
        <w:ind w:left="630" w:hanging="630"/>
        <w:jc w:val="both"/>
        <w:rPr>
          <w:rFonts w:ascii="Arial" w:hAnsi="Arial" w:cs="Arial"/>
          <w:lang w:val="fr-FR"/>
        </w:rPr>
      </w:pPr>
      <w:r w:rsidRPr="003513B4">
        <w:rPr>
          <w:rFonts w:ascii="Arial" w:hAnsi="Arial" w:cs="Arial"/>
        </w:rPr>
        <w:t xml:space="preserve">Mbaye, N., Diedhiou, P. M., Ndiaye, S., &amp; Samb, P. I. (2008). </w:t>
      </w:r>
      <w:r w:rsidRPr="003513B4">
        <w:rPr>
          <w:rFonts w:ascii="Arial" w:hAnsi="Arial" w:cs="Arial"/>
          <w:lang w:val="fr-FR"/>
        </w:rPr>
        <w:t>Caractérisation biologique in vitro de </w:t>
      </w:r>
      <w:r w:rsidRPr="003513B4">
        <w:rPr>
          <w:rFonts w:ascii="Arial" w:hAnsi="Arial" w:cs="Arial"/>
          <w:i/>
          <w:iCs/>
          <w:lang w:val="fr-FR"/>
        </w:rPr>
        <w:t>Colletotrichum gloeosporioides</w:t>
      </w:r>
      <w:r w:rsidRPr="003513B4">
        <w:rPr>
          <w:rFonts w:ascii="Arial" w:hAnsi="Arial" w:cs="Arial"/>
          <w:lang w:val="fr-FR"/>
        </w:rPr>
        <w:t> </w:t>
      </w:r>
      <w:proofErr w:type="spellStart"/>
      <w:r w:rsidRPr="003513B4">
        <w:rPr>
          <w:rFonts w:ascii="Arial" w:hAnsi="Arial" w:cs="Arial"/>
          <w:lang w:val="fr-FR"/>
        </w:rPr>
        <w:t>penz</w:t>
      </w:r>
      <w:proofErr w:type="spellEnd"/>
      <w:r w:rsidRPr="003513B4">
        <w:rPr>
          <w:rFonts w:ascii="Arial" w:hAnsi="Arial" w:cs="Arial"/>
          <w:lang w:val="fr-FR"/>
        </w:rPr>
        <w:t>, agent de l'anthracnose du manguier (</w:t>
      </w:r>
      <w:proofErr w:type="spellStart"/>
      <w:r w:rsidRPr="003513B4">
        <w:rPr>
          <w:rFonts w:ascii="Arial" w:hAnsi="Arial" w:cs="Arial"/>
          <w:i/>
          <w:iCs/>
          <w:lang w:val="fr-FR"/>
        </w:rPr>
        <w:t>Mangifera</w:t>
      </w:r>
      <w:proofErr w:type="spellEnd"/>
      <w:r w:rsidRPr="003513B4">
        <w:rPr>
          <w:rFonts w:ascii="Arial" w:hAnsi="Arial" w:cs="Arial"/>
          <w:i/>
          <w:iCs/>
          <w:lang w:val="fr-FR"/>
        </w:rPr>
        <w:t xml:space="preserve"> indica</w:t>
      </w:r>
      <w:r w:rsidRPr="003513B4">
        <w:rPr>
          <w:rFonts w:ascii="Arial" w:hAnsi="Arial" w:cs="Arial"/>
          <w:lang w:val="fr-FR"/>
        </w:rPr>
        <w:t> L). </w:t>
      </w:r>
      <w:r w:rsidRPr="003513B4">
        <w:rPr>
          <w:rFonts w:ascii="Arial" w:hAnsi="Arial" w:cs="Arial"/>
          <w:i/>
          <w:iCs/>
          <w:lang w:val="fr-FR"/>
        </w:rPr>
        <w:t>Journal Des Sciences Pour l’Ingénieur, 9</w:t>
      </w:r>
      <w:r w:rsidRPr="003513B4">
        <w:rPr>
          <w:rFonts w:ascii="Arial" w:hAnsi="Arial" w:cs="Arial"/>
          <w:lang w:val="fr-FR"/>
        </w:rPr>
        <w:t>, 21–27. </w:t>
      </w:r>
      <w:hyperlink r:id="rId39" w:tgtFrame="_blank" w:history="1">
        <w:r w:rsidRPr="003513B4">
          <w:rPr>
            <w:rStyle w:val="Hyperlink"/>
            <w:rFonts w:ascii="Arial" w:hAnsi="Arial" w:cs="Arial"/>
            <w:lang w:val="fr-FR"/>
          </w:rPr>
          <w:t>https://www.ajol.info/index.php/jspi/article/view/30055</w:t>
        </w:r>
      </w:hyperlink>
    </w:p>
    <w:p w14:paraId="07585042"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Mlaiki, A. (1970). </w:t>
      </w:r>
      <w:proofErr w:type="spellStart"/>
      <w:r w:rsidRPr="003513B4">
        <w:rPr>
          <w:rFonts w:ascii="Arial" w:hAnsi="Arial" w:cs="Arial"/>
        </w:rPr>
        <w:t>Gleosporium</w:t>
      </w:r>
      <w:proofErr w:type="spellEnd"/>
      <w:r w:rsidRPr="003513B4">
        <w:rPr>
          <w:rFonts w:ascii="Arial" w:hAnsi="Arial" w:cs="Arial"/>
        </w:rPr>
        <w:t xml:space="preserve"> rot in Golden Delicious apples during storage. </w:t>
      </w:r>
      <w:proofErr w:type="spellStart"/>
      <w:r w:rsidRPr="003513B4">
        <w:rPr>
          <w:rFonts w:ascii="Arial" w:hAnsi="Arial" w:cs="Arial"/>
          <w:i/>
          <w:iCs/>
        </w:rPr>
        <w:t>I.N.R.A.T</w:t>
      </w:r>
      <w:proofErr w:type="spellEnd"/>
      <w:r w:rsidRPr="003513B4">
        <w:rPr>
          <w:rFonts w:ascii="Arial" w:hAnsi="Arial" w:cs="Arial"/>
          <w:i/>
          <w:iCs/>
        </w:rPr>
        <w:t>. Annals, 43</w:t>
      </w:r>
      <w:r w:rsidRPr="003513B4">
        <w:rPr>
          <w:rFonts w:ascii="Arial" w:hAnsi="Arial" w:cs="Arial"/>
        </w:rPr>
        <w:t>, 15–27.</w:t>
      </w:r>
    </w:p>
    <w:p w14:paraId="620BA02F"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Nana, T. A., Ilboudo, M., Ouattara, A., &amp; Koita, K. (2023). Effectiveness of </w:t>
      </w:r>
      <w:proofErr w:type="spellStart"/>
      <w:r w:rsidRPr="003513B4">
        <w:rPr>
          <w:rFonts w:ascii="Arial" w:hAnsi="Arial" w:cs="Arial"/>
        </w:rPr>
        <w:t>AZOX</w:t>
      </w:r>
      <w:proofErr w:type="spellEnd"/>
      <w:r w:rsidRPr="003513B4">
        <w:rPr>
          <w:rFonts w:ascii="Arial" w:hAnsi="Arial" w:cs="Arial"/>
        </w:rPr>
        <w:t xml:space="preserve"> and MANCO 80 WP fungicides in controlling </w:t>
      </w:r>
      <w:proofErr w:type="spellStart"/>
      <w:r w:rsidRPr="003513B4">
        <w:rPr>
          <w:rFonts w:ascii="Arial" w:hAnsi="Arial" w:cs="Arial"/>
        </w:rPr>
        <w:t>cercosporiosis</w:t>
      </w:r>
      <w:proofErr w:type="spellEnd"/>
      <w:r w:rsidRPr="003513B4">
        <w:rPr>
          <w:rFonts w:ascii="Arial" w:hAnsi="Arial" w:cs="Arial"/>
        </w:rPr>
        <w:t xml:space="preserve"> in peanuts in Burkina </w:t>
      </w:r>
      <w:r w:rsidRPr="003513B4">
        <w:rPr>
          <w:rFonts w:ascii="Arial" w:hAnsi="Arial" w:cs="Arial"/>
        </w:rPr>
        <w:lastRenderedPageBreak/>
        <w:t>Faso. </w:t>
      </w:r>
      <w:r w:rsidRPr="003513B4">
        <w:rPr>
          <w:rFonts w:ascii="Arial" w:hAnsi="Arial" w:cs="Arial"/>
          <w:i/>
          <w:iCs/>
        </w:rPr>
        <w:t>International Journal of Biological and Chemical Sciences, 17</w:t>
      </w:r>
      <w:r w:rsidRPr="003513B4">
        <w:rPr>
          <w:rFonts w:ascii="Arial" w:hAnsi="Arial" w:cs="Arial"/>
        </w:rPr>
        <w:t>(2), 442–450.</w:t>
      </w:r>
    </w:p>
    <w:p w14:paraId="730D0B5B"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Ngoh, D. J. P., </w:t>
      </w:r>
      <w:proofErr w:type="spellStart"/>
      <w:r w:rsidRPr="003513B4">
        <w:rPr>
          <w:rFonts w:ascii="Arial" w:hAnsi="Arial" w:cs="Arial"/>
        </w:rPr>
        <w:t>Deurnaye</w:t>
      </w:r>
      <w:proofErr w:type="spellEnd"/>
      <w:r w:rsidRPr="003513B4">
        <w:rPr>
          <w:rFonts w:ascii="Arial" w:hAnsi="Arial" w:cs="Arial"/>
        </w:rPr>
        <w:t xml:space="preserve">, P., Abdoul, M., </w:t>
      </w:r>
      <w:proofErr w:type="spellStart"/>
      <w:r w:rsidRPr="003513B4">
        <w:rPr>
          <w:rFonts w:ascii="Arial" w:hAnsi="Arial" w:cs="Arial"/>
        </w:rPr>
        <w:t>Mbou</w:t>
      </w:r>
      <w:proofErr w:type="spellEnd"/>
      <w:r w:rsidRPr="003513B4">
        <w:rPr>
          <w:rFonts w:ascii="Arial" w:hAnsi="Arial" w:cs="Arial"/>
        </w:rPr>
        <w:t xml:space="preserve">, T. P. R., </w:t>
      </w:r>
      <w:proofErr w:type="spellStart"/>
      <w:r w:rsidRPr="003513B4">
        <w:rPr>
          <w:rFonts w:ascii="Arial" w:hAnsi="Arial" w:cs="Arial"/>
        </w:rPr>
        <w:t>Djongnang</w:t>
      </w:r>
      <w:proofErr w:type="spellEnd"/>
      <w:r w:rsidRPr="003513B4">
        <w:rPr>
          <w:rFonts w:ascii="Arial" w:hAnsi="Arial" w:cs="Arial"/>
        </w:rPr>
        <w:t xml:space="preserve">, G., </w:t>
      </w:r>
      <w:proofErr w:type="spellStart"/>
      <w:r w:rsidRPr="003513B4">
        <w:rPr>
          <w:rFonts w:ascii="Arial" w:hAnsi="Arial" w:cs="Arial"/>
        </w:rPr>
        <w:t>Boydoul</w:t>
      </w:r>
      <w:proofErr w:type="spellEnd"/>
      <w:r w:rsidRPr="003513B4">
        <w:rPr>
          <w:rFonts w:ascii="Arial" w:hAnsi="Arial" w:cs="Arial"/>
        </w:rPr>
        <w:t xml:space="preserve">, F. U., </w:t>
      </w:r>
      <w:proofErr w:type="spellStart"/>
      <w:r w:rsidRPr="003513B4">
        <w:rPr>
          <w:rFonts w:ascii="Arial" w:hAnsi="Arial" w:cs="Arial"/>
        </w:rPr>
        <w:t>Djile</w:t>
      </w:r>
      <w:proofErr w:type="spellEnd"/>
      <w:r w:rsidRPr="003513B4">
        <w:rPr>
          <w:rFonts w:ascii="Arial" w:hAnsi="Arial" w:cs="Arial"/>
        </w:rPr>
        <w:t xml:space="preserve">, B., &amp; </w:t>
      </w:r>
      <w:proofErr w:type="spellStart"/>
      <w:r w:rsidRPr="003513B4">
        <w:rPr>
          <w:rFonts w:ascii="Arial" w:hAnsi="Arial" w:cs="Arial"/>
        </w:rPr>
        <w:t>Ambang</w:t>
      </w:r>
      <w:proofErr w:type="spellEnd"/>
      <w:r w:rsidRPr="003513B4">
        <w:rPr>
          <w:rFonts w:ascii="Arial" w:hAnsi="Arial" w:cs="Arial"/>
        </w:rPr>
        <w:t>, Z. (2021a). In vitro, in vivo and in situ effect of Mancozeb 80 WP on </w:t>
      </w:r>
      <w:r w:rsidRPr="003513B4">
        <w:rPr>
          <w:rFonts w:ascii="Arial" w:hAnsi="Arial" w:cs="Arial"/>
          <w:i/>
          <w:iCs/>
        </w:rPr>
        <w:t>Colletotrichum gloeosporioides</w:t>
      </w:r>
      <w:r w:rsidRPr="003513B4">
        <w:rPr>
          <w:rFonts w:ascii="Arial" w:hAnsi="Arial" w:cs="Arial"/>
        </w:rPr>
        <w:t> (Penz.) Penz. &amp; Sacc., causative agent of anthracnose of cashew (</w:t>
      </w:r>
      <w:r w:rsidRPr="003513B4">
        <w:rPr>
          <w:rFonts w:ascii="Arial" w:hAnsi="Arial" w:cs="Arial"/>
          <w:i/>
          <w:iCs/>
        </w:rPr>
        <w:t>Anacardium occidentale</w:t>
      </w:r>
      <w:r w:rsidRPr="003513B4">
        <w:rPr>
          <w:rFonts w:ascii="Arial" w:hAnsi="Arial" w:cs="Arial"/>
        </w:rPr>
        <w:t> L.) in Chad and Cameroon. </w:t>
      </w:r>
      <w:r w:rsidRPr="003513B4">
        <w:rPr>
          <w:rFonts w:ascii="Arial" w:hAnsi="Arial" w:cs="Arial"/>
          <w:i/>
          <w:iCs/>
        </w:rPr>
        <w:t>International Journal of Pathogen Research, 6</w:t>
      </w:r>
      <w:r w:rsidRPr="003513B4">
        <w:rPr>
          <w:rFonts w:ascii="Arial" w:hAnsi="Arial" w:cs="Arial"/>
        </w:rPr>
        <w:t>(3), 1–14. </w:t>
      </w:r>
      <w:hyperlink r:id="rId40" w:tgtFrame="_blank" w:history="1">
        <w:r w:rsidRPr="003513B4">
          <w:rPr>
            <w:rStyle w:val="Hyperlink"/>
            <w:rFonts w:ascii="Arial" w:hAnsi="Arial" w:cs="Arial"/>
          </w:rPr>
          <w:t>https://doi.org/10.9734/IJPR/2021/v6i330161</w:t>
        </w:r>
      </w:hyperlink>
    </w:p>
    <w:p w14:paraId="56798B8E"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Ngoh, D. J. P., </w:t>
      </w:r>
      <w:proofErr w:type="spellStart"/>
      <w:r w:rsidRPr="003513B4">
        <w:rPr>
          <w:rFonts w:ascii="Arial" w:hAnsi="Arial" w:cs="Arial"/>
        </w:rPr>
        <w:t>Deurnaye</w:t>
      </w:r>
      <w:proofErr w:type="spellEnd"/>
      <w:r w:rsidRPr="003513B4">
        <w:rPr>
          <w:rFonts w:ascii="Arial" w:hAnsi="Arial" w:cs="Arial"/>
        </w:rPr>
        <w:t xml:space="preserve">, P., Abdoul, M., </w:t>
      </w:r>
      <w:proofErr w:type="spellStart"/>
      <w:r w:rsidRPr="003513B4">
        <w:rPr>
          <w:rFonts w:ascii="Arial" w:hAnsi="Arial" w:cs="Arial"/>
        </w:rPr>
        <w:t>Mbou</w:t>
      </w:r>
      <w:proofErr w:type="spellEnd"/>
      <w:r w:rsidRPr="003513B4">
        <w:rPr>
          <w:rFonts w:ascii="Arial" w:hAnsi="Arial" w:cs="Arial"/>
        </w:rPr>
        <w:t xml:space="preserve">, T. P. R., </w:t>
      </w:r>
      <w:proofErr w:type="spellStart"/>
      <w:r w:rsidRPr="003513B4">
        <w:rPr>
          <w:rFonts w:ascii="Arial" w:hAnsi="Arial" w:cs="Arial"/>
        </w:rPr>
        <w:t>Djongnang</w:t>
      </w:r>
      <w:proofErr w:type="spellEnd"/>
      <w:r w:rsidRPr="003513B4">
        <w:rPr>
          <w:rFonts w:ascii="Arial" w:hAnsi="Arial" w:cs="Arial"/>
        </w:rPr>
        <w:t xml:space="preserve">, G., </w:t>
      </w:r>
      <w:proofErr w:type="spellStart"/>
      <w:r w:rsidRPr="003513B4">
        <w:rPr>
          <w:rFonts w:ascii="Arial" w:hAnsi="Arial" w:cs="Arial"/>
        </w:rPr>
        <w:t>Boydoul</w:t>
      </w:r>
      <w:proofErr w:type="spellEnd"/>
      <w:r w:rsidRPr="003513B4">
        <w:rPr>
          <w:rFonts w:ascii="Arial" w:hAnsi="Arial" w:cs="Arial"/>
        </w:rPr>
        <w:t xml:space="preserve">, F. U., </w:t>
      </w:r>
      <w:proofErr w:type="spellStart"/>
      <w:r w:rsidRPr="003513B4">
        <w:rPr>
          <w:rFonts w:ascii="Arial" w:hAnsi="Arial" w:cs="Arial"/>
        </w:rPr>
        <w:t>Djile</w:t>
      </w:r>
      <w:proofErr w:type="spellEnd"/>
      <w:r w:rsidRPr="003513B4">
        <w:rPr>
          <w:rFonts w:ascii="Arial" w:hAnsi="Arial" w:cs="Arial"/>
        </w:rPr>
        <w:t xml:space="preserve">, B., &amp; </w:t>
      </w:r>
      <w:proofErr w:type="spellStart"/>
      <w:r w:rsidRPr="003513B4">
        <w:rPr>
          <w:rFonts w:ascii="Arial" w:hAnsi="Arial" w:cs="Arial"/>
        </w:rPr>
        <w:t>Ambang</w:t>
      </w:r>
      <w:proofErr w:type="spellEnd"/>
      <w:r w:rsidRPr="003513B4">
        <w:rPr>
          <w:rFonts w:ascii="Arial" w:hAnsi="Arial" w:cs="Arial"/>
        </w:rPr>
        <w:t xml:space="preserve">, Z. (2021b). Efficacy and induction resistance of neem extract and Mancozeb 80 WP on </w:t>
      </w:r>
      <w:proofErr w:type="spellStart"/>
      <w:r w:rsidRPr="003513B4">
        <w:rPr>
          <w:rFonts w:ascii="Arial" w:hAnsi="Arial" w:cs="Arial"/>
        </w:rPr>
        <w:t>Physoderma</w:t>
      </w:r>
      <w:proofErr w:type="spellEnd"/>
      <w:r w:rsidRPr="003513B4">
        <w:rPr>
          <w:rFonts w:ascii="Arial" w:hAnsi="Arial" w:cs="Arial"/>
        </w:rPr>
        <w:t xml:space="preserve"> brown spot and </w:t>
      </w:r>
      <w:proofErr w:type="spellStart"/>
      <w:r w:rsidRPr="003513B4">
        <w:rPr>
          <w:rFonts w:ascii="Arial" w:hAnsi="Arial" w:cs="Arial"/>
        </w:rPr>
        <w:t>Physoderma</w:t>
      </w:r>
      <w:proofErr w:type="spellEnd"/>
      <w:r w:rsidRPr="003513B4">
        <w:rPr>
          <w:rFonts w:ascii="Arial" w:hAnsi="Arial" w:cs="Arial"/>
        </w:rPr>
        <w:t xml:space="preserve"> stalk rot diseases of corn (</w:t>
      </w:r>
      <w:r w:rsidRPr="003513B4">
        <w:rPr>
          <w:rFonts w:ascii="Arial" w:hAnsi="Arial" w:cs="Arial"/>
          <w:i/>
          <w:iCs/>
        </w:rPr>
        <w:t>Zea mays</w:t>
      </w:r>
      <w:r w:rsidRPr="003513B4">
        <w:rPr>
          <w:rFonts w:ascii="Arial" w:hAnsi="Arial" w:cs="Arial"/>
        </w:rPr>
        <w:t>) caused by </w:t>
      </w:r>
      <w:proofErr w:type="spellStart"/>
      <w:r w:rsidRPr="003513B4">
        <w:rPr>
          <w:rFonts w:ascii="Arial" w:hAnsi="Arial" w:cs="Arial"/>
          <w:i/>
          <w:iCs/>
        </w:rPr>
        <w:t>Physoderma</w:t>
      </w:r>
      <w:proofErr w:type="spellEnd"/>
      <w:r w:rsidRPr="003513B4">
        <w:rPr>
          <w:rFonts w:ascii="Arial" w:hAnsi="Arial" w:cs="Arial"/>
          <w:i/>
          <w:iCs/>
        </w:rPr>
        <w:t xml:space="preserve"> maydis</w:t>
      </w:r>
      <w:r w:rsidRPr="003513B4">
        <w:rPr>
          <w:rFonts w:ascii="Arial" w:hAnsi="Arial" w:cs="Arial"/>
        </w:rPr>
        <w:t> in far north Cameroon. </w:t>
      </w:r>
      <w:r w:rsidRPr="003513B4">
        <w:rPr>
          <w:rFonts w:ascii="Arial" w:hAnsi="Arial" w:cs="Arial"/>
          <w:i/>
          <w:iCs/>
        </w:rPr>
        <w:t>International Journal of Phytopathology, 10</w:t>
      </w:r>
      <w:r w:rsidRPr="003513B4">
        <w:rPr>
          <w:rFonts w:ascii="Arial" w:hAnsi="Arial" w:cs="Arial"/>
        </w:rPr>
        <w:t>(2), 85–100. </w:t>
      </w:r>
      <w:hyperlink r:id="rId41" w:tgtFrame="_blank" w:history="1">
        <w:r w:rsidRPr="003513B4">
          <w:rPr>
            <w:rStyle w:val="Hyperlink"/>
            <w:rFonts w:ascii="Arial" w:hAnsi="Arial" w:cs="Arial"/>
          </w:rPr>
          <w:t>https://doi.org/10.33687/phytopath.010.02.3553</w:t>
        </w:r>
      </w:hyperlink>
    </w:p>
    <w:p w14:paraId="0FEBBD33" w14:textId="77777777" w:rsidR="003513B4" w:rsidRPr="003513B4" w:rsidRDefault="003513B4" w:rsidP="003513B4">
      <w:pPr>
        <w:widowControl w:val="0"/>
        <w:autoSpaceDE w:val="0"/>
        <w:autoSpaceDN w:val="0"/>
        <w:adjustRightInd w:val="0"/>
        <w:ind w:left="630" w:hanging="630"/>
        <w:jc w:val="both"/>
        <w:rPr>
          <w:rFonts w:ascii="Arial" w:hAnsi="Arial" w:cs="Arial"/>
        </w:rPr>
      </w:pPr>
      <w:proofErr w:type="spellStart"/>
      <w:r w:rsidRPr="003513B4">
        <w:rPr>
          <w:rFonts w:ascii="Arial" w:hAnsi="Arial" w:cs="Arial"/>
        </w:rPr>
        <w:t>Petchayo</w:t>
      </w:r>
      <w:proofErr w:type="spellEnd"/>
      <w:r w:rsidRPr="003513B4">
        <w:rPr>
          <w:rFonts w:ascii="Arial" w:hAnsi="Arial" w:cs="Arial"/>
        </w:rPr>
        <w:t>, T. S. (2022). </w:t>
      </w:r>
      <w:r w:rsidRPr="003513B4">
        <w:rPr>
          <w:rFonts w:ascii="Arial" w:hAnsi="Arial" w:cs="Arial"/>
          <w:i/>
          <w:iCs/>
        </w:rPr>
        <w:t xml:space="preserve">Identification of the main phytopathogens of pepper (Piper nigrum L.) from </w:t>
      </w:r>
      <w:proofErr w:type="spellStart"/>
      <w:r w:rsidRPr="003513B4">
        <w:rPr>
          <w:rFonts w:ascii="Arial" w:hAnsi="Arial" w:cs="Arial"/>
          <w:i/>
          <w:iCs/>
        </w:rPr>
        <w:t>Penja</w:t>
      </w:r>
      <w:proofErr w:type="spellEnd"/>
      <w:r w:rsidRPr="003513B4">
        <w:rPr>
          <w:rFonts w:ascii="Arial" w:hAnsi="Arial" w:cs="Arial"/>
          <w:i/>
          <w:iCs/>
        </w:rPr>
        <w:t xml:space="preserve"> and control of slow dieback by Trichoderma </w:t>
      </w:r>
      <w:proofErr w:type="spellStart"/>
      <w:r w:rsidRPr="003513B4">
        <w:rPr>
          <w:rFonts w:ascii="Arial" w:hAnsi="Arial" w:cs="Arial"/>
          <w:i/>
          <w:iCs/>
        </w:rPr>
        <w:t>asperellum</w:t>
      </w:r>
      <w:proofErr w:type="spellEnd"/>
      <w:r w:rsidRPr="003513B4">
        <w:rPr>
          <w:rFonts w:ascii="Arial" w:hAnsi="Arial" w:cs="Arial"/>
          <w:i/>
          <w:iCs/>
        </w:rPr>
        <w:t xml:space="preserve"> and the hydroethanolic extract of Chromoleana odorata</w:t>
      </w:r>
      <w:r w:rsidRPr="003513B4">
        <w:rPr>
          <w:rFonts w:ascii="Arial" w:hAnsi="Arial" w:cs="Arial"/>
        </w:rPr>
        <w:t> [Doctoral thesis, University of Yaoundé 1].</w:t>
      </w:r>
    </w:p>
    <w:p w14:paraId="61C6159B"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lang w:val="fr-FR"/>
        </w:rPr>
        <w:t xml:space="preserve">Quijia, C. R., &amp; Chorilli, M. (2020). </w:t>
      </w:r>
      <w:r w:rsidRPr="003513B4">
        <w:rPr>
          <w:rFonts w:ascii="Arial" w:hAnsi="Arial" w:cs="Arial"/>
        </w:rPr>
        <w:t>Characteristics, biological properties and analytical methods of piperine. </w:t>
      </w:r>
      <w:r w:rsidRPr="003513B4">
        <w:rPr>
          <w:rFonts w:ascii="Arial" w:hAnsi="Arial" w:cs="Arial"/>
          <w:i/>
          <w:iCs/>
        </w:rPr>
        <w:t>Critical Reviews in Analytical Chemistry, 50</w:t>
      </w:r>
      <w:r w:rsidRPr="003513B4">
        <w:rPr>
          <w:rFonts w:ascii="Arial" w:hAnsi="Arial" w:cs="Arial"/>
        </w:rPr>
        <w:t>(1), 62–77.</w:t>
      </w:r>
    </w:p>
    <w:p w14:paraId="0737D179"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Saraka, A. I., Abo, K., Ouattara, K. E. Z., &amp; </w:t>
      </w:r>
      <w:proofErr w:type="spellStart"/>
      <w:r w:rsidRPr="003513B4">
        <w:rPr>
          <w:rFonts w:ascii="Arial" w:hAnsi="Arial" w:cs="Arial"/>
        </w:rPr>
        <w:t>Guédé</w:t>
      </w:r>
      <w:proofErr w:type="spellEnd"/>
      <w:r w:rsidRPr="003513B4">
        <w:rPr>
          <w:rFonts w:ascii="Arial" w:hAnsi="Arial" w:cs="Arial"/>
        </w:rPr>
        <w:t>, N. (2019). Botanical study, phytochemical screening and in vitro evaluation of the antifungal activity of </w:t>
      </w:r>
      <w:r w:rsidRPr="003513B4">
        <w:rPr>
          <w:rFonts w:ascii="Arial" w:hAnsi="Arial" w:cs="Arial"/>
          <w:i/>
          <w:iCs/>
        </w:rPr>
        <w:t>Mallotus oppositifolius</w:t>
      </w:r>
      <w:r w:rsidRPr="003513B4">
        <w:rPr>
          <w:rFonts w:ascii="Arial" w:hAnsi="Arial" w:cs="Arial"/>
        </w:rPr>
        <w:t> (Geisel.) Müll. Arg. (Euphorbiaceae) leaf extracts on </w:t>
      </w:r>
      <w:r w:rsidRPr="003513B4">
        <w:rPr>
          <w:rFonts w:ascii="Arial" w:hAnsi="Arial" w:cs="Arial"/>
          <w:i/>
          <w:iCs/>
        </w:rPr>
        <w:t>Fusarium</w:t>
      </w:r>
      <w:r w:rsidRPr="003513B4">
        <w:rPr>
          <w:rFonts w:ascii="Arial" w:hAnsi="Arial" w:cs="Arial"/>
        </w:rPr>
        <w:t> sp. and </w:t>
      </w:r>
      <w:r w:rsidRPr="003513B4">
        <w:rPr>
          <w:rFonts w:ascii="Arial" w:hAnsi="Arial" w:cs="Arial"/>
          <w:i/>
          <w:iCs/>
        </w:rPr>
        <w:t>Phytophthora</w:t>
      </w:r>
      <w:r w:rsidRPr="003513B4">
        <w:rPr>
          <w:rFonts w:ascii="Arial" w:hAnsi="Arial" w:cs="Arial"/>
        </w:rPr>
        <w:t> sp., two phytopathogenic fungi. </w:t>
      </w:r>
      <w:r w:rsidRPr="003513B4">
        <w:rPr>
          <w:rFonts w:ascii="Arial" w:hAnsi="Arial" w:cs="Arial"/>
          <w:i/>
          <w:iCs/>
        </w:rPr>
        <w:t>Journal of Animal and Plant Sciences, 41</w:t>
      </w:r>
      <w:r w:rsidRPr="003513B4">
        <w:rPr>
          <w:rFonts w:ascii="Arial" w:hAnsi="Arial" w:cs="Arial"/>
        </w:rPr>
        <w:t>(2), 6903–6915. </w:t>
      </w:r>
      <w:hyperlink r:id="rId42" w:tgtFrame="_blank" w:history="1">
        <w:r w:rsidRPr="003513B4">
          <w:rPr>
            <w:rStyle w:val="Hyperlink"/>
            <w:rFonts w:ascii="Arial" w:hAnsi="Arial" w:cs="Arial"/>
          </w:rPr>
          <w:t>https://doi.org/10.35759/JAnmPlSci.v41-2.4</w:t>
        </w:r>
      </w:hyperlink>
    </w:p>
    <w:p w14:paraId="036BD398"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Shcherbakova, L., Odintsova, T., Pasechnik, T., </w:t>
      </w:r>
      <w:proofErr w:type="spellStart"/>
      <w:r w:rsidRPr="003513B4">
        <w:rPr>
          <w:rFonts w:ascii="Arial" w:hAnsi="Arial" w:cs="Arial"/>
        </w:rPr>
        <w:t>Arslanova</w:t>
      </w:r>
      <w:proofErr w:type="spellEnd"/>
      <w:r w:rsidRPr="003513B4">
        <w:rPr>
          <w:rFonts w:ascii="Arial" w:hAnsi="Arial" w:cs="Arial"/>
        </w:rPr>
        <w:t xml:space="preserve">, L., </w:t>
      </w:r>
      <w:proofErr w:type="spellStart"/>
      <w:r w:rsidRPr="003513B4">
        <w:rPr>
          <w:rFonts w:ascii="Arial" w:hAnsi="Arial" w:cs="Arial"/>
        </w:rPr>
        <w:t>Smetanina</w:t>
      </w:r>
      <w:proofErr w:type="spellEnd"/>
      <w:r w:rsidRPr="003513B4">
        <w:rPr>
          <w:rFonts w:ascii="Arial" w:hAnsi="Arial" w:cs="Arial"/>
        </w:rPr>
        <w:t xml:space="preserve">, T., Kartashov, M., </w:t>
      </w:r>
      <w:proofErr w:type="spellStart"/>
      <w:r w:rsidRPr="003513B4">
        <w:rPr>
          <w:rFonts w:ascii="Arial" w:hAnsi="Arial" w:cs="Arial"/>
        </w:rPr>
        <w:t>Slezina</w:t>
      </w:r>
      <w:proofErr w:type="spellEnd"/>
      <w:r w:rsidRPr="003513B4">
        <w:rPr>
          <w:rFonts w:ascii="Arial" w:hAnsi="Arial" w:cs="Arial"/>
        </w:rPr>
        <w:t xml:space="preserve">, M., &amp; </w:t>
      </w:r>
      <w:proofErr w:type="spellStart"/>
      <w:r w:rsidRPr="003513B4">
        <w:rPr>
          <w:rFonts w:ascii="Arial" w:hAnsi="Arial" w:cs="Arial"/>
        </w:rPr>
        <w:t>Dzhavakhiya</w:t>
      </w:r>
      <w:proofErr w:type="spellEnd"/>
      <w:r w:rsidRPr="003513B4">
        <w:rPr>
          <w:rFonts w:ascii="Arial" w:hAnsi="Arial" w:cs="Arial"/>
        </w:rPr>
        <w:t>, V. (2020). Fragments of a wheat hevein like antimicrobial peptide augment the inhibitory effect of a triazole fungicide on spore germination of </w:t>
      </w:r>
      <w:r w:rsidRPr="003513B4">
        <w:rPr>
          <w:rFonts w:ascii="Arial" w:hAnsi="Arial" w:cs="Arial"/>
          <w:i/>
          <w:iCs/>
        </w:rPr>
        <w:t>Fusarium oxysporum</w:t>
      </w:r>
      <w:r w:rsidRPr="003513B4">
        <w:rPr>
          <w:rFonts w:ascii="Arial" w:hAnsi="Arial" w:cs="Arial"/>
        </w:rPr>
        <w:t> and </w:t>
      </w:r>
      <w:r w:rsidRPr="003513B4">
        <w:rPr>
          <w:rFonts w:ascii="Arial" w:hAnsi="Arial" w:cs="Arial"/>
          <w:i/>
          <w:iCs/>
        </w:rPr>
        <w:t xml:space="preserve">Alternaria </w:t>
      </w:r>
      <w:proofErr w:type="spellStart"/>
      <w:r w:rsidRPr="003513B4">
        <w:rPr>
          <w:rFonts w:ascii="Arial" w:hAnsi="Arial" w:cs="Arial"/>
          <w:i/>
          <w:iCs/>
        </w:rPr>
        <w:t>solani</w:t>
      </w:r>
      <w:proofErr w:type="spellEnd"/>
      <w:r w:rsidRPr="003513B4">
        <w:rPr>
          <w:rFonts w:ascii="Arial" w:hAnsi="Arial" w:cs="Arial"/>
        </w:rPr>
        <w:t>. </w:t>
      </w:r>
      <w:r w:rsidRPr="003513B4">
        <w:rPr>
          <w:rFonts w:ascii="Arial" w:hAnsi="Arial" w:cs="Arial"/>
          <w:i/>
          <w:iCs/>
        </w:rPr>
        <w:t>Antibiotics, 9</w:t>
      </w:r>
      <w:r w:rsidRPr="003513B4">
        <w:rPr>
          <w:rFonts w:ascii="Arial" w:hAnsi="Arial" w:cs="Arial"/>
        </w:rPr>
        <w:t>(12), 870. </w:t>
      </w:r>
      <w:hyperlink r:id="rId43" w:tgtFrame="_blank" w:history="1">
        <w:r w:rsidRPr="003513B4">
          <w:rPr>
            <w:rStyle w:val="Hyperlink"/>
            <w:rFonts w:ascii="Arial" w:hAnsi="Arial" w:cs="Arial"/>
          </w:rPr>
          <w:t>https://doi.org/10.3390/antibiotics9120870</w:t>
        </w:r>
      </w:hyperlink>
    </w:p>
    <w:p w14:paraId="5AA13061"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Silué, N. (2019). </w:t>
      </w:r>
      <w:r w:rsidRPr="003513B4">
        <w:rPr>
          <w:rFonts w:ascii="Arial" w:hAnsi="Arial" w:cs="Arial"/>
          <w:i/>
          <w:iCs/>
        </w:rPr>
        <w:t>Contribution to the study of the symptoms of diseases of cashew trees (Anacardium occidentale L.) in Côte d’Ivoire and to the development of methods to combat fungal pathogens</w:t>
      </w:r>
      <w:r w:rsidRPr="003513B4">
        <w:rPr>
          <w:rFonts w:ascii="Arial" w:hAnsi="Arial" w:cs="Arial"/>
        </w:rPr>
        <w:t xml:space="preserve"> [Doctoral thesis, Université Félix </w:t>
      </w:r>
      <w:proofErr w:type="spellStart"/>
      <w:r w:rsidRPr="003513B4">
        <w:rPr>
          <w:rFonts w:ascii="Arial" w:hAnsi="Arial" w:cs="Arial"/>
        </w:rPr>
        <w:t>Houphouët</w:t>
      </w:r>
      <w:proofErr w:type="spellEnd"/>
      <w:r w:rsidRPr="003513B4">
        <w:rPr>
          <w:rFonts w:ascii="Arial" w:hAnsi="Arial" w:cs="Arial"/>
        </w:rPr>
        <w:t xml:space="preserve"> Boigny].</w:t>
      </w:r>
    </w:p>
    <w:p w14:paraId="74C9E1FC"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 xml:space="preserve">Sirima, A., Sereme, A., Sereme, D., </w:t>
      </w:r>
      <w:proofErr w:type="spellStart"/>
      <w:r w:rsidRPr="003513B4">
        <w:rPr>
          <w:rFonts w:ascii="Arial" w:hAnsi="Arial" w:cs="Arial"/>
        </w:rPr>
        <w:t>Koïta</w:t>
      </w:r>
      <w:proofErr w:type="spellEnd"/>
      <w:r w:rsidRPr="003513B4">
        <w:rPr>
          <w:rFonts w:ascii="Arial" w:hAnsi="Arial" w:cs="Arial"/>
        </w:rPr>
        <w:t>, K., Nana, T. A., &amp; Sawadogo, M. (2020). Effects of four essential oils on the radial mycelial growth of an </w:t>
      </w:r>
      <w:r w:rsidRPr="003513B4">
        <w:rPr>
          <w:rFonts w:ascii="Arial" w:hAnsi="Arial" w:cs="Arial"/>
          <w:i/>
          <w:iCs/>
        </w:rPr>
        <w:t>Alternaria</w:t>
      </w:r>
      <w:r w:rsidRPr="003513B4">
        <w:rPr>
          <w:rFonts w:ascii="Arial" w:hAnsi="Arial" w:cs="Arial"/>
        </w:rPr>
        <w:t> sp. isolate in Burkina Faso. </w:t>
      </w:r>
      <w:r w:rsidRPr="003513B4">
        <w:rPr>
          <w:rFonts w:ascii="Arial" w:hAnsi="Arial" w:cs="Arial"/>
          <w:i/>
          <w:iCs/>
        </w:rPr>
        <w:t>International Journal of Biological and Chemical Sciences, 14</w:t>
      </w:r>
      <w:r w:rsidRPr="003513B4">
        <w:rPr>
          <w:rFonts w:ascii="Arial" w:hAnsi="Arial" w:cs="Arial"/>
        </w:rPr>
        <w:t>(3), 762–771. </w:t>
      </w:r>
      <w:hyperlink r:id="rId44" w:tgtFrame="_blank" w:history="1">
        <w:r w:rsidRPr="003513B4">
          <w:rPr>
            <w:rStyle w:val="Hyperlink"/>
            <w:rFonts w:ascii="Arial" w:hAnsi="Arial" w:cs="Arial"/>
          </w:rPr>
          <w:t>https://doi.org/10.4314/ijbcs.v14i3.10</w:t>
        </w:r>
      </w:hyperlink>
    </w:p>
    <w:p w14:paraId="7FEF7E33"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lang w:val="fr-FR"/>
        </w:rPr>
        <w:t xml:space="preserve">Soro, S., Traoré, K., Soro, N. A., Silué, N., Ouattara, G. M., Koné, D., &amp; Kouadio, Y. J. (2019). </w:t>
      </w:r>
      <w:r w:rsidRPr="003513B4">
        <w:rPr>
          <w:rFonts w:ascii="Arial" w:hAnsi="Arial" w:cs="Arial"/>
        </w:rPr>
        <w:t>Efficacy of biological fungicide control on cashew nut loss caused by </w:t>
      </w:r>
      <w:r w:rsidRPr="003513B4">
        <w:rPr>
          <w:rFonts w:ascii="Arial" w:hAnsi="Arial" w:cs="Arial"/>
          <w:i/>
          <w:iCs/>
        </w:rPr>
        <w:t>Colletotrichum gloeosporioides</w:t>
      </w:r>
      <w:r w:rsidRPr="003513B4">
        <w:rPr>
          <w:rFonts w:ascii="Arial" w:hAnsi="Arial" w:cs="Arial"/>
        </w:rPr>
        <w:t> Penz. in the North of Côte d’Ivoire. </w:t>
      </w:r>
      <w:r w:rsidRPr="003513B4">
        <w:rPr>
          <w:rFonts w:ascii="Arial" w:hAnsi="Arial" w:cs="Arial"/>
          <w:i/>
          <w:iCs/>
        </w:rPr>
        <w:t>International Journal of Sciences, 8</w:t>
      </w:r>
      <w:r w:rsidRPr="003513B4">
        <w:rPr>
          <w:rFonts w:ascii="Arial" w:hAnsi="Arial" w:cs="Arial"/>
        </w:rPr>
        <w:t>(6), 136–143. </w:t>
      </w:r>
      <w:hyperlink r:id="rId45" w:tgtFrame="_blank" w:history="1">
        <w:r w:rsidRPr="003513B4">
          <w:rPr>
            <w:rStyle w:val="Hyperlink"/>
            <w:rFonts w:ascii="Arial" w:hAnsi="Arial" w:cs="Arial"/>
          </w:rPr>
          <w:t>https://doi.org/10.18483/ijSci.2070</w:t>
        </w:r>
      </w:hyperlink>
    </w:p>
    <w:p w14:paraId="21C95BE5"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Sultana, R., Islam, M. D., Tanjum, F., Rahman, M. M., Haque, M. A., &amp; Hossain, R. (2022). Antioxidant, antibacterial and antifungal properties of black pepper essential oil (</w:t>
      </w:r>
      <w:r w:rsidRPr="003513B4">
        <w:rPr>
          <w:rFonts w:ascii="Arial" w:hAnsi="Arial" w:cs="Arial"/>
          <w:i/>
          <w:iCs/>
        </w:rPr>
        <w:t>Piper nigrum</w:t>
      </w:r>
      <w:r w:rsidRPr="003513B4">
        <w:rPr>
          <w:rFonts w:ascii="Arial" w:hAnsi="Arial" w:cs="Arial"/>
        </w:rPr>
        <w:t> Linn) and molecular docking and pharmacokinetic studies of its major component. </w:t>
      </w:r>
      <w:r w:rsidRPr="003513B4">
        <w:rPr>
          <w:rFonts w:ascii="Arial" w:hAnsi="Arial" w:cs="Arial"/>
          <w:i/>
          <w:iCs/>
        </w:rPr>
        <w:t>Oriental Journal of Chemistry, 38</w:t>
      </w:r>
      <w:r w:rsidRPr="003513B4">
        <w:rPr>
          <w:rFonts w:ascii="Arial" w:hAnsi="Arial" w:cs="Arial"/>
        </w:rPr>
        <w:t>(6), 1554–1560. </w:t>
      </w:r>
      <w:hyperlink r:id="rId46" w:tgtFrame="_blank" w:history="1">
        <w:r w:rsidRPr="003513B4">
          <w:rPr>
            <w:rStyle w:val="Hyperlink"/>
            <w:rFonts w:ascii="Arial" w:hAnsi="Arial" w:cs="Arial"/>
          </w:rPr>
          <w:t>https://doi.org/10.13005/ojc/380630</w:t>
        </w:r>
      </w:hyperlink>
    </w:p>
    <w:p w14:paraId="44D73349"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Tian, J., Ban, X., Zeng, H., He, J., Chen, Y., &amp; Wang, Y. (2012). The Mechanism of Antifungal Action of Essential Oil from Dill (</w:t>
      </w:r>
      <w:r w:rsidRPr="003513B4">
        <w:rPr>
          <w:rFonts w:ascii="Arial" w:hAnsi="Arial" w:cs="Arial"/>
          <w:i/>
          <w:iCs/>
        </w:rPr>
        <w:t>Anethum graveolens</w:t>
      </w:r>
      <w:r w:rsidRPr="003513B4">
        <w:rPr>
          <w:rFonts w:ascii="Arial" w:hAnsi="Arial" w:cs="Arial"/>
        </w:rPr>
        <w:t> L.) on </w:t>
      </w:r>
      <w:r w:rsidRPr="003513B4">
        <w:rPr>
          <w:rFonts w:ascii="Arial" w:hAnsi="Arial" w:cs="Arial"/>
          <w:i/>
          <w:iCs/>
        </w:rPr>
        <w:t>Aspergillus flavus</w:t>
      </w:r>
      <w:r w:rsidRPr="003513B4">
        <w:rPr>
          <w:rFonts w:ascii="Arial" w:hAnsi="Arial" w:cs="Arial"/>
        </w:rPr>
        <w:t>. </w:t>
      </w:r>
      <w:r w:rsidRPr="003513B4">
        <w:rPr>
          <w:rFonts w:ascii="Arial" w:hAnsi="Arial" w:cs="Arial"/>
          <w:i/>
          <w:iCs/>
        </w:rPr>
        <w:t>PLOS ONE, 7</w:t>
      </w:r>
      <w:r w:rsidRPr="003513B4">
        <w:rPr>
          <w:rFonts w:ascii="Arial" w:hAnsi="Arial" w:cs="Arial"/>
        </w:rPr>
        <w:t>(1), e30147. </w:t>
      </w:r>
      <w:hyperlink r:id="rId47" w:tgtFrame="_blank" w:history="1">
        <w:r w:rsidRPr="003513B4">
          <w:rPr>
            <w:rStyle w:val="Hyperlink"/>
            <w:rFonts w:ascii="Arial" w:hAnsi="Arial" w:cs="Arial"/>
          </w:rPr>
          <w:t>https://doi.org/10.1371/journal.pone.0030147</w:t>
        </w:r>
      </w:hyperlink>
    </w:p>
    <w:p w14:paraId="382DB28C" w14:textId="77777777" w:rsidR="00C442DB" w:rsidRPr="00C442DB" w:rsidRDefault="00C442DB" w:rsidP="00C442DB">
      <w:pPr>
        <w:widowControl w:val="0"/>
        <w:autoSpaceDE w:val="0"/>
        <w:autoSpaceDN w:val="0"/>
        <w:adjustRightInd w:val="0"/>
        <w:ind w:left="630" w:hanging="630"/>
      </w:pPr>
      <w:r w:rsidRPr="00C442DB">
        <w:t xml:space="preserve">Tiénébo, E.-O. (2016). </w:t>
      </w:r>
      <w:r w:rsidRPr="00C442DB">
        <w:rPr>
          <w:i/>
          <w:iCs/>
        </w:rPr>
        <w:t>Effect of Inoculation of Pseudomonas chlororaphis 30-84 and / or Rhizophagus irregularis DAOM 197198 on Maize Anthracnose Leaf Blight and Tomato Zebra Chip Disease</w:t>
      </w:r>
      <w:r w:rsidRPr="00C442DB">
        <w:t xml:space="preserve"> [Thesis, Texas A &amp; M University]. </w:t>
      </w:r>
      <w:hyperlink r:id="rId48" w:history="1">
        <w:r w:rsidRPr="00C442DB">
          <w:rPr>
            <w:rStyle w:val="Hyperlink"/>
          </w:rPr>
          <w:t>http://oaktrust.library.tamu.edu/handle/1969.1/158069</w:t>
        </w:r>
      </w:hyperlink>
    </w:p>
    <w:p w14:paraId="4C277183" w14:textId="77777777" w:rsidR="00C442DB" w:rsidRPr="00C442DB" w:rsidRDefault="00C442DB" w:rsidP="00C442DB">
      <w:pPr>
        <w:widowControl w:val="0"/>
        <w:autoSpaceDE w:val="0"/>
        <w:autoSpaceDN w:val="0"/>
        <w:adjustRightInd w:val="0"/>
        <w:ind w:left="630" w:hanging="630"/>
      </w:pPr>
      <w:r w:rsidRPr="00C442DB">
        <w:t xml:space="preserve">Tiénébo, E.-O., Harrison, K., Abo, K., Brou, Y. C., Pierson, L. S. I., Tamborindeguy, C., </w:t>
      </w:r>
      <w:r w:rsidRPr="00C442DB">
        <w:lastRenderedPageBreak/>
        <w:t>Pierson, E. A., &amp; Levy, J. G. (2019). Mycorrhization Mitigates Disease Caused by “</w:t>
      </w:r>
      <w:r w:rsidRPr="00C442DB">
        <w:rPr>
          <w:i/>
          <w:iCs/>
        </w:rPr>
        <w:t>Candidatus</w:t>
      </w:r>
      <w:r w:rsidRPr="00C442DB">
        <w:t xml:space="preserve"> Liberibacter solanacearum” in Tomato. </w:t>
      </w:r>
      <w:r w:rsidRPr="00C442DB">
        <w:rPr>
          <w:i/>
          <w:iCs/>
        </w:rPr>
        <w:t>Plants</w:t>
      </w:r>
      <w:r w:rsidRPr="00C442DB">
        <w:t xml:space="preserve">, </w:t>
      </w:r>
      <w:r w:rsidRPr="00C442DB">
        <w:rPr>
          <w:i/>
          <w:iCs/>
        </w:rPr>
        <w:t>8</w:t>
      </w:r>
      <w:r w:rsidRPr="00C442DB">
        <w:t xml:space="preserve">(11), 507. </w:t>
      </w:r>
      <w:hyperlink r:id="rId49" w:history="1">
        <w:r w:rsidRPr="00C442DB">
          <w:rPr>
            <w:rStyle w:val="Hyperlink"/>
          </w:rPr>
          <w:t>https://doi.org/10.3390/plants8110507</w:t>
        </w:r>
      </w:hyperlink>
    </w:p>
    <w:p w14:paraId="0ED76239" w14:textId="295DD94C" w:rsidR="003513B4" w:rsidRPr="003513B4" w:rsidRDefault="003513B4" w:rsidP="003513B4">
      <w:pPr>
        <w:widowControl w:val="0"/>
        <w:autoSpaceDE w:val="0"/>
        <w:autoSpaceDN w:val="0"/>
        <w:adjustRightInd w:val="0"/>
        <w:ind w:left="630" w:hanging="630"/>
        <w:jc w:val="both"/>
        <w:rPr>
          <w:rFonts w:ascii="Arial" w:hAnsi="Arial" w:cs="Arial"/>
        </w:rPr>
      </w:pPr>
      <w:r w:rsidRPr="00C442DB">
        <w:rPr>
          <w:rFonts w:ascii="Arial" w:hAnsi="Arial" w:cs="Arial"/>
        </w:rPr>
        <w:t xml:space="preserve">Tonon, D., </w:t>
      </w:r>
      <w:proofErr w:type="spellStart"/>
      <w:r w:rsidRPr="00C442DB">
        <w:rPr>
          <w:rFonts w:ascii="Arial" w:hAnsi="Arial" w:cs="Arial"/>
        </w:rPr>
        <w:t>Sikirou</w:t>
      </w:r>
      <w:proofErr w:type="spellEnd"/>
      <w:r w:rsidRPr="00C442DB">
        <w:rPr>
          <w:rFonts w:ascii="Arial" w:hAnsi="Arial" w:cs="Arial"/>
        </w:rPr>
        <w:t xml:space="preserve">, R., </w:t>
      </w:r>
      <w:proofErr w:type="spellStart"/>
      <w:r w:rsidRPr="00C442DB">
        <w:rPr>
          <w:rFonts w:ascii="Arial" w:hAnsi="Arial" w:cs="Arial"/>
        </w:rPr>
        <w:t>Adomou</w:t>
      </w:r>
      <w:proofErr w:type="spellEnd"/>
      <w:r w:rsidRPr="00C442DB">
        <w:rPr>
          <w:rFonts w:ascii="Arial" w:hAnsi="Arial" w:cs="Arial"/>
        </w:rPr>
        <w:t xml:space="preserve">, A. C., Zinsou, V., Zocli, B., </w:t>
      </w:r>
      <w:proofErr w:type="spellStart"/>
      <w:r w:rsidRPr="00C442DB">
        <w:rPr>
          <w:rFonts w:ascii="Arial" w:hAnsi="Arial" w:cs="Arial"/>
        </w:rPr>
        <w:t>N’Djolosse</w:t>
      </w:r>
      <w:proofErr w:type="spellEnd"/>
      <w:r w:rsidRPr="00C442DB">
        <w:rPr>
          <w:rFonts w:ascii="Arial" w:hAnsi="Arial" w:cs="Arial"/>
        </w:rPr>
        <w:t xml:space="preserve">, K., &amp; Bello, S. (2017). </w:t>
      </w:r>
      <w:r w:rsidRPr="003513B4">
        <w:rPr>
          <w:rFonts w:ascii="Arial" w:hAnsi="Arial" w:cs="Arial"/>
        </w:rPr>
        <w:t>Efficacy of Mancozeb 80 WP and Chlorothalonil Carbendazim 65 SC fungicides against </w:t>
      </w:r>
      <w:r w:rsidRPr="003513B4">
        <w:rPr>
          <w:rFonts w:ascii="Arial" w:hAnsi="Arial" w:cs="Arial"/>
          <w:i/>
          <w:iCs/>
        </w:rPr>
        <w:t>Colletotrichum gloeosporioides</w:t>
      </w:r>
      <w:r w:rsidRPr="003513B4">
        <w:rPr>
          <w:rFonts w:ascii="Arial" w:hAnsi="Arial" w:cs="Arial"/>
        </w:rPr>
        <w:t>, the causal agent of cashew anthracnose in Benin. </w:t>
      </w:r>
      <w:r w:rsidRPr="003513B4">
        <w:rPr>
          <w:rFonts w:ascii="Arial" w:hAnsi="Arial" w:cs="Arial"/>
          <w:i/>
          <w:iCs/>
        </w:rPr>
        <w:t>International Journal of Biological and Chemical Sciences, 11</w:t>
      </w:r>
      <w:r w:rsidRPr="003513B4">
        <w:rPr>
          <w:rFonts w:ascii="Arial" w:hAnsi="Arial" w:cs="Arial"/>
        </w:rPr>
        <w:t>(5), 2093–2105. </w:t>
      </w:r>
      <w:hyperlink r:id="rId50" w:tgtFrame="_blank" w:history="1">
        <w:r w:rsidRPr="003513B4">
          <w:rPr>
            <w:rStyle w:val="Hyperlink"/>
            <w:rFonts w:ascii="Arial" w:hAnsi="Arial" w:cs="Arial"/>
          </w:rPr>
          <w:t>https://doi.org/10.4314/ijbcs.v11i5.13</w:t>
        </w:r>
      </w:hyperlink>
    </w:p>
    <w:p w14:paraId="77DFCAFE" w14:textId="1618B0AA" w:rsidR="003513B4" w:rsidRPr="003513B4" w:rsidRDefault="003513B4" w:rsidP="00B17170">
      <w:pPr>
        <w:widowControl w:val="0"/>
        <w:autoSpaceDE w:val="0"/>
        <w:autoSpaceDN w:val="0"/>
        <w:adjustRightInd w:val="0"/>
        <w:ind w:left="630" w:hanging="630"/>
        <w:jc w:val="both"/>
        <w:rPr>
          <w:rFonts w:ascii="Arial" w:hAnsi="Arial" w:cs="Arial"/>
        </w:rPr>
      </w:pPr>
      <w:r w:rsidRPr="003513B4">
        <w:rPr>
          <w:rFonts w:ascii="Arial" w:hAnsi="Arial" w:cs="Arial"/>
        </w:rPr>
        <w:t xml:space="preserve">Wu, P.-H., Chang, H.-X., &amp; Shen, Y.-M. (2023). Effects of synthetic and environmentally friendly fungicides on powdery mildew management and the </w:t>
      </w:r>
      <w:proofErr w:type="spellStart"/>
      <w:r w:rsidRPr="003513B4">
        <w:rPr>
          <w:rFonts w:ascii="Arial" w:hAnsi="Arial" w:cs="Arial"/>
        </w:rPr>
        <w:t>phyllosphere</w:t>
      </w:r>
      <w:proofErr w:type="spellEnd"/>
      <w:r w:rsidRPr="003513B4">
        <w:rPr>
          <w:rFonts w:ascii="Arial" w:hAnsi="Arial" w:cs="Arial"/>
        </w:rPr>
        <w:t xml:space="preserve"> microbiome of cucumber. </w:t>
      </w:r>
      <w:r w:rsidRPr="003513B4">
        <w:rPr>
          <w:rFonts w:ascii="Arial" w:hAnsi="Arial" w:cs="Arial"/>
          <w:i/>
          <w:iCs/>
        </w:rPr>
        <w:t>PLOS ONE, 18</w:t>
      </w:r>
      <w:r w:rsidRPr="003513B4">
        <w:rPr>
          <w:rFonts w:ascii="Arial" w:hAnsi="Arial" w:cs="Arial"/>
        </w:rPr>
        <w:t>(3), e0282809.</w:t>
      </w:r>
      <w:r w:rsidR="00B17170">
        <w:rPr>
          <w:rFonts w:ascii="Arial" w:hAnsi="Arial" w:cs="Arial"/>
        </w:rPr>
        <w:t xml:space="preserve"> </w:t>
      </w:r>
      <w:hyperlink r:id="rId51" w:tgtFrame="_blank" w:history="1">
        <w:r w:rsidRPr="003513B4">
          <w:rPr>
            <w:rStyle w:val="Hyperlink"/>
            <w:rFonts w:ascii="Arial" w:hAnsi="Arial" w:cs="Arial"/>
          </w:rPr>
          <w:t>https://doi.org/10.1371/journal.pone.0282809</w:t>
        </w:r>
      </w:hyperlink>
    </w:p>
    <w:p w14:paraId="5F7B6B81" w14:textId="77777777" w:rsidR="003513B4" w:rsidRPr="003513B4" w:rsidRDefault="003513B4" w:rsidP="003513B4">
      <w:pPr>
        <w:widowControl w:val="0"/>
        <w:autoSpaceDE w:val="0"/>
        <w:autoSpaceDN w:val="0"/>
        <w:adjustRightInd w:val="0"/>
        <w:ind w:left="630" w:hanging="630"/>
        <w:jc w:val="both"/>
        <w:rPr>
          <w:rFonts w:ascii="Arial" w:hAnsi="Arial" w:cs="Arial"/>
        </w:rPr>
      </w:pPr>
      <w:r w:rsidRPr="003513B4">
        <w:rPr>
          <w:rFonts w:ascii="Arial" w:hAnsi="Arial" w:cs="Arial"/>
        </w:rPr>
        <w:t>Zulu, L., Gao, H., Zhu, Y., Wu, H., Xie, Y., Liu, X., Yao, H., &amp; Rao, Q. (2023). Antifungal effects of seven plant essential oils against </w:t>
      </w:r>
      <w:r w:rsidRPr="003513B4">
        <w:rPr>
          <w:rFonts w:ascii="Arial" w:hAnsi="Arial" w:cs="Arial"/>
          <w:i/>
          <w:iCs/>
        </w:rPr>
        <w:t>Penicillium digitatum</w:t>
      </w:r>
      <w:r w:rsidRPr="003513B4">
        <w:rPr>
          <w:rFonts w:ascii="Arial" w:hAnsi="Arial" w:cs="Arial"/>
        </w:rPr>
        <w:t>. </w:t>
      </w:r>
      <w:r w:rsidRPr="003513B4">
        <w:rPr>
          <w:rFonts w:ascii="Arial" w:hAnsi="Arial" w:cs="Arial"/>
          <w:i/>
          <w:iCs/>
        </w:rPr>
        <w:t>Chemical and Biological Technologies in Agriculture, 10</w:t>
      </w:r>
      <w:r w:rsidRPr="003513B4">
        <w:rPr>
          <w:rFonts w:ascii="Arial" w:hAnsi="Arial" w:cs="Arial"/>
        </w:rPr>
        <w:t>(1), 82. </w:t>
      </w:r>
      <w:hyperlink r:id="rId52" w:tgtFrame="_blank" w:history="1">
        <w:r w:rsidRPr="003513B4">
          <w:rPr>
            <w:rStyle w:val="Hyperlink"/>
            <w:rFonts w:ascii="Arial" w:hAnsi="Arial" w:cs="Arial"/>
          </w:rPr>
          <w:t>https://doi.org/10.1186/s40538-023-00434-3</w:t>
        </w:r>
      </w:hyperlink>
    </w:p>
    <w:p w14:paraId="1FD7D060" w14:textId="77777777" w:rsidR="00BD3CA8" w:rsidRPr="00BD3CA8" w:rsidRDefault="00BD3CA8" w:rsidP="00EE1E96">
      <w:pPr>
        <w:widowControl w:val="0"/>
        <w:autoSpaceDE w:val="0"/>
        <w:autoSpaceDN w:val="0"/>
        <w:adjustRightInd w:val="0"/>
      </w:pPr>
    </w:p>
    <w:p w14:paraId="01016B6B" w14:textId="273FEF54" w:rsidR="004C3BE5" w:rsidRPr="00BD3CA8" w:rsidRDefault="004C3BE5" w:rsidP="00EE1E96">
      <w:pPr>
        <w:sectPr w:rsidR="004C3BE5" w:rsidRPr="00BD3CA8" w:rsidSect="001627FB">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14:paraId="2E829727" w14:textId="77777777" w:rsidR="00B01FCD" w:rsidRPr="00BD3CA8" w:rsidRDefault="00B01FCD" w:rsidP="00EE1E96"/>
    <w:sectPr w:rsidR="00B01FCD" w:rsidRPr="00BD3CA8" w:rsidSect="001627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495B" w14:textId="77777777" w:rsidR="00A87EFB" w:rsidRDefault="00A87EFB" w:rsidP="00C37E61">
      <w:r>
        <w:separator/>
      </w:r>
    </w:p>
  </w:endnote>
  <w:endnote w:type="continuationSeparator" w:id="0">
    <w:p w14:paraId="45F07168" w14:textId="77777777" w:rsidR="00A87EFB" w:rsidRDefault="00A87E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DF22" w14:textId="77777777" w:rsidR="001627FB" w:rsidRDefault="0016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B182" w14:textId="3C2EDC6D" w:rsidR="00C37E61" w:rsidRPr="00931ADC" w:rsidRDefault="007927D6" w:rsidP="00931ADC">
    <w:pPr>
      <w:pStyle w:val="Footer"/>
    </w:pPr>
    <w:r w:rsidRPr="00931AD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1DFD" w14:textId="17BBC71B" w:rsidR="00754C9A" w:rsidRPr="001627FB" w:rsidRDefault="00754C9A" w:rsidP="001627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29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E243" w14:textId="77777777" w:rsidR="00A87EFB" w:rsidRDefault="00A87EFB" w:rsidP="00C37E61">
      <w:r>
        <w:separator/>
      </w:r>
    </w:p>
  </w:footnote>
  <w:footnote w:type="continuationSeparator" w:id="0">
    <w:p w14:paraId="018B8C6C" w14:textId="77777777" w:rsidR="00A87EFB" w:rsidRDefault="00A87E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A234" w14:textId="7702209F" w:rsidR="001627FB" w:rsidRDefault="00135FE3">
    <w:pPr>
      <w:pStyle w:val="Header"/>
    </w:pPr>
    <w:r>
      <w:rPr>
        <w:noProof/>
      </w:rPr>
      <w:pict w14:anchorId="69477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BDCB" w14:textId="25377DD8" w:rsidR="001627FB" w:rsidRDefault="00135FE3">
    <w:pPr>
      <w:pStyle w:val="Header"/>
    </w:pPr>
    <w:r>
      <w:rPr>
        <w:noProof/>
      </w:rPr>
      <w:pict w14:anchorId="7019B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91DC" w14:textId="6A9F7A47" w:rsidR="00296529" w:rsidRPr="00296529" w:rsidRDefault="00135FE3" w:rsidP="00296529">
    <w:pPr>
      <w:ind w:left="2160"/>
      <w:jc w:val="center"/>
      <w:rPr>
        <w:rFonts w:ascii="Times New Roman" w:eastAsia="Calibri" w:hAnsi="Times New Roman"/>
        <w:i/>
        <w:sz w:val="18"/>
        <w:szCs w:val="22"/>
      </w:rPr>
    </w:pPr>
    <w:r>
      <w:rPr>
        <w:noProof/>
      </w:rPr>
      <w:pict w14:anchorId="3F423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A80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7E4C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589F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FBD3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CF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63D4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6F84" w14:textId="3EEFA3C4" w:rsidR="001627FB" w:rsidRDefault="00135FE3">
    <w:pPr>
      <w:pStyle w:val="Header"/>
    </w:pPr>
    <w:r>
      <w:rPr>
        <w:noProof/>
      </w:rPr>
      <w:pict w14:anchorId="58E4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47BE" w14:textId="73AEE608" w:rsidR="001627FB" w:rsidRDefault="00135FE3">
    <w:pPr>
      <w:pStyle w:val="Header"/>
    </w:pPr>
    <w:r>
      <w:rPr>
        <w:noProof/>
      </w:rPr>
      <w:pict w14:anchorId="785B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4258" w14:textId="57F5B62A" w:rsidR="001627FB" w:rsidRDefault="00135FE3">
    <w:pPr>
      <w:pStyle w:val="Header"/>
    </w:pPr>
    <w:r>
      <w:rPr>
        <w:noProof/>
      </w:rPr>
      <w:pict w14:anchorId="1A08A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667E"/>
    <w:multiLevelType w:val="multilevel"/>
    <w:tmpl w:val="914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726C1A"/>
    <w:multiLevelType w:val="hybridMultilevel"/>
    <w:tmpl w:val="FE54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9E18B4"/>
    <w:multiLevelType w:val="hybridMultilevel"/>
    <w:tmpl w:val="B604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0F7282"/>
    <w:multiLevelType w:val="hybridMultilevel"/>
    <w:tmpl w:val="6618031C"/>
    <w:lvl w:ilvl="0" w:tplc="0B1EDA7C">
      <w:start w:val="1"/>
      <w:numFmt w:val="decimal"/>
      <w:lvlText w:val="%1."/>
      <w:lvlJc w:val="left"/>
      <w:pPr>
        <w:ind w:left="720" w:hanging="360"/>
      </w:pPr>
      <w:rPr>
        <w:rFonts w:hAnsi="Symbol"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47AB1"/>
    <w:multiLevelType w:val="hybridMultilevel"/>
    <w:tmpl w:val="4F9A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51A6A9A"/>
    <w:multiLevelType w:val="hybridMultilevel"/>
    <w:tmpl w:val="C214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46238"/>
    <w:multiLevelType w:val="hybridMultilevel"/>
    <w:tmpl w:val="89E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44E43"/>
    <w:multiLevelType w:val="hybridMultilevel"/>
    <w:tmpl w:val="3A68FC3C"/>
    <w:lvl w:ilvl="0" w:tplc="304087A8">
      <w:start w:val="1"/>
      <w:numFmt w:val="bullet"/>
      <w:lvlText w:val=""/>
      <w:lvlJc w:val="left"/>
      <w:pPr>
        <w:ind w:left="720" w:hanging="360"/>
      </w:pPr>
      <w:rPr>
        <w:rFonts w:ascii="Symbol" w:hAnsi="Symbol"/>
      </w:rPr>
    </w:lvl>
    <w:lvl w:ilvl="1" w:tplc="B366DB8C">
      <w:start w:val="1"/>
      <w:numFmt w:val="bullet"/>
      <w:lvlText w:val=""/>
      <w:lvlJc w:val="left"/>
      <w:pPr>
        <w:ind w:left="720" w:hanging="360"/>
      </w:pPr>
      <w:rPr>
        <w:rFonts w:ascii="Symbol" w:hAnsi="Symbol"/>
      </w:rPr>
    </w:lvl>
    <w:lvl w:ilvl="2" w:tplc="3DF65B20">
      <w:start w:val="1"/>
      <w:numFmt w:val="bullet"/>
      <w:lvlText w:val=""/>
      <w:lvlJc w:val="left"/>
      <w:pPr>
        <w:ind w:left="720" w:hanging="360"/>
      </w:pPr>
      <w:rPr>
        <w:rFonts w:ascii="Symbol" w:hAnsi="Symbol"/>
      </w:rPr>
    </w:lvl>
    <w:lvl w:ilvl="3" w:tplc="32ECE71A">
      <w:start w:val="1"/>
      <w:numFmt w:val="bullet"/>
      <w:lvlText w:val=""/>
      <w:lvlJc w:val="left"/>
      <w:pPr>
        <w:ind w:left="720" w:hanging="360"/>
      </w:pPr>
      <w:rPr>
        <w:rFonts w:ascii="Symbol" w:hAnsi="Symbol"/>
      </w:rPr>
    </w:lvl>
    <w:lvl w:ilvl="4" w:tplc="5D145B1C">
      <w:start w:val="1"/>
      <w:numFmt w:val="bullet"/>
      <w:lvlText w:val=""/>
      <w:lvlJc w:val="left"/>
      <w:pPr>
        <w:ind w:left="720" w:hanging="360"/>
      </w:pPr>
      <w:rPr>
        <w:rFonts w:ascii="Symbol" w:hAnsi="Symbol"/>
      </w:rPr>
    </w:lvl>
    <w:lvl w:ilvl="5" w:tplc="D9449192">
      <w:start w:val="1"/>
      <w:numFmt w:val="bullet"/>
      <w:lvlText w:val=""/>
      <w:lvlJc w:val="left"/>
      <w:pPr>
        <w:ind w:left="720" w:hanging="360"/>
      </w:pPr>
      <w:rPr>
        <w:rFonts w:ascii="Symbol" w:hAnsi="Symbol"/>
      </w:rPr>
    </w:lvl>
    <w:lvl w:ilvl="6" w:tplc="1C4E3160">
      <w:start w:val="1"/>
      <w:numFmt w:val="bullet"/>
      <w:lvlText w:val=""/>
      <w:lvlJc w:val="left"/>
      <w:pPr>
        <w:ind w:left="720" w:hanging="360"/>
      </w:pPr>
      <w:rPr>
        <w:rFonts w:ascii="Symbol" w:hAnsi="Symbol"/>
      </w:rPr>
    </w:lvl>
    <w:lvl w:ilvl="7" w:tplc="7DBC1908">
      <w:start w:val="1"/>
      <w:numFmt w:val="bullet"/>
      <w:lvlText w:val=""/>
      <w:lvlJc w:val="left"/>
      <w:pPr>
        <w:ind w:left="720" w:hanging="360"/>
      </w:pPr>
      <w:rPr>
        <w:rFonts w:ascii="Symbol" w:hAnsi="Symbol"/>
      </w:rPr>
    </w:lvl>
    <w:lvl w:ilvl="8" w:tplc="86CE0230">
      <w:start w:val="1"/>
      <w:numFmt w:val="bullet"/>
      <w:lvlText w:val=""/>
      <w:lvlJc w:val="left"/>
      <w:pPr>
        <w:ind w:left="720" w:hanging="360"/>
      </w:pPr>
      <w:rPr>
        <w:rFonts w:ascii="Symbol" w:hAnsi="Symbol"/>
      </w:rPr>
    </w:lvl>
  </w:abstractNum>
  <w:abstractNum w:abstractNumId="23" w15:restartNumberingAfterBreak="0">
    <w:nsid w:val="498075C7"/>
    <w:multiLevelType w:val="hybridMultilevel"/>
    <w:tmpl w:val="234A1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A04B2"/>
    <w:multiLevelType w:val="hybridMultilevel"/>
    <w:tmpl w:val="845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E93984"/>
    <w:multiLevelType w:val="hybridMultilevel"/>
    <w:tmpl w:val="687C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F3A4C04"/>
    <w:multiLevelType w:val="multilevel"/>
    <w:tmpl w:val="F34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8762B7F"/>
    <w:multiLevelType w:val="hybridMultilevel"/>
    <w:tmpl w:val="D766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71980"/>
    <w:multiLevelType w:val="hybridMultilevel"/>
    <w:tmpl w:val="D360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70042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2664215">
    <w:abstractNumId w:val="24"/>
  </w:num>
  <w:num w:numId="3" w16cid:durableId="404957799">
    <w:abstractNumId w:val="35"/>
  </w:num>
  <w:num w:numId="4" w16cid:durableId="7499308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3481393">
    <w:abstractNumId w:val="9"/>
  </w:num>
  <w:num w:numId="6" w16cid:durableId="1053163780">
    <w:abstractNumId w:val="8"/>
  </w:num>
  <w:num w:numId="7" w16cid:durableId="1987658737">
    <w:abstractNumId w:val="2"/>
  </w:num>
  <w:num w:numId="8" w16cid:durableId="1058473599">
    <w:abstractNumId w:val="17"/>
  </w:num>
  <w:num w:numId="9" w16cid:durableId="1978144675">
    <w:abstractNumId w:val="37"/>
  </w:num>
  <w:num w:numId="10" w16cid:durableId="1353264708">
    <w:abstractNumId w:val="3"/>
  </w:num>
  <w:num w:numId="11" w16cid:durableId="1641305372">
    <w:abstractNumId w:val="29"/>
  </w:num>
  <w:num w:numId="12" w16cid:durableId="708530033">
    <w:abstractNumId w:val="5"/>
  </w:num>
  <w:num w:numId="13" w16cid:durableId="1102724161">
    <w:abstractNumId w:val="27"/>
  </w:num>
  <w:num w:numId="14" w16cid:durableId="507326563">
    <w:abstractNumId w:val="11"/>
  </w:num>
  <w:num w:numId="15" w16cid:durableId="1256868268">
    <w:abstractNumId w:val="33"/>
  </w:num>
  <w:num w:numId="16" w16cid:durableId="600836431">
    <w:abstractNumId w:val="7"/>
  </w:num>
  <w:num w:numId="17" w16cid:durableId="1873879503">
    <w:abstractNumId w:val="34"/>
  </w:num>
  <w:num w:numId="18" w16cid:durableId="898173167">
    <w:abstractNumId w:val="19"/>
  </w:num>
  <w:num w:numId="19" w16cid:durableId="816385876">
    <w:abstractNumId w:val="42"/>
  </w:num>
  <w:num w:numId="20" w16cid:durableId="1802727411">
    <w:abstractNumId w:val="16"/>
  </w:num>
  <w:num w:numId="21" w16cid:durableId="847528101">
    <w:abstractNumId w:val="13"/>
  </w:num>
  <w:num w:numId="22" w16cid:durableId="931669671">
    <w:abstractNumId w:val="18"/>
  </w:num>
  <w:num w:numId="23" w16cid:durableId="1885363335">
    <w:abstractNumId w:val="31"/>
  </w:num>
  <w:num w:numId="24" w16cid:durableId="1831749252">
    <w:abstractNumId w:val="40"/>
  </w:num>
  <w:num w:numId="25" w16cid:durableId="1821923386">
    <w:abstractNumId w:val="6"/>
  </w:num>
  <w:num w:numId="26" w16cid:durableId="2012248503">
    <w:abstractNumId w:val="25"/>
  </w:num>
  <w:num w:numId="27" w16cid:durableId="122508363">
    <w:abstractNumId w:val="32"/>
  </w:num>
  <w:num w:numId="28" w16cid:durableId="62065471">
    <w:abstractNumId w:val="41"/>
  </w:num>
  <w:num w:numId="29" w16cid:durableId="1254976489">
    <w:abstractNumId w:val="36"/>
  </w:num>
  <w:num w:numId="30" w16cid:durableId="1381858082">
    <w:abstractNumId w:val="14"/>
  </w:num>
  <w:num w:numId="31" w16cid:durableId="2095663348">
    <w:abstractNumId w:val="30"/>
  </w:num>
  <w:num w:numId="32" w16cid:durableId="1206680255">
    <w:abstractNumId w:val="22"/>
  </w:num>
  <w:num w:numId="33" w16cid:durableId="1678386000">
    <w:abstractNumId w:val="12"/>
  </w:num>
  <w:num w:numId="34" w16cid:durableId="685863926">
    <w:abstractNumId w:val="1"/>
  </w:num>
  <w:num w:numId="35" w16cid:durableId="1285962051">
    <w:abstractNumId w:val="10"/>
  </w:num>
  <w:num w:numId="36" w16cid:durableId="924458440">
    <w:abstractNumId w:val="15"/>
  </w:num>
  <w:num w:numId="37" w16cid:durableId="1836384388">
    <w:abstractNumId w:val="39"/>
  </w:num>
  <w:num w:numId="38" w16cid:durableId="762529279">
    <w:abstractNumId w:val="4"/>
  </w:num>
  <w:num w:numId="39" w16cid:durableId="1619221412">
    <w:abstractNumId w:val="26"/>
  </w:num>
  <w:num w:numId="40" w16cid:durableId="194856825">
    <w:abstractNumId w:val="21"/>
  </w:num>
  <w:num w:numId="41" w16cid:durableId="904535396">
    <w:abstractNumId w:val="23"/>
  </w:num>
  <w:num w:numId="42" w16cid:durableId="745300140">
    <w:abstractNumId w:val="38"/>
  </w:num>
  <w:num w:numId="43" w16cid:durableId="1446384553">
    <w:abstractNumId w:val="28"/>
  </w:num>
  <w:num w:numId="44" w16cid:durableId="17143039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10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DezNDe3NDEzNjdU0lEKTi0uzszPAykwrwUAOLkjNCwAAAA="/>
  </w:docVars>
  <w:rsids>
    <w:rsidRoot w:val="00AA6219"/>
    <w:rsid w:val="00000F8F"/>
    <w:rsid w:val="00003823"/>
    <w:rsid w:val="00005A99"/>
    <w:rsid w:val="00010AC2"/>
    <w:rsid w:val="00022E1D"/>
    <w:rsid w:val="00030174"/>
    <w:rsid w:val="00032B6C"/>
    <w:rsid w:val="0004579C"/>
    <w:rsid w:val="00047B1A"/>
    <w:rsid w:val="0006697A"/>
    <w:rsid w:val="0008116F"/>
    <w:rsid w:val="00091E21"/>
    <w:rsid w:val="000943CA"/>
    <w:rsid w:val="000A175B"/>
    <w:rsid w:val="000A32BD"/>
    <w:rsid w:val="000A47FA"/>
    <w:rsid w:val="000A65D3"/>
    <w:rsid w:val="000B1E33"/>
    <w:rsid w:val="000C0455"/>
    <w:rsid w:val="000D511C"/>
    <w:rsid w:val="000D689F"/>
    <w:rsid w:val="000E03DB"/>
    <w:rsid w:val="000E700F"/>
    <w:rsid w:val="000E7B7B"/>
    <w:rsid w:val="000E7D62"/>
    <w:rsid w:val="00103357"/>
    <w:rsid w:val="0011010F"/>
    <w:rsid w:val="00117054"/>
    <w:rsid w:val="00123C9F"/>
    <w:rsid w:val="00126190"/>
    <w:rsid w:val="00130F17"/>
    <w:rsid w:val="001320BF"/>
    <w:rsid w:val="00132265"/>
    <w:rsid w:val="00135FE3"/>
    <w:rsid w:val="00144462"/>
    <w:rsid w:val="0014531A"/>
    <w:rsid w:val="00147224"/>
    <w:rsid w:val="0016220D"/>
    <w:rsid w:val="001627FB"/>
    <w:rsid w:val="0016313B"/>
    <w:rsid w:val="00163BC4"/>
    <w:rsid w:val="00167388"/>
    <w:rsid w:val="0017379F"/>
    <w:rsid w:val="00184D3E"/>
    <w:rsid w:val="00191062"/>
    <w:rsid w:val="00192B72"/>
    <w:rsid w:val="001A29D8"/>
    <w:rsid w:val="001A5CAA"/>
    <w:rsid w:val="001A7BB5"/>
    <w:rsid w:val="001B0427"/>
    <w:rsid w:val="001B652F"/>
    <w:rsid w:val="001C1C4E"/>
    <w:rsid w:val="001D3A51"/>
    <w:rsid w:val="001E10D2"/>
    <w:rsid w:val="001E25B4"/>
    <w:rsid w:val="001E44FE"/>
    <w:rsid w:val="001E7929"/>
    <w:rsid w:val="001F52E5"/>
    <w:rsid w:val="00200595"/>
    <w:rsid w:val="00204835"/>
    <w:rsid w:val="00204F28"/>
    <w:rsid w:val="002316A6"/>
    <w:rsid w:val="00231920"/>
    <w:rsid w:val="0023195C"/>
    <w:rsid w:val="0024282C"/>
    <w:rsid w:val="002460DC"/>
    <w:rsid w:val="00246954"/>
    <w:rsid w:val="00250985"/>
    <w:rsid w:val="002556F6"/>
    <w:rsid w:val="00257124"/>
    <w:rsid w:val="00275DBE"/>
    <w:rsid w:val="0028120C"/>
    <w:rsid w:val="00283105"/>
    <w:rsid w:val="00284C4C"/>
    <w:rsid w:val="00287E68"/>
    <w:rsid w:val="00296529"/>
    <w:rsid w:val="002A4318"/>
    <w:rsid w:val="002A4536"/>
    <w:rsid w:val="002A543B"/>
    <w:rsid w:val="002B13A0"/>
    <w:rsid w:val="002B27FB"/>
    <w:rsid w:val="002B685A"/>
    <w:rsid w:val="002C57D2"/>
    <w:rsid w:val="002E0D56"/>
    <w:rsid w:val="002E5503"/>
    <w:rsid w:val="002E6E27"/>
    <w:rsid w:val="00300417"/>
    <w:rsid w:val="00306713"/>
    <w:rsid w:val="00315186"/>
    <w:rsid w:val="0033343E"/>
    <w:rsid w:val="003355E7"/>
    <w:rsid w:val="00336573"/>
    <w:rsid w:val="003512C2"/>
    <w:rsid w:val="003513B4"/>
    <w:rsid w:val="00360A9A"/>
    <w:rsid w:val="00363D39"/>
    <w:rsid w:val="00371FB6"/>
    <w:rsid w:val="003763C1"/>
    <w:rsid w:val="00376BBE"/>
    <w:rsid w:val="0039224F"/>
    <w:rsid w:val="00395B83"/>
    <w:rsid w:val="003A43A4"/>
    <w:rsid w:val="003A486E"/>
    <w:rsid w:val="003A7E18"/>
    <w:rsid w:val="003C4C86"/>
    <w:rsid w:val="003C6149"/>
    <w:rsid w:val="003C6258"/>
    <w:rsid w:val="003E15F2"/>
    <w:rsid w:val="003E2904"/>
    <w:rsid w:val="00401927"/>
    <w:rsid w:val="0041027F"/>
    <w:rsid w:val="004109F8"/>
    <w:rsid w:val="00412475"/>
    <w:rsid w:val="00423789"/>
    <w:rsid w:val="00433417"/>
    <w:rsid w:val="00440F43"/>
    <w:rsid w:val="00441B6F"/>
    <w:rsid w:val="004441CB"/>
    <w:rsid w:val="00446221"/>
    <w:rsid w:val="00450E04"/>
    <w:rsid w:val="00450E62"/>
    <w:rsid w:val="004539DB"/>
    <w:rsid w:val="00471A80"/>
    <w:rsid w:val="0047222E"/>
    <w:rsid w:val="00476DF8"/>
    <w:rsid w:val="004772FF"/>
    <w:rsid w:val="004B163E"/>
    <w:rsid w:val="004C3BE5"/>
    <w:rsid w:val="004D2D19"/>
    <w:rsid w:val="004D305E"/>
    <w:rsid w:val="004D3503"/>
    <w:rsid w:val="004D4277"/>
    <w:rsid w:val="004D73AD"/>
    <w:rsid w:val="004E0A58"/>
    <w:rsid w:val="004F05E8"/>
    <w:rsid w:val="004F25F6"/>
    <w:rsid w:val="00502516"/>
    <w:rsid w:val="00505F06"/>
    <w:rsid w:val="00506828"/>
    <w:rsid w:val="0053056E"/>
    <w:rsid w:val="00535542"/>
    <w:rsid w:val="00545544"/>
    <w:rsid w:val="00547005"/>
    <w:rsid w:val="00554FDA"/>
    <w:rsid w:val="00556106"/>
    <w:rsid w:val="0057664E"/>
    <w:rsid w:val="00590391"/>
    <w:rsid w:val="005B6695"/>
    <w:rsid w:val="005C784C"/>
    <w:rsid w:val="005D17F6"/>
    <w:rsid w:val="005D2C1B"/>
    <w:rsid w:val="005D5C3D"/>
    <w:rsid w:val="005E5539"/>
    <w:rsid w:val="005F70F6"/>
    <w:rsid w:val="00602BF5"/>
    <w:rsid w:val="00617FDD"/>
    <w:rsid w:val="00632197"/>
    <w:rsid w:val="00633614"/>
    <w:rsid w:val="00633F68"/>
    <w:rsid w:val="00636EB2"/>
    <w:rsid w:val="006375B8"/>
    <w:rsid w:val="0066510A"/>
    <w:rsid w:val="006659B6"/>
    <w:rsid w:val="006671A2"/>
    <w:rsid w:val="00673F9F"/>
    <w:rsid w:val="0068175D"/>
    <w:rsid w:val="00686953"/>
    <w:rsid w:val="00687DEA"/>
    <w:rsid w:val="00687E67"/>
    <w:rsid w:val="006967F7"/>
    <w:rsid w:val="006A04BB"/>
    <w:rsid w:val="006A250C"/>
    <w:rsid w:val="006A2F18"/>
    <w:rsid w:val="006B0200"/>
    <w:rsid w:val="006B21D3"/>
    <w:rsid w:val="006B486A"/>
    <w:rsid w:val="006B57D0"/>
    <w:rsid w:val="006D30FF"/>
    <w:rsid w:val="006D6940"/>
    <w:rsid w:val="006D6EDA"/>
    <w:rsid w:val="006F11EC"/>
    <w:rsid w:val="0070082C"/>
    <w:rsid w:val="0071362A"/>
    <w:rsid w:val="007142E1"/>
    <w:rsid w:val="007168DE"/>
    <w:rsid w:val="00730BFF"/>
    <w:rsid w:val="007369E6"/>
    <w:rsid w:val="007446DC"/>
    <w:rsid w:val="00746E59"/>
    <w:rsid w:val="007501B4"/>
    <w:rsid w:val="00754C9A"/>
    <w:rsid w:val="0075599A"/>
    <w:rsid w:val="00761D52"/>
    <w:rsid w:val="00762CEE"/>
    <w:rsid w:val="0077085D"/>
    <w:rsid w:val="00770F10"/>
    <w:rsid w:val="0077749E"/>
    <w:rsid w:val="00781742"/>
    <w:rsid w:val="00790ADA"/>
    <w:rsid w:val="007927D6"/>
    <w:rsid w:val="007978A8"/>
    <w:rsid w:val="007A0E10"/>
    <w:rsid w:val="007D2288"/>
    <w:rsid w:val="007D4F71"/>
    <w:rsid w:val="007D55DB"/>
    <w:rsid w:val="007E088F"/>
    <w:rsid w:val="007E191C"/>
    <w:rsid w:val="007E2190"/>
    <w:rsid w:val="007F199B"/>
    <w:rsid w:val="007F44B4"/>
    <w:rsid w:val="007F7B32"/>
    <w:rsid w:val="00804BC2"/>
    <w:rsid w:val="0081431A"/>
    <w:rsid w:val="00821E9C"/>
    <w:rsid w:val="0082679B"/>
    <w:rsid w:val="00830225"/>
    <w:rsid w:val="0083216F"/>
    <w:rsid w:val="008341C4"/>
    <w:rsid w:val="0084477A"/>
    <w:rsid w:val="008530B3"/>
    <w:rsid w:val="00853817"/>
    <w:rsid w:val="00860000"/>
    <w:rsid w:val="00863BD3"/>
    <w:rsid w:val="008641ED"/>
    <w:rsid w:val="00866D66"/>
    <w:rsid w:val="008671C6"/>
    <w:rsid w:val="00875803"/>
    <w:rsid w:val="00880926"/>
    <w:rsid w:val="0088438E"/>
    <w:rsid w:val="00896B8B"/>
    <w:rsid w:val="008B459E"/>
    <w:rsid w:val="008B7A90"/>
    <w:rsid w:val="008C67B4"/>
    <w:rsid w:val="008D382F"/>
    <w:rsid w:val="008E13AE"/>
    <w:rsid w:val="008E1506"/>
    <w:rsid w:val="008E710C"/>
    <w:rsid w:val="008F69D6"/>
    <w:rsid w:val="00901202"/>
    <w:rsid w:val="00902823"/>
    <w:rsid w:val="00915CA6"/>
    <w:rsid w:val="00927834"/>
    <w:rsid w:val="00931ADC"/>
    <w:rsid w:val="00932DE7"/>
    <w:rsid w:val="00941DEA"/>
    <w:rsid w:val="009500A6"/>
    <w:rsid w:val="00950FA7"/>
    <w:rsid w:val="009551B3"/>
    <w:rsid w:val="00957C18"/>
    <w:rsid w:val="009659BA"/>
    <w:rsid w:val="00982914"/>
    <w:rsid w:val="00983040"/>
    <w:rsid w:val="00987781"/>
    <w:rsid w:val="009B3FB9"/>
    <w:rsid w:val="009B6C7D"/>
    <w:rsid w:val="009C1518"/>
    <w:rsid w:val="009C2465"/>
    <w:rsid w:val="009D35A0"/>
    <w:rsid w:val="009D7EB7"/>
    <w:rsid w:val="009E048A"/>
    <w:rsid w:val="009E08E9"/>
    <w:rsid w:val="009E3DB9"/>
    <w:rsid w:val="009E6E35"/>
    <w:rsid w:val="009F0EDA"/>
    <w:rsid w:val="009F1654"/>
    <w:rsid w:val="009F2BC7"/>
    <w:rsid w:val="00A03B96"/>
    <w:rsid w:val="00A04640"/>
    <w:rsid w:val="00A05B19"/>
    <w:rsid w:val="00A079DD"/>
    <w:rsid w:val="00A1134E"/>
    <w:rsid w:val="00A168A1"/>
    <w:rsid w:val="00A215E8"/>
    <w:rsid w:val="00A24E7E"/>
    <w:rsid w:val="00A258C3"/>
    <w:rsid w:val="00A26AAE"/>
    <w:rsid w:val="00A347C0"/>
    <w:rsid w:val="00A444C0"/>
    <w:rsid w:val="00A51431"/>
    <w:rsid w:val="00A539AD"/>
    <w:rsid w:val="00A60D72"/>
    <w:rsid w:val="00A74BCD"/>
    <w:rsid w:val="00A8194A"/>
    <w:rsid w:val="00A87EFB"/>
    <w:rsid w:val="00A94063"/>
    <w:rsid w:val="00A9787F"/>
    <w:rsid w:val="00AA1966"/>
    <w:rsid w:val="00AA6219"/>
    <w:rsid w:val="00AA651C"/>
    <w:rsid w:val="00AA6730"/>
    <w:rsid w:val="00AA74E0"/>
    <w:rsid w:val="00AB4C01"/>
    <w:rsid w:val="00AB5B32"/>
    <w:rsid w:val="00AB6F34"/>
    <w:rsid w:val="00AB703F"/>
    <w:rsid w:val="00AC5480"/>
    <w:rsid w:val="00AC6BB8"/>
    <w:rsid w:val="00AD5D34"/>
    <w:rsid w:val="00AE008F"/>
    <w:rsid w:val="00B01FCD"/>
    <w:rsid w:val="00B05662"/>
    <w:rsid w:val="00B10188"/>
    <w:rsid w:val="00B17170"/>
    <w:rsid w:val="00B1776C"/>
    <w:rsid w:val="00B27B05"/>
    <w:rsid w:val="00B31D36"/>
    <w:rsid w:val="00B474EF"/>
    <w:rsid w:val="00B47D46"/>
    <w:rsid w:val="00B50AB1"/>
    <w:rsid w:val="00B51E0E"/>
    <w:rsid w:val="00B52583"/>
    <w:rsid w:val="00B52896"/>
    <w:rsid w:val="00B57224"/>
    <w:rsid w:val="00B62FDA"/>
    <w:rsid w:val="00B66244"/>
    <w:rsid w:val="00B82DDD"/>
    <w:rsid w:val="00B941B2"/>
    <w:rsid w:val="00B95236"/>
    <w:rsid w:val="00B96BD9"/>
    <w:rsid w:val="00BA0DC3"/>
    <w:rsid w:val="00BA1B01"/>
    <w:rsid w:val="00BA2641"/>
    <w:rsid w:val="00BA2967"/>
    <w:rsid w:val="00BB37AA"/>
    <w:rsid w:val="00BB4A6D"/>
    <w:rsid w:val="00BB74F7"/>
    <w:rsid w:val="00BC53A0"/>
    <w:rsid w:val="00BD09BB"/>
    <w:rsid w:val="00BD3CA8"/>
    <w:rsid w:val="00BE62AD"/>
    <w:rsid w:val="00BF121F"/>
    <w:rsid w:val="00BF1F80"/>
    <w:rsid w:val="00BF34CB"/>
    <w:rsid w:val="00BF51C2"/>
    <w:rsid w:val="00C02112"/>
    <w:rsid w:val="00C161A9"/>
    <w:rsid w:val="00C166EF"/>
    <w:rsid w:val="00C17EB0"/>
    <w:rsid w:val="00C27F5F"/>
    <w:rsid w:val="00C309DB"/>
    <w:rsid w:val="00C30A0F"/>
    <w:rsid w:val="00C36AA7"/>
    <w:rsid w:val="00C37E61"/>
    <w:rsid w:val="00C442DB"/>
    <w:rsid w:val="00C44CC6"/>
    <w:rsid w:val="00C61052"/>
    <w:rsid w:val="00C70F1B"/>
    <w:rsid w:val="00C71A47"/>
    <w:rsid w:val="00C7464C"/>
    <w:rsid w:val="00C85588"/>
    <w:rsid w:val="00C8677B"/>
    <w:rsid w:val="00C96CE1"/>
    <w:rsid w:val="00CB7799"/>
    <w:rsid w:val="00CB7E26"/>
    <w:rsid w:val="00CC1677"/>
    <w:rsid w:val="00CC2982"/>
    <w:rsid w:val="00CC3EFF"/>
    <w:rsid w:val="00CD6755"/>
    <w:rsid w:val="00CD6856"/>
    <w:rsid w:val="00CE0089"/>
    <w:rsid w:val="00CE793C"/>
    <w:rsid w:val="00CF193C"/>
    <w:rsid w:val="00D019DD"/>
    <w:rsid w:val="00D06594"/>
    <w:rsid w:val="00D1490B"/>
    <w:rsid w:val="00D173F1"/>
    <w:rsid w:val="00D27482"/>
    <w:rsid w:val="00D66F44"/>
    <w:rsid w:val="00D729F1"/>
    <w:rsid w:val="00D74CB0"/>
    <w:rsid w:val="00D8295D"/>
    <w:rsid w:val="00D82AC2"/>
    <w:rsid w:val="00D95263"/>
    <w:rsid w:val="00DB7016"/>
    <w:rsid w:val="00DC2A65"/>
    <w:rsid w:val="00DC6584"/>
    <w:rsid w:val="00DE15F0"/>
    <w:rsid w:val="00DE5663"/>
    <w:rsid w:val="00DE6045"/>
    <w:rsid w:val="00DE78AA"/>
    <w:rsid w:val="00DF4496"/>
    <w:rsid w:val="00E01F08"/>
    <w:rsid w:val="00E02A2D"/>
    <w:rsid w:val="00E053D0"/>
    <w:rsid w:val="00E15994"/>
    <w:rsid w:val="00E3114E"/>
    <w:rsid w:val="00E31A70"/>
    <w:rsid w:val="00E330B8"/>
    <w:rsid w:val="00E33B35"/>
    <w:rsid w:val="00E35B02"/>
    <w:rsid w:val="00E41CD0"/>
    <w:rsid w:val="00E44EE3"/>
    <w:rsid w:val="00E45EF2"/>
    <w:rsid w:val="00E6563D"/>
    <w:rsid w:val="00E660E5"/>
    <w:rsid w:val="00E66496"/>
    <w:rsid w:val="00E66B35"/>
    <w:rsid w:val="00E66E10"/>
    <w:rsid w:val="00E769F6"/>
    <w:rsid w:val="00E8407C"/>
    <w:rsid w:val="00E84F3C"/>
    <w:rsid w:val="00E86B7C"/>
    <w:rsid w:val="00E86D6E"/>
    <w:rsid w:val="00EA012C"/>
    <w:rsid w:val="00EB0C57"/>
    <w:rsid w:val="00EC6A55"/>
    <w:rsid w:val="00ED0288"/>
    <w:rsid w:val="00EE0BDF"/>
    <w:rsid w:val="00EE1E96"/>
    <w:rsid w:val="00EE52CB"/>
    <w:rsid w:val="00EF581D"/>
    <w:rsid w:val="00EF7FD8"/>
    <w:rsid w:val="00F044DA"/>
    <w:rsid w:val="00F04CDC"/>
    <w:rsid w:val="00F06F59"/>
    <w:rsid w:val="00F1391E"/>
    <w:rsid w:val="00F17988"/>
    <w:rsid w:val="00F469F0"/>
    <w:rsid w:val="00F53273"/>
    <w:rsid w:val="00F66254"/>
    <w:rsid w:val="00F755E4"/>
    <w:rsid w:val="00F77D02"/>
    <w:rsid w:val="00F97BE1"/>
    <w:rsid w:val="00FA7851"/>
    <w:rsid w:val="00FB3A86"/>
    <w:rsid w:val="00FC6F83"/>
    <w:rsid w:val="00FD36C8"/>
    <w:rsid w:val="00FE3C2C"/>
    <w:rsid w:val="00FE605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6"/>
    <o:shapelayout v:ext="edit">
      <o:idmap v:ext="edit" data="2"/>
      <o:rules v:ext="edit">
        <o:r id="V:Rule6" type="connector" idref="#Connecteur droit avec flèche 265"/>
        <o:r id="V:Rule7" type="connector" idref="#_x0000_s2104"/>
        <o:r id="V:Rule8" type="connector" idref="#Connecteur droit 261"/>
        <o:r id="V:Rule9" type="connector" idref="#Connecteur droit avec flèche 270"/>
        <o:r id="V:Rule10" type="connector" idref="#Connecteur droit 266"/>
        <o:r id="V:Rule11" type="connector" idref="#Connecteur droit avec flèche 267"/>
        <o:r id="V:Rule12" type="connector" idref="#Connecteur droit avec flèche 263"/>
        <o:r id="V:Rule13" type="connector" idref="#Connecteur droit 239"/>
        <o:r id="V:Rule14" type="connector" idref="#Connecteur droit 269"/>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AbstHead"/>
    <w:next w:val="Normal"/>
    <w:link w:val="Heading1Char"/>
    <w:uiPriority w:val="9"/>
    <w:qFormat/>
    <w:rsid w:val="00CC1677"/>
    <w:pPr>
      <w:spacing w:after="0"/>
      <w:jc w:val="both"/>
      <w:outlineLvl w:val="0"/>
    </w:pPr>
    <w:rPr>
      <w:rFonts w:ascii="Arial" w:hAnsi="Arial" w:cs="Arial"/>
      <w:caps w:val="0"/>
    </w:rPr>
  </w:style>
  <w:style w:type="paragraph" w:styleId="Heading2">
    <w:name w:val="heading 2"/>
    <w:basedOn w:val="Normal"/>
    <w:next w:val="Normal"/>
    <w:link w:val="Heading2Char"/>
    <w:uiPriority w:val="9"/>
    <w:unhideWhenUsed/>
    <w:qFormat/>
    <w:rsid w:val="00CC1677"/>
    <w:pPr>
      <w:keepNext/>
      <w:keepLines/>
      <w:jc w:val="both"/>
      <w:outlineLvl w:val="1"/>
    </w:pPr>
    <w:rPr>
      <w:rFonts w:ascii="Arial" w:hAnsi="Arial" w:cs="Arial"/>
      <w:b/>
      <w:sz w:val="22"/>
    </w:rPr>
  </w:style>
  <w:style w:type="paragraph" w:styleId="Heading3">
    <w:name w:val="heading 3"/>
    <w:basedOn w:val="Normal"/>
    <w:next w:val="Normal"/>
    <w:link w:val="Heading3Char"/>
    <w:uiPriority w:val="9"/>
    <w:unhideWhenUsed/>
    <w:qFormat/>
    <w:rsid w:val="00F04CDC"/>
    <w:pPr>
      <w:spacing w:line="360" w:lineRule="auto"/>
      <w:jc w:val="both"/>
      <w:outlineLvl w:val="2"/>
    </w:pPr>
    <w:rPr>
      <w:rFonts w:ascii="Times New Roman" w:eastAsiaTheme="minorHAnsi" w:hAnsi="Times New Roman"/>
      <w:b/>
      <w:bCs/>
      <w:kern w:val="2"/>
      <w:sz w:val="24"/>
      <w:szCs w:val="24"/>
    </w:rPr>
  </w:style>
  <w:style w:type="paragraph" w:styleId="Heading4">
    <w:name w:val="heading 4"/>
    <w:basedOn w:val="Normal"/>
    <w:next w:val="Normal"/>
    <w:link w:val="Heading4Char"/>
    <w:uiPriority w:val="9"/>
    <w:semiHidden/>
    <w:unhideWhenUsed/>
    <w:qFormat/>
    <w:rsid w:val="00F04CDC"/>
    <w:pPr>
      <w:keepNext/>
      <w:keepLines/>
      <w:spacing w:before="80" w:after="40" w:line="278" w:lineRule="auto"/>
      <w:jc w:val="both"/>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F04CDC"/>
    <w:pPr>
      <w:keepNext/>
      <w:keepLines/>
      <w:spacing w:before="80" w:after="40" w:line="278" w:lineRule="auto"/>
      <w:jc w:val="both"/>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F04CDC"/>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04CDC"/>
    <w:pPr>
      <w:keepNext/>
      <w:keepLines/>
      <w:spacing w:before="40" w:line="278" w:lineRule="auto"/>
      <w:jc w:val="both"/>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04CDC"/>
    <w:pPr>
      <w:keepNext/>
      <w:keepLines/>
      <w:spacing w:line="278" w:lineRule="auto"/>
      <w:jc w:val="both"/>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04CDC"/>
    <w:pPr>
      <w:keepNext/>
      <w:keepLines/>
      <w:spacing w:line="278" w:lineRule="auto"/>
      <w:jc w:val="both"/>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CC1677"/>
    <w:rPr>
      <w:rFonts w:ascii="Arial" w:hAnsi="Arial" w:cs="Arial"/>
      <w:b/>
      <w:sz w:val="22"/>
    </w:rPr>
  </w:style>
  <w:style w:type="paragraph" w:styleId="Caption">
    <w:name w:val="caption"/>
    <w:basedOn w:val="Normal"/>
    <w:next w:val="Normal"/>
    <w:autoRedefine/>
    <w:uiPriority w:val="35"/>
    <w:unhideWhenUsed/>
    <w:qFormat/>
    <w:rsid w:val="00932DE7"/>
    <w:pPr>
      <w:keepNext/>
      <w:jc w:val="both"/>
    </w:pPr>
    <w:rPr>
      <w:rFonts w:ascii="Arial" w:eastAsiaTheme="minorHAnsi" w:hAnsi="Arial" w:cs="Arial"/>
      <w:b/>
      <w:iCs/>
      <w:kern w:val="2"/>
    </w:rPr>
  </w:style>
  <w:style w:type="character" w:customStyle="1" w:styleId="Heading3Char">
    <w:name w:val="Heading 3 Char"/>
    <w:basedOn w:val="DefaultParagraphFont"/>
    <w:link w:val="Heading3"/>
    <w:uiPriority w:val="9"/>
    <w:rsid w:val="00F04CDC"/>
    <w:rPr>
      <w:rFonts w:eastAsiaTheme="minorHAnsi"/>
      <w:b/>
      <w:bCs/>
      <w:kern w:val="2"/>
      <w:sz w:val="24"/>
      <w:szCs w:val="24"/>
    </w:rPr>
  </w:style>
  <w:style w:type="character" w:customStyle="1" w:styleId="Heading4Char">
    <w:name w:val="Heading 4 Char"/>
    <w:basedOn w:val="DefaultParagraphFont"/>
    <w:link w:val="Heading4"/>
    <w:uiPriority w:val="9"/>
    <w:semiHidden/>
    <w:rsid w:val="00F04CD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04CD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04CD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04CD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04CD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04CD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CC1677"/>
    <w:rPr>
      <w:rFonts w:ascii="Arial" w:hAnsi="Arial" w:cs="Arial"/>
      <w:b/>
      <w:sz w:val="22"/>
    </w:rPr>
  </w:style>
  <w:style w:type="character" w:customStyle="1" w:styleId="TitleChar">
    <w:name w:val="Title Char"/>
    <w:basedOn w:val="DefaultParagraphFont"/>
    <w:link w:val="Title"/>
    <w:uiPriority w:val="10"/>
    <w:rsid w:val="00F04CDC"/>
    <w:rPr>
      <w:rFonts w:ascii="Helvetica" w:hAnsi="Helvetica"/>
      <w:b/>
      <w:kern w:val="28"/>
      <w:sz w:val="36"/>
    </w:rPr>
  </w:style>
  <w:style w:type="paragraph" w:styleId="Subtitle">
    <w:name w:val="Subtitle"/>
    <w:basedOn w:val="Normal"/>
    <w:next w:val="Normal"/>
    <w:link w:val="SubtitleChar"/>
    <w:uiPriority w:val="11"/>
    <w:qFormat/>
    <w:rsid w:val="00F04CDC"/>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04CD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4CDC"/>
    <w:pPr>
      <w:spacing w:before="160" w:after="160" w:line="278" w:lineRule="auto"/>
      <w:jc w:val="center"/>
    </w:pPr>
    <w:rPr>
      <w:rFonts w:ascii="Amasis MT Pro" w:eastAsiaTheme="minorHAnsi" w:hAnsi="Amasis MT Pro"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04CDC"/>
    <w:rPr>
      <w:rFonts w:ascii="Amasis MT Pro" w:eastAsiaTheme="minorHAnsi" w:hAnsi="Amasis MT Pro" w:cstheme="minorBidi"/>
      <w:i/>
      <w:iCs/>
      <w:color w:val="404040" w:themeColor="text1" w:themeTint="BF"/>
      <w:kern w:val="2"/>
      <w:sz w:val="24"/>
      <w:szCs w:val="24"/>
    </w:rPr>
  </w:style>
  <w:style w:type="paragraph" w:styleId="ListParagraph">
    <w:name w:val="List Paragraph"/>
    <w:basedOn w:val="Normal"/>
    <w:uiPriority w:val="34"/>
    <w:qFormat/>
    <w:rsid w:val="00F04CDC"/>
    <w:pPr>
      <w:spacing w:after="160" w:line="278" w:lineRule="auto"/>
      <w:ind w:left="720"/>
      <w:contextualSpacing/>
      <w:jc w:val="both"/>
    </w:pPr>
    <w:rPr>
      <w:rFonts w:ascii="Amasis MT Pro" w:eastAsiaTheme="minorHAnsi" w:hAnsi="Amasis MT Pro" w:cstheme="minorBidi"/>
      <w:kern w:val="2"/>
      <w:sz w:val="24"/>
      <w:szCs w:val="24"/>
    </w:rPr>
  </w:style>
  <w:style w:type="character" w:styleId="IntenseEmphasis">
    <w:name w:val="Intense Emphasis"/>
    <w:basedOn w:val="DefaultParagraphFont"/>
    <w:uiPriority w:val="21"/>
    <w:qFormat/>
    <w:rsid w:val="00F04CDC"/>
    <w:rPr>
      <w:i/>
      <w:iCs/>
      <w:color w:val="365F91" w:themeColor="accent1" w:themeShade="BF"/>
    </w:rPr>
  </w:style>
  <w:style w:type="paragraph" w:styleId="IntenseQuote">
    <w:name w:val="Intense Quote"/>
    <w:basedOn w:val="Normal"/>
    <w:next w:val="Normal"/>
    <w:link w:val="IntenseQuoteChar"/>
    <w:uiPriority w:val="30"/>
    <w:qFormat/>
    <w:rsid w:val="00F04C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masis MT Pro" w:eastAsiaTheme="minorHAnsi" w:hAnsi="Amasis MT Pro"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F04CDC"/>
    <w:rPr>
      <w:rFonts w:ascii="Amasis MT Pro" w:eastAsiaTheme="minorHAnsi" w:hAnsi="Amasis MT Pro" w:cstheme="minorBidi"/>
      <w:i/>
      <w:iCs/>
      <w:color w:val="365F91" w:themeColor="accent1" w:themeShade="BF"/>
      <w:kern w:val="2"/>
      <w:sz w:val="24"/>
      <w:szCs w:val="24"/>
    </w:rPr>
  </w:style>
  <w:style w:type="character" w:styleId="IntenseReference">
    <w:name w:val="Intense Reference"/>
    <w:basedOn w:val="DefaultParagraphFont"/>
    <w:uiPriority w:val="32"/>
    <w:qFormat/>
    <w:rsid w:val="00F04CDC"/>
    <w:rPr>
      <w:b/>
      <w:bCs/>
      <w:smallCaps/>
      <w:color w:val="365F91" w:themeColor="accent1" w:themeShade="BF"/>
      <w:spacing w:val="5"/>
    </w:rPr>
  </w:style>
  <w:style w:type="table" w:styleId="PlainTable2">
    <w:name w:val="Plain Table 2"/>
    <w:basedOn w:val="TableNormal"/>
    <w:uiPriority w:val="42"/>
    <w:rsid w:val="00F04CD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04CDC"/>
    <w:rPr>
      <w:rFonts w:asciiTheme="minorHAnsi" w:eastAsiaTheme="minorHAnsi" w:hAnsiTheme="minorHAnsi" w:cstheme="minorBidi"/>
      <w:kern w:val="2"/>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4CDC"/>
    <w:pPr>
      <w:spacing w:before="100" w:beforeAutospacing="1" w:after="100" w:afterAutospacing="1"/>
    </w:pPr>
    <w:rPr>
      <w:rFonts w:ascii="Times New Roman" w:hAnsi="Times New Roman"/>
      <w:sz w:val="24"/>
      <w:szCs w:val="24"/>
      <w:lang w:val="fr-CI" w:eastAsia="fr-CI"/>
    </w:rPr>
  </w:style>
  <w:style w:type="character" w:customStyle="1" w:styleId="HeaderChar">
    <w:name w:val="Header Char"/>
    <w:basedOn w:val="DefaultParagraphFont"/>
    <w:link w:val="Header"/>
    <w:uiPriority w:val="99"/>
    <w:rsid w:val="004D3503"/>
    <w:rPr>
      <w:rFonts w:ascii="Helvetica" w:hAnsi="Helvetica"/>
    </w:rPr>
  </w:style>
  <w:style w:type="character" w:customStyle="1" w:styleId="FooterChar">
    <w:name w:val="Footer Char"/>
    <w:basedOn w:val="DefaultParagraphFont"/>
    <w:link w:val="Footer"/>
    <w:uiPriority w:val="99"/>
    <w:rsid w:val="004D3503"/>
    <w:rPr>
      <w:rFonts w:ascii="Helvetica" w:hAnsi="Helvetica"/>
    </w:rPr>
  </w:style>
  <w:style w:type="character" w:styleId="Strong">
    <w:name w:val="Strong"/>
    <w:basedOn w:val="DefaultParagraphFont"/>
    <w:uiPriority w:val="22"/>
    <w:qFormat/>
    <w:rsid w:val="004D3503"/>
    <w:rPr>
      <w:b/>
      <w:bCs/>
    </w:rPr>
  </w:style>
  <w:style w:type="table" w:styleId="PlainTable3">
    <w:name w:val="Plain Table 3"/>
    <w:basedOn w:val="TableNormal"/>
    <w:uiPriority w:val="43"/>
    <w:rsid w:val="004D3503"/>
    <w:rPr>
      <w:rFonts w:asciiTheme="minorHAnsi" w:eastAsiaTheme="minorHAnsi" w:hAnsiTheme="minorHAnsi" w:cstheme="minorBidi"/>
      <w:kern w:val="2"/>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4D3503"/>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4D3503"/>
    <w:rPr>
      <w:rFonts w:asciiTheme="minorHAnsi" w:eastAsiaTheme="minorHAnsi" w:hAnsiTheme="minorHAnsi" w:cstheme="minorBidi"/>
      <w:b/>
      <w:bCs/>
      <w:kern w:val="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4.png"/><Relationship Id="rId26" Type="http://schemas.openxmlformats.org/officeDocument/2006/relationships/hyperlink" Target="https://doi.org/10.36899/japs.2024.6.0825" TargetMode="External"/><Relationship Id="rId39" Type="http://schemas.openxmlformats.org/officeDocument/2006/relationships/hyperlink" Target="https://www.ajol.info/index.php/jspi/article/view/30055" TargetMode="External"/><Relationship Id="rId21" Type="http://schemas.openxmlformats.org/officeDocument/2006/relationships/hyperlink" Target="https://doi.org/10.3390/agriculture14101766" TargetMode="External"/><Relationship Id="rId34" Type="http://schemas.openxmlformats.org/officeDocument/2006/relationships/hyperlink" Target="https://doi.org/10.9734/jabb/2025/v28i103132" TargetMode="External"/><Relationship Id="rId42" Type="http://schemas.openxmlformats.org/officeDocument/2006/relationships/hyperlink" Target="https://doi.org/10.35759/JAnmPlSci.v41-2.4" TargetMode="External"/><Relationship Id="rId47" Type="http://schemas.openxmlformats.org/officeDocument/2006/relationships/hyperlink" Target="https://doi.org/10.1371/journal.pone.0030147" TargetMode="External"/><Relationship Id="rId50" Type="http://schemas.openxmlformats.org/officeDocument/2006/relationships/hyperlink" Target="https://doi.org/10.4314/ijbcs.v11i5.13"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3390/plants13091240" TargetMode="External"/><Relationship Id="rId11" Type="http://schemas.openxmlformats.org/officeDocument/2006/relationships/footer" Target="footer2.xml"/><Relationship Id="rId24" Type="http://schemas.openxmlformats.org/officeDocument/2006/relationships/hyperlink" Target="https://doi.org/10.11648/j.bio.20231106.11" TargetMode="External"/><Relationship Id="rId32" Type="http://schemas.openxmlformats.org/officeDocument/2006/relationships/hyperlink" Target="https://doi.org/10.5897/AJAR2022.16308" TargetMode="External"/><Relationship Id="rId37" Type="http://schemas.openxmlformats.org/officeDocument/2006/relationships/hyperlink" Target="https://doi.org/10.3390/agriculture15212303" TargetMode="External"/><Relationship Id="rId40" Type="http://schemas.openxmlformats.org/officeDocument/2006/relationships/hyperlink" Target="https://doi.org/10.9734/IJPR/2021/v6i330161" TargetMode="External"/><Relationship Id="rId45" Type="http://schemas.openxmlformats.org/officeDocument/2006/relationships/hyperlink" Target="https://doi.org/10.18483/ijSci.2070"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2691/ajmr-11-3-1" TargetMode="External"/><Relationship Id="rId27" Type="http://schemas.openxmlformats.org/officeDocument/2006/relationships/hyperlink" Target="https://doi.org/10.1007/s11101-025-10093-x" TargetMode="External"/><Relationship Id="rId30" Type="http://schemas.openxmlformats.org/officeDocument/2006/relationships/hyperlink" Target="https://doi.org/10.1111/efp.12311" TargetMode="External"/><Relationship Id="rId35" Type="http://schemas.openxmlformats.org/officeDocument/2006/relationships/hyperlink" Target="https://doi.org/10.3923/ppj.2023.1.16" TargetMode="External"/><Relationship Id="rId43" Type="http://schemas.openxmlformats.org/officeDocument/2006/relationships/hyperlink" Target="https://doi.org/10.3390/antibiotics9120870" TargetMode="External"/><Relationship Id="rId48" Type="http://schemas.openxmlformats.org/officeDocument/2006/relationships/hyperlink" Target="http://oaktrust.library.tamu.edu/handle/1969.1/158069"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371/journal.pone.028280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life14070817" TargetMode="External"/><Relationship Id="rId33" Type="http://schemas.openxmlformats.org/officeDocument/2006/relationships/hyperlink" Target="https://doi.org/10.9734/jsrr/2025/v31i103617" TargetMode="External"/><Relationship Id="rId38" Type="http://schemas.openxmlformats.org/officeDocument/2006/relationships/hyperlink" Target="https://doi.org/10.1080/13102818.2023.2297533" TargetMode="External"/><Relationship Id="rId46" Type="http://schemas.openxmlformats.org/officeDocument/2006/relationships/hyperlink" Target="https://doi.org/10.13005/ojc/380630" TargetMode="External"/><Relationship Id="rId20" Type="http://schemas.openxmlformats.org/officeDocument/2006/relationships/hyperlink" Target="https://doi.org/10.1007/s10658-024-02924-y" TargetMode="External"/><Relationship Id="rId41" Type="http://schemas.openxmlformats.org/officeDocument/2006/relationships/hyperlink" Target="https://doi.org/10.33687/phytopath.010.02.3553"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07/s12649-025-02888-y" TargetMode="External"/><Relationship Id="rId28" Type="http://schemas.openxmlformats.org/officeDocument/2006/relationships/hyperlink" Target="https://doi.org/10.3390/ijms25147989" TargetMode="External"/><Relationship Id="rId36" Type="http://schemas.openxmlformats.org/officeDocument/2006/relationships/hyperlink" Target="http://dx.doi.org/10.19044/esj.2017.v13n21p26" TargetMode="External"/><Relationship Id="rId49" Type="http://schemas.openxmlformats.org/officeDocument/2006/relationships/hyperlink" Target="https://doi.org/10.3390/plants8110507"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3390/plants13192737" TargetMode="External"/><Relationship Id="rId44" Type="http://schemas.openxmlformats.org/officeDocument/2006/relationships/hyperlink" Target="https://doi.org/10.4314/ijbcs.v14i3.10" TargetMode="External"/><Relationship Id="rId52" Type="http://schemas.openxmlformats.org/officeDocument/2006/relationships/hyperlink" Target="https://doi.org/10.1186/s40538-023-004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themeOverride" Target="../theme/themeOverride1.xml"/><Relationship Id="rId7" Type="http://schemas.openxmlformats.org/officeDocument/2006/relationships/image" Target="../media/image6.jpeg"/><Relationship Id="rId2" Type="http://schemas.microsoft.com/office/2011/relationships/chartColorStyle" Target="colors1.xml"/><Relationship Id="rId1" Type="http://schemas.microsoft.com/office/2011/relationships/chartStyle" Target="style1.xml"/><Relationship Id="rId6" Type="http://schemas.openxmlformats.org/officeDocument/2006/relationships/image" Target="../media/image5.jpeg"/><Relationship Id="rId11" Type="http://schemas.openxmlformats.org/officeDocument/2006/relationships/package" Target="../embeddings/Microsoft_Excel_Worksheet.xlsx"/><Relationship Id="rId5" Type="http://schemas.openxmlformats.org/officeDocument/2006/relationships/image" Target="../media/image4.jpeg"/><Relationship Id="rId10" Type="http://schemas.openxmlformats.org/officeDocument/2006/relationships/image" Target="../media/image9.jpeg"/><Relationship Id="rId4" Type="http://schemas.openxmlformats.org/officeDocument/2006/relationships/image" Target="../media/image3.jpeg"/><Relationship Id="rId9" Type="http://schemas.openxmlformats.org/officeDocument/2006/relationships/image" Target="../media/image8.jpeg"/></Relationships>
</file>

<file path=word/charts/_rels/chart2.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themeOverride" Target="../theme/themeOverride2.xml"/><Relationship Id="rId7" Type="http://schemas.openxmlformats.org/officeDocument/2006/relationships/image" Target="../media/image6.jpeg"/><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12.jpeg"/><Relationship Id="rId11" Type="http://schemas.openxmlformats.org/officeDocument/2006/relationships/package" Target="../embeddings/Microsoft_Excel_Worksheet1.xlsx"/><Relationship Id="rId5" Type="http://schemas.openxmlformats.org/officeDocument/2006/relationships/image" Target="../media/image11.jpeg"/><Relationship Id="rId10" Type="http://schemas.openxmlformats.org/officeDocument/2006/relationships/image" Target="../media/image9.jpeg"/><Relationship Id="rId4" Type="http://schemas.openxmlformats.org/officeDocument/2006/relationships/image" Target="../media/image10.jpeg"/><Relationship Id="rId9" Type="http://schemas.openxmlformats.org/officeDocument/2006/relationships/image" Target="../media/image13.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Feuil3!$B$1</c:f>
              <c:strCache>
                <c:ptCount val="1"/>
                <c:pt idx="0">
                  <c:v>Average inhibition rate of mycelial growth for all doses (%) Colletotrichum</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4"/>
                <a:tile tx="0" ty="0" sx="100000" sy="100000" flip="none" algn="tl"/>
              </a:blipFill>
              <a:ln>
                <a:noFill/>
              </a:ln>
              <a:effectLst/>
            </c:spPr>
            <c:extLst>
              <c:ext xmlns:c16="http://schemas.microsoft.com/office/drawing/2014/chart" uri="{C3380CC4-5D6E-409C-BE32-E72D297353CC}">
                <c16:uniqueId val="{00000001-01D6-4DC9-A17F-FC0780C65947}"/>
              </c:ext>
            </c:extLst>
          </c:dPt>
          <c:dPt>
            <c:idx val="1"/>
            <c:invertIfNegative val="0"/>
            <c:bubble3D val="0"/>
            <c:spPr>
              <a:blipFill>
                <a:blip xmlns:r="http://schemas.openxmlformats.org/officeDocument/2006/relationships" r:embed="rId5"/>
                <a:tile tx="0" ty="0" sx="100000" sy="100000" flip="none" algn="tl"/>
              </a:blipFill>
              <a:ln>
                <a:noFill/>
              </a:ln>
              <a:effectLst/>
            </c:spPr>
            <c:extLst>
              <c:ext xmlns:c16="http://schemas.microsoft.com/office/drawing/2014/chart" uri="{C3380CC4-5D6E-409C-BE32-E72D297353CC}">
                <c16:uniqueId val="{00000003-01D6-4DC9-A17F-FC0780C65947}"/>
              </c:ext>
            </c:extLst>
          </c:dPt>
          <c:dPt>
            <c:idx val="2"/>
            <c:invertIfNegative val="0"/>
            <c:bubble3D val="0"/>
            <c:spPr>
              <a:blipFill>
                <a:blip xmlns:r="http://schemas.openxmlformats.org/officeDocument/2006/relationships" r:embed="rId6"/>
                <a:tile tx="0" ty="0" sx="100000" sy="100000" flip="none" algn="tl"/>
              </a:blipFill>
              <a:ln>
                <a:noFill/>
              </a:ln>
              <a:effectLst/>
            </c:spPr>
            <c:extLst>
              <c:ext xmlns:c16="http://schemas.microsoft.com/office/drawing/2014/chart" uri="{C3380CC4-5D6E-409C-BE32-E72D297353CC}">
                <c16:uniqueId val="{00000005-01D6-4DC9-A17F-FC0780C65947}"/>
              </c:ext>
            </c:extLst>
          </c:dPt>
          <c:dPt>
            <c:idx val="3"/>
            <c:invertIfNegative val="0"/>
            <c:bubble3D val="0"/>
            <c:spPr>
              <a:blipFill>
                <a:blip xmlns:r="http://schemas.openxmlformats.org/officeDocument/2006/relationships" r:embed="rId7"/>
                <a:tile tx="0" ty="0" sx="100000" sy="100000" flip="none" algn="tl"/>
              </a:blipFill>
              <a:ln>
                <a:noFill/>
              </a:ln>
              <a:effectLst/>
            </c:spPr>
            <c:extLst>
              <c:ext xmlns:c16="http://schemas.microsoft.com/office/drawing/2014/chart" uri="{C3380CC4-5D6E-409C-BE32-E72D297353CC}">
                <c16:uniqueId val="{00000007-01D6-4DC9-A17F-FC0780C65947}"/>
              </c:ext>
            </c:extLst>
          </c:dPt>
          <c:dPt>
            <c:idx val="4"/>
            <c:invertIfNegative val="0"/>
            <c:bubble3D val="0"/>
            <c:spPr>
              <a:blipFill>
                <a:blip xmlns:r="http://schemas.openxmlformats.org/officeDocument/2006/relationships" r:embed="rId8"/>
                <a:tile tx="0" ty="0" sx="100000" sy="100000" flip="none" algn="tl"/>
              </a:blipFill>
              <a:ln>
                <a:noFill/>
              </a:ln>
              <a:effectLst/>
            </c:spPr>
            <c:extLst>
              <c:ext xmlns:c16="http://schemas.microsoft.com/office/drawing/2014/chart" uri="{C3380CC4-5D6E-409C-BE32-E72D297353CC}">
                <c16:uniqueId val="{00000009-01D6-4DC9-A17F-FC0780C65947}"/>
              </c:ext>
            </c:extLst>
          </c:dPt>
          <c:dPt>
            <c:idx val="5"/>
            <c:invertIfNegative val="0"/>
            <c:bubble3D val="0"/>
            <c:spPr>
              <a:blipFill>
                <a:blip xmlns:r="http://schemas.openxmlformats.org/officeDocument/2006/relationships" r:embed="rId9"/>
                <a:tile tx="0" ty="0" sx="100000" sy="100000" flip="none" algn="tl"/>
              </a:blipFill>
              <a:ln>
                <a:noFill/>
              </a:ln>
              <a:effectLst/>
            </c:spPr>
            <c:extLst>
              <c:ext xmlns:c16="http://schemas.microsoft.com/office/drawing/2014/chart" uri="{C3380CC4-5D6E-409C-BE32-E72D297353CC}">
                <c16:uniqueId val="{0000000B-01D6-4DC9-A17F-FC0780C65947}"/>
              </c:ext>
            </c:extLst>
          </c:dPt>
          <c:dPt>
            <c:idx val="6"/>
            <c:invertIfNegative val="0"/>
            <c:bubble3D val="0"/>
            <c:spPr>
              <a:blipFill>
                <a:blip xmlns:r="http://schemas.openxmlformats.org/officeDocument/2006/relationships" r:embed="rId10"/>
                <a:tile tx="0" ty="0" sx="100000" sy="100000" flip="none" algn="tl"/>
              </a:blipFill>
              <a:ln>
                <a:noFill/>
              </a:ln>
              <a:effectLst/>
            </c:spPr>
            <c:extLst>
              <c:ext xmlns:c16="http://schemas.microsoft.com/office/drawing/2014/chart" uri="{C3380CC4-5D6E-409C-BE32-E72D297353CC}">
                <c16:uniqueId val="{0000000D-01D6-4DC9-A17F-FC0780C65947}"/>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D6-4DC9-A17F-FC0780C6594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1D6-4DC9-A17F-FC0780C65947}"/>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1D6-4DC9-A17F-FC0780C65947}"/>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1D6-4DC9-A17F-FC0780C65947}"/>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1D6-4DC9-A17F-FC0780C65947}"/>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01D6-4DC9-A17F-FC0780C65947}"/>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1D6-4DC9-A17F-FC0780C6594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Feuil3!$A$2:$A$8</c:f>
              <c:strCache>
                <c:ptCount val="7"/>
                <c:pt idx="0">
                  <c:v>NECO</c:v>
                </c:pt>
                <c:pt idx="1">
                  <c:v>Azoxystrobin + Difenoconazole</c:v>
                </c:pt>
                <c:pt idx="2">
                  <c:v>Difenoconazole</c:v>
                </c:pt>
                <c:pt idx="3">
                  <c:v>Copper hydroxide</c:v>
                </c:pt>
                <c:pt idx="4">
                  <c:v>Mancozeb</c:v>
                </c:pt>
                <c:pt idx="5">
                  <c:v>oily extract of Lippia multiflora </c:v>
                </c:pt>
                <c:pt idx="6">
                  <c:v>aqueous extract of Chromolaena odorata </c:v>
                </c:pt>
              </c:strCache>
            </c:strRef>
          </c:cat>
          <c:val>
            <c:numRef>
              <c:f>Feuil3!$B$2:$B$8</c:f>
              <c:numCache>
                <c:formatCode>0.00</c:formatCode>
                <c:ptCount val="7"/>
                <c:pt idx="0">
                  <c:v>84.486666666666665</c:v>
                </c:pt>
                <c:pt idx="1">
                  <c:v>85.004166666666677</c:v>
                </c:pt>
                <c:pt idx="2">
                  <c:v>89.621666666666655</c:v>
                </c:pt>
                <c:pt idx="3">
                  <c:v>69.848333333333329</c:v>
                </c:pt>
                <c:pt idx="4">
                  <c:v>92.533333333333346</c:v>
                </c:pt>
                <c:pt idx="5">
                  <c:v>71.059999999999988</c:v>
                </c:pt>
                <c:pt idx="6">
                  <c:v>7.5565833333333314</c:v>
                </c:pt>
              </c:numCache>
            </c:numRef>
          </c:val>
          <c:extLst>
            <c:ext xmlns:c16="http://schemas.microsoft.com/office/drawing/2014/chart" uri="{C3380CC4-5D6E-409C-BE32-E72D297353CC}">
              <c16:uniqueId val="{0000000E-01D6-4DC9-A17F-FC0780C65947}"/>
            </c:ext>
          </c:extLst>
        </c:ser>
        <c:dLbls>
          <c:dLblPos val="outEnd"/>
          <c:showLegendKey val="0"/>
          <c:showVal val="1"/>
          <c:showCatName val="0"/>
          <c:showSerName val="0"/>
          <c:showPercent val="0"/>
          <c:showBubbleSize val="0"/>
        </c:dLbls>
        <c:gapWidth val="219"/>
        <c:overlap val="-27"/>
        <c:axId val="141580271"/>
        <c:axId val="136407071"/>
      </c:barChart>
      <c:catAx>
        <c:axId val="1415802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Fungicides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407071"/>
        <c:crosses val="autoZero"/>
        <c:auto val="1"/>
        <c:lblAlgn val="ctr"/>
        <c:lblOffset val="100"/>
        <c:noMultiLvlLbl val="0"/>
      </c:catAx>
      <c:valAx>
        <c:axId val="13640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Average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inhibition</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rate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of</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mycelial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growth</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for</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all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doses</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Colletotrichum</a:t>
                </a:r>
              </a:p>
            </c:rich>
          </c:tx>
          <c:layout>
            <c:manualLayout>
              <c:xMode val="edge"/>
              <c:yMode val="edge"/>
              <c:x val="0"/>
              <c:y val="4.096495220755575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580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Feuil1!$B$12</c:f>
              <c:strCache>
                <c:ptCount val="1"/>
                <c:pt idx="0">
                  <c:v>Average inhibition rate of mycelial growth for all doses (%) fusarium</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4"/>
                <a:tile tx="0" ty="0" sx="100000" sy="100000" flip="none" algn="tl"/>
              </a:blipFill>
              <a:ln>
                <a:noFill/>
              </a:ln>
              <a:effectLst/>
            </c:spPr>
            <c:extLst>
              <c:ext xmlns:c16="http://schemas.microsoft.com/office/drawing/2014/chart" uri="{C3380CC4-5D6E-409C-BE32-E72D297353CC}">
                <c16:uniqueId val="{00000001-407F-42D5-AB29-67A58A796BAE}"/>
              </c:ext>
            </c:extLst>
          </c:dPt>
          <c:dPt>
            <c:idx val="1"/>
            <c:invertIfNegative val="0"/>
            <c:bubble3D val="0"/>
            <c:spPr>
              <a:blipFill>
                <a:blip xmlns:r="http://schemas.openxmlformats.org/officeDocument/2006/relationships" r:embed="rId5"/>
                <a:tile tx="0" ty="0" sx="100000" sy="100000" flip="none" algn="tl"/>
              </a:blipFill>
              <a:ln>
                <a:noFill/>
              </a:ln>
              <a:effectLst/>
            </c:spPr>
            <c:extLst>
              <c:ext xmlns:c16="http://schemas.microsoft.com/office/drawing/2014/chart" uri="{C3380CC4-5D6E-409C-BE32-E72D297353CC}">
                <c16:uniqueId val="{00000003-407F-42D5-AB29-67A58A796BAE}"/>
              </c:ext>
            </c:extLst>
          </c:dPt>
          <c:dPt>
            <c:idx val="2"/>
            <c:invertIfNegative val="0"/>
            <c:bubble3D val="0"/>
            <c:spPr>
              <a:blipFill>
                <a:blip xmlns:r="http://schemas.openxmlformats.org/officeDocument/2006/relationships" r:embed="rId6"/>
                <a:tile tx="0" ty="0" sx="100000" sy="100000" flip="none" algn="tl"/>
              </a:blipFill>
              <a:ln>
                <a:noFill/>
              </a:ln>
              <a:effectLst/>
            </c:spPr>
            <c:extLst>
              <c:ext xmlns:c16="http://schemas.microsoft.com/office/drawing/2014/chart" uri="{C3380CC4-5D6E-409C-BE32-E72D297353CC}">
                <c16:uniqueId val="{00000005-407F-42D5-AB29-67A58A796BAE}"/>
              </c:ext>
            </c:extLst>
          </c:dPt>
          <c:dPt>
            <c:idx val="3"/>
            <c:invertIfNegative val="0"/>
            <c:bubble3D val="0"/>
            <c:spPr>
              <a:blipFill>
                <a:blip xmlns:r="http://schemas.openxmlformats.org/officeDocument/2006/relationships" r:embed="rId7"/>
                <a:tile tx="0" ty="0" sx="100000" sy="100000" flip="none" algn="tl"/>
              </a:blipFill>
              <a:ln>
                <a:noFill/>
              </a:ln>
              <a:effectLst/>
            </c:spPr>
            <c:extLst>
              <c:ext xmlns:c16="http://schemas.microsoft.com/office/drawing/2014/chart" uri="{C3380CC4-5D6E-409C-BE32-E72D297353CC}">
                <c16:uniqueId val="{00000007-407F-42D5-AB29-67A58A796BAE}"/>
              </c:ext>
            </c:extLst>
          </c:dPt>
          <c:dPt>
            <c:idx val="4"/>
            <c:invertIfNegative val="0"/>
            <c:bubble3D val="0"/>
            <c:spPr>
              <a:blipFill>
                <a:blip xmlns:r="http://schemas.openxmlformats.org/officeDocument/2006/relationships" r:embed="rId8"/>
                <a:tile tx="0" ty="0" sx="100000" sy="100000" flip="none" algn="tl"/>
              </a:blipFill>
              <a:ln>
                <a:noFill/>
              </a:ln>
              <a:effectLst/>
            </c:spPr>
            <c:extLst>
              <c:ext xmlns:c16="http://schemas.microsoft.com/office/drawing/2014/chart" uri="{C3380CC4-5D6E-409C-BE32-E72D297353CC}">
                <c16:uniqueId val="{00000009-407F-42D5-AB29-67A58A796BAE}"/>
              </c:ext>
            </c:extLst>
          </c:dPt>
          <c:dPt>
            <c:idx val="5"/>
            <c:invertIfNegative val="0"/>
            <c:bubble3D val="0"/>
            <c:spPr>
              <a:blipFill>
                <a:blip xmlns:r="http://schemas.openxmlformats.org/officeDocument/2006/relationships" r:embed="rId9"/>
                <a:tile tx="0" ty="0" sx="100000" sy="100000" flip="none" algn="tl"/>
              </a:blipFill>
              <a:ln>
                <a:noFill/>
              </a:ln>
              <a:effectLst/>
            </c:spPr>
            <c:extLst>
              <c:ext xmlns:c16="http://schemas.microsoft.com/office/drawing/2014/chart" uri="{C3380CC4-5D6E-409C-BE32-E72D297353CC}">
                <c16:uniqueId val="{0000000B-407F-42D5-AB29-67A58A796BAE}"/>
              </c:ext>
            </c:extLst>
          </c:dPt>
          <c:dPt>
            <c:idx val="6"/>
            <c:invertIfNegative val="0"/>
            <c:bubble3D val="0"/>
            <c:spPr>
              <a:blipFill>
                <a:blip xmlns:r="http://schemas.openxmlformats.org/officeDocument/2006/relationships" r:embed="rId10"/>
                <a:tile tx="0" ty="0" sx="100000" sy="100000" flip="none" algn="tl"/>
              </a:blipFill>
              <a:ln>
                <a:noFill/>
              </a:ln>
              <a:effectLst/>
            </c:spPr>
            <c:extLst>
              <c:ext xmlns:c16="http://schemas.microsoft.com/office/drawing/2014/chart" uri="{C3380CC4-5D6E-409C-BE32-E72D297353CC}">
                <c16:uniqueId val="{0000000D-407F-42D5-AB29-67A58A796BAE}"/>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07F-42D5-AB29-67A58A796BAE}"/>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07F-42D5-AB29-67A58A796BAE}"/>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07F-42D5-AB29-67A58A796BAE}"/>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07F-42D5-AB29-67A58A796BAE}"/>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07F-42D5-AB29-67A58A796BAE}"/>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07F-42D5-AB29-67A58A796BAE}"/>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407F-42D5-AB29-67A58A796BA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Feuil1!$A$13:$A$19</c:f>
              <c:strCache>
                <c:ptCount val="7"/>
                <c:pt idx="0">
                  <c:v>NECO</c:v>
                </c:pt>
                <c:pt idx="1">
                  <c:v>Azoxystrobin + Difenoconazole</c:v>
                </c:pt>
                <c:pt idx="2">
                  <c:v>Difenoconazole</c:v>
                </c:pt>
                <c:pt idx="3">
                  <c:v>Copper hydroxide</c:v>
                </c:pt>
                <c:pt idx="4">
                  <c:v>Mancozeb</c:v>
                </c:pt>
                <c:pt idx="5">
                  <c:v>oily extract of Lippia multiflora </c:v>
                </c:pt>
                <c:pt idx="6">
                  <c:v>aqueous extract of Chromolaena odorata </c:v>
                </c:pt>
              </c:strCache>
            </c:strRef>
          </c:cat>
          <c:val>
            <c:numRef>
              <c:f>Feuil1!$B$13:$B$19</c:f>
              <c:numCache>
                <c:formatCode>General</c:formatCode>
                <c:ptCount val="7"/>
                <c:pt idx="0">
                  <c:v>86.52</c:v>
                </c:pt>
                <c:pt idx="1">
                  <c:v>95.17</c:v>
                </c:pt>
                <c:pt idx="2">
                  <c:v>97.811666666666667</c:v>
                </c:pt>
                <c:pt idx="3">
                  <c:v>75.313333333333333</c:v>
                </c:pt>
                <c:pt idx="4">
                  <c:v>96.211666666666659</c:v>
                </c:pt>
                <c:pt idx="5">
                  <c:v>78.81</c:v>
                </c:pt>
                <c:pt idx="6">
                  <c:v>7.3533333333333344</c:v>
                </c:pt>
              </c:numCache>
            </c:numRef>
          </c:val>
          <c:extLst>
            <c:ext xmlns:c16="http://schemas.microsoft.com/office/drawing/2014/chart" uri="{C3380CC4-5D6E-409C-BE32-E72D297353CC}">
              <c16:uniqueId val="{0000000E-407F-42D5-AB29-67A58A796BAE}"/>
            </c:ext>
          </c:extLst>
        </c:ser>
        <c:dLbls>
          <c:dLblPos val="outEnd"/>
          <c:showLegendKey val="0"/>
          <c:showVal val="1"/>
          <c:showCatName val="0"/>
          <c:showSerName val="0"/>
          <c:showPercent val="0"/>
          <c:showBubbleSize val="0"/>
        </c:dLbls>
        <c:gapWidth val="219"/>
        <c:overlap val="-27"/>
        <c:axId val="1469055088"/>
        <c:axId val="325470256"/>
      </c:barChart>
      <c:catAx>
        <c:axId val="14690550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Fungicides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470256"/>
        <c:crosses val="autoZero"/>
        <c:auto val="1"/>
        <c:lblAlgn val="ctr"/>
        <c:lblOffset val="100"/>
        <c:noMultiLvlLbl val="0"/>
      </c:catAx>
      <c:valAx>
        <c:axId val="32547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inhibition</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rate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of</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mycelial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growth</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for</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all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doses</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fusarium</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t>
                </a:r>
              </a:p>
            </c:rich>
          </c:tx>
          <c:layout>
            <c:manualLayout>
              <c:xMode val="edge"/>
              <c:yMode val="edge"/>
              <c:x val="6.3789070805868597E-3"/>
              <c:y val="4.729148753224419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9055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28E2-1F32-4ABA-9B12-056D0486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20</Pages>
  <Words>8006</Words>
  <Characters>48603</Characters>
  <Application>Microsoft Office Word</Application>
  <DocSecurity>0</DocSecurity>
  <Lines>1279</Lines>
  <Paragraphs>595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TIENEBO Eric Olivier</cp:lastModifiedBy>
  <cp:revision>216</cp:revision>
  <cp:lastPrinted>1999-07-06T11:00:00Z</cp:lastPrinted>
  <dcterms:created xsi:type="dcterms:W3CDTF">2014-10-25T14:34:00Z</dcterms:created>
  <dcterms:modified xsi:type="dcterms:W3CDTF">2025-11-13T03:17:00Z</dcterms:modified>
</cp:coreProperties>
</file>