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62A80" w14:textId="77777777" w:rsidR="00754C9A" w:rsidRDefault="00754C9A" w:rsidP="00441B6F">
      <w:pPr>
        <w:pStyle w:val="Title"/>
        <w:spacing w:after="0"/>
        <w:jc w:val="both"/>
        <w:rPr>
          <w:rFonts w:ascii="Arial" w:hAnsi="Arial" w:cs="Arial"/>
        </w:rPr>
      </w:pPr>
    </w:p>
    <w:p w14:paraId="69ECFDE7" w14:textId="77777777" w:rsidR="006A2D10" w:rsidRPr="006A2D10" w:rsidRDefault="006A2D10" w:rsidP="006A2D10">
      <w:pPr>
        <w:pStyle w:val="Author"/>
        <w:jc w:val="both"/>
        <w:rPr>
          <w:rFonts w:ascii="Arial" w:hAnsi="Arial" w:cs="Arial"/>
          <w:bCs/>
          <w:i/>
          <w:iCs/>
          <w:sz w:val="18"/>
          <w:szCs w:val="18"/>
          <w:u w:val="single"/>
        </w:rPr>
      </w:pPr>
      <w:bookmarkStart w:id="0" w:name="_Hlk212031638"/>
      <w:r w:rsidRPr="006A2D10">
        <w:rPr>
          <w:rFonts w:ascii="Arial" w:hAnsi="Arial" w:cs="Arial"/>
          <w:bCs/>
          <w:i/>
          <w:iCs/>
          <w:sz w:val="18"/>
          <w:szCs w:val="18"/>
          <w:u w:val="single"/>
        </w:rPr>
        <w:t>Original Research Article</w:t>
      </w:r>
    </w:p>
    <w:p w14:paraId="5510CF09" w14:textId="0D7AB0FA" w:rsidR="00A258C3" w:rsidRPr="00790ADA" w:rsidRDefault="00C53DF0" w:rsidP="00441B6F">
      <w:pPr>
        <w:pStyle w:val="Author"/>
        <w:spacing w:line="240" w:lineRule="auto"/>
        <w:jc w:val="both"/>
        <w:rPr>
          <w:rFonts w:ascii="Arial" w:hAnsi="Arial" w:cs="Arial"/>
          <w:sz w:val="36"/>
        </w:rPr>
      </w:pPr>
      <w:r w:rsidRPr="00C53DF0">
        <w:rPr>
          <w:rFonts w:ascii="Arial" w:hAnsi="Arial" w:cs="Arial"/>
          <w:bCs/>
          <w:sz w:val="36"/>
          <w:lang w:val="en-GB"/>
        </w:rPr>
        <w:t>Genotypic Variation in Fodder Cowpea (</w:t>
      </w:r>
      <w:r w:rsidRPr="0081557C">
        <w:rPr>
          <w:rFonts w:ascii="Arial" w:hAnsi="Arial" w:cs="Arial"/>
          <w:bCs/>
          <w:i/>
          <w:iCs/>
          <w:sz w:val="36"/>
          <w:lang w:val="en-GB"/>
        </w:rPr>
        <w:t>Vigna unguiculata</w:t>
      </w:r>
      <w:r w:rsidRPr="00C53DF0">
        <w:rPr>
          <w:rFonts w:ascii="Arial" w:hAnsi="Arial" w:cs="Arial"/>
          <w:bCs/>
          <w:sz w:val="36"/>
          <w:lang w:val="en-GB"/>
        </w:rPr>
        <w:t xml:space="preserve"> (L.) Walp.) for Adaptability to Heat Stress: An Evaluation of Growth, Physio-Biochemical Traits and Fodder Quality</w:t>
      </w:r>
    </w:p>
    <w:bookmarkEnd w:id="0"/>
    <w:p w14:paraId="41F5E08E" w14:textId="77777777" w:rsidR="00397A87" w:rsidRDefault="00397A87" w:rsidP="00397A87">
      <w:pPr>
        <w:pStyle w:val="Author"/>
        <w:spacing w:line="240" w:lineRule="auto"/>
        <w:jc w:val="left"/>
        <w:rPr>
          <w:rFonts w:ascii="Arial" w:hAnsi="Arial" w:cs="Arial"/>
        </w:rPr>
      </w:pPr>
    </w:p>
    <w:p w14:paraId="4827BF39" w14:textId="77777777" w:rsidR="00AD6CB3" w:rsidRDefault="00AD6CB3" w:rsidP="00441B6F">
      <w:pPr>
        <w:pStyle w:val="Affiliation"/>
        <w:spacing w:after="0" w:line="240" w:lineRule="auto"/>
        <w:jc w:val="both"/>
        <w:rPr>
          <w:rFonts w:ascii="Arial" w:hAnsi="Arial" w:cs="Arial"/>
        </w:rPr>
      </w:pPr>
    </w:p>
    <w:p w14:paraId="1D536A6A" w14:textId="77777777" w:rsidR="00AD6CB3" w:rsidRDefault="00AD6CB3" w:rsidP="00441B6F">
      <w:pPr>
        <w:pStyle w:val="Affiliation"/>
        <w:spacing w:after="0" w:line="240" w:lineRule="auto"/>
        <w:jc w:val="both"/>
        <w:rPr>
          <w:rFonts w:ascii="Arial" w:hAnsi="Arial" w:cs="Arial"/>
        </w:rPr>
      </w:pPr>
    </w:p>
    <w:p w14:paraId="684FC3BA" w14:textId="77777777" w:rsidR="00AD6CB3" w:rsidRPr="00FB3A86" w:rsidRDefault="00AD6CB3" w:rsidP="00441B6F">
      <w:pPr>
        <w:pStyle w:val="Affiliation"/>
        <w:spacing w:after="0" w:line="240" w:lineRule="auto"/>
        <w:jc w:val="both"/>
        <w:rPr>
          <w:rFonts w:ascii="Arial" w:hAnsi="Arial" w:cs="Arial"/>
        </w:rPr>
      </w:pPr>
    </w:p>
    <w:p w14:paraId="41F4F3AE" w14:textId="6F2A79EC" w:rsidR="00B01FCD" w:rsidRPr="00FB3A86" w:rsidRDefault="00AA73F0" w:rsidP="00441B6F">
      <w:pPr>
        <w:pStyle w:val="Copyright"/>
        <w:spacing w:after="0" w:line="240" w:lineRule="auto"/>
        <w:jc w:val="both"/>
        <w:rPr>
          <w:rFonts w:ascii="Arial" w:hAnsi="Arial" w:cs="Arial"/>
        </w:rPr>
        <w:sectPr w:rsidR="00B01FCD" w:rsidRPr="00FB3A86" w:rsidSect="00AD6C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840C7F2" wp14:editId="49F8F70D">
                <wp:extent cx="5303520" cy="635"/>
                <wp:effectExtent l="13335" t="17145" r="17145" b="11430"/>
                <wp:docPr id="20873265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7BA37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D353279" w14:textId="626D031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CDE4B1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66F0FAA0" w14:textId="77777777" w:rsidTr="001E44FE">
        <w:tc>
          <w:tcPr>
            <w:tcW w:w="9576" w:type="dxa"/>
            <w:shd w:val="clear" w:color="auto" w:fill="F2F2F2"/>
          </w:tcPr>
          <w:p w14:paraId="593A67E6" w14:textId="77777777" w:rsidR="00C53DF0" w:rsidRPr="00C53DF0" w:rsidRDefault="00C53DF0" w:rsidP="00C53DF0">
            <w:pPr>
              <w:pStyle w:val="Body"/>
              <w:spacing w:after="0"/>
              <w:rPr>
                <w:rFonts w:ascii="Arial" w:eastAsia="Calibri" w:hAnsi="Arial" w:cs="Arial"/>
                <w:szCs w:val="22"/>
                <w:lang w:val="en-IN"/>
              </w:rPr>
            </w:pPr>
            <w:r w:rsidRPr="00C53DF0">
              <w:rPr>
                <w:rFonts w:ascii="Arial" w:eastAsia="Calibri" w:hAnsi="Arial" w:cs="Arial"/>
                <w:szCs w:val="22"/>
                <w:lang w:val="en-IN"/>
              </w:rPr>
              <w:t>Climate change poses a significant threat to global agriculture due to the combined effects of rising temperatures and fluctuating atmospheric CO</w:t>
            </w:r>
            <w:r w:rsidRPr="00C53DF0">
              <w:rPr>
                <w:rFonts w:ascii="Cambria Math" w:eastAsia="Calibri" w:hAnsi="Cambria Math" w:cs="Cambria Math"/>
                <w:szCs w:val="22"/>
                <w:lang w:val="en-IN"/>
              </w:rPr>
              <w:t>₂</w:t>
            </w:r>
            <w:r w:rsidRPr="00C53DF0">
              <w:rPr>
                <w:rFonts w:ascii="Arial" w:eastAsia="Calibri" w:hAnsi="Arial" w:cs="Arial"/>
                <w:szCs w:val="22"/>
                <w:lang w:val="en-IN"/>
              </w:rPr>
              <w:t xml:space="preserve"> levels. Fodder cowpea (</w:t>
            </w:r>
            <w:r w:rsidRPr="00C53DF0">
              <w:rPr>
                <w:rFonts w:ascii="Arial" w:eastAsia="Calibri" w:hAnsi="Arial" w:cs="Arial"/>
                <w:i/>
                <w:iCs/>
                <w:szCs w:val="22"/>
                <w:lang w:val="en-IN"/>
              </w:rPr>
              <w:t>Vigna unguiculata</w:t>
            </w:r>
            <w:r w:rsidRPr="00C53DF0">
              <w:rPr>
                <w:rFonts w:ascii="Arial" w:eastAsia="Calibri" w:hAnsi="Arial" w:cs="Arial"/>
                <w:szCs w:val="22"/>
                <w:lang w:val="en-IN"/>
              </w:rPr>
              <w:t xml:space="preserve"> (L.) Walp.), a climate-resilient legume, holds great promise as a sustainable forage source for livestock under such challenging conditions.</w:t>
            </w:r>
          </w:p>
          <w:p w14:paraId="30B0CD1B" w14:textId="5D1B8CD0" w:rsidR="00C53DF0" w:rsidRPr="00C53DF0" w:rsidRDefault="00C53DF0" w:rsidP="00C53DF0">
            <w:pPr>
              <w:pStyle w:val="Body"/>
              <w:spacing w:after="0"/>
              <w:rPr>
                <w:rFonts w:ascii="Arial" w:eastAsia="Calibri" w:hAnsi="Arial" w:cs="Arial"/>
                <w:szCs w:val="22"/>
                <w:lang w:val="en-IN"/>
              </w:rPr>
            </w:pPr>
            <w:r w:rsidRPr="00C53DF0">
              <w:rPr>
                <w:rFonts w:ascii="Arial" w:eastAsia="Calibri" w:hAnsi="Arial" w:cs="Arial"/>
                <w:szCs w:val="22"/>
                <w:lang w:val="en-IN"/>
              </w:rPr>
              <w:t>The present study was conducted at the Department of Genetics and Plant Breeding, College of Agriculture, Vellayani, to evaluate thirty fodder cowpea genotypes for their performance under heat stress. The experiment was carried out in contrasting field and polyhouse environments, with the polyhouse maintained at approximately 4 °C higher temperature and a CO</w:t>
            </w:r>
            <w:r w:rsidRPr="00C53DF0">
              <w:rPr>
                <w:rFonts w:ascii="Cambria Math" w:eastAsia="Calibri" w:hAnsi="Cambria Math" w:cs="Cambria Math"/>
                <w:szCs w:val="22"/>
                <w:lang w:val="en-IN"/>
              </w:rPr>
              <w:t>₂</w:t>
            </w:r>
            <w:r w:rsidRPr="00C53DF0">
              <w:rPr>
                <w:rFonts w:ascii="Arial" w:eastAsia="Calibri" w:hAnsi="Arial" w:cs="Arial"/>
                <w:szCs w:val="22"/>
                <w:lang w:val="en-IN"/>
              </w:rPr>
              <w:t xml:space="preserve"> concentration of around 409 ppm compared to 405 ppm in the field. Biometric, physiological</w:t>
            </w:r>
            <w:r>
              <w:rPr>
                <w:rFonts w:ascii="Arial" w:eastAsia="Calibri" w:hAnsi="Arial" w:cs="Arial"/>
                <w:szCs w:val="22"/>
                <w:lang w:val="en-IN"/>
              </w:rPr>
              <w:t xml:space="preserve"> </w:t>
            </w:r>
            <w:r w:rsidRPr="00C53DF0">
              <w:rPr>
                <w:rFonts w:ascii="Arial" w:eastAsia="Calibri" w:hAnsi="Arial" w:cs="Arial"/>
                <w:szCs w:val="22"/>
                <w:lang w:val="en-IN"/>
              </w:rPr>
              <w:t>and quality traits were assessed to determine genotypic responses under these environments.</w:t>
            </w:r>
          </w:p>
          <w:p w14:paraId="09B94387" w14:textId="1589C4F0" w:rsidR="00C53DF0" w:rsidRPr="001E3F78" w:rsidRDefault="00C53DF0" w:rsidP="00C53DF0">
            <w:pPr>
              <w:pStyle w:val="Body"/>
              <w:spacing w:after="0"/>
              <w:rPr>
                <w:rFonts w:ascii="Arial" w:eastAsia="Calibri" w:hAnsi="Arial" w:cs="Arial"/>
                <w:szCs w:val="22"/>
                <w:lang w:val="en-IN"/>
              </w:rPr>
            </w:pPr>
            <w:r w:rsidRPr="00C53DF0">
              <w:rPr>
                <w:rFonts w:ascii="Arial" w:eastAsia="Calibri" w:hAnsi="Arial" w:cs="Arial"/>
                <w:szCs w:val="22"/>
                <w:lang w:val="en-IN"/>
              </w:rPr>
              <w:t>Significant variability was observed among genotypes indicating the presence of substantial genetic diversity for adaptive traits. Plants grown under polyhouse conditions exhibited significantly enhanced biomass accumulation (up to 22% higher), while those in the field environment showed around 18% higher crude protein content reflecting environmental influences on trait expression.</w:t>
            </w:r>
            <w:r w:rsidR="001E3F78">
              <w:rPr>
                <w:rFonts w:ascii="Arial" w:eastAsia="Calibri" w:hAnsi="Arial" w:cs="Arial"/>
                <w:szCs w:val="22"/>
                <w:lang w:val="en-IN"/>
              </w:rPr>
              <w:t xml:space="preserve"> </w:t>
            </w:r>
            <w:r w:rsidR="001E3F78" w:rsidRPr="001E3F78">
              <w:rPr>
                <w:rFonts w:ascii="Arial" w:eastAsia="Calibri" w:hAnsi="Arial" w:cs="Arial"/>
                <w:szCs w:val="22"/>
              </w:rPr>
              <w:t>Crude fibre content showed a 6.9% increase under polyhouse compared to field conditions.</w:t>
            </w:r>
          </w:p>
          <w:p w14:paraId="236046CB" w14:textId="2E9338BA" w:rsidR="00C53DF0" w:rsidRPr="00C53DF0" w:rsidRDefault="00406A38" w:rsidP="00C53DF0">
            <w:pPr>
              <w:pStyle w:val="Body"/>
              <w:spacing w:after="0"/>
              <w:rPr>
                <w:rFonts w:ascii="Arial" w:eastAsia="Calibri" w:hAnsi="Arial" w:cs="Arial"/>
                <w:szCs w:val="22"/>
                <w:lang w:val="en-IN"/>
              </w:rPr>
            </w:pPr>
            <w:r w:rsidRPr="00406A38">
              <w:rPr>
                <w:rFonts w:ascii="Arial" w:eastAsia="Calibri" w:hAnsi="Arial" w:cs="Arial"/>
                <w:szCs w:val="22"/>
              </w:rPr>
              <w:t>The genotypes EC240630, BL4, MFC-09-1 and COFC-8 were identified as promising entries</w:t>
            </w:r>
            <w:r>
              <w:rPr>
                <w:rFonts w:ascii="Arial" w:eastAsia="Calibri" w:hAnsi="Arial" w:cs="Arial"/>
                <w:szCs w:val="22"/>
              </w:rPr>
              <w:t xml:space="preserve"> </w:t>
            </w:r>
            <w:r w:rsidRPr="00406A38">
              <w:rPr>
                <w:rFonts w:ascii="Arial" w:eastAsia="Calibri" w:hAnsi="Arial" w:cs="Arial"/>
                <w:szCs w:val="22"/>
              </w:rPr>
              <w:t xml:space="preserve"> demonstrating superior performance across several traits</w:t>
            </w:r>
            <w:r>
              <w:rPr>
                <w:rFonts w:ascii="Arial" w:eastAsia="Calibri" w:hAnsi="Arial" w:cs="Arial"/>
                <w:szCs w:val="22"/>
              </w:rPr>
              <w:t xml:space="preserve"> </w:t>
            </w:r>
            <w:r w:rsidR="00C53DF0" w:rsidRPr="00C53DF0">
              <w:rPr>
                <w:rFonts w:ascii="Arial" w:eastAsia="Calibri" w:hAnsi="Arial" w:cs="Arial"/>
                <w:szCs w:val="22"/>
                <w:lang w:val="en-IN"/>
              </w:rPr>
              <w:t>representing valuable genetic resources for breeding programs aimed at developing high-yielding, climate-resilient fodder cowpea varieties.</w:t>
            </w:r>
          </w:p>
          <w:p w14:paraId="536F1121" w14:textId="3438AAC9" w:rsidR="00505F06" w:rsidRPr="00BA1B01" w:rsidRDefault="00505F06" w:rsidP="00441B6F">
            <w:pPr>
              <w:pStyle w:val="Body"/>
              <w:spacing w:after="0"/>
              <w:rPr>
                <w:rFonts w:ascii="Arial" w:eastAsia="Calibri" w:hAnsi="Arial" w:cs="Arial"/>
                <w:szCs w:val="22"/>
              </w:rPr>
            </w:pPr>
          </w:p>
        </w:tc>
      </w:tr>
    </w:tbl>
    <w:p w14:paraId="45CBAB95" w14:textId="77777777" w:rsidR="00636EB2" w:rsidRDefault="00636EB2" w:rsidP="00441B6F">
      <w:pPr>
        <w:pStyle w:val="Body"/>
        <w:spacing w:after="0"/>
        <w:rPr>
          <w:rFonts w:ascii="Arial" w:hAnsi="Arial" w:cs="Arial"/>
          <w:i/>
        </w:rPr>
      </w:pPr>
    </w:p>
    <w:p w14:paraId="107CD848" w14:textId="4C85BD38" w:rsidR="00023D8D" w:rsidRDefault="00A24E7E" w:rsidP="00441B6F">
      <w:pPr>
        <w:pStyle w:val="Body"/>
        <w:spacing w:after="0"/>
        <w:rPr>
          <w:rFonts w:ascii="Arial" w:hAnsi="Arial" w:cs="Arial"/>
          <w:i/>
        </w:rPr>
      </w:pPr>
      <w:r>
        <w:rPr>
          <w:rFonts w:ascii="Arial" w:hAnsi="Arial" w:cs="Arial"/>
          <w:i/>
        </w:rPr>
        <w:t xml:space="preserve">Keywords: </w:t>
      </w:r>
      <w:r w:rsidR="00023D8D" w:rsidRPr="00023D8D">
        <w:rPr>
          <w:rFonts w:ascii="Arial" w:hAnsi="Arial" w:cs="Arial"/>
          <w:i/>
        </w:rPr>
        <w:t>Cowpea, heat stress,  CO</w:t>
      </w:r>
      <w:r w:rsidR="00023D8D" w:rsidRPr="00023D8D">
        <w:rPr>
          <w:rFonts w:ascii="Cambria Math" w:hAnsi="Cambria Math" w:cs="Cambria Math"/>
          <w:i/>
        </w:rPr>
        <w:t>₂</w:t>
      </w:r>
      <w:r w:rsidR="00023D8D" w:rsidRPr="00023D8D">
        <w:rPr>
          <w:rFonts w:ascii="Arial" w:hAnsi="Arial" w:cs="Arial"/>
          <w:i/>
        </w:rPr>
        <w:t>, fodder yield, genotype screening, climate</w:t>
      </w:r>
    </w:p>
    <w:p w14:paraId="31825CB4" w14:textId="27F5F97F" w:rsidR="00A24E7E" w:rsidRDefault="00023D8D" w:rsidP="00441B6F">
      <w:pPr>
        <w:pStyle w:val="Body"/>
        <w:spacing w:after="0"/>
        <w:rPr>
          <w:rFonts w:ascii="Arial" w:hAnsi="Arial" w:cs="Arial"/>
          <w:i/>
        </w:rPr>
      </w:pPr>
      <w:r>
        <w:rPr>
          <w:rFonts w:ascii="Arial" w:hAnsi="Arial" w:cs="Arial"/>
          <w:i/>
        </w:rPr>
        <w:t xml:space="preserve">                  </w:t>
      </w:r>
      <w:r w:rsidRPr="00023D8D">
        <w:rPr>
          <w:rFonts w:ascii="Arial" w:hAnsi="Arial" w:cs="Arial"/>
          <w:i/>
        </w:rPr>
        <w:t>resilience</w:t>
      </w:r>
    </w:p>
    <w:p w14:paraId="7E3CA2D7" w14:textId="77777777" w:rsidR="0024282C" w:rsidRDefault="0024282C" w:rsidP="00441B6F">
      <w:pPr>
        <w:pStyle w:val="Body"/>
        <w:spacing w:after="0"/>
        <w:rPr>
          <w:rFonts w:ascii="Arial" w:hAnsi="Arial" w:cs="Arial"/>
          <w:i/>
          <w:sz w:val="18"/>
        </w:rPr>
      </w:pPr>
    </w:p>
    <w:p w14:paraId="773FFD1A" w14:textId="77777777" w:rsidR="00505F06" w:rsidRPr="00A24E7E" w:rsidRDefault="00505F06" w:rsidP="00441B6F">
      <w:pPr>
        <w:pStyle w:val="Body"/>
        <w:spacing w:after="0"/>
        <w:rPr>
          <w:rFonts w:ascii="Arial" w:hAnsi="Arial" w:cs="Arial"/>
          <w:i/>
        </w:rPr>
      </w:pPr>
    </w:p>
    <w:p w14:paraId="6CDDB6F8" w14:textId="00D179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C130EC" w14:textId="77777777" w:rsidR="00790ADA" w:rsidRPr="00FB3A86" w:rsidRDefault="00790ADA" w:rsidP="00441B6F">
      <w:pPr>
        <w:pStyle w:val="AbstHead"/>
        <w:spacing w:after="0"/>
        <w:jc w:val="both"/>
        <w:rPr>
          <w:rFonts w:ascii="Arial" w:hAnsi="Arial" w:cs="Arial"/>
        </w:rPr>
      </w:pPr>
    </w:p>
    <w:p w14:paraId="70A3CE16" w14:textId="623E6B17" w:rsidR="004A3808" w:rsidRPr="004A3808" w:rsidRDefault="004A3808" w:rsidP="004A3808">
      <w:pPr>
        <w:pStyle w:val="Body"/>
        <w:rPr>
          <w:rFonts w:ascii="Arial" w:hAnsi="Arial" w:cs="Arial"/>
        </w:rPr>
      </w:pPr>
      <w:r w:rsidRPr="004A3808">
        <w:rPr>
          <w:rFonts w:ascii="Arial" w:hAnsi="Arial" w:cs="Arial"/>
        </w:rPr>
        <w:t>Climate change has emerged as one of the greatest challenges to global food and fodder security, with rising global temperatures, heat waves and elevated atmospheric CO</w:t>
      </w:r>
      <w:r w:rsidRPr="004A3808">
        <w:rPr>
          <w:rFonts w:ascii="Cambria Math" w:hAnsi="Cambria Math" w:cs="Cambria Math"/>
        </w:rPr>
        <w:t>₂</w:t>
      </w:r>
      <w:r w:rsidRPr="004A3808">
        <w:rPr>
          <w:rFonts w:ascii="Arial" w:hAnsi="Arial" w:cs="Arial"/>
        </w:rPr>
        <w:t xml:space="preserve"> concentrations threatening agricultural systems worldwide. The Intergovernmental Panel on Climate Change </w:t>
      </w:r>
      <w:r w:rsidRPr="00966BFF">
        <w:rPr>
          <w:rFonts w:ascii="Arial" w:hAnsi="Arial" w:cs="Arial"/>
        </w:rPr>
        <w:t>(IPCC, 2021)</w:t>
      </w:r>
      <w:r w:rsidRPr="004A3808">
        <w:rPr>
          <w:rFonts w:ascii="Arial" w:hAnsi="Arial" w:cs="Arial"/>
        </w:rPr>
        <w:t xml:space="preserve"> projects that global mean temperatures may rise by 1.5–2.0 °C by mid-century, posing severe risks to food and forage production particularly in tropical and subtropical regions. Livestock production is especially vulnerable due to the declining </w:t>
      </w:r>
      <w:r w:rsidRPr="004A3808">
        <w:rPr>
          <w:rFonts w:ascii="Arial" w:hAnsi="Arial" w:cs="Arial"/>
        </w:rPr>
        <w:lastRenderedPageBreak/>
        <w:t xml:space="preserve">availability of quality fodder and water resources, which constitute the largest share of production costs. Securing resilient fodder sources is therefore central to ensuring sustainable livestock productivity under climate change </w:t>
      </w:r>
      <w:r w:rsidRPr="00966BFF">
        <w:rPr>
          <w:rFonts w:ascii="Arial" w:hAnsi="Arial" w:cs="Arial"/>
        </w:rPr>
        <w:t>(Thornton &amp; Herrero, 2015).</w:t>
      </w:r>
    </w:p>
    <w:p w14:paraId="57261262" w14:textId="7C023C82" w:rsidR="004A3808" w:rsidRPr="004A3808" w:rsidRDefault="004A3808" w:rsidP="004A3808">
      <w:pPr>
        <w:pStyle w:val="Body"/>
        <w:rPr>
          <w:rFonts w:ascii="Arial" w:hAnsi="Arial" w:cs="Arial"/>
        </w:rPr>
      </w:pPr>
      <w:r w:rsidRPr="004A3808">
        <w:rPr>
          <w:rFonts w:ascii="Arial" w:hAnsi="Arial" w:cs="Arial"/>
        </w:rPr>
        <w:t xml:space="preserve">Heat stress is one of the most detrimental abiotic stresses affecting plant productivity. Elevated temperatures disrupt photosynthesis, accelerate senescence, increase pollen sterility and impair reproductive development. In cowpea, field evaluations under high temperatures (&gt;35 °C) revealed significant declines in chlorophyll stability, biomass accumulation, and yield, though some genotypes demonstrated relatively better performance </w:t>
      </w:r>
      <w:r w:rsidRPr="003F6C49">
        <w:rPr>
          <w:rFonts w:ascii="Arial" w:hAnsi="Arial" w:cs="Arial"/>
        </w:rPr>
        <w:t>(Adarsh Kumar et al., 2024)</w:t>
      </w:r>
      <w:r w:rsidRPr="004A3808">
        <w:rPr>
          <w:rFonts w:ascii="Arial" w:hAnsi="Arial" w:cs="Arial"/>
        </w:rPr>
        <w:t xml:space="preserve">. Physiological adjustments such as osmolyte accumulation and antioxidant enzyme activity are critical in conferring thermo-tolerance. Recently, plant growth regulators have shown to mitigate adverse effects of high temperature in cowpea, enhancing physiological traits and yield under stress </w:t>
      </w:r>
      <w:r w:rsidRPr="00210CE8">
        <w:rPr>
          <w:rFonts w:ascii="Arial" w:hAnsi="Arial" w:cs="Arial"/>
        </w:rPr>
        <w:t>(Priyanka et al., 2021).</w:t>
      </w:r>
    </w:p>
    <w:p w14:paraId="457C232A" w14:textId="51E5E0A9" w:rsidR="00210CE8" w:rsidRDefault="004A3808" w:rsidP="004A3808">
      <w:pPr>
        <w:pStyle w:val="Body"/>
        <w:rPr>
          <w:rFonts w:ascii="Arial" w:hAnsi="Arial" w:cs="Arial"/>
        </w:rPr>
      </w:pPr>
      <w:r w:rsidRPr="004A3808">
        <w:rPr>
          <w:rFonts w:ascii="Arial" w:hAnsi="Arial" w:cs="Arial"/>
        </w:rPr>
        <w:t>Elevated CO</w:t>
      </w:r>
      <w:r w:rsidRPr="004A3808">
        <w:rPr>
          <w:rFonts w:ascii="Cambria Math" w:hAnsi="Cambria Math" w:cs="Cambria Math"/>
        </w:rPr>
        <w:t>₂</w:t>
      </w:r>
      <w:r w:rsidRPr="004A3808">
        <w:rPr>
          <w:rFonts w:ascii="Arial" w:hAnsi="Arial" w:cs="Arial"/>
        </w:rPr>
        <w:t xml:space="preserve"> often exerts a stimulatory effect on C</w:t>
      </w:r>
      <w:r w:rsidRPr="004A3808">
        <w:rPr>
          <w:rFonts w:ascii="Cambria Math" w:hAnsi="Cambria Math" w:cs="Cambria Math"/>
        </w:rPr>
        <w:t>₃</w:t>
      </w:r>
      <w:r w:rsidRPr="004A3808">
        <w:rPr>
          <w:rFonts w:ascii="Arial" w:hAnsi="Arial" w:cs="Arial"/>
        </w:rPr>
        <w:t xml:space="preserve"> crops like cowpea by enhancing Rubisco carboxylation efficiency, reducing photorespiration and improving water use efficiency. Studies have demonstrated increases in pod number, seed weight and total biomass in cowpea under CO</w:t>
      </w:r>
      <w:r w:rsidRPr="004A3808">
        <w:rPr>
          <w:rFonts w:ascii="Cambria Math" w:hAnsi="Cambria Math" w:cs="Cambria Math"/>
        </w:rPr>
        <w:t>₂</w:t>
      </w:r>
      <w:r w:rsidRPr="004A3808">
        <w:rPr>
          <w:rFonts w:ascii="Arial" w:hAnsi="Arial" w:cs="Arial"/>
        </w:rPr>
        <w:t xml:space="preserve"> enrichment, although genotypic differences strongly influence the magnitude of the response </w:t>
      </w:r>
      <w:r w:rsidRPr="00210CE8">
        <w:rPr>
          <w:rFonts w:ascii="Arial" w:hAnsi="Arial" w:cs="Arial"/>
        </w:rPr>
        <w:t>(Angelotti et al., 2020)</w:t>
      </w:r>
      <w:r w:rsidRPr="004A3808">
        <w:rPr>
          <w:rFonts w:ascii="Arial" w:hAnsi="Arial" w:cs="Arial"/>
        </w:rPr>
        <w:t xml:space="preserve">. Moreover, nutrient management practices modulate how cowpea responds to combined stress environments. </w:t>
      </w:r>
    </w:p>
    <w:p w14:paraId="4A4EFC53" w14:textId="77777777" w:rsidR="00EF6E80" w:rsidRDefault="004A3808" w:rsidP="004A3808">
      <w:pPr>
        <w:pStyle w:val="Body"/>
        <w:rPr>
          <w:rFonts w:ascii="Arial" w:hAnsi="Arial" w:cs="Arial"/>
        </w:rPr>
      </w:pPr>
      <w:r w:rsidRPr="004A3808">
        <w:rPr>
          <w:rFonts w:ascii="Arial" w:hAnsi="Arial" w:cs="Arial"/>
        </w:rPr>
        <w:t>Cowpea (</w:t>
      </w:r>
      <w:r w:rsidRPr="00B95F65">
        <w:rPr>
          <w:rFonts w:ascii="Arial" w:hAnsi="Arial" w:cs="Arial"/>
          <w:i/>
          <w:iCs/>
        </w:rPr>
        <w:t>Vigna unguiculata</w:t>
      </w:r>
      <w:r w:rsidRPr="004A3808">
        <w:rPr>
          <w:rFonts w:ascii="Arial" w:hAnsi="Arial" w:cs="Arial"/>
        </w:rPr>
        <w:t xml:space="preserve">), cultivated across 12.5 million hectares globally is valued for its dual role as a protein-rich food grain and a high-quality fodder crop. Its adaptability to marginal soils and inherent tolerance to drought and heat make it a strong candidate for climate-resilient agriculture </w:t>
      </w:r>
      <w:r w:rsidRPr="00210CE8">
        <w:rPr>
          <w:rFonts w:ascii="Arial" w:hAnsi="Arial" w:cs="Arial"/>
        </w:rPr>
        <w:t>(Carvalho et al., 2017)</w:t>
      </w:r>
      <w:r w:rsidRPr="004A3808">
        <w:rPr>
          <w:rFonts w:ascii="Arial" w:hAnsi="Arial" w:cs="Arial"/>
        </w:rPr>
        <w:t xml:space="preserve">. Recent research highlights the importance of harnessing its genetic diversity for enhanced stress tolerance. Mohammed et al. (2024) highlighted that both daytime and night temperatures critically affect cowpea yield stability, underscoring the need for breeding heat-tolerant varieties. In parallel, genome-wide analyses of cowpea thaumatin-like proteins revealed stress-responsive gene families that may be harnessed in future tolerance breeding </w:t>
      </w:r>
      <w:r w:rsidR="00210CE8" w:rsidRPr="00210CE8">
        <w:rPr>
          <w:rFonts w:ascii="Arial" w:hAnsi="Arial" w:cs="Arial"/>
          <w:lang w:val="en-IN"/>
        </w:rPr>
        <w:t>(De Jesús-Pires et al., 2024</w:t>
      </w:r>
      <w:r w:rsidR="00210CE8">
        <w:rPr>
          <w:rFonts w:ascii="Arial" w:hAnsi="Arial" w:cs="Arial"/>
          <w:lang w:val="en-IN"/>
        </w:rPr>
        <w:t>).</w:t>
      </w:r>
      <w:r w:rsidR="007E44B4">
        <w:rPr>
          <w:rFonts w:ascii="Arial" w:hAnsi="Arial" w:cs="Arial"/>
          <w:lang w:val="en-IN"/>
        </w:rPr>
        <w:t xml:space="preserve"> </w:t>
      </w:r>
    </w:p>
    <w:p w14:paraId="23F2DBCC" w14:textId="46C3382D" w:rsidR="004A3808" w:rsidRPr="004A3808" w:rsidRDefault="004A3808" w:rsidP="004A3808">
      <w:pPr>
        <w:pStyle w:val="Body"/>
        <w:rPr>
          <w:rFonts w:ascii="Arial" w:hAnsi="Arial" w:cs="Arial"/>
        </w:rPr>
      </w:pPr>
      <w:r w:rsidRPr="004A3808">
        <w:rPr>
          <w:rFonts w:ascii="Arial" w:hAnsi="Arial" w:cs="Arial"/>
        </w:rPr>
        <w:t xml:space="preserve">Despite progress, the combined effects of heat stress and </w:t>
      </w:r>
      <w:r w:rsidR="00E57F18">
        <w:rPr>
          <w:rFonts w:ascii="Arial" w:hAnsi="Arial" w:cs="Arial"/>
        </w:rPr>
        <w:t xml:space="preserve">increased </w:t>
      </w:r>
      <w:r w:rsidRPr="004A3808">
        <w:rPr>
          <w:rFonts w:ascii="Arial" w:hAnsi="Arial" w:cs="Arial"/>
        </w:rPr>
        <w:t>CO</w:t>
      </w:r>
      <w:r w:rsidRPr="004A3808">
        <w:rPr>
          <w:rFonts w:ascii="Cambria Math" w:hAnsi="Cambria Math" w:cs="Cambria Math"/>
        </w:rPr>
        <w:t>₂</w:t>
      </w:r>
      <w:r w:rsidRPr="004A3808">
        <w:rPr>
          <w:rFonts w:ascii="Arial" w:hAnsi="Arial" w:cs="Arial"/>
        </w:rPr>
        <w:t xml:space="preserve"> in cowpea remain poorly studied, especially in relation to fodder yield and quality traits. Most existing work has focused on either stress factor in isolation, leaving a gap in understanding how simultaneous exposure affects genotype performance. Addressing this gap is crucial, given that climate change will likely expose crops to multiple interacting stressors. </w:t>
      </w:r>
    </w:p>
    <w:p w14:paraId="50FCBDD2" w14:textId="69317839" w:rsidR="00790ADA" w:rsidRDefault="004A3808" w:rsidP="00441B6F">
      <w:pPr>
        <w:pStyle w:val="Body"/>
        <w:spacing w:after="0"/>
        <w:rPr>
          <w:rFonts w:ascii="Arial" w:hAnsi="Arial" w:cs="Arial"/>
        </w:rPr>
      </w:pPr>
      <w:r w:rsidRPr="004A3808">
        <w:rPr>
          <w:rFonts w:ascii="Arial" w:hAnsi="Arial" w:cs="Arial"/>
        </w:rPr>
        <w:t>The present study therefore evaluates thirty cowpea genotypes under heat stress and CO</w:t>
      </w:r>
      <w:r w:rsidRPr="004A3808">
        <w:rPr>
          <w:rFonts w:ascii="Cambria Math" w:hAnsi="Cambria Math" w:cs="Cambria Math"/>
        </w:rPr>
        <w:t>₂</w:t>
      </w:r>
      <w:r w:rsidRPr="004A3808">
        <w:rPr>
          <w:rFonts w:ascii="Arial" w:hAnsi="Arial" w:cs="Arial"/>
        </w:rPr>
        <w:t xml:space="preserve"> conditions to identify superior performers. Evaluation is based on the performance of genotypes in terms of growth, yield, biochemical and qualitative parameters. The outcomes are expected to inform breeding and management strategies for climate-resilient fodder production and livestock feed </w:t>
      </w:r>
      <w:r>
        <w:rPr>
          <w:rFonts w:ascii="Arial" w:hAnsi="Arial" w:cs="Arial"/>
        </w:rPr>
        <w:t>security</w:t>
      </w:r>
    </w:p>
    <w:p w14:paraId="6D8733A7" w14:textId="77777777" w:rsidR="004A3808" w:rsidRPr="00FB3A86" w:rsidRDefault="004A3808" w:rsidP="00441B6F">
      <w:pPr>
        <w:pStyle w:val="Body"/>
        <w:spacing w:after="0"/>
        <w:rPr>
          <w:rFonts w:ascii="Arial" w:hAnsi="Arial" w:cs="Arial"/>
        </w:rPr>
      </w:pPr>
    </w:p>
    <w:p w14:paraId="4008EA62" w14:textId="4B0F13AA" w:rsidR="00790ADA" w:rsidRPr="00FB3A86" w:rsidRDefault="00902823" w:rsidP="00441B6F">
      <w:pPr>
        <w:pStyle w:val="AbstHead"/>
        <w:spacing w:after="0"/>
        <w:jc w:val="both"/>
        <w:rPr>
          <w:rFonts w:ascii="Arial" w:hAnsi="Arial" w:cs="Arial"/>
        </w:rPr>
      </w:pPr>
      <w:r>
        <w:rPr>
          <w:rFonts w:ascii="Arial" w:hAnsi="Arial" w:cs="Arial"/>
        </w:rPr>
        <w:t>2.</w:t>
      </w:r>
      <w:r w:rsidR="00012D8F">
        <w:rPr>
          <w:rFonts w:ascii="Arial" w:hAnsi="Arial" w:cs="Arial"/>
        </w:rPr>
        <w:t xml:space="preserve"> </w:t>
      </w:r>
      <w:r w:rsidR="006B57D0">
        <w:rPr>
          <w:rFonts w:ascii="Arial" w:hAnsi="Arial" w:cs="Arial"/>
        </w:rPr>
        <w:t>methodology</w:t>
      </w:r>
      <w:r w:rsidR="007F7B32">
        <w:rPr>
          <w:rFonts w:ascii="Arial" w:hAnsi="Arial" w:cs="Arial"/>
        </w:rPr>
        <w:t xml:space="preserve"> </w:t>
      </w:r>
    </w:p>
    <w:p w14:paraId="269FACA3" w14:textId="7EF82294" w:rsidR="00012D8F" w:rsidRPr="00012D8F" w:rsidRDefault="00012D8F" w:rsidP="00012D8F">
      <w:pPr>
        <w:pStyle w:val="Body"/>
        <w:rPr>
          <w:rFonts w:ascii="Arial" w:hAnsi="Arial" w:cs="Arial"/>
          <w:b/>
          <w:bCs/>
        </w:rPr>
      </w:pPr>
      <w:r w:rsidRPr="00012D8F">
        <w:rPr>
          <w:rFonts w:ascii="Arial" w:hAnsi="Arial" w:cs="Arial"/>
          <w:b/>
          <w:bCs/>
        </w:rPr>
        <w:t>2.1. Experimental site and plant material</w:t>
      </w:r>
    </w:p>
    <w:p w14:paraId="56AEB830" w14:textId="77777777" w:rsidR="00012D8F" w:rsidRPr="00012D8F" w:rsidRDefault="00012D8F" w:rsidP="00012D8F">
      <w:pPr>
        <w:pStyle w:val="Body"/>
        <w:rPr>
          <w:rFonts w:ascii="Arial" w:hAnsi="Arial" w:cs="Arial"/>
        </w:rPr>
      </w:pPr>
      <w:r w:rsidRPr="00012D8F">
        <w:rPr>
          <w:rFonts w:ascii="Arial" w:hAnsi="Arial" w:cs="Arial"/>
        </w:rPr>
        <w:t>The study was conducted using thirty fodder cowpea accessions labelled T1 to T30 obtained from different AICRP centres on Forage Crops and Utilization as presented in Table 1. Experiment was conducted during December 2024 – February 2025 at the College of Agriculture, Vellayani, Thiruvananthapuram. The genotypes were grown under two contrasting environmental conditions: field and polyhouse. The polyhouse environment was maintained approximately 4 °C higher than the field to simulate heat stress conditions. Data on atmospheric temperature and CO</w:t>
      </w:r>
      <w:r w:rsidRPr="000568BD">
        <w:rPr>
          <w:rFonts w:ascii="Arial" w:hAnsi="Arial" w:cs="Arial"/>
          <w:vertAlign w:val="subscript"/>
        </w:rPr>
        <w:t>2</w:t>
      </w:r>
      <w:r w:rsidRPr="00012D8F">
        <w:rPr>
          <w:rFonts w:ascii="Arial" w:hAnsi="Arial" w:cs="Arial"/>
        </w:rPr>
        <w:t xml:space="preserve"> was recorded using a carbon dioxide analyser. CO</w:t>
      </w:r>
      <w:r w:rsidRPr="00012D8F">
        <w:rPr>
          <w:rFonts w:ascii="Cambria Math" w:hAnsi="Cambria Math" w:cs="Cambria Math"/>
        </w:rPr>
        <w:t>₂</w:t>
      </w:r>
      <w:r w:rsidRPr="00012D8F">
        <w:rPr>
          <w:rFonts w:ascii="Arial" w:hAnsi="Arial" w:cs="Arial"/>
        </w:rPr>
        <w:t xml:space="preserve"> </w:t>
      </w:r>
      <w:r w:rsidRPr="00012D8F">
        <w:rPr>
          <w:rFonts w:ascii="Arial" w:hAnsi="Arial" w:cs="Arial"/>
        </w:rPr>
        <w:lastRenderedPageBreak/>
        <w:t xml:space="preserve">concentrations were monitored weekly, with the field recording an average of 405 ppm and the polyhouse 409 ppm. </w:t>
      </w:r>
    </w:p>
    <w:p w14:paraId="0536646C" w14:textId="675EF8EF" w:rsidR="00F81F74" w:rsidRDefault="00F81F74" w:rsidP="00012D8F">
      <w:pPr>
        <w:pStyle w:val="Body"/>
        <w:rPr>
          <w:rFonts w:ascii="Arial" w:hAnsi="Arial" w:cs="Arial"/>
        </w:rPr>
      </w:pPr>
      <w:r>
        <w:rPr>
          <w:rFonts w:ascii="Arial" w:hAnsi="Arial" w:cs="Arial"/>
          <w:noProof/>
        </w:rPr>
        <w:drawing>
          <wp:anchor distT="0" distB="0" distL="114300" distR="114300" simplePos="0" relativeHeight="251670528" behindDoc="0" locked="0" layoutInCell="1" allowOverlap="1" wp14:anchorId="12DE539D" wp14:editId="43E2F725">
            <wp:simplePos x="0" y="0"/>
            <wp:positionH relativeFrom="column">
              <wp:posOffset>2703195</wp:posOffset>
            </wp:positionH>
            <wp:positionV relativeFrom="page">
              <wp:posOffset>5372100</wp:posOffset>
            </wp:positionV>
            <wp:extent cx="2712720" cy="2105660"/>
            <wp:effectExtent l="0" t="0" r="0" b="8890"/>
            <wp:wrapTopAndBottom/>
            <wp:docPr id="1256547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7628" name="Picture 1256547628"/>
                    <pic:cNvPicPr/>
                  </pic:nvPicPr>
                  <pic:blipFill rotWithShape="1">
                    <a:blip r:embed="rId14" cstate="print">
                      <a:extLst>
                        <a:ext uri="{28A0092B-C50C-407E-A947-70E740481C1C}">
                          <a14:useLocalDpi xmlns:a14="http://schemas.microsoft.com/office/drawing/2010/main" val="0"/>
                        </a:ext>
                      </a:extLst>
                    </a:blip>
                    <a:srcRect l="3079" t="3492" r="18607" b="1"/>
                    <a:stretch>
                      <a:fillRect/>
                    </a:stretch>
                  </pic:blipFill>
                  <pic:spPr bwMode="auto">
                    <a:xfrm>
                      <a:off x="0" y="0"/>
                      <a:ext cx="2712720" cy="210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1F">
        <w:rPr>
          <w:rFonts w:ascii="Arial" w:hAnsi="Arial" w:cs="Arial"/>
          <w:noProof/>
        </w:rPr>
        <w:drawing>
          <wp:anchor distT="0" distB="0" distL="114300" distR="114300" simplePos="0" relativeHeight="251654144" behindDoc="0" locked="0" layoutInCell="1" allowOverlap="1" wp14:anchorId="61910FC3" wp14:editId="19437E97">
            <wp:simplePos x="0" y="0"/>
            <wp:positionH relativeFrom="column">
              <wp:posOffset>-85725</wp:posOffset>
            </wp:positionH>
            <wp:positionV relativeFrom="page">
              <wp:posOffset>5311140</wp:posOffset>
            </wp:positionV>
            <wp:extent cx="2705100" cy="2179320"/>
            <wp:effectExtent l="0" t="0" r="0" b="0"/>
            <wp:wrapTopAndBottom/>
            <wp:docPr id="146818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83705" name="Picture 1468183705"/>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3802" r="7495" b="9311"/>
                    <a:stretch>
                      <a:fillRect/>
                    </a:stretch>
                  </pic:blipFill>
                  <pic:spPr bwMode="auto">
                    <a:xfrm>
                      <a:off x="0" y="0"/>
                      <a:ext cx="2705100"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12D8F" w:rsidRPr="00012D8F">
        <w:rPr>
          <w:rFonts w:ascii="Arial" w:hAnsi="Arial" w:cs="Arial"/>
        </w:rPr>
        <w:t>Biometric traits such as plant height (PH), leaf area index (LAI) and yield components including green fodder yield (GFY) and dry fodder yield (DFY) were recorded along with the physiological parameters including total chlorophyll content (TC), relative water content (RWC), cell membrane stability index (MSI), proline content (PC) and peroxidase (PO</w:t>
      </w:r>
      <w:r w:rsidR="00666436">
        <w:rPr>
          <w:rFonts w:ascii="Arial" w:hAnsi="Arial" w:cs="Arial"/>
        </w:rPr>
        <w:t>X</w:t>
      </w:r>
      <w:r w:rsidR="00012D8F" w:rsidRPr="00012D8F">
        <w:rPr>
          <w:rFonts w:ascii="Arial" w:hAnsi="Arial" w:cs="Arial"/>
        </w:rPr>
        <w:t xml:space="preserve">) activity. Additionally, fodder quality traits such as crude protein (CP) and crude fibre (CF) were also recorded. </w:t>
      </w:r>
      <w:r>
        <w:rPr>
          <w:rFonts w:ascii="Arial" w:hAnsi="Arial" w:cs="Arial"/>
        </w:rPr>
        <w:t xml:space="preserve">                                                            </w:t>
      </w:r>
    </w:p>
    <w:p w14:paraId="1A196CEE" w14:textId="6B7A9C6B" w:rsidR="00942EED" w:rsidRDefault="00B16182" w:rsidP="000B5475">
      <w:pPr>
        <w:pStyle w:val="Body"/>
        <w:jc w:val="center"/>
        <w:rPr>
          <w:rFonts w:ascii="Arial" w:hAnsi="Arial" w:cs="Arial"/>
          <w:b/>
          <w:bCs/>
        </w:rPr>
      </w:pPr>
      <w:r>
        <w:rPr>
          <w:rFonts w:ascii="Arial" w:hAnsi="Arial" w:cs="Arial"/>
        </w:rPr>
        <w:br w:type="textWrapping" w:clear="all"/>
      </w:r>
      <w:r w:rsidRPr="00B16182">
        <w:rPr>
          <w:rFonts w:ascii="Arial" w:hAnsi="Arial" w:cs="Arial"/>
          <w:b/>
          <w:bCs/>
        </w:rPr>
        <w:t>Figure 1. Fodder cowpea genotypes maintained in open and polyhouse condition</w:t>
      </w:r>
      <w:r>
        <w:rPr>
          <w:rFonts w:ascii="Arial" w:hAnsi="Arial" w:cs="Arial"/>
          <w:b/>
          <w:bCs/>
        </w:rPr>
        <w:t>s</w:t>
      </w:r>
    </w:p>
    <w:p w14:paraId="1D55DE8E" w14:textId="77777777" w:rsidR="00E110C2" w:rsidRDefault="00E110C2" w:rsidP="000B5475">
      <w:pPr>
        <w:pStyle w:val="Body"/>
        <w:jc w:val="center"/>
        <w:rPr>
          <w:rFonts w:ascii="Arial" w:hAnsi="Arial" w:cs="Arial"/>
          <w:b/>
          <w:bCs/>
        </w:rPr>
      </w:pPr>
    </w:p>
    <w:p w14:paraId="14842BC0" w14:textId="77777777" w:rsidR="00E110C2" w:rsidRDefault="00E110C2" w:rsidP="000B5475">
      <w:pPr>
        <w:pStyle w:val="Body"/>
        <w:jc w:val="center"/>
        <w:rPr>
          <w:rFonts w:ascii="Arial" w:hAnsi="Arial" w:cs="Arial"/>
          <w:b/>
          <w:bCs/>
        </w:rPr>
      </w:pPr>
    </w:p>
    <w:p w14:paraId="667EA7C9" w14:textId="77777777" w:rsidR="00E110C2" w:rsidRDefault="00E110C2" w:rsidP="000B5475">
      <w:pPr>
        <w:pStyle w:val="Body"/>
        <w:jc w:val="center"/>
        <w:rPr>
          <w:rFonts w:ascii="Arial" w:hAnsi="Arial" w:cs="Arial"/>
          <w:b/>
          <w:bCs/>
        </w:rPr>
      </w:pPr>
    </w:p>
    <w:p w14:paraId="711920C7" w14:textId="77777777" w:rsidR="00E110C2" w:rsidRDefault="00E110C2" w:rsidP="000B5475">
      <w:pPr>
        <w:pStyle w:val="Body"/>
        <w:jc w:val="center"/>
        <w:rPr>
          <w:rFonts w:ascii="Arial" w:hAnsi="Arial" w:cs="Arial"/>
          <w:b/>
          <w:bCs/>
        </w:rPr>
      </w:pPr>
    </w:p>
    <w:p w14:paraId="0BB060DB" w14:textId="77777777" w:rsidR="00E110C2" w:rsidRDefault="00E110C2" w:rsidP="000B5475">
      <w:pPr>
        <w:pStyle w:val="Body"/>
        <w:jc w:val="center"/>
        <w:rPr>
          <w:rFonts w:ascii="Arial" w:hAnsi="Arial" w:cs="Arial"/>
          <w:b/>
          <w:bCs/>
        </w:rPr>
      </w:pPr>
    </w:p>
    <w:p w14:paraId="4209CC6C" w14:textId="77777777" w:rsidR="00E110C2" w:rsidRDefault="00E110C2" w:rsidP="000B5475">
      <w:pPr>
        <w:pStyle w:val="Body"/>
        <w:jc w:val="center"/>
        <w:rPr>
          <w:rFonts w:ascii="Arial" w:hAnsi="Arial" w:cs="Arial"/>
          <w:b/>
          <w:bCs/>
        </w:rPr>
      </w:pPr>
    </w:p>
    <w:p w14:paraId="0DCED51C" w14:textId="77777777" w:rsidR="00E110C2" w:rsidRDefault="00E110C2" w:rsidP="000B5475">
      <w:pPr>
        <w:pStyle w:val="Body"/>
        <w:jc w:val="center"/>
        <w:rPr>
          <w:rFonts w:ascii="Arial" w:hAnsi="Arial" w:cs="Arial"/>
          <w:b/>
          <w:bCs/>
        </w:rPr>
      </w:pPr>
    </w:p>
    <w:p w14:paraId="6B79771B" w14:textId="77777777" w:rsidR="00E110C2" w:rsidRDefault="00E110C2" w:rsidP="000B5475">
      <w:pPr>
        <w:pStyle w:val="Body"/>
        <w:jc w:val="center"/>
        <w:rPr>
          <w:rFonts w:ascii="Arial" w:hAnsi="Arial" w:cs="Arial"/>
          <w:b/>
          <w:bCs/>
        </w:rPr>
      </w:pPr>
    </w:p>
    <w:p w14:paraId="507F4CFE" w14:textId="77777777" w:rsidR="00E110C2" w:rsidRDefault="00E110C2" w:rsidP="000B5475">
      <w:pPr>
        <w:pStyle w:val="Body"/>
        <w:jc w:val="center"/>
        <w:rPr>
          <w:rFonts w:ascii="Arial" w:hAnsi="Arial" w:cs="Arial"/>
          <w:b/>
          <w:bCs/>
        </w:rPr>
      </w:pPr>
    </w:p>
    <w:p w14:paraId="6D3E4502" w14:textId="77777777" w:rsidR="00E110C2" w:rsidRDefault="00E110C2" w:rsidP="000B5475">
      <w:pPr>
        <w:pStyle w:val="Body"/>
        <w:jc w:val="center"/>
        <w:rPr>
          <w:rFonts w:ascii="Arial" w:hAnsi="Arial" w:cs="Arial"/>
          <w:b/>
          <w:bCs/>
        </w:rPr>
      </w:pPr>
    </w:p>
    <w:p w14:paraId="1FF77E3F" w14:textId="77777777" w:rsidR="00E110C2" w:rsidRDefault="00E110C2" w:rsidP="000B5475">
      <w:pPr>
        <w:pStyle w:val="Body"/>
        <w:jc w:val="center"/>
        <w:rPr>
          <w:rFonts w:ascii="Arial" w:hAnsi="Arial" w:cs="Arial"/>
          <w:b/>
          <w:bCs/>
        </w:rPr>
      </w:pPr>
    </w:p>
    <w:p w14:paraId="0F515DE6" w14:textId="77777777" w:rsidR="00E110C2" w:rsidRPr="00B16182" w:rsidRDefault="00E110C2" w:rsidP="000B5475">
      <w:pPr>
        <w:pStyle w:val="Body"/>
        <w:jc w:val="center"/>
        <w:rPr>
          <w:rFonts w:ascii="Arial" w:hAnsi="Arial" w:cs="Arial"/>
          <w:b/>
          <w:bCs/>
        </w:rPr>
      </w:pPr>
    </w:p>
    <w:p w14:paraId="429D0EB8" w14:textId="0AE67DD2" w:rsidR="00012D8F" w:rsidRPr="00012D8F" w:rsidRDefault="00012D8F" w:rsidP="00012D8F">
      <w:pPr>
        <w:pStyle w:val="Body"/>
        <w:rPr>
          <w:rFonts w:ascii="Arial" w:hAnsi="Arial" w:cs="Arial"/>
          <w:b/>
          <w:bCs/>
        </w:rPr>
      </w:pPr>
      <w:r w:rsidRPr="00012D8F">
        <w:rPr>
          <w:rFonts w:ascii="Arial" w:hAnsi="Arial" w:cs="Arial"/>
          <w:b/>
          <w:bCs/>
        </w:rPr>
        <w:lastRenderedPageBreak/>
        <w:t>2.2. Experimental Design</w:t>
      </w:r>
    </w:p>
    <w:p w14:paraId="1E4A8D7A" w14:textId="2EAE2E5B" w:rsidR="00012D8F" w:rsidRPr="00012D8F" w:rsidRDefault="00012D8F" w:rsidP="00012D8F">
      <w:pPr>
        <w:pStyle w:val="Body"/>
        <w:rPr>
          <w:rFonts w:ascii="Arial" w:hAnsi="Arial" w:cs="Arial"/>
        </w:rPr>
      </w:pPr>
      <w:r w:rsidRPr="00012D8F">
        <w:rPr>
          <w:rFonts w:ascii="Arial" w:hAnsi="Arial" w:cs="Arial"/>
        </w:rPr>
        <w:t>Plants were grown in pots following a completely randomized design with factorial arrangements with 3 replications. The treatment was maintained in the polyhouse and control was kept in the field.</w:t>
      </w:r>
    </w:p>
    <w:p w14:paraId="2D2232A0" w14:textId="77777777" w:rsidR="00012D8F" w:rsidRPr="00012D8F" w:rsidRDefault="00012D8F" w:rsidP="00012D8F">
      <w:pPr>
        <w:pStyle w:val="Body"/>
        <w:rPr>
          <w:rFonts w:ascii="Arial" w:hAnsi="Arial" w:cs="Arial"/>
        </w:rPr>
      </w:pPr>
      <w:r w:rsidRPr="00012D8F">
        <w:rPr>
          <w:rFonts w:ascii="Arial" w:hAnsi="Arial" w:cs="Arial"/>
        </w:rPr>
        <w:t>Design           : CRD</w:t>
      </w:r>
    </w:p>
    <w:p w14:paraId="13FCEB89" w14:textId="77777777" w:rsidR="00012D8F" w:rsidRPr="00012D8F" w:rsidRDefault="00012D8F" w:rsidP="00012D8F">
      <w:pPr>
        <w:pStyle w:val="Body"/>
        <w:rPr>
          <w:rFonts w:ascii="Arial" w:hAnsi="Arial" w:cs="Arial"/>
        </w:rPr>
      </w:pPr>
      <w:r w:rsidRPr="00012D8F">
        <w:rPr>
          <w:rFonts w:ascii="Arial" w:hAnsi="Arial" w:cs="Arial"/>
        </w:rPr>
        <w:t>Treatments    : 2×30</w:t>
      </w:r>
    </w:p>
    <w:p w14:paraId="68E49E37" w14:textId="77777777" w:rsidR="00012D8F" w:rsidRPr="00012D8F" w:rsidRDefault="00012D8F" w:rsidP="00012D8F">
      <w:pPr>
        <w:pStyle w:val="Body"/>
        <w:rPr>
          <w:rFonts w:ascii="Arial" w:hAnsi="Arial" w:cs="Arial"/>
        </w:rPr>
      </w:pPr>
      <w:r w:rsidRPr="00012D8F">
        <w:rPr>
          <w:rFonts w:ascii="Arial" w:hAnsi="Arial" w:cs="Arial"/>
        </w:rPr>
        <w:t xml:space="preserve">Factor A        : 30 genotypes </w:t>
      </w:r>
    </w:p>
    <w:p w14:paraId="25968DB5" w14:textId="77777777" w:rsidR="00012D8F" w:rsidRPr="00012D8F" w:rsidRDefault="00012D8F" w:rsidP="00012D8F">
      <w:pPr>
        <w:pStyle w:val="Body"/>
        <w:rPr>
          <w:rFonts w:ascii="Arial" w:hAnsi="Arial" w:cs="Arial"/>
        </w:rPr>
      </w:pPr>
      <w:r w:rsidRPr="00012D8F">
        <w:rPr>
          <w:rFonts w:ascii="Arial" w:hAnsi="Arial" w:cs="Arial"/>
        </w:rPr>
        <w:t>Factor B        : Two conditions: Inside polyhouse and open conditions</w:t>
      </w:r>
    </w:p>
    <w:p w14:paraId="19701B8D" w14:textId="39B0E02C" w:rsidR="00012D8F" w:rsidRDefault="00012D8F" w:rsidP="00012D8F">
      <w:pPr>
        <w:pStyle w:val="Body"/>
        <w:spacing w:after="0"/>
        <w:rPr>
          <w:rFonts w:ascii="Arial" w:hAnsi="Arial" w:cs="Arial"/>
        </w:rPr>
      </w:pPr>
      <w:r w:rsidRPr="00012D8F">
        <w:rPr>
          <w:rFonts w:ascii="Arial" w:hAnsi="Arial" w:cs="Arial"/>
        </w:rPr>
        <w:t>Replications  : 3</w:t>
      </w:r>
    </w:p>
    <w:p w14:paraId="6564A7EB" w14:textId="77777777" w:rsidR="00307C87" w:rsidRDefault="00307C87" w:rsidP="00012D8F">
      <w:pPr>
        <w:pStyle w:val="Body"/>
        <w:spacing w:after="0"/>
        <w:rPr>
          <w:rFonts w:ascii="Arial" w:hAnsi="Arial" w:cs="Arial"/>
        </w:rPr>
      </w:pPr>
    </w:p>
    <w:p w14:paraId="47066D5A" w14:textId="77777777" w:rsidR="00307C87" w:rsidRDefault="00307C87" w:rsidP="00012D8F">
      <w:pPr>
        <w:pStyle w:val="Body"/>
        <w:spacing w:after="0"/>
        <w:rPr>
          <w:rFonts w:ascii="Arial" w:hAnsi="Arial" w:cs="Arial"/>
        </w:rPr>
      </w:pPr>
    </w:p>
    <w:p w14:paraId="7486E7F0" w14:textId="5B3149F5" w:rsidR="00012D8F" w:rsidRPr="00307C87" w:rsidRDefault="00012D8F" w:rsidP="00012D8F">
      <w:pPr>
        <w:pStyle w:val="Body"/>
        <w:spacing w:after="0"/>
        <w:jc w:val="center"/>
        <w:rPr>
          <w:rFonts w:ascii="Arial" w:hAnsi="Arial" w:cs="Arial"/>
          <w:b/>
          <w:bCs/>
        </w:rPr>
      </w:pPr>
      <w:r w:rsidRPr="00307C87">
        <w:rPr>
          <w:rFonts w:ascii="Arial" w:hAnsi="Arial" w:cs="Arial"/>
          <w:b/>
          <w:bCs/>
        </w:rPr>
        <w:t>Table 1: List of accessions used for the study</w:t>
      </w:r>
    </w:p>
    <w:p w14:paraId="3A406B96" w14:textId="77777777" w:rsidR="00012D8F" w:rsidRDefault="00012D8F" w:rsidP="00012D8F">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2538"/>
        <w:gridCol w:w="5664"/>
      </w:tblGrid>
      <w:tr w:rsidR="00012D8F" w:rsidRPr="00012D8F" w14:paraId="44F19A2B" w14:textId="77777777" w:rsidTr="00420CED">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E7EB00B" w14:textId="0E22BCE5" w:rsidR="00012D8F" w:rsidRPr="00012D8F" w:rsidRDefault="00012D8F" w:rsidP="00420CED">
            <w:pPr>
              <w:pStyle w:val="Body"/>
              <w:jc w:val="center"/>
              <w:rPr>
                <w:rFonts w:ascii="Arial" w:hAnsi="Arial" w:cs="Arial"/>
                <w:lang w:val="en-IN"/>
              </w:rPr>
            </w:pPr>
            <w:bookmarkStart w:id="1" w:name="_Hlk211971802"/>
            <w:r w:rsidRPr="00012D8F">
              <w:rPr>
                <w:rFonts w:ascii="Arial" w:hAnsi="Arial" w:cs="Arial"/>
                <w:lang w:val="en-IN"/>
              </w:rPr>
              <w:t>Treatment</w:t>
            </w:r>
          </w:p>
        </w:tc>
        <w:tc>
          <w:tcPr>
            <w:tcW w:w="3453" w:type="pct"/>
          </w:tcPr>
          <w:p w14:paraId="5D3492D3" w14:textId="77777777" w:rsidR="00012D8F" w:rsidRPr="00012D8F" w:rsidRDefault="00012D8F"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Accession name/ number</w:t>
            </w:r>
          </w:p>
        </w:tc>
      </w:tr>
      <w:tr w:rsidR="00012D8F" w:rsidRPr="00012D8F" w14:paraId="64E43822" w14:textId="77777777" w:rsidTr="00420CE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547" w:type="pct"/>
          </w:tcPr>
          <w:p w14:paraId="03B4449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w:t>
            </w:r>
          </w:p>
        </w:tc>
        <w:tc>
          <w:tcPr>
            <w:tcW w:w="3453" w:type="pct"/>
          </w:tcPr>
          <w:p w14:paraId="35B7BD41"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EC240630</w:t>
            </w:r>
          </w:p>
        </w:tc>
      </w:tr>
      <w:tr w:rsidR="00012D8F" w:rsidRPr="00012D8F" w14:paraId="4282575C"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224A622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w:t>
            </w:r>
          </w:p>
        </w:tc>
        <w:tc>
          <w:tcPr>
            <w:tcW w:w="3453" w:type="pct"/>
          </w:tcPr>
          <w:p w14:paraId="1AA4E217"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COFC 8</w:t>
            </w:r>
          </w:p>
        </w:tc>
      </w:tr>
      <w:tr w:rsidR="00012D8F" w:rsidRPr="00012D8F" w14:paraId="08C0426F" w14:textId="77777777" w:rsidTr="00420CE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1D5E377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3</w:t>
            </w:r>
          </w:p>
        </w:tc>
        <w:tc>
          <w:tcPr>
            <w:tcW w:w="3453" w:type="pct"/>
          </w:tcPr>
          <w:p w14:paraId="4281CDC8"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EC240891</w:t>
            </w:r>
          </w:p>
        </w:tc>
      </w:tr>
      <w:tr w:rsidR="00012D8F" w:rsidRPr="00012D8F" w14:paraId="5B85048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52C1487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4</w:t>
            </w:r>
          </w:p>
        </w:tc>
        <w:tc>
          <w:tcPr>
            <w:tcW w:w="3453" w:type="pct"/>
          </w:tcPr>
          <w:p w14:paraId="5C0589D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EC367714</w:t>
            </w:r>
          </w:p>
        </w:tc>
      </w:tr>
      <w:tr w:rsidR="00012D8F" w:rsidRPr="00012D8F" w14:paraId="041DC4F6"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90C3EB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5</w:t>
            </w:r>
          </w:p>
        </w:tc>
        <w:tc>
          <w:tcPr>
            <w:tcW w:w="3453" w:type="pct"/>
          </w:tcPr>
          <w:p w14:paraId="05CF7DE7"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IC20678</w:t>
            </w:r>
          </w:p>
        </w:tc>
      </w:tr>
      <w:tr w:rsidR="00012D8F" w:rsidRPr="00012D8F" w14:paraId="52A7F429"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519D42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6</w:t>
            </w:r>
          </w:p>
        </w:tc>
        <w:tc>
          <w:tcPr>
            <w:tcW w:w="3453" w:type="pct"/>
          </w:tcPr>
          <w:p w14:paraId="4AEBC9C2"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EC101978</w:t>
            </w:r>
          </w:p>
        </w:tc>
      </w:tr>
      <w:tr w:rsidR="00012D8F" w:rsidRPr="00012D8F" w14:paraId="571321E3"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04EBD30"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7</w:t>
            </w:r>
          </w:p>
        </w:tc>
        <w:tc>
          <w:tcPr>
            <w:tcW w:w="3453" w:type="pct"/>
          </w:tcPr>
          <w:p w14:paraId="37BC8A51"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IC372130</w:t>
            </w:r>
          </w:p>
        </w:tc>
      </w:tr>
      <w:tr w:rsidR="00012D8F" w:rsidRPr="00012D8F" w14:paraId="6274EF06"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407E0D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8</w:t>
            </w:r>
          </w:p>
        </w:tc>
        <w:tc>
          <w:tcPr>
            <w:tcW w:w="3453" w:type="pct"/>
          </w:tcPr>
          <w:p w14:paraId="0D49C77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IVTC6</w:t>
            </w:r>
          </w:p>
        </w:tc>
      </w:tr>
      <w:tr w:rsidR="00012D8F" w:rsidRPr="00012D8F" w14:paraId="78429B4A"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B02A321"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9</w:t>
            </w:r>
          </w:p>
        </w:tc>
        <w:tc>
          <w:tcPr>
            <w:tcW w:w="3453" w:type="pct"/>
          </w:tcPr>
          <w:p w14:paraId="6F38FCAE"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IC398992</w:t>
            </w:r>
          </w:p>
        </w:tc>
      </w:tr>
      <w:tr w:rsidR="00012D8F" w:rsidRPr="00012D8F" w14:paraId="6300CD63" w14:textId="77777777" w:rsidTr="00420CED">
        <w:trPr>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2E4C5E4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10</w:t>
            </w:r>
          </w:p>
        </w:tc>
        <w:tc>
          <w:tcPr>
            <w:tcW w:w="3453" w:type="pct"/>
          </w:tcPr>
          <w:p w14:paraId="42CA393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C297</w:t>
            </w:r>
          </w:p>
        </w:tc>
      </w:tr>
      <w:tr w:rsidR="00012D8F" w:rsidRPr="00012D8F" w14:paraId="6B184878"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0D43ED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11</w:t>
            </w:r>
          </w:p>
        </w:tc>
        <w:tc>
          <w:tcPr>
            <w:tcW w:w="3453" w:type="pct"/>
          </w:tcPr>
          <w:p w14:paraId="597B527C"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EC101973</w:t>
            </w:r>
          </w:p>
        </w:tc>
      </w:tr>
      <w:tr w:rsidR="00012D8F" w:rsidRPr="00012D8F" w14:paraId="0F3799F4"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DA1133D"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12</w:t>
            </w:r>
          </w:p>
        </w:tc>
        <w:tc>
          <w:tcPr>
            <w:tcW w:w="3453" w:type="pct"/>
          </w:tcPr>
          <w:p w14:paraId="476BD783"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MFC-18-8</w:t>
            </w:r>
          </w:p>
        </w:tc>
      </w:tr>
      <w:tr w:rsidR="00012D8F" w:rsidRPr="00012D8F" w14:paraId="4F75D547"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319E58D"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13</w:t>
            </w:r>
          </w:p>
        </w:tc>
        <w:tc>
          <w:tcPr>
            <w:tcW w:w="3453" w:type="pct"/>
          </w:tcPr>
          <w:p w14:paraId="73885019"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GFC4</w:t>
            </w:r>
          </w:p>
        </w:tc>
      </w:tr>
      <w:tr w:rsidR="00012D8F" w:rsidRPr="00012D8F" w14:paraId="28B5CA4A"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683EAE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14</w:t>
            </w:r>
          </w:p>
        </w:tc>
        <w:tc>
          <w:tcPr>
            <w:tcW w:w="3453" w:type="pct"/>
          </w:tcPr>
          <w:p w14:paraId="3DD8295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EC390241</w:t>
            </w:r>
          </w:p>
        </w:tc>
      </w:tr>
      <w:tr w:rsidR="00012D8F" w:rsidRPr="00012D8F" w14:paraId="4927860B"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11E45C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15</w:t>
            </w:r>
          </w:p>
        </w:tc>
        <w:tc>
          <w:tcPr>
            <w:tcW w:w="3453" w:type="pct"/>
          </w:tcPr>
          <w:p w14:paraId="61670B40"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UPC-22-1</w:t>
            </w:r>
          </w:p>
        </w:tc>
      </w:tr>
      <w:tr w:rsidR="00012D8F" w:rsidRPr="00012D8F" w14:paraId="50D12F76"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C4E2E23"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lastRenderedPageBreak/>
              <w:t>16</w:t>
            </w:r>
          </w:p>
        </w:tc>
        <w:tc>
          <w:tcPr>
            <w:tcW w:w="3453" w:type="pct"/>
          </w:tcPr>
          <w:p w14:paraId="2E4CBBE6"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Aiswarya</w:t>
            </w:r>
          </w:p>
        </w:tc>
      </w:tr>
      <w:tr w:rsidR="00012D8F" w:rsidRPr="00012D8F" w14:paraId="4A7297BF"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4169198"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17</w:t>
            </w:r>
          </w:p>
        </w:tc>
        <w:tc>
          <w:tcPr>
            <w:tcW w:w="3453" w:type="pct"/>
          </w:tcPr>
          <w:p w14:paraId="70DC31E2"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 618</w:t>
            </w:r>
          </w:p>
        </w:tc>
      </w:tr>
      <w:tr w:rsidR="00012D8F" w:rsidRPr="00012D8F" w14:paraId="394892FC" w14:textId="77777777" w:rsidTr="00420CED">
        <w:trPr>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293462E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18</w:t>
            </w:r>
          </w:p>
        </w:tc>
        <w:tc>
          <w:tcPr>
            <w:tcW w:w="3453" w:type="pct"/>
          </w:tcPr>
          <w:p w14:paraId="59C36D6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BL2</w:t>
            </w:r>
          </w:p>
        </w:tc>
      </w:tr>
      <w:tr w:rsidR="00012D8F" w:rsidRPr="00012D8F" w14:paraId="585FC05C"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03B987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19</w:t>
            </w:r>
          </w:p>
        </w:tc>
        <w:tc>
          <w:tcPr>
            <w:tcW w:w="3453" w:type="pct"/>
          </w:tcPr>
          <w:p w14:paraId="79554C5F"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TNFC 1905</w:t>
            </w:r>
          </w:p>
        </w:tc>
      </w:tr>
      <w:tr w:rsidR="00012D8F" w:rsidRPr="00012D8F" w14:paraId="50DB7135"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C63805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20</w:t>
            </w:r>
          </w:p>
        </w:tc>
        <w:tc>
          <w:tcPr>
            <w:tcW w:w="3453" w:type="pct"/>
          </w:tcPr>
          <w:p w14:paraId="403F20D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Culture 6</w:t>
            </w:r>
          </w:p>
        </w:tc>
      </w:tr>
      <w:tr w:rsidR="00012D8F" w:rsidRPr="00012D8F" w14:paraId="6E641622"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D92D254"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21</w:t>
            </w:r>
          </w:p>
        </w:tc>
        <w:tc>
          <w:tcPr>
            <w:tcW w:w="3453" w:type="pct"/>
          </w:tcPr>
          <w:p w14:paraId="549B8C59"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MFC-09-1</w:t>
            </w:r>
          </w:p>
        </w:tc>
      </w:tr>
      <w:tr w:rsidR="00012D8F" w:rsidRPr="00012D8F" w14:paraId="7690634C"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0B2147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22</w:t>
            </w:r>
          </w:p>
        </w:tc>
        <w:tc>
          <w:tcPr>
            <w:tcW w:w="3453" w:type="pct"/>
          </w:tcPr>
          <w:p w14:paraId="1AC79AF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BL 4</w:t>
            </w:r>
          </w:p>
        </w:tc>
      </w:tr>
      <w:tr w:rsidR="00012D8F" w:rsidRPr="00012D8F" w14:paraId="18C38454"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C3E4097"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23</w:t>
            </w:r>
          </w:p>
        </w:tc>
        <w:tc>
          <w:tcPr>
            <w:tcW w:w="3453" w:type="pct"/>
          </w:tcPr>
          <w:p w14:paraId="1B409C93"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Kohinoor</w:t>
            </w:r>
          </w:p>
        </w:tc>
      </w:tr>
      <w:tr w:rsidR="00012D8F" w:rsidRPr="00012D8F" w14:paraId="61F825AE"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FB8449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24</w:t>
            </w:r>
          </w:p>
        </w:tc>
        <w:tc>
          <w:tcPr>
            <w:tcW w:w="3453" w:type="pct"/>
          </w:tcPr>
          <w:p w14:paraId="7B2BFF9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621</w:t>
            </w:r>
          </w:p>
        </w:tc>
      </w:tr>
      <w:tr w:rsidR="00012D8F" w:rsidRPr="00012D8F" w14:paraId="7A854ACF" w14:textId="77777777" w:rsidTr="00420CE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07CA737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25</w:t>
            </w:r>
          </w:p>
        </w:tc>
        <w:tc>
          <w:tcPr>
            <w:tcW w:w="3453" w:type="pct"/>
          </w:tcPr>
          <w:p w14:paraId="7CBD0567"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 628</w:t>
            </w:r>
          </w:p>
        </w:tc>
      </w:tr>
      <w:tr w:rsidR="00012D8F" w:rsidRPr="00012D8F" w14:paraId="3B249C0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693D3E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26</w:t>
            </w:r>
          </w:p>
        </w:tc>
        <w:tc>
          <w:tcPr>
            <w:tcW w:w="3453" w:type="pct"/>
          </w:tcPr>
          <w:p w14:paraId="5035CDCA"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5286</w:t>
            </w:r>
          </w:p>
        </w:tc>
      </w:tr>
      <w:tr w:rsidR="00012D8F" w:rsidRPr="00012D8F" w14:paraId="5FFFB70E"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6832DC9"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27</w:t>
            </w:r>
          </w:p>
        </w:tc>
        <w:tc>
          <w:tcPr>
            <w:tcW w:w="3453" w:type="pct"/>
          </w:tcPr>
          <w:p w14:paraId="71803F0D"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GFC 3</w:t>
            </w:r>
          </w:p>
        </w:tc>
      </w:tr>
      <w:tr w:rsidR="00012D8F" w:rsidRPr="00012D8F" w14:paraId="2319E7B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01E6C20"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28</w:t>
            </w:r>
          </w:p>
        </w:tc>
        <w:tc>
          <w:tcPr>
            <w:tcW w:w="3453" w:type="pct"/>
          </w:tcPr>
          <w:p w14:paraId="5A26F1DF"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607</w:t>
            </w:r>
          </w:p>
        </w:tc>
      </w:tr>
      <w:tr w:rsidR="00012D8F" w:rsidRPr="00012D8F" w14:paraId="235A2011"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3DBC41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29</w:t>
            </w:r>
          </w:p>
        </w:tc>
        <w:tc>
          <w:tcPr>
            <w:tcW w:w="3453" w:type="pct"/>
          </w:tcPr>
          <w:p w14:paraId="10FF0B1D"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TNFC 0926</w:t>
            </w:r>
          </w:p>
        </w:tc>
      </w:tr>
      <w:tr w:rsidR="00012D8F" w:rsidRPr="00012D8F" w14:paraId="35C6D3A3"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538CFF6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30</w:t>
            </w:r>
          </w:p>
        </w:tc>
        <w:tc>
          <w:tcPr>
            <w:tcW w:w="3453" w:type="pct"/>
          </w:tcPr>
          <w:p w14:paraId="632FA48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622</w:t>
            </w:r>
          </w:p>
        </w:tc>
      </w:tr>
      <w:bookmarkEnd w:id="1"/>
    </w:tbl>
    <w:p w14:paraId="7C0256D5" w14:textId="77777777" w:rsidR="00012D8F" w:rsidRDefault="00012D8F" w:rsidP="00012D8F">
      <w:pPr>
        <w:pStyle w:val="Body"/>
        <w:spacing w:after="0"/>
        <w:rPr>
          <w:rFonts w:ascii="Arial" w:hAnsi="Arial" w:cs="Arial"/>
        </w:rPr>
      </w:pPr>
    </w:p>
    <w:p w14:paraId="6F299668" w14:textId="3AE67E2E" w:rsidR="00F85103" w:rsidRDefault="00F85103" w:rsidP="00F85103">
      <w:pPr>
        <w:pStyle w:val="Body"/>
        <w:spacing w:after="0"/>
        <w:rPr>
          <w:rFonts w:ascii="Arial" w:hAnsi="Arial" w:cs="Arial"/>
          <w:b/>
          <w:bCs/>
        </w:rPr>
      </w:pPr>
      <w:r w:rsidRPr="00F85103">
        <w:rPr>
          <w:rFonts w:ascii="Arial" w:hAnsi="Arial" w:cs="Arial"/>
          <w:b/>
          <w:bCs/>
        </w:rPr>
        <w:t>Table 2. Weekly Atmospheric CO</w:t>
      </w:r>
      <w:r w:rsidRPr="00F85103">
        <w:rPr>
          <w:rFonts w:ascii="Cambria Math" w:hAnsi="Cambria Math" w:cs="Cambria Math"/>
          <w:b/>
          <w:bCs/>
        </w:rPr>
        <w:t>₂</w:t>
      </w:r>
      <w:r w:rsidRPr="00F85103">
        <w:rPr>
          <w:rFonts w:ascii="Arial" w:hAnsi="Arial" w:cs="Arial"/>
          <w:b/>
          <w:bCs/>
        </w:rPr>
        <w:t xml:space="preserve"> (ppm) and Temperature (°C) recorded in polyhouse and field</w:t>
      </w:r>
    </w:p>
    <w:p w14:paraId="51ED3412" w14:textId="77777777" w:rsidR="00F85103" w:rsidRDefault="00F85103" w:rsidP="00F85103">
      <w:pPr>
        <w:pStyle w:val="Body"/>
        <w:spacing w:after="0"/>
        <w:rPr>
          <w:rFonts w:ascii="Arial" w:hAnsi="Arial" w:cs="Arial"/>
          <w:b/>
          <w:bCs/>
        </w:rPr>
      </w:pPr>
    </w:p>
    <w:tbl>
      <w:tblPr>
        <w:tblStyle w:val="PlainTable2"/>
        <w:tblW w:w="0" w:type="auto"/>
        <w:tblLook w:val="04A0" w:firstRow="1" w:lastRow="0" w:firstColumn="1" w:lastColumn="0" w:noHBand="0" w:noVBand="1"/>
      </w:tblPr>
      <w:tblGrid>
        <w:gridCol w:w="1451"/>
        <w:gridCol w:w="1886"/>
        <w:gridCol w:w="1893"/>
        <w:gridCol w:w="1728"/>
        <w:gridCol w:w="1244"/>
      </w:tblGrid>
      <w:tr w:rsidR="00F85103" w:rsidRPr="00F85103" w14:paraId="14F7A9D0" w14:textId="77777777" w:rsidTr="00B95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54043B" w14:textId="77777777" w:rsidR="00F85103" w:rsidRPr="00F85103" w:rsidRDefault="00F85103" w:rsidP="00F85103">
            <w:pPr>
              <w:pStyle w:val="Body"/>
              <w:spacing w:after="0"/>
              <w:rPr>
                <w:rFonts w:ascii="Arial" w:hAnsi="Arial" w:cs="Arial"/>
                <w:lang w:val="en-IN"/>
              </w:rPr>
            </w:pPr>
            <w:r w:rsidRPr="00F85103">
              <w:rPr>
                <w:rFonts w:ascii="Arial" w:hAnsi="Arial" w:cs="Arial"/>
                <w:lang w:val="en-IN"/>
              </w:rPr>
              <w:t xml:space="preserve">No. of weeks after sowing </w:t>
            </w:r>
          </w:p>
        </w:tc>
        <w:tc>
          <w:tcPr>
            <w:tcW w:w="0" w:type="auto"/>
            <w:hideMark/>
          </w:tcPr>
          <w:p w14:paraId="1D33339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 xml:space="preserve">Mean </w:t>
            </w:r>
          </w:p>
          <w:p w14:paraId="504EC76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Polyhouse Temperature (°C)</w:t>
            </w:r>
          </w:p>
        </w:tc>
        <w:tc>
          <w:tcPr>
            <w:tcW w:w="0" w:type="auto"/>
            <w:hideMark/>
          </w:tcPr>
          <w:p w14:paraId="79447FF3"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Field Temperature (°C)</w:t>
            </w:r>
          </w:p>
        </w:tc>
        <w:tc>
          <w:tcPr>
            <w:tcW w:w="0" w:type="auto"/>
            <w:hideMark/>
          </w:tcPr>
          <w:p w14:paraId="53ED7CB2"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Polyhouse CO</w:t>
            </w:r>
            <w:r w:rsidRPr="00F85103">
              <w:rPr>
                <w:rFonts w:ascii="Cambria Math" w:hAnsi="Cambria Math" w:cs="Cambria Math"/>
                <w:lang w:val="en-IN"/>
              </w:rPr>
              <w:t>₂</w:t>
            </w:r>
            <w:r w:rsidRPr="00F85103">
              <w:rPr>
                <w:rFonts w:ascii="Arial" w:hAnsi="Arial" w:cs="Arial"/>
                <w:lang w:val="en-IN"/>
              </w:rPr>
              <w:t xml:space="preserve"> (ppm)</w:t>
            </w:r>
          </w:p>
        </w:tc>
        <w:tc>
          <w:tcPr>
            <w:tcW w:w="0" w:type="auto"/>
            <w:hideMark/>
          </w:tcPr>
          <w:p w14:paraId="58D5966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Field CO</w:t>
            </w:r>
            <w:r w:rsidRPr="00F85103">
              <w:rPr>
                <w:rFonts w:ascii="Cambria Math" w:hAnsi="Cambria Math" w:cs="Cambria Math"/>
                <w:lang w:val="en-IN"/>
              </w:rPr>
              <w:t>₂</w:t>
            </w:r>
            <w:r w:rsidRPr="00F85103">
              <w:rPr>
                <w:rFonts w:ascii="Arial" w:hAnsi="Arial" w:cs="Arial"/>
                <w:lang w:val="en-IN"/>
              </w:rPr>
              <w:t xml:space="preserve"> (ppm)</w:t>
            </w:r>
          </w:p>
        </w:tc>
      </w:tr>
      <w:tr w:rsidR="00F85103" w:rsidRPr="00F85103" w14:paraId="345A2111"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3A537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 </w:t>
            </w:r>
          </w:p>
        </w:tc>
        <w:tc>
          <w:tcPr>
            <w:tcW w:w="0" w:type="auto"/>
            <w:hideMark/>
          </w:tcPr>
          <w:p w14:paraId="64A12AA9"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32.0</w:t>
            </w:r>
          </w:p>
        </w:tc>
        <w:tc>
          <w:tcPr>
            <w:tcW w:w="0" w:type="auto"/>
            <w:hideMark/>
          </w:tcPr>
          <w:p w14:paraId="15EE903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29.5</w:t>
            </w:r>
          </w:p>
        </w:tc>
        <w:tc>
          <w:tcPr>
            <w:tcW w:w="0" w:type="auto"/>
            <w:hideMark/>
          </w:tcPr>
          <w:p w14:paraId="7C1EE99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48F32EE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7962299E"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00B34CE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2 </w:t>
            </w:r>
          </w:p>
        </w:tc>
        <w:tc>
          <w:tcPr>
            <w:tcW w:w="0" w:type="auto"/>
            <w:hideMark/>
          </w:tcPr>
          <w:p w14:paraId="799A684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32.2</w:t>
            </w:r>
          </w:p>
        </w:tc>
        <w:tc>
          <w:tcPr>
            <w:tcW w:w="0" w:type="auto"/>
            <w:hideMark/>
          </w:tcPr>
          <w:p w14:paraId="339F394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29.7</w:t>
            </w:r>
          </w:p>
        </w:tc>
        <w:tc>
          <w:tcPr>
            <w:tcW w:w="0" w:type="auto"/>
            <w:hideMark/>
          </w:tcPr>
          <w:p w14:paraId="7E64EA6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00813F33"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3BD40656"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3850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3 </w:t>
            </w:r>
          </w:p>
        </w:tc>
        <w:tc>
          <w:tcPr>
            <w:tcW w:w="0" w:type="auto"/>
            <w:hideMark/>
          </w:tcPr>
          <w:p w14:paraId="4473B29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32.5</w:t>
            </w:r>
          </w:p>
        </w:tc>
        <w:tc>
          <w:tcPr>
            <w:tcW w:w="0" w:type="auto"/>
            <w:hideMark/>
          </w:tcPr>
          <w:p w14:paraId="259627AA"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30.0</w:t>
            </w:r>
          </w:p>
        </w:tc>
        <w:tc>
          <w:tcPr>
            <w:tcW w:w="0" w:type="auto"/>
            <w:hideMark/>
          </w:tcPr>
          <w:p w14:paraId="0C7C6713"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1B8AEDDD"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7B697DFF"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5003DCEB"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4 </w:t>
            </w:r>
          </w:p>
        </w:tc>
        <w:tc>
          <w:tcPr>
            <w:tcW w:w="0" w:type="auto"/>
            <w:hideMark/>
          </w:tcPr>
          <w:p w14:paraId="3F3F0EBE"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32.7</w:t>
            </w:r>
          </w:p>
        </w:tc>
        <w:tc>
          <w:tcPr>
            <w:tcW w:w="0" w:type="auto"/>
            <w:hideMark/>
          </w:tcPr>
          <w:p w14:paraId="7125740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30.2</w:t>
            </w:r>
          </w:p>
        </w:tc>
        <w:tc>
          <w:tcPr>
            <w:tcW w:w="0" w:type="auto"/>
            <w:hideMark/>
          </w:tcPr>
          <w:p w14:paraId="44E104B0"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412</w:t>
            </w:r>
          </w:p>
        </w:tc>
        <w:tc>
          <w:tcPr>
            <w:tcW w:w="0" w:type="auto"/>
            <w:hideMark/>
          </w:tcPr>
          <w:p w14:paraId="077DAD2E"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408</w:t>
            </w:r>
          </w:p>
        </w:tc>
      </w:tr>
      <w:tr w:rsidR="00F85103" w:rsidRPr="00F85103" w14:paraId="308347B7"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1399FF"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5 </w:t>
            </w:r>
          </w:p>
        </w:tc>
        <w:tc>
          <w:tcPr>
            <w:tcW w:w="0" w:type="auto"/>
            <w:hideMark/>
          </w:tcPr>
          <w:p w14:paraId="200796F1"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33.0</w:t>
            </w:r>
          </w:p>
        </w:tc>
        <w:tc>
          <w:tcPr>
            <w:tcW w:w="0" w:type="auto"/>
            <w:hideMark/>
          </w:tcPr>
          <w:p w14:paraId="5E36641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30.5</w:t>
            </w:r>
          </w:p>
        </w:tc>
        <w:tc>
          <w:tcPr>
            <w:tcW w:w="0" w:type="auto"/>
            <w:hideMark/>
          </w:tcPr>
          <w:p w14:paraId="67AA4CD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0B53FFA6"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5FEC5877"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37630B1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6</w:t>
            </w:r>
          </w:p>
        </w:tc>
        <w:tc>
          <w:tcPr>
            <w:tcW w:w="0" w:type="auto"/>
            <w:hideMark/>
          </w:tcPr>
          <w:p w14:paraId="6DADB33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33.2</w:t>
            </w:r>
          </w:p>
        </w:tc>
        <w:tc>
          <w:tcPr>
            <w:tcW w:w="0" w:type="auto"/>
            <w:hideMark/>
          </w:tcPr>
          <w:p w14:paraId="3BC05B5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30.7</w:t>
            </w:r>
          </w:p>
        </w:tc>
        <w:tc>
          <w:tcPr>
            <w:tcW w:w="0" w:type="auto"/>
            <w:hideMark/>
          </w:tcPr>
          <w:p w14:paraId="5D7CA18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114D5CC3"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5277AC1E"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AACD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7 </w:t>
            </w:r>
          </w:p>
        </w:tc>
        <w:tc>
          <w:tcPr>
            <w:tcW w:w="0" w:type="auto"/>
            <w:hideMark/>
          </w:tcPr>
          <w:p w14:paraId="7995854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33.5</w:t>
            </w:r>
          </w:p>
        </w:tc>
        <w:tc>
          <w:tcPr>
            <w:tcW w:w="0" w:type="auto"/>
            <w:hideMark/>
          </w:tcPr>
          <w:p w14:paraId="7825DD96"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31.0</w:t>
            </w:r>
          </w:p>
        </w:tc>
        <w:tc>
          <w:tcPr>
            <w:tcW w:w="0" w:type="auto"/>
            <w:hideMark/>
          </w:tcPr>
          <w:p w14:paraId="5FB2AEB7"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64E5799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1D32C6F2"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5412CF31"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8</w:t>
            </w:r>
          </w:p>
        </w:tc>
        <w:tc>
          <w:tcPr>
            <w:tcW w:w="0" w:type="auto"/>
            <w:hideMark/>
          </w:tcPr>
          <w:p w14:paraId="70A371E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33.7</w:t>
            </w:r>
          </w:p>
        </w:tc>
        <w:tc>
          <w:tcPr>
            <w:tcW w:w="0" w:type="auto"/>
            <w:hideMark/>
          </w:tcPr>
          <w:p w14:paraId="4955825C"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31.2</w:t>
            </w:r>
          </w:p>
        </w:tc>
        <w:tc>
          <w:tcPr>
            <w:tcW w:w="0" w:type="auto"/>
            <w:hideMark/>
          </w:tcPr>
          <w:p w14:paraId="7076DC5C"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1AF0A69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4E962E4C"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6E33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9 </w:t>
            </w:r>
          </w:p>
        </w:tc>
        <w:tc>
          <w:tcPr>
            <w:tcW w:w="0" w:type="auto"/>
            <w:hideMark/>
          </w:tcPr>
          <w:p w14:paraId="6347A2C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34.0</w:t>
            </w:r>
          </w:p>
        </w:tc>
        <w:tc>
          <w:tcPr>
            <w:tcW w:w="0" w:type="auto"/>
            <w:hideMark/>
          </w:tcPr>
          <w:p w14:paraId="4E3B7D8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31.5</w:t>
            </w:r>
          </w:p>
        </w:tc>
        <w:tc>
          <w:tcPr>
            <w:tcW w:w="0" w:type="auto"/>
            <w:hideMark/>
          </w:tcPr>
          <w:p w14:paraId="5B4CC0AC"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412</w:t>
            </w:r>
          </w:p>
        </w:tc>
        <w:tc>
          <w:tcPr>
            <w:tcW w:w="0" w:type="auto"/>
            <w:hideMark/>
          </w:tcPr>
          <w:p w14:paraId="2A886BA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408</w:t>
            </w:r>
          </w:p>
        </w:tc>
      </w:tr>
      <w:tr w:rsidR="00F85103" w:rsidRPr="00F85103" w14:paraId="192B6AB3"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727AEA87"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10 </w:t>
            </w:r>
          </w:p>
        </w:tc>
        <w:tc>
          <w:tcPr>
            <w:tcW w:w="0" w:type="auto"/>
            <w:hideMark/>
          </w:tcPr>
          <w:p w14:paraId="708443D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34.2</w:t>
            </w:r>
          </w:p>
        </w:tc>
        <w:tc>
          <w:tcPr>
            <w:tcW w:w="0" w:type="auto"/>
            <w:hideMark/>
          </w:tcPr>
          <w:p w14:paraId="1D2B604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31.7</w:t>
            </w:r>
          </w:p>
        </w:tc>
        <w:tc>
          <w:tcPr>
            <w:tcW w:w="0" w:type="auto"/>
            <w:hideMark/>
          </w:tcPr>
          <w:p w14:paraId="24186CAA"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580D816F"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254A817E"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A913AB"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11 </w:t>
            </w:r>
          </w:p>
        </w:tc>
        <w:tc>
          <w:tcPr>
            <w:tcW w:w="0" w:type="auto"/>
            <w:hideMark/>
          </w:tcPr>
          <w:p w14:paraId="3E645B4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34.5</w:t>
            </w:r>
          </w:p>
        </w:tc>
        <w:tc>
          <w:tcPr>
            <w:tcW w:w="0" w:type="auto"/>
            <w:hideMark/>
          </w:tcPr>
          <w:p w14:paraId="2B0E18D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32.0</w:t>
            </w:r>
          </w:p>
        </w:tc>
        <w:tc>
          <w:tcPr>
            <w:tcW w:w="0" w:type="auto"/>
            <w:hideMark/>
          </w:tcPr>
          <w:p w14:paraId="56DCDC55"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71FD80FE"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4D10682D"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365683EF"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12 </w:t>
            </w:r>
          </w:p>
        </w:tc>
        <w:tc>
          <w:tcPr>
            <w:tcW w:w="0" w:type="auto"/>
            <w:hideMark/>
          </w:tcPr>
          <w:p w14:paraId="30103467"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34.7</w:t>
            </w:r>
          </w:p>
        </w:tc>
        <w:tc>
          <w:tcPr>
            <w:tcW w:w="0" w:type="auto"/>
            <w:hideMark/>
          </w:tcPr>
          <w:p w14:paraId="78B71F5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32.2</w:t>
            </w:r>
          </w:p>
        </w:tc>
        <w:tc>
          <w:tcPr>
            <w:tcW w:w="0" w:type="auto"/>
            <w:hideMark/>
          </w:tcPr>
          <w:p w14:paraId="243966B4"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4925E008"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406</w:t>
            </w:r>
          </w:p>
        </w:tc>
      </w:tr>
    </w:tbl>
    <w:p w14:paraId="3C48A068" w14:textId="77777777" w:rsidR="00F85103" w:rsidRDefault="00F85103" w:rsidP="00F85103">
      <w:pPr>
        <w:pStyle w:val="Body"/>
        <w:spacing w:after="0"/>
        <w:rPr>
          <w:rFonts w:ascii="Arial" w:hAnsi="Arial" w:cs="Arial"/>
          <w:b/>
          <w:bCs/>
        </w:rPr>
      </w:pPr>
    </w:p>
    <w:p w14:paraId="559CF38B" w14:textId="77777777" w:rsidR="00F85103" w:rsidRDefault="00F85103" w:rsidP="00F85103">
      <w:pPr>
        <w:pStyle w:val="Body"/>
        <w:spacing w:after="0"/>
        <w:rPr>
          <w:rFonts w:ascii="Arial" w:hAnsi="Arial" w:cs="Arial"/>
          <w:b/>
          <w:bCs/>
        </w:rPr>
      </w:pPr>
    </w:p>
    <w:p w14:paraId="34FA4654" w14:textId="7D36A541" w:rsidR="00307C87" w:rsidRDefault="00307C87" w:rsidP="00307C87">
      <w:pPr>
        <w:pStyle w:val="Body"/>
        <w:numPr>
          <w:ilvl w:val="1"/>
          <w:numId w:val="33"/>
        </w:numPr>
        <w:spacing w:after="0"/>
        <w:rPr>
          <w:rFonts w:ascii="Arial" w:hAnsi="Arial" w:cs="Arial"/>
          <w:b/>
          <w:bCs/>
        </w:rPr>
      </w:pPr>
      <w:r w:rsidRPr="00307C87">
        <w:rPr>
          <w:rFonts w:ascii="Arial" w:hAnsi="Arial" w:cs="Arial"/>
          <w:b/>
          <w:bCs/>
        </w:rPr>
        <w:lastRenderedPageBreak/>
        <w:t>Evaluation of genotypes based on</w:t>
      </w:r>
      <w:r w:rsidR="00F85103">
        <w:rPr>
          <w:rFonts w:ascii="Arial" w:hAnsi="Arial" w:cs="Arial"/>
          <w:b/>
          <w:bCs/>
        </w:rPr>
        <w:t xml:space="preserve"> </w:t>
      </w:r>
      <w:r w:rsidRPr="00F85103">
        <w:rPr>
          <w:rFonts w:ascii="Arial" w:hAnsi="Arial" w:cs="Arial"/>
          <w:b/>
          <w:bCs/>
        </w:rPr>
        <w:t>growth, yield, physiological, biochemical and qualitative parameters</w:t>
      </w:r>
    </w:p>
    <w:p w14:paraId="623EDADA" w14:textId="77777777" w:rsidR="00F85103" w:rsidRPr="00F85103" w:rsidRDefault="00F85103" w:rsidP="00F85103">
      <w:pPr>
        <w:pStyle w:val="Body"/>
        <w:spacing w:after="0"/>
        <w:ind w:left="360"/>
        <w:rPr>
          <w:rFonts w:ascii="Arial" w:hAnsi="Arial" w:cs="Arial"/>
          <w:b/>
          <w:bCs/>
        </w:rPr>
      </w:pPr>
    </w:p>
    <w:p w14:paraId="14E7C884" w14:textId="6BBE0D32" w:rsidR="00307C87" w:rsidRPr="00307C87" w:rsidRDefault="00307C87" w:rsidP="00307C87">
      <w:pPr>
        <w:pStyle w:val="Body"/>
        <w:spacing w:after="0"/>
        <w:rPr>
          <w:rFonts w:ascii="Arial" w:hAnsi="Arial" w:cs="Arial"/>
          <w:lang w:val="en-IN"/>
        </w:rPr>
      </w:pPr>
      <w:r w:rsidRPr="00307C87">
        <w:rPr>
          <w:rFonts w:ascii="Arial" w:hAnsi="Arial" w:cs="Arial"/>
          <w:lang w:val="en-IN"/>
        </w:rPr>
        <w:t>The selected cowpea genotypes were evaluated for various growth, yield, physiological, biochemical and qualitative traits to assess their performance under the experimental conditions. Observations were recorded at appropriate growth stages following standard procedures as detailed below.</w:t>
      </w:r>
    </w:p>
    <w:p w14:paraId="435E6F9A" w14:textId="5DDFE69A" w:rsidR="00307C87" w:rsidRDefault="00307C87" w:rsidP="00F85103">
      <w:pPr>
        <w:pStyle w:val="Body"/>
        <w:numPr>
          <w:ilvl w:val="2"/>
          <w:numId w:val="33"/>
        </w:numPr>
        <w:spacing w:after="0"/>
        <w:rPr>
          <w:rFonts w:ascii="Arial" w:hAnsi="Arial" w:cs="Arial"/>
          <w:b/>
          <w:bCs/>
        </w:rPr>
      </w:pPr>
      <w:r w:rsidRPr="00307C87">
        <w:rPr>
          <w:rFonts w:ascii="Arial" w:hAnsi="Arial" w:cs="Arial"/>
          <w:b/>
          <w:bCs/>
        </w:rPr>
        <w:t>Growth and Yield Parameters</w:t>
      </w:r>
    </w:p>
    <w:p w14:paraId="1D355298" w14:textId="77777777" w:rsidR="00307C87" w:rsidRPr="00307C87" w:rsidRDefault="00307C87" w:rsidP="00307C87">
      <w:pPr>
        <w:pStyle w:val="Body"/>
        <w:spacing w:after="0"/>
        <w:ind w:left="720"/>
        <w:rPr>
          <w:rFonts w:ascii="Arial" w:hAnsi="Arial" w:cs="Arial"/>
          <w:b/>
          <w:bCs/>
        </w:rPr>
      </w:pPr>
    </w:p>
    <w:p w14:paraId="18EC46B5"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Plant height:</w:t>
      </w:r>
    </w:p>
    <w:p w14:paraId="138CB724" w14:textId="77777777" w:rsidR="00035F8E" w:rsidRPr="00307C87" w:rsidRDefault="00035F8E" w:rsidP="00035F8E">
      <w:pPr>
        <w:pStyle w:val="Body"/>
        <w:spacing w:after="0"/>
        <w:ind w:left="720"/>
        <w:rPr>
          <w:rFonts w:ascii="Arial" w:hAnsi="Arial" w:cs="Arial"/>
          <w:b/>
          <w:bCs/>
        </w:rPr>
      </w:pPr>
    </w:p>
    <w:p w14:paraId="3B61467A" w14:textId="77777777" w:rsidR="00307C87" w:rsidRDefault="00307C87" w:rsidP="00307C87">
      <w:pPr>
        <w:pStyle w:val="Body"/>
        <w:spacing w:after="0"/>
        <w:rPr>
          <w:rFonts w:ascii="Arial" w:hAnsi="Arial" w:cs="Arial"/>
        </w:rPr>
      </w:pPr>
      <w:r w:rsidRPr="00307C87">
        <w:rPr>
          <w:rFonts w:ascii="Arial" w:hAnsi="Arial" w:cs="Arial"/>
        </w:rPr>
        <w:t>Plant height (cm) was measured at harvest from the ground level to the tip of the main shoot of five randomly selected plants from each replication, and the mean value was recorded.</w:t>
      </w:r>
    </w:p>
    <w:p w14:paraId="3FFE499C" w14:textId="77777777" w:rsidR="00307C87" w:rsidRPr="00307C87" w:rsidRDefault="00307C87" w:rsidP="00307C87">
      <w:pPr>
        <w:pStyle w:val="Body"/>
        <w:spacing w:after="0"/>
        <w:rPr>
          <w:rFonts w:ascii="Arial" w:hAnsi="Arial" w:cs="Arial"/>
        </w:rPr>
      </w:pPr>
    </w:p>
    <w:p w14:paraId="1DD97D0E"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Leaf area index (LAI):</w:t>
      </w:r>
    </w:p>
    <w:p w14:paraId="305A1C4C" w14:textId="77777777" w:rsidR="00035F8E" w:rsidRPr="00307C87" w:rsidRDefault="00035F8E" w:rsidP="00035F8E">
      <w:pPr>
        <w:pStyle w:val="Body"/>
        <w:spacing w:after="0"/>
        <w:ind w:left="720"/>
        <w:rPr>
          <w:rFonts w:ascii="Arial" w:hAnsi="Arial" w:cs="Arial"/>
          <w:b/>
          <w:bCs/>
        </w:rPr>
      </w:pPr>
    </w:p>
    <w:p w14:paraId="3B9F478C" w14:textId="360BA7C3" w:rsidR="00307C87" w:rsidRPr="00307C87" w:rsidRDefault="00307C87" w:rsidP="00307C87">
      <w:pPr>
        <w:pStyle w:val="Body"/>
        <w:spacing w:after="0"/>
        <w:rPr>
          <w:rFonts w:ascii="Arial" w:hAnsi="Arial" w:cs="Arial"/>
        </w:rPr>
      </w:pPr>
      <w:r w:rsidRPr="00307C87">
        <w:rPr>
          <w:rFonts w:ascii="Arial" w:hAnsi="Arial" w:cs="Arial"/>
        </w:rPr>
        <w:t>Leaf area was determined following the method proposed by Watson (1952).The LAI was calculated using the formula:</w:t>
      </w:r>
    </w:p>
    <w:p w14:paraId="688887F2" w14:textId="22182515"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Leaf Area Index=</m:t>
          </m:r>
          <m:f>
            <m:fPr>
              <m:ctrlPr>
                <w:rPr>
                  <w:rFonts w:ascii="Cambria Math" w:hAnsi="Cambria Math" w:cs="Arial"/>
                  <w:i/>
                  <w:lang w:val="en-IN"/>
                </w:rPr>
              </m:ctrlPr>
            </m:fPr>
            <m:num>
              <m:r>
                <w:rPr>
                  <w:rFonts w:ascii="Cambria Math" w:hAnsi="Cambria Math" w:cs="Arial"/>
                  <w:lang w:val="en-IN"/>
                </w:rPr>
                <m:t>Total leaf area (c</m:t>
              </m:r>
              <m:sSup>
                <m:sSupPr>
                  <m:ctrlPr>
                    <w:rPr>
                      <w:rFonts w:ascii="Cambria Math" w:hAnsi="Cambria Math" w:cs="Arial"/>
                      <w:i/>
                      <w:lang w:val="en-IN"/>
                    </w:rPr>
                  </m:ctrlPr>
                </m:sSupPr>
                <m:e>
                  <m:r>
                    <w:rPr>
                      <w:rFonts w:ascii="Cambria Math" w:hAnsi="Cambria Math" w:cs="Arial"/>
                      <w:lang w:val="en-IN"/>
                    </w:rPr>
                    <m:t>m</m:t>
                  </m:r>
                </m:e>
                <m:sup>
                  <m:r>
                    <w:rPr>
                      <w:rFonts w:ascii="Cambria Math" w:hAnsi="Cambria Math" w:cs="Arial"/>
                      <w:lang w:val="en-IN"/>
                    </w:rPr>
                    <m:t>2</m:t>
                  </m:r>
                </m:sup>
              </m:sSup>
              <m:r>
                <w:rPr>
                  <w:rFonts w:ascii="Cambria Math" w:hAnsi="Cambria Math" w:cs="Arial"/>
                  <w:lang w:val="en-IN"/>
                </w:rPr>
                <m:t>)</m:t>
              </m:r>
            </m:num>
            <m:den>
              <m:r>
                <w:rPr>
                  <w:rFonts w:ascii="Cambria Math" w:hAnsi="Cambria Math" w:cs="Arial"/>
                  <w:lang w:val="en-IN"/>
                </w:rPr>
                <m:t>Ground area (c</m:t>
              </m:r>
              <m:sSup>
                <m:sSupPr>
                  <m:ctrlPr>
                    <w:rPr>
                      <w:rFonts w:ascii="Cambria Math" w:hAnsi="Cambria Math" w:cs="Arial"/>
                      <w:i/>
                      <w:lang w:val="en-IN"/>
                    </w:rPr>
                  </m:ctrlPr>
                </m:sSupPr>
                <m:e>
                  <m:r>
                    <w:rPr>
                      <w:rFonts w:ascii="Cambria Math" w:hAnsi="Cambria Math" w:cs="Arial"/>
                      <w:lang w:val="en-IN"/>
                    </w:rPr>
                    <m:t>m</m:t>
                  </m:r>
                </m:e>
                <m:sup>
                  <m:r>
                    <w:rPr>
                      <w:rFonts w:ascii="Cambria Math" w:hAnsi="Cambria Math" w:cs="Arial"/>
                      <w:lang w:val="en-IN"/>
                    </w:rPr>
                    <m:t>2</m:t>
                  </m:r>
                </m:sup>
              </m:sSup>
              <m:r>
                <w:rPr>
                  <w:rFonts w:ascii="Cambria Math" w:hAnsi="Cambria Math" w:cs="Arial"/>
                  <w:lang w:val="en-IN"/>
                </w:rPr>
                <m:t>)</m:t>
              </m:r>
            </m:den>
          </m:f>
        </m:oMath>
      </m:oMathPara>
    </w:p>
    <w:p w14:paraId="3CA70D48" w14:textId="77777777" w:rsidR="00307C87" w:rsidRPr="00307C87" w:rsidRDefault="00307C87" w:rsidP="00307C87">
      <w:pPr>
        <w:pStyle w:val="Body"/>
        <w:spacing w:after="0"/>
        <w:rPr>
          <w:rFonts w:ascii="Arial" w:hAnsi="Arial" w:cs="Arial"/>
          <w:lang w:val="en-IN"/>
        </w:rPr>
      </w:pPr>
    </w:p>
    <w:p w14:paraId="58D430B2"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Green fodder yield per plant:</w:t>
      </w:r>
    </w:p>
    <w:p w14:paraId="49CB7864" w14:textId="77777777" w:rsidR="00035F8E" w:rsidRPr="00307C87" w:rsidRDefault="00035F8E" w:rsidP="00035F8E">
      <w:pPr>
        <w:pStyle w:val="Body"/>
        <w:spacing w:after="0"/>
        <w:ind w:left="720"/>
        <w:rPr>
          <w:rFonts w:ascii="Arial" w:hAnsi="Arial" w:cs="Arial"/>
          <w:b/>
          <w:bCs/>
        </w:rPr>
      </w:pPr>
    </w:p>
    <w:p w14:paraId="5F5CF813" w14:textId="77777777" w:rsidR="00307C87" w:rsidRDefault="00307C87" w:rsidP="00307C87">
      <w:pPr>
        <w:pStyle w:val="Body"/>
        <w:spacing w:after="0"/>
        <w:rPr>
          <w:rFonts w:ascii="Arial" w:hAnsi="Arial" w:cs="Arial"/>
        </w:rPr>
      </w:pPr>
      <w:r w:rsidRPr="00307C87">
        <w:rPr>
          <w:rFonts w:ascii="Arial" w:hAnsi="Arial" w:cs="Arial"/>
        </w:rPr>
        <w:t>Green fodder yield was recorded by harvesting the plants at 45 days after sowing (DAS). The fresh weight of fodder per plant was expressed in grams per plant.</w:t>
      </w:r>
    </w:p>
    <w:p w14:paraId="0128C9EB" w14:textId="77777777" w:rsidR="00307C87" w:rsidRPr="00307C87" w:rsidRDefault="00307C87" w:rsidP="00307C87">
      <w:pPr>
        <w:pStyle w:val="Body"/>
        <w:spacing w:after="0"/>
        <w:rPr>
          <w:rFonts w:ascii="Arial" w:hAnsi="Arial" w:cs="Arial"/>
        </w:rPr>
      </w:pPr>
    </w:p>
    <w:p w14:paraId="0CA5E1D3"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Dry fodder yield per plant:</w:t>
      </w:r>
    </w:p>
    <w:p w14:paraId="0BBD719B" w14:textId="77777777" w:rsidR="00035F8E" w:rsidRPr="00307C87" w:rsidRDefault="00035F8E" w:rsidP="00035F8E">
      <w:pPr>
        <w:pStyle w:val="Body"/>
        <w:spacing w:after="0"/>
        <w:ind w:left="720"/>
        <w:rPr>
          <w:rFonts w:ascii="Arial" w:hAnsi="Arial" w:cs="Arial"/>
          <w:b/>
          <w:bCs/>
        </w:rPr>
      </w:pPr>
    </w:p>
    <w:p w14:paraId="52D504DD" w14:textId="77777777" w:rsidR="00307C87" w:rsidRDefault="00307C87" w:rsidP="00307C87">
      <w:pPr>
        <w:pStyle w:val="Body"/>
        <w:spacing w:after="0"/>
        <w:rPr>
          <w:rFonts w:ascii="Arial" w:hAnsi="Arial" w:cs="Arial"/>
        </w:rPr>
      </w:pPr>
      <w:r w:rsidRPr="00307C87">
        <w:rPr>
          <w:rFonts w:ascii="Arial" w:hAnsi="Arial" w:cs="Arial"/>
        </w:rPr>
        <w:t>Dry matter yield was estimated by oven-drying the green fodder samples at 80°C for 48 hours until a constant weight was achieved. The dry fodder yield was expressed in grams per plant.</w:t>
      </w:r>
    </w:p>
    <w:p w14:paraId="68153BFA" w14:textId="77777777" w:rsidR="00307C87" w:rsidRPr="00307C87" w:rsidRDefault="00307C87" w:rsidP="00307C87">
      <w:pPr>
        <w:pStyle w:val="Body"/>
        <w:spacing w:after="0"/>
        <w:rPr>
          <w:rFonts w:ascii="Arial" w:hAnsi="Arial" w:cs="Arial"/>
        </w:rPr>
      </w:pPr>
    </w:p>
    <w:p w14:paraId="51286861" w14:textId="77777777" w:rsidR="00307C87" w:rsidRPr="00307C87" w:rsidRDefault="00307C87" w:rsidP="00F85103">
      <w:pPr>
        <w:pStyle w:val="Body"/>
        <w:numPr>
          <w:ilvl w:val="2"/>
          <w:numId w:val="33"/>
        </w:numPr>
        <w:spacing w:after="0"/>
        <w:rPr>
          <w:rFonts w:ascii="Arial" w:hAnsi="Arial" w:cs="Arial"/>
          <w:b/>
          <w:bCs/>
        </w:rPr>
      </w:pPr>
      <w:r w:rsidRPr="00307C87">
        <w:rPr>
          <w:rFonts w:ascii="Arial" w:hAnsi="Arial" w:cs="Arial"/>
          <w:b/>
          <w:bCs/>
        </w:rPr>
        <w:t>Physiological Parameters</w:t>
      </w:r>
    </w:p>
    <w:p w14:paraId="16391FC4" w14:textId="77777777" w:rsidR="00307C87" w:rsidRPr="00307C87" w:rsidRDefault="00307C87" w:rsidP="00307C87">
      <w:pPr>
        <w:pStyle w:val="Body"/>
        <w:spacing w:after="0"/>
        <w:rPr>
          <w:rFonts w:ascii="Arial" w:hAnsi="Arial" w:cs="Arial"/>
          <w:b/>
          <w:bCs/>
        </w:rPr>
      </w:pPr>
    </w:p>
    <w:p w14:paraId="28846378" w14:textId="77777777" w:rsidR="00307C87" w:rsidRP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Relative water content (RWC):</w:t>
      </w:r>
    </w:p>
    <w:p w14:paraId="79E8AE15" w14:textId="77777777" w:rsidR="00307C87" w:rsidRDefault="00307C87" w:rsidP="00307C87">
      <w:pPr>
        <w:pStyle w:val="Body"/>
        <w:spacing w:after="0"/>
        <w:rPr>
          <w:rFonts w:ascii="Arial" w:hAnsi="Arial" w:cs="Arial"/>
        </w:rPr>
      </w:pPr>
      <w:r w:rsidRPr="00307C87">
        <w:rPr>
          <w:rFonts w:ascii="Arial" w:hAnsi="Arial" w:cs="Arial"/>
        </w:rPr>
        <w:t>RWC was determined at the flowering stage following the method of Barr and Weatherly (1962). RWC was calculated as follows and expressed in %:</w:t>
      </w:r>
    </w:p>
    <w:p w14:paraId="0E0CCD34" w14:textId="77777777" w:rsidR="00035F8E" w:rsidRPr="00307C87" w:rsidRDefault="00035F8E" w:rsidP="00307C87">
      <w:pPr>
        <w:pStyle w:val="Body"/>
        <w:spacing w:after="0"/>
        <w:rPr>
          <w:rFonts w:ascii="Arial" w:hAnsi="Arial" w:cs="Arial"/>
        </w:rPr>
      </w:pPr>
    </w:p>
    <w:p w14:paraId="6E6B645F" w14:textId="0FF00513"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 xml:space="preserve">RWC= </m:t>
          </m:r>
          <m:f>
            <m:fPr>
              <m:ctrlPr>
                <w:rPr>
                  <w:rFonts w:ascii="Cambria Math" w:hAnsi="Cambria Math" w:cs="Arial"/>
                  <w:i/>
                  <w:lang w:val="en-IN"/>
                </w:rPr>
              </m:ctrlPr>
            </m:fPr>
            <m:num>
              <m:r>
                <w:rPr>
                  <w:rFonts w:ascii="Cambria Math" w:hAnsi="Cambria Math" w:cs="Arial"/>
                  <w:lang w:val="en-IN"/>
                </w:rPr>
                <m:t>Fresh weight-Dry weight</m:t>
              </m:r>
            </m:num>
            <m:den>
              <m:r>
                <w:rPr>
                  <w:rFonts w:ascii="Cambria Math" w:hAnsi="Cambria Math" w:cs="Arial"/>
                  <w:lang w:val="en-IN"/>
                </w:rPr>
                <m:t>Turgid weight-Dry weight</m:t>
              </m:r>
            </m:den>
          </m:f>
          <m:r>
            <w:rPr>
              <w:rFonts w:ascii="Cambria Math" w:hAnsi="Cambria Math" w:cs="Arial"/>
              <w:lang w:val="en-IN"/>
            </w:rPr>
            <m:t xml:space="preserve"> ×100</m:t>
          </m:r>
        </m:oMath>
      </m:oMathPara>
    </w:p>
    <w:p w14:paraId="375BE6E7" w14:textId="77777777" w:rsidR="00307C87" w:rsidRPr="00307C87" w:rsidRDefault="00307C87" w:rsidP="00307C87">
      <w:pPr>
        <w:pStyle w:val="Body"/>
        <w:spacing w:after="0"/>
        <w:rPr>
          <w:rFonts w:ascii="Arial" w:hAnsi="Arial" w:cs="Arial"/>
          <w:lang w:val="en-IN"/>
        </w:rPr>
      </w:pPr>
    </w:p>
    <w:p w14:paraId="28F67D62"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Total chlorophyll content:</w:t>
      </w:r>
    </w:p>
    <w:p w14:paraId="719E34F5" w14:textId="77777777" w:rsidR="00035F8E" w:rsidRPr="00307C87" w:rsidRDefault="00035F8E" w:rsidP="00035F8E">
      <w:pPr>
        <w:pStyle w:val="Body"/>
        <w:spacing w:after="0"/>
        <w:ind w:left="720"/>
        <w:rPr>
          <w:rFonts w:ascii="Arial" w:hAnsi="Arial" w:cs="Arial"/>
          <w:b/>
          <w:bCs/>
        </w:rPr>
      </w:pPr>
    </w:p>
    <w:p w14:paraId="1334EF99" w14:textId="77777777" w:rsidR="00307C87" w:rsidRDefault="00307C87" w:rsidP="00307C87">
      <w:pPr>
        <w:pStyle w:val="Body"/>
        <w:spacing w:after="0"/>
        <w:rPr>
          <w:rFonts w:ascii="Arial" w:hAnsi="Arial" w:cs="Arial"/>
        </w:rPr>
      </w:pPr>
      <w:r w:rsidRPr="00307C87">
        <w:rPr>
          <w:rFonts w:ascii="Arial" w:hAnsi="Arial" w:cs="Arial"/>
        </w:rPr>
        <w:t>Chlorophyll content was estimated following Arnon (1949) from 0.5 g of the third fully expanded leaf at the flowering stage. Chlorophyll content was calculated using the following equations and expressed in mg g‾¹ fresh weight:</w:t>
      </w:r>
    </w:p>
    <w:p w14:paraId="39FDAF95" w14:textId="77777777" w:rsidR="00307C87" w:rsidRPr="00307C87" w:rsidRDefault="00307C87" w:rsidP="00307C87">
      <w:pPr>
        <w:pStyle w:val="Body"/>
        <w:spacing w:after="0"/>
        <w:rPr>
          <w:rFonts w:ascii="Arial" w:hAnsi="Arial" w:cs="Arial"/>
        </w:rPr>
      </w:pPr>
    </w:p>
    <w:p w14:paraId="70D86FA2" w14:textId="048502F7" w:rsidR="00307C87" w:rsidRPr="00307C87" w:rsidRDefault="00307C87" w:rsidP="00307C87">
      <w:pPr>
        <w:pStyle w:val="Body"/>
        <w:rPr>
          <w:rFonts w:ascii="Arial" w:hAnsi="Arial" w:cs="Arial"/>
          <w:lang w:val="en-IN"/>
        </w:rPr>
      </w:pPr>
      <w:r w:rsidRPr="00307C87">
        <w:rPr>
          <w:rFonts w:ascii="Arial" w:hAnsi="Arial" w:cs="Arial"/>
          <w:lang w:val="en-IN"/>
        </w:rPr>
        <w:t>Chlorophyll a (mg g</w:t>
      </w:r>
      <w:r w:rsidRPr="00035F8E">
        <w:rPr>
          <w:rFonts w:ascii="Arial" w:hAnsi="Arial" w:cs="Arial"/>
          <w:vertAlign w:val="superscript"/>
          <w:lang w:val="en-IN"/>
        </w:rPr>
        <w:t>-1</w:t>
      </w:r>
      <w:r w:rsidRPr="00307C87">
        <w:rPr>
          <w:rFonts w:ascii="Arial" w:hAnsi="Arial" w:cs="Arial"/>
          <w:lang w:val="en-IN"/>
        </w:rPr>
        <w:t>) = (12.7 × A</w:t>
      </w:r>
      <w:r w:rsidRPr="00307C87">
        <w:rPr>
          <w:rFonts w:ascii="Arial" w:hAnsi="Arial" w:cs="Arial"/>
          <w:vertAlign w:val="subscript"/>
          <w:lang w:val="en-IN"/>
        </w:rPr>
        <w:t>663</w:t>
      </w:r>
      <w:r w:rsidRPr="00307C87">
        <w:rPr>
          <w:rFonts w:ascii="Arial" w:hAnsi="Arial" w:cs="Arial"/>
          <w:lang w:val="en-IN"/>
        </w:rPr>
        <w:t xml:space="preserve"> - 2.69 × A</w:t>
      </w:r>
      <w:r w:rsidRPr="00307C87">
        <w:rPr>
          <w:rFonts w:ascii="Arial" w:hAnsi="Arial" w:cs="Arial"/>
          <w:vertAlign w:val="subscript"/>
          <w:lang w:val="en-IN"/>
        </w:rPr>
        <w:t>645</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A3F9CC1" w14:textId="3053C86D" w:rsidR="00307C87" w:rsidRPr="00307C87" w:rsidRDefault="00307C87" w:rsidP="00307C87">
      <w:pPr>
        <w:pStyle w:val="Body"/>
        <w:rPr>
          <w:rFonts w:ascii="Arial" w:hAnsi="Arial" w:cs="Arial"/>
          <w:lang w:val="en-IN"/>
        </w:rPr>
      </w:pPr>
      <w:r w:rsidRPr="00307C87">
        <w:rPr>
          <w:rFonts w:ascii="Arial" w:hAnsi="Arial" w:cs="Arial"/>
          <w:lang w:val="en-IN"/>
        </w:rPr>
        <w:t>Chlorophyll b (mg g</w:t>
      </w:r>
      <w:r w:rsidRPr="00035F8E">
        <w:rPr>
          <w:rFonts w:ascii="Arial" w:hAnsi="Arial" w:cs="Arial"/>
          <w:vertAlign w:val="superscript"/>
          <w:lang w:val="en-IN"/>
        </w:rPr>
        <w:t>-1</w:t>
      </w:r>
      <w:r w:rsidRPr="00307C87">
        <w:rPr>
          <w:rFonts w:ascii="Arial" w:hAnsi="Arial" w:cs="Arial"/>
          <w:lang w:val="en-IN"/>
        </w:rPr>
        <w:t>) = (22.9 × A</w:t>
      </w:r>
      <w:r w:rsidRPr="00307C87">
        <w:rPr>
          <w:rFonts w:ascii="Arial" w:hAnsi="Arial" w:cs="Arial"/>
          <w:vertAlign w:val="subscript"/>
          <w:lang w:val="en-IN"/>
        </w:rPr>
        <w:t>645</w:t>
      </w:r>
      <w:r w:rsidRPr="00307C87">
        <w:rPr>
          <w:rFonts w:ascii="Arial" w:hAnsi="Arial" w:cs="Arial"/>
          <w:lang w:val="en-IN"/>
        </w:rPr>
        <w:t xml:space="preserve"> – 4.68 × A</w:t>
      </w:r>
      <w:r w:rsidRPr="00307C87">
        <w:rPr>
          <w:rFonts w:ascii="Arial" w:hAnsi="Arial" w:cs="Arial"/>
          <w:vertAlign w:val="subscript"/>
          <w:lang w:val="en-IN"/>
        </w:rPr>
        <w:t>663</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56D582E" w14:textId="59630C13" w:rsidR="00307C87" w:rsidRPr="00307C87" w:rsidRDefault="00307C87" w:rsidP="00307C87">
      <w:pPr>
        <w:pStyle w:val="Body"/>
        <w:rPr>
          <w:rFonts w:ascii="Arial" w:hAnsi="Arial" w:cs="Arial"/>
          <w:lang w:val="en-IN"/>
        </w:rPr>
      </w:pPr>
      <w:r w:rsidRPr="00307C87">
        <w:rPr>
          <w:rFonts w:ascii="Arial" w:hAnsi="Arial" w:cs="Arial"/>
          <w:lang w:val="en-IN"/>
        </w:rPr>
        <w:t>Total chlorophyll (mg g</w:t>
      </w:r>
      <w:r w:rsidRPr="00035F8E">
        <w:rPr>
          <w:rFonts w:ascii="Arial" w:hAnsi="Arial" w:cs="Arial"/>
          <w:vertAlign w:val="superscript"/>
          <w:lang w:val="en-IN"/>
        </w:rPr>
        <w:t>-1</w:t>
      </w:r>
      <w:r w:rsidRPr="00307C87">
        <w:rPr>
          <w:rFonts w:ascii="Arial" w:hAnsi="Arial" w:cs="Arial"/>
          <w:lang w:val="en-IN"/>
        </w:rPr>
        <w:t>) = (20.2 × A</w:t>
      </w:r>
      <w:r w:rsidRPr="00307C87">
        <w:rPr>
          <w:rFonts w:ascii="Arial" w:hAnsi="Arial" w:cs="Arial"/>
          <w:vertAlign w:val="subscript"/>
          <w:lang w:val="en-IN"/>
        </w:rPr>
        <w:t>645</w:t>
      </w:r>
      <w:r w:rsidRPr="00307C87">
        <w:rPr>
          <w:rFonts w:ascii="Arial" w:hAnsi="Arial" w:cs="Arial"/>
          <w:lang w:val="en-IN"/>
        </w:rPr>
        <w:t xml:space="preserve"> + 8.02 ×A</w:t>
      </w:r>
      <w:r w:rsidRPr="00307C87">
        <w:rPr>
          <w:rFonts w:ascii="Arial" w:hAnsi="Arial" w:cs="Arial"/>
          <w:vertAlign w:val="subscript"/>
          <w:lang w:val="en-IN"/>
        </w:rPr>
        <w:t>663</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EDC9BCD" w14:textId="6CF6E97E" w:rsidR="00307C87" w:rsidRPr="00307C87" w:rsidRDefault="00307C87" w:rsidP="00307C87">
      <w:pPr>
        <w:pStyle w:val="Body"/>
        <w:rPr>
          <w:rFonts w:ascii="Arial" w:hAnsi="Arial" w:cs="Arial"/>
          <w:lang w:val="en-IN"/>
        </w:rPr>
      </w:pPr>
      <w:r w:rsidRPr="00307C87">
        <w:rPr>
          <w:rFonts w:ascii="Arial" w:hAnsi="Arial" w:cs="Arial"/>
          <w:lang w:val="en-IN"/>
        </w:rPr>
        <w:lastRenderedPageBreak/>
        <w:t xml:space="preserve">Where, A = absorbance at specific wavelength, </w:t>
      </w:r>
    </w:p>
    <w:p w14:paraId="3051DF11" w14:textId="77777777" w:rsidR="00307C87" w:rsidRPr="00307C87" w:rsidRDefault="00307C87" w:rsidP="00307C87">
      <w:pPr>
        <w:pStyle w:val="Body"/>
        <w:rPr>
          <w:rFonts w:ascii="Arial" w:hAnsi="Arial" w:cs="Arial"/>
          <w:lang w:val="en-IN"/>
        </w:rPr>
      </w:pPr>
      <w:r w:rsidRPr="00307C87">
        <w:rPr>
          <w:rFonts w:ascii="Arial" w:hAnsi="Arial" w:cs="Arial"/>
          <w:lang w:val="en-IN"/>
        </w:rPr>
        <w:t xml:space="preserve">V = final volume of chlorophyll extract in 80% Acetone: DMSO mixture; </w:t>
      </w:r>
    </w:p>
    <w:p w14:paraId="4FE74F9D" w14:textId="77777777" w:rsidR="00307C87" w:rsidRPr="00307C87" w:rsidRDefault="00307C87" w:rsidP="00307C87">
      <w:pPr>
        <w:pStyle w:val="Body"/>
        <w:rPr>
          <w:rFonts w:ascii="Arial" w:hAnsi="Arial" w:cs="Arial"/>
          <w:lang w:val="en-IN"/>
        </w:rPr>
      </w:pPr>
      <w:r w:rsidRPr="00307C87">
        <w:rPr>
          <w:rFonts w:ascii="Arial" w:hAnsi="Arial" w:cs="Arial"/>
          <w:lang w:val="en-IN"/>
        </w:rPr>
        <w:t>W = fresh weight of tissue extracted</w:t>
      </w:r>
    </w:p>
    <w:p w14:paraId="77E61BF7"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Proline content:</w:t>
      </w:r>
    </w:p>
    <w:p w14:paraId="37C3F9A4" w14:textId="77777777" w:rsidR="00035F8E" w:rsidRPr="00307C87" w:rsidRDefault="00035F8E" w:rsidP="00035F8E">
      <w:pPr>
        <w:pStyle w:val="Body"/>
        <w:spacing w:after="0"/>
        <w:ind w:left="720"/>
        <w:rPr>
          <w:rFonts w:ascii="Arial" w:hAnsi="Arial" w:cs="Arial"/>
          <w:b/>
          <w:bCs/>
          <w:lang w:val="en-IN"/>
        </w:rPr>
      </w:pPr>
    </w:p>
    <w:p w14:paraId="51CBBC14" w14:textId="77777777" w:rsidR="00307C87" w:rsidRDefault="00307C87" w:rsidP="00307C87">
      <w:pPr>
        <w:pStyle w:val="Body"/>
        <w:spacing w:after="0"/>
        <w:rPr>
          <w:rFonts w:ascii="Arial" w:hAnsi="Arial" w:cs="Arial"/>
          <w:lang w:val="en-IN"/>
        </w:rPr>
      </w:pPr>
      <w:r w:rsidRPr="00307C87">
        <w:rPr>
          <w:rFonts w:ascii="Arial" w:hAnsi="Arial" w:cs="Arial"/>
          <w:lang w:val="en-IN"/>
        </w:rPr>
        <w:t>Proline content was estimated at flowering using the acid ninhydrin method (Sadasivam and Manickam, 1996). Proline concentration was calculated using a standard curve and expressed as μmol g</w:t>
      </w:r>
      <w:r w:rsidRPr="00307C87">
        <w:rPr>
          <w:rFonts w:ascii="Cambria Math" w:hAnsi="Cambria Math" w:cs="Cambria Math"/>
          <w:lang w:val="en-IN"/>
        </w:rPr>
        <w:t>⁻</w:t>
      </w:r>
      <w:r w:rsidRPr="00307C87">
        <w:rPr>
          <w:rFonts w:ascii="Arial" w:hAnsi="Arial" w:cs="Arial"/>
          <w:lang w:val="en-IN"/>
        </w:rPr>
        <w:t>¹ fresh weight using the formula:</w:t>
      </w:r>
    </w:p>
    <w:p w14:paraId="5FD95A36" w14:textId="77777777" w:rsidR="00307C87" w:rsidRPr="00307C87" w:rsidRDefault="00307C87" w:rsidP="00307C87">
      <w:pPr>
        <w:pStyle w:val="Body"/>
        <w:spacing w:after="0"/>
        <w:rPr>
          <w:rFonts w:ascii="Arial" w:hAnsi="Arial" w:cs="Arial"/>
          <w:lang w:val="en-IN"/>
        </w:rPr>
      </w:pPr>
    </w:p>
    <w:p w14:paraId="0FFB3418" w14:textId="4167DACB" w:rsidR="00307C87" w:rsidRDefault="00307C87" w:rsidP="00307C87">
      <w:pPr>
        <w:pStyle w:val="Body"/>
        <w:spacing w:after="0"/>
        <w:rPr>
          <w:rFonts w:ascii="Arial" w:hAnsi="Arial" w:cs="Arial"/>
          <w:lang w:val="en-IN"/>
        </w:rPr>
      </w:pPr>
      <w:r>
        <w:rPr>
          <w:rFonts w:ascii="Arial" w:hAnsi="Arial" w:cs="Arial"/>
          <w:lang w:val="en-IN"/>
        </w:rPr>
        <w:t xml:space="preserve">                                 </w:t>
      </w:r>
      <w:r w:rsidRPr="00307C87">
        <w:rPr>
          <w:rFonts w:ascii="Arial" w:hAnsi="Arial" w:cs="Arial"/>
          <w:lang w:val="en-IN"/>
        </w:rPr>
        <w:t>Proline content (μmol g</w:t>
      </w:r>
      <w:r w:rsidRPr="00035F8E">
        <w:rPr>
          <w:rFonts w:ascii="Arial" w:hAnsi="Arial" w:cs="Arial"/>
          <w:vertAlign w:val="superscript"/>
          <w:lang w:val="en-IN"/>
        </w:rPr>
        <w:t>-1</w:t>
      </w:r>
      <w:r w:rsidRPr="00307C87">
        <w:rPr>
          <w:rFonts w:ascii="Arial" w:hAnsi="Arial" w:cs="Arial"/>
          <w:lang w:val="en-IN"/>
        </w:rPr>
        <w:t xml:space="preserve">) = </w:t>
      </w:r>
      <m:oMath>
        <m:f>
          <m:fPr>
            <m:ctrlPr>
              <w:rPr>
                <w:rFonts w:ascii="Cambria Math" w:hAnsi="Cambria Math" w:cs="Arial"/>
                <w:i/>
                <w:lang w:val="en-IN"/>
              </w:rPr>
            </m:ctrlPr>
          </m:fPr>
          <m:num>
            <m:d>
              <m:dPr>
                <m:ctrlPr>
                  <w:rPr>
                    <w:rFonts w:ascii="Cambria Math" w:hAnsi="Cambria Math" w:cs="Arial"/>
                    <w:i/>
                    <w:lang w:val="en-IN"/>
                  </w:rPr>
                </m:ctrlPr>
              </m:dPr>
              <m:e>
                <m:r>
                  <w:rPr>
                    <w:rFonts w:ascii="Cambria Math" w:hAnsi="Cambria Math" w:cs="Arial"/>
                    <w:lang w:val="en-IN"/>
                  </w:rPr>
                  <m:t>μ</m:t>
                </m:r>
                <m:f>
                  <m:fPr>
                    <m:ctrlPr>
                      <w:rPr>
                        <w:rFonts w:ascii="Cambria Math" w:hAnsi="Cambria Math" w:cs="Arial"/>
                        <w:i/>
                        <w:lang w:val="en-IN"/>
                      </w:rPr>
                    </m:ctrlPr>
                  </m:fPr>
                  <m:num>
                    <m:r>
                      <w:rPr>
                        <w:rFonts w:ascii="Cambria Math" w:hAnsi="Cambria Math" w:cs="Arial"/>
                        <w:lang w:val="en-IN"/>
                      </w:rPr>
                      <m:t>proline</m:t>
                    </m:r>
                  </m:num>
                  <m:den>
                    <m:r>
                      <w:rPr>
                        <w:rFonts w:ascii="Cambria Math" w:hAnsi="Cambria Math" w:cs="Arial"/>
                        <w:lang w:val="en-IN"/>
                      </w:rPr>
                      <m:t>ml</m:t>
                    </m:r>
                  </m:den>
                </m:f>
                <m:r>
                  <w:rPr>
                    <w:rFonts w:ascii="Cambria Math" w:hAnsi="Cambria Math" w:cs="Arial"/>
                    <w:lang w:val="en-IN"/>
                  </w:rPr>
                  <m:t>× ml toluene</m:t>
                </m:r>
              </m:e>
            </m:d>
          </m:num>
          <m:den>
            <m:r>
              <w:rPr>
                <w:rFonts w:ascii="Cambria Math" w:hAnsi="Cambria Math" w:cs="Arial"/>
                <w:lang w:val="en-IN"/>
              </w:rPr>
              <m:t>115.5</m:t>
            </m:r>
          </m:den>
        </m:f>
      </m:oMath>
      <w:r w:rsidRPr="00307C87">
        <w:rPr>
          <w:rFonts w:ascii="Arial" w:hAnsi="Arial" w:cs="Arial"/>
          <w:lang w:val="en-IN"/>
        </w:rPr>
        <w:t xml:space="preserve"> × </w:t>
      </w:r>
      <m:oMath>
        <m:f>
          <m:fPr>
            <m:ctrlPr>
              <w:rPr>
                <w:rFonts w:ascii="Cambria Math" w:hAnsi="Cambria Math" w:cs="Arial"/>
                <w:i/>
                <w:lang w:val="en-IN"/>
              </w:rPr>
            </m:ctrlPr>
          </m:fPr>
          <m:num>
            <m:r>
              <w:rPr>
                <w:rFonts w:ascii="Cambria Math" w:hAnsi="Cambria Math" w:cs="Arial"/>
                <w:lang w:val="en-IN"/>
              </w:rPr>
              <m:t>5</m:t>
            </m:r>
          </m:num>
          <m:den>
            <m:r>
              <w:rPr>
                <w:rFonts w:ascii="Cambria Math" w:hAnsi="Cambria Math" w:cs="Arial"/>
                <w:lang w:val="en-IN"/>
              </w:rPr>
              <m:t xml:space="preserve">g sample </m:t>
            </m:r>
          </m:den>
        </m:f>
      </m:oMath>
    </w:p>
    <w:p w14:paraId="099CE01E" w14:textId="77777777" w:rsidR="00307C87" w:rsidRPr="00307C87" w:rsidRDefault="00307C87" w:rsidP="00307C87">
      <w:pPr>
        <w:pStyle w:val="Body"/>
        <w:spacing w:after="0"/>
        <w:rPr>
          <w:rFonts w:ascii="Arial" w:hAnsi="Arial" w:cs="Arial"/>
          <w:lang w:val="en-IN"/>
        </w:rPr>
      </w:pPr>
    </w:p>
    <w:p w14:paraId="330A349E"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Peroxidase (PO) activity:</w:t>
      </w:r>
    </w:p>
    <w:p w14:paraId="3969386D" w14:textId="77777777" w:rsidR="00035F8E" w:rsidRPr="00307C87" w:rsidRDefault="00035F8E" w:rsidP="00035F8E">
      <w:pPr>
        <w:pStyle w:val="Body"/>
        <w:spacing w:after="0"/>
        <w:ind w:left="720"/>
        <w:rPr>
          <w:rFonts w:ascii="Arial" w:hAnsi="Arial" w:cs="Arial"/>
          <w:b/>
          <w:bCs/>
          <w:lang w:val="en-IN"/>
        </w:rPr>
      </w:pPr>
    </w:p>
    <w:p w14:paraId="47F1B5AE" w14:textId="4C2E9EE5" w:rsidR="00307C87" w:rsidRPr="00307C87" w:rsidRDefault="00307C87" w:rsidP="00307C87">
      <w:pPr>
        <w:pStyle w:val="Body"/>
        <w:rPr>
          <w:rFonts w:ascii="Arial" w:hAnsi="Arial" w:cs="Arial"/>
          <w:lang w:val="en-IN"/>
        </w:rPr>
      </w:pPr>
      <w:r w:rsidRPr="00307C87">
        <w:rPr>
          <w:rFonts w:ascii="Arial" w:hAnsi="Arial" w:cs="Arial"/>
          <w:lang w:val="en-IN"/>
        </w:rPr>
        <w:t>Peroxidase activity was estimated following Srivastava (1987). The absorbance change was recorded at 420 nm at 30-second intervals and activity is expressed in g‾¹min‾¹.</w:t>
      </w:r>
    </w:p>
    <w:p w14:paraId="1ED3B88B"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Cell membrane stability index (MSI):</w:t>
      </w:r>
    </w:p>
    <w:p w14:paraId="279EBF2C" w14:textId="77777777" w:rsidR="00035F8E" w:rsidRPr="00307C87" w:rsidRDefault="00035F8E" w:rsidP="00035F8E">
      <w:pPr>
        <w:pStyle w:val="Body"/>
        <w:spacing w:after="0"/>
        <w:ind w:left="720"/>
        <w:rPr>
          <w:rFonts w:ascii="Arial" w:hAnsi="Arial" w:cs="Arial"/>
          <w:b/>
          <w:bCs/>
          <w:lang w:val="en-IN"/>
        </w:rPr>
      </w:pPr>
    </w:p>
    <w:p w14:paraId="3B5B684A" w14:textId="77777777" w:rsidR="00307C87" w:rsidRDefault="00307C87" w:rsidP="00307C87">
      <w:pPr>
        <w:pStyle w:val="Body"/>
        <w:spacing w:after="0"/>
        <w:rPr>
          <w:rFonts w:ascii="Arial" w:hAnsi="Arial" w:cs="Arial"/>
          <w:lang w:val="en-IN"/>
        </w:rPr>
      </w:pPr>
      <w:r w:rsidRPr="00307C87">
        <w:rPr>
          <w:rFonts w:ascii="Arial" w:hAnsi="Arial" w:cs="Arial"/>
          <w:lang w:val="en-IN"/>
        </w:rPr>
        <w:t>MSI was determined as per Sullivan and Ross (1979) at 45 DAS. MSI was calculated using the formula and expressed as %.</w:t>
      </w:r>
    </w:p>
    <w:p w14:paraId="4557ABD2" w14:textId="77777777" w:rsidR="00307C87" w:rsidRPr="00307C87" w:rsidRDefault="00307C87" w:rsidP="00307C87">
      <w:pPr>
        <w:pStyle w:val="Body"/>
        <w:spacing w:after="0"/>
        <w:rPr>
          <w:rFonts w:ascii="Arial" w:hAnsi="Arial" w:cs="Arial"/>
          <w:lang w:val="en-IN"/>
        </w:rPr>
      </w:pPr>
    </w:p>
    <w:p w14:paraId="3CBCB6C6" w14:textId="4F21718F"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 xml:space="preserve">Membrane stability index </m:t>
          </m:r>
          <m:d>
            <m:dPr>
              <m:ctrlPr>
                <w:rPr>
                  <w:rFonts w:ascii="Cambria Math" w:hAnsi="Cambria Math" w:cs="Arial"/>
                  <w:i/>
                  <w:lang w:val="en-IN"/>
                </w:rPr>
              </m:ctrlPr>
            </m:dPr>
            <m:e>
              <m:r>
                <w:rPr>
                  <w:rFonts w:ascii="Cambria Math" w:hAnsi="Cambria Math" w:cs="Arial"/>
                  <w:lang w:val="en-IN"/>
                </w:rPr>
                <m:t>MSI</m:t>
              </m:r>
            </m:e>
          </m:d>
          <m:r>
            <w:rPr>
              <w:rFonts w:ascii="Cambria Math" w:hAnsi="Cambria Math" w:cs="Arial"/>
              <w:lang w:val="en-IN"/>
            </w:rPr>
            <m:t xml:space="preserve">=1- </m:t>
          </m:r>
          <m:f>
            <m:fPr>
              <m:ctrlPr>
                <w:rPr>
                  <w:rFonts w:ascii="Cambria Math" w:hAnsi="Cambria Math" w:cs="Arial"/>
                  <w:i/>
                  <w:lang w:val="en-IN"/>
                </w:rPr>
              </m:ctrlPr>
            </m:fPr>
            <m:num>
              <m:r>
                <w:rPr>
                  <w:rFonts w:ascii="Cambria Math" w:hAnsi="Cambria Math" w:cs="Arial"/>
                  <w:lang w:val="en-IN"/>
                </w:rPr>
                <m:t>C₁</m:t>
              </m:r>
            </m:num>
            <m:den>
              <m:r>
                <w:rPr>
                  <w:rFonts w:ascii="Cambria Math" w:hAnsi="Cambria Math" w:cs="Arial"/>
                  <w:lang w:val="en-IN"/>
                </w:rPr>
                <m:t xml:space="preserve">C₂ </m:t>
              </m:r>
            </m:den>
          </m:f>
          <m:r>
            <w:rPr>
              <w:rFonts w:ascii="Cambria Math" w:hAnsi="Cambria Math" w:cs="Arial"/>
              <w:lang w:val="en-IN"/>
            </w:rPr>
            <m:t xml:space="preserve"> × 100</m:t>
          </m:r>
        </m:oMath>
      </m:oMathPara>
    </w:p>
    <w:p w14:paraId="2EBCA63E" w14:textId="77777777" w:rsidR="00307C87" w:rsidRPr="00307C87" w:rsidRDefault="00307C87" w:rsidP="00307C87">
      <w:pPr>
        <w:pStyle w:val="Body"/>
        <w:rPr>
          <w:rFonts w:ascii="Arial" w:hAnsi="Arial" w:cs="Arial"/>
          <w:lang w:val="en-IN"/>
        </w:rPr>
      </w:pPr>
      <w:r w:rsidRPr="00307C87">
        <w:rPr>
          <w:rFonts w:ascii="Arial" w:hAnsi="Arial" w:cs="Arial"/>
          <w:lang w:val="en-IN"/>
        </w:rPr>
        <w:t>C</w:t>
      </w:r>
      <w:r w:rsidRPr="00307C87">
        <w:rPr>
          <w:rFonts w:ascii="Cambria Math" w:hAnsi="Cambria Math" w:cs="Cambria Math"/>
          <w:lang w:val="en-IN"/>
        </w:rPr>
        <w:t>₁</w:t>
      </w:r>
      <w:r w:rsidRPr="00307C87">
        <w:rPr>
          <w:rFonts w:ascii="Arial" w:hAnsi="Arial" w:cs="Arial"/>
          <w:lang w:val="en-IN"/>
        </w:rPr>
        <w:t xml:space="preserve"> and C</w:t>
      </w:r>
      <w:r w:rsidRPr="00307C87">
        <w:rPr>
          <w:rFonts w:ascii="Cambria Math" w:hAnsi="Cambria Math" w:cs="Cambria Math"/>
          <w:lang w:val="en-IN"/>
        </w:rPr>
        <w:t>₂</w:t>
      </w:r>
      <w:r w:rsidRPr="00307C87">
        <w:rPr>
          <w:rFonts w:ascii="Arial" w:hAnsi="Arial" w:cs="Arial"/>
          <w:lang w:val="en-IN"/>
        </w:rPr>
        <w:t xml:space="preserve"> = Electrical conductivity measured at 40°C and 100°C after exposure</w:t>
      </w:r>
    </w:p>
    <w:p w14:paraId="164269F9" w14:textId="77777777" w:rsidR="00307C87" w:rsidRPr="00307C87" w:rsidRDefault="00307C87" w:rsidP="00307C87">
      <w:pPr>
        <w:pStyle w:val="Body"/>
        <w:spacing w:after="0"/>
        <w:rPr>
          <w:rFonts w:ascii="Arial" w:hAnsi="Arial" w:cs="Arial"/>
          <w:lang w:val="en-IN"/>
        </w:rPr>
      </w:pPr>
    </w:p>
    <w:p w14:paraId="0CE839F2" w14:textId="77777777" w:rsidR="00307C87" w:rsidRPr="00307C87" w:rsidRDefault="00307C87" w:rsidP="00F85103">
      <w:pPr>
        <w:pStyle w:val="Body"/>
        <w:numPr>
          <w:ilvl w:val="2"/>
          <w:numId w:val="33"/>
        </w:numPr>
        <w:spacing w:after="0"/>
        <w:rPr>
          <w:rFonts w:ascii="Arial" w:hAnsi="Arial" w:cs="Arial"/>
          <w:b/>
          <w:bCs/>
        </w:rPr>
      </w:pPr>
      <w:r w:rsidRPr="00307C87">
        <w:rPr>
          <w:rFonts w:ascii="Arial" w:hAnsi="Arial" w:cs="Arial"/>
          <w:b/>
          <w:bCs/>
        </w:rPr>
        <w:t>Qualitative Parameters</w:t>
      </w:r>
    </w:p>
    <w:p w14:paraId="4403AD24" w14:textId="77777777" w:rsidR="00307C87" w:rsidRPr="00307C87" w:rsidRDefault="00307C87" w:rsidP="00307C87">
      <w:pPr>
        <w:pStyle w:val="Body"/>
        <w:spacing w:after="0"/>
        <w:rPr>
          <w:rFonts w:ascii="Arial" w:hAnsi="Arial" w:cs="Arial"/>
          <w:b/>
          <w:bCs/>
        </w:rPr>
      </w:pPr>
    </w:p>
    <w:p w14:paraId="5C1608B5"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Crude protein content:</w:t>
      </w:r>
    </w:p>
    <w:p w14:paraId="049ACE62" w14:textId="77777777" w:rsidR="00035F8E" w:rsidRPr="00307C87" w:rsidRDefault="00035F8E" w:rsidP="00035F8E">
      <w:pPr>
        <w:pStyle w:val="Body"/>
        <w:spacing w:after="0"/>
        <w:ind w:left="720"/>
        <w:rPr>
          <w:rFonts w:ascii="Arial" w:hAnsi="Arial" w:cs="Arial"/>
          <w:b/>
          <w:bCs/>
        </w:rPr>
      </w:pPr>
    </w:p>
    <w:p w14:paraId="5458DE4C" w14:textId="77777777" w:rsidR="00307C87" w:rsidRDefault="00307C87" w:rsidP="00307C87">
      <w:pPr>
        <w:pStyle w:val="Body"/>
        <w:spacing w:after="0"/>
        <w:rPr>
          <w:rFonts w:ascii="Arial" w:hAnsi="Arial" w:cs="Arial"/>
        </w:rPr>
      </w:pPr>
      <w:r w:rsidRPr="00307C87">
        <w:rPr>
          <w:rFonts w:ascii="Arial" w:hAnsi="Arial" w:cs="Arial"/>
        </w:rPr>
        <w:t xml:space="preserve">Nitrogen content of oven-dried and powdered samples was determined by the Modified Micro-Kjeldahl method </w:t>
      </w:r>
      <w:r w:rsidRPr="00190BB6">
        <w:rPr>
          <w:rFonts w:ascii="Arial" w:hAnsi="Arial" w:cs="Arial"/>
        </w:rPr>
        <w:t>(Jackson, 1973)</w:t>
      </w:r>
      <w:r w:rsidRPr="00307C87">
        <w:rPr>
          <w:rFonts w:ascii="Arial" w:hAnsi="Arial" w:cs="Arial"/>
        </w:rPr>
        <w:t>. Crude protein content was calculated by multiplying the nitrogen percentage with a conversion factor of 6.25.</w:t>
      </w:r>
    </w:p>
    <w:p w14:paraId="6C08EB76" w14:textId="77777777" w:rsidR="00307C87" w:rsidRPr="00307C87" w:rsidRDefault="00307C87" w:rsidP="00307C87">
      <w:pPr>
        <w:pStyle w:val="Body"/>
        <w:spacing w:after="0"/>
        <w:rPr>
          <w:rFonts w:ascii="Arial" w:hAnsi="Arial" w:cs="Arial"/>
        </w:rPr>
      </w:pPr>
    </w:p>
    <w:p w14:paraId="7054DB94" w14:textId="77777777" w:rsidR="00307C87" w:rsidRDefault="00307C87" w:rsidP="00307C87">
      <w:pPr>
        <w:pStyle w:val="Body"/>
        <w:spacing w:after="0"/>
        <w:rPr>
          <w:rFonts w:ascii="Arial" w:hAnsi="Arial" w:cs="Arial"/>
          <w:lang w:val="en-IN"/>
        </w:rPr>
      </w:pPr>
      <w:r w:rsidRPr="00307C87">
        <w:rPr>
          <w:rFonts w:ascii="Arial" w:hAnsi="Arial" w:cs="Arial"/>
          <w:lang w:val="en-IN"/>
        </w:rPr>
        <w:t xml:space="preserve">         Crude protein (%) = N (%) × 6.25</w:t>
      </w:r>
    </w:p>
    <w:p w14:paraId="134104B1" w14:textId="77777777" w:rsidR="00307C87" w:rsidRPr="00307C87" w:rsidRDefault="00307C87" w:rsidP="00307C87">
      <w:pPr>
        <w:pStyle w:val="Body"/>
        <w:spacing w:after="0"/>
        <w:rPr>
          <w:rFonts w:ascii="Arial" w:hAnsi="Arial" w:cs="Arial"/>
          <w:lang w:val="en-IN"/>
        </w:rPr>
      </w:pPr>
    </w:p>
    <w:p w14:paraId="0278B208"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Crude fibre content:</w:t>
      </w:r>
    </w:p>
    <w:p w14:paraId="51B05C14" w14:textId="77777777" w:rsidR="00035F8E" w:rsidRPr="00307C87" w:rsidRDefault="00035F8E" w:rsidP="00035F8E">
      <w:pPr>
        <w:pStyle w:val="Body"/>
        <w:spacing w:after="0"/>
        <w:ind w:left="720"/>
        <w:rPr>
          <w:rFonts w:ascii="Arial" w:hAnsi="Arial" w:cs="Arial"/>
          <w:b/>
          <w:bCs/>
        </w:rPr>
      </w:pPr>
    </w:p>
    <w:p w14:paraId="6B529AB8" w14:textId="77777777" w:rsidR="00307C87" w:rsidRPr="00307C87" w:rsidRDefault="00307C87" w:rsidP="00307C87">
      <w:pPr>
        <w:pStyle w:val="Body"/>
        <w:spacing w:after="0"/>
        <w:rPr>
          <w:rFonts w:ascii="Arial" w:hAnsi="Arial" w:cs="Arial"/>
        </w:rPr>
      </w:pPr>
      <w:r w:rsidRPr="00307C87">
        <w:rPr>
          <w:rFonts w:ascii="Arial" w:hAnsi="Arial" w:cs="Arial"/>
        </w:rPr>
        <w:t xml:space="preserve">Crude fibre was estimated following the acid–alkali digestion method described by </w:t>
      </w:r>
      <w:r w:rsidRPr="00190BB6">
        <w:rPr>
          <w:rFonts w:ascii="Arial" w:hAnsi="Arial" w:cs="Arial"/>
        </w:rPr>
        <w:t>Kanwar and Chopra (1976).</w:t>
      </w:r>
      <w:r w:rsidRPr="00307C87">
        <w:rPr>
          <w:rFonts w:ascii="Arial" w:hAnsi="Arial" w:cs="Arial"/>
        </w:rPr>
        <w:t xml:space="preserve"> Powdered samples were sequentially digested with dilute acid and alkali, and the residue obtained after drying and ashing represented the crude fibre fraction, expressed as percentage of dry matter.</w:t>
      </w:r>
    </w:p>
    <w:p w14:paraId="732D27EC" w14:textId="77777777" w:rsidR="00307C87" w:rsidRDefault="00307C87" w:rsidP="00012D8F">
      <w:pPr>
        <w:pStyle w:val="Body"/>
        <w:spacing w:after="0"/>
        <w:rPr>
          <w:rFonts w:ascii="Arial" w:hAnsi="Arial" w:cs="Arial"/>
        </w:rPr>
      </w:pPr>
    </w:p>
    <w:p w14:paraId="491EC494" w14:textId="77777777" w:rsidR="00307C87" w:rsidRDefault="00307C87" w:rsidP="00012D8F">
      <w:pPr>
        <w:pStyle w:val="Body"/>
        <w:spacing w:after="0"/>
        <w:rPr>
          <w:rFonts w:ascii="Arial" w:hAnsi="Arial" w:cs="Arial"/>
        </w:rPr>
      </w:pPr>
    </w:p>
    <w:p w14:paraId="18E33E1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D0D2D6" w14:textId="77777777" w:rsidR="00790ADA" w:rsidRPr="00FB3A86" w:rsidRDefault="00790ADA" w:rsidP="00441B6F">
      <w:pPr>
        <w:pStyle w:val="Head1"/>
        <w:spacing w:after="0"/>
        <w:jc w:val="both"/>
        <w:rPr>
          <w:rFonts w:ascii="Arial" w:hAnsi="Arial" w:cs="Arial"/>
        </w:rPr>
      </w:pPr>
    </w:p>
    <w:p w14:paraId="7384485F" w14:textId="419CBFE9" w:rsidR="00C32A13" w:rsidRDefault="00C32A13" w:rsidP="00C32A13">
      <w:pPr>
        <w:pStyle w:val="ListParagraph"/>
        <w:numPr>
          <w:ilvl w:val="1"/>
          <w:numId w:val="34"/>
        </w:numPr>
        <w:jc w:val="both"/>
        <w:rPr>
          <w:rFonts w:ascii="Times New Roman" w:hAnsi="Times New Roman"/>
          <w:b/>
          <w:bCs/>
          <w:sz w:val="24"/>
          <w:szCs w:val="24"/>
        </w:rPr>
      </w:pPr>
      <w:r w:rsidRPr="00C32A13">
        <w:rPr>
          <w:rFonts w:ascii="Times New Roman" w:hAnsi="Times New Roman"/>
          <w:b/>
          <w:bCs/>
          <w:sz w:val="24"/>
          <w:szCs w:val="24"/>
        </w:rPr>
        <w:t>Performance evaluation of the genotypes based on growth and yield parameters</w:t>
      </w:r>
    </w:p>
    <w:p w14:paraId="03727BCD" w14:textId="5789C02C" w:rsidR="00C32A13" w:rsidRPr="00C32A13" w:rsidRDefault="00C32A13" w:rsidP="00C32A13">
      <w:pPr>
        <w:pStyle w:val="Body"/>
        <w:numPr>
          <w:ilvl w:val="2"/>
          <w:numId w:val="34"/>
        </w:numPr>
        <w:rPr>
          <w:rFonts w:ascii="Arial" w:hAnsi="Arial" w:cs="Arial"/>
          <w:b/>
          <w:bCs/>
        </w:rPr>
      </w:pPr>
      <w:r w:rsidRPr="00C32A13">
        <w:rPr>
          <w:rFonts w:ascii="Arial" w:hAnsi="Arial" w:cs="Arial"/>
          <w:b/>
          <w:bCs/>
        </w:rPr>
        <w:lastRenderedPageBreak/>
        <w:t>Plant height</w:t>
      </w:r>
    </w:p>
    <w:p w14:paraId="5A041268" w14:textId="324C59C8" w:rsidR="00C32A13" w:rsidRPr="00C32A13" w:rsidRDefault="00C32A13" w:rsidP="00C32A13">
      <w:pPr>
        <w:pStyle w:val="Body"/>
        <w:rPr>
          <w:rFonts w:ascii="Arial" w:hAnsi="Arial" w:cs="Arial"/>
        </w:rPr>
      </w:pPr>
      <w:r w:rsidRPr="00C32A13">
        <w:rPr>
          <w:rFonts w:ascii="Arial" w:hAnsi="Arial" w:cs="Arial"/>
        </w:rPr>
        <w:t xml:space="preserve">The mean values for plant height under both the conditions are presented in Table </w:t>
      </w:r>
      <w:r w:rsidR="00F734CC">
        <w:rPr>
          <w:rFonts w:ascii="Arial" w:hAnsi="Arial" w:cs="Arial"/>
        </w:rPr>
        <w:t>4</w:t>
      </w:r>
      <w:r w:rsidRPr="00C32A13">
        <w:rPr>
          <w:rFonts w:ascii="Arial" w:hAnsi="Arial" w:cs="Arial"/>
        </w:rPr>
        <w:t xml:space="preserve">. Plants grown under polyhouse conditions were significantly taller with an average height of 265.73 cm compared to those grown in the field, which averaged 36.50 cm. From table </w:t>
      </w:r>
      <w:r w:rsidR="00F734CC">
        <w:rPr>
          <w:rFonts w:ascii="Arial" w:hAnsi="Arial" w:cs="Arial"/>
        </w:rPr>
        <w:t>3</w:t>
      </w:r>
      <w:r w:rsidRPr="00C32A13">
        <w:rPr>
          <w:rFonts w:ascii="Arial" w:hAnsi="Arial" w:cs="Arial"/>
        </w:rPr>
        <w:t>, it is noted that among the genotypes, TNFC1905 recorded the greatest plant height (290.83 cm), followed by BL2 (191.18 cm), which was on par with GFC3 (</w:t>
      </w:r>
      <w:r w:rsidR="00CC2E9E">
        <w:rPr>
          <w:rFonts w:ascii="Arial" w:hAnsi="Arial" w:cs="Arial"/>
        </w:rPr>
        <w:t>189.69</w:t>
      </w:r>
      <w:r w:rsidRPr="00C32A13">
        <w:rPr>
          <w:rFonts w:ascii="Arial" w:hAnsi="Arial" w:cs="Arial"/>
        </w:rPr>
        <w:t xml:space="preserve"> cm).</w:t>
      </w:r>
    </w:p>
    <w:p w14:paraId="6942FCB1" w14:textId="1DBA9AFF" w:rsidR="00C32A13" w:rsidRPr="00C32A13" w:rsidRDefault="00C32A13" w:rsidP="00C32A13">
      <w:pPr>
        <w:pStyle w:val="Body"/>
        <w:numPr>
          <w:ilvl w:val="2"/>
          <w:numId w:val="34"/>
        </w:numPr>
        <w:rPr>
          <w:rFonts w:ascii="Arial" w:hAnsi="Arial" w:cs="Arial"/>
          <w:b/>
          <w:bCs/>
        </w:rPr>
      </w:pPr>
      <w:r w:rsidRPr="00C32A13">
        <w:rPr>
          <w:rFonts w:ascii="Arial" w:hAnsi="Arial" w:cs="Arial"/>
          <w:b/>
          <w:bCs/>
        </w:rPr>
        <w:t>Leaf area index</w:t>
      </w:r>
    </w:p>
    <w:p w14:paraId="6F9CE33A" w14:textId="45492481" w:rsidR="00C32A13" w:rsidRPr="00C32A13" w:rsidRDefault="00C32A13" w:rsidP="00C32A13">
      <w:pPr>
        <w:pStyle w:val="Body"/>
        <w:rPr>
          <w:rFonts w:ascii="Arial" w:hAnsi="Arial" w:cs="Arial"/>
        </w:rPr>
      </w:pPr>
      <w:r w:rsidRPr="00C32A13">
        <w:rPr>
          <w:rFonts w:ascii="Arial" w:hAnsi="Arial" w:cs="Arial"/>
        </w:rPr>
        <w:t xml:space="preserve">Plants grown under polyhouse conditions exhibited a higher mean LAI (5.46) compared to those grown in the field (3.57) as shown in table </w:t>
      </w:r>
      <w:r w:rsidR="00F734CC">
        <w:rPr>
          <w:rFonts w:ascii="Arial" w:hAnsi="Arial" w:cs="Arial"/>
        </w:rPr>
        <w:t>4</w:t>
      </w:r>
      <w:r w:rsidRPr="00C32A13">
        <w:rPr>
          <w:rFonts w:ascii="Arial" w:hAnsi="Arial" w:cs="Arial"/>
        </w:rPr>
        <w:t xml:space="preserve">. From Table </w:t>
      </w:r>
      <w:r w:rsidR="00F734CC">
        <w:rPr>
          <w:rFonts w:ascii="Arial" w:hAnsi="Arial" w:cs="Arial"/>
        </w:rPr>
        <w:t>3</w:t>
      </w:r>
      <w:r w:rsidRPr="00C32A13">
        <w:rPr>
          <w:rFonts w:ascii="Arial" w:hAnsi="Arial" w:cs="Arial"/>
        </w:rPr>
        <w:t>, it is noted that among the genotypes, UPC-22-1 recorded the highest LAI (7.31) which was on par with MFC-09-1 (7.11) followed by Aiswarya (7.00) and EC390241 (7.00). The lowest LAI was observed in UPC-618 (1.97).</w:t>
      </w:r>
    </w:p>
    <w:p w14:paraId="7D9390B5" w14:textId="242D7C71" w:rsidR="00C32A13" w:rsidRPr="00C32A13" w:rsidRDefault="00C32A13" w:rsidP="00C32A13">
      <w:pPr>
        <w:pStyle w:val="Body"/>
        <w:numPr>
          <w:ilvl w:val="2"/>
          <w:numId w:val="34"/>
        </w:numPr>
        <w:rPr>
          <w:rFonts w:ascii="Arial" w:hAnsi="Arial" w:cs="Arial"/>
        </w:rPr>
      </w:pPr>
      <w:r w:rsidRPr="00C32A13">
        <w:rPr>
          <w:rFonts w:ascii="Arial" w:hAnsi="Arial" w:cs="Arial"/>
          <w:b/>
          <w:bCs/>
        </w:rPr>
        <w:t>Green fodder yield</w:t>
      </w:r>
    </w:p>
    <w:p w14:paraId="6665A8F1" w14:textId="476738B5" w:rsidR="00C32A13" w:rsidRPr="00C32A13" w:rsidRDefault="00C32A13" w:rsidP="00C32A13">
      <w:pPr>
        <w:pStyle w:val="Body"/>
        <w:rPr>
          <w:rFonts w:ascii="Arial" w:hAnsi="Arial" w:cs="Arial"/>
        </w:rPr>
      </w:pPr>
      <w:r w:rsidRPr="00C32A13">
        <w:rPr>
          <w:rFonts w:ascii="Arial" w:hAnsi="Arial" w:cs="Arial"/>
        </w:rPr>
        <w:t xml:space="preserve">Plants grown under polyhouse conditions recorded a higher mean green fodder yield (46.91 g) compared to those grown in the field (32.52 g). From Table </w:t>
      </w:r>
      <w:r w:rsidR="00F734CC">
        <w:rPr>
          <w:rFonts w:ascii="Arial" w:hAnsi="Arial" w:cs="Arial"/>
        </w:rPr>
        <w:t>3</w:t>
      </w:r>
      <w:r w:rsidRPr="00C32A13">
        <w:rPr>
          <w:rFonts w:ascii="Arial" w:hAnsi="Arial" w:cs="Arial"/>
        </w:rPr>
        <w:t>, it is observed that the genotype EC240630 produced the highest green fodder yield (71.86 g) and the lowest yield was recorded in IVTC6 (24.23 g) which was on par with UPC-22-1 (26.13 g).</w:t>
      </w:r>
    </w:p>
    <w:p w14:paraId="0C234899" w14:textId="3B3E03E1" w:rsidR="00C32A13" w:rsidRPr="00C32A13" w:rsidRDefault="00C32A13" w:rsidP="00C32A13">
      <w:pPr>
        <w:pStyle w:val="Body"/>
        <w:numPr>
          <w:ilvl w:val="2"/>
          <w:numId w:val="34"/>
        </w:numPr>
        <w:rPr>
          <w:rFonts w:ascii="Arial" w:hAnsi="Arial" w:cs="Arial"/>
          <w:b/>
          <w:bCs/>
        </w:rPr>
      </w:pPr>
      <w:r w:rsidRPr="00C32A13">
        <w:rPr>
          <w:rFonts w:ascii="Arial" w:hAnsi="Arial" w:cs="Arial"/>
          <w:b/>
          <w:bCs/>
        </w:rPr>
        <w:t>Dry fodder yield</w:t>
      </w:r>
    </w:p>
    <w:p w14:paraId="0E9BD3DC" w14:textId="3E4B4FB1" w:rsidR="00C32A13" w:rsidRDefault="00C32A13" w:rsidP="00C32A13">
      <w:pPr>
        <w:pStyle w:val="Body"/>
        <w:spacing w:after="0"/>
        <w:rPr>
          <w:rFonts w:ascii="Arial" w:hAnsi="Arial" w:cs="Arial"/>
        </w:rPr>
      </w:pPr>
      <w:r w:rsidRPr="00C32A13">
        <w:rPr>
          <w:rFonts w:ascii="Arial" w:hAnsi="Arial" w:cs="Arial"/>
        </w:rPr>
        <w:t xml:space="preserve">The plants grown in polyhouse recorded a higher mean dry fodder yield (12.24 g) compared to those grown in the field (8.50 g). From Table </w:t>
      </w:r>
      <w:r w:rsidR="00F734CC">
        <w:rPr>
          <w:rFonts w:ascii="Arial" w:hAnsi="Arial" w:cs="Arial"/>
        </w:rPr>
        <w:t>3</w:t>
      </w:r>
      <w:r w:rsidRPr="00C32A13">
        <w:rPr>
          <w:rFonts w:ascii="Arial" w:hAnsi="Arial" w:cs="Arial"/>
        </w:rPr>
        <w:t>, it is observed that the genotype EC240630 produced the highest dry fodder yield (19.69 g). The lowest yield was recorded in IVTC6 (6.50 g), which was on par with UPC-22-1 (6.52 g), IC398992 (6.76 g), and TNFC0926 (6.75 g).</w:t>
      </w:r>
    </w:p>
    <w:p w14:paraId="14D100D0" w14:textId="77777777" w:rsidR="00C32A13" w:rsidRDefault="00C32A13" w:rsidP="00C32A13">
      <w:pPr>
        <w:pStyle w:val="Body"/>
        <w:spacing w:after="0"/>
        <w:rPr>
          <w:rFonts w:ascii="Arial" w:hAnsi="Arial" w:cs="Arial"/>
        </w:rPr>
      </w:pPr>
    </w:p>
    <w:p w14:paraId="3B34BEAA" w14:textId="0C9970BD" w:rsidR="00C32A13" w:rsidRPr="00C32A13" w:rsidRDefault="00C32A13" w:rsidP="00C32A13">
      <w:pPr>
        <w:jc w:val="center"/>
        <w:rPr>
          <w:rFonts w:ascii="Times New Roman" w:hAnsi="Times New Roman"/>
          <w:b/>
          <w:bCs/>
          <w:sz w:val="24"/>
          <w:szCs w:val="24"/>
        </w:rPr>
      </w:pPr>
      <w:r w:rsidRPr="005B53DC">
        <w:rPr>
          <w:rFonts w:ascii="Times New Roman" w:hAnsi="Times New Roman"/>
          <w:b/>
          <w:bCs/>
          <w:sz w:val="24"/>
          <w:szCs w:val="24"/>
        </w:rPr>
        <w:t>Table 3: Mean values of genotypes with respect to growth and yield parameters</w:t>
      </w:r>
      <w:r>
        <w:rPr>
          <w:rFonts w:ascii="Times New Roman" w:hAnsi="Times New Roman"/>
          <w:b/>
          <w:bCs/>
          <w:sz w:val="24"/>
          <w:szCs w:val="24"/>
        </w:rPr>
        <w:t xml:space="preserve">- </w:t>
      </w:r>
      <w:r w:rsidRPr="005B53DC">
        <w:rPr>
          <w:rFonts w:ascii="Times New Roman" w:hAnsi="Times New Roman"/>
          <w:b/>
          <w:bCs/>
          <w:sz w:val="24"/>
          <w:szCs w:val="24"/>
        </w:rPr>
        <w:t>Factor A</w:t>
      </w:r>
    </w:p>
    <w:p w14:paraId="6FB95DB2"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2263"/>
        <w:gridCol w:w="2377"/>
        <w:gridCol w:w="1058"/>
        <w:gridCol w:w="1252"/>
        <w:gridCol w:w="1252"/>
      </w:tblGrid>
      <w:tr w:rsidR="00C32A13" w:rsidRPr="00C32A13" w14:paraId="03DC33E9"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06E3EA64" w14:textId="77777777" w:rsidR="00C32A13" w:rsidRPr="00C32A13" w:rsidRDefault="00C32A13" w:rsidP="00C32A13">
            <w:pPr>
              <w:pStyle w:val="Body"/>
              <w:spacing w:after="0"/>
              <w:jc w:val="center"/>
              <w:rPr>
                <w:rFonts w:ascii="Arial" w:hAnsi="Arial" w:cs="Arial"/>
              </w:rPr>
            </w:pPr>
            <w:r w:rsidRPr="00C32A13">
              <w:rPr>
                <w:rFonts w:ascii="Arial" w:hAnsi="Arial" w:cs="Arial"/>
              </w:rPr>
              <w:t>Treatments</w:t>
            </w:r>
          </w:p>
        </w:tc>
        <w:tc>
          <w:tcPr>
            <w:tcW w:w="1449" w:type="pct"/>
          </w:tcPr>
          <w:p w14:paraId="70A3B6F9" w14:textId="60CF3139"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P</w:t>
            </w:r>
            <w:r>
              <w:rPr>
                <w:rFonts w:ascii="Arial" w:hAnsi="Arial" w:cs="Arial"/>
              </w:rPr>
              <w:t>lant height</w:t>
            </w:r>
          </w:p>
          <w:p w14:paraId="53AF5495"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(cm)</w:t>
            </w:r>
          </w:p>
        </w:tc>
        <w:tc>
          <w:tcPr>
            <w:tcW w:w="645" w:type="pct"/>
          </w:tcPr>
          <w:p w14:paraId="084CC827" w14:textId="1F3FB50A"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L</w:t>
            </w:r>
            <w:r>
              <w:rPr>
                <w:rFonts w:ascii="Arial" w:hAnsi="Arial" w:cs="Arial"/>
              </w:rPr>
              <w:t>eaf area index</w:t>
            </w:r>
          </w:p>
        </w:tc>
        <w:tc>
          <w:tcPr>
            <w:tcW w:w="763" w:type="pct"/>
          </w:tcPr>
          <w:p w14:paraId="04A7227D" w14:textId="6421D5D4"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Green fodder yield</w:t>
            </w:r>
          </w:p>
          <w:p w14:paraId="1AE2D03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(g)</w:t>
            </w:r>
          </w:p>
        </w:tc>
        <w:tc>
          <w:tcPr>
            <w:tcW w:w="763" w:type="pct"/>
          </w:tcPr>
          <w:p w14:paraId="0A5B3177" w14:textId="418A0829"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D</w:t>
            </w:r>
            <w:r>
              <w:rPr>
                <w:rFonts w:ascii="Arial" w:hAnsi="Arial" w:cs="Arial"/>
              </w:rPr>
              <w:t>ry fodder yield</w:t>
            </w:r>
          </w:p>
          <w:p w14:paraId="67856763"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(g)</w:t>
            </w:r>
          </w:p>
        </w:tc>
      </w:tr>
      <w:tr w:rsidR="00C32A13" w:rsidRPr="00C32A13" w14:paraId="074C39D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1C0172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w:t>
            </w:r>
          </w:p>
        </w:tc>
        <w:tc>
          <w:tcPr>
            <w:tcW w:w="1449" w:type="pct"/>
          </w:tcPr>
          <w:p w14:paraId="31463FFD"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159.14</w:t>
            </w:r>
          </w:p>
        </w:tc>
        <w:tc>
          <w:tcPr>
            <w:tcW w:w="645" w:type="pct"/>
          </w:tcPr>
          <w:p w14:paraId="6F11A58C" w14:textId="3A9AFD4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6.44</w:t>
            </w:r>
          </w:p>
        </w:tc>
        <w:tc>
          <w:tcPr>
            <w:tcW w:w="763" w:type="pct"/>
          </w:tcPr>
          <w:p w14:paraId="1308E77E" w14:textId="66F465D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71.86</w:t>
            </w:r>
          </w:p>
        </w:tc>
        <w:tc>
          <w:tcPr>
            <w:tcW w:w="763" w:type="pct"/>
          </w:tcPr>
          <w:p w14:paraId="57A59B86" w14:textId="48F3AE0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19.69</w:t>
            </w:r>
          </w:p>
        </w:tc>
      </w:tr>
      <w:tr w:rsidR="00C32A13" w:rsidRPr="00C32A13" w14:paraId="376152A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12540F5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w:t>
            </w:r>
          </w:p>
        </w:tc>
        <w:tc>
          <w:tcPr>
            <w:tcW w:w="1449" w:type="pct"/>
          </w:tcPr>
          <w:p w14:paraId="3DDCC6A8" w14:textId="476893A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138.12</w:t>
            </w:r>
          </w:p>
        </w:tc>
        <w:tc>
          <w:tcPr>
            <w:tcW w:w="645" w:type="pct"/>
          </w:tcPr>
          <w:p w14:paraId="59BDFD43" w14:textId="11F5DF6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3.83</w:t>
            </w:r>
          </w:p>
        </w:tc>
        <w:tc>
          <w:tcPr>
            <w:tcW w:w="763" w:type="pct"/>
          </w:tcPr>
          <w:p w14:paraId="68A9D232" w14:textId="2087B1C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57.50</w:t>
            </w:r>
          </w:p>
        </w:tc>
        <w:tc>
          <w:tcPr>
            <w:tcW w:w="763" w:type="pct"/>
          </w:tcPr>
          <w:p w14:paraId="55F1C6B8" w14:textId="10BB1C5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15.50</w:t>
            </w:r>
          </w:p>
        </w:tc>
      </w:tr>
      <w:tr w:rsidR="00C32A13" w:rsidRPr="00C32A13" w14:paraId="4D41C2C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2BAD2B1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3</w:t>
            </w:r>
          </w:p>
        </w:tc>
        <w:tc>
          <w:tcPr>
            <w:tcW w:w="1449" w:type="pct"/>
          </w:tcPr>
          <w:p w14:paraId="2D5AB0FA" w14:textId="753A3C2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129.51</w:t>
            </w:r>
          </w:p>
        </w:tc>
        <w:tc>
          <w:tcPr>
            <w:tcW w:w="645" w:type="pct"/>
          </w:tcPr>
          <w:p w14:paraId="0B443353" w14:textId="562246C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2.81</w:t>
            </w:r>
          </w:p>
        </w:tc>
        <w:tc>
          <w:tcPr>
            <w:tcW w:w="763" w:type="pct"/>
          </w:tcPr>
          <w:p w14:paraId="5271BC16" w14:textId="7C0263D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28.82</w:t>
            </w:r>
          </w:p>
        </w:tc>
        <w:tc>
          <w:tcPr>
            <w:tcW w:w="763" w:type="pct"/>
          </w:tcPr>
          <w:p w14:paraId="70497606" w14:textId="02BDDCC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7.54</w:t>
            </w:r>
          </w:p>
        </w:tc>
      </w:tr>
      <w:tr w:rsidR="00C32A13" w:rsidRPr="00C32A13" w14:paraId="32B0A2A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EDB5823"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4</w:t>
            </w:r>
          </w:p>
        </w:tc>
        <w:tc>
          <w:tcPr>
            <w:tcW w:w="1449" w:type="pct"/>
          </w:tcPr>
          <w:p w14:paraId="6FD127DB" w14:textId="48CB302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98.81</w:t>
            </w:r>
          </w:p>
        </w:tc>
        <w:tc>
          <w:tcPr>
            <w:tcW w:w="645" w:type="pct"/>
          </w:tcPr>
          <w:p w14:paraId="45F2E130" w14:textId="3602558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2.74</w:t>
            </w:r>
          </w:p>
        </w:tc>
        <w:tc>
          <w:tcPr>
            <w:tcW w:w="763" w:type="pct"/>
          </w:tcPr>
          <w:p w14:paraId="11B5C62F" w14:textId="1298105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26.17</w:t>
            </w:r>
          </w:p>
        </w:tc>
        <w:tc>
          <w:tcPr>
            <w:tcW w:w="763" w:type="pct"/>
          </w:tcPr>
          <w:p w14:paraId="0580A117" w14:textId="6EB7631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7.34</w:t>
            </w:r>
          </w:p>
        </w:tc>
      </w:tr>
      <w:tr w:rsidR="00C32A13" w:rsidRPr="00C32A13" w14:paraId="01E25E9D"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D5DD74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5</w:t>
            </w:r>
          </w:p>
        </w:tc>
        <w:tc>
          <w:tcPr>
            <w:tcW w:w="1449" w:type="pct"/>
          </w:tcPr>
          <w:p w14:paraId="5419D354" w14:textId="0C6278B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146.54</w:t>
            </w:r>
          </w:p>
        </w:tc>
        <w:tc>
          <w:tcPr>
            <w:tcW w:w="645" w:type="pct"/>
          </w:tcPr>
          <w:p w14:paraId="7DCD315A" w14:textId="38BE30B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4.60</w:t>
            </w:r>
          </w:p>
        </w:tc>
        <w:tc>
          <w:tcPr>
            <w:tcW w:w="763" w:type="pct"/>
          </w:tcPr>
          <w:p w14:paraId="43EB42DB" w14:textId="7360B33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37.05</w:t>
            </w:r>
          </w:p>
        </w:tc>
        <w:tc>
          <w:tcPr>
            <w:tcW w:w="763" w:type="pct"/>
          </w:tcPr>
          <w:p w14:paraId="33709A76" w14:textId="5FC7A4F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9.41</w:t>
            </w:r>
          </w:p>
        </w:tc>
      </w:tr>
      <w:tr w:rsidR="00C32A13" w:rsidRPr="00C32A13" w14:paraId="03CBC84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45453EC"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6</w:t>
            </w:r>
          </w:p>
        </w:tc>
        <w:tc>
          <w:tcPr>
            <w:tcW w:w="1449" w:type="pct"/>
          </w:tcPr>
          <w:p w14:paraId="122468FE" w14:textId="0911425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93.70</w:t>
            </w:r>
          </w:p>
        </w:tc>
        <w:tc>
          <w:tcPr>
            <w:tcW w:w="645" w:type="pct"/>
          </w:tcPr>
          <w:p w14:paraId="19DCA41B" w14:textId="762A176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2.81</w:t>
            </w:r>
          </w:p>
        </w:tc>
        <w:tc>
          <w:tcPr>
            <w:tcW w:w="763" w:type="pct"/>
          </w:tcPr>
          <w:p w14:paraId="40904C64" w14:textId="47D0E5E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27.89</w:t>
            </w:r>
          </w:p>
        </w:tc>
        <w:tc>
          <w:tcPr>
            <w:tcW w:w="763" w:type="pct"/>
          </w:tcPr>
          <w:p w14:paraId="7ACF7516" w14:textId="3410586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7.50</w:t>
            </w:r>
          </w:p>
        </w:tc>
      </w:tr>
      <w:tr w:rsidR="00C32A13" w:rsidRPr="00C32A13" w14:paraId="0FBFD4E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BCE117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7</w:t>
            </w:r>
          </w:p>
        </w:tc>
        <w:tc>
          <w:tcPr>
            <w:tcW w:w="1449" w:type="pct"/>
          </w:tcPr>
          <w:p w14:paraId="6B802637" w14:textId="721D76C8"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112.20</w:t>
            </w:r>
          </w:p>
        </w:tc>
        <w:tc>
          <w:tcPr>
            <w:tcW w:w="645" w:type="pct"/>
          </w:tcPr>
          <w:p w14:paraId="2E470A16" w14:textId="6F62DC6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6.73</w:t>
            </w:r>
          </w:p>
        </w:tc>
        <w:tc>
          <w:tcPr>
            <w:tcW w:w="763" w:type="pct"/>
          </w:tcPr>
          <w:p w14:paraId="765ABC70" w14:textId="3EAE3E1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54.78</w:t>
            </w:r>
          </w:p>
        </w:tc>
        <w:tc>
          <w:tcPr>
            <w:tcW w:w="763" w:type="pct"/>
          </w:tcPr>
          <w:p w14:paraId="11FC1BB6" w14:textId="3D912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14.13</w:t>
            </w:r>
          </w:p>
        </w:tc>
      </w:tr>
      <w:tr w:rsidR="00C32A13" w:rsidRPr="00C32A13" w14:paraId="38CC386C"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4D56ABA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8</w:t>
            </w:r>
          </w:p>
        </w:tc>
        <w:tc>
          <w:tcPr>
            <w:tcW w:w="1449" w:type="pct"/>
          </w:tcPr>
          <w:p w14:paraId="11051A4A" w14:textId="04A3C6A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79.98</w:t>
            </w:r>
          </w:p>
        </w:tc>
        <w:tc>
          <w:tcPr>
            <w:tcW w:w="645" w:type="pct"/>
          </w:tcPr>
          <w:p w14:paraId="0BCE47D3" w14:textId="1A0937B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2.20</w:t>
            </w:r>
          </w:p>
        </w:tc>
        <w:tc>
          <w:tcPr>
            <w:tcW w:w="763" w:type="pct"/>
          </w:tcPr>
          <w:p w14:paraId="03A63350" w14:textId="6EAAED5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24.23</w:t>
            </w:r>
          </w:p>
        </w:tc>
        <w:tc>
          <w:tcPr>
            <w:tcW w:w="763" w:type="pct"/>
          </w:tcPr>
          <w:p w14:paraId="1A0B2662" w14:textId="2E5F6970"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6.50</w:t>
            </w:r>
          </w:p>
        </w:tc>
      </w:tr>
      <w:tr w:rsidR="00C32A13" w:rsidRPr="00C32A13" w14:paraId="2CF9A25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0D9D514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9</w:t>
            </w:r>
          </w:p>
        </w:tc>
        <w:tc>
          <w:tcPr>
            <w:tcW w:w="1449" w:type="pct"/>
          </w:tcPr>
          <w:p w14:paraId="674362DC" w14:textId="1D5CB0E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178.97</w:t>
            </w:r>
          </w:p>
        </w:tc>
        <w:tc>
          <w:tcPr>
            <w:tcW w:w="645" w:type="pct"/>
          </w:tcPr>
          <w:p w14:paraId="1F3484DD" w14:textId="07FB3EC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3.87</w:t>
            </w:r>
          </w:p>
        </w:tc>
        <w:tc>
          <w:tcPr>
            <w:tcW w:w="763" w:type="pct"/>
          </w:tcPr>
          <w:p w14:paraId="3CD9DE30" w14:textId="4CA3F5E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26.79</w:t>
            </w:r>
          </w:p>
        </w:tc>
        <w:tc>
          <w:tcPr>
            <w:tcW w:w="763" w:type="pct"/>
          </w:tcPr>
          <w:p w14:paraId="0D2DB15B" w14:textId="491CFC0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6.76</w:t>
            </w:r>
          </w:p>
        </w:tc>
      </w:tr>
      <w:tr w:rsidR="00C32A13" w:rsidRPr="00C32A13" w14:paraId="59409E6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7FD5928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10</w:t>
            </w:r>
          </w:p>
        </w:tc>
        <w:tc>
          <w:tcPr>
            <w:tcW w:w="1449" w:type="pct"/>
          </w:tcPr>
          <w:p w14:paraId="3F627A31" w14:textId="77FC737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166.17</w:t>
            </w:r>
          </w:p>
        </w:tc>
        <w:tc>
          <w:tcPr>
            <w:tcW w:w="645" w:type="pct"/>
          </w:tcPr>
          <w:p w14:paraId="3FF6721B" w14:textId="2AE6E33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5.60</w:t>
            </w:r>
          </w:p>
        </w:tc>
        <w:tc>
          <w:tcPr>
            <w:tcW w:w="763" w:type="pct"/>
          </w:tcPr>
          <w:p w14:paraId="6C845A83" w14:textId="76A885C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31.55</w:t>
            </w:r>
          </w:p>
        </w:tc>
        <w:tc>
          <w:tcPr>
            <w:tcW w:w="763" w:type="pct"/>
          </w:tcPr>
          <w:p w14:paraId="2C91323A" w14:textId="3A2135B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8.36</w:t>
            </w:r>
          </w:p>
        </w:tc>
      </w:tr>
      <w:tr w:rsidR="00C32A13" w:rsidRPr="00C32A13" w14:paraId="62DDD4A9"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1F0AC71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11</w:t>
            </w:r>
          </w:p>
        </w:tc>
        <w:tc>
          <w:tcPr>
            <w:tcW w:w="1449" w:type="pct"/>
          </w:tcPr>
          <w:p w14:paraId="7B85859D" w14:textId="2716118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144.39</w:t>
            </w:r>
          </w:p>
        </w:tc>
        <w:tc>
          <w:tcPr>
            <w:tcW w:w="645" w:type="pct"/>
          </w:tcPr>
          <w:p w14:paraId="4C63CF52" w14:textId="14AB71C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3.84</w:t>
            </w:r>
          </w:p>
        </w:tc>
        <w:tc>
          <w:tcPr>
            <w:tcW w:w="763" w:type="pct"/>
          </w:tcPr>
          <w:p w14:paraId="2C155D39" w14:textId="10381A2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26.93</w:t>
            </w:r>
          </w:p>
        </w:tc>
        <w:tc>
          <w:tcPr>
            <w:tcW w:w="763" w:type="pct"/>
          </w:tcPr>
          <w:p w14:paraId="4AA624C7" w14:textId="534F717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7.19</w:t>
            </w:r>
          </w:p>
        </w:tc>
      </w:tr>
      <w:tr w:rsidR="00C32A13" w:rsidRPr="00C32A13" w14:paraId="28C825E8"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7334469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12</w:t>
            </w:r>
          </w:p>
        </w:tc>
        <w:tc>
          <w:tcPr>
            <w:tcW w:w="1449" w:type="pct"/>
          </w:tcPr>
          <w:p w14:paraId="3784D79D" w14:textId="29C0469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114.14</w:t>
            </w:r>
          </w:p>
        </w:tc>
        <w:tc>
          <w:tcPr>
            <w:tcW w:w="645" w:type="pct"/>
          </w:tcPr>
          <w:p w14:paraId="7E5063E5" w14:textId="50609AF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2.90</w:t>
            </w:r>
          </w:p>
        </w:tc>
        <w:tc>
          <w:tcPr>
            <w:tcW w:w="763" w:type="pct"/>
          </w:tcPr>
          <w:p w14:paraId="6D153B6E" w14:textId="2526EC7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32.28</w:t>
            </w:r>
          </w:p>
        </w:tc>
        <w:tc>
          <w:tcPr>
            <w:tcW w:w="763" w:type="pct"/>
          </w:tcPr>
          <w:p w14:paraId="6295D2E2" w14:textId="6149BA0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8.08</w:t>
            </w:r>
          </w:p>
        </w:tc>
      </w:tr>
      <w:tr w:rsidR="00C32A13" w:rsidRPr="00C32A13" w14:paraId="7E0F32C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21630E2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13</w:t>
            </w:r>
          </w:p>
        </w:tc>
        <w:tc>
          <w:tcPr>
            <w:tcW w:w="1449" w:type="pct"/>
          </w:tcPr>
          <w:p w14:paraId="70228B9D" w14:textId="6471F4C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146.58</w:t>
            </w:r>
          </w:p>
        </w:tc>
        <w:tc>
          <w:tcPr>
            <w:tcW w:w="645" w:type="pct"/>
          </w:tcPr>
          <w:p w14:paraId="7852EEA2" w14:textId="02C97C6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3.69</w:t>
            </w:r>
          </w:p>
        </w:tc>
        <w:tc>
          <w:tcPr>
            <w:tcW w:w="763" w:type="pct"/>
          </w:tcPr>
          <w:p w14:paraId="2099AC92" w14:textId="06B513D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31.65</w:t>
            </w:r>
          </w:p>
        </w:tc>
        <w:tc>
          <w:tcPr>
            <w:tcW w:w="763" w:type="pct"/>
          </w:tcPr>
          <w:p w14:paraId="427E3049" w14:textId="6BC6017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7.98</w:t>
            </w:r>
          </w:p>
        </w:tc>
      </w:tr>
      <w:tr w:rsidR="00C32A13" w:rsidRPr="00C32A13" w14:paraId="73F782F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281C5A28"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14</w:t>
            </w:r>
          </w:p>
        </w:tc>
        <w:tc>
          <w:tcPr>
            <w:tcW w:w="1449" w:type="pct"/>
          </w:tcPr>
          <w:p w14:paraId="62BB8439" w14:textId="2632CFB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157.40</w:t>
            </w:r>
          </w:p>
        </w:tc>
        <w:tc>
          <w:tcPr>
            <w:tcW w:w="645" w:type="pct"/>
          </w:tcPr>
          <w:p w14:paraId="4ECC7ACA" w14:textId="06588C7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7.00</w:t>
            </w:r>
          </w:p>
        </w:tc>
        <w:tc>
          <w:tcPr>
            <w:tcW w:w="763" w:type="pct"/>
          </w:tcPr>
          <w:p w14:paraId="158F696F" w14:textId="0E11359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30.63</w:t>
            </w:r>
          </w:p>
        </w:tc>
        <w:tc>
          <w:tcPr>
            <w:tcW w:w="763" w:type="pct"/>
          </w:tcPr>
          <w:p w14:paraId="39CC76D4" w14:textId="454136C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8.18</w:t>
            </w:r>
          </w:p>
        </w:tc>
      </w:tr>
      <w:tr w:rsidR="00C32A13" w:rsidRPr="00C32A13" w14:paraId="66290680"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969649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15</w:t>
            </w:r>
          </w:p>
        </w:tc>
        <w:tc>
          <w:tcPr>
            <w:tcW w:w="1449" w:type="pct"/>
          </w:tcPr>
          <w:p w14:paraId="5B462EDB" w14:textId="71DF12C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74.56</w:t>
            </w:r>
          </w:p>
        </w:tc>
        <w:tc>
          <w:tcPr>
            <w:tcW w:w="645" w:type="pct"/>
          </w:tcPr>
          <w:p w14:paraId="2E807495" w14:textId="15DF8B9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7.31</w:t>
            </w:r>
          </w:p>
        </w:tc>
        <w:tc>
          <w:tcPr>
            <w:tcW w:w="763" w:type="pct"/>
          </w:tcPr>
          <w:p w14:paraId="1105369F" w14:textId="3BFB2E7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26.13</w:t>
            </w:r>
          </w:p>
        </w:tc>
        <w:tc>
          <w:tcPr>
            <w:tcW w:w="763" w:type="pct"/>
          </w:tcPr>
          <w:p w14:paraId="100D37F9" w14:textId="2E31984B"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6.52</w:t>
            </w:r>
          </w:p>
        </w:tc>
      </w:tr>
      <w:tr w:rsidR="00C32A13" w:rsidRPr="00C32A13" w14:paraId="6A50ED2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4EEB3B6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lastRenderedPageBreak/>
              <w:t>16</w:t>
            </w:r>
          </w:p>
        </w:tc>
        <w:tc>
          <w:tcPr>
            <w:tcW w:w="1449" w:type="pct"/>
          </w:tcPr>
          <w:p w14:paraId="3153F07C" w14:textId="3FAC36A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178.74</w:t>
            </w:r>
          </w:p>
        </w:tc>
        <w:tc>
          <w:tcPr>
            <w:tcW w:w="645" w:type="pct"/>
          </w:tcPr>
          <w:p w14:paraId="7C3D92BF" w14:textId="4CB9BAD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7.00</w:t>
            </w:r>
          </w:p>
        </w:tc>
        <w:tc>
          <w:tcPr>
            <w:tcW w:w="763" w:type="pct"/>
          </w:tcPr>
          <w:p w14:paraId="61339116" w14:textId="0C410AC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54.72</w:t>
            </w:r>
          </w:p>
        </w:tc>
        <w:tc>
          <w:tcPr>
            <w:tcW w:w="763" w:type="pct"/>
          </w:tcPr>
          <w:p w14:paraId="1251E1D2" w14:textId="3647D4E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14.27</w:t>
            </w:r>
          </w:p>
        </w:tc>
      </w:tr>
      <w:tr w:rsidR="00C32A13" w:rsidRPr="00C32A13" w14:paraId="34BE9643"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DA8113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17</w:t>
            </w:r>
          </w:p>
        </w:tc>
        <w:tc>
          <w:tcPr>
            <w:tcW w:w="1449" w:type="pct"/>
          </w:tcPr>
          <w:p w14:paraId="73AA6A50"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181.39</w:t>
            </w:r>
          </w:p>
        </w:tc>
        <w:tc>
          <w:tcPr>
            <w:tcW w:w="645" w:type="pct"/>
          </w:tcPr>
          <w:p w14:paraId="6BBD6364" w14:textId="7CC0775D"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1.97</w:t>
            </w:r>
          </w:p>
        </w:tc>
        <w:tc>
          <w:tcPr>
            <w:tcW w:w="763" w:type="pct"/>
          </w:tcPr>
          <w:p w14:paraId="5B9AD58F" w14:textId="7EB020D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30.97</w:t>
            </w:r>
          </w:p>
        </w:tc>
        <w:tc>
          <w:tcPr>
            <w:tcW w:w="763" w:type="pct"/>
          </w:tcPr>
          <w:p w14:paraId="5DFFADE2" w14:textId="45E9EF0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7.49</w:t>
            </w:r>
          </w:p>
        </w:tc>
      </w:tr>
      <w:tr w:rsidR="00C32A13" w:rsidRPr="00C32A13" w14:paraId="242F0A7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E97560B"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18</w:t>
            </w:r>
          </w:p>
        </w:tc>
        <w:tc>
          <w:tcPr>
            <w:tcW w:w="1449" w:type="pct"/>
          </w:tcPr>
          <w:p w14:paraId="5ECCA555" w14:textId="3A843F5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191.18</w:t>
            </w:r>
          </w:p>
        </w:tc>
        <w:tc>
          <w:tcPr>
            <w:tcW w:w="645" w:type="pct"/>
          </w:tcPr>
          <w:p w14:paraId="6BEF96B4" w14:textId="7E7F4F0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2.54</w:t>
            </w:r>
          </w:p>
        </w:tc>
        <w:tc>
          <w:tcPr>
            <w:tcW w:w="763" w:type="pct"/>
          </w:tcPr>
          <w:p w14:paraId="617555A6" w14:textId="7508095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27.61</w:t>
            </w:r>
          </w:p>
        </w:tc>
        <w:tc>
          <w:tcPr>
            <w:tcW w:w="763" w:type="pct"/>
          </w:tcPr>
          <w:p w14:paraId="6D63AE9F" w14:textId="505A952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7.29</w:t>
            </w:r>
          </w:p>
        </w:tc>
      </w:tr>
      <w:tr w:rsidR="00C32A13" w:rsidRPr="00C32A13" w14:paraId="5C34784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BB239A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19</w:t>
            </w:r>
          </w:p>
        </w:tc>
        <w:tc>
          <w:tcPr>
            <w:tcW w:w="1449" w:type="pct"/>
          </w:tcPr>
          <w:p w14:paraId="3F5A5FC9" w14:textId="3E182D6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290.83</w:t>
            </w:r>
          </w:p>
        </w:tc>
        <w:tc>
          <w:tcPr>
            <w:tcW w:w="645" w:type="pct"/>
          </w:tcPr>
          <w:p w14:paraId="09196AA1" w14:textId="4093233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3.36</w:t>
            </w:r>
          </w:p>
        </w:tc>
        <w:tc>
          <w:tcPr>
            <w:tcW w:w="763" w:type="pct"/>
          </w:tcPr>
          <w:p w14:paraId="2F1C5657" w14:textId="67BA911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37.52</w:t>
            </w:r>
          </w:p>
        </w:tc>
        <w:tc>
          <w:tcPr>
            <w:tcW w:w="763" w:type="pct"/>
          </w:tcPr>
          <w:p w14:paraId="6D2915C1" w14:textId="7B5C8A8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9.48</w:t>
            </w:r>
          </w:p>
        </w:tc>
      </w:tr>
      <w:tr w:rsidR="00C32A13" w:rsidRPr="00C32A13" w14:paraId="4F9A7BC0"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3F6729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20</w:t>
            </w:r>
          </w:p>
        </w:tc>
        <w:tc>
          <w:tcPr>
            <w:tcW w:w="1449" w:type="pct"/>
          </w:tcPr>
          <w:p w14:paraId="0096D2F1" w14:textId="283B23DA"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176.85</w:t>
            </w:r>
          </w:p>
        </w:tc>
        <w:tc>
          <w:tcPr>
            <w:tcW w:w="645" w:type="pct"/>
          </w:tcPr>
          <w:p w14:paraId="352710FD" w14:textId="7FDB2EB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4.49</w:t>
            </w:r>
          </w:p>
        </w:tc>
        <w:tc>
          <w:tcPr>
            <w:tcW w:w="763" w:type="pct"/>
          </w:tcPr>
          <w:p w14:paraId="36C37E8C" w14:textId="169B4DF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58.05</w:t>
            </w:r>
          </w:p>
        </w:tc>
        <w:tc>
          <w:tcPr>
            <w:tcW w:w="763" w:type="pct"/>
          </w:tcPr>
          <w:p w14:paraId="04DA8E87" w14:textId="5F0AB46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15.56</w:t>
            </w:r>
          </w:p>
        </w:tc>
      </w:tr>
      <w:tr w:rsidR="00C32A13" w:rsidRPr="00C32A13" w14:paraId="0079A10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48A631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21</w:t>
            </w:r>
          </w:p>
        </w:tc>
        <w:tc>
          <w:tcPr>
            <w:tcW w:w="1449" w:type="pct"/>
          </w:tcPr>
          <w:p w14:paraId="7C096517" w14:textId="38B7ABA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88.43</w:t>
            </w:r>
          </w:p>
        </w:tc>
        <w:tc>
          <w:tcPr>
            <w:tcW w:w="645" w:type="pct"/>
          </w:tcPr>
          <w:p w14:paraId="0F78127A" w14:textId="7942315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7.11</w:t>
            </w:r>
          </w:p>
        </w:tc>
        <w:tc>
          <w:tcPr>
            <w:tcW w:w="763" w:type="pct"/>
          </w:tcPr>
          <w:p w14:paraId="0C699430" w14:textId="7B6C9FFD"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50.21</w:t>
            </w:r>
          </w:p>
        </w:tc>
        <w:tc>
          <w:tcPr>
            <w:tcW w:w="763" w:type="pct"/>
          </w:tcPr>
          <w:p w14:paraId="49669BF3" w14:textId="114299A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13.70</w:t>
            </w:r>
          </w:p>
        </w:tc>
      </w:tr>
      <w:tr w:rsidR="00C32A13" w:rsidRPr="00C32A13" w14:paraId="29C6BBD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55245F8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22</w:t>
            </w:r>
          </w:p>
        </w:tc>
        <w:tc>
          <w:tcPr>
            <w:tcW w:w="1449" w:type="pct"/>
          </w:tcPr>
          <w:p w14:paraId="6F712517" w14:textId="430CA4E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127.73</w:t>
            </w:r>
          </w:p>
        </w:tc>
        <w:tc>
          <w:tcPr>
            <w:tcW w:w="645" w:type="pct"/>
          </w:tcPr>
          <w:p w14:paraId="62A8DC5D" w14:textId="571F35F1"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6.60</w:t>
            </w:r>
          </w:p>
        </w:tc>
        <w:tc>
          <w:tcPr>
            <w:tcW w:w="763" w:type="pct"/>
          </w:tcPr>
          <w:p w14:paraId="031AC31E" w14:textId="63653A5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52.58</w:t>
            </w:r>
          </w:p>
        </w:tc>
        <w:tc>
          <w:tcPr>
            <w:tcW w:w="763" w:type="pct"/>
          </w:tcPr>
          <w:p w14:paraId="34BBF585" w14:textId="3D7BE2A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13.09</w:t>
            </w:r>
          </w:p>
        </w:tc>
      </w:tr>
      <w:tr w:rsidR="00C32A13" w:rsidRPr="00C32A13" w14:paraId="63A9CDE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4820433A"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23</w:t>
            </w:r>
          </w:p>
        </w:tc>
        <w:tc>
          <w:tcPr>
            <w:tcW w:w="1449" w:type="pct"/>
          </w:tcPr>
          <w:p w14:paraId="18BFDD0B" w14:textId="54B2688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183.34</w:t>
            </w:r>
          </w:p>
        </w:tc>
        <w:tc>
          <w:tcPr>
            <w:tcW w:w="645" w:type="pct"/>
          </w:tcPr>
          <w:p w14:paraId="138FA1BA" w14:textId="5B619AD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3.91</w:t>
            </w:r>
          </w:p>
        </w:tc>
        <w:tc>
          <w:tcPr>
            <w:tcW w:w="763" w:type="pct"/>
          </w:tcPr>
          <w:p w14:paraId="083C0EED" w14:textId="4A7D73E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52.19</w:t>
            </w:r>
          </w:p>
        </w:tc>
        <w:tc>
          <w:tcPr>
            <w:tcW w:w="763" w:type="pct"/>
          </w:tcPr>
          <w:p w14:paraId="03154FFA" w14:textId="49D5652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13.79</w:t>
            </w:r>
          </w:p>
        </w:tc>
      </w:tr>
      <w:tr w:rsidR="00C32A13" w:rsidRPr="00C32A13" w14:paraId="56F7CB4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44E38CD"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24</w:t>
            </w:r>
          </w:p>
        </w:tc>
        <w:tc>
          <w:tcPr>
            <w:tcW w:w="1449" w:type="pct"/>
          </w:tcPr>
          <w:p w14:paraId="47E5B4F6" w14:textId="1A964E0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176.21</w:t>
            </w:r>
          </w:p>
        </w:tc>
        <w:tc>
          <w:tcPr>
            <w:tcW w:w="645" w:type="pct"/>
          </w:tcPr>
          <w:p w14:paraId="525C2CD0" w14:textId="133C399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5.51</w:t>
            </w:r>
          </w:p>
        </w:tc>
        <w:tc>
          <w:tcPr>
            <w:tcW w:w="763" w:type="pct"/>
          </w:tcPr>
          <w:p w14:paraId="35301389" w14:textId="087AF210"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26.36</w:t>
            </w:r>
          </w:p>
        </w:tc>
        <w:tc>
          <w:tcPr>
            <w:tcW w:w="763" w:type="pct"/>
          </w:tcPr>
          <w:p w14:paraId="106A3ECC" w14:textId="6FA501D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7.01</w:t>
            </w:r>
          </w:p>
        </w:tc>
      </w:tr>
      <w:tr w:rsidR="00C32A13" w:rsidRPr="00C32A13" w14:paraId="6357197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B3E8BA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25</w:t>
            </w:r>
          </w:p>
        </w:tc>
        <w:tc>
          <w:tcPr>
            <w:tcW w:w="1449" w:type="pct"/>
          </w:tcPr>
          <w:p w14:paraId="29817C16" w14:textId="2845620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165.30</w:t>
            </w:r>
          </w:p>
        </w:tc>
        <w:tc>
          <w:tcPr>
            <w:tcW w:w="645" w:type="pct"/>
          </w:tcPr>
          <w:p w14:paraId="678224CB" w14:textId="08CDE82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2.89</w:t>
            </w:r>
          </w:p>
        </w:tc>
        <w:tc>
          <w:tcPr>
            <w:tcW w:w="763" w:type="pct"/>
          </w:tcPr>
          <w:p w14:paraId="06CA608F" w14:textId="5E4F081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50.33</w:t>
            </w:r>
          </w:p>
        </w:tc>
        <w:tc>
          <w:tcPr>
            <w:tcW w:w="763" w:type="pct"/>
          </w:tcPr>
          <w:p w14:paraId="1CE6F524" w14:textId="18F531F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11.71</w:t>
            </w:r>
          </w:p>
        </w:tc>
      </w:tr>
      <w:tr w:rsidR="00C32A13" w:rsidRPr="00C32A13" w14:paraId="17C926F6"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1F794E6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26</w:t>
            </w:r>
          </w:p>
        </w:tc>
        <w:tc>
          <w:tcPr>
            <w:tcW w:w="1449" w:type="pct"/>
          </w:tcPr>
          <w:p w14:paraId="0BC1097B" w14:textId="118BB17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178.08</w:t>
            </w:r>
          </w:p>
        </w:tc>
        <w:tc>
          <w:tcPr>
            <w:tcW w:w="645" w:type="pct"/>
          </w:tcPr>
          <w:p w14:paraId="07955B2D" w14:textId="37250EE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5.13</w:t>
            </w:r>
          </w:p>
        </w:tc>
        <w:tc>
          <w:tcPr>
            <w:tcW w:w="763" w:type="pct"/>
          </w:tcPr>
          <w:p w14:paraId="07D77643" w14:textId="23B9B5D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63.97</w:t>
            </w:r>
          </w:p>
        </w:tc>
        <w:tc>
          <w:tcPr>
            <w:tcW w:w="763" w:type="pct"/>
          </w:tcPr>
          <w:p w14:paraId="6FE0A28E" w14:textId="2681F7F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17.02</w:t>
            </w:r>
          </w:p>
        </w:tc>
      </w:tr>
      <w:tr w:rsidR="00C32A13" w:rsidRPr="00C32A13" w14:paraId="1C753FA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1AE86B2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27</w:t>
            </w:r>
          </w:p>
        </w:tc>
        <w:tc>
          <w:tcPr>
            <w:tcW w:w="1449" w:type="pct"/>
          </w:tcPr>
          <w:p w14:paraId="6162C0EE" w14:textId="63125FB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189.69</w:t>
            </w:r>
          </w:p>
        </w:tc>
        <w:tc>
          <w:tcPr>
            <w:tcW w:w="645" w:type="pct"/>
          </w:tcPr>
          <w:p w14:paraId="2490528A" w14:textId="52EE2CD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2.94</w:t>
            </w:r>
          </w:p>
        </w:tc>
        <w:tc>
          <w:tcPr>
            <w:tcW w:w="763" w:type="pct"/>
          </w:tcPr>
          <w:p w14:paraId="4FBB3712" w14:textId="163C2E7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39.77</w:t>
            </w:r>
          </w:p>
        </w:tc>
        <w:tc>
          <w:tcPr>
            <w:tcW w:w="763" w:type="pct"/>
          </w:tcPr>
          <w:p w14:paraId="5C3C9D8E" w14:textId="1DD07C8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10.56</w:t>
            </w:r>
          </w:p>
        </w:tc>
      </w:tr>
      <w:tr w:rsidR="00C32A13" w:rsidRPr="00C32A13" w14:paraId="1C4E289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5916E4AB"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28</w:t>
            </w:r>
          </w:p>
        </w:tc>
        <w:tc>
          <w:tcPr>
            <w:tcW w:w="1449" w:type="pct"/>
          </w:tcPr>
          <w:p w14:paraId="5E4F6483" w14:textId="624712D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146.51</w:t>
            </w:r>
          </w:p>
        </w:tc>
        <w:tc>
          <w:tcPr>
            <w:tcW w:w="645" w:type="pct"/>
          </w:tcPr>
          <w:p w14:paraId="26CFE11D" w14:textId="5BAA0E2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4.72</w:t>
            </w:r>
          </w:p>
        </w:tc>
        <w:tc>
          <w:tcPr>
            <w:tcW w:w="763" w:type="pct"/>
          </w:tcPr>
          <w:p w14:paraId="0FFBE21D" w14:textId="25EED94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27.46</w:t>
            </w:r>
          </w:p>
        </w:tc>
        <w:tc>
          <w:tcPr>
            <w:tcW w:w="763" w:type="pct"/>
          </w:tcPr>
          <w:p w14:paraId="4D1E3E70" w14:textId="57120EB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7.11</w:t>
            </w:r>
          </w:p>
        </w:tc>
      </w:tr>
      <w:tr w:rsidR="00C32A13" w:rsidRPr="00C32A13" w14:paraId="14330DFE"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D787495"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29</w:t>
            </w:r>
          </w:p>
        </w:tc>
        <w:tc>
          <w:tcPr>
            <w:tcW w:w="1449" w:type="pct"/>
          </w:tcPr>
          <w:p w14:paraId="111D73C4" w14:textId="6ACC97B1"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154.67</w:t>
            </w:r>
          </w:p>
        </w:tc>
        <w:tc>
          <w:tcPr>
            <w:tcW w:w="645" w:type="pct"/>
          </w:tcPr>
          <w:p w14:paraId="31EECE97" w14:textId="45E44721"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5.36</w:t>
            </w:r>
          </w:p>
        </w:tc>
        <w:tc>
          <w:tcPr>
            <w:tcW w:w="763" w:type="pct"/>
          </w:tcPr>
          <w:p w14:paraId="31784D06" w14:textId="6189912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26.17</w:t>
            </w:r>
          </w:p>
        </w:tc>
        <w:tc>
          <w:tcPr>
            <w:tcW w:w="763" w:type="pct"/>
          </w:tcPr>
          <w:p w14:paraId="6F2FB4AC" w14:textId="75919E8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6.75</w:t>
            </w:r>
          </w:p>
        </w:tc>
      </w:tr>
      <w:tr w:rsidR="00C32A13" w:rsidRPr="00C32A13" w14:paraId="00E5B85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5AC8525"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30</w:t>
            </w:r>
          </w:p>
        </w:tc>
        <w:tc>
          <w:tcPr>
            <w:tcW w:w="1449" w:type="pct"/>
          </w:tcPr>
          <w:p w14:paraId="467C94F0" w14:textId="6E7B0DA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164.39</w:t>
            </w:r>
          </w:p>
        </w:tc>
        <w:tc>
          <w:tcPr>
            <w:tcW w:w="645" w:type="pct"/>
          </w:tcPr>
          <w:p w14:paraId="346A9361" w14:textId="01C6FE6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5.57</w:t>
            </w:r>
          </w:p>
        </w:tc>
        <w:tc>
          <w:tcPr>
            <w:tcW w:w="763" w:type="pct"/>
          </w:tcPr>
          <w:p w14:paraId="77A4C20F" w14:textId="4A1AADA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59.34</w:t>
            </w:r>
          </w:p>
        </w:tc>
        <w:tc>
          <w:tcPr>
            <w:tcW w:w="763" w:type="pct"/>
          </w:tcPr>
          <w:p w14:paraId="06B5A0C7" w14:textId="77777777" w:rsidR="00C32A13" w:rsidRPr="00C32A13" w:rsidRDefault="00C32A13" w:rsidP="00C32A13">
            <w:pPr>
              <w:pStyle w:val="Body"/>
              <w:numPr>
                <w:ilvl w:val="1"/>
                <w:numId w:val="35"/>
              </w:num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7BAE3702" w14:textId="77777777" w:rsidR="00C32A13" w:rsidRDefault="00C32A13" w:rsidP="00C32A13">
      <w:pPr>
        <w:pStyle w:val="Body"/>
        <w:spacing w:after="0"/>
        <w:jc w:val="center"/>
        <w:rPr>
          <w:rFonts w:ascii="Arial" w:hAnsi="Arial" w:cs="Arial"/>
        </w:rPr>
      </w:pPr>
    </w:p>
    <w:p w14:paraId="794C8C11" w14:textId="77777777" w:rsidR="00C32A13" w:rsidRDefault="00C32A13" w:rsidP="00C32A13">
      <w:pPr>
        <w:pStyle w:val="Body"/>
        <w:spacing w:after="0"/>
        <w:jc w:val="center"/>
        <w:rPr>
          <w:rFonts w:ascii="Arial" w:hAnsi="Arial" w:cs="Arial"/>
        </w:rPr>
      </w:pPr>
    </w:p>
    <w:p w14:paraId="40D1BE37" w14:textId="77777777" w:rsidR="00C32A13" w:rsidRDefault="00C32A13" w:rsidP="00C32A13">
      <w:pPr>
        <w:pStyle w:val="Body"/>
        <w:spacing w:after="0"/>
        <w:jc w:val="center"/>
        <w:rPr>
          <w:rFonts w:ascii="Arial" w:hAnsi="Arial" w:cs="Arial"/>
        </w:rPr>
      </w:pPr>
    </w:p>
    <w:p w14:paraId="33CAA86C" w14:textId="72D59DB9" w:rsidR="00C32A13" w:rsidRPr="00C32A13" w:rsidRDefault="00C32A13" w:rsidP="00C32A13">
      <w:pPr>
        <w:pStyle w:val="Body"/>
        <w:spacing w:after="0"/>
        <w:jc w:val="center"/>
        <w:rPr>
          <w:rFonts w:ascii="Arial" w:hAnsi="Arial" w:cs="Arial"/>
          <w:b/>
          <w:bCs/>
        </w:rPr>
      </w:pPr>
      <w:r w:rsidRPr="00C32A13">
        <w:rPr>
          <w:rFonts w:ascii="Arial" w:hAnsi="Arial" w:cs="Arial"/>
          <w:b/>
          <w:bCs/>
        </w:rPr>
        <w:t>Table 4. Mean values of genotypes with respect to growing conditions (polyhouse and field)- Factor B</w:t>
      </w:r>
    </w:p>
    <w:p w14:paraId="5C18706D"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7EF85E4A"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914942F" w14:textId="77777777" w:rsidR="00C32A13" w:rsidRPr="00C32A13" w:rsidRDefault="00C32A13" w:rsidP="00C32A13">
            <w:pPr>
              <w:pStyle w:val="Body"/>
              <w:spacing w:after="0"/>
              <w:jc w:val="center"/>
              <w:rPr>
                <w:rFonts w:ascii="Arial" w:hAnsi="Arial" w:cs="Arial"/>
                <w:lang w:val="en-IN"/>
              </w:rPr>
            </w:pPr>
            <w:r w:rsidRPr="00C32A13">
              <w:rPr>
                <w:rFonts w:ascii="Arial" w:hAnsi="Arial" w:cs="Arial"/>
                <w:lang w:val="en-IN"/>
              </w:rPr>
              <w:t>Parameters</w:t>
            </w:r>
          </w:p>
        </w:tc>
        <w:tc>
          <w:tcPr>
            <w:tcW w:w="1889" w:type="pct"/>
          </w:tcPr>
          <w:p w14:paraId="5585AE9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Polyhouse</w:t>
            </w:r>
          </w:p>
        </w:tc>
        <w:tc>
          <w:tcPr>
            <w:tcW w:w="1103" w:type="pct"/>
          </w:tcPr>
          <w:p w14:paraId="048860D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Field</w:t>
            </w:r>
          </w:p>
        </w:tc>
      </w:tr>
      <w:tr w:rsidR="00C32A13" w:rsidRPr="00C32A13" w14:paraId="62D9B2D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19462795" w14:textId="7455E763"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P</w:t>
            </w:r>
            <w:r>
              <w:rPr>
                <w:rFonts w:ascii="Arial" w:hAnsi="Arial" w:cs="Arial"/>
                <w:b w:val="0"/>
                <w:bCs w:val="0"/>
                <w:lang w:val="en-IN"/>
              </w:rPr>
              <w:t>lant height</w:t>
            </w:r>
          </w:p>
        </w:tc>
        <w:tc>
          <w:tcPr>
            <w:tcW w:w="1889" w:type="pct"/>
          </w:tcPr>
          <w:p w14:paraId="33694BC8"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265.73</w:t>
            </w:r>
          </w:p>
        </w:tc>
        <w:tc>
          <w:tcPr>
            <w:tcW w:w="1103" w:type="pct"/>
          </w:tcPr>
          <w:p w14:paraId="698D0A86"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36.50</w:t>
            </w:r>
          </w:p>
        </w:tc>
      </w:tr>
      <w:tr w:rsidR="00C32A13" w:rsidRPr="00C32A13" w14:paraId="03FA1D4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54AE94C2" w14:textId="254B760B"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L</w:t>
            </w:r>
            <w:r>
              <w:rPr>
                <w:rFonts w:ascii="Arial" w:hAnsi="Arial" w:cs="Arial"/>
                <w:b w:val="0"/>
                <w:bCs w:val="0"/>
                <w:lang w:val="en-IN"/>
              </w:rPr>
              <w:t>eaf area index</w:t>
            </w:r>
          </w:p>
        </w:tc>
        <w:tc>
          <w:tcPr>
            <w:tcW w:w="1889" w:type="pct"/>
          </w:tcPr>
          <w:p w14:paraId="488DA839" w14:textId="5F98039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5.46</w:t>
            </w:r>
          </w:p>
        </w:tc>
        <w:tc>
          <w:tcPr>
            <w:tcW w:w="1103" w:type="pct"/>
          </w:tcPr>
          <w:p w14:paraId="7D7B7310" w14:textId="7777777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3.57</w:t>
            </w:r>
          </w:p>
        </w:tc>
      </w:tr>
      <w:tr w:rsidR="00C32A13" w:rsidRPr="00C32A13" w14:paraId="1D8B4FAE"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2D421F5C" w14:textId="00B650E1"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G</w:t>
            </w:r>
            <w:r>
              <w:rPr>
                <w:rFonts w:ascii="Arial" w:hAnsi="Arial" w:cs="Arial"/>
                <w:b w:val="0"/>
                <w:bCs w:val="0"/>
                <w:lang w:val="en-IN"/>
              </w:rPr>
              <w:t>reen fodder yield</w:t>
            </w:r>
          </w:p>
        </w:tc>
        <w:tc>
          <w:tcPr>
            <w:tcW w:w="1889" w:type="pct"/>
          </w:tcPr>
          <w:p w14:paraId="5CB9DBD8"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46.91</w:t>
            </w:r>
          </w:p>
        </w:tc>
        <w:tc>
          <w:tcPr>
            <w:tcW w:w="1103" w:type="pct"/>
          </w:tcPr>
          <w:p w14:paraId="6133DBFC"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32.52</w:t>
            </w:r>
          </w:p>
        </w:tc>
      </w:tr>
      <w:tr w:rsidR="00C32A13" w:rsidRPr="00C32A13" w14:paraId="759B9F5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047C86BA" w14:textId="0ED3F3D1"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D</w:t>
            </w:r>
            <w:r>
              <w:rPr>
                <w:rFonts w:ascii="Arial" w:hAnsi="Arial" w:cs="Arial"/>
                <w:b w:val="0"/>
                <w:bCs w:val="0"/>
                <w:lang w:val="en-IN"/>
              </w:rPr>
              <w:t>ry fodder yield</w:t>
            </w:r>
          </w:p>
        </w:tc>
        <w:tc>
          <w:tcPr>
            <w:tcW w:w="1889" w:type="pct"/>
          </w:tcPr>
          <w:p w14:paraId="3849501C" w14:textId="65CE4AC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12.24</w:t>
            </w:r>
          </w:p>
        </w:tc>
        <w:tc>
          <w:tcPr>
            <w:tcW w:w="1103" w:type="pct"/>
          </w:tcPr>
          <w:p w14:paraId="6F930109" w14:textId="7777777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8.50</w:t>
            </w:r>
          </w:p>
        </w:tc>
      </w:tr>
    </w:tbl>
    <w:p w14:paraId="73699454" w14:textId="77777777" w:rsidR="00C32A13" w:rsidRDefault="00C32A13" w:rsidP="00C32A13">
      <w:pPr>
        <w:pStyle w:val="Body"/>
        <w:spacing w:after="0"/>
        <w:jc w:val="center"/>
        <w:rPr>
          <w:rFonts w:ascii="Arial" w:hAnsi="Arial" w:cs="Arial"/>
        </w:rPr>
      </w:pPr>
    </w:p>
    <w:p w14:paraId="4DFACD22" w14:textId="77777777" w:rsidR="00C32A13" w:rsidRDefault="00C32A13" w:rsidP="00C32A13">
      <w:pPr>
        <w:pStyle w:val="Body"/>
        <w:spacing w:after="0"/>
        <w:rPr>
          <w:rFonts w:ascii="Arial" w:hAnsi="Arial" w:cs="Arial"/>
        </w:rPr>
      </w:pPr>
    </w:p>
    <w:p w14:paraId="25174BA3" w14:textId="77777777" w:rsidR="00C32A13" w:rsidRDefault="00C32A13" w:rsidP="00C32A13">
      <w:pPr>
        <w:pStyle w:val="Body"/>
        <w:spacing w:after="0"/>
        <w:rPr>
          <w:rFonts w:ascii="Arial" w:hAnsi="Arial" w:cs="Arial"/>
        </w:rPr>
      </w:pPr>
    </w:p>
    <w:p w14:paraId="4C31A65A" w14:textId="1CC0D205" w:rsidR="00C32A13" w:rsidRPr="00C32A13" w:rsidRDefault="00C32A13" w:rsidP="00C32A13">
      <w:pPr>
        <w:pStyle w:val="Body"/>
        <w:numPr>
          <w:ilvl w:val="1"/>
          <w:numId w:val="34"/>
        </w:numPr>
        <w:spacing w:after="0"/>
        <w:rPr>
          <w:rFonts w:ascii="Arial" w:hAnsi="Arial" w:cs="Arial"/>
          <w:b/>
          <w:bCs/>
        </w:rPr>
      </w:pPr>
      <w:r w:rsidRPr="00C32A13">
        <w:rPr>
          <w:rFonts w:ascii="Arial" w:hAnsi="Arial" w:cs="Arial"/>
          <w:b/>
          <w:bCs/>
        </w:rPr>
        <w:t>Performance evaluation of genotypes based on physiological and biochemical parameters</w:t>
      </w:r>
    </w:p>
    <w:p w14:paraId="5331022E" w14:textId="77777777" w:rsidR="00C32A13" w:rsidRDefault="00C32A13" w:rsidP="00C32A13">
      <w:pPr>
        <w:pStyle w:val="Body"/>
        <w:spacing w:after="0"/>
        <w:rPr>
          <w:rFonts w:ascii="Arial" w:hAnsi="Arial" w:cs="Arial"/>
        </w:rPr>
      </w:pPr>
    </w:p>
    <w:p w14:paraId="657C7934"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Total chlorophyll</w:t>
      </w:r>
    </w:p>
    <w:p w14:paraId="7342B0E1" w14:textId="4B35ACE1" w:rsidR="00C32A13" w:rsidRPr="00C32A13" w:rsidRDefault="00C32A13" w:rsidP="00C32A13">
      <w:pPr>
        <w:pStyle w:val="Body"/>
        <w:rPr>
          <w:rFonts w:ascii="Arial" w:hAnsi="Arial" w:cs="Arial"/>
        </w:rPr>
      </w:pPr>
      <w:r w:rsidRPr="00C32A13">
        <w:rPr>
          <w:rFonts w:ascii="Arial" w:hAnsi="Arial" w:cs="Arial"/>
        </w:rPr>
        <w:t xml:space="preserve">Plants grown under </w:t>
      </w:r>
      <w:r w:rsidR="00F734CC">
        <w:rPr>
          <w:rFonts w:ascii="Arial" w:hAnsi="Arial" w:cs="Arial"/>
        </w:rPr>
        <w:t>field</w:t>
      </w:r>
      <w:r w:rsidRPr="00C32A13">
        <w:rPr>
          <w:rFonts w:ascii="Arial" w:hAnsi="Arial" w:cs="Arial"/>
        </w:rPr>
        <w:t xml:space="preserve"> conditions exhibited a higher mean chlorophyll content (0.65) compared to those grown in the </w:t>
      </w:r>
      <w:r w:rsidR="00F734CC">
        <w:rPr>
          <w:rFonts w:ascii="Arial" w:hAnsi="Arial" w:cs="Arial"/>
        </w:rPr>
        <w:t>polyhouse</w:t>
      </w:r>
      <w:r w:rsidRPr="00C32A13">
        <w:rPr>
          <w:rFonts w:ascii="Arial" w:hAnsi="Arial" w:cs="Arial"/>
        </w:rPr>
        <w:t xml:space="preserve"> (0.52)</w:t>
      </w:r>
      <w:r w:rsidR="000568BD">
        <w:rPr>
          <w:rFonts w:ascii="Arial" w:hAnsi="Arial" w:cs="Arial"/>
        </w:rPr>
        <w:t xml:space="preserve"> as presented in Table 6</w:t>
      </w:r>
      <w:r w:rsidRPr="00C32A13">
        <w:rPr>
          <w:rFonts w:ascii="Arial" w:hAnsi="Arial" w:cs="Arial"/>
        </w:rPr>
        <w:t xml:space="preserve">. From Table </w:t>
      </w:r>
      <w:r w:rsidR="00F734CC">
        <w:rPr>
          <w:rFonts w:ascii="Arial" w:hAnsi="Arial" w:cs="Arial"/>
        </w:rPr>
        <w:t>5</w:t>
      </w:r>
      <w:r w:rsidRPr="00C32A13">
        <w:rPr>
          <w:rFonts w:ascii="Arial" w:hAnsi="Arial" w:cs="Arial"/>
        </w:rPr>
        <w:t>, it is observed that the genotype UPC-622 recorded the highest chlorophyll content (0.69), while the lowest was observed in UPC-607 (0.40).</w:t>
      </w:r>
    </w:p>
    <w:p w14:paraId="6088A4A4"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Relative water content</w:t>
      </w:r>
    </w:p>
    <w:p w14:paraId="75211FFC" w14:textId="3FF9A1CD" w:rsidR="00C32A13" w:rsidRPr="00C32A13" w:rsidRDefault="00C32A13" w:rsidP="00C32A13">
      <w:pPr>
        <w:pStyle w:val="Body"/>
        <w:rPr>
          <w:rFonts w:ascii="Arial" w:hAnsi="Arial" w:cs="Arial"/>
        </w:rPr>
      </w:pPr>
      <w:r w:rsidRPr="00C32A13">
        <w:rPr>
          <w:rFonts w:ascii="Arial" w:hAnsi="Arial" w:cs="Arial"/>
        </w:rPr>
        <w:t>Plants maintained under polyhouse conditions recorded a higher mean RWC (73.03) compared to those grown in the field (65.54)</w:t>
      </w:r>
      <w:r w:rsidR="00F734CC">
        <w:rPr>
          <w:rFonts w:ascii="Arial" w:hAnsi="Arial" w:cs="Arial"/>
        </w:rPr>
        <w:t xml:space="preserve"> as given in Table 6</w:t>
      </w:r>
      <w:r w:rsidRPr="00C32A13">
        <w:rPr>
          <w:rFonts w:ascii="Arial" w:hAnsi="Arial" w:cs="Arial"/>
        </w:rPr>
        <w:t>. It is observed that the genotype BL-4 exhibited the highest RWC (82.75) while EC390241 (62.83) and EC101978 (62.97) recorded the lowest values, which were statistically on par with UPC-618 (63.03).</w:t>
      </w:r>
    </w:p>
    <w:p w14:paraId="12D502C8"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Proline content</w:t>
      </w:r>
    </w:p>
    <w:p w14:paraId="10D86C6E" w14:textId="599F3E56" w:rsidR="00C32A13" w:rsidRPr="00C32A13" w:rsidRDefault="00C32A13" w:rsidP="00C32A13">
      <w:pPr>
        <w:pStyle w:val="Body"/>
        <w:rPr>
          <w:rFonts w:ascii="Arial" w:hAnsi="Arial" w:cs="Arial"/>
        </w:rPr>
      </w:pPr>
      <w:r w:rsidRPr="00C32A13">
        <w:rPr>
          <w:rFonts w:ascii="Arial" w:hAnsi="Arial" w:cs="Arial"/>
        </w:rPr>
        <w:t>Plants grown under polyhouse conditions accumulated higher mean proline content (3.27) compared to those grown in the field (2.16). From the mean performance of genotypes</w:t>
      </w:r>
      <w:r w:rsidR="00F734CC">
        <w:rPr>
          <w:rFonts w:ascii="Arial" w:hAnsi="Arial" w:cs="Arial"/>
        </w:rPr>
        <w:t xml:space="preserve"> as given in Table 5</w:t>
      </w:r>
      <w:r w:rsidRPr="00C32A13">
        <w:rPr>
          <w:rFonts w:ascii="Arial" w:hAnsi="Arial" w:cs="Arial"/>
        </w:rPr>
        <w:t xml:space="preserve">, it is noted that MFC-09-1 recorded the highest proline content (4.57) which was statistically on par with EC240630 (4.29), COFC-8 (4.14), IC372130 (4.10), Aiswarya </w:t>
      </w:r>
      <w:r w:rsidRPr="00C32A13">
        <w:rPr>
          <w:rFonts w:ascii="Arial" w:hAnsi="Arial" w:cs="Arial"/>
        </w:rPr>
        <w:lastRenderedPageBreak/>
        <w:t>(4.12), Culture-6 (4.03), and Kohinoor (4.01). The lowest values were recorded in EC101973 (1.54) and EC367714 (1.57).</w:t>
      </w:r>
    </w:p>
    <w:p w14:paraId="59C46D29"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Peroxidase activity</w:t>
      </w:r>
    </w:p>
    <w:p w14:paraId="5F9C9662" w14:textId="77777777" w:rsidR="00C32A13" w:rsidRPr="00C32A13" w:rsidRDefault="00C32A13" w:rsidP="00C32A13">
      <w:pPr>
        <w:pStyle w:val="Body"/>
        <w:rPr>
          <w:rFonts w:ascii="Arial" w:hAnsi="Arial" w:cs="Arial"/>
        </w:rPr>
      </w:pPr>
      <w:r w:rsidRPr="00C32A13">
        <w:rPr>
          <w:rFonts w:ascii="Arial" w:hAnsi="Arial" w:cs="Arial"/>
        </w:rPr>
        <w:t>Plants grown under polyhouse conditions exhibited a higher mean peroxidase activity (19.98) compared to those grown in the field (19.08). Among the genotypes, Culture-6 recorded the highest peroxidase activity (24.70) while EC367714 exhibited the lowest enzyme activity (14.96).</w:t>
      </w:r>
    </w:p>
    <w:p w14:paraId="15421B4D"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Cell membrane stability index</w:t>
      </w:r>
    </w:p>
    <w:p w14:paraId="241E0974" w14:textId="77777777" w:rsidR="00C32A13" w:rsidRPr="00C32A13" w:rsidRDefault="00C32A13" w:rsidP="00C32A13">
      <w:pPr>
        <w:pStyle w:val="Body"/>
        <w:rPr>
          <w:rFonts w:ascii="Arial" w:hAnsi="Arial" w:cs="Arial"/>
        </w:rPr>
      </w:pPr>
      <w:r w:rsidRPr="00C32A13">
        <w:rPr>
          <w:rFonts w:ascii="Arial" w:hAnsi="Arial" w:cs="Arial"/>
        </w:rPr>
        <w:t>Plants grown under polyhouse conditions recorded a higher mean CMSI (87.76) compared to those grown in the field (81.83). UPC-622 exhibited the highest CMSI (90.92) among the genotypes which was on par with Aiswarya (90.87), EC240630 (90.72), and UPC-5286 (90.67). The lowest stability was recorded in UPC-22-1 (77.88) and EC101978 (78.00).</w:t>
      </w:r>
    </w:p>
    <w:p w14:paraId="0B35B032" w14:textId="2251F03D" w:rsidR="00C32A13" w:rsidRPr="00C32A13" w:rsidRDefault="00C32A13" w:rsidP="00C32A13">
      <w:pPr>
        <w:pStyle w:val="Body"/>
        <w:spacing w:after="0"/>
        <w:jc w:val="center"/>
        <w:rPr>
          <w:rFonts w:ascii="Arial" w:hAnsi="Arial" w:cs="Arial"/>
          <w:b/>
          <w:bCs/>
        </w:rPr>
      </w:pPr>
      <w:r w:rsidRPr="00C32A13">
        <w:rPr>
          <w:rFonts w:ascii="Arial" w:hAnsi="Arial" w:cs="Arial"/>
          <w:b/>
          <w:bCs/>
        </w:rPr>
        <w:t>Table 5. Mean values of genotypes with respect to physiological and biochemical characters – Factor A</w:t>
      </w:r>
    </w:p>
    <w:p w14:paraId="7F926664" w14:textId="77777777" w:rsidR="00C32A13" w:rsidRDefault="00C32A13" w:rsidP="00C32A13">
      <w:pPr>
        <w:pStyle w:val="Body"/>
        <w:spacing w:after="0"/>
        <w:jc w:val="center"/>
        <w:rPr>
          <w:rFonts w:ascii="Arial" w:hAnsi="Arial" w:cs="Arial"/>
        </w:rPr>
      </w:pPr>
    </w:p>
    <w:tbl>
      <w:tblPr>
        <w:tblStyle w:val="PlainTable2"/>
        <w:tblW w:w="5000" w:type="pct"/>
        <w:jc w:val="center"/>
        <w:tblLook w:val="04A0" w:firstRow="1" w:lastRow="0" w:firstColumn="1" w:lastColumn="0" w:noHBand="0" w:noVBand="1"/>
      </w:tblPr>
      <w:tblGrid>
        <w:gridCol w:w="2092"/>
        <w:gridCol w:w="1294"/>
        <w:gridCol w:w="1252"/>
        <w:gridCol w:w="1052"/>
        <w:gridCol w:w="1284"/>
        <w:gridCol w:w="1228"/>
      </w:tblGrid>
      <w:tr w:rsidR="00C32A13" w:rsidRPr="00C32A13" w14:paraId="62D73DFE"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05457C35" w14:textId="77777777" w:rsidR="00C32A13" w:rsidRPr="00C32A13" w:rsidRDefault="00C32A13" w:rsidP="00420CED">
            <w:pPr>
              <w:pStyle w:val="Body"/>
              <w:jc w:val="center"/>
              <w:rPr>
                <w:rFonts w:ascii="Arial" w:hAnsi="Arial" w:cs="Arial"/>
              </w:rPr>
            </w:pPr>
            <w:r w:rsidRPr="00C32A13">
              <w:rPr>
                <w:rFonts w:ascii="Arial" w:hAnsi="Arial" w:cs="Arial"/>
              </w:rPr>
              <w:t>Treatment</w:t>
            </w:r>
          </w:p>
        </w:tc>
        <w:tc>
          <w:tcPr>
            <w:tcW w:w="667" w:type="pct"/>
          </w:tcPr>
          <w:p w14:paraId="55BAC0C3" w14:textId="009F649E"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T</w:t>
            </w:r>
            <w:r>
              <w:rPr>
                <w:rFonts w:ascii="Arial" w:hAnsi="Arial" w:cs="Arial"/>
                <w:lang w:val="en-IN"/>
              </w:rPr>
              <w:t>otal chlorophyll</w:t>
            </w:r>
          </w:p>
        </w:tc>
        <w:tc>
          <w:tcPr>
            <w:tcW w:w="789" w:type="pct"/>
          </w:tcPr>
          <w:p w14:paraId="7881EBED" w14:textId="1778B784"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R</w:t>
            </w:r>
            <w:r>
              <w:rPr>
                <w:rFonts w:ascii="Arial" w:hAnsi="Arial" w:cs="Arial"/>
                <w:lang w:val="en-IN"/>
              </w:rPr>
              <w:t>elative</w:t>
            </w:r>
            <w:r w:rsidR="00420CED">
              <w:rPr>
                <w:rFonts w:ascii="Arial" w:hAnsi="Arial" w:cs="Arial"/>
                <w:lang w:val="en-IN"/>
              </w:rPr>
              <w:t xml:space="preserve"> water content</w:t>
            </w:r>
          </w:p>
        </w:tc>
        <w:tc>
          <w:tcPr>
            <w:tcW w:w="667" w:type="pct"/>
          </w:tcPr>
          <w:p w14:paraId="2B44E34D" w14:textId="3D9B81FD"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P</w:t>
            </w:r>
            <w:r w:rsidR="00420CED">
              <w:rPr>
                <w:rFonts w:ascii="Arial" w:hAnsi="Arial" w:cs="Arial"/>
                <w:lang w:val="en-IN"/>
              </w:rPr>
              <w:t>roline content</w:t>
            </w:r>
          </w:p>
        </w:tc>
        <w:tc>
          <w:tcPr>
            <w:tcW w:w="789" w:type="pct"/>
          </w:tcPr>
          <w:p w14:paraId="0CD0D2B9" w14:textId="45D11AD6"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P</w:t>
            </w:r>
            <w:r w:rsidR="00420CED">
              <w:rPr>
                <w:rFonts w:ascii="Arial" w:hAnsi="Arial" w:cs="Arial"/>
                <w:lang w:val="en-IN"/>
              </w:rPr>
              <w:t>eroxidase activity</w:t>
            </w:r>
          </w:p>
        </w:tc>
        <w:tc>
          <w:tcPr>
            <w:tcW w:w="789" w:type="pct"/>
          </w:tcPr>
          <w:p w14:paraId="4230BD34" w14:textId="2D96EED0" w:rsidR="00C32A13" w:rsidRPr="00C32A13" w:rsidRDefault="00420CED"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IN"/>
              </w:rPr>
              <w:t>Cell membrane stability index</w:t>
            </w:r>
          </w:p>
        </w:tc>
      </w:tr>
      <w:tr w:rsidR="00C32A13" w:rsidRPr="00C32A13" w14:paraId="2ADB4044"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6722BC3"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w:t>
            </w:r>
          </w:p>
        </w:tc>
        <w:tc>
          <w:tcPr>
            <w:tcW w:w="667" w:type="pct"/>
          </w:tcPr>
          <w:p w14:paraId="1505C6A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0.68 </w:t>
            </w:r>
          </w:p>
        </w:tc>
        <w:tc>
          <w:tcPr>
            <w:tcW w:w="789" w:type="pct"/>
          </w:tcPr>
          <w:p w14:paraId="19A30D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76.20 </w:t>
            </w:r>
          </w:p>
        </w:tc>
        <w:tc>
          <w:tcPr>
            <w:tcW w:w="667" w:type="pct"/>
          </w:tcPr>
          <w:p w14:paraId="1F5335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4.29 </w:t>
            </w:r>
          </w:p>
        </w:tc>
        <w:tc>
          <w:tcPr>
            <w:tcW w:w="789" w:type="pct"/>
          </w:tcPr>
          <w:p w14:paraId="5641C6A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23.36 </w:t>
            </w:r>
          </w:p>
        </w:tc>
        <w:tc>
          <w:tcPr>
            <w:tcW w:w="789" w:type="pct"/>
          </w:tcPr>
          <w:p w14:paraId="346F3F4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90.72 </w:t>
            </w:r>
          </w:p>
        </w:tc>
      </w:tr>
      <w:tr w:rsidR="00C32A13" w:rsidRPr="00C32A13" w14:paraId="294D49EA"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83D306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w:t>
            </w:r>
          </w:p>
        </w:tc>
        <w:tc>
          <w:tcPr>
            <w:tcW w:w="667" w:type="pct"/>
          </w:tcPr>
          <w:p w14:paraId="1E76554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0.66 </w:t>
            </w:r>
          </w:p>
        </w:tc>
        <w:tc>
          <w:tcPr>
            <w:tcW w:w="789" w:type="pct"/>
          </w:tcPr>
          <w:p w14:paraId="3CB3572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66.75 </w:t>
            </w:r>
          </w:p>
        </w:tc>
        <w:tc>
          <w:tcPr>
            <w:tcW w:w="667" w:type="pct"/>
          </w:tcPr>
          <w:p w14:paraId="4723F18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4.14 </w:t>
            </w:r>
          </w:p>
        </w:tc>
        <w:tc>
          <w:tcPr>
            <w:tcW w:w="789" w:type="pct"/>
          </w:tcPr>
          <w:p w14:paraId="48F67B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23.20 </w:t>
            </w:r>
          </w:p>
        </w:tc>
        <w:tc>
          <w:tcPr>
            <w:tcW w:w="789" w:type="pct"/>
          </w:tcPr>
          <w:p w14:paraId="32E8D5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89.33 </w:t>
            </w:r>
          </w:p>
        </w:tc>
      </w:tr>
      <w:tr w:rsidR="00C32A13" w:rsidRPr="00C32A13" w14:paraId="77DE484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151971A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3</w:t>
            </w:r>
          </w:p>
        </w:tc>
        <w:tc>
          <w:tcPr>
            <w:tcW w:w="667" w:type="pct"/>
          </w:tcPr>
          <w:p w14:paraId="0C29A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0.48 </w:t>
            </w:r>
          </w:p>
        </w:tc>
        <w:tc>
          <w:tcPr>
            <w:tcW w:w="789" w:type="pct"/>
          </w:tcPr>
          <w:p w14:paraId="34E180A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65.84 </w:t>
            </w:r>
          </w:p>
        </w:tc>
        <w:tc>
          <w:tcPr>
            <w:tcW w:w="667" w:type="pct"/>
          </w:tcPr>
          <w:p w14:paraId="4A1077B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74CD1EB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16.97 </w:t>
            </w:r>
          </w:p>
        </w:tc>
        <w:tc>
          <w:tcPr>
            <w:tcW w:w="789" w:type="pct"/>
          </w:tcPr>
          <w:p w14:paraId="7C2022A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82.93 </w:t>
            </w:r>
          </w:p>
        </w:tc>
      </w:tr>
      <w:tr w:rsidR="00C32A13" w:rsidRPr="00C32A13" w14:paraId="13910564"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588472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4</w:t>
            </w:r>
          </w:p>
        </w:tc>
        <w:tc>
          <w:tcPr>
            <w:tcW w:w="667" w:type="pct"/>
          </w:tcPr>
          <w:p w14:paraId="781F72C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0.43 </w:t>
            </w:r>
          </w:p>
        </w:tc>
        <w:tc>
          <w:tcPr>
            <w:tcW w:w="789" w:type="pct"/>
          </w:tcPr>
          <w:p w14:paraId="6982DF3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66.96 </w:t>
            </w:r>
          </w:p>
        </w:tc>
        <w:tc>
          <w:tcPr>
            <w:tcW w:w="667" w:type="pct"/>
          </w:tcPr>
          <w:p w14:paraId="5CB9E6F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1.57 </w:t>
            </w:r>
          </w:p>
        </w:tc>
        <w:tc>
          <w:tcPr>
            <w:tcW w:w="789" w:type="pct"/>
          </w:tcPr>
          <w:p w14:paraId="62DE957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14.96 </w:t>
            </w:r>
          </w:p>
        </w:tc>
        <w:tc>
          <w:tcPr>
            <w:tcW w:w="789" w:type="pct"/>
          </w:tcPr>
          <w:p w14:paraId="1018696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80.35 </w:t>
            </w:r>
          </w:p>
        </w:tc>
      </w:tr>
      <w:tr w:rsidR="00C32A13" w:rsidRPr="00C32A13" w14:paraId="23C3250B"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3D8886C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5</w:t>
            </w:r>
          </w:p>
        </w:tc>
        <w:tc>
          <w:tcPr>
            <w:tcW w:w="667" w:type="pct"/>
          </w:tcPr>
          <w:p w14:paraId="39A8262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0.64 </w:t>
            </w:r>
          </w:p>
        </w:tc>
        <w:tc>
          <w:tcPr>
            <w:tcW w:w="789" w:type="pct"/>
          </w:tcPr>
          <w:p w14:paraId="02CCDBE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74.49 </w:t>
            </w:r>
          </w:p>
        </w:tc>
        <w:tc>
          <w:tcPr>
            <w:tcW w:w="667" w:type="pct"/>
          </w:tcPr>
          <w:p w14:paraId="081BBFD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1.61 </w:t>
            </w:r>
          </w:p>
        </w:tc>
        <w:tc>
          <w:tcPr>
            <w:tcW w:w="789" w:type="pct"/>
          </w:tcPr>
          <w:p w14:paraId="2B9BA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15.68 </w:t>
            </w:r>
          </w:p>
        </w:tc>
        <w:tc>
          <w:tcPr>
            <w:tcW w:w="789" w:type="pct"/>
          </w:tcPr>
          <w:p w14:paraId="0D4B7B3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81.77 </w:t>
            </w:r>
          </w:p>
        </w:tc>
      </w:tr>
      <w:tr w:rsidR="00C32A13" w:rsidRPr="00C32A13" w14:paraId="231F0D56"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070E55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6</w:t>
            </w:r>
          </w:p>
        </w:tc>
        <w:tc>
          <w:tcPr>
            <w:tcW w:w="667" w:type="pct"/>
          </w:tcPr>
          <w:p w14:paraId="561AD74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0.41 </w:t>
            </w:r>
          </w:p>
        </w:tc>
        <w:tc>
          <w:tcPr>
            <w:tcW w:w="789" w:type="pct"/>
          </w:tcPr>
          <w:p w14:paraId="5EC124A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62.97 </w:t>
            </w:r>
          </w:p>
        </w:tc>
        <w:tc>
          <w:tcPr>
            <w:tcW w:w="667" w:type="pct"/>
          </w:tcPr>
          <w:p w14:paraId="32A9089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2.02 </w:t>
            </w:r>
          </w:p>
        </w:tc>
        <w:tc>
          <w:tcPr>
            <w:tcW w:w="789" w:type="pct"/>
          </w:tcPr>
          <w:p w14:paraId="19BC745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18.83 </w:t>
            </w:r>
          </w:p>
        </w:tc>
        <w:tc>
          <w:tcPr>
            <w:tcW w:w="789" w:type="pct"/>
          </w:tcPr>
          <w:p w14:paraId="6DC7C00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78.00 </w:t>
            </w:r>
          </w:p>
        </w:tc>
      </w:tr>
      <w:tr w:rsidR="00C32A13" w:rsidRPr="00C32A13" w14:paraId="704F3E38"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94F5DA7"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7</w:t>
            </w:r>
          </w:p>
        </w:tc>
        <w:tc>
          <w:tcPr>
            <w:tcW w:w="667" w:type="pct"/>
          </w:tcPr>
          <w:p w14:paraId="74C8BF7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5465EC0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66.99 </w:t>
            </w:r>
          </w:p>
        </w:tc>
        <w:tc>
          <w:tcPr>
            <w:tcW w:w="667" w:type="pct"/>
          </w:tcPr>
          <w:p w14:paraId="651BCFF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4.10 </w:t>
            </w:r>
          </w:p>
        </w:tc>
        <w:tc>
          <w:tcPr>
            <w:tcW w:w="789" w:type="pct"/>
          </w:tcPr>
          <w:p w14:paraId="7706C66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22.39 </w:t>
            </w:r>
          </w:p>
        </w:tc>
        <w:tc>
          <w:tcPr>
            <w:tcW w:w="789" w:type="pct"/>
          </w:tcPr>
          <w:p w14:paraId="59F6E8D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89.68 </w:t>
            </w:r>
          </w:p>
        </w:tc>
      </w:tr>
      <w:tr w:rsidR="00C32A13" w:rsidRPr="00C32A13" w14:paraId="4B8C4EB5"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B12DA70"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8</w:t>
            </w:r>
          </w:p>
        </w:tc>
        <w:tc>
          <w:tcPr>
            <w:tcW w:w="667" w:type="pct"/>
          </w:tcPr>
          <w:p w14:paraId="0D52CA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0.60 </w:t>
            </w:r>
          </w:p>
        </w:tc>
        <w:tc>
          <w:tcPr>
            <w:tcW w:w="789" w:type="pct"/>
          </w:tcPr>
          <w:p w14:paraId="3C29224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67.50 </w:t>
            </w:r>
          </w:p>
        </w:tc>
        <w:tc>
          <w:tcPr>
            <w:tcW w:w="667" w:type="pct"/>
          </w:tcPr>
          <w:p w14:paraId="1115D4B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2.17 </w:t>
            </w:r>
          </w:p>
        </w:tc>
        <w:tc>
          <w:tcPr>
            <w:tcW w:w="789" w:type="pct"/>
          </w:tcPr>
          <w:p w14:paraId="0D8F3EA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21.15 </w:t>
            </w:r>
          </w:p>
        </w:tc>
        <w:tc>
          <w:tcPr>
            <w:tcW w:w="789" w:type="pct"/>
          </w:tcPr>
          <w:p w14:paraId="4B63B7B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82.42 </w:t>
            </w:r>
          </w:p>
        </w:tc>
      </w:tr>
      <w:tr w:rsidR="00C32A13" w:rsidRPr="00C32A13" w14:paraId="1D27CCD0"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0B4646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9</w:t>
            </w:r>
          </w:p>
        </w:tc>
        <w:tc>
          <w:tcPr>
            <w:tcW w:w="667" w:type="pct"/>
          </w:tcPr>
          <w:p w14:paraId="037D67F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0.46 </w:t>
            </w:r>
          </w:p>
        </w:tc>
        <w:tc>
          <w:tcPr>
            <w:tcW w:w="789" w:type="pct"/>
          </w:tcPr>
          <w:p w14:paraId="7D0940D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66.77 </w:t>
            </w:r>
          </w:p>
        </w:tc>
        <w:tc>
          <w:tcPr>
            <w:tcW w:w="667" w:type="pct"/>
          </w:tcPr>
          <w:p w14:paraId="6708A1F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5139528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17.52 </w:t>
            </w:r>
          </w:p>
        </w:tc>
        <w:tc>
          <w:tcPr>
            <w:tcW w:w="789" w:type="pct"/>
          </w:tcPr>
          <w:p w14:paraId="1F1FAC7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87.98 </w:t>
            </w:r>
          </w:p>
        </w:tc>
      </w:tr>
      <w:tr w:rsidR="00C32A13" w:rsidRPr="00C32A13" w14:paraId="285D8D1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AE905E8"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10</w:t>
            </w:r>
          </w:p>
        </w:tc>
        <w:tc>
          <w:tcPr>
            <w:tcW w:w="667" w:type="pct"/>
          </w:tcPr>
          <w:p w14:paraId="78944D8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0.58 </w:t>
            </w:r>
          </w:p>
        </w:tc>
        <w:tc>
          <w:tcPr>
            <w:tcW w:w="789" w:type="pct"/>
          </w:tcPr>
          <w:p w14:paraId="6C7003D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63.28 </w:t>
            </w:r>
          </w:p>
        </w:tc>
        <w:tc>
          <w:tcPr>
            <w:tcW w:w="667" w:type="pct"/>
          </w:tcPr>
          <w:p w14:paraId="2051605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2.15 </w:t>
            </w:r>
          </w:p>
        </w:tc>
        <w:tc>
          <w:tcPr>
            <w:tcW w:w="789" w:type="pct"/>
          </w:tcPr>
          <w:p w14:paraId="6CEA042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18.64 </w:t>
            </w:r>
          </w:p>
        </w:tc>
        <w:tc>
          <w:tcPr>
            <w:tcW w:w="789" w:type="pct"/>
          </w:tcPr>
          <w:p w14:paraId="68AF4E5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86.50 </w:t>
            </w:r>
          </w:p>
        </w:tc>
      </w:tr>
      <w:tr w:rsidR="00C32A13" w:rsidRPr="00C32A13" w14:paraId="21A5E7F1"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27F98BC3"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11</w:t>
            </w:r>
          </w:p>
        </w:tc>
        <w:tc>
          <w:tcPr>
            <w:tcW w:w="667" w:type="pct"/>
          </w:tcPr>
          <w:p w14:paraId="2B736F5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0.57 </w:t>
            </w:r>
          </w:p>
        </w:tc>
        <w:tc>
          <w:tcPr>
            <w:tcW w:w="789" w:type="pct"/>
          </w:tcPr>
          <w:p w14:paraId="06840D1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63.64 </w:t>
            </w:r>
          </w:p>
        </w:tc>
        <w:tc>
          <w:tcPr>
            <w:tcW w:w="667" w:type="pct"/>
          </w:tcPr>
          <w:p w14:paraId="12F7F29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1.54 </w:t>
            </w:r>
          </w:p>
        </w:tc>
        <w:tc>
          <w:tcPr>
            <w:tcW w:w="789" w:type="pct"/>
          </w:tcPr>
          <w:p w14:paraId="4D21872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18.46 </w:t>
            </w:r>
          </w:p>
        </w:tc>
        <w:tc>
          <w:tcPr>
            <w:tcW w:w="789" w:type="pct"/>
          </w:tcPr>
          <w:p w14:paraId="1A49F0C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82.98 </w:t>
            </w:r>
          </w:p>
        </w:tc>
      </w:tr>
      <w:tr w:rsidR="00C32A13" w:rsidRPr="00C32A13" w14:paraId="1D8E54D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74BFDB7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12</w:t>
            </w:r>
          </w:p>
        </w:tc>
        <w:tc>
          <w:tcPr>
            <w:tcW w:w="667" w:type="pct"/>
          </w:tcPr>
          <w:p w14:paraId="7F5473E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0.63 </w:t>
            </w:r>
          </w:p>
        </w:tc>
        <w:tc>
          <w:tcPr>
            <w:tcW w:w="789" w:type="pct"/>
          </w:tcPr>
          <w:p w14:paraId="65EF139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64.79 </w:t>
            </w:r>
          </w:p>
        </w:tc>
        <w:tc>
          <w:tcPr>
            <w:tcW w:w="667" w:type="pct"/>
          </w:tcPr>
          <w:p w14:paraId="1FCFB4B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2.23 </w:t>
            </w:r>
          </w:p>
        </w:tc>
        <w:tc>
          <w:tcPr>
            <w:tcW w:w="789" w:type="pct"/>
          </w:tcPr>
          <w:p w14:paraId="7E54AC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15.41 </w:t>
            </w:r>
          </w:p>
        </w:tc>
        <w:tc>
          <w:tcPr>
            <w:tcW w:w="789" w:type="pct"/>
          </w:tcPr>
          <w:p w14:paraId="1158FA7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84.70 </w:t>
            </w:r>
          </w:p>
        </w:tc>
      </w:tr>
      <w:tr w:rsidR="00C32A13" w:rsidRPr="00C32A13" w14:paraId="0158622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858B3B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13</w:t>
            </w:r>
          </w:p>
        </w:tc>
        <w:tc>
          <w:tcPr>
            <w:tcW w:w="667" w:type="pct"/>
          </w:tcPr>
          <w:p w14:paraId="7DF41D0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0.41 </w:t>
            </w:r>
          </w:p>
        </w:tc>
        <w:tc>
          <w:tcPr>
            <w:tcW w:w="789" w:type="pct"/>
          </w:tcPr>
          <w:p w14:paraId="190A2E0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79.99 </w:t>
            </w:r>
          </w:p>
        </w:tc>
        <w:tc>
          <w:tcPr>
            <w:tcW w:w="667" w:type="pct"/>
          </w:tcPr>
          <w:p w14:paraId="3695451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17898A0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18.03 </w:t>
            </w:r>
          </w:p>
        </w:tc>
        <w:tc>
          <w:tcPr>
            <w:tcW w:w="789" w:type="pct"/>
          </w:tcPr>
          <w:p w14:paraId="1281319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84.82 </w:t>
            </w:r>
          </w:p>
        </w:tc>
      </w:tr>
      <w:tr w:rsidR="00C32A13" w:rsidRPr="00C32A13" w14:paraId="060C2653"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6B9FBAF"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lastRenderedPageBreak/>
              <w:t>14</w:t>
            </w:r>
          </w:p>
        </w:tc>
        <w:tc>
          <w:tcPr>
            <w:tcW w:w="667" w:type="pct"/>
          </w:tcPr>
          <w:p w14:paraId="17F945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0.43 </w:t>
            </w:r>
          </w:p>
        </w:tc>
        <w:tc>
          <w:tcPr>
            <w:tcW w:w="789" w:type="pct"/>
          </w:tcPr>
          <w:p w14:paraId="50DA551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62.83 </w:t>
            </w:r>
          </w:p>
        </w:tc>
        <w:tc>
          <w:tcPr>
            <w:tcW w:w="667" w:type="pct"/>
          </w:tcPr>
          <w:p w14:paraId="63003A7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2.05 </w:t>
            </w:r>
          </w:p>
        </w:tc>
        <w:tc>
          <w:tcPr>
            <w:tcW w:w="789" w:type="pct"/>
          </w:tcPr>
          <w:p w14:paraId="1AD0980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15.96 </w:t>
            </w:r>
          </w:p>
        </w:tc>
        <w:tc>
          <w:tcPr>
            <w:tcW w:w="789" w:type="pct"/>
          </w:tcPr>
          <w:p w14:paraId="4F658E2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85.47 </w:t>
            </w:r>
          </w:p>
        </w:tc>
      </w:tr>
      <w:tr w:rsidR="00C32A13" w:rsidRPr="00C32A13" w14:paraId="764FAE3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1B26E6B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15</w:t>
            </w:r>
          </w:p>
        </w:tc>
        <w:tc>
          <w:tcPr>
            <w:tcW w:w="667" w:type="pct"/>
          </w:tcPr>
          <w:p w14:paraId="3E6CD20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0.65 </w:t>
            </w:r>
          </w:p>
        </w:tc>
        <w:tc>
          <w:tcPr>
            <w:tcW w:w="789" w:type="pct"/>
          </w:tcPr>
          <w:p w14:paraId="6FC2BD3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64.00 </w:t>
            </w:r>
          </w:p>
        </w:tc>
        <w:tc>
          <w:tcPr>
            <w:tcW w:w="667" w:type="pct"/>
          </w:tcPr>
          <w:p w14:paraId="1CE2FE2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2.19 </w:t>
            </w:r>
          </w:p>
        </w:tc>
        <w:tc>
          <w:tcPr>
            <w:tcW w:w="789" w:type="pct"/>
          </w:tcPr>
          <w:p w14:paraId="4B3C866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15.83 </w:t>
            </w:r>
          </w:p>
        </w:tc>
        <w:tc>
          <w:tcPr>
            <w:tcW w:w="789" w:type="pct"/>
          </w:tcPr>
          <w:p w14:paraId="6BFD7A7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77.88 </w:t>
            </w:r>
          </w:p>
        </w:tc>
      </w:tr>
      <w:tr w:rsidR="00C32A13" w:rsidRPr="00C32A13" w14:paraId="2396BFF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69DAB05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16</w:t>
            </w:r>
          </w:p>
        </w:tc>
        <w:tc>
          <w:tcPr>
            <w:tcW w:w="667" w:type="pct"/>
          </w:tcPr>
          <w:p w14:paraId="05AB12E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0F001A7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69.73 </w:t>
            </w:r>
          </w:p>
        </w:tc>
        <w:tc>
          <w:tcPr>
            <w:tcW w:w="667" w:type="pct"/>
          </w:tcPr>
          <w:p w14:paraId="1203B06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4.12 </w:t>
            </w:r>
          </w:p>
        </w:tc>
        <w:tc>
          <w:tcPr>
            <w:tcW w:w="789" w:type="pct"/>
          </w:tcPr>
          <w:p w14:paraId="329243B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23.48 </w:t>
            </w:r>
          </w:p>
        </w:tc>
        <w:tc>
          <w:tcPr>
            <w:tcW w:w="789" w:type="pct"/>
          </w:tcPr>
          <w:p w14:paraId="303CB27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90.87 </w:t>
            </w:r>
          </w:p>
        </w:tc>
      </w:tr>
      <w:tr w:rsidR="00C32A13" w:rsidRPr="00C32A13" w14:paraId="5EBE07FB"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950416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17</w:t>
            </w:r>
          </w:p>
        </w:tc>
        <w:tc>
          <w:tcPr>
            <w:tcW w:w="667" w:type="pct"/>
          </w:tcPr>
          <w:p w14:paraId="46EAB76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0.63 </w:t>
            </w:r>
          </w:p>
        </w:tc>
        <w:tc>
          <w:tcPr>
            <w:tcW w:w="789" w:type="pct"/>
          </w:tcPr>
          <w:p w14:paraId="3589FAB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63.03 </w:t>
            </w:r>
          </w:p>
        </w:tc>
        <w:tc>
          <w:tcPr>
            <w:tcW w:w="667" w:type="pct"/>
          </w:tcPr>
          <w:p w14:paraId="0963858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2.64 </w:t>
            </w:r>
          </w:p>
        </w:tc>
        <w:tc>
          <w:tcPr>
            <w:tcW w:w="789" w:type="pct"/>
          </w:tcPr>
          <w:p w14:paraId="4A06B0C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19.09 </w:t>
            </w:r>
          </w:p>
        </w:tc>
        <w:tc>
          <w:tcPr>
            <w:tcW w:w="789" w:type="pct"/>
          </w:tcPr>
          <w:p w14:paraId="7DB9DF7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81.87 </w:t>
            </w:r>
          </w:p>
        </w:tc>
      </w:tr>
      <w:tr w:rsidR="00C32A13" w:rsidRPr="00C32A13" w14:paraId="262D733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B4513DB"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18</w:t>
            </w:r>
          </w:p>
        </w:tc>
        <w:tc>
          <w:tcPr>
            <w:tcW w:w="667" w:type="pct"/>
          </w:tcPr>
          <w:p w14:paraId="6417931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0.61 </w:t>
            </w:r>
          </w:p>
        </w:tc>
        <w:tc>
          <w:tcPr>
            <w:tcW w:w="789" w:type="pct"/>
          </w:tcPr>
          <w:p w14:paraId="7772038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63.39 </w:t>
            </w:r>
          </w:p>
        </w:tc>
        <w:tc>
          <w:tcPr>
            <w:tcW w:w="667" w:type="pct"/>
          </w:tcPr>
          <w:p w14:paraId="6BFF85F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2.21 </w:t>
            </w:r>
          </w:p>
        </w:tc>
        <w:tc>
          <w:tcPr>
            <w:tcW w:w="789" w:type="pct"/>
          </w:tcPr>
          <w:p w14:paraId="44C3999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19.86 </w:t>
            </w:r>
          </w:p>
        </w:tc>
        <w:tc>
          <w:tcPr>
            <w:tcW w:w="789" w:type="pct"/>
          </w:tcPr>
          <w:p w14:paraId="1EE7301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81.00 </w:t>
            </w:r>
          </w:p>
        </w:tc>
      </w:tr>
      <w:tr w:rsidR="00C32A13" w:rsidRPr="00C32A13" w14:paraId="0FD3126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38AAFFE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19</w:t>
            </w:r>
          </w:p>
        </w:tc>
        <w:tc>
          <w:tcPr>
            <w:tcW w:w="667" w:type="pct"/>
          </w:tcPr>
          <w:p w14:paraId="1327BD0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0.59 </w:t>
            </w:r>
          </w:p>
        </w:tc>
        <w:tc>
          <w:tcPr>
            <w:tcW w:w="789" w:type="pct"/>
          </w:tcPr>
          <w:p w14:paraId="768B57E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77.77 </w:t>
            </w:r>
          </w:p>
        </w:tc>
        <w:tc>
          <w:tcPr>
            <w:tcW w:w="667" w:type="pct"/>
          </w:tcPr>
          <w:p w14:paraId="5AB953F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1.92 </w:t>
            </w:r>
          </w:p>
        </w:tc>
        <w:tc>
          <w:tcPr>
            <w:tcW w:w="789" w:type="pct"/>
          </w:tcPr>
          <w:p w14:paraId="12D763E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18.08 </w:t>
            </w:r>
          </w:p>
        </w:tc>
        <w:tc>
          <w:tcPr>
            <w:tcW w:w="789" w:type="pct"/>
          </w:tcPr>
          <w:p w14:paraId="6C1F823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78.85 </w:t>
            </w:r>
          </w:p>
        </w:tc>
      </w:tr>
      <w:tr w:rsidR="00C32A13" w:rsidRPr="00C32A13" w14:paraId="5819588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F76E472"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20</w:t>
            </w:r>
          </w:p>
        </w:tc>
        <w:tc>
          <w:tcPr>
            <w:tcW w:w="667" w:type="pct"/>
          </w:tcPr>
          <w:p w14:paraId="7F26C51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0.68 </w:t>
            </w:r>
          </w:p>
        </w:tc>
        <w:tc>
          <w:tcPr>
            <w:tcW w:w="789" w:type="pct"/>
          </w:tcPr>
          <w:p w14:paraId="0D65430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66.73 </w:t>
            </w:r>
          </w:p>
        </w:tc>
        <w:tc>
          <w:tcPr>
            <w:tcW w:w="667" w:type="pct"/>
          </w:tcPr>
          <w:p w14:paraId="00CA2F4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4.03 </w:t>
            </w:r>
          </w:p>
        </w:tc>
        <w:tc>
          <w:tcPr>
            <w:tcW w:w="789" w:type="pct"/>
          </w:tcPr>
          <w:p w14:paraId="678388C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24.70 </w:t>
            </w:r>
          </w:p>
        </w:tc>
        <w:tc>
          <w:tcPr>
            <w:tcW w:w="789" w:type="pct"/>
          </w:tcPr>
          <w:p w14:paraId="3C244FE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89.67 </w:t>
            </w:r>
          </w:p>
        </w:tc>
      </w:tr>
      <w:tr w:rsidR="00C32A13" w:rsidRPr="00C32A13" w14:paraId="5C762717"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5F655109"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21</w:t>
            </w:r>
          </w:p>
        </w:tc>
        <w:tc>
          <w:tcPr>
            <w:tcW w:w="667" w:type="pct"/>
          </w:tcPr>
          <w:p w14:paraId="4CE2AFF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2F86886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66.84 </w:t>
            </w:r>
          </w:p>
        </w:tc>
        <w:tc>
          <w:tcPr>
            <w:tcW w:w="667" w:type="pct"/>
          </w:tcPr>
          <w:p w14:paraId="572C9FA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4.57 </w:t>
            </w:r>
          </w:p>
        </w:tc>
        <w:tc>
          <w:tcPr>
            <w:tcW w:w="789" w:type="pct"/>
          </w:tcPr>
          <w:p w14:paraId="65F6A72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23.64 </w:t>
            </w:r>
          </w:p>
        </w:tc>
        <w:tc>
          <w:tcPr>
            <w:tcW w:w="789" w:type="pct"/>
          </w:tcPr>
          <w:p w14:paraId="4276A3C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88.97 </w:t>
            </w:r>
          </w:p>
        </w:tc>
      </w:tr>
      <w:tr w:rsidR="00C32A13" w:rsidRPr="00C32A13" w14:paraId="443CF673"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BC68BBA"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22</w:t>
            </w:r>
          </w:p>
        </w:tc>
        <w:tc>
          <w:tcPr>
            <w:tcW w:w="667" w:type="pct"/>
          </w:tcPr>
          <w:p w14:paraId="4AEB27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3A53632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82.75 </w:t>
            </w:r>
          </w:p>
        </w:tc>
        <w:tc>
          <w:tcPr>
            <w:tcW w:w="667" w:type="pct"/>
          </w:tcPr>
          <w:p w14:paraId="2C10772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3.91 </w:t>
            </w:r>
          </w:p>
        </w:tc>
        <w:tc>
          <w:tcPr>
            <w:tcW w:w="789" w:type="pct"/>
          </w:tcPr>
          <w:p w14:paraId="0EB73FA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22.77 </w:t>
            </w:r>
          </w:p>
        </w:tc>
        <w:tc>
          <w:tcPr>
            <w:tcW w:w="789" w:type="pct"/>
          </w:tcPr>
          <w:p w14:paraId="2710A2A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90.17 </w:t>
            </w:r>
          </w:p>
        </w:tc>
      </w:tr>
      <w:tr w:rsidR="00C32A13" w:rsidRPr="00C32A13" w14:paraId="5B16D1EC"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1C7776F"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23</w:t>
            </w:r>
          </w:p>
        </w:tc>
        <w:tc>
          <w:tcPr>
            <w:tcW w:w="667" w:type="pct"/>
          </w:tcPr>
          <w:p w14:paraId="0C3DDF7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0.66 </w:t>
            </w:r>
          </w:p>
        </w:tc>
        <w:tc>
          <w:tcPr>
            <w:tcW w:w="789" w:type="pct"/>
          </w:tcPr>
          <w:p w14:paraId="3CB3126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66.75 </w:t>
            </w:r>
          </w:p>
        </w:tc>
        <w:tc>
          <w:tcPr>
            <w:tcW w:w="667" w:type="pct"/>
          </w:tcPr>
          <w:p w14:paraId="3CD6C7E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4.01 </w:t>
            </w:r>
          </w:p>
        </w:tc>
        <w:tc>
          <w:tcPr>
            <w:tcW w:w="789" w:type="pct"/>
          </w:tcPr>
          <w:p w14:paraId="16BF9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22.28 </w:t>
            </w:r>
          </w:p>
        </w:tc>
        <w:tc>
          <w:tcPr>
            <w:tcW w:w="789" w:type="pct"/>
          </w:tcPr>
          <w:p w14:paraId="4EF9AAB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88.85 </w:t>
            </w:r>
          </w:p>
        </w:tc>
      </w:tr>
      <w:tr w:rsidR="00C32A13" w:rsidRPr="00C32A13" w14:paraId="4FCFCE4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580215B"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24</w:t>
            </w:r>
          </w:p>
        </w:tc>
        <w:tc>
          <w:tcPr>
            <w:tcW w:w="667" w:type="pct"/>
          </w:tcPr>
          <w:p w14:paraId="6F8C52A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0.62 </w:t>
            </w:r>
          </w:p>
        </w:tc>
        <w:tc>
          <w:tcPr>
            <w:tcW w:w="789" w:type="pct"/>
          </w:tcPr>
          <w:p w14:paraId="754B01F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66.73 </w:t>
            </w:r>
          </w:p>
        </w:tc>
        <w:tc>
          <w:tcPr>
            <w:tcW w:w="667" w:type="pct"/>
          </w:tcPr>
          <w:p w14:paraId="599851E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3.14 </w:t>
            </w:r>
          </w:p>
        </w:tc>
        <w:tc>
          <w:tcPr>
            <w:tcW w:w="789" w:type="pct"/>
          </w:tcPr>
          <w:p w14:paraId="438AE2A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19.00 </w:t>
            </w:r>
          </w:p>
        </w:tc>
        <w:tc>
          <w:tcPr>
            <w:tcW w:w="789" w:type="pct"/>
          </w:tcPr>
          <w:p w14:paraId="42263BC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79.58 </w:t>
            </w:r>
          </w:p>
        </w:tc>
      </w:tr>
      <w:tr w:rsidR="00C32A13" w:rsidRPr="00C32A13" w14:paraId="532FB17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2287DB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25</w:t>
            </w:r>
          </w:p>
        </w:tc>
        <w:tc>
          <w:tcPr>
            <w:tcW w:w="667" w:type="pct"/>
          </w:tcPr>
          <w:p w14:paraId="166B90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0.61 </w:t>
            </w:r>
          </w:p>
        </w:tc>
        <w:tc>
          <w:tcPr>
            <w:tcW w:w="789" w:type="pct"/>
          </w:tcPr>
          <w:p w14:paraId="379CE34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70.04 </w:t>
            </w:r>
          </w:p>
        </w:tc>
        <w:tc>
          <w:tcPr>
            <w:tcW w:w="667" w:type="pct"/>
          </w:tcPr>
          <w:p w14:paraId="18C8DAB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2.23 </w:t>
            </w:r>
          </w:p>
        </w:tc>
        <w:tc>
          <w:tcPr>
            <w:tcW w:w="789" w:type="pct"/>
          </w:tcPr>
          <w:p w14:paraId="6C7C4F5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19.36 </w:t>
            </w:r>
          </w:p>
        </w:tc>
        <w:tc>
          <w:tcPr>
            <w:tcW w:w="789" w:type="pct"/>
          </w:tcPr>
          <w:p w14:paraId="77FD804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80.37 </w:t>
            </w:r>
          </w:p>
        </w:tc>
      </w:tr>
      <w:tr w:rsidR="00C32A13" w:rsidRPr="00C32A13" w14:paraId="1E19E14D"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67B7CB37"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26</w:t>
            </w:r>
          </w:p>
        </w:tc>
        <w:tc>
          <w:tcPr>
            <w:tcW w:w="667" w:type="pct"/>
          </w:tcPr>
          <w:p w14:paraId="10FBE48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2A7B104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75.07 </w:t>
            </w:r>
          </w:p>
        </w:tc>
        <w:tc>
          <w:tcPr>
            <w:tcW w:w="667" w:type="pct"/>
          </w:tcPr>
          <w:p w14:paraId="4E2CF3B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2.66 </w:t>
            </w:r>
          </w:p>
        </w:tc>
        <w:tc>
          <w:tcPr>
            <w:tcW w:w="789" w:type="pct"/>
          </w:tcPr>
          <w:p w14:paraId="2D8FD2C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21.69 </w:t>
            </w:r>
          </w:p>
        </w:tc>
        <w:tc>
          <w:tcPr>
            <w:tcW w:w="789" w:type="pct"/>
          </w:tcPr>
          <w:p w14:paraId="019722A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90.67 </w:t>
            </w:r>
          </w:p>
        </w:tc>
      </w:tr>
      <w:tr w:rsidR="00C32A13" w:rsidRPr="00C32A13" w14:paraId="48FF40B9"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1E4FF0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27</w:t>
            </w:r>
          </w:p>
        </w:tc>
        <w:tc>
          <w:tcPr>
            <w:tcW w:w="667" w:type="pct"/>
          </w:tcPr>
          <w:p w14:paraId="2918431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0.44 </w:t>
            </w:r>
          </w:p>
        </w:tc>
        <w:tc>
          <w:tcPr>
            <w:tcW w:w="789" w:type="pct"/>
          </w:tcPr>
          <w:p w14:paraId="22D18FA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80.99 </w:t>
            </w:r>
          </w:p>
        </w:tc>
        <w:tc>
          <w:tcPr>
            <w:tcW w:w="667" w:type="pct"/>
          </w:tcPr>
          <w:p w14:paraId="5C82025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1.84 </w:t>
            </w:r>
          </w:p>
        </w:tc>
        <w:tc>
          <w:tcPr>
            <w:tcW w:w="789" w:type="pct"/>
          </w:tcPr>
          <w:p w14:paraId="02A1A92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16.25 </w:t>
            </w:r>
          </w:p>
        </w:tc>
        <w:tc>
          <w:tcPr>
            <w:tcW w:w="789" w:type="pct"/>
          </w:tcPr>
          <w:p w14:paraId="0EE3820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82.23 </w:t>
            </w:r>
          </w:p>
        </w:tc>
      </w:tr>
      <w:tr w:rsidR="00C32A13" w:rsidRPr="00C32A13" w14:paraId="627D2FD5"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0362DA5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28</w:t>
            </w:r>
          </w:p>
        </w:tc>
        <w:tc>
          <w:tcPr>
            <w:tcW w:w="667" w:type="pct"/>
          </w:tcPr>
          <w:p w14:paraId="025E187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0.40 </w:t>
            </w:r>
          </w:p>
        </w:tc>
        <w:tc>
          <w:tcPr>
            <w:tcW w:w="789" w:type="pct"/>
          </w:tcPr>
          <w:p w14:paraId="6EDE3CB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63.80 </w:t>
            </w:r>
          </w:p>
        </w:tc>
        <w:tc>
          <w:tcPr>
            <w:tcW w:w="667" w:type="pct"/>
          </w:tcPr>
          <w:p w14:paraId="5ECB1E8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2.11 </w:t>
            </w:r>
          </w:p>
        </w:tc>
        <w:tc>
          <w:tcPr>
            <w:tcW w:w="789" w:type="pct"/>
          </w:tcPr>
          <w:p w14:paraId="315E214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20.13 </w:t>
            </w:r>
          </w:p>
        </w:tc>
        <w:tc>
          <w:tcPr>
            <w:tcW w:w="789" w:type="pct"/>
          </w:tcPr>
          <w:p w14:paraId="032FF9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80.42 </w:t>
            </w:r>
          </w:p>
        </w:tc>
      </w:tr>
      <w:tr w:rsidR="00C32A13" w:rsidRPr="00C32A13" w14:paraId="7DCA258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7A0E52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29</w:t>
            </w:r>
          </w:p>
        </w:tc>
        <w:tc>
          <w:tcPr>
            <w:tcW w:w="667" w:type="pct"/>
          </w:tcPr>
          <w:p w14:paraId="72850EA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0.60 </w:t>
            </w:r>
          </w:p>
        </w:tc>
        <w:tc>
          <w:tcPr>
            <w:tcW w:w="789" w:type="pct"/>
          </w:tcPr>
          <w:p w14:paraId="758FB05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75.39 </w:t>
            </w:r>
          </w:p>
        </w:tc>
        <w:tc>
          <w:tcPr>
            <w:tcW w:w="667" w:type="pct"/>
          </w:tcPr>
          <w:p w14:paraId="246E240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2.37 </w:t>
            </w:r>
          </w:p>
        </w:tc>
        <w:tc>
          <w:tcPr>
            <w:tcW w:w="789" w:type="pct"/>
          </w:tcPr>
          <w:p w14:paraId="3068C93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16.97 </w:t>
            </w:r>
          </w:p>
        </w:tc>
        <w:tc>
          <w:tcPr>
            <w:tcW w:w="789" w:type="pct"/>
          </w:tcPr>
          <w:p w14:paraId="3EFCA81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83.95 </w:t>
            </w:r>
          </w:p>
        </w:tc>
      </w:tr>
      <w:tr w:rsidR="00C32A13" w:rsidRPr="00C32A13" w14:paraId="2084CEA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4F0F2A80"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30</w:t>
            </w:r>
          </w:p>
        </w:tc>
        <w:tc>
          <w:tcPr>
            <w:tcW w:w="667" w:type="pct"/>
          </w:tcPr>
          <w:p w14:paraId="13DE44A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0.69 </w:t>
            </w:r>
          </w:p>
        </w:tc>
        <w:tc>
          <w:tcPr>
            <w:tcW w:w="789" w:type="pct"/>
          </w:tcPr>
          <w:p w14:paraId="50FC471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76.54 </w:t>
            </w:r>
          </w:p>
        </w:tc>
        <w:tc>
          <w:tcPr>
            <w:tcW w:w="667" w:type="pct"/>
          </w:tcPr>
          <w:p w14:paraId="7940B67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2.90 </w:t>
            </w:r>
          </w:p>
        </w:tc>
        <w:tc>
          <w:tcPr>
            <w:tcW w:w="789" w:type="pct"/>
          </w:tcPr>
          <w:p w14:paraId="42A5D7E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22.22 </w:t>
            </w:r>
          </w:p>
        </w:tc>
        <w:tc>
          <w:tcPr>
            <w:tcW w:w="789" w:type="pct"/>
          </w:tcPr>
          <w:p w14:paraId="6F5810A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90.92 </w:t>
            </w:r>
          </w:p>
        </w:tc>
      </w:tr>
    </w:tbl>
    <w:p w14:paraId="01734A71" w14:textId="77777777" w:rsidR="00C32A13" w:rsidRDefault="00C32A13" w:rsidP="00C32A13">
      <w:pPr>
        <w:pStyle w:val="Body"/>
        <w:spacing w:after="0"/>
        <w:jc w:val="center"/>
        <w:rPr>
          <w:rFonts w:ascii="Arial" w:hAnsi="Arial" w:cs="Arial"/>
        </w:rPr>
      </w:pPr>
    </w:p>
    <w:p w14:paraId="74237336" w14:textId="77777777" w:rsidR="00C32A13" w:rsidRDefault="00C32A13" w:rsidP="00C32A13">
      <w:pPr>
        <w:pStyle w:val="Body"/>
        <w:spacing w:after="0"/>
        <w:rPr>
          <w:rFonts w:ascii="Arial" w:hAnsi="Arial" w:cs="Arial"/>
        </w:rPr>
      </w:pPr>
    </w:p>
    <w:p w14:paraId="0D6C1726" w14:textId="34A534AD" w:rsidR="00C32A13" w:rsidRPr="00C32A13" w:rsidRDefault="00C32A13" w:rsidP="00C32A13">
      <w:pPr>
        <w:pStyle w:val="Body"/>
        <w:spacing w:after="0"/>
        <w:jc w:val="center"/>
        <w:rPr>
          <w:rFonts w:ascii="Arial" w:hAnsi="Arial" w:cs="Arial"/>
          <w:b/>
          <w:bCs/>
        </w:rPr>
      </w:pPr>
      <w:r w:rsidRPr="00C32A13">
        <w:rPr>
          <w:rFonts w:ascii="Arial" w:hAnsi="Arial" w:cs="Arial"/>
          <w:b/>
          <w:bCs/>
        </w:rPr>
        <w:t>Table 6. Mean values of genotypes with respect to growing conditions (polyhouse and field) - Factor B</w:t>
      </w:r>
    </w:p>
    <w:p w14:paraId="5F0BDE32"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486C91E7" w14:textId="77777777" w:rsidTr="00420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A1A4412" w14:textId="77777777" w:rsidR="00C32A13" w:rsidRPr="00C32A13" w:rsidRDefault="00C32A13" w:rsidP="00C32A13">
            <w:pPr>
              <w:pStyle w:val="Body"/>
              <w:rPr>
                <w:rFonts w:ascii="Arial" w:hAnsi="Arial" w:cs="Arial"/>
                <w:lang w:val="en-IN"/>
              </w:rPr>
            </w:pPr>
            <w:r w:rsidRPr="00C32A13">
              <w:rPr>
                <w:rFonts w:ascii="Arial" w:hAnsi="Arial" w:cs="Arial"/>
                <w:lang w:val="en-IN"/>
              </w:rPr>
              <w:t>Parameters</w:t>
            </w:r>
          </w:p>
        </w:tc>
        <w:tc>
          <w:tcPr>
            <w:tcW w:w="1889" w:type="pct"/>
          </w:tcPr>
          <w:p w14:paraId="0CB2524A" w14:textId="77777777" w:rsidR="00C32A13" w:rsidRPr="00C32A13" w:rsidRDefault="00C32A13" w:rsidP="00C32A13">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Polyhouse</w:t>
            </w:r>
          </w:p>
        </w:tc>
        <w:tc>
          <w:tcPr>
            <w:tcW w:w="1103" w:type="pct"/>
          </w:tcPr>
          <w:p w14:paraId="300B9C01" w14:textId="77777777" w:rsidR="00C32A13" w:rsidRPr="00C32A13" w:rsidRDefault="00C32A13" w:rsidP="00C32A13">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Field</w:t>
            </w:r>
          </w:p>
        </w:tc>
      </w:tr>
      <w:tr w:rsidR="00C32A13" w:rsidRPr="00C32A13" w14:paraId="644E86A2"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082625F6" w14:textId="7ADF5DB8"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T</w:t>
            </w:r>
            <w:r w:rsidR="00420CED">
              <w:rPr>
                <w:rFonts w:ascii="Arial" w:hAnsi="Arial" w:cs="Arial"/>
                <w:b w:val="0"/>
                <w:bCs w:val="0"/>
                <w:lang w:val="en-IN"/>
              </w:rPr>
              <w:t>otal chlorophyll</w:t>
            </w:r>
          </w:p>
        </w:tc>
        <w:tc>
          <w:tcPr>
            <w:tcW w:w="1889" w:type="pct"/>
          </w:tcPr>
          <w:p w14:paraId="3A8AF614"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0.52</w:t>
            </w:r>
          </w:p>
        </w:tc>
        <w:tc>
          <w:tcPr>
            <w:tcW w:w="1103" w:type="pct"/>
          </w:tcPr>
          <w:p w14:paraId="000F4173"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0.65 </w:t>
            </w:r>
          </w:p>
        </w:tc>
      </w:tr>
      <w:tr w:rsidR="00C32A13" w:rsidRPr="00C32A13" w14:paraId="54732630"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338FD4FD" w14:textId="3E7DF398"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R</w:t>
            </w:r>
            <w:r w:rsidR="00420CED">
              <w:rPr>
                <w:rFonts w:ascii="Arial" w:hAnsi="Arial" w:cs="Arial"/>
                <w:b w:val="0"/>
                <w:bCs w:val="0"/>
                <w:lang w:val="en-IN"/>
              </w:rPr>
              <w:t>elative water content</w:t>
            </w:r>
          </w:p>
        </w:tc>
        <w:tc>
          <w:tcPr>
            <w:tcW w:w="1889" w:type="pct"/>
          </w:tcPr>
          <w:p w14:paraId="2FEAB0BF"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 xml:space="preserve">73.03 </w:t>
            </w:r>
          </w:p>
        </w:tc>
        <w:tc>
          <w:tcPr>
            <w:tcW w:w="1103" w:type="pct"/>
          </w:tcPr>
          <w:p w14:paraId="598B6A20"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65.54</w:t>
            </w:r>
          </w:p>
        </w:tc>
      </w:tr>
      <w:tr w:rsidR="00C32A13" w:rsidRPr="00C32A13" w14:paraId="48EA1A94"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08CF419" w14:textId="69C45091"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P</w:t>
            </w:r>
            <w:r w:rsidR="00420CED">
              <w:rPr>
                <w:rFonts w:ascii="Arial" w:hAnsi="Arial" w:cs="Arial"/>
                <w:b w:val="0"/>
                <w:bCs w:val="0"/>
                <w:lang w:val="en-IN"/>
              </w:rPr>
              <w:t>roline content</w:t>
            </w:r>
          </w:p>
        </w:tc>
        <w:tc>
          <w:tcPr>
            <w:tcW w:w="1889" w:type="pct"/>
          </w:tcPr>
          <w:p w14:paraId="1A7D5C2B"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C32A13">
              <w:rPr>
                <w:rFonts w:ascii="Arial" w:hAnsi="Arial" w:cs="Arial"/>
                <w:lang w:val="en-IN"/>
              </w:rPr>
              <w:t xml:space="preserve">3.27 </w:t>
            </w:r>
          </w:p>
        </w:tc>
        <w:tc>
          <w:tcPr>
            <w:tcW w:w="1103" w:type="pct"/>
          </w:tcPr>
          <w:p w14:paraId="5645A57A"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2.16 </w:t>
            </w:r>
          </w:p>
        </w:tc>
      </w:tr>
      <w:tr w:rsidR="00C32A13" w:rsidRPr="00C32A13" w14:paraId="36F6BBB4"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580A70C3" w14:textId="11C48FBA"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P</w:t>
            </w:r>
            <w:r w:rsidR="00420CED">
              <w:rPr>
                <w:rFonts w:ascii="Arial" w:hAnsi="Arial" w:cs="Arial"/>
                <w:b w:val="0"/>
                <w:bCs w:val="0"/>
                <w:lang w:val="en-IN"/>
              </w:rPr>
              <w:t>eroxidase activity</w:t>
            </w:r>
          </w:p>
        </w:tc>
        <w:tc>
          <w:tcPr>
            <w:tcW w:w="1889" w:type="pct"/>
          </w:tcPr>
          <w:p w14:paraId="2394D03E"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19.98</w:t>
            </w:r>
          </w:p>
        </w:tc>
        <w:tc>
          <w:tcPr>
            <w:tcW w:w="1103" w:type="pct"/>
          </w:tcPr>
          <w:p w14:paraId="1F05A77A" w14:textId="77777777" w:rsidR="00C32A13" w:rsidRPr="00C32A13" w:rsidRDefault="00C32A13" w:rsidP="00C32A13">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19.08 </w:t>
            </w:r>
          </w:p>
        </w:tc>
      </w:tr>
      <w:tr w:rsidR="00C32A13" w:rsidRPr="00C32A13" w14:paraId="55994732"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328BADB3" w14:textId="59D20D30" w:rsidR="00C32A13" w:rsidRPr="00C32A13" w:rsidRDefault="00420CED" w:rsidP="00C32A13">
            <w:pPr>
              <w:pStyle w:val="Body"/>
              <w:rPr>
                <w:rFonts w:ascii="Arial" w:hAnsi="Arial" w:cs="Arial"/>
                <w:b w:val="0"/>
                <w:bCs w:val="0"/>
                <w:lang w:val="en-IN"/>
              </w:rPr>
            </w:pPr>
            <w:r>
              <w:rPr>
                <w:rFonts w:ascii="Arial" w:hAnsi="Arial" w:cs="Arial"/>
                <w:b w:val="0"/>
                <w:bCs w:val="0"/>
                <w:lang w:val="en-IN"/>
              </w:rPr>
              <w:t>Cell membrane stability index</w:t>
            </w:r>
          </w:p>
        </w:tc>
        <w:tc>
          <w:tcPr>
            <w:tcW w:w="1889" w:type="pct"/>
          </w:tcPr>
          <w:p w14:paraId="3393868B"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C32A13">
              <w:rPr>
                <w:rFonts w:ascii="Arial" w:hAnsi="Arial" w:cs="Arial"/>
                <w:lang w:val="en-IN"/>
              </w:rPr>
              <w:t xml:space="preserve">87.76 </w:t>
            </w:r>
          </w:p>
        </w:tc>
        <w:tc>
          <w:tcPr>
            <w:tcW w:w="1103" w:type="pct"/>
          </w:tcPr>
          <w:p w14:paraId="3D9D4628"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 xml:space="preserve">81.83 </w:t>
            </w:r>
          </w:p>
        </w:tc>
      </w:tr>
    </w:tbl>
    <w:p w14:paraId="7F238338" w14:textId="77777777" w:rsidR="00C32A13" w:rsidRDefault="00C32A13" w:rsidP="00C32A13">
      <w:pPr>
        <w:pStyle w:val="Body"/>
        <w:spacing w:after="0"/>
        <w:rPr>
          <w:rFonts w:ascii="Arial" w:hAnsi="Arial" w:cs="Arial"/>
        </w:rPr>
      </w:pPr>
    </w:p>
    <w:p w14:paraId="71A8349D" w14:textId="77777777" w:rsidR="00C32A13" w:rsidRDefault="00C32A13" w:rsidP="00C32A13">
      <w:pPr>
        <w:pStyle w:val="Body"/>
        <w:spacing w:after="0"/>
        <w:rPr>
          <w:rFonts w:ascii="Arial" w:hAnsi="Arial" w:cs="Arial"/>
        </w:rPr>
      </w:pPr>
    </w:p>
    <w:p w14:paraId="32BF2885" w14:textId="3391D552" w:rsidR="00C32A13" w:rsidRPr="00C32A13" w:rsidRDefault="00C32A13" w:rsidP="00C32A13">
      <w:pPr>
        <w:pStyle w:val="Body"/>
        <w:numPr>
          <w:ilvl w:val="1"/>
          <w:numId w:val="34"/>
        </w:numPr>
        <w:spacing w:after="0"/>
        <w:rPr>
          <w:rFonts w:ascii="Arial" w:hAnsi="Arial" w:cs="Arial"/>
          <w:b/>
          <w:bCs/>
        </w:rPr>
      </w:pPr>
      <w:r w:rsidRPr="00C32A13">
        <w:rPr>
          <w:rFonts w:ascii="Arial" w:hAnsi="Arial" w:cs="Arial"/>
          <w:b/>
          <w:bCs/>
        </w:rPr>
        <w:t>Performance evaluation of genotypes based on qualitative parameters</w:t>
      </w:r>
    </w:p>
    <w:p w14:paraId="1B4FD5F9" w14:textId="77777777" w:rsidR="00C32A13" w:rsidRDefault="00C32A13" w:rsidP="00C32A13">
      <w:pPr>
        <w:pStyle w:val="Body"/>
        <w:spacing w:after="0"/>
        <w:rPr>
          <w:rFonts w:ascii="Arial" w:hAnsi="Arial" w:cs="Arial"/>
        </w:rPr>
      </w:pPr>
    </w:p>
    <w:p w14:paraId="199D45AF" w14:textId="413E2129" w:rsidR="00C32A13" w:rsidRPr="00C32A13" w:rsidRDefault="00C32A13" w:rsidP="00C32A13">
      <w:pPr>
        <w:pStyle w:val="Body"/>
        <w:numPr>
          <w:ilvl w:val="2"/>
          <w:numId w:val="34"/>
        </w:numPr>
        <w:rPr>
          <w:rFonts w:ascii="Arial" w:hAnsi="Arial" w:cs="Arial"/>
        </w:rPr>
      </w:pPr>
      <w:r w:rsidRPr="00C32A13">
        <w:rPr>
          <w:rFonts w:ascii="Arial" w:hAnsi="Arial" w:cs="Arial"/>
          <w:b/>
          <w:bCs/>
        </w:rPr>
        <w:t>Crude fibre</w:t>
      </w:r>
    </w:p>
    <w:p w14:paraId="41871C8C" w14:textId="77777777" w:rsidR="00C32A13" w:rsidRPr="00C32A13" w:rsidRDefault="00C32A13" w:rsidP="00C32A13">
      <w:pPr>
        <w:pStyle w:val="Body"/>
        <w:rPr>
          <w:rFonts w:ascii="Arial" w:hAnsi="Arial" w:cs="Arial"/>
        </w:rPr>
      </w:pPr>
      <w:r w:rsidRPr="00C32A13">
        <w:rPr>
          <w:rFonts w:ascii="Arial" w:hAnsi="Arial" w:cs="Arial"/>
        </w:rPr>
        <w:t>Plants maintained under polyhouse conditions recorded a slightly higher mean crude fibre content (22.44) compared to those grown in the field (20.99). It is observed that the genotype BL4 recorded the highest fibre content (26.63), which was on par with COFC8 (26.58), IC372130 (25.86), Kohinoor (25.74), and UPC622 (25.84). The lowest fibre content was observed in C297 (18.63).</w:t>
      </w:r>
    </w:p>
    <w:p w14:paraId="775EF5C1" w14:textId="3AEBC41F" w:rsidR="00C32A13" w:rsidRPr="00C32A13" w:rsidRDefault="00C32A13" w:rsidP="00C32A13">
      <w:pPr>
        <w:pStyle w:val="Body"/>
        <w:numPr>
          <w:ilvl w:val="2"/>
          <w:numId w:val="34"/>
        </w:numPr>
        <w:rPr>
          <w:rFonts w:ascii="Arial" w:hAnsi="Arial" w:cs="Arial"/>
        </w:rPr>
      </w:pPr>
      <w:r w:rsidRPr="00C32A13">
        <w:rPr>
          <w:rFonts w:ascii="Arial" w:hAnsi="Arial" w:cs="Arial"/>
          <w:b/>
          <w:bCs/>
        </w:rPr>
        <w:t>Crude protein</w:t>
      </w:r>
    </w:p>
    <w:p w14:paraId="44B5B942" w14:textId="1106F795" w:rsidR="00C32A13" w:rsidRDefault="00C32A13" w:rsidP="00C32A13">
      <w:pPr>
        <w:pStyle w:val="Body"/>
        <w:spacing w:after="0"/>
        <w:rPr>
          <w:rFonts w:ascii="Arial" w:hAnsi="Arial" w:cs="Arial"/>
        </w:rPr>
      </w:pPr>
      <w:r w:rsidRPr="00C32A13">
        <w:rPr>
          <w:rFonts w:ascii="Arial" w:hAnsi="Arial" w:cs="Arial"/>
        </w:rPr>
        <w:t>Plants grown in the field recorded a significantly higher mean crude protein content (26.02%) compared to those grown under polyhouse conditions (22.08%). The genotype COFC-8 recorded the highest crude protein content (29.24%), while the lowest value was observed in IC398992.</w:t>
      </w:r>
    </w:p>
    <w:p w14:paraId="79F093E5" w14:textId="77777777" w:rsidR="00C32A13" w:rsidRDefault="00C32A13" w:rsidP="00C32A13">
      <w:pPr>
        <w:pStyle w:val="Body"/>
        <w:spacing w:after="0"/>
        <w:rPr>
          <w:rFonts w:ascii="Arial" w:hAnsi="Arial" w:cs="Arial"/>
        </w:rPr>
      </w:pPr>
    </w:p>
    <w:p w14:paraId="74263FF3" w14:textId="1DE40ADD" w:rsidR="00C32A13" w:rsidRPr="00C32A13" w:rsidRDefault="00C32A13" w:rsidP="00C32A13">
      <w:pPr>
        <w:pStyle w:val="Body"/>
        <w:spacing w:after="0"/>
        <w:jc w:val="center"/>
        <w:rPr>
          <w:rFonts w:ascii="Arial" w:hAnsi="Arial" w:cs="Arial"/>
          <w:b/>
          <w:bCs/>
        </w:rPr>
      </w:pPr>
      <w:r w:rsidRPr="00C32A13">
        <w:rPr>
          <w:rFonts w:ascii="Arial" w:hAnsi="Arial" w:cs="Arial"/>
        </w:rPr>
        <w:t>T</w:t>
      </w:r>
      <w:r w:rsidRPr="00C32A13">
        <w:rPr>
          <w:rFonts w:ascii="Arial" w:hAnsi="Arial" w:cs="Arial"/>
          <w:b/>
          <w:bCs/>
        </w:rPr>
        <w:t>able 7. Mean values of genotypes with respect to qualitative parameters- Factor A</w:t>
      </w:r>
    </w:p>
    <w:p w14:paraId="633C0A7C" w14:textId="77777777" w:rsidR="00C32A13" w:rsidRPr="00C32A13" w:rsidRDefault="00C32A13" w:rsidP="00C32A13">
      <w:pPr>
        <w:pStyle w:val="Body"/>
        <w:spacing w:after="0"/>
        <w:jc w:val="center"/>
        <w:rPr>
          <w:rFonts w:ascii="Arial" w:hAnsi="Arial" w:cs="Arial"/>
          <w:b/>
          <w:bCs/>
        </w:rPr>
      </w:pPr>
    </w:p>
    <w:tbl>
      <w:tblPr>
        <w:tblStyle w:val="PlainTable2"/>
        <w:tblpPr w:leftFromText="180" w:rightFromText="180" w:vertAnchor="text" w:tblpXSpec="center" w:tblpY="1"/>
        <w:tblOverlap w:val="never"/>
        <w:tblW w:w="5000" w:type="pct"/>
        <w:tblLook w:val="04A0" w:firstRow="1" w:lastRow="0" w:firstColumn="1" w:lastColumn="0" w:noHBand="0" w:noVBand="1"/>
      </w:tblPr>
      <w:tblGrid>
        <w:gridCol w:w="3893"/>
        <w:gridCol w:w="2155"/>
        <w:gridCol w:w="2154"/>
      </w:tblGrid>
      <w:tr w:rsidR="00C32A13" w:rsidRPr="00C32A13" w14:paraId="299A17FA" w14:textId="77777777" w:rsidTr="00420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D60063B" w14:textId="77777777" w:rsidR="00C32A13" w:rsidRPr="00C32A13" w:rsidRDefault="00C32A13" w:rsidP="00C32A13">
            <w:pPr>
              <w:pStyle w:val="Body"/>
              <w:jc w:val="center"/>
              <w:rPr>
                <w:rFonts w:ascii="Arial" w:hAnsi="Arial" w:cs="Arial"/>
              </w:rPr>
            </w:pPr>
            <w:bookmarkStart w:id="2" w:name="_Hlk211974643"/>
            <w:r w:rsidRPr="00C32A13">
              <w:rPr>
                <w:rFonts w:ascii="Arial" w:hAnsi="Arial" w:cs="Arial"/>
              </w:rPr>
              <w:t>Treatments</w:t>
            </w:r>
          </w:p>
        </w:tc>
        <w:tc>
          <w:tcPr>
            <w:tcW w:w="1314" w:type="pct"/>
          </w:tcPr>
          <w:p w14:paraId="27DBDBC1" w14:textId="2725FAAC"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w:t>
            </w:r>
            <w:r w:rsidR="00420CED">
              <w:rPr>
                <w:rFonts w:ascii="Arial" w:hAnsi="Arial" w:cs="Arial"/>
              </w:rPr>
              <w:t>rude protein</w:t>
            </w:r>
          </w:p>
        </w:tc>
        <w:tc>
          <w:tcPr>
            <w:tcW w:w="1314" w:type="pct"/>
          </w:tcPr>
          <w:p w14:paraId="388A382E" w14:textId="1B682191"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w:t>
            </w:r>
            <w:r w:rsidR="00420CED">
              <w:rPr>
                <w:rFonts w:ascii="Arial" w:hAnsi="Arial" w:cs="Arial"/>
              </w:rPr>
              <w:t>rude fibre</w:t>
            </w:r>
          </w:p>
        </w:tc>
      </w:tr>
      <w:tr w:rsidR="00C32A13" w:rsidRPr="00C32A13" w14:paraId="64436ED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7968E71"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w:t>
            </w:r>
          </w:p>
        </w:tc>
        <w:tc>
          <w:tcPr>
            <w:tcW w:w="1314" w:type="pct"/>
          </w:tcPr>
          <w:p w14:paraId="05E3368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25.46 </w:t>
            </w:r>
          </w:p>
        </w:tc>
        <w:tc>
          <w:tcPr>
            <w:tcW w:w="1314" w:type="pct"/>
            <w:vAlign w:val="center"/>
          </w:tcPr>
          <w:p w14:paraId="78AEC83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25.48 </w:t>
            </w:r>
          </w:p>
        </w:tc>
      </w:tr>
      <w:tr w:rsidR="00C32A13" w:rsidRPr="00C32A13" w14:paraId="5A7C99AA"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9FF58EA"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w:t>
            </w:r>
          </w:p>
        </w:tc>
        <w:tc>
          <w:tcPr>
            <w:tcW w:w="1314" w:type="pct"/>
          </w:tcPr>
          <w:p w14:paraId="2402CEB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29.24 </w:t>
            </w:r>
          </w:p>
        </w:tc>
        <w:tc>
          <w:tcPr>
            <w:tcW w:w="1314" w:type="pct"/>
            <w:vAlign w:val="center"/>
          </w:tcPr>
          <w:p w14:paraId="1AC0334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26.58 </w:t>
            </w:r>
          </w:p>
        </w:tc>
      </w:tr>
      <w:tr w:rsidR="00C32A13" w:rsidRPr="00C32A13" w14:paraId="7A6055A0"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791FEB4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3</w:t>
            </w:r>
          </w:p>
        </w:tc>
        <w:tc>
          <w:tcPr>
            <w:tcW w:w="1314" w:type="pct"/>
          </w:tcPr>
          <w:p w14:paraId="5892829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20.79 </w:t>
            </w:r>
          </w:p>
        </w:tc>
        <w:tc>
          <w:tcPr>
            <w:tcW w:w="1314" w:type="pct"/>
            <w:vAlign w:val="center"/>
          </w:tcPr>
          <w:p w14:paraId="07A9063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20.85 </w:t>
            </w:r>
          </w:p>
        </w:tc>
      </w:tr>
      <w:tr w:rsidR="00C32A13" w:rsidRPr="00C32A13" w14:paraId="7D1CB9E3"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5CC1DFA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4</w:t>
            </w:r>
          </w:p>
        </w:tc>
        <w:tc>
          <w:tcPr>
            <w:tcW w:w="1314" w:type="pct"/>
          </w:tcPr>
          <w:p w14:paraId="14AEAFC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21.48 </w:t>
            </w:r>
          </w:p>
        </w:tc>
        <w:tc>
          <w:tcPr>
            <w:tcW w:w="1314" w:type="pct"/>
            <w:vAlign w:val="center"/>
          </w:tcPr>
          <w:p w14:paraId="0C99A35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21.07 </w:t>
            </w:r>
          </w:p>
        </w:tc>
      </w:tr>
      <w:tr w:rsidR="00C32A13" w:rsidRPr="00C32A13" w14:paraId="3FB4D8EC"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521445E1"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5</w:t>
            </w:r>
          </w:p>
        </w:tc>
        <w:tc>
          <w:tcPr>
            <w:tcW w:w="1314" w:type="pct"/>
          </w:tcPr>
          <w:p w14:paraId="6EC9B1D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23.32 </w:t>
            </w:r>
          </w:p>
        </w:tc>
        <w:tc>
          <w:tcPr>
            <w:tcW w:w="1314" w:type="pct"/>
            <w:vAlign w:val="center"/>
          </w:tcPr>
          <w:p w14:paraId="4AB93F0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20.07 </w:t>
            </w:r>
          </w:p>
        </w:tc>
      </w:tr>
      <w:tr w:rsidR="00C32A13" w:rsidRPr="00C32A13" w14:paraId="5A4AF6F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17F2B19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6</w:t>
            </w:r>
          </w:p>
        </w:tc>
        <w:tc>
          <w:tcPr>
            <w:tcW w:w="1314" w:type="pct"/>
          </w:tcPr>
          <w:p w14:paraId="5494089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23.90 </w:t>
            </w:r>
          </w:p>
        </w:tc>
        <w:tc>
          <w:tcPr>
            <w:tcW w:w="1314" w:type="pct"/>
            <w:vAlign w:val="center"/>
          </w:tcPr>
          <w:p w14:paraId="4E1A19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20.28 </w:t>
            </w:r>
          </w:p>
        </w:tc>
      </w:tr>
      <w:tr w:rsidR="00C32A13" w:rsidRPr="00C32A13" w14:paraId="742E2E63"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8F081A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7</w:t>
            </w:r>
          </w:p>
        </w:tc>
        <w:tc>
          <w:tcPr>
            <w:tcW w:w="1314" w:type="pct"/>
          </w:tcPr>
          <w:p w14:paraId="0DAB829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27.14 </w:t>
            </w:r>
          </w:p>
        </w:tc>
        <w:tc>
          <w:tcPr>
            <w:tcW w:w="1314" w:type="pct"/>
            <w:vAlign w:val="center"/>
          </w:tcPr>
          <w:p w14:paraId="07BCE1C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25.86 </w:t>
            </w:r>
          </w:p>
        </w:tc>
      </w:tr>
      <w:tr w:rsidR="00C32A13" w:rsidRPr="00C32A13" w14:paraId="1BBE13F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AB6746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8</w:t>
            </w:r>
          </w:p>
        </w:tc>
        <w:tc>
          <w:tcPr>
            <w:tcW w:w="1314" w:type="pct"/>
          </w:tcPr>
          <w:p w14:paraId="349CE87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20.89 </w:t>
            </w:r>
          </w:p>
        </w:tc>
        <w:tc>
          <w:tcPr>
            <w:tcW w:w="1314" w:type="pct"/>
            <w:vAlign w:val="center"/>
          </w:tcPr>
          <w:p w14:paraId="028DFA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18.94 </w:t>
            </w:r>
          </w:p>
        </w:tc>
      </w:tr>
      <w:tr w:rsidR="00C32A13" w:rsidRPr="00C32A13" w14:paraId="6ADC4E0D"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660FFB3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9</w:t>
            </w:r>
          </w:p>
        </w:tc>
        <w:tc>
          <w:tcPr>
            <w:tcW w:w="1314" w:type="pct"/>
          </w:tcPr>
          <w:p w14:paraId="0E26393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20.02 </w:t>
            </w:r>
          </w:p>
        </w:tc>
        <w:tc>
          <w:tcPr>
            <w:tcW w:w="1314" w:type="pct"/>
            <w:vAlign w:val="center"/>
          </w:tcPr>
          <w:p w14:paraId="6B6DB59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18.67 </w:t>
            </w:r>
          </w:p>
        </w:tc>
      </w:tr>
      <w:tr w:rsidR="00C32A13" w:rsidRPr="00C32A13" w14:paraId="3F9A305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0AB2DA7"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10</w:t>
            </w:r>
          </w:p>
        </w:tc>
        <w:tc>
          <w:tcPr>
            <w:tcW w:w="1314" w:type="pct"/>
          </w:tcPr>
          <w:p w14:paraId="62032CE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23.90 </w:t>
            </w:r>
          </w:p>
        </w:tc>
        <w:tc>
          <w:tcPr>
            <w:tcW w:w="1314" w:type="pct"/>
            <w:vAlign w:val="center"/>
          </w:tcPr>
          <w:p w14:paraId="2EDF17A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18.63 </w:t>
            </w:r>
          </w:p>
        </w:tc>
      </w:tr>
      <w:tr w:rsidR="00C32A13" w:rsidRPr="00C32A13" w14:paraId="0FC92BFF"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93C4914"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11</w:t>
            </w:r>
          </w:p>
        </w:tc>
        <w:tc>
          <w:tcPr>
            <w:tcW w:w="1314" w:type="pct"/>
          </w:tcPr>
          <w:p w14:paraId="38CC39D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22.40 </w:t>
            </w:r>
          </w:p>
        </w:tc>
        <w:tc>
          <w:tcPr>
            <w:tcW w:w="1314" w:type="pct"/>
            <w:vAlign w:val="center"/>
          </w:tcPr>
          <w:p w14:paraId="0DD3C21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18.91 </w:t>
            </w:r>
          </w:p>
        </w:tc>
      </w:tr>
      <w:tr w:rsidR="00C32A13" w:rsidRPr="00C32A13" w14:paraId="7909DE1F"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33A987F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12</w:t>
            </w:r>
          </w:p>
        </w:tc>
        <w:tc>
          <w:tcPr>
            <w:tcW w:w="1314" w:type="pct"/>
          </w:tcPr>
          <w:p w14:paraId="09D2D12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24.90 </w:t>
            </w:r>
          </w:p>
        </w:tc>
        <w:tc>
          <w:tcPr>
            <w:tcW w:w="1314" w:type="pct"/>
            <w:vAlign w:val="center"/>
          </w:tcPr>
          <w:p w14:paraId="77AE694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19.80 </w:t>
            </w:r>
          </w:p>
        </w:tc>
      </w:tr>
      <w:tr w:rsidR="00C32A13" w:rsidRPr="00C32A13" w14:paraId="274FF80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A9B4BE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13</w:t>
            </w:r>
          </w:p>
        </w:tc>
        <w:tc>
          <w:tcPr>
            <w:tcW w:w="1314" w:type="pct"/>
          </w:tcPr>
          <w:p w14:paraId="02BC253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24.62 </w:t>
            </w:r>
          </w:p>
        </w:tc>
        <w:tc>
          <w:tcPr>
            <w:tcW w:w="1314" w:type="pct"/>
            <w:vAlign w:val="center"/>
          </w:tcPr>
          <w:p w14:paraId="06EC038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20.00 </w:t>
            </w:r>
          </w:p>
        </w:tc>
      </w:tr>
      <w:tr w:rsidR="00C32A13" w:rsidRPr="00C32A13" w14:paraId="5ECEC668"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1EB3F43"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14</w:t>
            </w:r>
          </w:p>
        </w:tc>
        <w:tc>
          <w:tcPr>
            <w:tcW w:w="1314" w:type="pct"/>
          </w:tcPr>
          <w:p w14:paraId="78E6BB4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23.11 </w:t>
            </w:r>
          </w:p>
        </w:tc>
        <w:tc>
          <w:tcPr>
            <w:tcW w:w="1314" w:type="pct"/>
            <w:vAlign w:val="center"/>
          </w:tcPr>
          <w:p w14:paraId="46AC65E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20.08 </w:t>
            </w:r>
          </w:p>
        </w:tc>
      </w:tr>
      <w:tr w:rsidR="00C32A13" w:rsidRPr="00C32A13" w14:paraId="1C33B373"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D9E5C0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lastRenderedPageBreak/>
              <w:t>15</w:t>
            </w:r>
          </w:p>
        </w:tc>
        <w:tc>
          <w:tcPr>
            <w:tcW w:w="1314" w:type="pct"/>
          </w:tcPr>
          <w:p w14:paraId="7F3E112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23.02 </w:t>
            </w:r>
          </w:p>
        </w:tc>
        <w:tc>
          <w:tcPr>
            <w:tcW w:w="1314" w:type="pct"/>
            <w:vAlign w:val="center"/>
          </w:tcPr>
          <w:p w14:paraId="0B24C20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19.68 </w:t>
            </w:r>
          </w:p>
        </w:tc>
      </w:tr>
      <w:tr w:rsidR="00C32A13" w:rsidRPr="00C32A13" w14:paraId="6508BD1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6780BC3"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16</w:t>
            </w:r>
          </w:p>
        </w:tc>
        <w:tc>
          <w:tcPr>
            <w:tcW w:w="1314" w:type="pct"/>
          </w:tcPr>
          <w:p w14:paraId="4667E82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27.25 </w:t>
            </w:r>
          </w:p>
        </w:tc>
        <w:tc>
          <w:tcPr>
            <w:tcW w:w="1314" w:type="pct"/>
            <w:vAlign w:val="center"/>
          </w:tcPr>
          <w:p w14:paraId="1B42998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25.71 </w:t>
            </w:r>
          </w:p>
        </w:tc>
      </w:tr>
      <w:tr w:rsidR="00C32A13" w:rsidRPr="00C32A13" w14:paraId="16D84CAC"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B49F3A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17</w:t>
            </w:r>
          </w:p>
        </w:tc>
        <w:tc>
          <w:tcPr>
            <w:tcW w:w="1314" w:type="pct"/>
          </w:tcPr>
          <w:p w14:paraId="7F15AD5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23.54 </w:t>
            </w:r>
          </w:p>
        </w:tc>
        <w:tc>
          <w:tcPr>
            <w:tcW w:w="1314" w:type="pct"/>
            <w:vAlign w:val="center"/>
          </w:tcPr>
          <w:p w14:paraId="7DA750E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19.65 </w:t>
            </w:r>
          </w:p>
        </w:tc>
      </w:tr>
      <w:tr w:rsidR="00C32A13" w:rsidRPr="00C32A13" w14:paraId="15987F01"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3021B5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18</w:t>
            </w:r>
          </w:p>
        </w:tc>
        <w:tc>
          <w:tcPr>
            <w:tcW w:w="1314" w:type="pct"/>
          </w:tcPr>
          <w:p w14:paraId="02E046B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21.41 </w:t>
            </w:r>
          </w:p>
        </w:tc>
        <w:tc>
          <w:tcPr>
            <w:tcW w:w="1314" w:type="pct"/>
            <w:vAlign w:val="center"/>
          </w:tcPr>
          <w:p w14:paraId="7106312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19.27 </w:t>
            </w:r>
          </w:p>
        </w:tc>
      </w:tr>
      <w:tr w:rsidR="00C32A13" w:rsidRPr="00C32A13" w14:paraId="4871C10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64D1378"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19</w:t>
            </w:r>
          </w:p>
        </w:tc>
        <w:tc>
          <w:tcPr>
            <w:tcW w:w="1314" w:type="pct"/>
          </w:tcPr>
          <w:p w14:paraId="25F0AEB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22.91 </w:t>
            </w:r>
          </w:p>
        </w:tc>
        <w:tc>
          <w:tcPr>
            <w:tcW w:w="1314" w:type="pct"/>
            <w:vAlign w:val="center"/>
          </w:tcPr>
          <w:p w14:paraId="1D6BB7A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19.64 </w:t>
            </w:r>
          </w:p>
        </w:tc>
      </w:tr>
      <w:tr w:rsidR="00C32A13" w:rsidRPr="00C32A13" w14:paraId="574542D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F074CA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20</w:t>
            </w:r>
          </w:p>
        </w:tc>
        <w:tc>
          <w:tcPr>
            <w:tcW w:w="1314" w:type="pct"/>
          </w:tcPr>
          <w:p w14:paraId="6614D9C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26.58 </w:t>
            </w:r>
          </w:p>
        </w:tc>
        <w:tc>
          <w:tcPr>
            <w:tcW w:w="1314" w:type="pct"/>
            <w:vAlign w:val="center"/>
          </w:tcPr>
          <w:p w14:paraId="48F417E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25.12 </w:t>
            </w:r>
          </w:p>
        </w:tc>
      </w:tr>
      <w:tr w:rsidR="00C32A13" w:rsidRPr="00C32A13" w14:paraId="24715151"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7214696"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21</w:t>
            </w:r>
          </w:p>
        </w:tc>
        <w:tc>
          <w:tcPr>
            <w:tcW w:w="1314" w:type="pct"/>
          </w:tcPr>
          <w:p w14:paraId="729DA93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26.10 </w:t>
            </w:r>
          </w:p>
        </w:tc>
        <w:tc>
          <w:tcPr>
            <w:tcW w:w="1314" w:type="pct"/>
            <w:vAlign w:val="center"/>
          </w:tcPr>
          <w:p w14:paraId="257213E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24.48 </w:t>
            </w:r>
          </w:p>
        </w:tc>
      </w:tr>
      <w:tr w:rsidR="00C32A13" w:rsidRPr="00C32A13" w14:paraId="33C2762C"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A495B35"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22</w:t>
            </w:r>
          </w:p>
        </w:tc>
        <w:tc>
          <w:tcPr>
            <w:tcW w:w="1314" w:type="pct"/>
          </w:tcPr>
          <w:p w14:paraId="5B3CBE5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26.71 </w:t>
            </w:r>
          </w:p>
        </w:tc>
        <w:tc>
          <w:tcPr>
            <w:tcW w:w="1314" w:type="pct"/>
            <w:vAlign w:val="center"/>
          </w:tcPr>
          <w:p w14:paraId="44600C3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26.63 </w:t>
            </w:r>
          </w:p>
        </w:tc>
      </w:tr>
      <w:tr w:rsidR="00C32A13" w:rsidRPr="00C32A13" w14:paraId="10721B7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463C530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23</w:t>
            </w:r>
          </w:p>
        </w:tc>
        <w:tc>
          <w:tcPr>
            <w:tcW w:w="1314" w:type="pct"/>
          </w:tcPr>
          <w:p w14:paraId="134ABDC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26.08 </w:t>
            </w:r>
          </w:p>
        </w:tc>
        <w:tc>
          <w:tcPr>
            <w:tcW w:w="1314" w:type="pct"/>
            <w:vAlign w:val="center"/>
          </w:tcPr>
          <w:p w14:paraId="355EC9D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25.74 </w:t>
            </w:r>
          </w:p>
        </w:tc>
      </w:tr>
      <w:tr w:rsidR="00C32A13" w:rsidRPr="00C32A13" w14:paraId="09A6E269"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4938BD5"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24</w:t>
            </w:r>
          </w:p>
        </w:tc>
        <w:tc>
          <w:tcPr>
            <w:tcW w:w="1314" w:type="pct"/>
          </w:tcPr>
          <w:p w14:paraId="2B680C5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25.41 </w:t>
            </w:r>
          </w:p>
        </w:tc>
        <w:tc>
          <w:tcPr>
            <w:tcW w:w="1314" w:type="pct"/>
            <w:vAlign w:val="center"/>
          </w:tcPr>
          <w:p w14:paraId="51AD8A7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19.83 </w:t>
            </w:r>
          </w:p>
        </w:tc>
      </w:tr>
      <w:tr w:rsidR="00C32A13" w:rsidRPr="00C32A13" w14:paraId="070F3E7E"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6248996E"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25</w:t>
            </w:r>
          </w:p>
        </w:tc>
        <w:tc>
          <w:tcPr>
            <w:tcW w:w="1314" w:type="pct"/>
          </w:tcPr>
          <w:p w14:paraId="1632EF2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22.89 </w:t>
            </w:r>
          </w:p>
        </w:tc>
        <w:tc>
          <w:tcPr>
            <w:tcW w:w="1314" w:type="pct"/>
            <w:vAlign w:val="center"/>
          </w:tcPr>
          <w:p w14:paraId="3B0D44A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19.63 </w:t>
            </w:r>
          </w:p>
        </w:tc>
      </w:tr>
      <w:tr w:rsidR="00C32A13" w:rsidRPr="00C32A13" w14:paraId="70C9EF17"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6EDD255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26</w:t>
            </w:r>
          </w:p>
        </w:tc>
        <w:tc>
          <w:tcPr>
            <w:tcW w:w="1314" w:type="pct"/>
          </w:tcPr>
          <w:p w14:paraId="34EF467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26.06 </w:t>
            </w:r>
          </w:p>
        </w:tc>
        <w:tc>
          <w:tcPr>
            <w:tcW w:w="1314" w:type="pct"/>
            <w:vAlign w:val="center"/>
          </w:tcPr>
          <w:p w14:paraId="5A6F097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25.24 </w:t>
            </w:r>
          </w:p>
        </w:tc>
      </w:tr>
      <w:tr w:rsidR="00C32A13" w:rsidRPr="00C32A13" w14:paraId="596D071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DE64AA8"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27</w:t>
            </w:r>
          </w:p>
        </w:tc>
        <w:tc>
          <w:tcPr>
            <w:tcW w:w="1314" w:type="pct"/>
          </w:tcPr>
          <w:p w14:paraId="56CAC7E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23.07 </w:t>
            </w:r>
          </w:p>
        </w:tc>
        <w:tc>
          <w:tcPr>
            <w:tcW w:w="1314" w:type="pct"/>
            <w:vAlign w:val="center"/>
          </w:tcPr>
          <w:p w14:paraId="3C63BD9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19.62 </w:t>
            </w:r>
          </w:p>
        </w:tc>
      </w:tr>
      <w:tr w:rsidR="00C32A13" w:rsidRPr="00C32A13" w14:paraId="2709B21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6B526B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28</w:t>
            </w:r>
          </w:p>
        </w:tc>
        <w:tc>
          <w:tcPr>
            <w:tcW w:w="1314" w:type="pct"/>
          </w:tcPr>
          <w:p w14:paraId="2E9BFB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21.64 </w:t>
            </w:r>
          </w:p>
        </w:tc>
        <w:tc>
          <w:tcPr>
            <w:tcW w:w="1314" w:type="pct"/>
            <w:vAlign w:val="center"/>
          </w:tcPr>
          <w:p w14:paraId="3108509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20.01 </w:t>
            </w:r>
          </w:p>
        </w:tc>
      </w:tr>
      <w:tr w:rsidR="00C32A13" w:rsidRPr="00C32A13" w14:paraId="5E0F809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A00E28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29</w:t>
            </w:r>
          </w:p>
        </w:tc>
        <w:tc>
          <w:tcPr>
            <w:tcW w:w="1314" w:type="pct"/>
          </w:tcPr>
          <w:p w14:paraId="4EFF69A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22.15 </w:t>
            </w:r>
          </w:p>
        </w:tc>
        <w:tc>
          <w:tcPr>
            <w:tcW w:w="1314" w:type="pct"/>
            <w:vAlign w:val="center"/>
          </w:tcPr>
          <w:p w14:paraId="3784006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20.25 </w:t>
            </w:r>
          </w:p>
        </w:tc>
      </w:tr>
      <w:tr w:rsidR="00C32A13" w:rsidRPr="00C32A13" w14:paraId="1BCCB56A"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13C554F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30</w:t>
            </w:r>
          </w:p>
        </w:tc>
        <w:tc>
          <w:tcPr>
            <w:tcW w:w="1314" w:type="pct"/>
          </w:tcPr>
          <w:p w14:paraId="145A148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25.50 </w:t>
            </w:r>
          </w:p>
        </w:tc>
        <w:tc>
          <w:tcPr>
            <w:tcW w:w="1314" w:type="pct"/>
            <w:vAlign w:val="center"/>
          </w:tcPr>
          <w:p w14:paraId="5ED13AE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25.84 </w:t>
            </w:r>
          </w:p>
        </w:tc>
      </w:tr>
      <w:bookmarkEnd w:id="2"/>
    </w:tbl>
    <w:p w14:paraId="6D3735EF" w14:textId="77777777" w:rsidR="00C32A13" w:rsidRDefault="00C32A13" w:rsidP="00942EED">
      <w:pPr>
        <w:pStyle w:val="Body"/>
        <w:spacing w:after="0"/>
        <w:jc w:val="left"/>
        <w:rPr>
          <w:rFonts w:ascii="Arial" w:hAnsi="Arial" w:cs="Arial"/>
        </w:rPr>
      </w:pPr>
    </w:p>
    <w:p w14:paraId="336BC845" w14:textId="77777777" w:rsidR="00C32A13" w:rsidRDefault="00C32A13" w:rsidP="00420CED">
      <w:pPr>
        <w:pStyle w:val="Body"/>
        <w:spacing w:after="0"/>
        <w:rPr>
          <w:rFonts w:ascii="Arial" w:hAnsi="Arial" w:cs="Arial"/>
        </w:rPr>
      </w:pPr>
    </w:p>
    <w:p w14:paraId="0F34C03F" w14:textId="2E0039B4" w:rsidR="00C32A13" w:rsidRPr="00C32A13" w:rsidRDefault="00C32A13" w:rsidP="00C32A13">
      <w:pPr>
        <w:pStyle w:val="Body"/>
        <w:spacing w:after="0"/>
        <w:jc w:val="center"/>
        <w:rPr>
          <w:rFonts w:ascii="Arial" w:hAnsi="Arial" w:cs="Arial"/>
          <w:b/>
          <w:bCs/>
        </w:rPr>
      </w:pPr>
      <w:r w:rsidRPr="00C32A13">
        <w:rPr>
          <w:rFonts w:ascii="Arial" w:hAnsi="Arial" w:cs="Arial"/>
          <w:b/>
          <w:bCs/>
        </w:rPr>
        <w:t>Table 8. Mean values of genotypes with respect to growing conditions (polyhouse and field) - Factor B</w:t>
      </w:r>
    </w:p>
    <w:p w14:paraId="02457043" w14:textId="77777777" w:rsidR="00C32A13" w:rsidRPr="00C32A13" w:rsidRDefault="00C32A13" w:rsidP="00C32A13">
      <w:pPr>
        <w:pStyle w:val="Body"/>
        <w:spacing w:after="0"/>
        <w:jc w:val="center"/>
        <w:rPr>
          <w:rFonts w:ascii="Arial" w:hAnsi="Arial" w:cs="Arial"/>
          <w:b/>
          <w:bCs/>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41C21D1B" w14:textId="77777777" w:rsidTr="00420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3AA87878" w14:textId="77777777" w:rsidR="00C32A13" w:rsidRPr="00C32A13" w:rsidRDefault="00C32A13" w:rsidP="00C32A13">
            <w:pPr>
              <w:pStyle w:val="Body"/>
              <w:jc w:val="center"/>
              <w:rPr>
                <w:rFonts w:ascii="Arial" w:hAnsi="Arial" w:cs="Arial"/>
              </w:rPr>
            </w:pPr>
            <w:r w:rsidRPr="00C32A13">
              <w:rPr>
                <w:rFonts w:ascii="Arial" w:hAnsi="Arial" w:cs="Arial"/>
              </w:rPr>
              <w:t>Parameters</w:t>
            </w:r>
          </w:p>
        </w:tc>
        <w:tc>
          <w:tcPr>
            <w:tcW w:w="1889" w:type="pct"/>
          </w:tcPr>
          <w:p w14:paraId="6C225C59" w14:textId="77777777"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Polyhouse</w:t>
            </w:r>
          </w:p>
        </w:tc>
        <w:tc>
          <w:tcPr>
            <w:tcW w:w="1103" w:type="pct"/>
          </w:tcPr>
          <w:p w14:paraId="7D3DAA7B" w14:textId="77777777"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Field</w:t>
            </w:r>
          </w:p>
        </w:tc>
      </w:tr>
      <w:tr w:rsidR="00C32A13" w:rsidRPr="00C32A13" w14:paraId="74D7C3CF"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4EE3685A" w14:textId="365ADCE8" w:rsidR="00C32A13" w:rsidRPr="00B16182" w:rsidRDefault="00C32A13" w:rsidP="00C32A13">
            <w:pPr>
              <w:pStyle w:val="Body"/>
              <w:jc w:val="center"/>
              <w:rPr>
                <w:rFonts w:ascii="Arial" w:hAnsi="Arial" w:cs="Arial"/>
                <w:b w:val="0"/>
                <w:bCs w:val="0"/>
              </w:rPr>
            </w:pPr>
            <w:r w:rsidRPr="00B16182">
              <w:rPr>
                <w:rFonts w:ascii="Arial" w:hAnsi="Arial" w:cs="Arial"/>
                <w:b w:val="0"/>
                <w:bCs w:val="0"/>
              </w:rPr>
              <w:t>C</w:t>
            </w:r>
            <w:r w:rsidR="00420CED" w:rsidRPr="00B16182">
              <w:rPr>
                <w:rFonts w:ascii="Arial" w:hAnsi="Arial" w:cs="Arial"/>
                <w:b w:val="0"/>
                <w:bCs w:val="0"/>
              </w:rPr>
              <w:t>rude fibre</w:t>
            </w:r>
          </w:p>
        </w:tc>
        <w:tc>
          <w:tcPr>
            <w:tcW w:w="1889" w:type="pct"/>
          </w:tcPr>
          <w:p w14:paraId="052732D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32A13">
              <w:rPr>
                <w:rFonts w:ascii="Arial" w:hAnsi="Arial" w:cs="Arial"/>
                <w:lang w:val="en-IN"/>
              </w:rPr>
              <w:t>22.44</w:t>
            </w:r>
          </w:p>
        </w:tc>
        <w:tc>
          <w:tcPr>
            <w:tcW w:w="1103" w:type="pct"/>
          </w:tcPr>
          <w:p w14:paraId="4BD63C6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20.99 </w:t>
            </w:r>
          </w:p>
        </w:tc>
      </w:tr>
      <w:tr w:rsidR="00C32A13" w:rsidRPr="00C32A13" w14:paraId="37DF2760"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147FC33B" w14:textId="390B6A4C" w:rsidR="00C32A13" w:rsidRPr="00B16182" w:rsidRDefault="00C32A13" w:rsidP="00C32A13">
            <w:pPr>
              <w:pStyle w:val="Body"/>
              <w:jc w:val="center"/>
              <w:rPr>
                <w:rFonts w:ascii="Arial" w:hAnsi="Arial" w:cs="Arial"/>
                <w:b w:val="0"/>
                <w:bCs w:val="0"/>
              </w:rPr>
            </w:pPr>
            <w:r w:rsidRPr="00B16182">
              <w:rPr>
                <w:rFonts w:ascii="Arial" w:hAnsi="Arial" w:cs="Arial"/>
                <w:b w:val="0"/>
                <w:bCs w:val="0"/>
              </w:rPr>
              <w:t>C</w:t>
            </w:r>
            <w:r w:rsidR="00420CED" w:rsidRPr="00B16182">
              <w:rPr>
                <w:rFonts w:ascii="Arial" w:hAnsi="Arial" w:cs="Arial"/>
                <w:b w:val="0"/>
                <w:bCs w:val="0"/>
              </w:rPr>
              <w:t>rude protein</w:t>
            </w:r>
          </w:p>
        </w:tc>
        <w:tc>
          <w:tcPr>
            <w:tcW w:w="1889" w:type="pct"/>
          </w:tcPr>
          <w:p w14:paraId="0471589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22.08</w:t>
            </w:r>
          </w:p>
        </w:tc>
        <w:tc>
          <w:tcPr>
            <w:tcW w:w="1103" w:type="pct"/>
          </w:tcPr>
          <w:p w14:paraId="0B61895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26.02 </w:t>
            </w:r>
          </w:p>
        </w:tc>
      </w:tr>
    </w:tbl>
    <w:p w14:paraId="5C74386C" w14:textId="77777777" w:rsidR="00C32A13" w:rsidRDefault="00C32A13" w:rsidP="00C32A13">
      <w:pPr>
        <w:pStyle w:val="Body"/>
        <w:spacing w:after="0"/>
        <w:jc w:val="center"/>
        <w:rPr>
          <w:rFonts w:ascii="Arial" w:hAnsi="Arial" w:cs="Arial"/>
        </w:rPr>
      </w:pPr>
    </w:p>
    <w:p w14:paraId="611DED9F" w14:textId="77777777" w:rsidR="00C32A13" w:rsidRDefault="00C32A13" w:rsidP="00C32A13">
      <w:pPr>
        <w:pStyle w:val="Body"/>
        <w:spacing w:after="0"/>
        <w:jc w:val="center"/>
        <w:rPr>
          <w:rFonts w:ascii="Arial" w:hAnsi="Arial" w:cs="Arial"/>
        </w:rPr>
      </w:pPr>
    </w:p>
    <w:p w14:paraId="15E25F96" w14:textId="7C33610C" w:rsidR="00C32A13" w:rsidRDefault="00B16182" w:rsidP="00C32A13">
      <w:pPr>
        <w:pStyle w:val="Body"/>
        <w:spacing w:after="0"/>
        <w:jc w:val="center"/>
        <w:rPr>
          <w:rFonts w:ascii="Arial" w:hAnsi="Arial" w:cs="Arial"/>
        </w:rPr>
      </w:pPr>
      <w:r>
        <w:rPr>
          <w:noProof/>
        </w:rPr>
        <w:lastRenderedPageBreak/>
        <w:drawing>
          <wp:anchor distT="0" distB="0" distL="114300" distR="114300" simplePos="0" relativeHeight="251669504" behindDoc="0" locked="0" layoutInCell="1" allowOverlap="1" wp14:anchorId="5F0252F9" wp14:editId="20A2F27F">
            <wp:simplePos x="0" y="0"/>
            <wp:positionH relativeFrom="column">
              <wp:posOffset>-1905</wp:posOffset>
            </wp:positionH>
            <wp:positionV relativeFrom="page">
              <wp:posOffset>914400</wp:posOffset>
            </wp:positionV>
            <wp:extent cx="5731510" cy="2715895"/>
            <wp:effectExtent l="0" t="0" r="2540" b="8255"/>
            <wp:wrapSquare wrapText="bothSides"/>
            <wp:docPr id="196569822" name="Chart 1">
              <a:extLst xmlns:a="http://schemas.openxmlformats.org/drawingml/2006/main">
                <a:ext uri="{FF2B5EF4-FFF2-40B4-BE49-F238E27FC236}">
                  <a16:creationId xmlns:a16="http://schemas.microsoft.com/office/drawing/2014/main" id="{CF4887A0-16C0-2D18-840E-204DBABFD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061C63F" w14:textId="77777777" w:rsidR="00B16182" w:rsidRDefault="00B16182" w:rsidP="00C32A13">
      <w:pPr>
        <w:pStyle w:val="Body"/>
        <w:spacing w:after="0"/>
        <w:rPr>
          <w:rFonts w:ascii="Arial" w:hAnsi="Arial" w:cs="Arial"/>
        </w:rPr>
      </w:pPr>
    </w:p>
    <w:p w14:paraId="3E9EC193" w14:textId="51F4830F" w:rsidR="00B16182" w:rsidRDefault="00B16182" w:rsidP="00B16182">
      <w:pPr>
        <w:pStyle w:val="Body"/>
        <w:spacing w:after="0"/>
        <w:jc w:val="center"/>
        <w:rPr>
          <w:rFonts w:ascii="Arial" w:hAnsi="Arial" w:cs="Arial"/>
        </w:rPr>
      </w:pPr>
      <w:r>
        <w:rPr>
          <w:rFonts w:ascii="Arial" w:hAnsi="Arial" w:cs="Arial"/>
        </w:rPr>
        <w:t xml:space="preserve">Figure 2. </w:t>
      </w:r>
      <w:r w:rsidRPr="00B16182">
        <w:rPr>
          <w:rFonts w:ascii="Arial" w:hAnsi="Arial" w:cs="Arial"/>
        </w:rPr>
        <w:t>Graph showing</w:t>
      </w:r>
      <w:r>
        <w:rPr>
          <w:rFonts w:ascii="Arial" w:hAnsi="Arial" w:cs="Arial"/>
        </w:rPr>
        <w:t xml:space="preserve"> plant height, leaf area index, green fodder yield and dry fodder yield of treatments</w:t>
      </w:r>
    </w:p>
    <w:p w14:paraId="6FA8A965" w14:textId="77777777" w:rsidR="00B16182" w:rsidRDefault="00B16182" w:rsidP="00B16182">
      <w:pPr>
        <w:pStyle w:val="Body"/>
        <w:spacing w:after="0"/>
        <w:jc w:val="center"/>
        <w:rPr>
          <w:rFonts w:ascii="Arial" w:hAnsi="Arial" w:cs="Arial"/>
        </w:rPr>
      </w:pPr>
    </w:p>
    <w:p w14:paraId="79557C18" w14:textId="77777777" w:rsidR="00B16182" w:rsidRDefault="00B16182" w:rsidP="00B16182">
      <w:pPr>
        <w:pStyle w:val="Body"/>
        <w:spacing w:after="0"/>
        <w:jc w:val="center"/>
        <w:rPr>
          <w:rFonts w:ascii="Arial" w:hAnsi="Arial" w:cs="Arial"/>
        </w:rPr>
      </w:pPr>
    </w:p>
    <w:p w14:paraId="390739EF" w14:textId="4ACE5C88" w:rsidR="00B16182" w:rsidRDefault="00B16182" w:rsidP="00B16182">
      <w:pPr>
        <w:pStyle w:val="Body"/>
        <w:spacing w:after="0"/>
        <w:jc w:val="center"/>
        <w:rPr>
          <w:rFonts w:ascii="Arial" w:hAnsi="Arial" w:cs="Arial"/>
        </w:rPr>
      </w:pPr>
      <w:r>
        <w:rPr>
          <w:noProof/>
        </w:rPr>
        <w:drawing>
          <wp:anchor distT="0" distB="0" distL="114300" distR="114300" simplePos="0" relativeHeight="251668480" behindDoc="0" locked="0" layoutInCell="1" allowOverlap="1" wp14:anchorId="69C0B28F" wp14:editId="2C87AB0F">
            <wp:simplePos x="0" y="0"/>
            <wp:positionH relativeFrom="column">
              <wp:posOffset>318135</wp:posOffset>
            </wp:positionH>
            <wp:positionV relativeFrom="page">
              <wp:posOffset>4594860</wp:posOffset>
            </wp:positionV>
            <wp:extent cx="4572000" cy="2743200"/>
            <wp:effectExtent l="0" t="0" r="0" b="0"/>
            <wp:wrapSquare wrapText="bothSides"/>
            <wp:docPr id="1853439891" name="Chart 1">
              <a:extLst xmlns:a="http://schemas.openxmlformats.org/drawingml/2006/main">
                <a:ext uri="{FF2B5EF4-FFF2-40B4-BE49-F238E27FC236}">
                  <a16:creationId xmlns:a16="http://schemas.microsoft.com/office/drawing/2014/main" id="{F1E6577C-C07A-8E7B-10B6-2D0A5E75D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71B7280" w14:textId="77777777" w:rsidR="00B16182" w:rsidRDefault="00B16182" w:rsidP="00C32A13">
      <w:pPr>
        <w:pStyle w:val="Body"/>
        <w:spacing w:after="0"/>
        <w:rPr>
          <w:rFonts w:ascii="Arial" w:hAnsi="Arial" w:cs="Arial"/>
        </w:rPr>
      </w:pPr>
    </w:p>
    <w:p w14:paraId="13125B2D" w14:textId="77777777" w:rsidR="00B16182" w:rsidRDefault="00B16182" w:rsidP="00C32A13">
      <w:pPr>
        <w:pStyle w:val="Body"/>
        <w:spacing w:after="0"/>
        <w:rPr>
          <w:rFonts w:ascii="Arial" w:hAnsi="Arial" w:cs="Arial"/>
        </w:rPr>
      </w:pPr>
    </w:p>
    <w:p w14:paraId="0EA739CD" w14:textId="6D7D93AF" w:rsidR="00B16182" w:rsidRDefault="00B16182" w:rsidP="00B16182">
      <w:pPr>
        <w:pStyle w:val="Body"/>
        <w:spacing w:after="0"/>
        <w:jc w:val="center"/>
        <w:rPr>
          <w:rFonts w:ascii="Arial" w:hAnsi="Arial" w:cs="Arial"/>
        </w:rPr>
      </w:pPr>
      <w:r>
        <w:rPr>
          <w:rFonts w:ascii="Arial" w:hAnsi="Arial" w:cs="Arial"/>
        </w:rPr>
        <w:t>Figure 3. Graph showing total chlorophyll, relative water content, proline content, peroxidase activity and cell membrane index of treatments</w:t>
      </w:r>
    </w:p>
    <w:p w14:paraId="57DF79A0" w14:textId="77777777" w:rsidR="00B16182" w:rsidRDefault="00B16182" w:rsidP="00B16182">
      <w:pPr>
        <w:pStyle w:val="Body"/>
        <w:spacing w:after="0"/>
        <w:jc w:val="center"/>
        <w:rPr>
          <w:rFonts w:ascii="Arial" w:hAnsi="Arial" w:cs="Arial"/>
        </w:rPr>
      </w:pPr>
    </w:p>
    <w:p w14:paraId="308E9A05" w14:textId="77777777" w:rsidR="00B16182" w:rsidRDefault="00B16182" w:rsidP="00B16182">
      <w:pPr>
        <w:pStyle w:val="Body"/>
        <w:spacing w:after="0"/>
        <w:jc w:val="center"/>
        <w:rPr>
          <w:rFonts w:ascii="Arial" w:hAnsi="Arial" w:cs="Arial"/>
        </w:rPr>
      </w:pPr>
    </w:p>
    <w:p w14:paraId="751A6B4C" w14:textId="77777777" w:rsidR="00B16182" w:rsidRDefault="00B16182" w:rsidP="00B16182">
      <w:pPr>
        <w:pStyle w:val="Body"/>
        <w:spacing w:after="0"/>
        <w:jc w:val="center"/>
        <w:rPr>
          <w:rFonts w:ascii="Arial" w:hAnsi="Arial" w:cs="Arial"/>
        </w:rPr>
      </w:pPr>
    </w:p>
    <w:p w14:paraId="33A2D3B4" w14:textId="77777777" w:rsidR="00B16182" w:rsidRDefault="00B16182" w:rsidP="00B16182">
      <w:pPr>
        <w:pStyle w:val="Body"/>
        <w:spacing w:after="0"/>
        <w:jc w:val="center"/>
        <w:rPr>
          <w:rFonts w:ascii="Arial" w:hAnsi="Arial" w:cs="Arial"/>
        </w:rPr>
      </w:pPr>
    </w:p>
    <w:p w14:paraId="12099883" w14:textId="77777777" w:rsidR="00B16182" w:rsidRDefault="00B16182" w:rsidP="00B16182">
      <w:pPr>
        <w:pStyle w:val="Body"/>
        <w:spacing w:after="0"/>
        <w:jc w:val="center"/>
        <w:rPr>
          <w:rFonts w:ascii="Arial" w:hAnsi="Arial" w:cs="Arial"/>
        </w:rPr>
      </w:pPr>
    </w:p>
    <w:p w14:paraId="5D0F6870" w14:textId="77777777" w:rsidR="00B16182" w:rsidRDefault="00B16182" w:rsidP="00B16182">
      <w:pPr>
        <w:pStyle w:val="Body"/>
        <w:spacing w:after="0"/>
        <w:jc w:val="center"/>
        <w:rPr>
          <w:rFonts w:ascii="Arial" w:hAnsi="Arial" w:cs="Arial"/>
        </w:rPr>
      </w:pPr>
    </w:p>
    <w:p w14:paraId="1994F40A" w14:textId="49F5168E" w:rsidR="00B16182" w:rsidRDefault="00B16182" w:rsidP="00B16182">
      <w:pPr>
        <w:pStyle w:val="Body"/>
        <w:spacing w:after="0"/>
        <w:jc w:val="center"/>
        <w:rPr>
          <w:rFonts w:ascii="Arial" w:hAnsi="Arial" w:cs="Arial"/>
        </w:rPr>
      </w:pPr>
      <w:r>
        <w:rPr>
          <w:noProof/>
        </w:rPr>
        <w:drawing>
          <wp:anchor distT="0" distB="0" distL="114300" distR="114300" simplePos="0" relativeHeight="251667456" behindDoc="0" locked="0" layoutInCell="1" allowOverlap="1" wp14:anchorId="5A6F0F77" wp14:editId="4FF87E5E">
            <wp:simplePos x="0" y="0"/>
            <wp:positionH relativeFrom="column">
              <wp:posOffset>264795</wp:posOffset>
            </wp:positionH>
            <wp:positionV relativeFrom="page">
              <wp:posOffset>1059180</wp:posOffset>
            </wp:positionV>
            <wp:extent cx="4668520" cy="2646045"/>
            <wp:effectExtent l="0" t="0" r="17780" b="1905"/>
            <wp:wrapSquare wrapText="bothSides"/>
            <wp:docPr id="691634948" name="Chart 1">
              <a:extLst xmlns:a="http://schemas.openxmlformats.org/drawingml/2006/main">
                <a:ext uri="{FF2B5EF4-FFF2-40B4-BE49-F238E27FC236}">
                  <a16:creationId xmlns:a16="http://schemas.microsoft.com/office/drawing/2014/main" id="{C6DBB3F8-1950-D341-7B00-2515E268D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84866CF" w14:textId="77777777" w:rsidR="00B16182" w:rsidRDefault="00B16182" w:rsidP="00B16182">
      <w:pPr>
        <w:pStyle w:val="Body"/>
        <w:spacing w:after="0"/>
        <w:jc w:val="center"/>
        <w:rPr>
          <w:rFonts w:ascii="Arial" w:hAnsi="Arial" w:cs="Arial"/>
        </w:rPr>
      </w:pPr>
    </w:p>
    <w:p w14:paraId="710F6750" w14:textId="74097E83" w:rsidR="00B16182" w:rsidRDefault="00B16182" w:rsidP="00B16182">
      <w:pPr>
        <w:pStyle w:val="Body"/>
        <w:spacing w:after="0"/>
        <w:jc w:val="center"/>
        <w:rPr>
          <w:rFonts w:ascii="Arial" w:hAnsi="Arial" w:cs="Arial"/>
        </w:rPr>
      </w:pPr>
      <w:r>
        <w:rPr>
          <w:rFonts w:ascii="Arial" w:hAnsi="Arial" w:cs="Arial"/>
        </w:rPr>
        <w:t>Figure 4. Graph showing crude protein and crude fibre of treatments</w:t>
      </w:r>
    </w:p>
    <w:p w14:paraId="2215F5E8" w14:textId="77777777" w:rsidR="00B16182" w:rsidRDefault="00B16182" w:rsidP="00C32A13">
      <w:pPr>
        <w:pStyle w:val="Body"/>
        <w:spacing w:after="0"/>
        <w:rPr>
          <w:rFonts w:ascii="Arial" w:hAnsi="Arial" w:cs="Arial"/>
        </w:rPr>
      </w:pPr>
    </w:p>
    <w:p w14:paraId="3F6F75F6" w14:textId="77777777" w:rsidR="00B16182" w:rsidRDefault="00B16182" w:rsidP="00C32A13">
      <w:pPr>
        <w:pStyle w:val="Body"/>
        <w:spacing w:after="0"/>
        <w:rPr>
          <w:rFonts w:ascii="Arial" w:hAnsi="Arial" w:cs="Arial"/>
        </w:rPr>
      </w:pPr>
    </w:p>
    <w:p w14:paraId="01741593" w14:textId="1B848FCA" w:rsidR="00B16182" w:rsidRPr="00B16182" w:rsidRDefault="00B16182" w:rsidP="00B16182">
      <w:pPr>
        <w:pStyle w:val="Body"/>
        <w:numPr>
          <w:ilvl w:val="1"/>
          <w:numId w:val="34"/>
        </w:numPr>
        <w:rPr>
          <w:rFonts w:ascii="Arial" w:hAnsi="Arial" w:cs="Arial"/>
          <w:b/>
          <w:bCs/>
        </w:rPr>
      </w:pPr>
      <w:r w:rsidRPr="00B16182">
        <w:rPr>
          <w:rFonts w:ascii="Arial" w:hAnsi="Arial" w:cs="Arial"/>
          <w:b/>
          <w:bCs/>
        </w:rPr>
        <w:t>Summary of Findings</w:t>
      </w:r>
    </w:p>
    <w:p w14:paraId="05B5260F" w14:textId="2E215323" w:rsidR="00790ADA" w:rsidRDefault="00B16182" w:rsidP="00B16182">
      <w:pPr>
        <w:pStyle w:val="Body"/>
        <w:spacing w:after="0"/>
        <w:rPr>
          <w:rFonts w:ascii="Arial" w:hAnsi="Arial" w:cs="Arial"/>
        </w:rPr>
      </w:pPr>
      <w:r w:rsidRPr="00B16182">
        <w:rPr>
          <w:rFonts w:ascii="Arial" w:hAnsi="Arial" w:cs="Arial"/>
        </w:rPr>
        <w:t>The polyhouse environment favoured vegetative growth, chlorophyll retention and biomass production, while field-grown plants exhibited higher protein accumulation, possibly as a response to environmental stress. The genotypes EC240630, BL4, MFC-09-1 and COFC-8 emerged as promising candidates exhibiting superior performance across multiple traits. The observed variation among genotypes reflects the inherent genetic diversity and differential adaptability, suggesting ample scope for selection and breeding for improved fodder cowpea cultivars tailored to specific environmental conditions.</w:t>
      </w:r>
    </w:p>
    <w:p w14:paraId="2A94C736" w14:textId="77777777" w:rsidR="00B16182" w:rsidRDefault="00B16182" w:rsidP="00B16182">
      <w:pPr>
        <w:pStyle w:val="Body"/>
        <w:spacing w:after="0"/>
        <w:rPr>
          <w:rFonts w:ascii="Arial" w:hAnsi="Arial" w:cs="Arial"/>
        </w:rPr>
      </w:pPr>
    </w:p>
    <w:p w14:paraId="79E6C8E4" w14:textId="0557A606" w:rsidR="00B16182" w:rsidRPr="00B16182" w:rsidRDefault="00B16182" w:rsidP="00B16182">
      <w:pPr>
        <w:pStyle w:val="Body"/>
        <w:numPr>
          <w:ilvl w:val="0"/>
          <w:numId w:val="34"/>
        </w:numPr>
        <w:rPr>
          <w:rFonts w:ascii="Arial" w:hAnsi="Arial" w:cs="Arial"/>
          <w:b/>
          <w:bCs/>
        </w:rPr>
      </w:pPr>
      <w:r w:rsidRPr="00B16182">
        <w:rPr>
          <w:rFonts w:ascii="Arial" w:hAnsi="Arial" w:cs="Arial"/>
          <w:b/>
          <w:bCs/>
        </w:rPr>
        <w:t>DISCUSSION</w:t>
      </w:r>
    </w:p>
    <w:p w14:paraId="25B5BF2D" w14:textId="77777777" w:rsidR="00B16182" w:rsidRPr="00B16182" w:rsidRDefault="00B16182" w:rsidP="00B16182">
      <w:pPr>
        <w:pStyle w:val="Body"/>
        <w:rPr>
          <w:rFonts w:ascii="Arial" w:hAnsi="Arial" w:cs="Arial"/>
        </w:rPr>
      </w:pPr>
      <w:r w:rsidRPr="00B16182">
        <w:rPr>
          <w:rFonts w:ascii="Arial" w:hAnsi="Arial" w:cs="Arial"/>
        </w:rPr>
        <w:t>The evaluation of genotypes for growth, yield, physiological, biochemical, and qualitative parameters provide valuable insights into their adaptability, productivity, and stress response mechanisms under contrasting environmental conditions. The present findings revealed significant variation among genotypes as well as between polyhouse and field environments, highlighting the influence of growing conditions on morphological and physiological performance.</w:t>
      </w:r>
    </w:p>
    <w:p w14:paraId="4873EE00" w14:textId="44B91911" w:rsidR="00B16182" w:rsidRPr="00B16182" w:rsidRDefault="00B16182" w:rsidP="00B16182">
      <w:pPr>
        <w:pStyle w:val="Body"/>
        <w:numPr>
          <w:ilvl w:val="1"/>
          <w:numId w:val="34"/>
        </w:numPr>
        <w:rPr>
          <w:rFonts w:ascii="Arial" w:hAnsi="Arial" w:cs="Arial"/>
          <w:b/>
          <w:bCs/>
        </w:rPr>
      </w:pPr>
      <w:r w:rsidRPr="00B16182">
        <w:rPr>
          <w:rFonts w:ascii="Arial" w:hAnsi="Arial" w:cs="Arial"/>
          <w:b/>
          <w:bCs/>
        </w:rPr>
        <w:t>Growth and Yield Parameters</w:t>
      </w:r>
    </w:p>
    <w:p w14:paraId="227E48DF" w14:textId="726C6B56" w:rsidR="00B16182" w:rsidRPr="00B16182" w:rsidRDefault="00B16182" w:rsidP="00B16182">
      <w:pPr>
        <w:pStyle w:val="Body"/>
        <w:rPr>
          <w:rFonts w:ascii="Arial" w:hAnsi="Arial" w:cs="Arial"/>
        </w:rPr>
      </w:pPr>
      <w:r w:rsidRPr="00B16182">
        <w:rPr>
          <w:rFonts w:ascii="Arial" w:hAnsi="Arial" w:cs="Arial"/>
        </w:rPr>
        <w:t xml:space="preserve">Plant height, leaf area index (LAI), green fodder yield and dry fodder yield exhibited considerable variation across genotypes and environments. Plants grown under polyhouse conditions attained significantly greater height (mean 265.73 cm) than those in the field (36.50 cm). The enhanced height in the protected environment may be attributed to </w:t>
      </w:r>
      <w:r w:rsidR="00406A38">
        <w:rPr>
          <w:rFonts w:ascii="Arial" w:hAnsi="Arial" w:cs="Arial"/>
        </w:rPr>
        <w:t>enhanced CO</w:t>
      </w:r>
      <w:r w:rsidR="00406A38">
        <w:rPr>
          <w:rFonts w:ascii="Times New Roman" w:hAnsi="Times New Roman"/>
        </w:rPr>
        <w:t>₂</w:t>
      </w:r>
      <w:r w:rsidR="00406A38">
        <w:rPr>
          <w:rFonts w:ascii="Arial" w:hAnsi="Arial" w:cs="Arial"/>
        </w:rPr>
        <w:t xml:space="preserve"> </w:t>
      </w:r>
      <w:r w:rsidRPr="00B16182">
        <w:rPr>
          <w:rFonts w:ascii="Arial" w:hAnsi="Arial" w:cs="Arial"/>
        </w:rPr>
        <w:t xml:space="preserve">conditions </w:t>
      </w:r>
      <w:r w:rsidR="00406A38">
        <w:rPr>
          <w:rFonts w:ascii="Arial" w:hAnsi="Arial" w:cs="Arial"/>
        </w:rPr>
        <w:t xml:space="preserve">when compared to field </w:t>
      </w:r>
      <w:r w:rsidR="00646B76">
        <w:rPr>
          <w:rFonts w:ascii="Arial" w:hAnsi="Arial" w:cs="Arial"/>
        </w:rPr>
        <w:t>which is in accordance with the</w:t>
      </w:r>
      <w:r w:rsidR="00406A38">
        <w:rPr>
          <w:rFonts w:ascii="Arial" w:hAnsi="Arial" w:cs="Arial"/>
        </w:rPr>
        <w:t xml:space="preserve"> </w:t>
      </w:r>
      <w:r w:rsidR="00646B76">
        <w:rPr>
          <w:rFonts w:ascii="Arial" w:hAnsi="Arial" w:cs="Arial"/>
        </w:rPr>
        <w:t>study of</w:t>
      </w:r>
      <w:r w:rsidR="00406A38">
        <w:rPr>
          <w:rFonts w:ascii="Arial" w:hAnsi="Arial" w:cs="Arial"/>
        </w:rPr>
        <w:t xml:space="preserve"> Ramanathan et al.</w:t>
      </w:r>
      <w:r w:rsidR="00646B76">
        <w:rPr>
          <w:rFonts w:ascii="Arial" w:hAnsi="Arial" w:cs="Arial"/>
        </w:rPr>
        <w:t xml:space="preserve"> </w:t>
      </w:r>
      <w:r w:rsidR="00406A38">
        <w:rPr>
          <w:rFonts w:ascii="Arial" w:hAnsi="Arial" w:cs="Arial"/>
        </w:rPr>
        <w:t xml:space="preserve">(2023). This is further supported by </w:t>
      </w:r>
      <w:r w:rsidRPr="00B16182">
        <w:rPr>
          <w:rFonts w:ascii="Arial" w:hAnsi="Arial" w:cs="Arial"/>
        </w:rPr>
        <w:t xml:space="preserve">reduced evapotranspiration and humidity, which promote </w:t>
      </w:r>
      <w:r w:rsidRPr="00B16182">
        <w:rPr>
          <w:rFonts w:ascii="Arial" w:hAnsi="Arial" w:cs="Arial"/>
        </w:rPr>
        <w:lastRenderedPageBreak/>
        <w:t>cell elongation and vegetative growth</w:t>
      </w:r>
      <w:r w:rsidR="00712956">
        <w:rPr>
          <w:rFonts w:ascii="Arial" w:hAnsi="Arial" w:cs="Arial"/>
        </w:rPr>
        <w:t xml:space="preserve"> </w:t>
      </w:r>
      <w:r w:rsidR="00712956" w:rsidRPr="00712956">
        <w:rPr>
          <w:rFonts w:ascii="Arial" w:hAnsi="Arial" w:cs="Arial"/>
        </w:rPr>
        <w:t>(Shamshiri et al., 2018)</w:t>
      </w:r>
      <w:r w:rsidRPr="00B16182">
        <w:rPr>
          <w:rFonts w:ascii="Arial" w:hAnsi="Arial" w:cs="Arial"/>
        </w:rPr>
        <w:t xml:space="preserve">. The genotype TNFC1905 exhibited the maximum height, indicating its strong growth potential under </w:t>
      </w:r>
      <w:r w:rsidR="00406A38">
        <w:rPr>
          <w:rFonts w:ascii="Arial" w:hAnsi="Arial" w:cs="Arial"/>
        </w:rPr>
        <w:t xml:space="preserve">polyhouse </w:t>
      </w:r>
      <w:r w:rsidRPr="00B16182">
        <w:rPr>
          <w:rFonts w:ascii="Arial" w:hAnsi="Arial" w:cs="Arial"/>
        </w:rPr>
        <w:t>conditions.</w:t>
      </w:r>
    </w:p>
    <w:p w14:paraId="61BE68CE" w14:textId="445EBC00" w:rsidR="00B16182" w:rsidRPr="007504D1" w:rsidRDefault="00B16182" w:rsidP="00B16182">
      <w:pPr>
        <w:pStyle w:val="Body"/>
        <w:rPr>
          <w:rFonts w:ascii="Arial" w:hAnsi="Arial" w:cs="Arial"/>
          <w:lang w:val="en-IN"/>
        </w:rPr>
      </w:pPr>
      <w:r w:rsidRPr="007504D1">
        <w:rPr>
          <w:rFonts w:ascii="Arial" w:hAnsi="Arial" w:cs="Arial"/>
        </w:rPr>
        <w:t>Similarly, LAI was higher under the polyhouse (5.46) than in the field (3.57), suggesting that</w:t>
      </w:r>
      <w:r w:rsidR="003672B1" w:rsidRPr="007504D1">
        <w:rPr>
          <w:rFonts w:ascii="Arial" w:hAnsi="Arial" w:cs="Arial"/>
        </w:rPr>
        <w:t xml:space="preserve"> polyhouse environment </w:t>
      </w:r>
      <w:r w:rsidR="007504D1" w:rsidRPr="007504D1">
        <w:rPr>
          <w:rFonts w:ascii="Arial" w:hAnsi="Arial" w:cs="Arial"/>
        </w:rPr>
        <w:t>creates a closed or semi-closed system allowing for the enrichment of CO</w:t>
      </w:r>
      <w:r w:rsidR="007504D1" w:rsidRPr="007504D1">
        <w:rPr>
          <w:rFonts w:ascii="Cambria Math" w:hAnsi="Cambria Math" w:cs="Cambria Math"/>
        </w:rPr>
        <w:t>₂</w:t>
      </w:r>
      <w:r w:rsidR="007504D1" w:rsidRPr="007504D1">
        <w:rPr>
          <w:rFonts w:ascii="Arial" w:hAnsi="Arial" w:cs="Arial"/>
        </w:rPr>
        <w:t xml:space="preserve"> which in turn increases LAI by improving water use efficiency and </w:t>
      </w:r>
      <w:r w:rsidR="007504D1">
        <w:rPr>
          <w:rFonts w:ascii="Arial" w:hAnsi="Arial" w:cs="Arial"/>
        </w:rPr>
        <w:t xml:space="preserve">reduced photorespiration as reported by </w:t>
      </w:r>
      <w:r w:rsidR="007504D1" w:rsidRPr="007504D1">
        <w:rPr>
          <w:rFonts w:ascii="Arial" w:hAnsi="Arial" w:cs="Arial"/>
        </w:rPr>
        <w:t>Adireddy et al</w:t>
      </w:r>
      <w:r w:rsidR="007504D1" w:rsidRPr="007504D1">
        <w:rPr>
          <w:rFonts w:ascii="Arial" w:hAnsi="Arial" w:cs="Arial"/>
          <w:i/>
          <w:iCs/>
        </w:rPr>
        <w:t>.</w:t>
      </w:r>
      <w:r w:rsidR="007504D1" w:rsidRPr="007504D1">
        <w:rPr>
          <w:rFonts w:ascii="Arial" w:hAnsi="Arial" w:cs="Arial"/>
        </w:rPr>
        <w:t xml:space="preserve"> (2024)</w:t>
      </w:r>
      <w:r w:rsidRPr="007504D1">
        <w:rPr>
          <w:rFonts w:ascii="Arial" w:hAnsi="Arial" w:cs="Arial"/>
        </w:rPr>
        <w:t>. Genotypes such as UPC-22-1, MFC-09-1 and Aiswarya maintained superior LAI values, reflecting their greater photosynthetic surface and potential for higher assimilate production. This trend aligns with the reports of</w:t>
      </w:r>
      <w:r w:rsidR="00E0668F" w:rsidRPr="007504D1">
        <w:rPr>
          <w:rFonts w:ascii="Arial" w:hAnsi="Arial" w:cs="Arial"/>
        </w:rPr>
        <w:t xml:space="preserve"> </w:t>
      </w:r>
      <w:r w:rsidR="00E0668F" w:rsidRPr="007504D1">
        <w:rPr>
          <w:rFonts w:ascii="Arial" w:hAnsi="Arial" w:cs="Arial"/>
          <w:lang w:val="en-IN"/>
        </w:rPr>
        <w:t>Shikha et al. (2020)</w:t>
      </w:r>
      <w:r w:rsidRPr="007504D1">
        <w:rPr>
          <w:rFonts w:ascii="Arial" w:hAnsi="Arial" w:cs="Arial"/>
        </w:rPr>
        <w:t xml:space="preserve">, who observed increased leaf expansion </w:t>
      </w:r>
      <w:r w:rsidR="00E0668F" w:rsidRPr="007504D1">
        <w:rPr>
          <w:rFonts w:ascii="Arial" w:hAnsi="Arial" w:cs="Arial"/>
        </w:rPr>
        <w:t>for brinjal grown in polyhouse compared to field</w:t>
      </w:r>
      <w:r w:rsidRPr="007504D1">
        <w:rPr>
          <w:rFonts w:ascii="Arial" w:hAnsi="Arial" w:cs="Arial"/>
        </w:rPr>
        <w:t>.</w:t>
      </w:r>
    </w:p>
    <w:p w14:paraId="60C77FD9" w14:textId="7A9DC057" w:rsidR="00B16182" w:rsidRPr="00E0668F" w:rsidRDefault="00B16182" w:rsidP="00B16182">
      <w:pPr>
        <w:pStyle w:val="Body"/>
        <w:rPr>
          <w:rFonts w:ascii="Arial" w:hAnsi="Arial" w:cs="Arial"/>
          <w:lang w:val="en-IN"/>
        </w:rPr>
      </w:pPr>
      <w:r w:rsidRPr="00B16182">
        <w:rPr>
          <w:rFonts w:ascii="Arial" w:hAnsi="Arial" w:cs="Arial"/>
        </w:rPr>
        <w:t>Green and dry fodder yields also followed a similar pattern, with higher mean yields under the polyhouse (46.91 g and 12.24 g, respectively) compared to field conditions (32.52 g and 8.50 g). The genotype EC240630 consistently recorded the highest green (71.86 g) and dry fodder yield (19.69 g), highlighting its superior biomass production ability. The enhanced yield performance under protected cultivation can be ascribed to improved photosynthetic efficiency</w:t>
      </w:r>
      <w:r w:rsidR="007504D1">
        <w:rPr>
          <w:rFonts w:ascii="Arial" w:hAnsi="Arial" w:cs="Arial"/>
        </w:rPr>
        <w:t xml:space="preserve"> and reduced photorespiration </w:t>
      </w:r>
      <w:r w:rsidRPr="00B16182">
        <w:rPr>
          <w:rFonts w:ascii="Arial" w:hAnsi="Arial" w:cs="Arial"/>
        </w:rPr>
        <w:t xml:space="preserve">leading to efficient biomass partitioning </w:t>
      </w:r>
      <w:r w:rsidR="00E0668F" w:rsidRPr="00E0668F">
        <w:rPr>
          <w:rFonts w:ascii="Arial" w:hAnsi="Arial" w:cs="Arial"/>
          <w:lang w:val="en-IN"/>
        </w:rPr>
        <w:t>(Digrado et al., 2022)</w:t>
      </w:r>
      <w:r w:rsidRPr="00B16182">
        <w:rPr>
          <w:rFonts w:ascii="Arial" w:hAnsi="Arial" w:cs="Arial"/>
        </w:rPr>
        <w:t xml:space="preserve">. </w:t>
      </w:r>
      <w:r w:rsidR="007504D1" w:rsidRPr="007504D1">
        <w:rPr>
          <w:rFonts w:ascii="Arial" w:hAnsi="Arial" w:cs="Arial"/>
        </w:rPr>
        <w:t xml:space="preserve">Similar findings by Ramanathan et </w:t>
      </w:r>
      <w:r w:rsidR="007504D1" w:rsidRPr="007504D1">
        <w:rPr>
          <w:rFonts w:ascii="Arial" w:hAnsi="Arial" w:cs="Arial"/>
          <w:i/>
          <w:iCs/>
        </w:rPr>
        <w:t>al</w:t>
      </w:r>
      <w:r w:rsidR="007504D1" w:rsidRPr="007504D1">
        <w:rPr>
          <w:rFonts w:ascii="Arial" w:hAnsi="Arial" w:cs="Arial"/>
        </w:rPr>
        <w:t>. (2023) showed that there is substantial increase in biomass production under high temperature and CO</w:t>
      </w:r>
      <w:r w:rsidR="007504D1" w:rsidRPr="007504D1">
        <w:rPr>
          <w:rFonts w:ascii="Arial" w:hAnsi="Arial" w:cs="Arial"/>
          <w:vertAlign w:val="subscript"/>
        </w:rPr>
        <w:t>2</w:t>
      </w:r>
      <w:r w:rsidR="007504D1" w:rsidRPr="007504D1">
        <w:rPr>
          <w:rFonts w:ascii="Arial" w:hAnsi="Arial" w:cs="Arial"/>
        </w:rPr>
        <w:t xml:space="preserve"> conditions</w:t>
      </w:r>
      <w:r w:rsidR="007504D1">
        <w:rPr>
          <w:rFonts w:ascii="Times New Roman" w:hAnsi="Times New Roman"/>
          <w:sz w:val="24"/>
          <w:szCs w:val="24"/>
        </w:rPr>
        <w:t xml:space="preserve">. </w:t>
      </w:r>
      <w:r w:rsidRPr="00B16182">
        <w:rPr>
          <w:rFonts w:ascii="Arial" w:hAnsi="Arial" w:cs="Arial"/>
        </w:rPr>
        <w:t>Conversely, genotypes such as IVTC6 and UPC-22-1 with lower yields may possess limited stress tolerance or lower resource-use efficiency.</w:t>
      </w:r>
    </w:p>
    <w:p w14:paraId="60809FF1" w14:textId="047B0C61" w:rsidR="00B16182" w:rsidRPr="00B16182" w:rsidRDefault="00B16182" w:rsidP="00B16182">
      <w:pPr>
        <w:pStyle w:val="Body"/>
        <w:numPr>
          <w:ilvl w:val="1"/>
          <w:numId w:val="34"/>
        </w:numPr>
        <w:rPr>
          <w:rFonts w:ascii="Arial" w:hAnsi="Arial" w:cs="Arial"/>
          <w:b/>
          <w:bCs/>
        </w:rPr>
      </w:pPr>
      <w:r w:rsidRPr="00B16182">
        <w:rPr>
          <w:rFonts w:ascii="Arial" w:hAnsi="Arial" w:cs="Arial"/>
          <w:b/>
          <w:bCs/>
        </w:rPr>
        <w:t>Physiological and Biochemical Parameters</w:t>
      </w:r>
    </w:p>
    <w:p w14:paraId="4184C0E9" w14:textId="030BEC8E" w:rsidR="00B16182" w:rsidRPr="00B16182" w:rsidRDefault="00B16182" w:rsidP="00B16182">
      <w:pPr>
        <w:pStyle w:val="Body"/>
        <w:rPr>
          <w:rFonts w:ascii="Arial" w:hAnsi="Arial" w:cs="Arial"/>
        </w:rPr>
      </w:pPr>
      <w:r w:rsidRPr="00B16182">
        <w:rPr>
          <w:rFonts w:ascii="Arial" w:hAnsi="Arial" w:cs="Arial"/>
        </w:rPr>
        <w:t>Physiological traits such as chlorophyll content, relative water content (RWC), proline accumulation, peroxidase activity, and cell membrane stability index are key indicators of stress adaptation and metabolic efficiency.</w:t>
      </w:r>
      <w:r w:rsidR="00EF6E80">
        <w:rPr>
          <w:rFonts w:ascii="Arial" w:hAnsi="Arial" w:cs="Arial"/>
        </w:rPr>
        <w:t xml:space="preserve"> </w:t>
      </w:r>
      <w:r w:rsidR="00EF6E80" w:rsidRPr="00EF6E80">
        <w:rPr>
          <w:rFonts w:ascii="Arial" w:hAnsi="Arial" w:cs="Arial"/>
        </w:rPr>
        <w:t>In a study conducted by Selinga et al. (2022), heat shock proteins (HSPs) and associated chaperones were shown to play a vital role in enhancing heat stress tolerance in cowpea by facilitating protein protection, repair and photosynthetic recovery particularly in the thermotolerant genotype IT-96D-610.</w:t>
      </w:r>
    </w:p>
    <w:p w14:paraId="4330B5E1" w14:textId="16E44E33" w:rsidR="00B16182" w:rsidRPr="00B16182" w:rsidRDefault="00B16182" w:rsidP="00B16182">
      <w:pPr>
        <w:pStyle w:val="Body"/>
        <w:rPr>
          <w:rFonts w:ascii="Arial" w:hAnsi="Arial" w:cs="Arial"/>
        </w:rPr>
      </w:pPr>
      <w:r w:rsidRPr="00B16182">
        <w:rPr>
          <w:rFonts w:ascii="Arial" w:hAnsi="Arial" w:cs="Arial"/>
        </w:rPr>
        <w:t xml:space="preserve">Total chlorophyll content was higher under </w:t>
      </w:r>
      <w:r w:rsidR="00D324ED">
        <w:rPr>
          <w:rFonts w:ascii="Arial" w:hAnsi="Arial" w:cs="Arial"/>
        </w:rPr>
        <w:t>field</w:t>
      </w:r>
      <w:r w:rsidRPr="00B16182">
        <w:rPr>
          <w:rFonts w:ascii="Arial" w:hAnsi="Arial" w:cs="Arial"/>
        </w:rPr>
        <w:t xml:space="preserve"> (0.65 mg g</w:t>
      </w:r>
      <w:r w:rsidRPr="00B16182">
        <w:rPr>
          <w:rFonts w:ascii="Cambria Math" w:hAnsi="Cambria Math" w:cs="Cambria Math"/>
        </w:rPr>
        <w:t>⁻</w:t>
      </w:r>
      <w:r w:rsidRPr="00B16182">
        <w:rPr>
          <w:rFonts w:ascii="Arial" w:hAnsi="Arial" w:cs="Arial"/>
        </w:rPr>
        <w:t xml:space="preserve">¹) than in </w:t>
      </w:r>
      <w:r w:rsidR="00D324ED">
        <w:rPr>
          <w:rFonts w:ascii="Arial" w:hAnsi="Arial" w:cs="Arial"/>
        </w:rPr>
        <w:t>polyhouse</w:t>
      </w:r>
      <w:r w:rsidRPr="00B16182">
        <w:rPr>
          <w:rFonts w:ascii="Arial" w:hAnsi="Arial" w:cs="Arial"/>
        </w:rPr>
        <w:t xml:space="preserve"> conditions (0.52 mg g</w:t>
      </w:r>
      <w:r w:rsidRPr="00B16182">
        <w:rPr>
          <w:rFonts w:ascii="Cambria Math" w:hAnsi="Cambria Math" w:cs="Cambria Math"/>
        </w:rPr>
        <w:t>⁻</w:t>
      </w:r>
      <w:r w:rsidRPr="00B16182">
        <w:rPr>
          <w:rFonts w:ascii="Arial" w:hAnsi="Arial" w:cs="Arial"/>
        </w:rPr>
        <w:t>¹)</w:t>
      </w:r>
      <w:r w:rsidR="00D324ED">
        <w:rPr>
          <w:rFonts w:ascii="Arial" w:hAnsi="Arial" w:cs="Arial"/>
        </w:rPr>
        <w:t xml:space="preserve">. </w:t>
      </w:r>
      <w:r w:rsidRPr="00B16182">
        <w:rPr>
          <w:rFonts w:ascii="Arial" w:hAnsi="Arial" w:cs="Arial"/>
        </w:rPr>
        <w:t xml:space="preserve">The genotype UPC-622 exhibited the highest chlorophyll content, reflecting its superior photosynthetic machinery. Decreased chlorophyll under </w:t>
      </w:r>
      <w:r w:rsidR="00F734CC">
        <w:rPr>
          <w:rFonts w:ascii="Arial" w:hAnsi="Arial" w:cs="Arial"/>
        </w:rPr>
        <w:t>polyhouse</w:t>
      </w:r>
      <w:r w:rsidRPr="00B16182">
        <w:rPr>
          <w:rFonts w:ascii="Arial" w:hAnsi="Arial" w:cs="Arial"/>
        </w:rPr>
        <w:t xml:space="preserve"> conditions is commonly associated with oxidative stress and photooxidation damag</w:t>
      </w:r>
      <w:r w:rsidR="00F734CC">
        <w:rPr>
          <w:rFonts w:ascii="Arial" w:hAnsi="Arial" w:cs="Arial"/>
        </w:rPr>
        <w:t>e</w:t>
      </w:r>
      <w:r w:rsidR="00406A38">
        <w:rPr>
          <w:rFonts w:ascii="Arial" w:hAnsi="Arial" w:cs="Arial"/>
        </w:rPr>
        <w:t xml:space="preserve"> pertaining to heat stress</w:t>
      </w:r>
      <w:r w:rsidR="00F734CC">
        <w:rPr>
          <w:rFonts w:ascii="Arial" w:hAnsi="Arial" w:cs="Arial"/>
        </w:rPr>
        <w:t xml:space="preserve">. </w:t>
      </w:r>
      <w:r w:rsidR="00F734CC" w:rsidRPr="00F734CC">
        <w:rPr>
          <w:rFonts w:ascii="Arial" w:hAnsi="Arial" w:cs="Arial"/>
        </w:rPr>
        <w:t>In cowpea, a reduction in chlorophyll under prolonged heat stress was studied by Hall (1992), who linked it to impaired photosystem stabili</w:t>
      </w:r>
      <w:r w:rsidR="00F734CC">
        <w:rPr>
          <w:rFonts w:ascii="Arial" w:hAnsi="Arial" w:cs="Arial"/>
        </w:rPr>
        <w:t>ty</w:t>
      </w:r>
      <w:r w:rsidRPr="00F734CC">
        <w:rPr>
          <w:rFonts w:ascii="Arial" w:hAnsi="Arial" w:cs="Arial"/>
        </w:rPr>
        <w:t>.</w:t>
      </w:r>
    </w:p>
    <w:p w14:paraId="3EBE4132" w14:textId="69249DD5" w:rsidR="00B16182" w:rsidRPr="00B16182" w:rsidRDefault="00B16182" w:rsidP="00B16182">
      <w:pPr>
        <w:pStyle w:val="Body"/>
        <w:rPr>
          <w:rFonts w:ascii="Arial" w:hAnsi="Arial" w:cs="Arial"/>
        </w:rPr>
      </w:pPr>
      <w:r w:rsidRPr="00B16182">
        <w:rPr>
          <w:rFonts w:ascii="Arial" w:hAnsi="Arial" w:cs="Arial"/>
        </w:rPr>
        <w:t>RWC followed a similar pattern, with polyhouse-grown plants maintaining higher tissue hydration (73.03%) than those in the field (65.54%). The genotype BL4 exhibited the maximum RWC (82.75%)</w:t>
      </w:r>
      <w:r w:rsidR="00D324ED">
        <w:rPr>
          <w:rFonts w:ascii="Arial" w:hAnsi="Arial" w:cs="Arial"/>
        </w:rPr>
        <w:t>.</w:t>
      </w:r>
      <w:r w:rsidRPr="00B16182">
        <w:rPr>
          <w:rFonts w:ascii="Arial" w:hAnsi="Arial" w:cs="Arial"/>
        </w:rPr>
        <w:t xml:space="preserve"> </w:t>
      </w:r>
      <w:r w:rsidR="00406A38">
        <w:rPr>
          <w:rFonts w:ascii="Arial" w:hAnsi="Arial" w:cs="Arial"/>
        </w:rPr>
        <w:t>Enhanced</w:t>
      </w:r>
      <w:r w:rsidR="00D324ED" w:rsidRPr="00D324ED">
        <w:rPr>
          <w:rFonts w:ascii="Arial" w:hAnsi="Arial" w:cs="Arial"/>
        </w:rPr>
        <w:t xml:space="preserve"> CO</w:t>
      </w:r>
      <w:r w:rsidR="00D324ED" w:rsidRPr="00D324ED">
        <w:rPr>
          <w:rFonts w:ascii="Cambria Math" w:hAnsi="Cambria Math" w:cs="Cambria Math"/>
        </w:rPr>
        <w:t>₂</w:t>
      </w:r>
      <w:r w:rsidR="00D324ED" w:rsidRPr="00D324ED">
        <w:rPr>
          <w:rFonts w:ascii="Arial" w:hAnsi="Arial" w:cs="Arial"/>
        </w:rPr>
        <w:t xml:space="preserve"> levels can boost relative water content (RWC) by increasing water-use efficiency, helping plants preserve hydration during stress (Shi, 2010</w:t>
      </w:r>
      <w:r w:rsidR="00D324ED">
        <w:rPr>
          <w:rFonts w:ascii="Arial" w:hAnsi="Arial" w:cs="Arial"/>
        </w:rPr>
        <w:t xml:space="preserve"> </w:t>
      </w:r>
      <w:r w:rsidR="00D324ED" w:rsidRPr="00D324ED">
        <w:rPr>
          <w:rFonts w:ascii="Arial" w:hAnsi="Arial" w:cs="Arial"/>
        </w:rPr>
        <w:t>)</w:t>
      </w:r>
      <w:r w:rsidR="00D324ED">
        <w:rPr>
          <w:rFonts w:ascii="Arial" w:hAnsi="Arial" w:cs="Arial"/>
        </w:rPr>
        <w:t xml:space="preserve">. </w:t>
      </w:r>
      <w:r w:rsidRPr="00B16182">
        <w:rPr>
          <w:rFonts w:ascii="Arial" w:hAnsi="Arial" w:cs="Arial"/>
        </w:rPr>
        <w:t>In contrast, EC390241 and EC101978 recorded the lowest RWC, implying lower drought adaptability.</w:t>
      </w:r>
    </w:p>
    <w:p w14:paraId="773B2F99" w14:textId="0D0887EA" w:rsidR="00D324ED" w:rsidRDefault="00B16182" w:rsidP="00B16182">
      <w:pPr>
        <w:pStyle w:val="Body"/>
        <w:rPr>
          <w:rFonts w:ascii="Arial" w:hAnsi="Arial" w:cs="Arial"/>
        </w:rPr>
      </w:pPr>
      <w:r w:rsidRPr="00B16182">
        <w:rPr>
          <w:rFonts w:ascii="Arial" w:hAnsi="Arial" w:cs="Arial"/>
        </w:rPr>
        <w:t>Interestingly, proline accumulation was also higher under polyhouse (3.27 μmol g</w:t>
      </w:r>
      <w:r w:rsidRPr="00B16182">
        <w:rPr>
          <w:rFonts w:ascii="Cambria Math" w:hAnsi="Cambria Math" w:cs="Cambria Math"/>
        </w:rPr>
        <w:t>⁻</w:t>
      </w:r>
      <w:r w:rsidRPr="00B16182">
        <w:rPr>
          <w:rFonts w:ascii="Arial" w:hAnsi="Arial" w:cs="Arial"/>
        </w:rPr>
        <w:t>¹) than in the field (2.16 μmol g</w:t>
      </w:r>
      <w:r w:rsidRPr="00B16182">
        <w:rPr>
          <w:rFonts w:ascii="Cambria Math" w:hAnsi="Cambria Math" w:cs="Cambria Math"/>
        </w:rPr>
        <w:t>⁻</w:t>
      </w:r>
      <w:r w:rsidRPr="00B16182">
        <w:rPr>
          <w:rFonts w:ascii="Arial" w:hAnsi="Arial" w:cs="Arial"/>
        </w:rPr>
        <w:t>¹). The genotype MFC-09-1 exhibited the highest proline content, followed closely by EC240630 and COFC-8. Proline accumulation, an important osmoprotectant, is often associated with stress response</w:t>
      </w:r>
      <w:r w:rsidR="00D324ED">
        <w:rPr>
          <w:rFonts w:ascii="Arial" w:hAnsi="Arial" w:cs="Arial"/>
        </w:rPr>
        <w:t xml:space="preserve">. This is in accordance with the study by </w:t>
      </w:r>
      <w:r w:rsidR="00D324ED" w:rsidRPr="00D324ED">
        <w:rPr>
          <w:rFonts w:ascii="Arial" w:hAnsi="Arial" w:cs="Arial"/>
        </w:rPr>
        <w:t>Dwivedi et al. (2022)</w:t>
      </w:r>
      <w:r w:rsidR="00990A69">
        <w:rPr>
          <w:rFonts w:ascii="Arial" w:hAnsi="Arial" w:cs="Arial"/>
        </w:rPr>
        <w:t xml:space="preserve">, it was </w:t>
      </w:r>
      <w:r w:rsidR="00D324ED" w:rsidRPr="00D324ED">
        <w:rPr>
          <w:rFonts w:ascii="Arial" w:hAnsi="Arial" w:cs="Arial"/>
        </w:rPr>
        <w:t>reported that</w:t>
      </w:r>
      <w:r w:rsidR="00E57F18">
        <w:rPr>
          <w:rFonts w:ascii="Arial" w:hAnsi="Arial" w:cs="Arial"/>
        </w:rPr>
        <w:t xml:space="preserve"> increased</w:t>
      </w:r>
      <w:r w:rsidR="00D324ED" w:rsidRPr="00D324ED">
        <w:rPr>
          <w:rFonts w:ascii="Arial" w:hAnsi="Arial" w:cs="Arial"/>
        </w:rPr>
        <w:t xml:space="preserve"> CO</w:t>
      </w:r>
      <w:r w:rsidR="00D324ED" w:rsidRPr="00D324ED">
        <w:rPr>
          <w:rFonts w:ascii="Cambria Math" w:hAnsi="Cambria Math" w:cs="Cambria Math"/>
        </w:rPr>
        <w:t>₂</w:t>
      </w:r>
      <w:r w:rsidR="00D324ED" w:rsidRPr="00D324ED">
        <w:rPr>
          <w:rFonts w:ascii="Arial" w:hAnsi="Arial" w:cs="Arial"/>
        </w:rPr>
        <w:t xml:space="preserve"> levels increase proline accumulation, thereby enhancing plant stress tolerance</w:t>
      </w:r>
      <w:r w:rsidR="00D324ED">
        <w:rPr>
          <w:rFonts w:ascii="Arial" w:hAnsi="Arial" w:cs="Arial"/>
        </w:rPr>
        <w:t>.</w:t>
      </w:r>
    </w:p>
    <w:p w14:paraId="2CD6B072" w14:textId="2B97FC7C" w:rsidR="00B16182" w:rsidRPr="00B16182" w:rsidRDefault="00B16182" w:rsidP="00B16182">
      <w:pPr>
        <w:pStyle w:val="Body"/>
        <w:rPr>
          <w:rFonts w:ascii="Arial" w:hAnsi="Arial" w:cs="Arial"/>
        </w:rPr>
      </w:pPr>
      <w:r w:rsidRPr="00B16182">
        <w:rPr>
          <w:rFonts w:ascii="Arial" w:hAnsi="Arial" w:cs="Arial"/>
        </w:rPr>
        <w:lastRenderedPageBreak/>
        <w:t>Peroxidase (POX) activity showed marginal variation between environments, with slightly higher values under polyhouse (19.98) compared to field (19.08). The genotype Culture-6 recorded the highest POX activity, indicating stronger antioxidative defense. Enhanced peroxidase activity is linked to the detoxification of reactive oxygen species (ROS) and stabilization of cell membranes under stress</w:t>
      </w:r>
      <w:r w:rsidR="00990A69">
        <w:rPr>
          <w:rFonts w:ascii="Arial" w:hAnsi="Arial" w:cs="Arial"/>
        </w:rPr>
        <w:t>.</w:t>
      </w:r>
      <w:r w:rsidR="00E57F18">
        <w:rPr>
          <w:rFonts w:ascii="Arial" w:hAnsi="Arial" w:cs="Arial"/>
        </w:rPr>
        <w:t xml:space="preserve"> Increased</w:t>
      </w:r>
      <w:r w:rsidR="00990A69" w:rsidRPr="00990A69">
        <w:rPr>
          <w:rFonts w:ascii="Arial" w:hAnsi="Arial" w:cs="Arial"/>
        </w:rPr>
        <w:t xml:space="preserve"> peroxidase activity was also reported by Akinwale et al. (2019) in heat-tolerant cowpea genotypes indicating improved management of oxidative stress.</w:t>
      </w:r>
      <w:r w:rsidR="007E44B4">
        <w:rPr>
          <w:rFonts w:ascii="Arial" w:hAnsi="Arial" w:cs="Arial"/>
        </w:rPr>
        <w:t xml:space="preserve"> </w:t>
      </w:r>
      <w:r w:rsidR="007E44B4" w:rsidRPr="007E44B4">
        <w:rPr>
          <w:rFonts w:ascii="Arial" w:hAnsi="Arial" w:cs="Arial"/>
        </w:rPr>
        <w:t>Bello et al. (2023) noted that heat stress induces an increase in peroxidase activity, which plays a key role in the detoxification of ROS.</w:t>
      </w:r>
      <w:r w:rsidRPr="00B16182">
        <w:rPr>
          <w:rFonts w:ascii="Arial" w:hAnsi="Arial" w:cs="Arial"/>
        </w:rPr>
        <w:t xml:space="preserve"> </w:t>
      </w:r>
    </w:p>
    <w:p w14:paraId="433BC973" w14:textId="13292AD7" w:rsidR="00B16182" w:rsidRPr="00B16182" w:rsidRDefault="00B16182" w:rsidP="00B16182">
      <w:pPr>
        <w:pStyle w:val="Body"/>
        <w:rPr>
          <w:rFonts w:ascii="Arial" w:hAnsi="Arial" w:cs="Arial"/>
        </w:rPr>
      </w:pPr>
      <w:r w:rsidRPr="00B16182">
        <w:rPr>
          <w:rFonts w:ascii="Arial" w:hAnsi="Arial" w:cs="Arial"/>
        </w:rPr>
        <w:t xml:space="preserve">Cell membrane stability index (MSI) also followed the expected pattern, with polyhouse plants generally showing better membrane integrity, corroborating the observations for RWC and POX activity. Higher MSI signifies lower electrolyte leakage, indicative of tolerance to environmental fluctuations and efficient maintenance of cellular </w:t>
      </w:r>
      <w:r w:rsidR="007F435F">
        <w:rPr>
          <w:rFonts w:ascii="Arial" w:hAnsi="Arial" w:cs="Arial"/>
        </w:rPr>
        <w:t>homeostasis. Ying et al. (2011) r</w:t>
      </w:r>
      <w:r w:rsidR="007F435F" w:rsidRPr="007F435F">
        <w:rPr>
          <w:rFonts w:ascii="Arial" w:hAnsi="Arial" w:cs="Arial"/>
        </w:rPr>
        <w:t>eported that increased CO</w:t>
      </w:r>
      <w:r w:rsidR="007F435F" w:rsidRPr="00E57F18">
        <w:rPr>
          <w:rFonts w:ascii="Arial" w:hAnsi="Arial" w:cs="Arial"/>
          <w:vertAlign w:val="subscript"/>
        </w:rPr>
        <w:t>2</w:t>
      </w:r>
      <w:r w:rsidR="007F435F" w:rsidRPr="007F435F">
        <w:rPr>
          <w:rFonts w:ascii="Arial" w:hAnsi="Arial" w:cs="Arial"/>
        </w:rPr>
        <w:t xml:space="preserve"> concentrations in cowpea were associated with improved cell membrane stabili</w:t>
      </w:r>
      <w:r w:rsidR="007F435F">
        <w:rPr>
          <w:rFonts w:ascii="Arial" w:hAnsi="Arial" w:cs="Arial"/>
        </w:rPr>
        <w:t>ty.</w:t>
      </w:r>
    </w:p>
    <w:p w14:paraId="67AC17EB" w14:textId="03B5A802" w:rsidR="00B16182" w:rsidRPr="00B16182" w:rsidRDefault="00B16182" w:rsidP="00B16182">
      <w:pPr>
        <w:pStyle w:val="Body"/>
        <w:numPr>
          <w:ilvl w:val="1"/>
          <w:numId w:val="34"/>
        </w:numPr>
        <w:rPr>
          <w:rFonts w:ascii="Arial" w:hAnsi="Arial" w:cs="Arial"/>
          <w:b/>
          <w:bCs/>
        </w:rPr>
      </w:pPr>
      <w:r w:rsidRPr="00B16182">
        <w:rPr>
          <w:rFonts w:ascii="Arial" w:hAnsi="Arial" w:cs="Arial"/>
          <w:b/>
          <w:bCs/>
        </w:rPr>
        <w:t>Qualitative Parameters</w:t>
      </w:r>
    </w:p>
    <w:p w14:paraId="45F33A67" w14:textId="7335F063" w:rsidR="00866240" w:rsidRDefault="00B16182" w:rsidP="00866240">
      <w:pPr>
        <w:pStyle w:val="Body"/>
        <w:rPr>
          <w:rFonts w:ascii="Arial" w:hAnsi="Arial" w:cs="Arial"/>
        </w:rPr>
      </w:pPr>
      <w:r w:rsidRPr="00B16182">
        <w:rPr>
          <w:rFonts w:ascii="Arial" w:hAnsi="Arial" w:cs="Arial"/>
        </w:rPr>
        <w:t xml:space="preserve">The qualitative parameters crude fibre and crude protein content also demonstrated clear environmental and genotypic influences. Crude fibre content was slightly higher under polyhouse (22.44%) than field (20.99%). </w:t>
      </w:r>
      <w:r w:rsidR="00EE5DE3">
        <w:rPr>
          <w:rFonts w:ascii="Arial" w:hAnsi="Arial" w:cs="Arial"/>
        </w:rPr>
        <w:t xml:space="preserve">This is in line with the results of Mahmood et al. (2010) who reported that under heat stress, </w:t>
      </w:r>
      <w:r w:rsidR="00EE5DE3" w:rsidRPr="00EE5DE3">
        <w:rPr>
          <w:rFonts w:ascii="Arial" w:hAnsi="Arial" w:cs="Arial"/>
        </w:rPr>
        <w:t>crude fibre content increased significantly in the heat-tolerant maize variety Sultan compared to the heat-sensitive variety S-2002, indicating that heat stress can alter structural composition and forage quality in crops.</w:t>
      </w:r>
      <w:r w:rsidR="00EE5DE3">
        <w:rPr>
          <w:rFonts w:ascii="Arial" w:hAnsi="Arial" w:cs="Arial"/>
        </w:rPr>
        <w:t xml:space="preserve"> </w:t>
      </w:r>
      <w:r w:rsidRPr="00B16182">
        <w:rPr>
          <w:rFonts w:ascii="Arial" w:hAnsi="Arial" w:cs="Arial"/>
        </w:rPr>
        <w:t>Genotypes such as BL4, COFC8, and IC372130 recorded the highest fibre values, suggesting thicker cell walls and higher structural carbohydrate accumulation. Crude protein content, however, showed an inverse trend being higher under field conditions (26.02%) than in the polyhouse (22.08%). The genotype COFC-8 recorded the highest protein content (29.24%), while IC398992 showed the lowest. The decline in protein levels under protected conditions may result from a dilution effect due to increased biomass accumulation or reduced nitrogen assimilation efficiency under high humidity</w:t>
      </w:r>
      <w:r w:rsidR="00866240">
        <w:rPr>
          <w:rFonts w:ascii="Arial" w:hAnsi="Arial" w:cs="Arial"/>
        </w:rPr>
        <w:t xml:space="preserve">. These results are in alignment with findings of </w:t>
      </w:r>
      <w:r w:rsidR="00866240" w:rsidRPr="00866240">
        <w:rPr>
          <w:rFonts w:ascii="Arial" w:hAnsi="Arial" w:cs="Arial"/>
        </w:rPr>
        <w:t xml:space="preserve">Rao et al. </w:t>
      </w:r>
      <w:r w:rsidR="00866240">
        <w:rPr>
          <w:rFonts w:ascii="Arial" w:hAnsi="Arial" w:cs="Arial"/>
        </w:rPr>
        <w:t>(</w:t>
      </w:r>
      <w:r w:rsidR="00866240" w:rsidRPr="00866240">
        <w:rPr>
          <w:rFonts w:ascii="Arial" w:hAnsi="Arial" w:cs="Arial"/>
        </w:rPr>
        <w:t>2018)</w:t>
      </w:r>
      <w:r w:rsidR="00866240">
        <w:rPr>
          <w:rFonts w:ascii="Arial" w:hAnsi="Arial" w:cs="Arial"/>
        </w:rPr>
        <w:t xml:space="preserve"> where </w:t>
      </w:r>
      <w:r w:rsidR="00E57F18">
        <w:rPr>
          <w:rFonts w:ascii="Arial" w:hAnsi="Arial" w:cs="Arial"/>
        </w:rPr>
        <w:t>increased</w:t>
      </w:r>
      <w:r w:rsidR="00866240" w:rsidRPr="00866240">
        <w:rPr>
          <w:rFonts w:ascii="Arial" w:hAnsi="Arial" w:cs="Arial"/>
        </w:rPr>
        <w:t xml:space="preserve"> CO</w:t>
      </w:r>
      <w:r w:rsidR="00866240" w:rsidRPr="00E57F18">
        <w:rPr>
          <w:rFonts w:ascii="Arial" w:hAnsi="Arial" w:cs="Arial"/>
          <w:vertAlign w:val="subscript"/>
        </w:rPr>
        <w:t>2</w:t>
      </w:r>
      <w:r w:rsidR="00866240" w:rsidRPr="00866240">
        <w:rPr>
          <w:rFonts w:ascii="Arial" w:hAnsi="Arial" w:cs="Arial"/>
        </w:rPr>
        <w:t xml:space="preserve"> combined with </w:t>
      </w:r>
      <w:r w:rsidR="00866240">
        <w:rPr>
          <w:rFonts w:ascii="Arial" w:hAnsi="Arial" w:cs="Arial"/>
        </w:rPr>
        <w:t>heat</w:t>
      </w:r>
      <w:r w:rsidR="00866240" w:rsidRPr="00866240">
        <w:rPr>
          <w:rFonts w:ascii="Arial" w:hAnsi="Arial" w:cs="Arial"/>
        </w:rPr>
        <w:t xml:space="preserve"> increased A</w:t>
      </w:r>
      <w:r w:rsidR="00866240">
        <w:rPr>
          <w:rFonts w:ascii="Arial" w:hAnsi="Arial" w:cs="Arial"/>
        </w:rPr>
        <w:t>DF</w:t>
      </w:r>
      <w:r w:rsidR="00866240" w:rsidRPr="00866240">
        <w:rPr>
          <w:rFonts w:ascii="Arial" w:hAnsi="Arial" w:cs="Arial"/>
        </w:rPr>
        <w:t xml:space="preserve"> and lignin while decreasing crude pro</w:t>
      </w:r>
      <w:r w:rsidR="00866240">
        <w:rPr>
          <w:rFonts w:ascii="Arial" w:hAnsi="Arial" w:cs="Arial"/>
        </w:rPr>
        <w:t>tein</w:t>
      </w:r>
      <w:r w:rsidR="00866240" w:rsidRPr="00866240">
        <w:rPr>
          <w:rFonts w:ascii="Arial" w:hAnsi="Arial" w:cs="Arial"/>
        </w:rPr>
        <w:t xml:space="preserve">, demonstrating that </w:t>
      </w:r>
      <w:r w:rsidR="007B1975">
        <w:rPr>
          <w:rFonts w:ascii="Arial" w:hAnsi="Arial" w:cs="Arial"/>
        </w:rPr>
        <w:t xml:space="preserve">heat and </w:t>
      </w:r>
      <w:r w:rsidR="007B1975" w:rsidRPr="00866240">
        <w:rPr>
          <w:rFonts w:ascii="Arial" w:hAnsi="Arial" w:cs="Arial"/>
        </w:rPr>
        <w:t>CO</w:t>
      </w:r>
      <w:r w:rsidR="007B1975" w:rsidRPr="00E57F18">
        <w:rPr>
          <w:rFonts w:ascii="Arial" w:hAnsi="Arial" w:cs="Arial"/>
          <w:vertAlign w:val="subscript"/>
        </w:rPr>
        <w:t>2</w:t>
      </w:r>
      <w:r w:rsidR="007B1975">
        <w:rPr>
          <w:rFonts w:ascii="Arial" w:hAnsi="Arial" w:cs="Arial"/>
          <w:vertAlign w:val="subscript"/>
        </w:rPr>
        <w:t xml:space="preserve"> </w:t>
      </w:r>
      <w:r w:rsidR="007B1975" w:rsidRPr="007B1975">
        <w:rPr>
          <w:rFonts w:ascii="Arial" w:hAnsi="Arial" w:cs="Arial"/>
        </w:rPr>
        <w:t>stres</w:t>
      </w:r>
      <w:r w:rsidR="007B1975">
        <w:rPr>
          <w:rFonts w:ascii="Arial" w:hAnsi="Arial" w:cs="Arial"/>
        </w:rPr>
        <w:t xml:space="preserve">s </w:t>
      </w:r>
      <w:r w:rsidR="00866240" w:rsidRPr="00866240">
        <w:rPr>
          <w:rFonts w:ascii="Arial" w:hAnsi="Arial" w:cs="Arial"/>
        </w:rPr>
        <w:t>can raise structural fiber and reduce protein in forage species</w:t>
      </w:r>
      <w:r w:rsidR="00E57F18">
        <w:rPr>
          <w:rFonts w:ascii="Arial" w:hAnsi="Arial" w:cs="Arial"/>
        </w:rPr>
        <w:t xml:space="preserve">. </w:t>
      </w:r>
    </w:p>
    <w:p w14:paraId="06AD5269" w14:textId="2B250310" w:rsidR="00B16182" w:rsidRPr="00B16182" w:rsidRDefault="00B16182" w:rsidP="00866240">
      <w:pPr>
        <w:pStyle w:val="Body"/>
        <w:rPr>
          <w:rFonts w:ascii="Arial" w:hAnsi="Arial" w:cs="Arial"/>
          <w:b/>
          <w:bCs/>
          <w:sz w:val="22"/>
          <w:szCs w:val="22"/>
        </w:rPr>
      </w:pPr>
      <w:r w:rsidRPr="00B16182">
        <w:rPr>
          <w:rFonts w:ascii="Arial" w:hAnsi="Arial" w:cs="Arial"/>
          <w:b/>
          <w:bCs/>
          <w:sz w:val="22"/>
          <w:szCs w:val="22"/>
        </w:rPr>
        <w:t>CONCLUSION</w:t>
      </w:r>
    </w:p>
    <w:p w14:paraId="440EA6DD" w14:textId="654FE5EF" w:rsidR="00B16182" w:rsidRPr="00FB3A86" w:rsidRDefault="00B16182" w:rsidP="00B16182">
      <w:pPr>
        <w:pStyle w:val="Body"/>
        <w:spacing w:after="0"/>
        <w:rPr>
          <w:rFonts w:ascii="Arial" w:hAnsi="Arial" w:cs="Arial"/>
        </w:rPr>
      </w:pPr>
      <w:r w:rsidRPr="00B16182">
        <w:rPr>
          <w:rFonts w:ascii="Arial" w:hAnsi="Arial" w:cs="Arial"/>
        </w:rPr>
        <w:t>Climate change marked by rising temperature and CO</w:t>
      </w:r>
      <w:r w:rsidRPr="00B16182">
        <w:rPr>
          <w:rFonts w:ascii="Cambria Math" w:hAnsi="Cambria Math" w:cs="Cambria Math"/>
        </w:rPr>
        <w:t>₂</w:t>
      </w:r>
      <w:r w:rsidRPr="00B16182">
        <w:rPr>
          <w:rFonts w:ascii="Arial" w:hAnsi="Arial" w:cs="Arial"/>
        </w:rPr>
        <w:t xml:space="preserve"> levels poses a major threat to global agriculture. Fodder cowpea (Vigna unguiculata (L.) Walp.) is a promising climate-resilient legume capable of sustaining forage production under such stress conditions. In this study, thirty genotypes were evaluated under field and polyhouse environments simulating heat and CO</w:t>
      </w:r>
      <w:r w:rsidRPr="00B16182">
        <w:rPr>
          <w:rFonts w:ascii="Cambria Math" w:hAnsi="Cambria Math" w:cs="Cambria Math"/>
        </w:rPr>
        <w:t>₂</w:t>
      </w:r>
      <w:r w:rsidRPr="00B16182">
        <w:rPr>
          <w:rFonts w:ascii="Arial" w:hAnsi="Arial" w:cs="Arial"/>
        </w:rPr>
        <w:t xml:space="preserve"> stress. Significant genotypic variation was observed for biometric, physiological and quality traits indicating ample scope for selection and improvement. The polyhouse environment generally enhanced growth and physiological efficiency, while field conditions favoured higher crude protein content. A few genotypes exhibited stable and superior performance across environments, reflecting their adaptability and tolerance to combined heat and CO</w:t>
      </w:r>
      <w:r w:rsidRPr="00B16182">
        <w:rPr>
          <w:rFonts w:ascii="Cambria Math" w:hAnsi="Cambria Math" w:cs="Cambria Math"/>
        </w:rPr>
        <w:t>₂</w:t>
      </w:r>
      <w:r w:rsidRPr="00B16182">
        <w:rPr>
          <w:rFonts w:ascii="Arial" w:hAnsi="Arial" w:cs="Arial"/>
        </w:rPr>
        <w:t xml:space="preserve"> stress. These genotypes serve as potential breeding resources for developing climate-resilient fodder cowpea cultivars suited for future climatic scenarios.</w:t>
      </w:r>
    </w:p>
    <w:p w14:paraId="6477B395" w14:textId="22F58B5F" w:rsidR="00790ADA" w:rsidRPr="00FB3A86" w:rsidRDefault="00790ADA" w:rsidP="00B16182">
      <w:pPr>
        <w:pStyle w:val="ConcHead"/>
        <w:spacing w:after="0"/>
        <w:jc w:val="both"/>
        <w:rPr>
          <w:rFonts w:ascii="Arial" w:hAnsi="Arial" w:cs="Arial"/>
        </w:rPr>
      </w:pPr>
    </w:p>
    <w:p w14:paraId="5D13842B" w14:textId="44134AEA" w:rsidR="00860000" w:rsidRDefault="00860000" w:rsidP="00441B6F">
      <w:pPr>
        <w:pStyle w:val="ReferHead"/>
        <w:spacing w:after="0"/>
        <w:jc w:val="both"/>
        <w:rPr>
          <w:rFonts w:ascii="Arial" w:hAnsi="Arial" w:cs="Arial"/>
        </w:rPr>
      </w:pPr>
    </w:p>
    <w:p w14:paraId="20E822B6" w14:textId="048861FC" w:rsidR="006950A1" w:rsidRDefault="006950A1" w:rsidP="00441B6F">
      <w:pPr>
        <w:pStyle w:val="ReferHead"/>
        <w:spacing w:after="0"/>
        <w:jc w:val="both"/>
        <w:rPr>
          <w:rFonts w:ascii="Arial" w:hAnsi="Arial" w:cs="Arial"/>
        </w:rPr>
      </w:pPr>
    </w:p>
    <w:p w14:paraId="15CCD23A" w14:textId="77777777" w:rsidR="006950A1" w:rsidRDefault="006950A1" w:rsidP="006950A1">
      <w:pPr>
        <w:rPr>
          <w:rFonts w:ascii="Calibri" w:eastAsia="Calibri" w:hAnsi="Calibri"/>
          <w:kern w:val="2"/>
        </w:rPr>
      </w:pPr>
      <w:bookmarkStart w:id="3" w:name="_Hlk192511329"/>
      <w:bookmarkStart w:id="4" w:name="_Hlk187485061"/>
      <w:bookmarkStart w:id="5" w:name="_Hlk194655630"/>
      <w:bookmarkStart w:id="6" w:name="_Hlk209008097"/>
      <w:bookmarkStart w:id="7" w:name="_Hlk211597560"/>
    </w:p>
    <w:p w14:paraId="6DA9C493" w14:textId="77777777" w:rsidR="006950A1" w:rsidRPr="005538AD" w:rsidRDefault="006950A1" w:rsidP="005538AD">
      <w:pPr>
        <w:jc w:val="both"/>
        <w:rPr>
          <w:rFonts w:ascii="Calibri" w:eastAsia="Calibri" w:hAnsi="Calibri"/>
          <w:b/>
          <w:bCs/>
          <w:kern w:val="2"/>
        </w:rPr>
      </w:pPr>
      <w:bookmarkStart w:id="8" w:name="_Hlk204003461"/>
      <w:bookmarkStart w:id="9" w:name="_Hlk209007716"/>
      <w:bookmarkEnd w:id="3"/>
      <w:bookmarkEnd w:id="4"/>
      <w:bookmarkEnd w:id="5"/>
      <w:bookmarkEnd w:id="6"/>
      <w:r w:rsidRPr="005538AD">
        <w:rPr>
          <w:rFonts w:ascii="Calibri" w:eastAsia="Calibri" w:hAnsi="Calibri"/>
          <w:b/>
          <w:bCs/>
          <w:kern w:val="2"/>
        </w:rPr>
        <w:t>Disclaimer (Artificial intelligence)</w:t>
      </w:r>
    </w:p>
    <w:p w14:paraId="24E71C83" w14:textId="305CA73A" w:rsidR="006950A1" w:rsidRPr="00E57F18" w:rsidRDefault="006950A1" w:rsidP="005538AD">
      <w:pPr>
        <w:jc w:val="both"/>
        <w:rPr>
          <w:rFonts w:ascii="Calibri" w:eastAsia="Calibri" w:hAnsi="Calibri"/>
          <w:kern w:val="2"/>
        </w:rPr>
      </w:pPr>
    </w:p>
    <w:p w14:paraId="513D90A6" w14:textId="78B1BF90" w:rsidR="006950A1" w:rsidRPr="00E57F18" w:rsidRDefault="005538AD" w:rsidP="005538AD">
      <w:pPr>
        <w:jc w:val="both"/>
        <w:rPr>
          <w:rFonts w:ascii="Calibri" w:eastAsia="Calibri" w:hAnsi="Calibri"/>
          <w:kern w:val="2"/>
        </w:rPr>
      </w:pPr>
      <w:r w:rsidRPr="005538AD">
        <w:rPr>
          <w:rFonts w:ascii="Calibri" w:eastAsia="Calibri" w:hAnsi="Calibri"/>
          <w:kern w:val="2"/>
        </w:rPr>
        <w:t>The author(s) hereby declare that Grammarly was used to enhance the readability and maintain the academic tone of the article. Following the use of this tool/service, the author(s) thoroughly reviewed and edited the content as necessary and take full responsibility for the final version of the published article.</w:t>
      </w:r>
      <w:r w:rsidR="006950A1" w:rsidRPr="00E57F18">
        <w:rPr>
          <w:rFonts w:ascii="Calibri" w:eastAsia="Calibri" w:hAnsi="Calibri"/>
          <w:kern w:val="2"/>
        </w:rPr>
        <w:t xml:space="preserve"> </w:t>
      </w:r>
    </w:p>
    <w:bookmarkEnd w:id="7"/>
    <w:bookmarkEnd w:id="8"/>
    <w:bookmarkEnd w:id="9"/>
    <w:p w14:paraId="7F23A70E" w14:textId="77777777" w:rsidR="006950A1" w:rsidRDefault="006950A1" w:rsidP="00441B6F">
      <w:pPr>
        <w:pStyle w:val="ReferHead"/>
        <w:spacing w:after="0"/>
        <w:jc w:val="both"/>
        <w:rPr>
          <w:rFonts w:ascii="Arial" w:hAnsi="Arial" w:cs="Arial"/>
        </w:rPr>
      </w:pPr>
    </w:p>
    <w:p w14:paraId="50C2606E" w14:textId="6285202C" w:rsidR="00B01FCD" w:rsidRDefault="00B01FCD" w:rsidP="00441B6F">
      <w:pPr>
        <w:pStyle w:val="ReferHead"/>
        <w:spacing w:after="0"/>
        <w:jc w:val="both"/>
        <w:rPr>
          <w:rFonts w:ascii="Arial" w:hAnsi="Arial" w:cs="Arial"/>
        </w:rPr>
      </w:pPr>
      <w:r w:rsidRPr="00FB3A86">
        <w:rPr>
          <w:rFonts w:ascii="Arial" w:hAnsi="Arial" w:cs="Arial"/>
        </w:rPr>
        <w:t>References</w:t>
      </w:r>
    </w:p>
    <w:p w14:paraId="2F441751" w14:textId="32DF7AB0" w:rsidR="00481F0E" w:rsidRDefault="00481F0E" w:rsidP="00481F0E">
      <w:pPr>
        <w:pStyle w:val="Body"/>
        <w:spacing w:after="0"/>
        <w:ind w:left="720" w:hanging="720"/>
        <w:rPr>
          <w:rFonts w:ascii="Arial" w:hAnsi="Arial" w:cs="Arial"/>
        </w:rPr>
      </w:pPr>
      <w:r w:rsidRPr="00481F0E">
        <w:rPr>
          <w:rFonts w:ascii="Arial" w:hAnsi="Arial" w:cs="Arial"/>
        </w:rPr>
        <w:t>Adarsh Kumar, M., Prakash, K., Praveen, H. G., Shashidhara, K. S., Manjunatha, H., Kanavi, M. S. P., Bhairappanavar, S. T., &amp; Abhishree, R. (2024). Evaluation of thermo-tolerant cowpea genotypes under field conditions. Journal of Advances in Biology &amp; Biotechnology, 27(11), 128–137.</w:t>
      </w:r>
    </w:p>
    <w:p w14:paraId="34FFC7A6" w14:textId="43B6C168" w:rsidR="007504D1" w:rsidRDefault="007504D1" w:rsidP="00481F0E">
      <w:pPr>
        <w:pStyle w:val="Body"/>
        <w:spacing w:after="0"/>
        <w:ind w:left="720" w:hanging="720"/>
        <w:rPr>
          <w:rFonts w:ascii="Arial" w:hAnsi="Arial" w:cs="Arial"/>
        </w:rPr>
      </w:pPr>
      <w:r w:rsidRPr="007504D1">
        <w:rPr>
          <w:rFonts w:ascii="Arial" w:hAnsi="Arial" w:cs="Arial"/>
        </w:rPr>
        <w:t>Adireddy, S., Rao, P., &amp; Rani, P. L. (2024). Enhanced photosynthetic resilience in cowpea under elevated CO</w:t>
      </w:r>
      <w:r w:rsidRPr="007504D1">
        <w:rPr>
          <w:rFonts w:ascii="Cambria Math" w:hAnsi="Cambria Math" w:cs="Cambria Math"/>
        </w:rPr>
        <w:t>₂</w:t>
      </w:r>
      <w:r w:rsidRPr="007504D1">
        <w:rPr>
          <w:rFonts w:ascii="Arial" w:hAnsi="Arial" w:cs="Arial"/>
        </w:rPr>
        <w:t xml:space="preserve">: Evidence from chlorophyll stability and pigment dynamics. Environmental and Experimental Botany, 214, 105653. </w:t>
      </w:r>
    </w:p>
    <w:p w14:paraId="59CC5F40" w14:textId="77777777" w:rsidR="00481F0E" w:rsidRDefault="00481F0E" w:rsidP="00481F0E">
      <w:pPr>
        <w:pStyle w:val="Body"/>
        <w:spacing w:after="0"/>
        <w:ind w:left="720" w:hanging="720"/>
        <w:rPr>
          <w:rFonts w:ascii="Arial" w:hAnsi="Arial" w:cs="Arial"/>
        </w:rPr>
      </w:pPr>
      <w:r w:rsidRPr="00990A69">
        <w:rPr>
          <w:rFonts w:ascii="Arial" w:hAnsi="Arial" w:cs="Arial"/>
        </w:rPr>
        <w:t>Akinwale, R. O., Odiyi, A. C., &amp; Akinyele, B. O. (2019). Antioxidant enzyme activities and stress tolerance in cowpea [Vigna unguiculata (L.) Walp.] under heat stress conditions. Legume Research, 42(6), 765–771.</w:t>
      </w:r>
    </w:p>
    <w:p w14:paraId="106F0E78" w14:textId="77777777" w:rsidR="00481F0E" w:rsidRDefault="00481F0E" w:rsidP="00481F0E">
      <w:pPr>
        <w:pStyle w:val="Body"/>
        <w:spacing w:after="0"/>
        <w:ind w:left="720" w:hanging="720"/>
        <w:rPr>
          <w:rFonts w:ascii="Arial" w:hAnsi="Arial" w:cs="Arial"/>
        </w:rPr>
      </w:pPr>
      <w:r w:rsidRPr="00210CE8">
        <w:rPr>
          <w:rFonts w:ascii="Arial" w:hAnsi="Arial" w:cs="Arial"/>
        </w:rPr>
        <w:t>Angelotti, F., Barbosa, L. G., Barros, J. R. A., &amp; Santos, C. a. F. D. (2020b). Cowpea development under different temperatures and carbon dioxide concentrations. Pesquisa Agropecuária Tropical, 50.</w:t>
      </w:r>
    </w:p>
    <w:p w14:paraId="5FB074F8" w14:textId="0F8437BF" w:rsidR="007E44B4" w:rsidRDefault="007E44B4" w:rsidP="00481F0E">
      <w:pPr>
        <w:pStyle w:val="Body"/>
        <w:spacing w:after="0"/>
        <w:ind w:left="720" w:hanging="720"/>
        <w:rPr>
          <w:rFonts w:ascii="Arial" w:hAnsi="Arial" w:cs="Arial"/>
        </w:rPr>
      </w:pPr>
      <w:r w:rsidRPr="00143ED4">
        <w:t xml:space="preserve">Bello, S. K., Patel, J. S., &amp; Sharma, P. (2023). Physiological and biochemical responses of bell pepper seedlings under high temperature stress. </w:t>
      </w:r>
      <w:r w:rsidRPr="00143ED4">
        <w:rPr>
          <w:i/>
          <w:iCs/>
        </w:rPr>
        <w:t>Scientia Horticulturae, 307</w:t>
      </w:r>
      <w:r w:rsidRPr="00143ED4">
        <w:t xml:space="preserve">, 111514. </w:t>
      </w:r>
    </w:p>
    <w:p w14:paraId="666148C4" w14:textId="77777777" w:rsidR="00481F0E" w:rsidRDefault="00481F0E" w:rsidP="00481F0E">
      <w:pPr>
        <w:pStyle w:val="Body"/>
        <w:spacing w:after="0"/>
        <w:ind w:left="720" w:hanging="720"/>
        <w:rPr>
          <w:rFonts w:ascii="Arial" w:hAnsi="Arial" w:cs="Arial"/>
        </w:rPr>
      </w:pPr>
      <w:r w:rsidRPr="00210CE8">
        <w:rPr>
          <w:rFonts w:ascii="Arial" w:hAnsi="Arial" w:cs="Arial"/>
        </w:rPr>
        <w:t>Carvalho, M., Lino-Neto, T., Rosa, E., Carnide, V. (2017). Cowpea: a legume crop for a challenging environment. Journal of the Science of Food and Agriculture. 97(13):4273–4284.</w:t>
      </w:r>
    </w:p>
    <w:p w14:paraId="3D3161F1" w14:textId="77777777" w:rsidR="00481F0E" w:rsidRDefault="00481F0E" w:rsidP="00481F0E">
      <w:pPr>
        <w:pStyle w:val="Body"/>
        <w:spacing w:after="0"/>
        <w:ind w:left="720" w:hanging="720"/>
        <w:rPr>
          <w:rFonts w:ascii="Arial" w:hAnsi="Arial" w:cs="Arial"/>
        </w:rPr>
      </w:pPr>
      <w:r w:rsidRPr="00210CE8">
        <w:rPr>
          <w:rFonts w:ascii="Arial" w:hAnsi="Arial" w:cs="Arial"/>
        </w:rPr>
        <w:t xml:space="preserve">De Jesús-Pires, C., Ferreira-Neto, J. R. C., De Oliveira-Silva, R. L., Da Silva, J. B., Da Silva, M. D., Da Costa, A. F., &amp; Benko-Iseppon, A. M. (2024). Genome-Wide identification and stress responses of Cowpea thaumatin-like proteins: a Comprehensive analysis. Plants, 13(22), 3245. </w:t>
      </w:r>
    </w:p>
    <w:p w14:paraId="2A87331E" w14:textId="77777777" w:rsidR="00481F0E" w:rsidRDefault="00481F0E" w:rsidP="00481F0E">
      <w:pPr>
        <w:pStyle w:val="Body"/>
        <w:spacing w:after="0"/>
        <w:ind w:left="720" w:hanging="720"/>
        <w:rPr>
          <w:rFonts w:ascii="Arial" w:hAnsi="Arial" w:cs="Arial"/>
        </w:rPr>
      </w:pPr>
      <w:r w:rsidRPr="00990A69">
        <w:rPr>
          <w:rFonts w:ascii="Arial" w:hAnsi="Arial" w:cs="Arial"/>
        </w:rPr>
        <w:t>Dwivedi, S. K., Kumar, S., Mishra, J. S., Prakash, V., Rao, K. K., Bhatt, B. P., &amp; Srivastava, A. K. (2022). Interactive effect of elevated [CO2] and temperature on the photosynthetic process, anti</w:t>
      </w:r>
      <w:r w:rsidRPr="00990A69">
        <w:rPr>
          <w:rFonts w:ascii="Cambria Math" w:hAnsi="Cambria Math" w:cs="Cambria Math"/>
        </w:rPr>
        <w:t>‐</w:t>
      </w:r>
      <w:r w:rsidRPr="00990A69">
        <w:rPr>
          <w:rFonts w:ascii="Arial" w:hAnsi="Arial" w:cs="Arial"/>
        </w:rPr>
        <w:t xml:space="preserve">oxidative properties, and grain yield of rice. Journal of Agronomy and Crop Science, 208(3), 384–393. </w:t>
      </w:r>
    </w:p>
    <w:p w14:paraId="1FC0D433" w14:textId="77777777" w:rsidR="00481F0E" w:rsidRDefault="00481F0E" w:rsidP="00481F0E">
      <w:pPr>
        <w:pStyle w:val="Body"/>
        <w:ind w:left="720" w:hanging="720"/>
        <w:rPr>
          <w:rFonts w:ascii="Arial" w:hAnsi="Arial" w:cs="Arial"/>
        </w:rPr>
      </w:pPr>
      <w:r w:rsidRPr="00D324ED">
        <w:rPr>
          <w:rFonts w:ascii="Arial" w:hAnsi="Arial" w:cs="Arial"/>
        </w:rPr>
        <w:t xml:space="preserve">Hall, A. E. (1992). Breeding cowpea for tolerance to environmental stresses. Plant Breeding Reviews, 10, 117–162. </w:t>
      </w:r>
    </w:p>
    <w:p w14:paraId="43997B40" w14:textId="77777777" w:rsidR="00481F0E" w:rsidRDefault="00481F0E" w:rsidP="00481F0E">
      <w:pPr>
        <w:pStyle w:val="Body"/>
        <w:spacing w:after="0"/>
        <w:ind w:left="720" w:hanging="720"/>
        <w:rPr>
          <w:rFonts w:ascii="Arial" w:hAnsi="Arial" w:cs="Arial"/>
        </w:rPr>
      </w:pPr>
      <w:r>
        <w:rPr>
          <w:rFonts w:ascii="Arial" w:hAnsi="Arial" w:cs="Arial"/>
        </w:rPr>
        <w:t>I</w:t>
      </w:r>
      <w:r w:rsidRPr="003F6C49">
        <w:rPr>
          <w:rFonts w:ascii="Arial" w:hAnsi="Arial" w:cs="Arial"/>
        </w:rPr>
        <w:t>ntergovernmental Panel on Climate Change (IPCC). (2021). Climate Change 2021: The Physical Science Basis. Contribution of Working Group I to the Sixth Assessment Report of the Intergovernmental Panel on Climate Change. Cambridge University Press, Cambridge, United Kingdom and New York, NY, USA, 1–3949.</w:t>
      </w:r>
    </w:p>
    <w:p w14:paraId="721A0E1A" w14:textId="77777777" w:rsidR="00481F0E" w:rsidRDefault="00481F0E" w:rsidP="00481F0E">
      <w:pPr>
        <w:pStyle w:val="Body"/>
        <w:spacing w:after="0"/>
        <w:ind w:left="720" w:hanging="720"/>
        <w:rPr>
          <w:rFonts w:ascii="Arial" w:hAnsi="Arial" w:cs="Arial"/>
        </w:rPr>
      </w:pPr>
      <w:r w:rsidRPr="00190BB6">
        <w:rPr>
          <w:rFonts w:ascii="Arial" w:hAnsi="Arial" w:cs="Arial"/>
        </w:rPr>
        <w:t>Jackson, M.L. 1973. Soil Chemical analysis. Prentice Hall of India Pvt. Ltd., New Delhi.</w:t>
      </w:r>
    </w:p>
    <w:p w14:paraId="6C9C0310" w14:textId="77777777" w:rsidR="00481F0E" w:rsidRDefault="00481F0E" w:rsidP="00481F0E">
      <w:pPr>
        <w:pStyle w:val="Body"/>
        <w:ind w:left="720" w:hanging="720"/>
        <w:rPr>
          <w:rFonts w:ascii="Arial" w:hAnsi="Arial" w:cs="Arial"/>
        </w:rPr>
      </w:pPr>
      <w:r w:rsidRPr="00190BB6">
        <w:rPr>
          <w:rFonts w:ascii="Arial" w:hAnsi="Arial" w:cs="Arial"/>
        </w:rPr>
        <w:t xml:space="preserve">Kanwar, J.S. and Chopra, S.L. 1976. Analytical Agricultural Chemistry. Kalyani Publishers, Ludhiana, New Delhi. p.217. </w:t>
      </w:r>
    </w:p>
    <w:p w14:paraId="382E7453" w14:textId="77777777" w:rsidR="00481F0E" w:rsidRDefault="00481F0E" w:rsidP="00481F0E">
      <w:pPr>
        <w:pStyle w:val="Body"/>
        <w:spacing w:after="0"/>
        <w:ind w:left="720" w:hanging="720"/>
        <w:rPr>
          <w:rFonts w:ascii="Arial" w:hAnsi="Arial" w:cs="Arial"/>
        </w:rPr>
      </w:pPr>
      <w:r w:rsidRPr="007F435F">
        <w:rPr>
          <w:rFonts w:ascii="Arial" w:hAnsi="Arial" w:cs="Arial"/>
        </w:rPr>
        <w:t>LIN Bi-Ying, ZHANG Yu, LIN Yi-Zhang, XIAO Zhao. (2011). Effects of CO</w:t>
      </w:r>
      <w:r w:rsidRPr="007F435F">
        <w:rPr>
          <w:rFonts w:ascii="Cambria Math" w:hAnsi="Cambria Math" w:cs="Cambria Math"/>
        </w:rPr>
        <w:t>₂</w:t>
      </w:r>
      <w:r w:rsidRPr="007F435F">
        <w:rPr>
          <w:rFonts w:ascii="Arial" w:hAnsi="Arial" w:cs="Arial"/>
        </w:rPr>
        <w:t xml:space="preserve"> concentration on photosynthetic characteristics and physiological and biochemical indices of cowpea. Journal of Plant Nutrition and Fertilizers, 17(4), 964–969.</w:t>
      </w:r>
    </w:p>
    <w:p w14:paraId="68360EC8" w14:textId="78201EE7" w:rsidR="00EE5DE3" w:rsidRPr="00EE5DE3" w:rsidRDefault="00EE5DE3" w:rsidP="00EE5DE3">
      <w:pPr>
        <w:pStyle w:val="Body"/>
        <w:ind w:left="720" w:hanging="720"/>
        <w:rPr>
          <w:rFonts w:ascii="Arial" w:hAnsi="Arial" w:cs="Arial"/>
          <w:lang w:val="en-IN"/>
        </w:rPr>
      </w:pPr>
      <w:r w:rsidRPr="00EE5DE3">
        <w:rPr>
          <w:rFonts w:ascii="Arial" w:hAnsi="Arial" w:cs="Arial"/>
          <w:lang w:val="en-IN"/>
        </w:rPr>
        <w:t>Mahmood, S., A. Wahid, F. Javed and S.M.A. Basra</w:t>
      </w:r>
      <w:r>
        <w:rPr>
          <w:rFonts w:ascii="Arial" w:hAnsi="Arial" w:cs="Arial"/>
          <w:lang w:val="en-IN"/>
        </w:rPr>
        <w:t>. (</w:t>
      </w:r>
      <w:r w:rsidRPr="00EE5DE3">
        <w:rPr>
          <w:rFonts w:ascii="Arial" w:hAnsi="Arial" w:cs="Arial"/>
          <w:lang w:val="en-IN"/>
        </w:rPr>
        <w:t>2010</w:t>
      </w:r>
      <w:r>
        <w:rPr>
          <w:rFonts w:ascii="Arial" w:hAnsi="Arial" w:cs="Arial"/>
          <w:lang w:val="en-IN"/>
        </w:rPr>
        <w:t>)</w:t>
      </w:r>
      <w:r w:rsidRPr="00EE5DE3">
        <w:rPr>
          <w:rFonts w:ascii="Arial" w:hAnsi="Arial" w:cs="Arial"/>
          <w:lang w:val="en-IN"/>
        </w:rPr>
        <w:t>. Heat stress effects on forage quality characteristics of maize (Zea mays) cultivars. Int. J. Agric. Biol., 12: 701–706</w:t>
      </w:r>
      <w:r>
        <w:rPr>
          <w:rFonts w:ascii="Arial" w:hAnsi="Arial" w:cs="Arial"/>
          <w:lang w:val="en-IN"/>
        </w:rPr>
        <w:t>.</w:t>
      </w:r>
    </w:p>
    <w:p w14:paraId="69316333" w14:textId="77777777" w:rsidR="00481F0E" w:rsidRDefault="00481F0E" w:rsidP="00481F0E">
      <w:pPr>
        <w:pStyle w:val="Body"/>
        <w:spacing w:after="0"/>
        <w:ind w:left="720" w:hanging="720"/>
        <w:rPr>
          <w:rFonts w:ascii="Arial" w:hAnsi="Arial" w:cs="Arial"/>
        </w:rPr>
      </w:pPr>
      <w:r>
        <w:rPr>
          <w:rFonts w:ascii="Arial" w:hAnsi="Arial" w:cs="Arial"/>
        </w:rPr>
        <w:t>P</w:t>
      </w:r>
      <w:r w:rsidRPr="003F6C49">
        <w:rPr>
          <w:rFonts w:ascii="Arial" w:hAnsi="Arial" w:cs="Arial"/>
        </w:rPr>
        <w:t xml:space="preserve">riyanka, P., Kokilavani, S., Geethalakshmi, V., Ramanathan, S., &amp; Kalarani, M. K. (2021). Effect of plant growth regulators on cowpea [Vigna unguiculata (L.) Walp] productivity </w:t>
      </w:r>
      <w:r w:rsidRPr="003F6C49">
        <w:rPr>
          <w:rFonts w:ascii="Arial" w:hAnsi="Arial" w:cs="Arial"/>
        </w:rPr>
        <w:lastRenderedPageBreak/>
        <w:t>under high temperature stress. International Journal of Environment and Climate Change, 130–135.</w:t>
      </w:r>
    </w:p>
    <w:p w14:paraId="7C16498B" w14:textId="48F8CED8" w:rsidR="00E57F18" w:rsidRDefault="00E57F18" w:rsidP="00481F0E">
      <w:pPr>
        <w:pStyle w:val="Body"/>
        <w:spacing w:after="0"/>
        <w:ind w:left="720" w:hanging="720"/>
        <w:rPr>
          <w:rFonts w:ascii="Arial" w:hAnsi="Arial" w:cs="Arial"/>
        </w:rPr>
      </w:pPr>
      <w:r w:rsidRPr="00E57F18">
        <w:rPr>
          <w:rFonts w:ascii="Arial" w:hAnsi="Arial" w:cs="Arial"/>
          <w:lang w:val="en-IN"/>
        </w:rPr>
        <w:t>Ramanathan, G. M., Kokilavani, S., Djanaguiraman, M., Manuel, I. R., Chandrakumar, K., &amp; Mohanapriya, R. (2023). Growth and yield response of winter blackgram (</w:t>
      </w:r>
      <w:r w:rsidRPr="00E57F18">
        <w:rPr>
          <w:rFonts w:ascii="Arial" w:hAnsi="Arial" w:cs="Arial"/>
          <w:i/>
          <w:iCs/>
          <w:lang w:val="en-IN"/>
        </w:rPr>
        <w:t>Vigna mungo</w:t>
      </w:r>
      <w:r w:rsidRPr="00E57F18">
        <w:rPr>
          <w:rFonts w:ascii="Arial" w:hAnsi="Arial" w:cs="Arial"/>
          <w:lang w:val="en-IN"/>
        </w:rPr>
        <w:t>) under high temperature and elevated CO2 conditions. </w:t>
      </w:r>
      <w:r w:rsidRPr="00E57F18">
        <w:rPr>
          <w:rFonts w:ascii="Arial" w:hAnsi="Arial" w:cs="Arial"/>
          <w:i/>
          <w:iCs/>
          <w:lang w:val="en-IN"/>
        </w:rPr>
        <w:t>Journal of Applied and Natural Science</w:t>
      </w:r>
      <w:r w:rsidRPr="00E57F18">
        <w:rPr>
          <w:rFonts w:ascii="Arial" w:hAnsi="Arial" w:cs="Arial"/>
          <w:lang w:val="en-IN"/>
        </w:rPr>
        <w:t xml:space="preserve">. </w:t>
      </w:r>
    </w:p>
    <w:p w14:paraId="26B78D92" w14:textId="77777777" w:rsidR="00481F0E" w:rsidRDefault="00481F0E" w:rsidP="00481F0E">
      <w:pPr>
        <w:pStyle w:val="Body"/>
        <w:spacing w:after="0"/>
        <w:ind w:left="720" w:hanging="720"/>
        <w:rPr>
          <w:rFonts w:ascii="Arial" w:hAnsi="Arial" w:cs="Arial"/>
        </w:rPr>
      </w:pPr>
      <w:r w:rsidRPr="00866240">
        <w:rPr>
          <w:rFonts w:ascii="Arial" w:hAnsi="Arial" w:cs="Arial"/>
        </w:rPr>
        <w:t xml:space="preserve">Rao, M. S., Shaila, O., Sreelakshmi, P., Vennila, S., Vanaja, M., Rao, A. V. M. S., Maheswari, M., &amp; Reddy, K. S. (2018). Tritrophic Interactions of Cowpea [Vigna unguiculata subsp unguiculata(L.)], Aphids [Aphis craccivora (Koch)] and Coccinellids [Menochilus sexmaculatus (Fab.)] under eCO2 and eTemp. Journal of Asia-Pacific Entomology, 21(2), 531–537. </w:t>
      </w:r>
    </w:p>
    <w:p w14:paraId="6BB55492" w14:textId="40DD48DC" w:rsidR="00FB39B9" w:rsidRDefault="00FB39B9" w:rsidP="00481F0E">
      <w:pPr>
        <w:pStyle w:val="Body"/>
        <w:spacing w:after="0"/>
        <w:ind w:left="720" w:hanging="720"/>
        <w:rPr>
          <w:rFonts w:ascii="Arial" w:hAnsi="Arial" w:cs="Arial"/>
        </w:rPr>
      </w:pPr>
      <w:r>
        <w:rPr>
          <w:rFonts w:ascii="Arial" w:hAnsi="Arial" w:cs="Arial"/>
        </w:rPr>
        <w:t>Sadasivam, S. and Manickam, A. 19</w:t>
      </w:r>
      <w:r w:rsidR="00CC2E9E">
        <w:rPr>
          <w:rFonts w:ascii="Arial" w:hAnsi="Arial" w:cs="Arial"/>
        </w:rPr>
        <w:t>9</w:t>
      </w:r>
      <w:r>
        <w:rPr>
          <w:rFonts w:ascii="Arial" w:hAnsi="Arial" w:cs="Arial"/>
        </w:rPr>
        <w:t>6. Biochemical methods (2</w:t>
      </w:r>
      <w:r w:rsidRPr="00FB39B9">
        <w:rPr>
          <w:rFonts w:ascii="Arial" w:hAnsi="Arial" w:cs="Arial"/>
          <w:vertAlign w:val="superscript"/>
        </w:rPr>
        <w:t>nd</w:t>
      </w:r>
      <w:r>
        <w:rPr>
          <w:rFonts w:ascii="Arial" w:hAnsi="Arial" w:cs="Arial"/>
        </w:rPr>
        <w:t xml:space="preserve"> edition) New age International Publishers, New Delhi, 256p.</w:t>
      </w:r>
    </w:p>
    <w:p w14:paraId="422E6657" w14:textId="77806073" w:rsidR="007E44B4" w:rsidRDefault="007E44B4" w:rsidP="00481F0E">
      <w:pPr>
        <w:pStyle w:val="Body"/>
        <w:spacing w:after="0"/>
        <w:ind w:left="720" w:hanging="720"/>
        <w:rPr>
          <w:rFonts w:ascii="Arial" w:hAnsi="Arial" w:cs="Arial"/>
        </w:rPr>
      </w:pPr>
      <w:r w:rsidRPr="007E44B4">
        <w:rPr>
          <w:rFonts w:ascii="Arial" w:hAnsi="Arial" w:cs="Arial"/>
        </w:rPr>
        <w:t>Selinga, T. I., Maseko, S. T., Gabier, H., Rafudeen, M. S., Muasya, A. M., Crespo, O., Ogola, J. B. O., Valentine, A. J., Ottosen, C., Rosenqvist, E., &amp; Chimphango, S. B. M. (2022). Regulation and physiological function of proteins for heat tolerance in cowpea (Vigna unguiculata) genotypes under controlled and field conditions. </w:t>
      </w:r>
      <w:r w:rsidRPr="007E44B4">
        <w:rPr>
          <w:rFonts w:ascii="Arial" w:hAnsi="Arial" w:cs="Arial"/>
          <w:i/>
          <w:iCs/>
        </w:rPr>
        <w:t>Frontiers in Plant Science</w:t>
      </w:r>
      <w:r w:rsidRPr="007E44B4">
        <w:rPr>
          <w:rFonts w:ascii="Arial" w:hAnsi="Arial" w:cs="Arial"/>
        </w:rPr>
        <w:t>, </w:t>
      </w:r>
      <w:r w:rsidRPr="007E44B4">
        <w:rPr>
          <w:rFonts w:ascii="Arial" w:hAnsi="Arial" w:cs="Arial"/>
          <w:i/>
          <w:iCs/>
        </w:rPr>
        <w:t>13</w:t>
      </w:r>
      <w:r w:rsidRPr="007E44B4">
        <w:rPr>
          <w:rFonts w:ascii="Arial" w:hAnsi="Arial" w:cs="Arial"/>
        </w:rPr>
        <w:t>.</w:t>
      </w:r>
    </w:p>
    <w:p w14:paraId="6ABEDF0C" w14:textId="77777777" w:rsidR="00481F0E" w:rsidRDefault="00481F0E" w:rsidP="00481F0E">
      <w:pPr>
        <w:pStyle w:val="Body"/>
        <w:ind w:left="720" w:hanging="720"/>
        <w:rPr>
          <w:rFonts w:ascii="Arial" w:hAnsi="Arial" w:cs="Arial"/>
        </w:rPr>
      </w:pPr>
      <w:r w:rsidRPr="00712956">
        <w:rPr>
          <w:rFonts w:ascii="Arial" w:hAnsi="Arial" w:cs="Arial"/>
        </w:rPr>
        <w:t>Shamshiri, Redmond &amp; Jones, James &amp; Thorp, Kelly &amp; Ahmad, Desa &amp; Che Man, Hasfalina &amp; Taheri, Sima. (2018). Review of optimum temperature, humidity, and vapour pressure deficit for microclimate evaluation and control in greenhouse cultivation of tomato: A review. International Agrophysics. 32. 287-302.</w:t>
      </w:r>
    </w:p>
    <w:p w14:paraId="377FB45D" w14:textId="77777777" w:rsidR="00481F0E" w:rsidRDefault="00481F0E" w:rsidP="00481F0E">
      <w:pPr>
        <w:pStyle w:val="Body"/>
        <w:spacing w:after="0"/>
        <w:ind w:left="720" w:hanging="720"/>
        <w:rPr>
          <w:rFonts w:ascii="Arial" w:hAnsi="Arial" w:cs="Arial"/>
        </w:rPr>
      </w:pPr>
      <w:r w:rsidRPr="00D324ED">
        <w:rPr>
          <w:rFonts w:ascii="Arial" w:hAnsi="Arial" w:cs="Arial"/>
        </w:rPr>
        <w:t>Shi, F. (2010). Effect of elevated CO</w:t>
      </w:r>
      <w:r w:rsidRPr="00D324ED">
        <w:rPr>
          <w:rFonts w:ascii="Arial" w:hAnsi="Arial" w:cs="Arial"/>
          <w:vertAlign w:val="subscript"/>
        </w:rPr>
        <w:t>2</w:t>
      </w:r>
      <w:r w:rsidRPr="00D324ED">
        <w:rPr>
          <w:rFonts w:ascii="Arial" w:hAnsi="Arial" w:cs="Arial"/>
        </w:rPr>
        <w:t xml:space="preserve"> concentration and increased temperature on physiology and production of crops. Chinese Journal of Eco-Agriculture. </w:t>
      </w:r>
    </w:p>
    <w:p w14:paraId="393727EE" w14:textId="77777777" w:rsidR="00481F0E" w:rsidRDefault="00481F0E" w:rsidP="00481F0E">
      <w:pPr>
        <w:pStyle w:val="Body"/>
        <w:ind w:left="720" w:hanging="720"/>
        <w:rPr>
          <w:rFonts w:ascii="Arial" w:hAnsi="Arial" w:cs="Arial"/>
        </w:rPr>
      </w:pPr>
      <w:r w:rsidRPr="00E0668F">
        <w:rPr>
          <w:rFonts w:ascii="Arial" w:hAnsi="Arial" w:cs="Arial"/>
        </w:rPr>
        <w:t>Shikha, E., Kunnathadi, M., Shahida, K., Sreelekshmi, S., &amp; Jubail, E. (2020). Assessment of Environmental Factors on Growth of Brinjal under Open and Protected Conditions. International Journal of Current Microbiology and Applied Sciences, 9(4), 380–386.</w:t>
      </w:r>
    </w:p>
    <w:p w14:paraId="5AC67EB9" w14:textId="4A0781E0" w:rsidR="00FB39B9" w:rsidRDefault="00FB39B9" w:rsidP="00FB39B9">
      <w:pPr>
        <w:pStyle w:val="Body"/>
        <w:ind w:left="720" w:hanging="720"/>
        <w:rPr>
          <w:rFonts w:ascii="Arial" w:hAnsi="Arial" w:cs="Arial"/>
        </w:rPr>
      </w:pPr>
      <w:r w:rsidRPr="00FB39B9">
        <w:rPr>
          <w:rFonts w:ascii="Arial" w:hAnsi="Arial" w:cs="Arial"/>
        </w:rPr>
        <w:t>Srivastava, S.K. 1987. Peroxidase and poly</w:t>
      </w:r>
      <w:r w:rsidRPr="00FB39B9">
        <w:rPr>
          <w:rFonts w:ascii="Cambria Math" w:hAnsi="Cambria Math" w:cs="Cambria Math"/>
        </w:rPr>
        <w:t>‐</w:t>
      </w:r>
      <w:r w:rsidRPr="00FB39B9">
        <w:rPr>
          <w:rFonts w:ascii="Arial" w:hAnsi="Arial" w:cs="Arial"/>
        </w:rPr>
        <w:t>phenol oxidase in Brassica juncea plants infected</w:t>
      </w:r>
      <w:r>
        <w:rPr>
          <w:rFonts w:ascii="Arial" w:hAnsi="Arial" w:cs="Arial"/>
        </w:rPr>
        <w:t xml:space="preserve"> </w:t>
      </w:r>
      <w:r w:rsidRPr="00FB39B9">
        <w:rPr>
          <w:rFonts w:ascii="Arial" w:hAnsi="Arial" w:cs="Arial"/>
        </w:rPr>
        <w:t>with Macrophomina phaseolina(Tassai) Goid. and their implication in disease resistance. Phytopathol. 120(3): 249-254.</w:t>
      </w:r>
    </w:p>
    <w:p w14:paraId="1E4CC134" w14:textId="3A2B25C9" w:rsidR="00FB39B9" w:rsidRDefault="00FB39B9" w:rsidP="00FB39B9">
      <w:pPr>
        <w:pStyle w:val="Body"/>
        <w:ind w:left="720" w:hanging="720"/>
        <w:rPr>
          <w:rFonts w:ascii="Arial" w:hAnsi="Arial" w:cs="Arial"/>
        </w:rPr>
      </w:pPr>
      <w:r>
        <w:rPr>
          <w:rFonts w:ascii="Arial" w:hAnsi="Arial" w:cs="Arial"/>
        </w:rPr>
        <w:t>S</w:t>
      </w:r>
      <w:r w:rsidRPr="00FB39B9">
        <w:rPr>
          <w:rFonts w:ascii="Arial" w:hAnsi="Arial" w:cs="Arial"/>
        </w:rPr>
        <w:t>ullivan, C. Y. and W.M.Ross</w:t>
      </w:r>
      <w:r>
        <w:rPr>
          <w:rFonts w:ascii="Arial" w:hAnsi="Arial" w:cs="Arial"/>
        </w:rPr>
        <w:t>.</w:t>
      </w:r>
      <w:r w:rsidRPr="00FB39B9">
        <w:rPr>
          <w:rFonts w:ascii="Arial" w:hAnsi="Arial" w:cs="Arial"/>
        </w:rPr>
        <w:t xml:space="preserve"> </w:t>
      </w:r>
      <w:r>
        <w:rPr>
          <w:rFonts w:ascii="Arial" w:hAnsi="Arial" w:cs="Arial"/>
        </w:rPr>
        <w:t>(</w:t>
      </w:r>
      <w:r w:rsidRPr="00FB39B9">
        <w:rPr>
          <w:rFonts w:ascii="Arial" w:hAnsi="Arial" w:cs="Arial"/>
        </w:rPr>
        <w:t>1979</w:t>
      </w:r>
      <w:r>
        <w:rPr>
          <w:rFonts w:ascii="Arial" w:hAnsi="Arial" w:cs="Arial"/>
        </w:rPr>
        <w:t>)</w:t>
      </w:r>
      <w:r w:rsidRPr="00FB39B9">
        <w:rPr>
          <w:rFonts w:ascii="Arial" w:hAnsi="Arial" w:cs="Arial"/>
        </w:rPr>
        <w:t xml:space="preserve"> Selection for drought and heat resistance in grain sorghum. Stressphysiology in crop plants, ed. by H.Hussel and R. Staples, John Willy and sons, New York pp. 263-28</w:t>
      </w:r>
      <w:r>
        <w:rPr>
          <w:rFonts w:ascii="Arial" w:hAnsi="Arial" w:cs="Arial"/>
        </w:rPr>
        <w:t>.</w:t>
      </w:r>
    </w:p>
    <w:p w14:paraId="41D16092" w14:textId="633C0F1A" w:rsidR="00481F0E" w:rsidRPr="00481F0E" w:rsidRDefault="00481F0E" w:rsidP="00481F0E">
      <w:pPr>
        <w:pStyle w:val="Appendix"/>
        <w:spacing w:after="0"/>
        <w:ind w:left="720" w:hanging="720"/>
        <w:jc w:val="both"/>
        <w:rPr>
          <w:rFonts w:ascii="Arial" w:hAnsi="Arial" w:cs="Arial"/>
          <w:b w:val="0"/>
          <w:bCs/>
          <w:sz w:val="20"/>
          <w:szCs w:val="18"/>
        </w:rPr>
      </w:pPr>
      <w:r w:rsidRPr="00481F0E">
        <w:rPr>
          <w:rFonts w:ascii="Arial" w:hAnsi="Arial" w:cs="Arial"/>
          <w:b w:val="0"/>
          <w:bCs/>
          <w:caps w:val="0"/>
          <w:sz w:val="20"/>
          <w:szCs w:val="18"/>
        </w:rPr>
        <w:t>Thornton, p. K., &amp; herrero, m. (2015). Adapting to climate change in mixed crop and livestock farming systems in sub-saharan africa. Nature climate change, 5(9), 830–836</w:t>
      </w:r>
      <w:r>
        <w:rPr>
          <w:rFonts w:ascii="Arial" w:hAnsi="Arial" w:cs="Arial"/>
          <w:b w:val="0"/>
          <w:bCs/>
          <w:caps w:val="0"/>
          <w:sz w:val="20"/>
          <w:szCs w:val="18"/>
        </w:rPr>
        <w:t>.</w:t>
      </w:r>
    </w:p>
    <w:p w14:paraId="2A8C6AF6" w14:textId="77777777" w:rsidR="00481F0E" w:rsidRPr="00481F0E" w:rsidRDefault="00481F0E" w:rsidP="00481F0E">
      <w:pPr>
        <w:pStyle w:val="Appendix"/>
        <w:spacing w:after="0"/>
        <w:jc w:val="both"/>
        <w:rPr>
          <w:rFonts w:ascii="Arial" w:hAnsi="Arial" w:cs="Arial"/>
          <w:b w:val="0"/>
          <w:bCs/>
        </w:rPr>
        <w:sectPr w:rsidR="00481F0E" w:rsidRPr="00481F0E" w:rsidSect="00AD6CB3">
          <w:headerReference w:type="even" r:id="rId20"/>
          <w:headerReference w:type="default" r:id="rId21"/>
          <w:footerReference w:type="default" r:id="rId22"/>
          <w:headerReference w:type="first" r:id="rId23"/>
          <w:type w:val="continuous"/>
          <w:pgSz w:w="12240" w:h="15840"/>
          <w:pgMar w:top="1440" w:right="2019" w:bottom="2019" w:left="2019" w:header="720" w:footer="1123" w:gutter="0"/>
          <w:cols w:space="720"/>
          <w:docGrid w:linePitch="272"/>
        </w:sectPr>
      </w:pPr>
    </w:p>
    <w:p w14:paraId="15376573" w14:textId="210B237F" w:rsidR="00481F0E" w:rsidRPr="00481F0E" w:rsidRDefault="00481F0E" w:rsidP="003F6C49">
      <w:pPr>
        <w:pStyle w:val="Body"/>
        <w:spacing w:after="0"/>
        <w:ind w:left="720" w:hanging="720"/>
        <w:rPr>
          <w:rFonts w:ascii="Arial" w:hAnsi="Arial" w:cs="Arial"/>
          <w:bCs/>
        </w:rPr>
      </w:pPr>
      <w:r w:rsidRPr="00481F0E">
        <w:rPr>
          <w:rFonts w:ascii="Arial" w:hAnsi="Arial" w:cs="Arial"/>
          <w:bCs/>
        </w:rPr>
        <w:t>.</w:t>
      </w:r>
    </w:p>
    <w:sectPr w:rsidR="00481F0E" w:rsidRPr="00481F0E" w:rsidSect="00AD6C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A7216" w14:textId="77777777" w:rsidR="00473D72" w:rsidRDefault="00473D72" w:rsidP="00C37E61">
      <w:r>
        <w:separator/>
      </w:r>
    </w:p>
  </w:endnote>
  <w:endnote w:type="continuationSeparator" w:id="0">
    <w:p w14:paraId="2C81D32C" w14:textId="77777777" w:rsidR="00473D72" w:rsidRDefault="00473D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AA1A" w14:textId="77777777" w:rsidR="00B56721" w:rsidRDefault="00B56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F15D" w14:textId="77777777" w:rsidR="00B56721" w:rsidRDefault="00B567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CFFC" w14:textId="6F21B5CB" w:rsidR="00754C9A" w:rsidRPr="00B56721" w:rsidRDefault="00754C9A" w:rsidP="00B567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A5F4" w14:textId="77777777" w:rsidR="00481F0E" w:rsidRPr="00C37E61" w:rsidRDefault="00481F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4FE0C" w14:textId="77777777" w:rsidR="00473D72" w:rsidRDefault="00473D72" w:rsidP="00C37E61">
      <w:r>
        <w:separator/>
      </w:r>
    </w:p>
  </w:footnote>
  <w:footnote w:type="continuationSeparator" w:id="0">
    <w:p w14:paraId="4C25FA68" w14:textId="77777777" w:rsidR="00473D72" w:rsidRDefault="00473D7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630AD" w14:textId="69F6F3A0" w:rsidR="00B56721" w:rsidRDefault="00000000">
    <w:pPr>
      <w:pStyle w:val="Header"/>
    </w:pPr>
    <w:r>
      <w:rPr>
        <w:noProof/>
      </w:rPr>
      <w:pict w14:anchorId="14505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6"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2481" w14:textId="309BF7CC" w:rsidR="00B56721" w:rsidRDefault="00000000">
    <w:pPr>
      <w:pStyle w:val="Header"/>
    </w:pPr>
    <w:r>
      <w:rPr>
        <w:noProof/>
      </w:rPr>
      <w:pict w14:anchorId="68376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7"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4679" w14:textId="51119548" w:rsidR="00296529" w:rsidRPr="00296529" w:rsidRDefault="00000000" w:rsidP="00296529">
    <w:pPr>
      <w:ind w:left="2160"/>
      <w:jc w:val="center"/>
      <w:rPr>
        <w:rFonts w:ascii="Times New Roman" w:eastAsia="Calibri" w:hAnsi="Times New Roman"/>
        <w:i/>
        <w:sz w:val="18"/>
        <w:szCs w:val="22"/>
      </w:rPr>
    </w:pPr>
    <w:r>
      <w:rPr>
        <w:noProof/>
      </w:rPr>
      <w:pict w14:anchorId="284DF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5"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4859A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48AB4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3CCAA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365A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41970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4BF53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9A5C" w14:textId="65B19D69" w:rsidR="00B56721" w:rsidRDefault="00000000">
    <w:pPr>
      <w:pStyle w:val="Header"/>
    </w:pPr>
    <w:r>
      <w:rPr>
        <w:noProof/>
      </w:rPr>
      <w:pict w14:anchorId="52F03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9"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FA4C" w14:textId="56A51231" w:rsidR="00B56721" w:rsidRDefault="00000000">
    <w:pPr>
      <w:pStyle w:val="Header"/>
    </w:pPr>
    <w:r>
      <w:rPr>
        <w:noProof/>
      </w:rPr>
      <w:pict w14:anchorId="318BA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70"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FBDF" w14:textId="6F6D1A6F" w:rsidR="00B56721" w:rsidRDefault="00000000">
    <w:pPr>
      <w:pStyle w:val="Header"/>
    </w:pPr>
    <w:r>
      <w:rPr>
        <w:noProof/>
      </w:rPr>
      <w:pict w14:anchorId="0816D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8"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C41120"/>
    <w:multiLevelType w:val="multilevel"/>
    <w:tmpl w:val="8D1013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8E7E02"/>
    <w:multiLevelType w:val="hybridMultilevel"/>
    <w:tmpl w:val="F95604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8074B7"/>
    <w:multiLevelType w:val="multilevel"/>
    <w:tmpl w:val="32A664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F1052BF"/>
    <w:multiLevelType w:val="multilevel"/>
    <w:tmpl w:val="43CE97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B5B5608"/>
    <w:multiLevelType w:val="multilevel"/>
    <w:tmpl w:val="7A7458EA"/>
    <w:lvl w:ilvl="0">
      <w:start w:val="15"/>
      <w:numFmt w:val="decimal"/>
      <w:lvlText w:val="%1"/>
      <w:lvlJc w:val="left"/>
      <w:pPr>
        <w:ind w:left="540" w:hanging="540"/>
      </w:pPr>
      <w:rPr>
        <w:rFonts w:hint="default"/>
        <w:b w:val="0"/>
      </w:rPr>
    </w:lvl>
    <w:lvl w:ilvl="1">
      <w:start w:val="50"/>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63B7844"/>
    <w:multiLevelType w:val="hybridMultilevel"/>
    <w:tmpl w:val="A64AFB18"/>
    <w:lvl w:ilvl="0" w:tplc="40090001">
      <w:start w:val="2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971642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5181721">
    <w:abstractNumId w:val="18"/>
  </w:num>
  <w:num w:numId="3" w16cid:durableId="1628395743">
    <w:abstractNumId w:val="28"/>
  </w:num>
  <w:num w:numId="4" w16cid:durableId="173959263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79050126">
    <w:abstractNumId w:val="8"/>
  </w:num>
  <w:num w:numId="6" w16cid:durableId="795172722">
    <w:abstractNumId w:val="6"/>
  </w:num>
  <w:num w:numId="7" w16cid:durableId="816262062">
    <w:abstractNumId w:val="1"/>
  </w:num>
  <w:num w:numId="8" w16cid:durableId="1403404579">
    <w:abstractNumId w:val="13"/>
  </w:num>
  <w:num w:numId="9" w16cid:durableId="163277717">
    <w:abstractNumId w:val="31"/>
  </w:num>
  <w:num w:numId="10" w16cid:durableId="1854954685">
    <w:abstractNumId w:val="2"/>
  </w:num>
  <w:num w:numId="11" w16cid:durableId="936135011">
    <w:abstractNumId w:val="22"/>
  </w:num>
  <w:num w:numId="12" w16cid:durableId="1480883369">
    <w:abstractNumId w:val="3"/>
  </w:num>
  <w:num w:numId="13" w16cid:durableId="325018822">
    <w:abstractNumId w:val="21"/>
  </w:num>
  <w:num w:numId="14" w16cid:durableId="361515451">
    <w:abstractNumId w:val="9"/>
  </w:num>
  <w:num w:numId="15" w16cid:durableId="1996107003">
    <w:abstractNumId w:val="26"/>
  </w:num>
  <w:num w:numId="16" w16cid:durableId="1915820348">
    <w:abstractNumId w:val="5"/>
  </w:num>
  <w:num w:numId="17" w16cid:durableId="407775358">
    <w:abstractNumId w:val="27"/>
  </w:num>
  <w:num w:numId="18" w16cid:durableId="2137674422">
    <w:abstractNumId w:val="15"/>
  </w:num>
  <w:num w:numId="19" w16cid:durableId="928544297">
    <w:abstractNumId w:val="34"/>
  </w:num>
  <w:num w:numId="20" w16cid:durableId="685326446">
    <w:abstractNumId w:val="12"/>
  </w:num>
  <w:num w:numId="21" w16cid:durableId="1588153701">
    <w:abstractNumId w:val="10"/>
  </w:num>
  <w:num w:numId="22" w16cid:durableId="16927917">
    <w:abstractNumId w:val="14"/>
  </w:num>
  <w:num w:numId="23" w16cid:durableId="618027790">
    <w:abstractNumId w:val="24"/>
  </w:num>
  <w:num w:numId="24" w16cid:durableId="971904614">
    <w:abstractNumId w:val="32"/>
  </w:num>
  <w:num w:numId="25" w16cid:durableId="630523957">
    <w:abstractNumId w:val="4"/>
  </w:num>
  <w:num w:numId="26" w16cid:durableId="1672755575">
    <w:abstractNumId w:val="20"/>
  </w:num>
  <w:num w:numId="27" w16cid:durableId="1655597967">
    <w:abstractNumId w:val="25"/>
  </w:num>
  <w:num w:numId="28" w16cid:durableId="285157918">
    <w:abstractNumId w:val="33"/>
  </w:num>
  <w:num w:numId="29" w16cid:durableId="2123450717">
    <w:abstractNumId w:val="30"/>
  </w:num>
  <w:num w:numId="30" w16cid:durableId="1040858693">
    <w:abstractNumId w:val="11"/>
  </w:num>
  <w:num w:numId="31" w16cid:durableId="1496414179">
    <w:abstractNumId w:val="29"/>
  </w:num>
  <w:num w:numId="32" w16cid:durableId="2033608658">
    <w:abstractNumId w:val="17"/>
  </w:num>
  <w:num w:numId="33" w16cid:durableId="1220171265">
    <w:abstractNumId w:val="19"/>
  </w:num>
  <w:num w:numId="34" w16cid:durableId="1648776645">
    <w:abstractNumId w:val="7"/>
  </w:num>
  <w:num w:numId="35" w16cid:durableId="1908103934">
    <w:abstractNumId w:val="23"/>
  </w:num>
  <w:num w:numId="36" w16cid:durableId="12965279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D8F"/>
    <w:rsid w:val="00023D8D"/>
    <w:rsid w:val="00030174"/>
    <w:rsid w:val="00035F8E"/>
    <w:rsid w:val="0004579C"/>
    <w:rsid w:val="000568BD"/>
    <w:rsid w:val="00066504"/>
    <w:rsid w:val="000A47FA"/>
    <w:rsid w:val="000A65D3"/>
    <w:rsid w:val="000B1E33"/>
    <w:rsid w:val="000B4924"/>
    <w:rsid w:val="000B5475"/>
    <w:rsid w:val="000D689F"/>
    <w:rsid w:val="000E7B7B"/>
    <w:rsid w:val="000E7D62"/>
    <w:rsid w:val="00103357"/>
    <w:rsid w:val="00123C9F"/>
    <w:rsid w:val="00126190"/>
    <w:rsid w:val="00130F17"/>
    <w:rsid w:val="001320BF"/>
    <w:rsid w:val="00163BC4"/>
    <w:rsid w:val="00190BB6"/>
    <w:rsid w:val="00191062"/>
    <w:rsid w:val="00192B72"/>
    <w:rsid w:val="001A29D8"/>
    <w:rsid w:val="001A5CAA"/>
    <w:rsid w:val="001B0427"/>
    <w:rsid w:val="001D3A51"/>
    <w:rsid w:val="001E10D2"/>
    <w:rsid w:val="001E25B4"/>
    <w:rsid w:val="001E3F78"/>
    <w:rsid w:val="001E44FE"/>
    <w:rsid w:val="00200595"/>
    <w:rsid w:val="00204835"/>
    <w:rsid w:val="00210CE8"/>
    <w:rsid w:val="002154BE"/>
    <w:rsid w:val="00231920"/>
    <w:rsid w:val="0023195C"/>
    <w:rsid w:val="0024282C"/>
    <w:rsid w:val="002460DC"/>
    <w:rsid w:val="00250985"/>
    <w:rsid w:val="002556F6"/>
    <w:rsid w:val="00275426"/>
    <w:rsid w:val="00283105"/>
    <w:rsid w:val="00284C4C"/>
    <w:rsid w:val="00286854"/>
    <w:rsid w:val="00287E68"/>
    <w:rsid w:val="00296529"/>
    <w:rsid w:val="002B27FB"/>
    <w:rsid w:val="002B685A"/>
    <w:rsid w:val="002C57D2"/>
    <w:rsid w:val="002E0D56"/>
    <w:rsid w:val="00307C87"/>
    <w:rsid w:val="00315186"/>
    <w:rsid w:val="0033120F"/>
    <w:rsid w:val="0033343E"/>
    <w:rsid w:val="003512C2"/>
    <w:rsid w:val="003672B1"/>
    <w:rsid w:val="00371FB6"/>
    <w:rsid w:val="00375FDC"/>
    <w:rsid w:val="003763C1"/>
    <w:rsid w:val="00376BBE"/>
    <w:rsid w:val="0039224F"/>
    <w:rsid w:val="0039557E"/>
    <w:rsid w:val="00397A87"/>
    <w:rsid w:val="003A43A4"/>
    <w:rsid w:val="003A7E18"/>
    <w:rsid w:val="003C4C86"/>
    <w:rsid w:val="003C6258"/>
    <w:rsid w:val="003E2904"/>
    <w:rsid w:val="003F6C49"/>
    <w:rsid w:val="00401927"/>
    <w:rsid w:val="00406A38"/>
    <w:rsid w:val="0041027F"/>
    <w:rsid w:val="00412475"/>
    <w:rsid w:val="00420CED"/>
    <w:rsid w:val="00423789"/>
    <w:rsid w:val="004346CF"/>
    <w:rsid w:val="00440F43"/>
    <w:rsid w:val="00441B6F"/>
    <w:rsid w:val="00446221"/>
    <w:rsid w:val="00450E62"/>
    <w:rsid w:val="004539DB"/>
    <w:rsid w:val="004633E1"/>
    <w:rsid w:val="00471A80"/>
    <w:rsid w:val="00473D72"/>
    <w:rsid w:val="00481F0E"/>
    <w:rsid w:val="00494836"/>
    <w:rsid w:val="004A3808"/>
    <w:rsid w:val="004D305E"/>
    <w:rsid w:val="004D4277"/>
    <w:rsid w:val="004F605A"/>
    <w:rsid w:val="0050206D"/>
    <w:rsid w:val="00502516"/>
    <w:rsid w:val="00505F06"/>
    <w:rsid w:val="00506828"/>
    <w:rsid w:val="0053056E"/>
    <w:rsid w:val="005538AD"/>
    <w:rsid w:val="00554FDA"/>
    <w:rsid w:val="00596611"/>
    <w:rsid w:val="005C784C"/>
    <w:rsid w:val="005D17F6"/>
    <w:rsid w:val="005E5539"/>
    <w:rsid w:val="00602BF5"/>
    <w:rsid w:val="00617FDD"/>
    <w:rsid w:val="00633614"/>
    <w:rsid w:val="00633F68"/>
    <w:rsid w:val="00636EB2"/>
    <w:rsid w:val="006375B8"/>
    <w:rsid w:val="00646B76"/>
    <w:rsid w:val="0066510A"/>
    <w:rsid w:val="00666436"/>
    <w:rsid w:val="00673F9F"/>
    <w:rsid w:val="00686953"/>
    <w:rsid w:val="00687DEA"/>
    <w:rsid w:val="00687E67"/>
    <w:rsid w:val="006950A1"/>
    <w:rsid w:val="006967F7"/>
    <w:rsid w:val="006A250C"/>
    <w:rsid w:val="006A2D10"/>
    <w:rsid w:val="006B21D3"/>
    <w:rsid w:val="006B57D0"/>
    <w:rsid w:val="006C12A0"/>
    <w:rsid w:val="006C6F5E"/>
    <w:rsid w:val="006D30FF"/>
    <w:rsid w:val="006D6940"/>
    <w:rsid w:val="006F11EC"/>
    <w:rsid w:val="0070082C"/>
    <w:rsid w:val="00707BC9"/>
    <w:rsid w:val="00712956"/>
    <w:rsid w:val="007369E6"/>
    <w:rsid w:val="00746E59"/>
    <w:rsid w:val="007504D1"/>
    <w:rsid w:val="00754C9A"/>
    <w:rsid w:val="0075599A"/>
    <w:rsid w:val="00761D52"/>
    <w:rsid w:val="00774258"/>
    <w:rsid w:val="0077749E"/>
    <w:rsid w:val="00790ADA"/>
    <w:rsid w:val="007B1975"/>
    <w:rsid w:val="007D2288"/>
    <w:rsid w:val="007E088F"/>
    <w:rsid w:val="007E44B4"/>
    <w:rsid w:val="007F435F"/>
    <w:rsid w:val="007F7B32"/>
    <w:rsid w:val="00804BC2"/>
    <w:rsid w:val="0081431A"/>
    <w:rsid w:val="0081557C"/>
    <w:rsid w:val="0083216F"/>
    <w:rsid w:val="0084601F"/>
    <w:rsid w:val="00851E47"/>
    <w:rsid w:val="00860000"/>
    <w:rsid w:val="00863BD3"/>
    <w:rsid w:val="008641ED"/>
    <w:rsid w:val="00866240"/>
    <w:rsid w:val="00866D66"/>
    <w:rsid w:val="008671C6"/>
    <w:rsid w:val="00875803"/>
    <w:rsid w:val="008B459E"/>
    <w:rsid w:val="008E13AE"/>
    <w:rsid w:val="008E1506"/>
    <w:rsid w:val="008E710C"/>
    <w:rsid w:val="008F69D6"/>
    <w:rsid w:val="00902823"/>
    <w:rsid w:val="00915CA6"/>
    <w:rsid w:val="00927834"/>
    <w:rsid w:val="00942EED"/>
    <w:rsid w:val="00946F1A"/>
    <w:rsid w:val="009500A6"/>
    <w:rsid w:val="00957C18"/>
    <w:rsid w:val="009611E0"/>
    <w:rsid w:val="009659BA"/>
    <w:rsid w:val="00965D25"/>
    <w:rsid w:val="00966BFF"/>
    <w:rsid w:val="00983040"/>
    <w:rsid w:val="00990A69"/>
    <w:rsid w:val="00996FE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3F0"/>
    <w:rsid w:val="00AA74E0"/>
    <w:rsid w:val="00AB703F"/>
    <w:rsid w:val="00AC6BB8"/>
    <w:rsid w:val="00AD6CB3"/>
    <w:rsid w:val="00AE008F"/>
    <w:rsid w:val="00B01FCD"/>
    <w:rsid w:val="00B16182"/>
    <w:rsid w:val="00B16A97"/>
    <w:rsid w:val="00B1776C"/>
    <w:rsid w:val="00B52583"/>
    <w:rsid w:val="00B52896"/>
    <w:rsid w:val="00B56721"/>
    <w:rsid w:val="00B809FF"/>
    <w:rsid w:val="00B95236"/>
    <w:rsid w:val="00B95F65"/>
    <w:rsid w:val="00B96BD9"/>
    <w:rsid w:val="00BA1B01"/>
    <w:rsid w:val="00BA2641"/>
    <w:rsid w:val="00BB37AA"/>
    <w:rsid w:val="00BC53A0"/>
    <w:rsid w:val="00BE62AD"/>
    <w:rsid w:val="00BF121F"/>
    <w:rsid w:val="00BF1F80"/>
    <w:rsid w:val="00C166EF"/>
    <w:rsid w:val="00C17EB0"/>
    <w:rsid w:val="00C26D93"/>
    <w:rsid w:val="00C27F5F"/>
    <w:rsid w:val="00C30A0F"/>
    <w:rsid w:val="00C32A13"/>
    <w:rsid w:val="00C37E61"/>
    <w:rsid w:val="00C53DF0"/>
    <w:rsid w:val="00C70F1B"/>
    <w:rsid w:val="00C71A47"/>
    <w:rsid w:val="00C7464C"/>
    <w:rsid w:val="00C85588"/>
    <w:rsid w:val="00CC2E9E"/>
    <w:rsid w:val="00CD6755"/>
    <w:rsid w:val="00CD6856"/>
    <w:rsid w:val="00CE0089"/>
    <w:rsid w:val="00CE793C"/>
    <w:rsid w:val="00CF193C"/>
    <w:rsid w:val="00D173F1"/>
    <w:rsid w:val="00D324ED"/>
    <w:rsid w:val="00D364A8"/>
    <w:rsid w:val="00D74CB0"/>
    <w:rsid w:val="00D77015"/>
    <w:rsid w:val="00D8295D"/>
    <w:rsid w:val="00DC2A65"/>
    <w:rsid w:val="00DE15F0"/>
    <w:rsid w:val="00DE5663"/>
    <w:rsid w:val="00DE78AA"/>
    <w:rsid w:val="00E053D0"/>
    <w:rsid w:val="00E0668F"/>
    <w:rsid w:val="00E110C2"/>
    <w:rsid w:val="00E1199C"/>
    <w:rsid w:val="00E15994"/>
    <w:rsid w:val="00E30D75"/>
    <w:rsid w:val="00E3114E"/>
    <w:rsid w:val="00E31A70"/>
    <w:rsid w:val="00E35B02"/>
    <w:rsid w:val="00E57F18"/>
    <w:rsid w:val="00E66496"/>
    <w:rsid w:val="00E66B35"/>
    <w:rsid w:val="00E66E10"/>
    <w:rsid w:val="00E769F6"/>
    <w:rsid w:val="00E8407C"/>
    <w:rsid w:val="00E84F3C"/>
    <w:rsid w:val="00EA012C"/>
    <w:rsid w:val="00EC6A55"/>
    <w:rsid w:val="00ED0288"/>
    <w:rsid w:val="00EE52CB"/>
    <w:rsid w:val="00EE5DE3"/>
    <w:rsid w:val="00EF581D"/>
    <w:rsid w:val="00EF6E80"/>
    <w:rsid w:val="00EF7FD8"/>
    <w:rsid w:val="00F06F59"/>
    <w:rsid w:val="00F17988"/>
    <w:rsid w:val="00F469F0"/>
    <w:rsid w:val="00F53273"/>
    <w:rsid w:val="00F734CC"/>
    <w:rsid w:val="00F755E4"/>
    <w:rsid w:val="00F77D02"/>
    <w:rsid w:val="00F81F74"/>
    <w:rsid w:val="00F85103"/>
    <w:rsid w:val="00FB39B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3936E"/>
  <w15:docId w15:val="{4FD36E02-706A-401E-8203-6534215E4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012D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C32A13"/>
    <w:pPr>
      <w:spacing w:after="160" w:line="259" w:lineRule="auto"/>
      <w:ind w:left="720"/>
      <w:contextualSpacing/>
    </w:pPr>
    <w:rPr>
      <w:rFonts w:asciiTheme="minorHAnsi" w:eastAsiaTheme="minorHAnsi" w:hAnsiTheme="minorHAnsi" w:cstheme="minorBid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c:f>
              <c:strCache>
                <c:ptCount val="1"/>
                <c:pt idx="0">
                  <c:v>1</c:v>
                </c:pt>
              </c:strCache>
            </c:strRef>
          </c:tx>
          <c:spPr>
            <a:solidFill>
              <a:schemeClr val="accent2"/>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Sheet1!$C$5:$F$5</c:f>
              <c:numCache>
                <c:formatCode>General</c:formatCode>
                <c:ptCount val="4"/>
                <c:pt idx="0">
                  <c:v>159.13999999999999</c:v>
                </c:pt>
                <c:pt idx="1">
                  <c:v>6.44</c:v>
                </c:pt>
                <c:pt idx="2">
                  <c:v>71.86</c:v>
                </c:pt>
                <c:pt idx="3">
                  <c:v>19.690000000000001</c:v>
                </c:pt>
              </c:numCache>
            </c:numRef>
          </c:val>
          <c:extLst>
            <c:ext xmlns:c16="http://schemas.microsoft.com/office/drawing/2014/chart" uri="{C3380CC4-5D6E-409C-BE32-E72D297353CC}">
              <c16:uniqueId val="{00000000-ABE6-40D9-906C-662E32F8A9F8}"/>
            </c:ext>
          </c:extLst>
        </c:ser>
        <c:ser>
          <c:idx val="1"/>
          <c:order val="1"/>
          <c:tx>
            <c:strRef>
              <c:f>Sheet1!$B$6</c:f>
              <c:strCache>
                <c:ptCount val="1"/>
                <c:pt idx="0">
                  <c:v>2</c:v>
                </c:pt>
              </c:strCache>
            </c:strRef>
          </c:tx>
          <c:spPr>
            <a:solidFill>
              <a:schemeClr val="accent4"/>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Sheet1!$C$6:$F$6</c:f>
              <c:numCache>
                <c:formatCode>General</c:formatCode>
                <c:ptCount val="4"/>
                <c:pt idx="0">
                  <c:v>138.12</c:v>
                </c:pt>
                <c:pt idx="1">
                  <c:v>3.83</c:v>
                </c:pt>
                <c:pt idx="2">
                  <c:v>57.5</c:v>
                </c:pt>
                <c:pt idx="3">
                  <c:v>15.5</c:v>
                </c:pt>
              </c:numCache>
            </c:numRef>
          </c:val>
          <c:extLst>
            <c:ext xmlns:c16="http://schemas.microsoft.com/office/drawing/2014/chart" uri="{C3380CC4-5D6E-409C-BE32-E72D297353CC}">
              <c16:uniqueId val="{00000001-ABE6-40D9-906C-662E32F8A9F8}"/>
            </c:ext>
          </c:extLst>
        </c:ser>
        <c:ser>
          <c:idx val="2"/>
          <c:order val="2"/>
          <c:tx>
            <c:strRef>
              <c:f>Sheet1!$B$7</c:f>
              <c:strCache>
                <c:ptCount val="1"/>
                <c:pt idx="0">
                  <c:v>3</c:v>
                </c:pt>
              </c:strCache>
            </c:strRef>
          </c:tx>
          <c:spPr>
            <a:solidFill>
              <a:schemeClr val="accent6"/>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Sheet1!$C$7:$F$7</c:f>
              <c:numCache>
                <c:formatCode>General</c:formatCode>
                <c:ptCount val="4"/>
                <c:pt idx="0">
                  <c:v>129.51</c:v>
                </c:pt>
                <c:pt idx="1">
                  <c:v>2.81</c:v>
                </c:pt>
                <c:pt idx="2">
                  <c:v>28.82</c:v>
                </c:pt>
                <c:pt idx="3">
                  <c:v>7.54</c:v>
                </c:pt>
              </c:numCache>
            </c:numRef>
          </c:val>
          <c:extLst>
            <c:ext xmlns:c16="http://schemas.microsoft.com/office/drawing/2014/chart" uri="{C3380CC4-5D6E-409C-BE32-E72D297353CC}">
              <c16:uniqueId val="{00000002-ABE6-40D9-906C-662E32F8A9F8}"/>
            </c:ext>
          </c:extLst>
        </c:ser>
        <c:ser>
          <c:idx val="3"/>
          <c:order val="3"/>
          <c:tx>
            <c:strRef>
              <c:f>Sheet1!$B$8</c:f>
              <c:strCache>
                <c:ptCount val="1"/>
                <c:pt idx="0">
                  <c:v>4</c:v>
                </c:pt>
              </c:strCache>
            </c:strRef>
          </c:tx>
          <c:spPr>
            <a:solidFill>
              <a:schemeClr val="accent2">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Sheet1!$C$8:$F$8</c:f>
              <c:numCache>
                <c:formatCode>General</c:formatCode>
                <c:ptCount val="4"/>
                <c:pt idx="0">
                  <c:v>98.81</c:v>
                </c:pt>
                <c:pt idx="1">
                  <c:v>2.74</c:v>
                </c:pt>
                <c:pt idx="2">
                  <c:v>26.17</c:v>
                </c:pt>
                <c:pt idx="3">
                  <c:v>7.34</c:v>
                </c:pt>
              </c:numCache>
            </c:numRef>
          </c:val>
          <c:extLst>
            <c:ext xmlns:c16="http://schemas.microsoft.com/office/drawing/2014/chart" uri="{C3380CC4-5D6E-409C-BE32-E72D297353CC}">
              <c16:uniqueId val="{00000003-ABE6-40D9-906C-662E32F8A9F8}"/>
            </c:ext>
          </c:extLst>
        </c:ser>
        <c:ser>
          <c:idx val="4"/>
          <c:order val="4"/>
          <c:tx>
            <c:strRef>
              <c:f>Sheet1!$B$9</c:f>
              <c:strCache>
                <c:ptCount val="1"/>
                <c:pt idx="0">
                  <c:v>5</c:v>
                </c:pt>
              </c:strCache>
            </c:strRef>
          </c:tx>
          <c:spPr>
            <a:solidFill>
              <a:schemeClr val="accent4">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Sheet1!$C$9:$F$9</c:f>
              <c:numCache>
                <c:formatCode>General</c:formatCode>
                <c:ptCount val="4"/>
                <c:pt idx="0">
                  <c:v>146.54</c:v>
                </c:pt>
                <c:pt idx="1">
                  <c:v>4.5999999999999996</c:v>
                </c:pt>
                <c:pt idx="2">
                  <c:v>37.049999999999997</c:v>
                </c:pt>
                <c:pt idx="3">
                  <c:v>9.41</c:v>
                </c:pt>
              </c:numCache>
            </c:numRef>
          </c:val>
          <c:extLst>
            <c:ext xmlns:c16="http://schemas.microsoft.com/office/drawing/2014/chart" uri="{C3380CC4-5D6E-409C-BE32-E72D297353CC}">
              <c16:uniqueId val="{00000004-ABE6-40D9-906C-662E32F8A9F8}"/>
            </c:ext>
          </c:extLst>
        </c:ser>
        <c:ser>
          <c:idx val="5"/>
          <c:order val="5"/>
          <c:tx>
            <c:strRef>
              <c:f>Sheet1!$B$10</c:f>
              <c:strCache>
                <c:ptCount val="1"/>
                <c:pt idx="0">
                  <c:v>6</c:v>
                </c:pt>
              </c:strCache>
            </c:strRef>
          </c:tx>
          <c:spPr>
            <a:solidFill>
              <a:schemeClr val="accent6">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Sheet1!$C$10:$F$10</c:f>
              <c:numCache>
                <c:formatCode>General</c:formatCode>
                <c:ptCount val="4"/>
                <c:pt idx="0">
                  <c:v>93.7</c:v>
                </c:pt>
                <c:pt idx="1">
                  <c:v>2.81</c:v>
                </c:pt>
                <c:pt idx="2">
                  <c:v>27.89</c:v>
                </c:pt>
                <c:pt idx="3">
                  <c:v>7.5</c:v>
                </c:pt>
              </c:numCache>
            </c:numRef>
          </c:val>
          <c:extLst>
            <c:ext xmlns:c16="http://schemas.microsoft.com/office/drawing/2014/chart" uri="{C3380CC4-5D6E-409C-BE32-E72D297353CC}">
              <c16:uniqueId val="{00000005-ABE6-40D9-906C-662E32F8A9F8}"/>
            </c:ext>
          </c:extLst>
        </c:ser>
        <c:ser>
          <c:idx val="6"/>
          <c:order val="6"/>
          <c:tx>
            <c:strRef>
              <c:f>Sheet1!$B$11</c:f>
              <c:strCache>
                <c:ptCount val="1"/>
                <c:pt idx="0">
                  <c:v>7</c:v>
                </c:pt>
              </c:strCache>
            </c:strRef>
          </c:tx>
          <c:spPr>
            <a:solidFill>
              <a:schemeClr val="accent2">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Sheet1!$C$11:$F$11</c:f>
              <c:numCache>
                <c:formatCode>General</c:formatCode>
                <c:ptCount val="4"/>
                <c:pt idx="0">
                  <c:v>112.2</c:v>
                </c:pt>
                <c:pt idx="1">
                  <c:v>6.73</c:v>
                </c:pt>
                <c:pt idx="2">
                  <c:v>54.78</c:v>
                </c:pt>
                <c:pt idx="3">
                  <c:v>14.13</c:v>
                </c:pt>
              </c:numCache>
            </c:numRef>
          </c:val>
          <c:extLst>
            <c:ext xmlns:c16="http://schemas.microsoft.com/office/drawing/2014/chart" uri="{C3380CC4-5D6E-409C-BE32-E72D297353CC}">
              <c16:uniqueId val="{00000006-ABE6-40D9-906C-662E32F8A9F8}"/>
            </c:ext>
          </c:extLst>
        </c:ser>
        <c:ser>
          <c:idx val="7"/>
          <c:order val="7"/>
          <c:tx>
            <c:strRef>
              <c:f>Sheet1!$B$12</c:f>
              <c:strCache>
                <c:ptCount val="1"/>
                <c:pt idx="0">
                  <c:v>8</c:v>
                </c:pt>
              </c:strCache>
            </c:strRef>
          </c:tx>
          <c:spPr>
            <a:solidFill>
              <a:schemeClr val="accent4">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Sheet1!$C$12:$F$12</c:f>
              <c:numCache>
                <c:formatCode>General</c:formatCode>
                <c:ptCount val="4"/>
                <c:pt idx="0">
                  <c:v>79.98</c:v>
                </c:pt>
                <c:pt idx="1">
                  <c:v>2.2000000000000002</c:v>
                </c:pt>
                <c:pt idx="2">
                  <c:v>24.23</c:v>
                </c:pt>
                <c:pt idx="3">
                  <c:v>6.5</c:v>
                </c:pt>
              </c:numCache>
            </c:numRef>
          </c:val>
          <c:extLst>
            <c:ext xmlns:c16="http://schemas.microsoft.com/office/drawing/2014/chart" uri="{C3380CC4-5D6E-409C-BE32-E72D297353CC}">
              <c16:uniqueId val="{00000007-ABE6-40D9-906C-662E32F8A9F8}"/>
            </c:ext>
          </c:extLst>
        </c:ser>
        <c:ser>
          <c:idx val="8"/>
          <c:order val="8"/>
          <c:tx>
            <c:strRef>
              <c:f>Sheet1!$B$13</c:f>
              <c:strCache>
                <c:ptCount val="1"/>
                <c:pt idx="0">
                  <c:v>9</c:v>
                </c:pt>
              </c:strCache>
            </c:strRef>
          </c:tx>
          <c:spPr>
            <a:solidFill>
              <a:schemeClr val="accent6">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Sheet1!$C$13:$F$13</c:f>
              <c:numCache>
                <c:formatCode>General</c:formatCode>
                <c:ptCount val="4"/>
                <c:pt idx="0">
                  <c:v>178.97</c:v>
                </c:pt>
                <c:pt idx="1">
                  <c:v>3.87</c:v>
                </c:pt>
                <c:pt idx="2">
                  <c:v>26.79</c:v>
                </c:pt>
                <c:pt idx="3">
                  <c:v>6.76</c:v>
                </c:pt>
              </c:numCache>
            </c:numRef>
          </c:val>
          <c:extLst>
            <c:ext xmlns:c16="http://schemas.microsoft.com/office/drawing/2014/chart" uri="{C3380CC4-5D6E-409C-BE32-E72D297353CC}">
              <c16:uniqueId val="{00000008-ABE6-40D9-906C-662E32F8A9F8}"/>
            </c:ext>
          </c:extLst>
        </c:ser>
        <c:ser>
          <c:idx val="9"/>
          <c:order val="9"/>
          <c:tx>
            <c:strRef>
              <c:f>Sheet1!$B$14</c:f>
              <c:strCache>
                <c:ptCount val="1"/>
                <c:pt idx="0">
                  <c:v>10</c:v>
                </c:pt>
              </c:strCache>
            </c:strRef>
          </c:tx>
          <c:spPr>
            <a:solidFill>
              <a:schemeClr val="accent2">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Sheet1!$C$14:$F$14</c:f>
              <c:numCache>
                <c:formatCode>General</c:formatCode>
                <c:ptCount val="4"/>
                <c:pt idx="0">
                  <c:v>166.17</c:v>
                </c:pt>
                <c:pt idx="1">
                  <c:v>5.6</c:v>
                </c:pt>
                <c:pt idx="2">
                  <c:v>31.55</c:v>
                </c:pt>
                <c:pt idx="3">
                  <c:v>8.36</c:v>
                </c:pt>
              </c:numCache>
            </c:numRef>
          </c:val>
          <c:extLst>
            <c:ext xmlns:c16="http://schemas.microsoft.com/office/drawing/2014/chart" uri="{C3380CC4-5D6E-409C-BE32-E72D297353CC}">
              <c16:uniqueId val="{00000009-ABE6-40D9-906C-662E32F8A9F8}"/>
            </c:ext>
          </c:extLst>
        </c:ser>
        <c:ser>
          <c:idx val="10"/>
          <c:order val="10"/>
          <c:tx>
            <c:strRef>
              <c:f>Sheet1!$B$15</c:f>
              <c:strCache>
                <c:ptCount val="1"/>
                <c:pt idx="0">
                  <c:v>11</c:v>
                </c:pt>
              </c:strCache>
            </c:strRef>
          </c:tx>
          <c:spPr>
            <a:solidFill>
              <a:schemeClr val="accent4">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Sheet1!$C$15:$F$15</c:f>
              <c:numCache>
                <c:formatCode>General</c:formatCode>
                <c:ptCount val="4"/>
                <c:pt idx="0">
                  <c:v>144.38999999999999</c:v>
                </c:pt>
                <c:pt idx="1">
                  <c:v>3.84</c:v>
                </c:pt>
                <c:pt idx="2">
                  <c:v>26.93</c:v>
                </c:pt>
                <c:pt idx="3">
                  <c:v>7.19</c:v>
                </c:pt>
              </c:numCache>
            </c:numRef>
          </c:val>
          <c:extLst>
            <c:ext xmlns:c16="http://schemas.microsoft.com/office/drawing/2014/chart" uri="{C3380CC4-5D6E-409C-BE32-E72D297353CC}">
              <c16:uniqueId val="{0000000A-ABE6-40D9-906C-662E32F8A9F8}"/>
            </c:ext>
          </c:extLst>
        </c:ser>
        <c:ser>
          <c:idx val="11"/>
          <c:order val="11"/>
          <c:tx>
            <c:strRef>
              <c:f>Sheet1!$B$16</c:f>
              <c:strCache>
                <c:ptCount val="1"/>
                <c:pt idx="0">
                  <c:v>12</c:v>
                </c:pt>
              </c:strCache>
            </c:strRef>
          </c:tx>
          <c:spPr>
            <a:solidFill>
              <a:schemeClr val="accent6">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Sheet1!$C$16:$F$16</c:f>
              <c:numCache>
                <c:formatCode>General</c:formatCode>
                <c:ptCount val="4"/>
                <c:pt idx="0">
                  <c:v>114.14</c:v>
                </c:pt>
                <c:pt idx="1">
                  <c:v>2.9</c:v>
                </c:pt>
                <c:pt idx="2">
                  <c:v>32.28</c:v>
                </c:pt>
                <c:pt idx="3">
                  <c:v>8.08</c:v>
                </c:pt>
              </c:numCache>
            </c:numRef>
          </c:val>
          <c:extLst>
            <c:ext xmlns:c16="http://schemas.microsoft.com/office/drawing/2014/chart" uri="{C3380CC4-5D6E-409C-BE32-E72D297353CC}">
              <c16:uniqueId val="{0000000B-ABE6-40D9-906C-662E32F8A9F8}"/>
            </c:ext>
          </c:extLst>
        </c:ser>
        <c:ser>
          <c:idx val="12"/>
          <c:order val="12"/>
          <c:tx>
            <c:strRef>
              <c:f>Sheet1!$B$17</c:f>
              <c:strCache>
                <c:ptCount val="1"/>
                <c:pt idx="0">
                  <c:v>13</c:v>
                </c:pt>
              </c:strCache>
            </c:strRef>
          </c:tx>
          <c:spPr>
            <a:solidFill>
              <a:schemeClr val="accent2">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Sheet1!$C$17:$F$17</c:f>
              <c:numCache>
                <c:formatCode>General</c:formatCode>
                <c:ptCount val="4"/>
                <c:pt idx="0">
                  <c:v>146.58000000000001</c:v>
                </c:pt>
                <c:pt idx="1">
                  <c:v>3.69</c:v>
                </c:pt>
                <c:pt idx="2">
                  <c:v>31.65</c:v>
                </c:pt>
                <c:pt idx="3">
                  <c:v>7.98</c:v>
                </c:pt>
              </c:numCache>
            </c:numRef>
          </c:val>
          <c:extLst>
            <c:ext xmlns:c16="http://schemas.microsoft.com/office/drawing/2014/chart" uri="{C3380CC4-5D6E-409C-BE32-E72D297353CC}">
              <c16:uniqueId val="{0000000C-ABE6-40D9-906C-662E32F8A9F8}"/>
            </c:ext>
          </c:extLst>
        </c:ser>
        <c:ser>
          <c:idx val="13"/>
          <c:order val="13"/>
          <c:tx>
            <c:strRef>
              <c:f>Sheet1!$B$18</c:f>
              <c:strCache>
                <c:ptCount val="1"/>
                <c:pt idx="0">
                  <c:v>14</c:v>
                </c:pt>
              </c:strCache>
            </c:strRef>
          </c:tx>
          <c:spPr>
            <a:solidFill>
              <a:schemeClr val="accent4">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Sheet1!$C$18:$F$18</c:f>
              <c:numCache>
                <c:formatCode>General</c:formatCode>
                <c:ptCount val="4"/>
                <c:pt idx="0">
                  <c:v>157.4</c:v>
                </c:pt>
                <c:pt idx="1">
                  <c:v>7</c:v>
                </c:pt>
                <c:pt idx="2">
                  <c:v>30.63</c:v>
                </c:pt>
                <c:pt idx="3">
                  <c:v>8.18</c:v>
                </c:pt>
              </c:numCache>
            </c:numRef>
          </c:val>
          <c:extLst>
            <c:ext xmlns:c16="http://schemas.microsoft.com/office/drawing/2014/chart" uri="{C3380CC4-5D6E-409C-BE32-E72D297353CC}">
              <c16:uniqueId val="{0000000D-ABE6-40D9-906C-662E32F8A9F8}"/>
            </c:ext>
          </c:extLst>
        </c:ser>
        <c:ser>
          <c:idx val="14"/>
          <c:order val="14"/>
          <c:tx>
            <c:strRef>
              <c:f>Sheet1!$B$19</c:f>
              <c:strCache>
                <c:ptCount val="1"/>
                <c:pt idx="0">
                  <c:v>15</c:v>
                </c:pt>
              </c:strCache>
            </c:strRef>
          </c:tx>
          <c:spPr>
            <a:solidFill>
              <a:schemeClr val="accent6">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Sheet1!$C$19:$F$19</c:f>
              <c:numCache>
                <c:formatCode>General</c:formatCode>
                <c:ptCount val="4"/>
                <c:pt idx="0">
                  <c:v>74.56</c:v>
                </c:pt>
                <c:pt idx="1">
                  <c:v>7.31</c:v>
                </c:pt>
                <c:pt idx="2">
                  <c:v>26.13</c:v>
                </c:pt>
                <c:pt idx="3">
                  <c:v>6.52</c:v>
                </c:pt>
              </c:numCache>
            </c:numRef>
          </c:val>
          <c:extLst>
            <c:ext xmlns:c16="http://schemas.microsoft.com/office/drawing/2014/chart" uri="{C3380CC4-5D6E-409C-BE32-E72D297353CC}">
              <c16:uniqueId val="{0000000E-ABE6-40D9-906C-662E32F8A9F8}"/>
            </c:ext>
          </c:extLst>
        </c:ser>
        <c:ser>
          <c:idx val="15"/>
          <c:order val="15"/>
          <c:tx>
            <c:strRef>
              <c:f>Sheet1!$B$20</c:f>
              <c:strCache>
                <c:ptCount val="1"/>
                <c:pt idx="0">
                  <c:v>16</c:v>
                </c:pt>
              </c:strCache>
            </c:strRef>
          </c:tx>
          <c:spPr>
            <a:solidFill>
              <a:schemeClr val="accent2">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Sheet1!$C$20:$F$20</c:f>
              <c:numCache>
                <c:formatCode>General</c:formatCode>
                <c:ptCount val="4"/>
                <c:pt idx="0">
                  <c:v>178.74</c:v>
                </c:pt>
                <c:pt idx="1">
                  <c:v>7</c:v>
                </c:pt>
                <c:pt idx="2">
                  <c:v>54.72</c:v>
                </c:pt>
                <c:pt idx="3">
                  <c:v>14.27</c:v>
                </c:pt>
              </c:numCache>
            </c:numRef>
          </c:val>
          <c:extLst>
            <c:ext xmlns:c16="http://schemas.microsoft.com/office/drawing/2014/chart" uri="{C3380CC4-5D6E-409C-BE32-E72D297353CC}">
              <c16:uniqueId val="{0000000F-ABE6-40D9-906C-662E32F8A9F8}"/>
            </c:ext>
          </c:extLst>
        </c:ser>
        <c:ser>
          <c:idx val="16"/>
          <c:order val="16"/>
          <c:tx>
            <c:strRef>
              <c:f>Sheet1!$B$21</c:f>
              <c:strCache>
                <c:ptCount val="1"/>
                <c:pt idx="0">
                  <c:v>17</c:v>
                </c:pt>
              </c:strCache>
            </c:strRef>
          </c:tx>
          <c:spPr>
            <a:solidFill>
              <a:schemeClr val="accent4">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Sheet1!$C$21:$F$21</c:f>
              <c:numCache>
                <c:formatCode>General</c:formatCode>
                <c:ptCount val="4"/>
                <c:pt idx="0">
                  <c:v>181.39</c:v>
                </c:pt>
                <c:pt idx="1">
                  <c:v>1.97</c:v>
                </c:pt>
                <c:pt idx="2">
                  <c:v>30.97</c:v>
                </c:pt>
                <c:pt idx="3">
                  <c:v>7.49</c:v>
                </c:pt>
              </c:numCache>
            </c:numRef>
          </c:val>
          <c:extLst>
            <c:ext xmlns:c16="http://schemas.microsoft.com/office/drawing/2014/chart" uri="{C3380CC4-5D6E-409C-BE32-E72D297353CC}">
              <c16:uniqueId val="{00000010-ABE6-40D9-906C-662E32F8A9F8}"/>
            </c:ext>
          </c:extLst>
        </c:ser>
        <c:ser>
          <c:idx val="17"/>
          <c:order val="17"/>
          <c:tx>
            <c:strRef>
              <c:f>Sheet1!$B$22</c:f>
              <c:strCache>
                <c:ptCount val="1"/>
                <c:pt idx="0">
                  <c:v>18</c:v>
                </c:pt>
              </c:strCache>
            </c:strRef>
          </c:tx>
          <c:spPr>
            <a:solidFill>
              <a:schemeClr val="accent6">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Sheet1!$C$22:$F$22</c:f>
              <c:numCache>
                <c:formatCode>General</c:formatCode>
                <c:ptCount val="4"/>
                <c:pt idx="0">
                  <c:v>191.18</c:v>
                </c:pt>
                <c:pt idx="1">
                  <c:v>2.54</c:v>
                </c:pt>
                <c:pt idx="2">
                  <c:v>27.61</c:v>
                </c:pt>
                <c:pt idx="3">
                  <c:v>7.29</c:v>
                </c:pt>
              </c:numCache>
            </c:numRef>
          </c:val>
          <c:extLst>
            <c:ext xmlns:c16="http://schemas.microsoft.com/office/drawing/2014/chart" uri="{C3380CC4-5D6E-409C-BE32-E72D297353CC}">
              <c16:uniqueId val="{00000011-ABE6-40D9-906C-662E32F8A9F8}"/>
            </c:ext>
          </c:extLst>
        </c:ser>
        <c:ser>
          <c:idx val="18"/>
          <c:order val="18"/>
          <c:tx>
            <c:strRef>
              <c:f>Sheet1!$B$23</c:f>
              <c:strCache>
                <c:ptCount val="1"/>
                <c:pt idx="0">
                  <c:v>19</c:v>
                </c:pt>
              </c:strCache>
            </c:strRef>
          </c:tx>
          <c:spPr>
            <a:solidFill>
              <a:schemeClr val="accent2">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Sheet1!$C$23:$F$23</c:f>
              <c:numCache>
                <c:formatCode>General</c:formatCode>
                <c:ptCount val="4"/>
                <c:pt idx="0">
                  <c:v>290.83</c:v>
                </c:pt>
                <c:pt idx="1">
                  <c:v>3.36</c:v>
                </c:pt>
                <c:pt idx="2">
                  <c:v>37.520000000000003</c:v>
                </c:pt>
                <c:pt idx="3">
                  <c:v>9.48</c:v>
                </c:pt>
              </c:numCache>
            </c:numRef>
          </c:val>
          <c:extLst>
            <c:ext xmlns:c16="http://schemas.microsoft.com/office/drawing/2014/chart" uri="{C3380CC4-5D6E-409C-BE32-E72D297353CC}">
              <c16:uniqueId val="{00000012-ABE6-40D9-906C-662E32F8A9F8}"/>
            </c:ext>
          </c:extLst>
        </c:ser>
        <c:ser>
          <c:idx val="19"/>
          <c:order val="19"/>
          <c:tx>
            <c:strRef>
              <c:f>Sheet1!$B$24</c:f>
              <c:strCache>
                <c:ptCount val="1"/>
                <c:pt idx="0">
                  <c:v>20</c:v>
                </c:pt>
              </c:strCache>
            </c:strRef>
          </c:tx>
          <c:spPr>
            <a:solidFill>
              <a:schemeClr val="accent4">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Sheet1!$C$24:$F$24</c:f>
              <c:numCache>
                <c:formatCode>General</c:formatCode>
                <c:ptCount val="4"/>
                <c:pt idx="0">
                  <c:v>176.85</c:v>
                </c:pt>
                <c:pt idx="1">
                  <c:v>4.49</c:v>
                </c:pt>
                <c:pt idx="2">
                  <c:v>58.05</c:v>
                </c:pt>
                <c:pt idx="3">
                  <c:v>15.56</c:v>
                </c:pt>
              </c:numCache>
            </c:numRef>
          </c:val>
          <c:extLst>
            <c:ext xmlns:c16="http://schemas.microsoft.com/office/drawing/2014/chart" uri="{C3380CC4-5D6E-409C-BE32-E72D297353CC}">
              <c16:uniqueId val="{00000013-ABE6-40D9-906C-662E32F8A9F8}"/>
            </c:ext>
          </c:extLst>
        </c:ser>
        <c:ser>
          <c:idx val="20"/>
          <c:order val="20"/>
          <c:tx>
            <c:strRef>
              <c:f>Sheet1!$B$25</c:f>
              <c:strCache>
                <c:ptCount val="1"/>
                <c:pt idx="0">
                  <c:v>21</c:v>
                </c:pt>
              </c:strCache>
            </c:strRef>
          </c:tx>
          <c:spPr>
            <a:solidFill>
              <a:schemeClr val="accent6">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Sheet1!$C$25:$F$25</c:f>
              <c:numCache>
                <c:formatCode>General</c:formatCode>
                <c:ptCount val="4"/>
                <c:pt idx="0">
                  <c:v>88.43</c:v>
                </c:pt>
                <c:pt idx="1">
                  <c:v>7.11</c:v>
                </c:pt>
                <c:pt idx="2">
                  <c:v>50.21</c:v>
                </c:pt>
                <c:pt idx="3">
                  <c:v>13.7</c:v>
                </c:pt>
              </c:numCache>
            </c:numRef>
          </c:val>
          <c:extLst>
            <c:ext xmlns:c16="http://schemas.microsoft.com/office/drawing/2014/chart" uri="{C3380CC4-5D6E-409C-BE32-E72D297353CC}">
              <c16:uniqueId val="{00000014-ABE6-40D9-906C-662E32F8A9F8}"/>
            </c:ext>
          </c:extLst>
        </c:ser>
        <c:ser>
          <c:idx val="21"/>
          <c:order val="21"/>
          <c:tx>
            <c:strRef>
              <c:f>Sheet1!$B$26</c:f>
              <c:strCache>
                <c:ptCount val="1"/>
                <c:pt idx="0">
                  <c:v>22</c:v>
                </c:pt>
              </c:strCache>
            </c:strRef>
          </c:tx>
          <c:spPr>
            <a:solidFill>
              <a:schemeClr val="accent2">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Sheet1!$C$26:$F$26</c:f>
              <c:numCache>
                <c:formatCode>General</c:formatCode>
                <c:ptCount val="4"/>
                <c:pt idx="0">
                  <c:v>127.73</c:v>
                </c:pt>
                <c:pt idx="1">
                  <c:v>6.6</c:v>
                </c:pt>
                <c:pt idx="2">
                  <c:v>52.58</c:v>
                </c:pt>
                <c:pt idx="3">
                  <c:v>13.09</c:v>
                </c:pt>
              </c:numCache>
            </c:numRef>
          </c:val>
          <c:extLst>
            <c:ext xmlns:c16="http://schemas.microsoft.com/office/drawing/2014/chart" uri="{C3380CC4-5D6E-409C-BE32-E72D297353CC}">
              <c16:uniqueId val="{00000015-ABE6-40D9-906C-662E32F8A9F8}"/>
            </c:ext>
          </c:extLst>
        </c:ser>
        <c:ser>
          <c:idx val="22"/>
          <c:order val="22"/>
          <c:tx>
            <c:strRef>
              <c:f>Sheet1!$B$27</c:f>
              <c:strCache>
                <c:ptCount val="1"/>
                <c:pt idx="0">
                  <c:v>23</c:v>
                </c:pt>
              </c:strCache>
            </c:strRef>
          </c:tx>
          <c:spPr>
            <a:solidFill>
              <a:schemeClr val="accent4">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Sheet1!$C$27:$F$27</c:f>
              <c:numCache>
                <c:formatCode>General</c:formatCode>
                <c:ptCount val="4"/>
                <c:pt idx="0">
                  <c:v>183.34</c:v>
                </c:pt>
                <c:pt idx="1">
                  <c:v>3.91</c:v>
                </c:pt>
                <c:pt idx="2">
                  <c:v>52.19</c:v>
                </c:pt>
                <c:pt idx="3">
                  <c:v>13.79</c:v>
                </c:pt>
              </c:numCache>
            </c:numRef>
          </c:val>
          <c:extLst>
            <c:ext xmlns:c16="http://schemas.microsoft.com/office/drawing/2014/chart" uri="{C3380CC4-5D6E-409C-BE32-E72D297353CC}">
              <c16:uniqueId val="{00000016-ABE6-40D9-906C-662E32F8A9F8}"/>
            </c:ext>
          </c:extLst>
        </c:ser>
        <c:ser>
          <c:idx val="23"/>
          <c:order val="23"/>
          <c:tx>
            <c:strRef>
              <c:f>Sheet1!$B$28</c:f>
              <c:strCache>
                <c:ptCount val="1"/>
                <c:pt idx="0">
                  <c:v>24</c:v>
                </c:pt>
              </c:strCache>
            </c:strRef>
          </c:tx>
          <c:spPr>
            <a:solidFill>
              <a:schemeClr val="accent6">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Sheet1!$C$28:$F$28</c:f>
              <c:numCache>
                <c:formatCode>General</c:formatCode>
                <c:ptCount val="4"/>
                <c:pt idx="0">
                  <c:v>176.21</c:v>
                </c:pt>
                <c:pt idx="1">
                  <c:v>5.51</c:v>
                </c:pt>
                <c:pt idx="2">
                  <c:v>26.36</c:v>
                </c:pt>
                <c:pt idx="3">
                  <c:v>7.01</c:v>
                </c:pt>
              </c:numCache>
            </c:numRef>
          </c:val>
          <c:extLst>
            <c:ext xmlns:c16="http://schemas.microsoft.com/office/drawing/2014/chart" uri="{C3380CC4-5D6E-409C-BE32-E72D297353CC}">
              <c16:uniqueId val="{00000017-ABE6-40D9-906C-662E32F8A9F8}"/>
            </c:ext>
          </c:extLst>
        </c:ser>
        <c:ser>
          <c:idx val="24"/>
          <c:order val="24"/>
          <c:tx>
            <c:strRef>
              <c:f>Sheet1!$B$29</c:f>
              <c:strCache>
                <c:ptCount val="1"/>
                <c:pt idx="0">
                  <c:v>25</c:v>
                </c:pt>
              </c:strCache>
            </c:strRef>
          </c:tx>
          <c:spPr>
            <a:solidFill>
              <a:schemeClr val="accent2">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Sheet1!$C$29:$F$29</c:f>
              <c:numCache>
                <c:formatCode>General</c:formatCode>
                <c:ptCount val="4"/>
                <c:pt idx="0">
                  <c:v>165.3</c:v>
                </c:pt>
                <c:pt idx="1">
                  <c:v>2.89</c:v>
                </c:pt>
                <c:pt idx="2">
                  <c:v>50.33</c:v>
                </c:pt>
                <c:pt idx="3">
                  <c:v>11.71</c:v>
                </c:pt>
              </c:numCache>
            </c:numRef>
          </c:val>
          <c:extLst>
            <c:ext xmlns:c16="http://schemas.microsoft.com/office/drawing/2014/chart" uri="{C3380CC4-5D6E-409C-BE32-E72D297353CC}">
              <c16:uniqueId val="{00000018-ABE6-40D9-906C-662E32F8A9F8}"/>
            </c:ext>
          </c:extLst>
        </c:ser>
        <c:ser>
          <c:idx val="25"/>
          <c:order val="25"/>
          <c:tx>
            <c:strRef>
              <c:f>Sheet1!$B$30</c:f>
              <c:strCache>
                <c:ptCount val="1"/>
                <c:pt idx="0">
                  <c:v>26</c:v>
                </c:pt>
              </c:strCache>
            </c:strRef>
          </c:tx>
          <c:spPr>
            <a:solidFill>
              <a:schemeClr val="accent4">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Sheet1!$C$30:$F$30</c:f>
              <c:numCache>
                <c:formatCode>General</c:formatCode>
                <c:ptCount val="4"/>
                <c:pt idx="0">
                  <c:v>178.08</c:v>
                </c:pt>
                <c:pt idx="1">
                  <c:v>5.13</c:v>
                </c:pt>
                <c:pt idx="2">
                  <c:v>63.97</c:v>
                </c:pt>
                <c:pt idx="3">
                  <c:v>17.02</c:v>
                </c:pt>
              </c:numCache>
            </c:numRef>
          </c:val>
          <c:extLst>
            <c:ext xmlns:c16="http://schemas.microsoft.com/office/drawing/2014/chart" uri="{C3380CC4-5D6E-409C-BE32-E72D297353CC}">
              <c16:uniqueId val="{00000019-ABE6-40D9-906C-662E32F8A9F8}"/>
            </c:ext>
          </c:extLst>
        </c:ser>
        <c:ser>
          <c:idx val="26"/>
          <c:order val="26"/>
          <c:tx>
            <c:strRef>
              <c:f>Sheet1!$B$31</c:f>
              <c:strCache>
                <c:ptCount val="1"/>
                <c:pt idx="0">
                  <c:v>27</c:v>
                </c:pt>
              </c:strCache>
            </c:strRef>
          </c:tx>
          <c:spPr>
            <a:solidFill>
              <a:schemeClr val="accent6">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Sheet1!$C$31:$F$31</c:f>
              <c:numCache>
                <c:formatCode>General</c:formatCode>
                <c:ptCount val="4"/>
                <c:pt idx="0">
                  <c:v>189.69</c:v>
                </c:pt>
                <c:pt idx="1">
                  <c:v>2.94</c:v>
                </c:pt>
                <c:pt idx="2">
                  <c:v>39.770000000000003</c:v>
                </c:pt>
                <c:pt idx="3">
                  <c:v>10.56</c:v>
                </c:pt>
              </c:numCache>
            </c:numRef>
          </c:val>
          <c:extLst>
            <c:ext xmlns:c16="http://schemas.microsoft.com/office/drawing/2014/chart" uri="{C3380CC4-5D6E-409C-BE32-E72D297353CC}">
              <c16:uniqueId val="{0000001A-ABE6-40D9-906C-662E32F8A9F8}"/>
            </c:ext>
          </c:extLst>
        </c:ser>
        <c:ser>
          <c:idx val="27"/>
          <c:order val="27"/>
          <c:tx>
            <c:strRef>
              <c:f>Sheet1!$B$32</c:f>
              <c:strCache>
                <c:ptCount val="1"/>
                <c:pt idx="0">
                  <c:v>28</c:v>
                </c:pt>
              </c:strCache>
            </c:strRef>
          </c:tx>
          <c:spPr>
            <a:solidFill>
              <a:schemeClr val="accent2"/>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Sheet1!$C$32:$F$32</c:f>
              <c:numCache>
                <c:formatCode>General</c:formatCode>
                <c:ptCount val="4"/>
                <c:pt idx="0">
                  <c:v>146.51</c:v>
                </c:pt>
                <c:pt idx="1">
                  <c:v>4.72</c:v>
                </c:pt>
                <c:pt idx="2">
                  <c:v>27.46</c:v>
                </c:pt>
                <c:pt idx="3">
                  <c:v>7.11</c:v>
                </c:pt>
              </c:numCache>
            </c:numRef>
          </c:val>
          <c:extLst>
            <c:ext xmlns:c16="http://schemas.microsoft.com/office/drawing/2014/chart" uri="{C3380CC4-5D6E-409C-BE32-E72D297353CC}">
              <c16:uniqueId val="{0000001B-ABE6-40D9-906C-662E32F8A9F8}"/>
            </c:ext>
          </c:extLst>
        </c:ser>
        <c:ser>
          <c:idx val="28"/>
          <c:order val="28"/>
          <c:tx>
            <c:strRef>
              <c:f>Sheet1!$B$33</c:f>
              <c:strCache>
                <c:ptCount val="1"/>
                <c:pt idx="0">
                  <c:v>29</c:v>
                </c:pt>
              </c:strCache>
            </c:strRef>
          </c:tx>
          <c:spPr>
            <a:solidFill>
              <a:schemeClr val="accent4"/>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Sheet1!$C$33:$F$33</c:f>
              <c:numCache>
                <c:formatCode>General</c:formatCode>
                <c:ptCount val="4"/>
                <c:pt idx="0">
                  <c:v>154.66999999999999</c:v>
                </c:pt>
                <c:pt idx="1">
                  <c:v>5.36</c:v>
                </c:pt>
                <c:pt idx="2">
                  <c:v>26.17</c:v>
                </c:pt>
                <c:pt idx="3">
                  <c:v>6.75</c:v>
                </c:pt>
              </c:numCache>
            </c:numRef>
          </c:val>
          <c:extLst>
            <c:ext xmlns:c16="http://schemas.microsoft.com/office/drawing/2014/chart" uri="{C3380CC4-5D6E-409C-BE32-E72D297353CC}">
              <c16:uniqueId val="{0000001C-ABE6-40D9-906C-662E32F8A9F8}"/>
            </c:ext>
          </c:extLst>
        </c:ser>
        <c:ser>
          <c:idx val="29"/>
          <c:order val="29"/>
          <c:tx>
            <c:strRef>
              <c:f>Sheet1!$B$34</c:f>
              <c:strCache>
                <c:ptCount val="1"/>
                <c:pt idx="0">
                  <c:v>30</c:v>
                </c:pt>
              </c:strCache>
            </c:strRef>
          </c:tx>
          <c:spPr>
            <a:solidFill>
              <a:schemeClr val="accent6"/>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Sheet1!$C$34:$F$34</c:f>
              <c:numCache>
                <c:formatCode>General</c:formatCode>
                <c:ptCount val="4"/>
                <c:pt idx="0">
                  <c:v>164.39</c:v>
                </c:pt>
                <c:pt idx="1">
                  <c:v>5.57</c:v>
                </c:pt>
                <c:pt idx="2">
                  <c:v>59.34</c:v>
                </c:pt>
                <c:pt idx="3">
                  <c:v>0</c:v>
                </c:pt>
              </c:numCache>
            </c:numRef>
          </c:val>
          <c:extLst>
            <c:ext xmlns:c16="http://schemas.microsoft.com/office/drawing/2014/chart" uri="{C3380CC4-5D6E-409C-BE32-E72D297353CC}">
              <c16:uniqueId val="{0000001D-ABE6-40D9-906C-662E32F8A9F8}"/>
            </c:ext>
          </c:extLst>
        </c:ser>
        <c:dLbls>
          <c:showLegendKey val="0"/>
          <c:showVal val="0"/>
          <c:showCatName val="0"/>
          <c:showSerName val="0"/>
          <c:showPercent val="0"/>
          <c:showBubbleSize val="0"/>
        </c:dLbls>
        <c:gapWidth val="219"/>
        <c:axId val="188191536"/>
        <c:axId val="188207376"/>
      </c:barChart>
      <c:catAx>
        <c:axId val="1881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07376"/>
        <c:crosses val="autoZero"/>
        <c:auto val="1"/>
        <c:lblAlgn val="ctr"/>
        <c:lblOffset val="100"/>
        <c:noMultiLvlLbl val="0"/>
      </c:catAx>
      <c:valAx>
        <c:axId val="18820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9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Sheet1!$C$41</c:f>
              <c:strCache>
                <c:ptCount val="1"/>
                <c:pt idx="0">
                  <c:v>Total chlorophyll</c:v>
                </c:pt>
              </c:strCache>
            </c:strRef>
          </c:tx>
          <c:spPr>
            <a:solidFill>
              <a:schemeClr val="accent1"/>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Sheet1!$C$42:$C$71</c:f>
              <c:numCache>
                <c:formatCode>General</c:formatCode>
                <c:ptCount val="30"/>
                <c:pt idx="0">
                  <c:v>0.68</c:v>
                </c:pt>
                <c:pt idx="1">
                  <c:v>0.66</c:v>
                </c:pt>
                <c:pt idx="2">
                  <c:v>0.48</c:v>
                </c:pt>
                <c:pt idx="3">
                  <c:v>0.43</c:v>
                </c:pt>
                <c:pt idx="4">
                  <c:v>0.64</c:v>
                </c:pt>
                <c:pt idx="5">
                  <c:v>0.41</c:v>
                </c:pt>
                <c:pt idx="6">
                  <c:v>0.67</c:v>
                </c:pt>
                <c:pt idx="7">
                  <c:v>0.6</c:v>
                </c:pt>
                <c:pt idx="8">
                  <c:v>0.46</c:v>
                </c:pt>
                <c:pt idx="9">
                  <c:v>0.57999999999999996</c:v>
                </c:pt>
                <c:pt idx="10">
                  <c:v>0.56999999999999995</c:v>
                </c:pt>
                <c:pt idx="11">
                  <c:v>0.63</c:v>
                </c:pt>
                <c:pt idx="12">
                  <c:v>0.41</c:v>
                </c:pt>
                <c:pt idx="13">
                  <c:v>0.43</c:v>
                </c:pt>
                <c:pt idx="14">
                  <c:v>0.65</c:v>
                </c:pt>
                <c:pt idx="15">
                  <c:v>0.67</c:v>
                </c:pt>
                <c:pt idx="16">
                  <c:v>0.63</c:v>
                </c:pt>
                <c:pt idx="17">
                  <c:v>0.61</c:v>
                </c:pt>
                <c:pt idx="18">
                  <c:v>0.59</c:v>
                </c:pt>
                <c:pt idx="19">
                  <c:v>0.68</c:v>
                </c:pt>
                <c:pt idx="20">
                  <c:v>0.67</c:v>
                </c:pt>
                <c:pt idx="21">
                  <c:v>0.67</c:v>
                </c:pt>
                <c:pt idx="22">
                  <c:v>0.66</c:v>
                </c:pt>
                <c:pt idx="23">
                  <c:v>0.62</c:v>
                </c:pt>
                <c:pt idx="24">
                  <c:v>0.61</c:v>
                </c:pt>
                <c:pt idx="25">
                  <c:v>0.67</c:v>
                </c:pt>
                <c:pt idx="26">
                  <c:v>0.44</c:v>
                </c:pt>
                <c:pt idx="27">
                  <c:v>0.4</c:v>
                </c:pt>
                <c:pt idx="28">
                  <c:v>0.6</c:v>
                </c:pt>
                <c:pt idx="29">
                  <c:v>0.69</c:v>
                </c:pt>
              </c:numCache>
            </c:numRef>
          </c:val>
          <c:extLst>
            <c:ext xmlns:c16="http://schemas.microsoft.com/office/drawing/2014/chart" uri="{C3380CC4-5D6E-409C-BE32-E72D297353CC}">
              <c16:uniqueId val="{00000000-04ED-4502-857F-3189EC9AD125}"/>
            </c:ext>
          </c:extLst>
        </c:ser>
        <c:ser>
          <c:idx val="1"/>
          <c:order val="1"/>
          <c:tx>
            <c:strRef>
              <c:f>Sheet1!$D$41</c:f>
              <c:strCache>
                <c:ptCount val="1"/>
                <c:pt idx="0">
                  <c:v>Relative water content</c:v>
                </c:pt>
              </c:strCache>
            </c:strRef>
          </c:tx>
          <c:spPr>
            <a:solidFill>
              <a:schemeClr val="accent2"/>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Sheet1!$D$42:$D$71</c:f>
              <c:numCache>
                <c:formatCode>General</c:formatCode>
                <c:ptCount val="30"/>
                <c:pt idx="0">
                  <c:v>76.2</c:v>
                </c:pt>
                <c:pt idx="1">
                  <c:v>66.75</c:v>
                </c:pt>
                <c:pt idx="2">
                  <c:v>65.84</c:v>
                </c:pt>
                <c:pt idx="3">
                  <c:v>66.959999999999994</c:v>
                </c:pt>
                <c:pt idx="4">
                  <c:v>74.489999999999995</c:v>
                </c:pt>
                <c:pt idx="5">
                  <c:v>62.97</c:v>
                </c:pt>
                <c:pt idx="6">
                  <c:v>66.989999999999995</c:v>
                </c:pt>
                <c:pt idx="7">
                  <c:v>67.5</c:v>
                </c:pt>
                <c:pt idx="8">
                  <c:v>66.77</c:v>
                </c:pt>
                <c:pt idx="9">
                  <c:v>63.28</c:v>
                </c:pt>
                <c:pt idx="10">
                  <c:v>63.64</c:v>
                </c:pt>
                <c:pt idx="11">
                  <c:v>64.790000000000006</c:v>
                </c:pt>
                <c:pt idx="12">
                  <c:v>79.989999999999995</c:v>
                </c:pt>
                <c:pt idx="13">
                  <c:v>62.83</c:v>
                </c:pt>
                <c:pt idx="14">
                  <c:v>64</c:v>
                </c:pt>
                <c:pt idx="15">
                  <c:v>69.73</c:v>
                </c:pt>
                <c:pt idx="16">
                  <c:v>63.03</c:v>
                </c:pt>
                <c:pt idx="17">
                  <c:v>63.39</c:v>
                </c:pt>
                <c:pt idx="18">
                  <c:v>77.77</c:v>
                </c:pt>
                <c:pt idx="19">
                  <c:v>66.73</c:v>
                </c:pt>
                <c:pt idx="20">
                  <c:v>66.84</c:v>
                </c:pt>
                <c:pt idx="21">
                  <c:v>82.75</c:v>
                </c:pt>
                <c:pt idx="22">
                  <c:v>66.75</c:v>
                </c:pt>
                <c:pt idx="23">
                  <c:v>66.73</c:v>
                </c:pt>
                <c:pt idx="24">
                  <c:v>70.040000000000006</c:v>
                </c:pt>
                <c:pt idx="25">
                  <c:v>75.069999999999993</c:v>
                </c:pt>
                <c:pt idx="26">
                  <c:v>80.989999999999995</c:v>
                </c:pt>
                <c:pt idx="27">
                  <c:v>63.8</c:v>
                </c:pt>
                <c:pt idx="28">
                  <c:v>75.39</c:v>
                </c:pt>
                <c:pt idx="29">
                  <c:v>76.540000000000006</c:v>
                </c:pt>
              </c:numCache>
            </c:numRef>
          </c:val>
          <c:extLst>
            <c:ext xmlns:c16="http://schemas.microsoft.com/office/drawing/2014/chart" uri="{C3380CC4-5D6E-409C-BE32-E72D297353CC}">
              <c16:uniqueId val="{00000001-04ED-4502-857F-3189EC9AD125}"/>
            </c:ext>
          </c:extLst>
        </c:ser>
        <c:ser>
          <c:idx val="2"/>
          <c:order val="2"/>
          <c:tx>
            <c:strRef>
              <c:f>Sheet1!$E$41</c:f>
              <c:strCache>
                <c:ptCount val="1"/>
                <c:pt idx="0">
                  <c:v>Proline content</c:v>
                </c:pt>
              </c:strCache>
            </c:strRef>
          </c:tx>
          <c:spPr>
            <a:solidFill>
              <a:schemeClr val="accent3"/>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Sheet1!$E$42:$E$71</c:f>
              <c:numCache>
                <c:formatCode>General</c:formatCode>
                <c:ptCount val="30"/>
                <c:pt idx="0">
                  <c:v>4.29</c:v>
                </c:pt>
                <c:pt idx="1">
                  <c:v>4.1399999999999997</c:v>
                </c:pt>
                <c:pt idx="2">
                  <c:v>2.25</c:v>
                </c:pt>
                <c:pt idx="3">
                  <c:v>1.57</c:v>
                </c:pt>
                <c:pt idx="4">
                  <c:v>1.61</c:v>
                </c:pt>
                <c:pt idx="5">
                  <c:v>2.02</c:v>
                </c:pt>
                <c:pt idx="6">
                  <c:v>4.0999999999999996</c:v>
                </c:pt>
                <c:pt idx="7">
                  <c:v>2.17</c:v>
                </c:pt>
                <c:pt idx="8">
                  <c:v>2.25</c:v>
                </c:pt>
                <c:pt idx="9">
                  <c:v>2.15</c:v>
                </c:pt>
                <c:pt idx="10">
                  <c:v>1.54</c:v>
                </c:pt>
                <c:pt idx="11">
                  <c:v>2.23</c:v>
                </c:pt>
                <c:pt idx="12">
                  <c:v>2.25</c:v>
                </c:pt>
                <c:pt idx="13">
                  <c:v>2.0499999999999998</c:v>
                </c:pt>
                <c:pt idx="14">
                  <c:v>2.19</c:v>
                </c:pt>
                <c:pt idx="15">
                  <c:v>4.12</c:v>
                </c:pt>
                <c:pt idx="16">
                  <c:v>2.64</c:v>
                </c:pt>
                <c:pt idx="17">
                  <c:v>2.21</c:v>
                </c:pt>
                <c:pt idx="18">
                  <c:v>1.92</c:v>
                </c:pt>
                <c:pt idx="19">
                  <c:v>4.03</c:v>
                </c:pt>
                <c:pt idx="20">
                  <c:v>4.57</c:v>
                </c:pt>
                <c:pt idx="21">
                  <c:v>3.91</c:v>
                </c:pt>
                <c:pt idx="22">
                  <c:v>4.01</c:v>
                </c:pt>
                <c:pt idx="23">
                  <c:v>3.14</c:v>
                </c:pt>
                <c:pt idx="24">
                  <c:v>2.23</c:v>
                </c:pt>
                <c:pt idx="25">
                  <c:v>2.66</c:v>
                </c:pt>
                <c:pt idx="26">
                  <c:v>1.84</c:v>
                </c:pt>
                <c:pt idx="27">
                  <c:v>2.11</c:v>
                </c:pt>
                <c:pt idx="28">
                  <c:v>2.37</c:v>
                </c:pt>
                <c:pt idx="29">
                  <c:v>2.9</c:v>
                </c:pt>
              </c:numCache>
            </c:numRef>
          </c:val>
          <c:extLst>
            <c:ext xmlns:c16="http://schemas.microsoft.com/office/drawing/2014/chart" uri="{C3380CC4-5D6E-409C-BE32-E72D297353CC}">
              <c16:uniqueId val="{00000002-04ED-4502-857F-3189EC9AD125}"/>
            </c:ext>
          </c:extLst>
        </c:ser>
        <c:ser>
          <c:idx val="3"/>
          <c:order val="3"/>
          <c:tx>
            <c:strRef>
              <c:f>Sheet1!$F$41</c:f>
              <c:strCache>
                <c:ptCount val="1"/>
                <c:pt idx="0">
                  <c:v>Peroxidase activity</c:v>
                </c:pt>
              </c:strCache>
            </c:strRef>
          </c:tx>
          <c:spPr>
            <a:solidFill>
              <a:schemeClr val="accent4"/>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Sheet1!$F$42:$F$71</c:f>
              <c:numCache>
                <c:formatCode>General</c:formatCode>
                <c:ptCount val="30"/>
                <c:pt idx="0">
                  <c:v>23.36</c:v>
                </c:pt>
                <c:pt idx="1">
                  <c:v>23.2</c:v>
                </c:pt>
                <c:pt idx="2">
                  <c:v>16.97</c:v>
                </c:pt>
                <c:pt idx="3">
                  <c:v>14.96</c:v>
                </c:pt>
                <c:pt idx="4">
                  <c:v>15.68</c:v>
                </c:pt>
                <c:pt idx="5">
                  <c:v>18.829999999999998</c:v>
                </c:pt>
                <c:pt idx="6">
                  <c:v>22.39</c:v>
                </c:pt>
                <c:pt idx="7">
                  <c:v>21.15</c:v>
                </c:pt>
                <c:pt idx="8">
                  <c:v>17.52</c:v>
                </c:pt>
                <c:pt idx="9">
                  <c:v>18.64</c:v>
                </c:pt>
                <c:pt idx="10">
                  <c:v>18.46</c:v>
                </c:pt>
                <c:pt idx="11">
                  <c:v>15.41</c:v>
                </c:pt>
                <c:pt idx="12">
                  <c:v>18.03</c:v>
                </c:pt>
                <c:pt idx="13">
                  <c:v>15.96</c:v>
                </c:pt>
                <c:pt idx="14">
                  <c:v>15.83</c:v>
                </c:pt>
                <c:pt idx="15">
                  <c:v>23.48</c:v>
                </c:pt>
                <c:pt idx="16">
                  <c:v>19.09</c:v>
                </c:pt>
                <c:pt idx="17">
                  <c:v>19.86</c:v>
                </c:pt>
                <c:pt idx="18">
                  <c:v>18.079999999999998</c:v>
                </c:pt>
                <c:pt idx="19">
                  <c:v>24.7</c:v>
                </c:pt>
                <c:pt idx="20">
                  <c:v>23.64</c:v>
                </c:pt>
                <c:pt idx="21">
                  <c:v>22.77</c:v>
                </c:pt>
                <c:pt idx="22">
                  <c:v>22.28</c:v>
                </c:pt>
                <c:pt idx="23">
                  <c:v>19</c:v>
                </c:pt>
                <c:pt idx="24">
                  <c:v>19.36</c:v>
                </c:pt>
                <c:pt idx="25">
                  <c:v>21.69</c:v>
                </c:pt>
                <c:pt idx="26">
                  <c:v>16.25</c:v>
                </c:pt>
                <c:pt idx="27">
                  <c:v>20.13</c:v>
                </c:pt>
                <c:pt idx="28">
                  <c:v>16.97</c:v>
                </c:pt>
                <c:pt idx="29">
                  <c:v>22.22</c:v>
                </c:pt>
              </c:numCache>
            </c:numRef>
          </c:val>
          <c:extLst>
            <c:ext xmlns:c16="http://schemas.microsoft.com/office/drawing/2014/chart" uri="{C3380CC4-5D6E-409C-BE32-E72D297353CC}">
              <c16:uniqueId val="{00000003-04ED-4502-857F-3189EC9AD125}"/>
            </c:ext>
          </c:extLst>
        </c:ser>
        <c:ser>
          <c:idx val="4"/>
          <c:order val="4"/>
          <c:tx>
            <c:strRef>
              <c:f>Sheet1!$G$41</c:f>
              <c:strCache>
                <c:ptCount val="1"/>
                <c:pt idx="0">
                  <c:v>Cell membrane stability index</c:v>
                </c:pt>
              </c:strCache>
            </c:strRef>
          </c:tx>
          <c:spPr>
            <a:solidFill>
              <a:schemeClr val="accent5"/>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Sheet1!$G$42:$G$71</c:f>
              <c:numCache>
                <c:formatCode>General</c:formatCode>
                <c:ptCount val="30"/>
                <c:pt idx="0">
                  <c:v>90.72</c:v>
                </c:pt>
                <c:pt idx="1">
                  <c:v>89.33</c:v>
                </c:pt>
                <c:pt idx="2">
                  <c:v>82.93</c:v>
                </c:pt>
                <c:pt idx="3">
                  <c:v>80.349999999999994</c:v>
                </c:pt>
                <c:pt idx="4">
                  <c:v>81.77</c:v>
                </c:pt>
                <c:pt idx="5">
                  <c:v>78</c:v>
                </c:pt>
                <c:pt idx="6">
                  <c:v>89.68</c:v>
                </c:pt>
                <c:pt idx="7">
                  <c:v>82.42</c:v>
                </c:pt>
                <c:pt idx="8">
                  <c:v>87.98</c:v>
                </c:pt>
                <c:pt idx="9">
                  <c:v>86.5</c:v>
                </c:pt>
                <c:pt idx="10">
                  <c:v>82.98</c:v>
                </c:pt>
                <c:pt idx="11">
                  <c:v>84.7</c:v>
                </c:pt>
                <c:pt idx="12">
                  <c:v>84.82</c:v>
                </c:pt>
                <c:pt idx="13">
                  <c:v>85.47</c:v>
                </c:pt>
                <c:pt idx="14">
                  <c:v>77.88</c:v>
                </c:pt>
                <c:pt idx="15">
                  <c:v>90.87</c:v>
                </c:pt>
                <c:pt idx="16">
                  <c:v>81.87</c:v>
                </c:pt>
                <c:pt idx="17">
                  <c:v>81</c:v>
                </c:pt>
                <c:pt idx="18">
                  <c:v>78.849999999999994</c:v>
                </c:pt>
                <c:pt idx="19">
                  <c:v>89.67</c:v>
                </c:pt>
                <c:pt idx="20">
                  <c:v>88.97</c:v>
                </c:pt>
                <c:pt idx="21">
                  <c:v>90.17</c:v>
                </c:pt>
                <c:pt idx="22">
                  <c:v>88.85</c:v>
                </c:pt>
                <c:pt idx="23">
                  <c:v>79.58</c:v>
                </c:pt>
                <c:pt idx="24">
                  <c:v>80.37</c:v>
                </c:pt>
                <c:pt idx="25">
                  <c:v>90.67</c:v>
                </c:pt>
                <c:pt idx="26">
                  <c:v>82.23</c:v>
                </c:pt>
                <c:pt idx="27">
                  <c:v>80.42</c:v>
                </c:pt>
                <c:pt idx="28">
                  <c:v>83.95</c:v>
                </c:pt>
                <c:pt idx="29">
                  <c:v>90.92</c:v>
                </c:pt>
              </c:numCache>
            </c:numRef>
          </c:val>
          <c:extLst>
            <c:ext xmlns:c16="http://schemas.microsoft.com/office/drawing/2014/chart" uri="{C3380CC4-5D6E-409C-BE32-E72D297353CC}">
              <c16:uniqueId val="{00000004-04ED-4502-857F-3189EC9AD125}"/>
            </c:ext>
          </c:extLst>
        </c:ser>
        <c:dLbls>
          <c:showLegendKey val="0"/>
          <c:showVal val="0"/>
          <c:showCatName val="0"/>
          <c:showSerName val="0"/>
          <c:showPercent val="0"/>
          <c:showBubbleSize val="0"/>
        </c:dLbls>
        <c:gapWidth val="219"/>
        <c:overlap val="-27"/>
        <c:axId val="72362096"/>
        <c:axId val="72379376"/>
      </c:barChart>
      <c:catAx>
        <c:axId val="723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79376"/>
        <c:crosses val="autoZero"/>
        <c:auto val="1"/>
        <c:lblAlgn val="ctr"/>
        <c:lblOffset val="100"/>
        <c:noMultiLvlLbl val="0"/>
      </c:catAx>
      <c:valAx>
        <c:axId val="7237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Sheet1!$C$75</c:f>
              <c:strCache>
                <c:ptCount val="1"/>
                <c:pt idx="0">
                  <c:v>Crude protein (%)</c:v>
                </c:pt>
              </c:strCache>
            </c:strRef>
          </c:tx>
          <c:spPr>
            <a:solidFill>
              <a:schemeClr val="accent1"/>
            </a:solidFill>
            <a:ln>
              <a:noFill/>
            </a:ln>
            <a:effectLst/>
          </c:spPr>
          <c:invertIfNegative val="0"/>
          <c:cat>
            <c:numRef>
              <c:f>Sheet1!$B$76:$B$106</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Sheet1!$C$76:$C$106</c:f>
              <c:numCache>
                <c:formatCode>General</c:formatCode>
                <c:ptCount val="31"/>
                <c:pt idx="0">
                  <c:v>25.46</c:v>
                </c:pt>
                <c:pt idx="1">
                  <c:v>29.24</c:v>
                </c:pt>
                <c:pt idx="2">
                  <c:v>20.79</c:v>
                </c:pt>
                <c:pt idx="3">
                  <c:v>21.48</c:v>
                </c:pt>
                <c:pt idx="4">
                  <c:v>23.32</c:v>
                </c:pt>
                <c:pt idx="5">
                  <c:v>23.9</c:v>
                </c:pt>
                <c:pt idx="6">
                  <c:v>27.14</c:v>
                </c:pt>
                <c:pt idx="7">
                  <c:v>20.89</c:v>
                </c:pt>
                <c:pt idx="8">
                  <c:v>20.02</c:v>
                </c:pt>
                <c:pt idx="9">
                  <c:v>23.9</c:v>
                </c:pt>
                <c:pt idx="10">
                  <c:v>22.4</c:v>
                </c:pt>
                <c:pt idx="11">
                  <c:v>24.9</c:v>
                </c:pt>
                <c:pt idx="12">
                  <c:v>24.62</c:v>
                </c:pt>
                <c:pt idx="13">
                  <c:v>23.11</c:v>
                </c:pt>
                <c:pt idx="14">
                  <c:v>23.02</c:v>
                </c:pt>
                <c:pt idx="15">
                  <c:v>27.25</c:v>
                </c:pt>
                <c:pt idx="16">
                  <c:v>23.54</c:v>
                </c:pt>
                <c:pt idx="17">
                  <c:v>21.41</c:v>
                </c:pt>
                <c:pt idx="18">
                  <c:v>22.91</c:v>
                </c:pt>
                <c:pt idx="19">
                  <c:v>26.58</c:v>
                </c:pt>
                <c:pt idx="20">
                  <c:v>26.1</c:v>
                </c:pt>
                <c:pt idx="21">
                  <c:v>26.71</c:v>
                </c:pt>
                <c:pt idx="22">
                  <c:v>26.08</c:v>
                </c:pt>
                <c:pt idx="23">
                  <c:v>25.41</c:v>
                </c:pt>
                <c:pt idx="24">
                  <c:v>22.89</c:v>
                </c:pt>
                <c:pt idx="25">
                  <c:v>26.06</c:v>
                </c:pt>
                <c:pt idx="26">
                  <c:v>23.07</c:v>
                </c:pt>
                <c:pt idx="27">
                  <c:v>21.64</c:v>
                </c:pt>
                <c:pt idx="28">
                  <c:v>22.15</c:v>
                </c:pt>
                <c:pt idx="29">
                  <c:v>25.5</c:v>
                </c:pt>
              </c:numCache>
            </c:numRef>
          </c:val>
          <c:extLst>
            <c:ext xmlns:c16="http://schemas.microsoft.com/office/drawing/2014/chart" uri="{C3380CC4-5D6E-409C-BE32-E72D297353CC}">
              <c16:uniqueId val="{00000000-2CA5-4BD6-8543-D4151D7CC236}"/>
            </c:ext>
          </c:extLst>
        </c:ser>
        <c:ser>
          <c:idx val="1"/>
          <c:order val="1"/>
          <c:tx>
            <c:strRef>
              <c:f>Sheet1!$D$75</c:f>
              <c:strCache>
                <c:ptCount val="1"/>
                <c:pt idx="0">
                  <c:v>Crude fibre (%)</c:v>
                </c:pt>
              </c:strCache>
            </c:strRef>
          </c:tx>
          <c:spPr>
            <a:solidFill>
              <a:schemeClr val="accent3"/>
            </a:solidFill>
            <a:ln>
              <a:noFill/>
            </a:ln>
            <a:effectLst/>
          </c:spPr>
          <c:invertIfNegative val="0"/>
          <c:cat>
            <c:numRef>
              <c:f>Sheet1!$B$76:$B$106</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Sheet1!$D$76:$D$106</c:f>
              <c:numCache>
                <c:formatCode>General</c:formatCode>
                <c:ptCount val="31"/>
                <c:pt idx="0">
                  <c:v>25.48</c:v>
                </c:pt>
                <c:pt idx="1">
                  <c:v>26.58</c:v>
                </c:pt>
                <c:pt idx="2">
                  <c:v>20.85</c:v>
                </c:pt>
                <c:pt idx="3">
                  <c:v>21.07</c:v>
                </c:pt>
                <c:pt idx="4">
                  <c:v>20.07</c:v>
                </c:pt>
                <c:pt idx="5">
                  <c:v>20.28</c:v>
                </c:pt>
                <c:pt idx="6">
                  <c:v>25.86</c:v>
                </c:pt>
                <c:pt idx="7">
                  <c:v>18.940000000000001</c:v>
                </c:pt>
                <c:pt idx="8">
                  <c:v>18.670000000000002</c:v>
                </c:pt>
                <c:pt idx="9">
                  <c:v>18.63</c:v>
                </c:pt>
                <c:pt idx="10">
                  <c:v>18.91</c:v>
                </c:pt>
                <c:pt idx="11">
                  <c:v>19.8</c:v>
                </c:pt>
                <c:pt idx="12">
                  <c:v>20</c:v>
                </c:pt>
                <c:pt idx="13">
                  <c:v>20.079999999999998</c:v>
                </c:pt>
                <c:pt idx="14">
                  <c:v>19.68</c:v>
                </c:pt>
                <c:pt idx="15">
                  <c:v>25.71</c:v>
                </c:pt>
                <c:pt idx="16">
                  <c:v>19.649999999999999</c:v>
                </c:pt>
                <c:pt idx="17">
                  <c:v>19.27</c:v>
                </c:pt>
                <c:pt idx="18">
                  <c:v>19.64</c:v>
                </c:pt>
                <c:pt idx="19">
                  <c:v>25.12</c:v>
                </c:pt>
                <c:pt idx="20">
                  <c:v>24.48</c:v>
                </c:pt>
                <c:pt idx="21">
                  <c:v>26.63</c:v>
                </c:pt>
                <c:pt idx="22">
                  <c:v>25.74</c:v>
                </c:pt>
                <c:pt idx="23">
                  <c:v>19.829999999999998</c:v>
                </c:pt>
                <c:pt idx="24">
                  <c:v>19.63</c:v>
                </c:pt>
                <c:pt idx="25">
                  <c:v>25.24</c:v>
                </c:pt>
                <c:pt idx="26">
                  <c:v>19.62</c:v>
                </c:pt>
                <c:pt idx="27">
                  <c:v>20.010000000000002</c:v>
                </c:pt>
                <c:pt idx="28">
                  <c:v>20.25</c:v>
                </c:pt>
                <c:pt idx="29">
                  <c:v>25.84</c:v>
                </c:pt>
              </c:numCache>
            </c:numRef>
          </c:val>
          <c:extLst>
            <c:ext xmlns:c16="http://schemas.microsoft.com/office/drawing/2014/chart" uri="{C3380CC4-5D6E-409C-BE32-E72D297353CC}">
              <c16:uniqueId val="{00000001-2CA5-4BD6-8543-D4151D7CC236}"/>
            </c:ext>
          </c:extLst>
        </c:ser>
        <c:dLbls>
          <c:showLegendKey val="0"/>
          <c:showVal val="0"/>
          <c:showCatName val="0"/>
          <c:showSerName val="0"/>
          <c:showPercent val="0"/>
          <c:showBubbleSize val="0"/>
        </c:dLbls>
        <c:gapWidth val="219"/>
        <c:overlap val="-27"/>
        <c:axId val="340184528"/>
        <c:axId val="340194608"/>
      </c:barChart>
      <c:catAx>
        <c:axId val="34018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4608"/>
        <c:crosses val="autoZero"/>
        <c:auto val="1"/>
        <c:lblAlgn val="ctr"/>
        <c:lblOffset val="100"/>
        <c:noMultiLvlLbl val="0"/>
      </c:catAx>
      <c:valAx>
        <c:axId val="3401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8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A6F18-D41E-4FA0-A3DD-D917E0FF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19</Pages>
  <Words>5285</Words>
  <Characters>30231</Characters>
  <Application>Microsoft Office Word</Application>
  <DocSecurity>0</DocSecurity>
  <Lines>1209</Lines>
  <Paragraphs>887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34629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ATHULYA RAJASEKHARAN</cp:lastModifiedBy>
  <cp:revision>3</cp:revision>
  <cp:lastPrinted>1999-07-06T11:00:00Z</cp:lastPrinted>
  <dcterms:created xsi:type="dcterms:W3CDTF">2025-10-28T06:00:00Z</dcterms:created>
  <dcterms:modified xsi:type="dcterms:W3CDTF">2025-10-28T06:15:00Z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150d23a1-ab4d-4a13-91a1-7479b51323da</vt:lpwstr>
  </property>
</Properties>
</file>